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92D9F" w14:textId="039972D3" w:rsidR="003F218C" w:rsidRPr="00D31A00" w:rsidRDefault="003F218C" w:rsidP="00D31A00">
      <w:pPr>
        <w:spacing w:line="276" w:lineRule="auto"/>
        <w:jc w:val="center"/>
        <w:rPr>
          <w:b/>
          <w:szCs w:val="24"/>
        </w:rPr>
      </w:pPr>
      <w:r w:rsidRPr="00D31A00">
        <w:rPr>
          <w:b/>
          <w:szCs w:val="24"/>
        </w:rPr>
        <w:t>EXPLANATORY STATEMENT</w:t>
      </w:r>
      <w:r w:rsidR="000B56DF" w:rsidRPr="00D31A00">
        <w:rPr>
          <w:b/>
          <w:szCs w:val="24"/>
        </w:rPr>
        <w:t xml:space="preserve"> for</w:t>
      </w:r>
    </w:p>
    <w:p w14:paraId="3A7708CD" w14:textId="77777777" w:rsidR="000B56DF" w:rsidRPr="00D31A00" w:rsidRDefault="000B56DF" w:rsidP="00D31A00">
      <w:pPr>
        <w:spacing w:line="276" w:lineRule="auto"/>
        <w:jc w:val="center"/>
        <w:rPr>
          <w:b/>
          <w:szCs w:val="24"/>
        </w:rPr>
      </w:pPr>
    </w:p>
    <w:p w14:paraId="2C03391D" w14:textId="5AF442D1" w:rsidR="000B56DF" w:rsidRPr="00D31A00" w:rsidRDefault="000B56DF" w:rsidP="00D31A00">
      <w:pPr>
        <w:spacing w:line="276" w:lineRule="auto"/>
        <w:jc w:val="center"/>
        <w:rPr>
          <w:b/>
          <w:szCs w:val="24"/>
        </w:rPr>
      </w:pPr>
      <w:r w:rsidRPr="00D31A00">
        <w:rPr>
          <w:b/>
          <w:szCs w:val="24"/>
        </w:rPr>
        <w:t xml:space="preserve">ASIC </w:t>
      </w:r>
      <w:r w:rsidR="00575767" w:rsidRPr="00D31A00">
        <w:rPr>
          <w:b/>
          <w:szCs w:val="24"/>
        </w:rPr>
        <w:t>Financial Benchmark (</w:t>
      </w:r>
      <w:r w:rsidR="00EC6FCB" w:rsidRPr="00D31A00">
        <w:rPr>
          <w:b/>
          <w:szCs w:val="24"/>
        </w:rPr>
        <w:t>Compelled</w:t>
      </w:r>
      <w:r w:rsidR="00575767" w:rsidRPr="00D31A00">
        <w:rPr>
          <w:b/>
          <w:szCs w:val="24"/>
        </w:rPr>
        <w:t>) Rules</w:t>
      </w:r>
      <w:r w:rsidRPr="00D31A00">
        <w:rPr>
          <w:b/>
          <w:szCs w:val="24"/>
        </w:rPr>
        <w:t xml:space="preserve"> 2018</w:t>
      </w:r>
    </w:p>
    <w:p w14:paraId="61C8156F" w14:textId="77777777" w:rsidR="003F218C" w:rsidRPr="00D31A00" w:rsidRDefault="003F218C" w:rsidP="00D31A00">
      <w:pPr>
        <w:spacing w:line="276" w:lineRule="auto"/>
        <w:jc w:val="center"/>
        <w:rPr>
          <w:szCs w:val="24"/>
        </w:rPr>
      </w:pPr>
    </w:p>
    <w:p w14:paraId="53EB3A02" w14:textId="77777777" w:rsidR="003F218C" w:rsidRPr="00D31A00" w:rsidRDefault="003F218C" w:rsidP="00D31A00">
      <w:pPr>
        <w:spacing w:line="276" w:lineRule="auto"/>
        <w:jc w:val="center"/>
        <w:rPr>
          <w:szCs w:val="24"/>
        </w:rPr>
      </w:pPr>
      <w:r w:rsidRPr="00D31A00">
        <w:rPr>
          <w:szCs w:val="24"/>
        </w:rPr>
        <w:t>Prepared by the Australian Securities and Investments Commission</w:t>
      </w:r>
    </w:p>
    <w:p w14:paraId="021D5425" w14:textId="77777777" w:rsidR="003F218C" w:rsidRPr="00D31A00" w:rsidRDefault="003F218C" w:rsidP="00D31A00">
      <w:pPr>
        <w:spacing w:line="276" w:lineRule="auto"/>
        <w:jc w:val="center"/>
        <w:rPr>
          <w:szCs w:val="24"/>
        </w:rPr>
      </w:pPr>
    </w:p>
    <w:p w14:paraId="3A31B4C2" w14:textId="77777777" w:rsidR="003F218C" w:rsidRPr="00D31A00" w:rsidRDefault="003F218C" w:rsidP="00D31A00">
      <w:pPr>
        <w:spacing w:line="276" w:lineRule="auto"/>
        <w:jc w:val="center"/>
        <w:rPr>
          <w:szCs w:val="24"/>
        </w:rPr>
      </w:pPr>
      <w:r w:rsidRPr="00D31A00">
        <w:rPr>
          <w:i/>
          <w:szCs w:val="24"/>
        </w:rPr>
        <w:t>Corporations Act 2001</w:t>
      </w:r>
    </w:p>
    <w:p w14:paraId="1FF03B7D" w14:textId="77777777" w:rsidR="003F218C" w:rsidRPr="00D31A00" w:rsidRDefault="003F218C" w:rsidP="00D31A00">
      <w:pPr>
        <w:spacing w:line="276" w:lineRule="auto"/>
        <w:rPr>
          <w:szCs w:val="24"/>
        </w:rPr>
      </w:pPr>
    </w:p>
    <w:p w14:paraId="5E27000D" w14:textId="1598535C" w:rsidR="003F218C" w:rsidRDefault="003F218C" w:rsidP="00D31A00">
      <w:pPr>
        <w:pStyle w:val="BodyText"/>
        <w:spacing w:before="0"/>
      </w:pPr>
      <w:r w:rsidRPr="00D31A00">
        <w:t>The Australian Securities and Investments Commission (</w:t>
      </w:r>
      <w:r w:rsidRPr="00D31A00">
        <w:rPr>
          <w:b/>
        </w:rPr>
        <w:t>ASIC</w:t>
      </w:r>
      <w:r w:rsidRPr="00D31A00">
        <w:t>) makes</w:t>
      </w:r>
      <w:r w:rsidR="00D31A00">
        <w:t xml:space="preserve"> the</w:t>
      </w:r>
      <w:r w:rsidRPr="00D31A00">
        <w:t xml:space="preserve"> </w:t>
      </w:r>
      <w:r w:rsidR="00575767" w:rsidRPr="00D31A00">
        <w:rPr>
          <w:i/>
        </w:rPr>
        <w:t>ASIC Financial Benchmark (</w:t>
      </w:r>
      <w:r w:rsidR="00EB5903" w:rsidRPr="00D31A00">
        <w:rPr>
          <w:i/>
        </w:rPr>
        <w:t>Compelled</w:t>
      </w:r>
      <w:r w:rsidR="00575767" w:rsidRPr="00D31A00">
        <w:rPr>
          <w:i/>
        </w:rPr>
        <w:t>) Rules 2018</w:t>
      </w:r>
      <w:r w:rsidR="00575767" w:rsidRPr="00D31A00">
        <w:t xml:space="preserve"> </w:t>
      </w:r>
      <w:r w:rsidRPr="00D31A00">
        <w:t>(</w:t>
      </w:r>
      <w:r w:rsidR="000B56DF" w:rsidRPr="00D31A00">
        <w:rPr>
          <w:b/>
        </w:rPr>
        <w:t>the Instrument</w:t>
      </w:r>
      <w:r w:rsidRPr="00D31A00">
        <w:t>) under section 908C</w:t>
      </w:r>
      <w:r w:rsidR="00EB5903" w:rsidRPr="00D31A00">
        <w:t>D</w:t>
      </w:r>
      <w:r w:rsidRPr="00D31A00">
        <w:t xml:space="preserve"> of the </w:t>
      </w:r>
      <w:r w:rsidRPr="00D31A00">
        <w:rPr>
          <w:i/>
        </w:rPr>
        <w:t>Corporations Act 2001</w:t>
      </w:r>
      <w:r w:rsidR="00867D72" w:rsidRPr="00D31A00">
        <w:rPr>
          <w:i/>
        </w:rPr>
        <w:t xml:space="preserve"> </w:t>
      </w:r>
      <w:r w:rsidR="000B56DF" w:rsidRPr="00D31A00">
        <w:t>(</w:t>
      </w:r>
      <w:r w:rsidR="000B56DF" w:rsidRPr="00D31A00">
        <w:rPr>
          <w:b/>
        </w:rPr>
        <w:t>the Act</w:t>
      </w:r>
      <w:r w:rsidR="000B56DF" w:rsidRPr="00D31A00">
        <w:t>)</w:t>
      </w:r>
      <w:r w:rsidRPr="00D31A00">
        <w:t>.</w:t>
      </w:r>
    </w:p>
    <w:p w14:paraId="0FC2BEA6" w14:textId="77777777" w:rsidR="00D31A00" w:rsidRPr="00D31A00" w:rsidRDefault="00D31A00" w:rsidP="00D31A00">
      <w:pPr>
        <w:pStyle w:val="BodyText"/>
        <w:spacing w:before="0"/>
      </w:pPr>
    </w:p>
    <w:p w14:paraId="1828D907" w14:textId="2FA7D66F" w:rsidR="00575767" w:rsidRPr="00D31A00" w:rsidRDefault="000B56DF" w:rsidP="00D31A00">
      <w:pPr>
        <w:pStyle w:val="BodyText"/>
        <w:spacing w:before="0"/>
      </w:pPr>
      <w:r w:rsidRPr="00D31A00">
        <w:t>S</w:t>
      </w:r>
      <w:r w:rsidR="003F218C" w:rsidRPr="00D31A00">
        <w:t>ection 908</w:t>
      </w:r>
      <w:r w:rsidR="00575767" w:rsidRPr="00D31A00">
        <w:t>C</w:t>
      </w:r>
      <w:r w:rsidR="00EB5903" w:rsidRPr="00D31A00">
        <w:t>D</w:t>
      </w:r>
      <w:r w:rsidR="00867D72" w:rsidRPr="00D31A00">
        <w:t xml:space="preserve"> of the Act</w:t>
      </w:r>
      <w:r w:rsidR="003F218C" w:rsidRPr="00D31A00">
        <w:t xml:space="preserve"> </w:t>
      </w:r>
      <w:r w:rsidRPr="00D31A00">
        <w:t xml:space="preserve">provides that </w:t>
      </w:r>
      <w:r w:rsidR="009E6C52" w:rsidRPr="00D31A00">
        <w:t xml:space="preserve">subject to Division 3 of Part 7.5B of the Act, </w:t>
      </w:r>
      <w:r w:rsidR="003F218C" w:rsidRPr="00D31A00">
        <w:t xml:space="preserve">ASIC may, by legislative instrument, </w:t>
      </w:r>
      <w:r w:rsidR="00575767" w:rsidRPr="00D31A00">
        <w:t xml:space="preserve">make rules </w:t>
      </w:r>
      <w:r w:rsidR="002074B9" w:rsidRPr="00D31A00">
        <w:t xml:space="preserve">conferring one or more of the powers, or </w:t>
      </w:r>
      <w:r w:rsidR="00575767" w:rsidRPr="00D31A00">
        <w:t>dealing with one or more of the matters</w:t>
      </w:r>
      <w:r w:rsidR="002074B9" w:rsidRPr="00D31A00">
        <w:t>,</w:t>
      </w:r>
      <w:r w:rsidR="00575767" w:rsidRPr="00D31A00">
        <w:t xml:space="preserve"> </w:t>
      </w:r>
      <w:r w:rsidR="009E6C52" w:rsidRPr="00D31A00">
        <w:t xml:space="preserve">permitted by Subdivision </w:t>
      </w:r>
      <w:r w:rsidR="00EB5903" w:rsidRPr="00D31A00">
        <w:t>B</w:t>
      </w:r>
      <w:r w:rsidR="009E6C52" w:rsidRPr="00D31A00">
        <w:t xml:space="preserve"> of Division 3 of Part 7.5B of the Act</w:t>
      </w:r>
      <w:r w:rsidR="00575767" w:rsidRPr="00D31A00">
        <w:t>.</w:t>
      </w:r>
    </w:p>
    <w:p w14:paraId="004BDCDB" w14:textId="77777777" w:rsidR="003F218C" w:rsidRPr="00D31A00" w:rsidRDefault="003F218C" w:rsidP="00D31A00">
      <w:pPr>
        <w:spacing w:line="276" w:lineRule="auto"/>
        <w:rPr>
          <w:szCs w:val="24"/>
        </w:rPr>
      </w:pPr>
    </w:p>
    <w:p w14:paraId="4D15B902" w14:textId="77777777" w:rsidR="0058547F" w:rsidRPr="00D31A00" w:rsidRDefault="0058547F" w:rsidP="00D31A00">
      <w:pPr>
        <w:pStyle w:val="ListParagraph"/>
        <w:numPr>
          <w:ilvl w:val="0"/>
          <w:numId w:val="2"/>
        </w:numPr>
        <w:rPr>
          <w:b/>
        </w:rPr>
      </w:pPr>
      <w:r w:rsidRPr="00D31A00">
        <w:rPr>
          <w:b/>
        </w:rPr>
        <w:t>Background</w:t>
      </w:r>
    </w:p>
    <w:p w14:paraId="112F12E6" w14:textId="77777777" w:rsidR="00D31A00" w:rsidRDefault="00D31A00" w:rsidP="00D31A00">
      <w:pPr>
        <w:overflowPunct/>
        <w:autoSpaceDE/>
        <w:autoSpaceDN/>
        <w:adjustRightInd/>
        <w:spacing w:line="276" w:lineRule="auto"/>
        <w:textAlignment w:val="auto"/>
        <w:rPr>
          <w:szCs w:val="24"/>
        </w:rPr>
      </w:pPr>
    </w:p>
    <w:p w14:paraId="62D47641" w14:textId="5427AD45" w:rsidR="0058547F" w:rsidRPr="00D31A00" w:rsidRDefault="001D19FD" w:rsidP="00D31A00">
      <w:pPr>
        <w:overflowPunct/>
        <w:autoSpaceDE/>
        <w:autoSpaceDN/>
        <w:adjustRightInd/>
        <w:spacing w:line="276" w:lineRule="auto"/>
        <w:textAlignment w:val="auto"/>
        <w:rPr>
          <w:szCs w:val="24"/>
          <w:lang w:eastAsia="en-AU"/>
        </w:rPr>
      </w:pPr>
      <w:r w:rsidRPr="00D31A00">
        <w:rPr>
          <w:szCs w:val="24"/>
        </w:rPr>
        <w:t xml:space="preserve">Part 7.5B of the Act was introduced by the </w:t>
      </w:r>
      <w:r w:rsidRPr="00D31A00">
        <w:rPr>
          <w:i/>
          <w:szCs w:val="24"/>
        </w:rPr>
        <w:t xml:space="preserve">Treasury Laws Amendment (2017 Measures No. 5) Act 2018 </w:t>
      </w:r>
      <w:r w:rsidRPr="00D31A00">
        <w:rPr>
          <w:szCs w:val="24"/>
        </w:rPr>
        <w:t xml:space="preserve">to implement a regime for the regulation of financial benchmarks. Certain </w:t>
      </w:r>
      <w:r w:rsidR="00D968D9" w:rsidRPr="00D31A00">
        <w:rPr>
          <w:szCs w:val="24"/>
        </w:rPr>
        <w:t xml:space="preserve">provisions of </w:t>
      </w:r>
      <w:r w:rsidRPr="00D31A00">
        <w:rPr>
          <w:szCs w:val="24"/>
        </w:rPr>
        <w:t>Part 7.5B only</w:t>
      </w:r>
      <w:r w:rsidR="00776E47" w:rsidRPr="00D31A00">
        <w:rPr>
          <w:szCs w:val="24"/>
        </w:rPr>
        <w:t xml:space="preserve"> apply</w:t>
      </w:r>
      <w:r w:rsidRPr="00D31A00">
        <w:rPr>
          <w:szCs w:val="24"/>
        </w:rPr>
        <w:t xml:space="preserve"> to </w:t>
      </w:r>
      <w:r w:rsidR="00D968D9" w:rsidRPr="00D31A00">
        <w:rPr>
          <w:szCs w:val="24"/>
        </w:rPr>
        <w:t xml:space="preserve">a financial benchmark that has been declared by ASIC to be a significant financial benchmark. In particular, </w:t>
      </w:r>
      <w:r w:rsidR="00EB5903" w:rsidRPr="00D31A00">
        <w:rPr>
          <w:szCs w:val="24"/>
        </w:rPr>
        <w:t xml:space="preserve">ASIC may make compelled financial benchmark rules </w:t>
      </w:r>
      <w:r w:rsidR="002C3896" w:rsidRPr="00D31A00">
        <w:rPr>
          <w:szCs w:val="24"/>
        </w:rPr>
        <w:t>in relation to</w:t>
      </w:r>
      <w:r w:rsidR="000A5F11" w:rsidRPr="00D31A00">
        <w:rPr>
          <w:szCs w:val="24"/>
        </w:rPr>
        <w:t xml:space="preserve"> a</w:t>
      </w:r>
      <w:r w:rsidR="002C3896" w:rsidRPr="00D31A00">
        <w:rPr>
          <w:szCs w:val="24"/>
        </w:rPr>
        <w:t xml:space="preserve"> significant financial benchmark</w:t>
      </w:r>
      <w:r w:rsidR="000A5F11" w:rsidRPr="00D31A00">
        <w:rPr>
          <w:szCs w:val="24"/>
        </w:rPr>
        <w:t xml:space="preserve"> </w:t>
      </w:r>
      <w:r w:rsidR="000A5F11" w:rsidRPr="00D31A00">
        <w:rPr>
          <w:szCs w:val="24"/>
          <w:lang w:eastAsia="en-AU"/>
        </w:rPr>
        <w:t>specified in a benchmark administrator licensee's licence</w:t>
      </w:r>
      <w:r w:rsidR="00385858" w:rsidRPr="00D31A00">
        <w:rPr>
          <w:szCs w:val="24"/>
        </w:rPr>
        <w:t xml:space="preserve">. </w:t>
      </w:r>
    </w:p>
    <w:p w14:paraId="7BC1B3A6" w14:textId="77777777" w:rsidR="001D19FD" w:rsidRPr="00D31A00" w:rsidRDefault="001D19FD" w:rsidP="00D31A00">
      <w:pPr>
        <w:spacing w:line="276" w:lineRule="auto"/>
        <w:rPr>
          <w:b/>
          <w:szCs w:val="24"/>
        </w:rPr>
      </w:pPr>
    </w:p>
    <w:p w14:paraId="7ED7A1F5" w14:textId="2E025A70" w:rsidR="003F218C" w:rsidRPr="00D31A00" w:rsidRDefault="003F218C" w:rsidP="00D31A00">
      <w:pPr>
        <w:pStyle w:val="ListParagraph"/>
        <w:numPr>
          <w:ilvl w:val="0"/>
          <w:numId w:val="2"/>
        </w:numPr>
        <w:rPr>
          <w:b/>
        </w:rPr>
      </w:pPr>
      <w:r w:rsidRPr="00D31A00">
        <w:rPr>
          <w:b/>
        </w:rPr>
        <w:t xml:space="preserve">Purpose of the </w:t>
      </w:r>
      <w:r w:rsidR="000B56DF" w:rsidRPr="00D31A00">
        <w:rPr>
          <w:b/>
        </w:rPr>
        <w:t>Instrument</w:t>
      </w:r>
      <w:bookmarkStart w:id="0" w:name="_GoBack"/>
      <w:bookmarkEnd w:id="0"/>
    </w:p>
    <w:p w14:paraId="77616CB0" w14:textId="77777777" w:rsidR="00D31A00" w:rsidRDefault="00D31A00" w:rsidP="00D31A00">
      <w:pPr>
        <w:pStyle w:val="BodyText"/>
        <w:spacing w:before="0"/>
      </w:pPr>
    </w:p>
    <w:p w14:paraId="316D2E4A" w14:textId="4E05439A" w:rsidR="003F218C" w:rsidRDefault="000B56DF" w:rsidP="00D31A00">
      <w:pPr>
        <w:pStyle w:val="BodyText"/>
        <w:spacing w:before="0"/>
      </w:pPr>
      <w:r w:rsidRPr="00D31A00">
        <w:t>The</w:t>
      </w:r>
      <w:r w:rsidR="001D19FD" w:rsidRPr="00D31A00">
        <w:t xml:space="preserve"> purpose of the</w:t>
      </w:r>
      <w:r w:rsidRPr="00D31A00">
        <w:t xml:space="preserve"> Instrument</w:t>
      </w:r>
      <w:r w:rsidR="001D19FD" w:rsidRPr="00D31A00">
        <w:t xml:space="preserve"> is to</w:t>
      </w:r>
      <w:r w:rsidR="00C83288" w:rsidRPr="00D31A00">
        <w:t xml:space="preserve"> make</w:t>
      </w:r>
      <w:r w:rsidR="002C3896" w:rsidRPr="00D31A00">
        <w:t xml:space="preserve"> compelled</w:t>
      </w:r>
      <w:r w:rsidR="00C83288" w:rsidRPr="00D31A00">
        <w:t xml:space="preserve"> financial benchmark r</w:t>
      </w:r>
      <w:r w:rsidR="00924BCE" w:rsidRPr="00D31A00">
        <w:t xml:space="preserve">ules </w:t>
      </w:r>
      <w:r w:rsidR="00C83288" w:rsidRPr="00D31A00">
        <w:t>(</w:t>
      </w:r>
      <w:r w:rsidR="00C83288" w:rsidRPr="00D31A00">
        <w:rPr>
          <w:b/>
        </w:rPr>
        <w:t>Rules</w:t>
      </w:r>
      <w:r w:rsidR="00C83288" w:rsidRPr="00D31A00">
        <w:t xml:space="preserve">) </w:t>
      </w:r>
      <w:r w:rsidR="00924BCE" w:rsidRPr="00D31A00">
        <w:t>which</w:t>
      </w:r>
      <w:r w:rsidR="002C3896" w:rsidRPr="00D31A00">
        <w:t xml:space="preserve">, </w:t>
      </w:r>
      <w:bookmarkStart w:id="1" w:name="_Hlk514766802"/>
      <w:r w:rsidR="002C3896" w:rsidRPr="00D31A00">
        <w:t xml:space="preserve">together with the </w:t>
      </w:r>
      <w:r w:rsidR="002C3896" w:rsidRPr="00D31A00">
        <w:rPr>
          <w:i/>
        </w:rPr>
        <w:t>ASIC Financial Benchmark (Administration) Rules 2018</w:t>
      </w:r>
      <w:bookmarkEnd w:id="1"/>
      <w:r w:rsidR="00351816" w:rsidRPr="00D31A00">
        <w:rPr>
          <w:i/>
        </w:rPr>
        <w:t>,</w:t>
      </w:r>
      <w:r w:rsidR="002C3896" w:rsidRPr="00D31A00">
        <w:rPr>
          <w:i/>
        </w:rPr>
        <w:t xml:space="preserve"> </w:t>
      </w:r>
      <w:r w:rsidR="002C3896" w:rsidRPr="00D31A00">
        <w:t xml:space="preserve">implement </w:t>
      </w:r>
      <w:r w:rsidR="00BE080A" w:rsidRPr="00D31A00">
        <w:t>a financial benchmark administration regime</w:t>
      </w:r>
      <w:r w:rsidR="004C7AB5" w:rsidRPr="00D31A00">
        <w:t xml:space="preserve"> designed</w:t>
      </w:r>
      <w:r w:rsidR="00BE080A" w:rsidRPr="00D31A00">
        <w:t xml:space="preserve"> to ensure significant financial benchmarks are robust and reliable</w:t>
      </w:r>
      <w:r w:rsidR="00943C5A" w:rsidRPr="00D31A00">
        <w:t xml:space="preserve">. </w:t>
      </w:r>
      <w:r w:rsidR="003430D8" w:rsidRPr="00D31A00">
        <w:t xml:space="preserve">The regime </w:t>
      </w:r>
      <w:r w:rsidR="002C3896" w:rsidRPr="00D31A00">
        <w:t xml:space="preserve">is </w:t>
      </w:r>
      <w:r w:rsidR="00BE080A" w:rsidRPr="00D31A00">
        <w:t xml:space="preserve">in line with the </w:t>
      </w:r>
      <w:r w:rsidR="003430D8" w:rsidRPr="00D31A00">
        <w:t>Final Report titled “Principles for Financial Benchmarks”, dated July 2013 and published by the Board of the International Organization of Securities Commissions (</w:t>
      </w:r>
      <w:r w:rsidR="003430D8" w:rsidRPr="00D31A00">
        <w:rPr>
          <w:b/>
        </w:rPr>
        <w:t>IOSCO Principles</w:t>
      </w:r>
      <w:r w:rsidR="003430D8" w:rsidRPr="00D31A00">
        <w:t>)</w:t>
      </w:r>
      <w:r w:rsidR="00E4592E" w:rsidRPr="00D31A00">
        <w:t>,</w:t>
      </w:r>
      <w:r w:rsidR="003430D8" w:rsidRPr="00D31A00">
        <w:t xml:space="preserve"> </w:t>
      </w:r>
      <w:r w:rsidR="00BE080A" w:rsidRPr="00D31A00">
        <w:t>a</w:t>
      </w:r>
      <w:r w:rsidR="003430D8" w:rsidRPr="00D31A00">
        <w:t>s well as</w:t>
      </w:r>
      <w:r w:rsidR="004C7AB5" w:rsidRPr="00D31A00">
        <w:t xml:space="preserve"> the regimes in</w:t>
      </w:r>
      <w:r w:rsidR="00BE080A" w:rsidRPr="00D31A00">
        <w:t xml:space="preserve"> other overseas jurisdictions. </w:t>
      </w:r>
    </w:p>
    <w:p w14:paraId="3AFF3726" w14:textId="77777777" w:rsidR="00D31A00" w:rsidRPr="00D31A00" w:rsidRDefault="00D31A00" w:rsidP="00D31A00">
      <w:pPr>
        <w:pStyle w:val="BodyText"/>
        <w:spacing w:before="0"/>
      </w:pPr>
    </w:p>
    <w:p w14:paraId="2277DF9D" w14:textId="77777777" w:rsidR="006E3A0E" w:rsidRPr="00D31A00" w:rsidRDefault="00E90D74" w:rsidP="00D31A00">
      <w:pPr>
        <w:pStyle w:val="BodyText"/>
        <w:spacing w:before="0"/>
      </w:pPr>
      <w:r w:rsidRPr="00D31A00">
        <w:t>The Rules</w:t>
      </w:r>
      <w:r w:rsidR="00F20370" w:rsidRPr="00D31A00">
        <w:t xml:space="preserve"> enable ASIC to compel</w:t>
      </w:r>
      <w:r w:rsidR="006E3A0E" w:rsidRPr="00D31A00">
        <w:t>:</w:t>
      </w:r>
      <w:r w:rsidR="00F20370" w:rsidRPr="00D31A00">
        <w:t xml:space="preserve"> </w:t>
      </w:r>
    </w:p>
    <w:p w14:paraId="09285B65" w14:textId="7C49626C" w:rsidR="006E3A0E" w:rsidRPr="00D31A00" w:rsidRDefault="00530B41" w:rsidP="00D31A00">
      <w:pPr>
        <w:numPr>
          <w:ilvl w:val="0"/>
          <w:numId w:val="3"/>
        </w:numPr>
        <w:spacing w:line="276" w:lineRule="auto"/>
        <w:ind w:left="993" w:hanging="633"/>
        <w:rPr>
          <w:szCs w:val="24"/>
        </w:rPr>
      </w:pPr>
      <w:r w:rsidRPr="00D31A00">
        <w:rPr>
          <w:szCs w:val="24"/>
        </w:rPr>
        <w:t>the holder of a</w:t>
      </w:r>
      <w:r w:rsidR="006E3A0E" w:rsidRPr="00D31A00">
        <w:rPr>
          <w:szCs w:val="24"/>
        </w:rPr>
        <w:t xml:space="preserve"> benchmark administrator </w:t>
      </w:r>
      <w:r w:rsidRPr="00D31A00">
        <w:rPr>
          <w:szCs w:val="24"/>
        </w:rPr>
        <w:t>licence that specifies</w:t>
      </w:r>
      <w:r w:rsidR="006E3A0E" w:rsidRPr="00D31A00">
        <w:rPr>
          <w:szCs w:val="24"/>
        </w:rPr>
        <w:t xml:space="preserve"> a significant financial benchmark to: </w:t>
      </w:r>
    </w:p>
    <w:p w14:paraId="6C46E098" w14:textId="28CC9421" w:rsidR="006E3A0E" w:rsidRPr="00D31A00" w:rsidRDefault="006E3A0E" w:rsidP="00D31A00">
      <w:pPr>
        <w:numPr>
          <w:ilvl w:val="1"/>
          <w:numId w:val="3"/>
        </w:numPr>
        <w:spacing w:line="276" w:lineRule="auto"/>
        <w:ind w:left="1701" w:hanging="624"/>
        <w:rPr>
          <w:szCs w:val="24"/>
        </w:rPr>
      </w:pPr>
      <w:r w:rsidRPr="00D31A00">
        <w:rPr>
          <w:szCs w:val="24"/>
        </w:rPr>
        <w:t xml:space="preserve">continue to generate or administer the significant </w:t>
      </w:r>
      <w:r w:rsidR="00411978" w:rsidRPr="00D31A00">
        <w:rPr>
          <w:szCs w:val="24"/>
        </w:rPr>
        <w:t xml:space="preserve">financial </w:t>
      </w:r>
      <w:r w:rsidRPr="00D31A00">
        <w:rPr>
          <w:szCs w:val="24"/>
        </w:rPr>
        <w:t xml:space="preserve">benchmark; </w:t>
      </w:r>
      <w:r w:rsidR="005F2868" w:rsidRPr="00D31A00">
        <w:rPr>
          <w:szCs w:val="24"/>
        </w:rPr>
        <w:t>or</w:t>
      </w:r>
    </w:p>
    <w:p w14:paraId="3BFCFF61" w14:textId="49DC8E86" w:rsidR="006E3A0E" w:rsidRPr="00D31A00" w:rsidRDefault="006E3A0E" w:rsidP="00D31A00">
      <w:pPr>
        <w:numPr>
          <w:ilvl w:val="1"/>
          <w:numId w:val="3"/>
        </w:numPr>
        <w:spacing w:line="276" w:lineRule="auto"/>
        <w:ind w:left="1701" w:hanging="624"/>
        <w:rPr>
          <w:szCs w:val="24"/>
        </w:rPr>
      </w:pPr>
      <w:r w:rsidRPr="00D31A00">
        <w:rPr>
          <w:szCs w:val="24"/>
        </w:rPr>
        <w:t xml:space="preserve">generate or administer the significant </w:t>
      </w:r>
      <w:r w:rsidR="00411978" w:rsidRPr="00D31A00">
        <w:rPr>
          <w:szCs w:val="24"/>
        </w:rPr>
        <w:t xml:space="preserve">financial </w:t>
      </w:r>
      <w:r w:rsidRPr="00D31A00">
        <w:rPr>
          <w:szCs w:val="24"/>
        </w:rPr>
        <w:t>benchmark in a particular way</w:t>
      </w:r>
      <w:r w:rsidR="00411978" w:rsidRPr="00D31A00">
        <w:rPr>
          <w:szCs w:val="24"/>
        </w:rPr>
        <w:t xml:space="preserve">, including by </w:t>
      </w:r>
      <w:r w:rsidRPr="00D31A00">
        <w:rPr>
          <w:szCs w:val="24"/>
        </w:rPr>
        <w:t>chang</w:t>
      </w:r>
      <w:r w:rsidR="00411978" w:rsidRPr="00D31A00">
        <w:rPr>
          <w:szCs w:val="24"/>
        </w:rPr>
        <w:t>ing</w:t>
      </w:r>
      <w:r w:rsidRPr="00D31A00">
        <w:rPr>
          <w:szCs w:val="24"/>
        </w:rPr>
        <w:t xml:space="preserve"> the method used to generate or administer the significant benchmark</w:t>
      </w:r>
      <w:r w:rsidR="00411978" w:rsidRPr="00D31A00">
        <w:rPr>
          <w:szCs w:val="24"/>
        </w:rPr>
        <w:t xml:space="preserve">; </w:t>
      </w:r>
      <w:r w:rsidR="000B1045" w:rsidRPr="00D31A00">
        <w:rPr>
          <w:szCs w:val="24"/>
        </w:rPr>
        <w:t xml:space="preserve"> and</w:t>
      </w:r>
    </w:p>
    <w:p w14:paraId="293FAC0F" w14:textId="77777777" w:rsidR="006E3A0E" w:rsidRPr="00D31A00" w:rsidRDefault="006E3A0E" w:rsidP="00D31A00">
      <w:pPr>
        <w:numPr>
          <w:ilvl w:val="0"/>
          <w:numId w:val="3"/>
        </w:numPr>
        <w:spacing w:line="276" w:lineRule="auto"/>
        <w:ind w:left="993" w:hanging="633"/>
        <w:rPr>
          <w:szCs w:val="24"/>
        </w:rPr>
      </w:pPr>
      <w:r w:rsidRPr="00D31A00">
        <w:rPr>
          <w:szCs w:val="24"/>
        </w:rPr>
        <w:t xml:space="preserve">a contributor to contribute data or information to: </w:t>
      </w:r>
    </w:p>
    <w:p w14:paraId="0AB87A9E" w14:textId="2B152C1B" w:rsidR="006E3A0E" w:rsidRPr="00D31A00" w:rsidRDefault="006E3A0E" w:rsidP="00D31A00">
      <w:pPr>
        <w:numPr>
          <w:ilvl w:val="1"/>
          <w:numId w:val="3"/>
        </w:numPr>
        <w:spacing w:line="276" w:lineRule="auto"/>
        <w:ind w:left="1701" w:hanging="624"/>
        <w:rPr>
          <w:szCs w:val="24"/>
        </w:rPr>
      </w:pPr>
      <w:r w:rsidRPr="00D31A00">
        <w:rPr>
          <w:szCs w:val="24"/>
        </w:rPr>
        <w:lastRenderedPageBreak/>
        <w:t xml:space="preserve">the </w:t>
      </w:r>
      <w:r w:rsidR="004A1F12" w:rsidRPr="00D31A00">
        <w:rPr>
          <w:szCs w:val="24"/>
        </w:rPr>
        <w:t>holder of a benchmark administrator licence</w:t>
      </w:r>
      <w:r w:rsidRPr="00D31A00">
        <w:rPr>
          <w:szCs w:val="24"/>
        </w:rPr>
        <w:t xml:space="preserve"> for the generation or administration of a significant</w:t>
      </w:r>
      <w:r w:rsidR="0064255C" w:rsidRPr="00D31A00">
        <w:rPr>
          <w:szCs w:val="24"/>
        </w:rPr>
        <w:t xml:space="preserve"> financial</w:t>
      </w:r>
      <w:r w:rsidRPr="00D31A00">
        <w:rPr>
          <w:szCs w:val="24"/>
        </w:rPr>
        <w:t xml:space="preserve"> benchmark; or </w:t>
      </w:r>
    </w:p>
    <w:p w14:paraId="6244B798" w14:textId="4FFDC601" w:rsidR="006E3A0E" w:rsidRPr="00D31A00" w:rsidRDefault="006E3A0E" w:rsidP="00D31A00">
      <w:pPr>
        <w:numPr>
          <w:ilvl w:val="1"/>
          <w:numId w:val="3"/>
        </w:numPr>
        <w:spacing w:line="276" w:lineRule="auto"/>
        <w:ind w:left="1701" w:hanging="624"/>
        <w:rPr>
          <w:szCs w:val="24"/>
        </w:rPr>
      </w:pPr>
      <w:r w:rsidRPr="00D31A00">
        <w:rPr>
          <w:szCs w:val="24"/>
        </w:rPr>
        <w:t xml:space="preserve">ASIC for purposes related to the generation or administration of the significant </w:t>
      </w:r>
      <w:r w:rsidR="0064255C" w:rsidRPr="00D31A00">
        <w:rPr>
          <w:szCs w:val="24"/>
        </w:rPr>
        <w:t xml:space="preserve">financial </w:t>
      </w:r>
      <w:r w:rsidRPr="00D31A00">
        <w:rPr>
          <w:szCs w:val="24"/>
        </w:rPr>
        <w:t>benchmark.</w:t>
      </w:r>
    </w:p>
    <w:p w14:paraId="0E5904D1" w14:textId="77777777" w:rsidR="003732E9" w:rsidRDefault="003732E9" w:rsidP="00D31A00">
      <w:pPr>
        <w:pStyle w:val="BodyText"/>
        <w:spacing w:before="0"/>
      </w:pPr>
    </w:p>
    <w:p w14:paraId="65176D59" w14:textId="786086F5" w:rsidR="00F52AE5" w:rsidRDefault="00F52AE5" w:rsidP="00D31A00">
      <w:pPr>
        <w:pStyle w:val="BodyText"/>
        <w:spacing w:before="0"/>
      </w:pPr>
      <w:r w:rsidRPr="00D31A00">
        <w:t>A con</w:t>
      </w:r>
      <w:r w:rsidR="00813C37" w:rsidRPr="00D31A00">
        <w:t>t</w:t>
      </w:r>
      <w:r w:rsidRPr="00D31A00">
        <w:t>ributor is as an entity whose activities result in the provision of data or information to a holder of a benchmark administrator licence for the generation or administration of a financial benchmark specified in that licence.</w:t>
      </w:r>
    </w:p>
    <w:p w14:paraId="2A265FAA" w14:textId="77777777" w:rsidR="003732E9" w:rsidRPr="00D31A00" w:rsidRDefault="003732E9" w:rsidP="00D31A00">
      <w:pPr>
        <w:pStyle w:val="BodyText"/>
        <w:spacing w:before="0"/>
      </w:pPr>
    </w:p>
    <w:p w14:paraId="11B0031A" w14:textId="6C96FAAC" w:rsidR="006A3B74" w:rsidRPr="00D31A00" w:rsidRDefault="00CC6033" w:rsidP="00D31A00">
      <w:pPr>
        <w:pStyle w:val="BodyText"/>
        <w:spacing w:before="0"/>
      </w:pPr>
      <w:r w:rsidRPr="00D31A00">
        <w:t>ASIC’s compulsion power</w:t>
      </w:r>
      <w:r w:rsidR="003732E9">
        <w:t xml:space="preserve"> under the Rules</w:t>
      </w:r>
      <w:r w:rsidR="00145B22" w:rsidRPr="00D31A00">
        <w:t xml:space="preserve"> is subject to </w:t>
      </w:r>
      <w:r w:rsidR="003732E9">
        <w:t xml:space="preserve">the </w:t>
      </w:r>
      <w:r w:rsidR="00145B22" w:rsidRPr="00D31A00">
        <w:t xml:space="preserve">constraints </w:t>
      </w:r>
      <w:r w:rsidRPr="00D31A00">
        <w:t>set out in</w:t>
      </w:r>
      <w:r w:rsidR="00145B22" w:rsidRPr="00D31A00">
        <w:t xml:space="preserve"> the Act and described in paragraph</w:t>
      </w:r>
      <w:r w:rsidR="003732E9">
        <w:t>s</w:t>
      </w:r>
      <w:r w:rsidR="008E79C0">
        <w:t xml:space="preserve"> </w:t>
      </w:r>
      <w:r w:rsidR="008E79C0">
        <w:fldChar w:fldCharType="begin"/>
      </w:r>
      <w:r w:rsidR="008E79C0">
        <w:instrText xml:space="preserve"> REF _Ref516004891 \r \h </w:instrText>
      </w:r>
      <w:r w:rsidR="008E79C0">
        <w:fldChar w:fldCharType="separate"/>
      </w:r>
      <w:r w:rsidR="008E79C0">
        <w:t>5</w:t>
      </w:r>
      <w:r w:rsidR="008E79C0">
        <w:fldChar w:fldCharType="end"/>
      </w:r>
      <w:r w:rsidR="003732E9">
        <w:t xml:space="preserve">, </w:t>
      </w:r>
      <w:r w:rsidR="003732E9">
        <w:fldChar w:fldCharType="begin"/>
      </w:r>
      <w:r w:rsidR="003732E9">
        <w:instrText xml:space="preserve"> REF _Ref516003656 \r \h </w:instrText>
      </w:r>
      <w:r w:rsidR="003732E9">
        <w:fldChar w:fldCharType="separate"/>
      </w:r>
      <w:r w:rsidR="008E79C0">
        <w:t>6</w:t>
      </w:r>
      <w:r w:rsidR="003732E9">
        <w:fldChar w:fldCharType="end"/>
      </w:r>
      <w:r w:rsidR="003732E9">
        <w:t xml:space="preserve"> and </w:t>
      </w:r>
      <w:r w:rsidR="003732E9">
        <w:fldChar w:fldCharType="begin"/>
      </w:r>
      <w:r w:rsidR="003732E9">
        <w:instrText xml:space="preserve"> REF _Ref516003658 \r \h </w:instrText>
      </w:r>
      <w:r w:rsidR="003732E9">
        <w:fldChar w:fldCharType="separate"/>
      </w:r>
      <w:r w:rsidR="008E79C0">
        <w:t>7</w:t>
      </w:r>
      <w:r w:rsidR="003732E9">
        <w:fldChar w:fldCharType="end"/>
      </w:r>
      <w:r w:rsidRPr="00D31A00">
        <w:t xml:space="preserve"> of th</w:t>
      </w:r>
      <w:r w:rsidR="003732E9">
        <w:t>is</w:t>
      </w:r>
      <w:r w:rsidRPr="00D31A00">
        <w:t xml:space="preserve"> </w:t>
      </w:r>
      <w:r w:rsidR="00145B22" w:rsidRPr="00D31A00">
        <w:t>Explanatory Statement</w:t>
      </w:r>
      <w:r w:rsidRPr="00D31A00">
        <w:t>.</w:t>
      </w:r>
    </w:p>
    <w:p w14:paraId="4816C62B" w14:textId="77777777" w:rsidR="00196E0D" w:rsidRPr="00D31A00" w:rsidRDefault="00196E0D" w:rsidP="00D31A00">
      <w:pPr>
        <w:pStyle w:val="ListParagraph"/>
        <w:numPr>
          <w:ilvl w:val="0"/>
          <w:numId w:val="0"/>
        </w:numPr>
        <w:ind w:left="720"/>
        <w:rPr>
          <w:b/>
        </w:rPr>
      </w:pPr>
    </w:p>
    <w:p w14:paraId="4687595C" w14:textId="7981369F" w:rsidR="00196E0D" w:rsidRPr="00D31A00" w:rsidRDefault="00196E0D" w:rsidP="00D31A00">
      <w:pPr>
        <w:pStyle w:val="ListParagraph"/>
        <w:numPr>
          <w:ilvl w:val="0"/>
          <w:numId w:val="2"/>
        </w:numPr>
        <w:rPr>
          <w:b/>
        </w:rPr>
      </w:pPr>
      <w:r w:rsidRPr="00D31A00">
        <w:rPr>
          <w:b/>
        </w:rPr>
        <w:t>Operation of the Instrument</w:t>
      </w:r>
    </w:p>
    <w:p w14:paraId="013668C8" w14:textId="77777777" w:rsidR="00C73DE3" w:rsidRDefault="00C73DE3" w:rsidP="00D31A00">
      <w:pPr>
        <w:pStyle w:val="BodyText"/>
        <w:spacing w:before="0"/>
      </w:pPr>
    </w:p>
    <w:p w14:paraId="02BF199A" w14:textId="7C41BE82" w:rsidR="00E90D74" w:rsidRPr="00D31A00" w:rsidRDefault="00E90D74" w:rsidP="00D31A00">
      <w:pPr>
        <w:pStyle w:val="BodyText"/>
        <w:spacing w:before="0"/>
      </w:pPr>
      <w:r w:rsidRPr="00D31A00">
        <w:t xml:space="preserve">The </w:t>
      </w:r>
      <w:r w:rsidR="00196E0D" w:rsidRPr="00D31A00">
        <w:t xml:space="preserve">operation of the </w:t>
      </w:r>
      <w:r w:rsidR="00113A57" w:rsidRPr="00D31A00">
        <w:t xml:space="preserve">Instrument </w:t>
      </w:r>
      <w:r w:rsidR="00196E0D" w:rsidRPr="00D31A00">
        <w:t>is</w:t>
      </w:r>
      <w:r w:rsidR="00113A57" w:rsidRPr="00D31A00">
        <w:t xml:space="preserve"> </w:t>
      </w:r>
      <w:r w:rsidRPr="00D31A00">
        <w:t>described in more detail in Attachment A.</w:t>
      </w:r>
    </w:p>
    <w:p w14:paraId="7AA60559" w14:textId="77777777" w:rsidR="00E847FE" w:rsidRPr="00D31A00" w:rsidRDefault="00E847FE" w:rsidP="00D31A00">
      <w:pPr>
        <w:spacing w:line="276" w:lineRule="auto"/>
        <w:rPr>
          <w:szCs w:val="24"/>
        </w:rPr>
      </w:pPr>
      <w:bookmarkStart w:id="2" w:name="_Hlk515887001"/>
    </w:p>
    <w:p w14:paraId="434CF9A3" w14:textId="47AD5BB9" w:rsidR="00746294" w:rsidRDefault="00746294" w:rsidP="00D31A00">
      <w:pPr>
        <w:pStyle w:val="ListParagraph"/>
        <w:numPr>
          <w:ilvl w:val="0"/>
          <w:numId w:val="2"/>
        </w:numPr>
        <w:rPr>
          <w:b/>
        </w:rPr>
      </w:pPr>
      <w:bookmarkStart w:id="3" w:name="_Ref516003648"/>
      <w:bookmarkStart w:id="4" w:name="_Hlk515880186"/>
      <w:bookmarkEnd w:id="2"/>
      <w:r>
        <w:rPr>
          <w:b/>
        </w:rPr>
        <w:t>Matters that may be dealt with in the compelled rules</w:t>
      </w:r>
    </w:p>
    <w:p w14:paraId="2EF3041B" w14:textId="326B82E0" w:rsidR="00746294" w:rsidRDefault="00746294" w:rsidP="00746294">
      <w:pPr>
        <w:pStyle w:val="BodyText"/>
        <w:spacing w:before="0"/>
      </w:pPr>
    </w:p>
    <w:p w14:paraId="6188890A" w14:textId="371CE018" w:rsidR="00746294" w:rsidRPr="00746294" w:rsidRDefault="00746294" w:rsidP="00746294">
      <w:pPr>
        <w:pStyle w:val="BodyText"/>
        <w:spacing w:before="0"/>
        <w:rPr>
          <w:u w:val="single"/>
        </w:rPr>
      </w:pPr>
      <w:r w:rsidRPr="00746294">
        <w:rPr>
          <w:u w:val="single"/>
        </w:rPr>
        <w:t>Permitted matters</w:t>
      </w:r>
    </w:p>
    <w:p w14:paraId="69CDBFAC" w14:textId="77777777" w:rsidR="00746294" w:rsidRDefault="00746294" w:rsidP="00746294">
      <w:pPr>
        <w:pStyle w:val="BodyText"/>
        <w:spacing w:before="0"/>
      </w:pPr>
    </w:p>
    <w:p w14:paraId="661D1B75" w14:textId="14499CF5" w:rsidR="00746294" w:rsidRPr="00D31A00" w:rsidRDefault="00746294" w:rsidP="00746294">
      <w:pPr>
        <w:pStyle w:val="BodyText"/>
        <w:spacing w:before="0"/>
      </w:pPr>
      <w:r w:rsidRPr="00D31A00">
        <w:t xml:space="preserve">Subsection 908CE(1) of the Act provides that the permitted powers and matters </w:t>
      </w:r>
      <w:r w:rsidR="00C168B2">
        <w:t xml:space="preserve">that may be conferred by or dealt with in the compelled rules made under </w:t>
      </w:r>
      <w:r w:rsidR="0021189D">
        <w:t>section 908CD</w:t>
      </w:r>
      <w:r w:rsidR="00C168B2">
        <w:t>,</w:t>
      </w:r>
      <w:r w:rsidRPr="00D31A00">
        <w:t xml:space="preserve"> are:</w:t>
      </w:r>
    </w:p>
    <w:p w14:paraId="05B350BE" w14:textId="77777777" w:rsidR="00746294" w:rsidRPr="00D31A00" w:rsidRDefault="00746294" w:rsidP="00746294">
      <w:pPr>
        <w:numPr>
          <w:ilvl w:val="0"/>
          <w:numId w:val="65"/>
        </w:numPr>
        <w:spacing w:line="276" w:lineRule="auto"/>
        <w:ind w:left="993" w:hanging="633"/>
        <w:rPr>
          <w:szCs w:val="24"/>
        </w:rPr>
      </w:pPr>
      <w:r w:rsidRPr="00D31A00">
        <w:rPr>
          <w:szCs w:val="24"/>
        </w:rPr>
        <w:t>the power for ASIC to require, by written notice, an entity referred to in paragraph 908CB(h):</w:t>
      </w:r>
    </w:p>
    <w:p w14:paraId="4B2D3874" w14:textId="77777777" w:rsidR="00746294" w:rsidRPr="00D31A00" w:rsidRDefault="00746294" w:rsidP="00746294">
      <w:pPr>
        <w:numPr>
          <w:ilvl w:val="1"/>
          <w:numId w:val="65"/>
        </w:numPr>
        <w:spacing w:line="276" w:lineRule="auto"/>
        <w:ind w:left="1701" w:hanging="624"/>
        <w:rPr>
          <w:szCs w:val="24"/>
        </w:rPr>
      </w:pPr>
      <w:r w:rsidRPr="00D31A00">
        <w:rPr>
          <w:szCs w:val="24"/>
        </w:rPr>
        <w:t>to provide data or information to a benchmark administrator licensee, or to another entity, for the generation or administration of a significant financial benchmark specified in that licence; and</w:t>
      </w:r>
    </w:p>
    <w:p w14:paraId="20DB9328" w14:textId="77777777" w:rsidR="00746294" w:rsidRPr="00D31A00" w:rsidRDefault="00746294" w:rsidP="00746294">
      <w:pPr>
        <w:numPr>
          <w:ilvl w:val="1"/>
          <w:numId w:val="65"/>
        </w:numPr>
        <w:spacing w:line="276" w:lineRule="auto"/>
        <w:ind w:left="1701" w:hanging="624"/>
        <w:rPr>
          <w:szCs w:val="24"/>
        </w:rPr>
      </w:pPr>
      <w:r w:rsidRPr="00D31A00">
        <w:rPr>
          <w:szCs w:val="24"/>
        </w:rPr>
        <w:t>to provide ASIC with some or all of that data or information for purposes relating to the generation or administration of that significant financial benchmark;</w:t>
      </w:r>
    </w:p>
    <w:p w14:paraId="22A93748" w14:textId="77777777" w:rsidR="00746294" w:rsidRPr="00D31A00" w:rsidRDefault="00746294" w:rsidP="00746294">
      <w:pPr>
        <w:numPr>
          <w:ilvl w:val="0"/>
          <w:numId w:val="65"/>
        </w:numPr>
        <w:spacing w:line="276" w:lineRule="auto"/>
        <w:ind w:left="993" w:hanging="633"/>
        <w:rPr>
          <w:szCs w:val="24"/>
        </w:rPr>
      </w:pPr>
      <w:r w:rsidRPr="00D31A00">
        <w:rPr>
          <w:szCs w:val="24"/>
        </w:rPr>
        <w:t>the power for ASIC to require, by written notice, a benchmark administrator licensee:</w:t>
      </w:r>
    </w:p>
    <w:p w14:paraId="50BA7F26" w14:textId="77777777" w:rsidR="00746294" w:rsidRPr="00D31A00" w:rsidRDefault="00746294" w:rsidP="00746294">
      <w:pPr>
        <w:numPr>
          <w:ilvl w:val="1"/>
          <w:numId w:val="65"/>
        </w:numPr>
        <w:spacing w:line="276" w:lineRule="auto"/>
        <w:ind w:left="1701" w:hanging="624"/>
        <w:rPr>
          <w:szCs w:val="24"/>
        </w:rPr>
      </w:pPr>
      <w:r w:rsidRPr="00D31A00">
        <w:rPr>
          <w:szCs w:val="24"/>
        </w:rPr>
        <w:t>to continue to generate or administer a significant financial benchmark specified in that licence; or</w:t>
      </w:r>
    </w:p>
    <w:p w14:paraId="1DACC546" w14:textId="77777777" w:rsidR="00746294" w:rsidRPr="00D31A00" w:rsidRDefault="00746294" w:rsidP="00746294">
      <w:pPr>
        <w:numPr>
          <w:ilvl w:val="1"/>
          <w:numId w:val="65"/>
        </w:numPr>
        <w:spacing w:line="276" w:lineRule="auto"/>
        <w:ind w:left="1701" w:hanging="624"/>
        <w:rPr>
          <w:szCs w:val="24"/>
        </w:rPr>
      </w:pPr>
      <w:r w:rsidRPr="00D31A00">
        <w:rPr>
          <w:szCs w:val="24"/>
        </w:rPr>
        <w:t>to generate or administer in a particular way a significant financial benchmark specified in that licence;</w:t>
      </w:r>
    </w:p>
    <w:p w14:paraId="0818DA90" w14:textId="77777777" w:rsidR="00746294" w:rsidRPr="00D31A00" w:rsidRDefault="00746294" w:rsidP="00746294">
      <w:pPr>
        <w:numPr>
          <w:ilvl w:val="0"/>
          <w:numId w:val="65"/>
        </w:numPr>
        <w:spacing w:line="276" w:lineRule="auto"/>
        <w:ind w:left="993" w:hanging="633"/>
        <w:rPr>
          <w:szCs w:val="24"/>
        </w:rPr>
      </w:pPr>
      <w:r w:rsidRPr="00D31A00">
        <w:rPr>
          <w:szCs w:val="24"/>
        </w:rPr>
        <w:t>powers or matters incidental or related to:</w:t>
      </w:r>
    </w:p>
    <w:p w14:paraId="3C856868" w14:textId="77777777" w:rsidR="00746294" w:rsidRPr="00D31A00" w:rsidRDefault="00746294" w:rsidP="00746294">
      <w:pPr>
        <w:numPr>
          <w:ilvl w:val="1"/>
          <w:numId w:val="65"/>
        </w:numPr>
        <w:spacing w:line="276" w:lineRule="auto"/>
        <w:ind w:left="1701" w:hanging="624"/>
        <w:rPr>
          <w:szCs w:val="24"/>
        </w:rPr>
      </w:pPr>
      <w:r w:rsidRPr="00D31A00">
        <w:rPr>
          <w:szCs w:val="24"/>
        </w:rPr>
        <w:t>one or more of the above powers; or</w:t>
      </w:r>
    </w:p>
    <w:p w14:paraId="65032A0E" w14:textId="77777777" w:rsidR="00746294" w:rsidRPr="00D31A00" w:rsidRDefault="00746294" w:rsidP="00746294">
      <w:pPr>
        <w:numPr>
          <w:ilvl w:val="1"/>
          <w:numId w:val="65"/>
        </w:numPr>
        <w:spacing w:line="276" w:lineRule="auto"/>
        <w:ind w:left="1701" w:hanging="624"/>
        <w:rPr>
          <w:szCs w:val="24"/>
        </w:rPr>
      </w:pPr>
      <w:r w:rsidRPr="00D31A00">
        <w:rPr>
          <w:szCs w:val="24"/>
        </w:rPr>
        <w:t>the compulsory generation or administration of a significant financial benchmark specified in a benchmark administrator licence;</w:t>
      </w:r>
    </w:p>
    <w:p w14:paraId="457157D7" w14:textId="6066398C" w:rsidR="00746294" w:rsidRPr="00D31A00" w:rsidRDefault="00746294" w:rsidP="00746294">
      <w:pPr>
        <w:spacing w:line="276" w:lineRule="auto"/>
        <w:ind w:left="1077"/>
        <w:rPr>
          <w:szCs w:val="24"/>
        </w:rPr>
      </w:pPr>
      <w:r w:rsidRPr="00D31A00">
        <w:rPr>
          <w:szCs w:val="24"/>
        </w:rPr>
        <w:t>including a power or matter prescribed by the regulations for the purposes of paragraph</w:t>
      </w:r>
      <w:r w:rsidR="0043753D">
        <w:rPr>
          <w:szCs w:val="24"/>
        </w:rPr>
        <w:t xml:space="preserve"> 908CE(1)(c)</w:t>
      </w:r>
      <w:r w:rsidRPr="00D31A00">
        <w:rPr>
          <w:szCs w:val="24"/>
        </w:rPr>
        <w:t>.</w:t>
      </w:r>
    </w:p>
    <w:p w14:paraId="2843BD81" w14:textId="58384493" w:rsidR="00746294" w:rsidRDefault="00746294" w:rsidP="00746294">
      <w:pPr>
        <w:pStyle w:val="BodyText"/>
        <w:spacing w:before="0"/>
      </w:pPr>
      <w:r w:rsidRPr="00D31A00">
        <w:lastRenderedPageBreak/>
        <w:t>An entity referred to in paragraph 908CB(h) is an entity whose activities result in the provision of data or information to benchmark administrator licensees for the generation or administration of the financial benchmarks specified in those licences.</w:t>
      </w:r>
    </w:p>
    <w:p w14:paraId="01ABA129" w14:textId="7B3B66FB" w:rsidR="00C47A37" w:rsidRDefault="00C47A37" w:rsidP="00746294">
      <w:pPr>
        <w:pStyle w:val="BodyText"/>
        <w:spacing w:before="0"/>
      </w:pPr>
    </w:p>
    <w:p w14:paraId="03E7EF52" w14:textId="53ABBD66" w:rsidR="00C47A37" w:rsidRDefault="00C47A37" w:rsidP="00C47A37">
      <w:pPr>
        <w:spacing w:line="276" w:lineRule="auto"/>
        <w:rPr>
          <w:szCs w:val="24"/>
        </w:rPr>
      </w:pPr>
      <w:r>
        <w:rPr>
          <w:szCs w:val="24"/>
        </w:rPr>
        <w:t>The Rules deal with matters of the kin</w:t>
      </w:r>
      <w:r w:rsidR="002022AB">
        <w:rPr>
          <w:szCs w:val="24"/>
        </w:rPr>
        <w:t>d permitted under subsection</w:t>
      </w:r>
      <w:r>
        <w:rPr>
          <w:szCs w:val="24"/>
        </w:rPr>
        <w:t xml:space="preserve"> 908CE</w:t>
      </w:r>
      <w:r w:rsidR="002022AB">
        <w:rPr>
          <w:szCs w:val="24"/>
        </w:rPr>
        <w:t>(1)</w:t>
      </w:r>
      <w:r>
        <w:rPr>
          <w:szCs w:val="24"/>
        </w:rPr>
        <w:t xml:space="preserve"> of the Act.</w:t>
      </w:r>
    </w:p>
    <w:p w14:paraId="30EA99DB" w14:textId="77777777" w:rsidR="00C47A37" w:rsidRPr="00D31A00" w:rsidRDefault="00C47A37" w:rsidP="00746294">
      <w:pPr>
        <w:pStyle w:val="BodyText"/>
        <w:spacing w:before="0"/>
      </w:pPr>
    </w:p>
    <w:p w14:paraId="10AE9AEC" w14:textId="1FDB32A4" w:rsidR="00C47A37" w:rsidRDefault="00C47A37" w:rsidP="00746294">
      <w:pPr>
        <w:pStyle w:val="BodyText"/>
        <w:spacing w:before="0"/>
        <w:rPr>
          <w:u w:val="single"/>
        </w:rPr>
      </w:pPr>
      <w:r>
        <w:rPr>
          <w:u w:val="single"/>
        </w:rPr>
        <w:t>Limits on exercise of power</w:t>
      </w:r>
    </w:p>
    <w:p w14:paraId="37327CE5" w14:textId="77777777" w:rsidR="00C47A37" w:rsidRPr="00C47A37" w:rsidRDefault="00C47A37" w:rsidP="00746294">
      <w:pPr>
        <w:pStyle w:val="BodyText"/>
        <w:spacing w:before="0"/>
        <w:rPr>
          <w:u w:val="single"/>
        </w:rPr>
      </w:pPr>
    </w:p>
    <w:p w14:paraId="49C9D501" w14:textId="5BD83679" w:rsidR="00746294" w:rsidRPr="00D31A00" w:rsidRDefault="00746294" w:rsidP="00746294">
      <w:pPr>
        <w:pStyle w:val="BodyText"/>
        <w:spacing w:before="0"/>
      </w:pPr>
      <w:r w:rsidRPr="00D31A00">
        <w:t>Subsection 908CE(2) of the Act provides that ASIC may only require something under a power referred to in subsection 908CE(1) if:</w:t>
      </w:r>
    </w:p>
    <w:p w14:paraId="5EFD6AB7" w14:textId="77777777" w:rsidR="00746294" w:rsidRPr="00D31A00" w:rsidRDefault="00746294" w:rsidP="00746294">
      <w:pPr>
        <w:numPr>
          <w:ilvl w:val="0"/>
          <w:numId w:val="66"/>
        </w:numPr>
        <w:spacing w:line="276" w:lineRule="auto"/>
        <w:ind w:left="993" w:hanging="596"/>
        <w:rPr>
          <w:szCs w:val="24"/>
        </w:rPr>
      </w:pPr>
      <w:r w:rsidRPr="00D31A00">
        <w:rPr>
          <w:szCs w:val="24"/>
        </w:rPr>
        <w:t>ASIC reasonably believes it is in the public interest to do so; and</w:t>
      </w:r>
    </w:p>
    <w:p w14:paraId="3AF3E924" w14:textId="77777777" w:rsidR="00746294" w:rsidRPr="00D31A00" w:rsidRDefault="00746294" w:rsidP="00746294">
      <w:pPr>
        <w:numPr>
          <w:ilvl w:val="0"/>
          <w:numId w:val="66"/>
        </w:numPr>
        <w:spacing w:line="276" w:lineRule="auto"/>
        <w:ind w:left="993" w:hanging="596"/>
        <w:rPr>
          <w:szCs w:val="24"/>
        </w:rPr>
      </w:pPr>
      <w:r w:rsidRPr="00D31A00">
        <w:rPr>
          <w:szCs w:val="24"/>
        </w:rPr>
        <w:t>in the case of paragraph 908CE(1)(a)—the activities of the entity concerned have previously resulted in the provision of data or information to that licensee for the generation or administration of that significant financial benchmark.</w:t>
      </w:r>
    </w:p>
    <w:p w14:paraId="599A60A3" w14:textId="2FC1675F" w:rsidR="00C47A37" w:rsidRDefault="00C47A37" w:rsidP="00746294">
      <w:pPr>
        <w:pStyle w:val="BodyText"/>
        <w:keepNext/>
        <w:spacing w:before="0"/>
      </w:pPr>
    </w:p>
    <w:p w14:paraId="1B971465" w14:textId="77777777" w:rsidR="00C47A37" w:rsidRPr="00A072B6" w:rsidRDefault="00C47A37" w:rsidP="00C47A37">
      <w:pPr>
        <w:pStyle w:val="Heading3"/>
        <w:spacing w:before="0" w:after="0"/>
        <w:rPr>
          <w:rFonts w:cs="Times New Roman"/>
        </w:rPr>
      </w:pPr>
      <w:r w:rsidRPr="00A072B6">
        <w:rPr>
          <w:rFonts w:cs="Times New Roman"/>
        </w:rPr>
        <w:t>Regulations may limit how rules may deal with certain matters</w:t>
      </w:r>
    </w:p>
    <w:p w14:paraId="3B19522F" w14:textId="77777777" w:rsidR="00C47A37" w:rsidRDefault="00C47A37" w:rsidP="00746294">
      <w:pPr>
        <w:pStyle w:val="BodyText"/>
        <w:keepNext/>
        <w:spacing w:before="0"/>
      </w:pPr>
    </w:p>
    <w:p w14:paraId="3A43CAD1" w14:textId="76A957CE" w:rsidR="00746294" w:rsidRPr="00D31A00" w:rsidRDefault="00746294" w:rsidP="00746294">
      <w:pPr>
        <w:pStyle w:val="BodyText"/>
        <w:keepNext/>
        <w:spacing w:before="0"/>
      </w:pPr>
      <w:r w:rsidRPr="00D31A00">
        <w:t>Subsection 908CP(2) of the Act provides that the regulations may prescribe limits on:</w:t>
      </w:r>
    </w:p>
    <w:p w14:paraId="55C88B5E" w14:textId="4C92212A" w:rsidR="00746294" w:rsidRPr="00D31A00" w:rsidRDefault="00746294" w:rsidP="00746294">
      <w:pPr>
        <w:numPr>
          <w:ilvl w:val="0"/>
          <w:numId w:val="5"/>
        </w:numPr>
        <w:spacing w:line="276" w:lineRule="auto"/>
        <w:ind w:left="993" w:hanging="633"/>
        <w:rPr>
          <w:szCs w:val="24"/>
        </w:rPr>
      </w:pPr>
      <w:r w:rsidRPr="00D31A00">
        <w:rPr>
          <w:szCs w:val="24"/>
        </w:rPr>
        <w:t>the extent to which, or the way in which, the compelled financial benchmark rules may deal with matters permitted by Subdivision B</w:t>
      </w:r>
      <w:r w:rsidR="002022AB">
        <w:rPr>
          <w:szCs w:val="24"/>
        </w:rPr>
        <w:t xml:space="preserve"> of Division 3 of Part 7.5B of the Act</w:t>
      </w:r>
      <w:r w:rsidRPr="00D31A00">
        <w:rPr>
          <w:szCs w:val="24"/>
        </w:rPr>
        <w:t>; or</w:t>
      </w:r>
    </w:p>
    <w:p w14:paraId="09976E04" w14:textId="77777777" w:rsidR="00746294" w:rsidRPr="00D31A00" w:rsidRDefault="00746294" w:rsidP="00746294">
      <w:pPr>
        <w:numPr>
          <w:ilvl w:val="0"/>
          <w:numId w:val="5"/>
        </w:numPr>
        <w:spacing w:line="276" w:lineRule="auto"/>
        <w:ind w:left="993" w:hanging="633"/>
        <w:rPr>
          <w:szCs w:val="24"/>
        </w:rPr>
      </w:pPr>
      <w:r w:rsidRPr="00D31A00">
        <w:rPr>
          <w:szCs w:val="24"/>
        </w:rPr>
        <w:t>the classes of persons on whom those rules may impose requirements; or</w:t>
      </w:r>
    </w:p>
    <w:p w14:paraId="11645344" w14:textId="77777777" w:rsidR="00746294" w:rsidRPr="00D31A00" w:rsidRDefault="00746294" w:rsidP="00746294">
      <w:pPr>
        <w:numPr>
          <w:ilvl w:val="0"/>
          <w:numId w:val="5"/>
        </w:numPr>
        <w:spacing w:line="276" w:lineRule="auto"/>
        <w:ind w:left="993" w:hanging="633"/>
        <w:rPr>
          <w:szCs w:val="24"/>
        </w:rPr>
      </w:pPr>
      <w:r w:rsidRPr="00D31A00">
        <w:rPr>
          <w:szCs w:val="24"/>
        </w:rPr>
        <w:t>the extent to which those rules may impose requirements (or certain kinds of requirements) on certain classes of persons.</w:t>
      </w:r>
    </w:p>
    <w:p w14:paraId="642728C3" w14:textId="77777777" w:rsidR="00A4545A" w:rsidRDefault="00A4545A" w:rsidP="00746294">
      <w:pPr>
        <w:pStyle w:val="BodyText"/>
        <w:spacing w:before="0"/>
      </w:pPr>
    </w:p>
    <w:p w14:paraId="50DB19F0" w14:textId="4E2E6009" w:rsidR="00746294" w:rsidRPr="00D31A00" w:rsidRDefault="00746294" w:rsidP="00746294">
      <w:pPr>
        <w:pStyle w:val="BodyText"/>
        <w:spacing w:before="0"/>
      </w:pPr>
      <w:r w:rsidRPr="00D31A00">
        <w:t>To date, no regulations have been made under subsection 908CP(2) of the Act.</w:t>
      </w:r>
    </w:p>
    <w:p w14:paraId="60A49096" w14:textId="77777777" w:rsidR="00746294" w:rsidRPr="00746294" w:rsidRDefault="00746294" w:rsidP="00746294">
      <w:pPr>
        <w:rPr>
          <w:b/>
        </w:rPr>
      </w:pPr>
    </w:p>
    <w:p w14:paraId="2FAE47AC" w14:textId="2F574DB6" w:rsidR="00113A57" w:rsidRPr="00D31A00" w:rsidRDefault="00113A57" w:rsidP="00D31A00">
      <w:pPr>
        <w:pStyle w:val="ListParagraph"/>
        <w:numPr>
          <w:ilvl w:val="0"/>
          <w:numId w:val="2"/>
        </w:numPr>
        <w:rPr>
          <w:b/>
        </w:rPr>
      </w:pPr>
      <w:bookmarkStart w:id="5" w:name="_Ref516004891"/>
      <w:r w:rsidRPr="00D31A00">
        <w:rPr>
          <w:b/>
        </w:rPr>
        <w:t>Matters to which ASIC has had regard when making the Rules</w:t>
      </w:r>
      <w:bookmarkEnd w:id="3"/>
      <w:bookmarkEnd w:id="5"/>
    </w:p>
    <w:bookmarkEnd w:id="4"/>
    <w:p w14:paraId="30E8A970" w14:textId="1BE139E1" w:rsidR="00C73DE3" w:rsidRDefault="002022AB" w:rsidP="00D31A00">
      <w:pPr>
        <w:pStyle w:val="BodyText"/>
        <w:spacing w:before="0"/>
      </w:pPr>
      <w:r>
        <w:t xml:space="preserve"> </w:t>
      </w:r>
    </w:p>
    <w:p w14:paraId="4C006794" w14:textId="29154AF0" w:rsidR="00113A57" w:rsidRPr="00D31A00" w:rsidRDefault="00113A57" w:rsidP="00D31A00">
      <w:pPr>
        <w:pStyle w:val="BodyText"/>
        <w:spacing w:before="0"/>
      </w:pPr>
      <w:r w:rsidRPr="00D31A00">
        <w:t>Section 908CK of the Act provides that in considering whether to make a rule under Division</w:t>
      </w:r>
      <w:r w:rsidR="00F73AAC" w:rsidRPr="00D31A00">
        <w:t xml:space="preserve"> 3 of Part 7.5B of the Act</w:t>
      </w:r>
      <w:r w:rsidRPr="00D31A00">
        <w:t>, ASIC:</w:t>
      </w:r>
    </w:p>
    <w:p w14:paraId="4692674A" w14:textId="75D8F913" w:rsidR="00113A57" w:rsidRPr="00D31A00" w:rsidRDefault="00113A57" w:rsidP="00D31A00">
      <w:pPr>
        <w:numPr>
          <w:ilvl w:val="0"/>
          <w:numId w:val="8"/>
        </w:numPr>
        <w:spacing w:line="276" w:lineRule="auto"/>
        <w:ind w:left="993" w:hanging="633"/>
        <w:rPr>
          <w:szCs w:val="24"/>
        </w:rPr>
      </w:pPr>
      <w:r w:rsidRPr="00D31A00">
        <w:rPr>
          <w:szCs w:val="24"/>
        </w:rPr>
        <w:t>must have regard to:</w:t>
      </w:r>
    </w:p>
    <w:p w14:paraId="79916981" w14:textId="6D5E17EC" w:rsidR="00113A57" w:rsidRPr="00D31A00" w:rsidRDefault="00113A57" w:rsidP="00D31A00">
      <w:pPr>
        <w:numPr>
          <w:ilvl w:val="1"/>
          <w:numId w:val="48"/>
        </w:numPr>
        <w:spacing w:line="276" w:lineRule="auto"/>
        <w:ind w:left="1701" w:hanging="624"/>
        <w:rPr>
          <w:szCs w:val="24"/>
        </w:rPr>
      </w:pPr>
      <w:r w:rsidRPr="00D31A00">
        <w:rPr>
          <w:szCs w:val="24"/>
        </w:rPr>
        <w:t xml:space="preserve">the </w:t>
      </w:r>
      <w:r w:rsidR="00C73DE3">
        <w:rPr>
          <w:szCs w:val="24"/>
        </w:rPr>
        <w:t>IOSCO Principles</w:t>
      </w:r>
      <w:r w:rsidRPr="00D31A00">
        <w:rPr>
          <w:szCs w:val="24"/>
        </w:rPr>
        <w:t>, as amended from time to time; and</w:t>
      </w:r>
    </w:p>
    <w:p w14:paraId="5A898215" w14:textId="0D0ED5AF" w:rsidR="00113A57" w:rsidRPr="00D31A00" w:rsidRDefault="00113A57" w:rsidP="00D31A00">
      <w:pPr>
        <w:numPr>
          <w:ilvl w:val="1"/>
          <w:numId w:val="48"/>
        </w:numPr>
        <w:spacing w:line="276" w:lineRule="auto"/>
        <w:ind w:left="1701" w:hanging="624"/>
        <w:rPr>
          <w:szCs w:val="24"/>
        </w:rPr>
      </w:pPr>
      <w:r w:rsidRPr="00D31A00">
        <w:rPr>
          <w:szCs w:val="24"/>
        </w:rPr>
        <w:t>the likely effect of the proposed rule on the Australian economy, and on the efficiency, integrity and stability of the Australian financial system; and</w:t>
      </w:r>
    </w:p>
    <w:p w14:paraId="68504228" w14:textId="5D52C563" w:rsidR="00113A57" w:rsidRPr="00D31A00" w:rsidRDefault="00113A57" w:rsidP="00D31A00">
      <w:pPr>
        <w:numPr>
          <w:ilvl w:val="1"/>
          <w:numId w:val="48"/>
        </w:numPr>
        <w:spacing w:line="276" w:lineRule="auto"/>
        <w:ind w:left="1701" w:hanging="624"/>
        <w:rPr>
          <w:szCs w:val="24"/>
        </w:rPr>
      </w:pPr>
      <w:r w:rsidRPr="00D31A00">
        <w:rPr>
          <w:szCs w:val="24"/>
        </w:rPr>
        <w:t>the likely regulatory impact of the proposed rule; and</w:t>
      </w:r>
    </w:p>
    <w:p w14:paraId="6A06F343" w14:textId="6D51489E" w:rsidR="00113A57" w:rsidRPr="00D31A00" w:rsidRDefault="00113A57" w:rsidP="00D31A00">
      <w:pPr>
        <w:numPr>
          <w:ilvl w:val="0"/>
          <w:numId w:val="8"/>
        </w:numPr>
        <w:spacing w:line="276" w:lineRule="auto"/>
        <w:ind w:left="993" w:hanging="633"/>
        <w:rPr>
          <w:szCs w:val="24"/>
        </w:rPr>
      </w:pPr>
      <w:r w:rsidRPr="00D31A00">
        <w:rPr>
          <w:szCs w:val="24"/>
        </w:rPr>
        <w:t>may have regard to any other matters that ASIC considers relevant.</w:t>
      </w:r>
    </w:p>
    <w:p w14:paraId="4D74D075" w14:textId="77777777" w:rsidR="00C73DE3" w:rsidRDefault="00C73DE3" w:rsidP="00D31A00">
      <w:pPr>
        <w:pStyle w:val="BodyText"/>
        <w:spacing w:before="0"/>
      </w:pPr>
    </w:p>
    <w:p w14:paraId="27AF3F69" w14:textId="74AB3F49" w:rsidR="00113A57" w:rsidRDefault="00113A57" w:rsidP="00D31A00">
      <w:pPr>
        <w:pStyle w:val="BodyText"/>
        <w:spacing w:before="0"/>
      </w:pPr>
      <w:r w:rsidRPr="00D31A00">
        <w:t>In making the Rules, ASIC has had regard to the matters specified in section 908CK of the Act</w:t>
      </w:r>
      <w:r w:rsidR="00AA0A56">
        <w:t>, and has taken into account</w:t>
      </w:r>
      <w:r w:rsidR="00520A87">
        <w:t xml:space="preserve"> the </w:t>
      </w:r>
      <w:r w:rsidR="00520A87" w:rsidRPr="00D31A00">
        <w:t xml:space="preserve">Council of Financial Regulators’ final advice to </w:t>
      </w:r>
      <w:r w:rsidR="00520A87" w:rsidRPr="00D31A00">
        <w:lastRenderedPageBreak/>
        <w:t>Government on Reforming Australia’s Regulation of Financial Benchmarks</w:t>
      </w:r>
      <w:r w:rsidR="00520A87" w:rsidRPr="00D31A00">
        <w:rPr>
          <w:rStyle w:val="FootnoteReference"/>
        </w:rPr>
        <w:footnoteReference w:id="2"/>
      </w:r>
      <w:r w:rsidR="00520A87">
        <w:t xml:space="preserve"> (</w:t>
      </w:r>
      <w:r w:rsidR="00520A87" w:rsidRPr="00520A87">
        <w:rPr>
          <w:b/>
        </w:rPr>
        <w:t>Final CFR Advice</w:t>
      </w:r>
      <w:r w:rsidR="00520A87">
        <w:t>)</w:t>
      </w:r>
      <w:r w:rsidRPr="00D31A00">
        <w:t>.</w:t>
      </w:r>
    </w:p>
    <w:p w14:paraId="208D4500" w14:textId="77777777" w:rsidR="00C73DE3" w:rsidRPr="00D31A00" w:rsidRDefault="00C73DE3" w:rsidP="00D31A00">
      <w:pPr>
        <w:pStyle w:val="BodyText"/>
        <w:spacing w:before="0"/>
      </w:pPr>
    </w:p>
    <w:p w14:paraId="44959124" w14:textId="77777777" w:rsidR="003F218C" w:rsidRPr="00D31A00" w:rsidRDefault="003F218C" w:rsidP="00D31A00">
      <w:pPr>
        <w:pStyle w:val="ListParagraph"/>
        <w:numPr>
          <w:ilvl w:val="0"/>
          <w:numId w:val="2"/>
        </w:numPr>
        <w:rPr>
          <w:b/>
        </w:rPr>
      </w:pPr>
      <w:bookmarkStart w:id="6" w:name="_Ref516003656"/>
      <w:r w:rsidRPr="00D31A00">
        <w:rPr>
          <w:b/>
        </w:rPr>
        <w:t>Consultation</w:t>
      </w:r>
      <w:bookmarkEnd w:id="6"/>
    </w:p>
    <w:p w14:paraId="087F7AE1" w14:textId="77777777" w:rsidR="00DF5320" w:rsidRDefault="00DF5320" w:rsidP="00D31A00">
      <w:pPr>
        <w:pStyle w:val="BodyText"/>
        <w:spacing w:before="0"/>
      </w:pPr>
    </w:p>
    <w:p w14:paraId="259F841B" w14:textId="57739748" w:rsidR="00045D2D" w:rsidRPr="00D31A00" w:rsidRDefault="00045D2D" w:rsidP="00D31A00">
      <w:pPr>
        <w:pStyle w:val="BodyText"/>
        <w:spacing w:before="0"/>
      </w:pPr>
      <w:r w:rsidRPr="00D31A00">
        <w:t xml:space="preserve">Subsection 908CL(1) </w:t>
      </w:r>
      <w:r w:rsidR="009E6C52" w:rsidRPr="00D31A00">
        <w:t xml:space="preserve">of the Act </w:t>
      </w:r>
      <w:r w:rsidRPr="00D31A00">
        <w:t>provides that ASIC must not make a rule under Division</w:t>
      </w:r>
      <w:r w:rsidR="0069078C" w:rsidRPr="00D31A00">
        <w:t xml:space="preserve"> 3 of Part 7.5B of the Act</w:t>
      </w:r>
      <w:r w:rsidRPr="00D31A00">
        <w:t xml:space="preserve"> unless ASIC:</w:t>
      </w:r>
    </w:p>
    <w:p w14:paraId="739BD6DF" w14:textId="2051366B" w:rsidR="00045D2D" w:rsidRPr="00D31A00" w:rsidRDefault="00045D2D" w:rsidP="00D31A00">
      <w:pPr>
        <w:numPr>
          <w:ilvl w:val="0"/>
          <w:numId w:val="6"/>
        </w:numPr>
        <w:spacing w:line="276" w:lineRule="auto"/>
        <w:ind w:left="993" w:hanging="633"/>
        <w:rPr>
          <w:szCs w:val="24"/>
        </w:rPr>
      </w:pPr>
      <w:r w:rsidRPr="00D31A00">
        <w:rPr>
          <w:szCs w:val="24"/>
        </w:rPr>
        <w:t>has consulted the public about the proposed rule; and</w:t>
      </w:r>
    </w:p>
    <w:p w14:paraId="3C8F2BC3" w14:textId="0DD9E344" w:rsidR="00045D2D" w:rsidRPr="00D31A00" w:rsidRDefault="00045D2D" w:rsidP="00D31A00">
      <w:pPr>
        <w:numPr>
          <w:ilvl w:val="0"/>
          <w:numId w:val="6"/>
        </w:numPr>
        <w:spacing w:line="276" w:lineRule="auto"/>
        <w:ind w:left="993" w:hanging="633"/>
        <w:rPr>
          <w:szCs w:val="24"/>
        </w:rPr>
      </w:pPr>
      <w:r w:rsidRPr="00D31A00">
        <w:rPr>
          <w:szCs w:val="24"/>
        </w:rPr>
        <w:t>has also consulted any other person or body as required by regulations made for the purposes of paragraph</w:t>
      </w:r>
      <w:r w:rsidR="0069078C" w:rsidRPr="00D31A00">
        <w:rPr>
          <w:szCs w:val="24"/>
        </w:rPr>
        <w:t xml:space="preserve"> 908CL(1)(b) of the Act</w:t>
      </w:r>
      <w:r w:rsidRPr="00D31A00">
        <w:rPr>
          <w:szCs w:val="24"/>
        </w:rPr>
        <w:t>.</w:t>
      </w:r>
    </w:p>
    <w:p w14:paraId="3F1B0DC4" w14:textId="77777777" w:rsidR="00DF5320" w:rsidRDefault="00DF5320" w:rsidP="00D31A00">
      <w:pPr>
        <w:pStyle w:val="BodyText"/>
        <w:spacing w:before="0"/>
      </w:pPr>
    </w:p>
    <w:p w14:paraId="118976CD" w14:textId="3E335893" w:rsidR="00DF5320" w:rsidRDefault="00DF5320" w:rsidP="00D31A00">
      <w:pPr>
        <w:pStyle w:val="BodyText"/>
        <w:spacing w:before="0"/>
      </w:pPr>
      <w:r w:rsidRPr="00D31A00">
        <w:t>To date, no regulations have been made for the purpose of paragraph 908CL(1)(b) of the Act.</w:t>
      </w:r>
    </w:p>
    <w:p w14:paraId="52D9CBE7" w14:textId="77777777" w:rsidR="007574FE" w:rsidRDefault="007574FE" w:rsidP="00D31A00">
      <w:pPr>
        <w:pStyle w:val="BodyText"/>
        <w:spacing w:before="0"/>
      </w:pPr>
    </w:p>
    <w:p w14:paraId="41A5B3F4" w14:textId="3C7D27A9" w:rsidR="00045D2D" w:rsidRPr="00D31A00" w:rsidRDefault="00045D2D" w:rsidP="00D31A00">
      <w:pPr>
        <w:pStyle w:val="BodyText"/>
        <w:spacing w:before="0"/>
      </w:pPr>
      <w:r w:rsidRPr="00D31A00">
        <w:t xml:space="preserve">Subsection 908CL(2) </w:t>
      </w:r>
      <w:r w:rsidR="009E6C52" w:rsidRPr="00D31A00">
        <w:t xml:space="preserve">of the Act </w:t>
      </w:r>
      <w:r w:rsidRPr="00D31A00">
        <w:t>provides that</w:t>
      </w:r>
      <w:r w:rsidR="00DF5320">
        <w:t>,</w:t>
      </w:r>
      <w:r w:rsidRPr="00D31A00">
        <w:t xml:space="preserve"> without limiting the ways in which ASIC may comply with the obligation in paragraph </w:t>
      </w:r>
      <w:r w:rsidR="00004628" w:rsidRPr="00D31A00">
        <w:t>908CL</w:t>
      </w:r>
      <w:r w:rsidRPr="00D31A00">
        <w:t>(1)(a) to consult the public about a proposed rule, ASIC is taken to comply with that obligation if ASIC, on its website:</w:t>
      </w:r>
    </w:p>
    <w:p w14:paraId="0CF57AB3" w14:textId="14D79555" w:rsidR="00045D2D" w:rsidRPr="00D31A00" w:rsidRDefault="00045D2D" w:rsidP="00D31A00">
      <w:pPr>
        <w:numPr>
          <w:ilvl w:val="0"/>
          <w:numId w:val="7"/>
        </w:numPr>
        <w:spacing w:line="276" w:lineRule="auto"/>
        <w:ind w:left="993" w:hanging="633"/>
        <w:rPr>
          <w:szCs w:val="24"/>
        </w:rPr>
      </w:pPr>
      <w:r w:rsidRPr="00D31A00">
        <w:rPr>
          <w:szCs w:val="24"/>
        </w:rPr>
        <w:t>makes the proposed rule, or a description of the content of the proposed rule, available; and</w:t>
      </w:r>
    </w:p>
    <w:p w14:paraId="4070DD73" w14:textId="2821D091" w:rsidR="00045D2D" w:rsidRPr="00D31A00" w:rsidRDefault="00045D2D" w:rsidP="00D31A00">
      <w:pPr>
        <w:numPr>
          <w:ilvl w:val="0"/>
          <w:numId w:val="7"/>
        </w:numPr>
        <w:spacing w:line="276" w:lineRule="auto"/>
        <w:ind w:left="993" w:hanging="633"/>
        <w:rPr>
          <w:szCs w:val="24"/>
        </w:rPr>
      </w:pPr>
      <w:r w:rsidRPr="00D31A00">
        <w:rPr>
          <w:szCs w:val="24"/>
        </w:rPr>
        <w:t>invites the public to comment on the proposed rule.</w:t>
      </w:r>
    </w:p>
    <w:p w14:paraId="3D997214" w14:textId="77777777" w:rsidR="00DF5320" w:rsidRDefault="00DF5320" w:rsidP="00D31A00">
      <w:pPr>
        <w:pStyle w:val="BodyText"/>
        <w:spacing w:before="0"/>
      </w:pPr>
    </w:p>
    <w:p w14:paraId="291F870A" w14:textId="712B031B" w:rsidR="00045D2D" w:rsidRPr="00D31A00" w:rsidRDefault="00045D2D" w:rsidP="00D31A00">
      <w:pPr>
        <w:pStyle w:val="BodyText"/>
        <w:spacing w:before="0"/>
      </w:pPr>
      <w:r w:rsidRPr="00D31A00">
        <w:t xml:space="preserve">Subsection 908CL(3) </w:t>
      </w:r>
      <w:r w:rsidR="009E6C52" w:rsidRPr="00D31A00">
        <w:t xml:space="preserve">of the Act </w:t>
      </w:r>
      <w:r w:rsidRPr="00D31A00">
        <w:t>provides that a failure to consult as required by subsection </w:t>
      </w:r>
      <w:r w:rsidR="00DF5320">
        <w:t>908CL</w:t>
      </w:r>
      <w:r w:rsidRPr="00D31A00">
        <w:t>(1) does not invalidate a rule.</w:t>
      </w:r>
    </w:p>
    <w:p w14:paraId="60F848C9" w14:textId="430CE315" w:rsidR="00045D2D" w:rsidRPr="00D31A00" w:rsidRDefault="00045D2D" w:rsidP="00D31A00">
      <w:pPr>
        <w:pStyle w:val="BodyText"/>
        <w:spacing w:before="0"/>
      </w:pPr>
    </w:p>
    <w:p w14:paraId="1B440AE9" w14:textId="54EA4F12" w:rsidR="00776E47" w:rsidRPr="00D31A00" w:rsidRDefault="00776E47" w:rsidP="00D31A00">
      <w:pPr>
        <w:pStyle w:val="BodyText"/>
        <w:spacing w:before="0"/>
      </w:pPr>
      <w:r w:rsidRPr="00D31A00">
        <w:t xml:space="preserve">ASIC </w:t>
      </w:r>
      <w:r w:rsidR="00045D2D" w:rsidRPr="00D31A00">
        <w:t xml:space="preserve">publicly </w:t>
      </w:r>
      <w:r w:rsidRPr="00D31A00">
        <w:t>consult</w:t>
      </w:r>
      <w:r w:rsidR="00E90D74" w:rsidRPr="00D31A00">
        <w:t>ed</w:t>
      </w:r>
      <w:r w:rsidRPr="00D31A00">
        <w:t xml:space="preserve"> on the </w:t>
      </w:r>
      <w:r w:rsidR="00E90D74" w:rsidRPr="00D31A00">
        <w:t xml:space="preserve">Rules </w:t>
      </w:r>
      <w:r w:rsidRPr="00D31A00">
        <w:t>in ASIC Consultation Paper 292</w:t>
      </w:r>
      <w:r w:rsidR="003835D7" w:rsidRPr="00D31A00">
        <w:t xml:space="preserve"> </w:t>
      </w:r>
      <w:r w:rsidR="003835D7" w:rsidRPr="00D31A00">
        <w:rPr>
          <w:i/>
        </w:rPr>
        <w:t>Implementing the financial benchmark regulatory regime</w:t>
      </w:r>
      <w:r w:rsidRPr="00D31A00">
        <w:t xml:space="preserve"> </w:t>
      </w:r>
      <w:r w:rsidR="00045D2D" w:rsidRPr="00D31A00">
        <w:t>released on 17</w:t>
      </w:r>
      <w:r w:rsidRPr="00D31A00">
        <w:t xml:space="preserve"> July 2017. </w:t>
      </w:r>
      <w:r w:rsidR="00045D2D" w:rsidRPr="00D31A00">
        <w:t>Submissions were due 21 August 2017.</w:t>
      </w:r>
      <w:r w:rsidR="00C83288" w:rsidRPr="00D31A00">
        <w:t xml:space="preserve"> Following the receipt of eight submissions, and bilateral and </w:t>
      </w:r>
      <w:r w:rsidR="001504F5" w:rsidRPr="00D31A00">
        <w:t>industry meetings</w:t>
      </w:r>
      <w:r w:rsidR="00C83288" w:rsidRPr="00D31A00">
        <w:t xml:space="preserve"> with stakeholders, ASIC </w:t>
      </w:r>
      <w:r w:rsidR="007A2B58" w:rsidRPr="00D31A00">
        <w:t xml:space="preserve">considered that </w:t>
      </w:r>
      <w:r w:rsidR="007B271B" w:rsidRPr="00D31A00">
        <w:t xml:space="preserve">no substantive changes to </w:t>
      </w:r>
      <w:r w:rsidR="00C83288" w:rsidRPr="00D31A00">
        <w:t>the Rules</w:t>
      </w:r>
      <w:r w:rsidR="007B271B" w:rsidRPr="00D31A00">
        <w:t xml:space="preserve"> were required</w:t>
      </w:r>
      <w:r w:rsidR="00C83288" w:rsidRPr="00D31A00">
        <w:t>.</w:t>
      </w:r>
    </w:p>
    <w:p w14:paraId="472801FF" w14:textId="77777777" w:rsidR="00DF5320" w:rsidRDefault="00DF5320" w:rsidP="00D31A00">
      <w:pPr>
        <w:pStyle w:val="BodyText"/>
        <w:spacing w:before="0"/>
      </w:pPr>
    </w:p>
    <w:p w14:paraId="0DBF0A79" w14:textId="77777777" w:rsidR="00DF5320" w:rsidRPr="00A072B6" w:rsidRDefault="00DF5320" w:rsidP="00DF5320">
      <w:pPr>
        <w:spacing w:line="276" w:lineRule="auto"/>
        <w:rPr>
          <w:szCs w:val="24"/>
        </w:rPr>
      </w:pPr>
      <w:r w:rsidRPr="00A072B6">
        <w:rPr>
          <w:szCs w:val="24"/>
        </w:rPr>
        <w:t xml:space="preserve">The Treasury has certified that </w:t>
      </w:r>
      <w:r>
        <w:rPr>
          <w:szCs w:val="24"/>
        </w:rPr>
        <w:t>Final CFR Advice</w:t>
      </w:r>
      <w:r w:rsidRPr="00A072B6">
        <w:rPr>
          <w:szCs w:val="24"/>
        </w:rPr>
        <w:t xml:space="preserve"> satisfies the requirements of a Regulation Impact Statement</w:t>
      </w:r>
      <w:r>
        <w:rPr>
          <w:szCs w:val="24"/>
        </w:rPr>
        <w:t xml:space="preserve"> in respect of the benchmark administration regime, of which the Rules form a part</w:t>
      </w:r>
      <w:r w:rsidRPr="00A072B6">
        <w:rPr>
          <w:szCs w:val="24"/>
        </w:rPr>
        <w:t xml:space="preserve">. </w:t>
      </w:r>
    </w:p>
    <w:p w14:paraId="25A0768C" w14:textId="77777777" w:rsidR="00CC5B94" w:rsidRPr="00D31A00" w:rsidRDefault="00CC5B94" w:rsidP="00D31A00">
      <w:pPr>
        <w:spacing w:line="276" w:lineRule="auto"/>
        <w:ind w:left="567"/>
        <w:rPr>
          <w:szCs w:val="24"/>
        </w:rPr>
      </w:pPr>
    </w:p>
    <w:p w14:paraId="12C15B9D" w14:textId="7F9A6116" w:rsidR="009E6C52" w:rsidRPr="00D31A00" w:rsidRDefault="009E6C52" w:rsidP="00D31A00">
      <w:pPr>
        <w:pStyle w:val="ListParagraph"/>
        <w:numPr>
          <w:ilvl w:val="0"/>
          <w:numId w:val="2"/>
        </w:numPr>
        <w:rPr>
          <w:b/>
        </w:rPr>
      </w:pPr>
      <w:bookmarkStart w:id="7" w:name="_Ref516003658"/>
      <w:r w:rsidRPr="00D31A00">
        <w:rPr>
          <w:b/>
        </w:rPr>
        <w:t>Ministerial consent</w:t>
      </w:r>
      <w:bookmarkEnd w:id="7"/>
    </w:p>
    <w:p w14:paraId="1BED07EF" w14:textId="77777777" w:rsidR="00DF5320" w:rsidRDefault="00DF5320" w:rsidP="00D31A00">
      <w:pPr>
        <w:pStyle w:val="BodyText"/>
        <w:spacing w:before="0"/>
      </w:pPr>
    </w:p>
    <w:p w14:paraId="45626C04" w14:textId="3125AAC0" w:rsidR="009E6C52" w:rsidRPr="00D31A00" w:rsidRDefault="009E6C52" w:rsidP="00D31A00">
      <w:pPr>
        <w:pStyle w:val="BodyText"/>
        <w:spacing w:before="0"/>
      </w:pPr>
      <w:r w:rsidRPr="00D31A00">
        <w:t>Subsection 908CM(1) of the Act provides that ASIC must not make a rule under Division</w:t>
      </w:r>
      <w:r w:rsidR="00F42F0A" w:rsidRPr="00D31A00">
        <w:t xml:space="preserve"> 3 of Part 7.5B</w:t>
      </w:r>
      <w:r w:rsidR="00F73AAC" w:rsidRPr="00D31A00">
        <w:t xml:space="preserve"> of the Act</w:t>
      </w:r>
      <w:r w:rsidRPr="00D31A00">
        <w:t xml:space="preserve"> unless consent for it has been given under subsection </w:t>
      </w:r>
      <w:r w:rsidR="00746294">
        <w:t>90CM</w:t>
      </w:r>
      <w:r w:rsidRPr="00D31A00">
        <w:t>(2).</w:t>
      </w:r>
    </w:p>
    <w:p w14:paraId="7985ACF6" w14:textId="77777777" w:rsidR="00746294" w:rsidRDefault="00746294" w:rsidP="00D31A00">
      <w:pPr>
        <w:pStyle w:val="BodyText"/>
        <w:spacing w:before="0"/>
      </w:pPr>
    </w:p>
    <w:p w14:paraId="74D67894" w14:textId="4E85AE89" w:rsidR="009E6C52" w:rsidRPr="00D31A00" w:rsidRDefault="009E6C52" w:rsidP="00D31A00">
      <w:pPr>
        <w:pStyle w:val="BodyText"/>
        <w:spacing w:before="0"/>
      </w:pPr>
      <w:r w:rsidRPr="00D31A00">
        <w:t>Subsection 908CM(2) of the Act provides that the Minister may, in writing, consent to the making of a rule under Division</w:t>
      </w:r>
      <w:r w:rsidR="00F42F0A" w:rsidRPr="00D31A00">
        <w:t xml:space="preserve"> 3 of Part 7.5B</w:t>
      </w:r>
      <w:r w:rsidR="00016170" w:rsidRPr="00D31A00">
        <w:t xml:space="preserve"> of the Act</w:t>
      </w:r>
      <w:r w:rsidRPr="00D31A00">
        <w:t>.</w:t>
      </w:r>
    </w:p>
    <w:p w14:paraId="233218DE" w14:textId="77777777" w:rsidR="00746294" w:rsidRDefault="00746294" w:rsidP="00D31A00">
      <w:pPr>
        <w:pStyle w:val="BodyText"/>
        <w:spacing w:before="0"/>
      </w:pPr>
    </w:p>
    <w:p w14:paraId="7158612F" w14:textId="6512F446" w:rsidR="009E6C52" w:rsidRPr="00D31A00" w:rsidRDefault="009E6C52" w:rsidP="00D31A00">
      <w:pPr>
        <w:pStyle w:val="BodyText"/>
        <w:spacing w:before="0"/>
      </w:pPr>
      <w:r w:rsidRPr="00D31A00">
        <w:lastRenderedPageBreak/>
        <w:t xml:space="preserve">On </w:t>
      </w:r>
      <w:r w:rsidR="00CC6033" w:rsidRPr="00D31A00">
        <w:t>30</w:t>
      </w:r>
      <w:r w:rsidRPr="00D31A00">
        <w:t xml:space="preserve"> May 2018, the Minister consented in writing to ASIC maki</w:t>
      </w:r>
      <w:r w:rsidR="006857AC" w:rsidRPr="00D31A00">
        <w:t xml:space="preserve">ng the Rules under </w:t>
      </w:r>
      <w:r w:rsidR="00B31217" w:rsidRPr="00D31A00">
        <w:t>sub</w:t>
      </w:r>
      <w:r w:rsidR="006857AC" w:rsidRPr="00D31A00">
        <w:t>section 908CM</w:t>
      </w:r>
      <w:r w:rsidR="00B31217" w:rsidRPr="00D31A00">
        <w:t>(2)</w:t>
      </w:r>
      <w:r w:rsidR="00C83288" w:rsidRPr="00D31A00">
        <w:t xml:space="preserve"> of the Act</w:t>
      </w:r>
      <w:r w:rsidRPr="00D31A00">
        <w:t>.</w:t>
      </w:r>
    </w:p>
    <w:p w14:paraId="042F860A" w14:textId="77777777" w:rsidR="00CC6033" w:rsidRPr="00D31A00" w:rsidRDefault="00CC6033" w:rsidP="00D31A00">
      <w:pPr>
        <w:overflowPunct/>
        <w:autoSpaceDE/>
        <w:autoSpaceDN/>
        <w:adjustRightInd/>
        <w:spacing w:line="276" w:lineRule="auto"/>
        <w:textAlignment w:val="auto"/>
        <w:rPr>
          <w:b/>
          <w:szCs w:val="24"/>
        </w:rPr>
      </w:pPr>
      <w:r w:rsidRPr="00D31A00">
        <w:rPr>
          <w:b/>
          <w:szCs w:val="24"/>
        </w:rPr>
        <w:br w:type="page"/>
      </w:r>
    </w:p>
    <w:p w14:paraId="1D3AE89F" w14:textId="1DACAB2C" w:rsidR="003F218C" w:rsidRPr="00D31A00" w:rsidRDefault="003F218C" w:rsidP="00D31A00">
      <w:pPr>
        <w:pStyle w:val="ListParagraph"/>
        <w:numPr>
          <w:ilvl w:val="0"/>
          <w:numId w:val="2"/>
        </w:numPr>
        <w:jc w:val="center"/>
        <w:rPr>
          <w:b/>
        </w:rPr>
      </w:pPr>
      <w:r w:rsidRPr="00D31A00">
        <w:rPr>
          <w:b/>
        </w:rPr>
        <w:lastRenderedPageBreak/>
        <w:t xml:space="preserve">Statement of </w:t>
      </w:r>
      <w:r w:rsidR="00910096" w:rsidRPr="00D31A00">
        <w:rPr>
          <w:b/>
        </w:rPr>
        <w:t>Compatibility with Human Rights</w:t>
      </w:r>
    </w:p>
    <w:p w14:paraId="397AD5F8" w14:textId="77777777" w:rsidR="00746294" w:rsidRDefault="00746294" w:rsidP="00D31A00">
      <w:pPr>
        <w:spacing w:line="276" w:lineRule="auto"/>
        <w:rPr>
          <w:i/>
          <w:szCs w:val="24"/>
        </w:rPr>
      </w:pPr>
    </w:p>
    <w:p w14:paraId="7D8486D6" w14:textId="02B6CA48" w:rsidR="006070F8" w:rsidRPr="00D31A00" w:rsidRDefault="006070F8" w:rsidP="00D31A00">
      <w:pPr>
        <w:spacing w:line="276" w:lineRule="auto"/>
        <w:rPr>
          <w:i/>
          <w:szCs w:val="24"/>
        </w:rPr>
      </w:pPr>
      <w:r w:rsidRPr="00D31A00">
        <w:rPr>
          <w:i/>
          <w:szCs w:val="24"/>
        </w:rPr>
        <w:t>Prepared in accordance with Part 3 of the Human Rights (Parliamentary Scrutiny) Act 2011.</w:t>
      </w:r>
    </w:p>
    <w:p w14:paraId="629F5615" w14:textId="77777777" w:rsidR="00746294" w:rsidRDefault="00746294" w:rsidP="00D31A00">
      <w:pPr>
        <w:spacing w:line="276" w:lineRule="auto"/>
        <w:jc w:val="center"/>
        <w:rPr>
          <w:b/>
          <w:i/>
          <w:szCs w:val="24"/>
        </w:rPr>
      </w:pPr>
    </w:p>
    <w:p w14:paraId="7B13DF71" w14:textId="4E3F587D" w:rsidR="006070F8" w:rsidRDefault="006E67BC" w:rsidP="00D31A00">
      <w:pPr>
        <w:spacing w:line="276" w:lineRule="auto"/>
        <w:jc w:val="center"/>
        <w:rPr>
          <w:b/>
          <w:i/>
          <w:szCs w:val="24"/>
        </w:rPr>
      </w:pPr>
      <w:r w:rsidRPr="00D31A00">
        <w:rPr>
          <w:b/>
          <w:i/>
          <w:szCs w:val="24"/>
        </w:rPr>
        <w:t>ASIC Financial Benchmark (</w:t>
      </w:r>
      <w:r w:rsidR="009016E0" w:rsidRPr="00D31A00">
        <w:rPr>
          <w:b/>
          <w:i/>
          <w:szCs w:val="24"/>
        </w:rPr>
        <w:t>Compelled</w:t>
      </w:r>
      <w:r w:rsidRPr="00D31A00">
        <w:rPr>
          <w:b/>
          <w:i/>
          <w:szCs w:val="24"/>
        </w:rPr>
        <w:t>) Rules 2018</w:t>
      </w:r>
    </w:p>
    <w:p w14:paraId="6F32908B" w14:textId="77777777" w:rsidR="00746294" w:rsidRPr="00D31A00" w:rsidRDefault="00746294" w:rsidP="00D31A00">
      <w:pPr>
        <w:spacing w:line="276" w:lineRule="auto"/>
        <w:jc w:val="center"/>
        <w:rPr>
          <w:b/>
          <w:i/>
          <w:szCs w:val="24"/>
        </w:rPr>
      </w:pPr>
    </w:p>
    <w:p w14:paraId="46B63706" w14:textId="150CFC44" w:rsidR="006070F8" w:rsidRDefault="006070F8" w:rsidP="00D31A00">
      <w:pPr>
        <w:spacing w:line="276" w:lineRule="auto"/>
        <w:rPr>
          <w:i/>
          <w:szCs w:val="24"/>
        </w:rPr>
      </w:pPr>
      <w:r w:rsidRPr="00D31A00">
        <w:rPr>
          <w:szCs w:val="24"/>
        </w:rPr>
        <w:t xml:space="preserve">The </w:t>
      </w:r>
      <w:r w:rsidR="006E67BC" w:rsidRPr="00D31A00">
        <w:rPr>
          <w:i/>
          <w:szCs w:val="24"/>
        </w:rPr>
        <w:t>ASIC Financial Benchmark (</w:t>
      </w:r>
      <w:r w:rsidR="007B271B" w:rsidRPr="00D31A00">
        <w:rPr>
          <w:i/>
          <w:szCs w:val="24"/>
        </w:rPr>
        <w:t>Compelled</w:t>
      </w:r>
      <w:r w:rsidR="006E67BC" w:rsidRPr="00D31A00">
        <w:rPr>
          <w:i/>
          <w:szCs w:val="24"/>
        </w:rPr>
        <w:t>) Rules 2018</w:t>
      </w:r>
      <w:r w:rsidRPr="00D31A00">
        <w:rPr>
          <w:i/>
          <w:szCs w:val="24"/>
        </w:rPr>
        <w:t xml:space="preserve"> </w:t>
      </w:r>
      <w:r w:rsidRPr="00D31A00">
        <w:rPr>
          <w:szCs w:val="24"/>
        </w:rPr>
        <w:t>(</w:t>
      </w:r>
      <w:r w:rsidRPr="00D31A00">
        <w:rPr>
          <w:b/>
          <w:szCs w:val="24"/>
        </w:rPr>
        <w:t>the Legislative Instrument</w:t>
      </w:r>
      <w:r w:rsidRPr="00D31A00">
        <w:rPr>
          <w:szCs w:val="24"/>
        </w:rPr>
        <w:t xml:space="preserve">) is compatible with the human rights and freedoms recognised or declared in the international instruments listed in section 3 of the </w:t>
      </w:r>
      <w:r w:rsidRPr="00D31A00">
        <w:rPr>
          <w:i/>
          <w:szCs w:val="24"/>
        </w:rPr>
        <w:t>Human Rights (Parliamentary Scrutiny) Act 2011.</w:t>
      </w:r>
    </w:p>
    <w:p w14:paraId="2E36749A" w14:textId="77777777" w:rsidR="00A4545A" w:rsidRPr="00D31A00" w:rsidRDefault="00A4545A" w:rsidP="00D31A00">
      <w:pPr>
        <w:spacing w:line="276" w:lineRule="auto"/>
        <w:rPr>
          <w:szCs w:val="24"/>
        </w:rPr>
      </w:pPr>
    </w:p>
    <w:p w14:paraId="1EF2468D" w14:textId="76E6ED8F" w:rsidR="006070F8" w:rsidRPr="00D31A00" w:rsidRDefault="006070F8" w:rsidP="00D31A00">
      <w:pPr>
        <w:spacing w:line="276" w:lineRule="auto"/>
        <w:ind w:left="720" w:hanging="720"/>
        <w:rPr>
          <w:b/>
          <w:szCs w:val="24"/>
        </w:rPr>
      </w:pPr>
      <w:r w:rsidRPr="00D31A00">
        <w:rPr>
          <w:b/>
          <w:szCs w:val="24"/>
        </w:rPr>
        <w:t>Overview of the Legislative Instrument</w:t>
      </w:r>
    </w:p>
    <w:p w14:paraId="20956D3A" w14:textId="77777777" w:rsidR="00A4545A" w:rsidRDefault="00A4545A" w:rsidP="00D31A00">
      <w:pPr>
        <w:spacing w:line="276" w:lineRule="auto"/>
        <w:rPr>
          <w:szCs w:val="24"/>
        </w:rPr>
      </w:pPr>
    </w:p>
    <w:p w14:paraId="584037EE" w14:textId="66C4B76D" w:rsidR="007141AA" w:rsidRPr="00D31A00" w:rsidRDefault="006070F8" w:rsidP="00D31A00">
      <w:pPr>
        <w:spacing w:line="276" w:lineRule="auto"/>
        <w:rPr>
          <w:szCs w:val="24"/>
        </w:rPr>
      </w:pPr>
      <w:r w:rsidRPr="00D31A00">
        <w:rPr>
          <w:szCs w:val="24"/>
        </w:rPr>
        <w:t>The Legislative Instrument, made by</w:t>
      </w:r>
      <w:r w:rsidR="00A4545A">
        <w:rPr>
          <w:szCs w:val="24"/>
        </w:rPr>
        <w:t xml:space="preserve"> ASIC under </w:t>
      </w:r>
      <w:r w:rsidRPr="00D31A00">
        <w:rPr>
          <w:szCs w:val="24"/>
        </w:rPr>
        <w:t>section 908</w:t>
      </w:r>
      <w:r w:rsidR="007141AA" w:rsidRPr="00D31A00">
        <w:rPr>
          <w:szCs w:val="24"/>
        </w:rPr>
        <w:t>C</w:t>
      </w:r>
      <w:r w:rsidR="003B326D" w:rsidRPr="00D31A00">
        <w:rPr>
          <w:szCs w:val="24"/>
        </w:rPr>
        <w:t>D</w:t>
      </w:r>
      <w:r w:rsidRPr="00D31A00">
        <w:rPr>
          <w:szCs w:val="24"/>
        </w:rPr>
        <w:t xml:space="preserve"> of the </w:t>
      </w:r>
      <w:r w:rsidRPr="00D31A00">
        <w:rPr>
          <w:i/>
          <w:szCs w:val="24"/>
        </w:rPr>
        <w:t xml:space="preserve">Corporations Act 2001 </w:t>
      </w:r>
      <w:r w:rsidRPr="00D31A00">
        <w:rPr>
          <w:szCs w:val="24"/>
        </w:rPr>
        <w:t>(</w:t>
      </w:r>
      <w:r w:rsidRPr="00D31A00">
        <w:rPr>
          <w:b/>
          <w:szCs w:val="24"/>
        </w:rPr>
        <w:t>the Act</w:t>
      </w:r>
      <w:r w:rsidRPr="00D31A00">
        <w:rPr>
          <w:szCs w:val="24"/>
        </w:rPr>
        <w:t>)</w:t>
      </w:r>
      <w:r w:rsidR="00B56690" w:rsidRPr="00D31A00">
        <w:rPr>
          <w:szCs w:val="24"/>
        </w:rPr>
        <w:t>,</w:t>
      </w:r>
      <w:r w:rsidRPr="00D31A00">
        <w:rPr>
          <w:i/>
          <w:szCs w:val="24"/>
        </w:rPr>
        <w:t xml:space="preserve"> </w:t>
      </w:r>
      <w:r w:rsidR="007141AA" w:rsidRPr="00D31A00">
        <w:rPr>
          <w:szCs w:val="24"/>
        </w:rPr>
        <w:t xml:space="preserve">makes </w:t>
      </w:r>
      <w:r w:rsidR="007B271B" w:rsidRPr="00D31A00">
        <w:rPr>
          <w:szCs w:val="24"/>
        </w:rPr>
        <w:t xml:space="preserve">compelled </w:t>
      </w:r>
      <w:r w:rsidR="007141AA" w:rsidRPr="00D31A00">
        <w:rPr>
          <w:szCs w:val="24"/>
        </w:rPr>
        <w:t>financial benchmark rules (</w:t>
      </w:r>
      <w:r w:rsidR="007141AA" w:rsidRPr="00D31A00">
        <w:rPr>
          <w:b/>
          <w:szCs w:val="24"/>
        </w:rPr>
        <w:t>Rules</w:t>
      </w:r>
      <w:r w:rsidR="007141AA" w:rsidRPr="00D31A00">
        <w:rPr>
          <w:szCs w:val="24"/>
        </w:rPr>
        <w:t>) which</w:t>
      </w:r>
      <w:r w:rsidR="00351816" w:rsidRPr="00D31A00">
        <w:rPr>
          <w:szCs w:val="24"/>
        </w:rPr>
        <w:t xml:space="preserve">, together with the </w:t>
      </w:r>
      <w:r w:rsidR="00351816" w:rsidRPr="00D31A00">
        <w:rPr>
          <w:i/>
          <w:szCs w:val="24"/>
        </w:rPr>
        <w:t>ASIC Financial Benchmark (Administration) Rules 2018,</w:t>
      </w:r>
      <w:r w:rsidR="007141AA" w:rsidRPr="00D31A00">
        <w:rPr>
          <w:szCs w:val="24"/>
        </w:rPr>
        <w:t xml:space="preserve"> implement a financial benchmark administration regime to ensure significant financial benchmarks are robust and reliable</w:t>
      </w:r>
      <w:r w:rsidR="009016E0" w:rsidRPr="00D31A00">
        <w:rPr>
          <w:szCs w:val="24"/>
        </w:rPr>
        <w:t>. The regime is in line with the Final Report titled “Principles for Financial Benchmarks”, dated July 2013 and published by the Board of the International Organization of Securities Commissions (</w:t>
      </w:r>
      <w:r w:rsidR="009016E0" w:rsidRPr="00D31A00">
        <w:rPr>
          <w:b/>
          <w:szCs w:val="24"/>
        </w:rPr>
        <w:t>IOSCO Principles</w:t>
      </w:r>
      <w:r w:rsidR="009016E0" w:rsidRPr="00D31A00">
        <w:rPr>
          <w:szCs w:val="24"/>
        </w:rPr>
        <w:t xml:space="preserve">), as well as the regimes in </w:t>
      </w:r>
      <w:r w:rsidR="007141AA" w:rsidRPr="00D31A00">
        <w:rPr>
          <w:szCs w:val="24"/>
        </w:rPr>
        <w:t xml:space="preserve">other overseas jurisdictions. </w:t>
      </w:r>
    </w:p>
    <w:p w14:paraId="23AD50D1" w14:textId="77777777" w:rsidR="00A4545A" w:rsidRDefault="00A4545A" w:rsidP="00D31A00">
      <w:pPr>
        <w:pStyle w:val="BodyText"/>
        <w:spacing w:before="0"/>
      </w:pPr>
    </w:p>
    <w:p w14:paraId="65AE425E" w14:textId="21ADCD65" w:rsidR="001E5DB2" w:rsidRPr="00D31A00" w:rsidRDefault="001E5DB2" w:rsidP="00D31A00">
      <w:pPr>
        <w:pStyle w:val="BodyText"/>
        <w:spacing w:before="0"/>
      </w:pPr>
      <w:r w:rsidRPr="00D31A00">
        <w:t xml:space="preserve">The Rules enable ASIC to compel: </w:t>
      </w:r>
    </w:p>
    <w:p w14:paraId="6934F97F" w14:textId="0EE1FAD6" w:rsidR="001E5DB2" w:rsidRPr="00D31A00" w:rsidRDefault="001E5DB2" w:rsidP="00D31A00">
      <w:pPr>
        <w:numPr>
          <w:ilvl w:val="0"/>
          <w:numId w:val="61"/>
        </w:numPr>
        <w:spacing w:line="276" w:lineRule="auto"/>
        <w:rPr>
          <w:szCs w:val="24"/>
        </w:rPr>
      </w:pPr>
      <w:r w:rsidRPr="00D31A00">
        <w:rPr>
          <w:szCs w:val="24"/>
        </w:rPr>
        <w:t xml:space="preserve">the holder of a benchmark administrator licence that specifies a significant financial benchmark to: </w:t>
      </w:r>
    </w:p>
    <w:p w14:paraId="305465D0" w14:textId="77777777" w:rsidR="001E5DB2" w:rsidRPr="00D31A00" w:rsidRDefault="001E5DB2" w:rsidP="00D31A00">
      <w:pPr>
        <w:numPr>
          <w:ilvl w:val="1"/>
          <w:numId w:val="61"/>
        </w:numPr>
        <w:spacing w:line="276" w:lineRule="auto"/>
        <w:ind w:left="1701" w:hanging="624"/>
        <w:rPr>
          <w:szCs w:val="24"/>
        </w:rPr>
      </w:pPr>
      <w:r w:rsidRPr="00D31A00">
        <w:rPr>
          <w:szCs w:val="24"/>
        </w:rPr>
        <w:t>continue to generate or administer the significant financial benchmark; or</w:t>
      </w:r>
    </w:p>
    <w:p w14:paraId="1D3F4F84" w14:textId="1F4A5A5C" w:rsidR="001E5DB2" w:rsidRPr="00D31A00" w:rsidRDefault="001E5DB2" w:rsidP="00D31A00">
      <w:pPr>
        <w:numPr>
          <w:ilvl w:val="1"/>
          <w:numId w:val="61"/>
        </w:numPr>
        <w:spacing w:line="276" w:lineRule="auto"/>
        <w:ind w:left="1701" w:hanging="624"/>
        <w:rPr>
          <w:szCs w:val="24"/>
        </w:rPr>
      </w:pPr>
      <w:r w:rsidRPr="00D31A00">
        <w:rPr>
          <w:szCs w:val="24"/>
        </w:rPr>
        <w:t>generate or administer the significant financial benchmark in a particular way, including by changing the method used to generate or administer the significant benchmark;  and</w:t>
      </w:r>
    </w:p>
    <w:p w14:paraId="70D479DC" w14:textId="77777777" w:rsidR="001E5DB2" w:rsidRPr="00D31A00" w:rsidRDefault="001E5DB2" w:rsidP="00D31A00">
      <w:pPr>
        <w:numPr>
          <w:ilvl w:val="0"/>
          <w:numId w:val="61"/>
        </w:numPr>
        <w:spacing w:line="276" w:lineRule="auto"/>
        <w:ind w:left="993" w:hanging="633"/>
        <w:rPr>
          <w:szCs w:val="24"/>
        </w:rPr>
      </w:pPr>
      <w:r w:rsidRPr="00D31A00">
        <w:rPr>
          <w:szCs w:val="24"/>
        </w:rPr>
        <w:t xml:space="preserve">a contributor to contribute data or information to: </w:t>
      </w:r>
    </w:p>
    <w:p w14:paraId="2253D1ED" w14:textId="7EAAC13D" w:rsidR="001E5DB2" w:rsidRPr="00D31A00" w:rsidRDefault="001E5DB2" w:rsidP="00D31A00">
      <w:pPr>
        <w:numPr>
          <w:ilvl w:val="1"/>
          <w:numId w:val="61"/>
        </w:numPr>
        <w:spacing w:line="276" w:lineRule="auto"/>
        <w:ind w:left="1701" w:hanging="624"/>
        <w:rPr>
          <w:szCs w:val="24"/>
        </w:rPr>
      </w:pPr>
      <w:r w:rsidRPr="00D31A00">
        <w:rPr>
          <w:szCs w:val="24"/>
        </w:rPr>
        <w:t xml:space="preserve">the holder of a benchmark administrator licence for the generation or administration of a significant financial benchmark; or </w:t>
      </w:r>
    </w:p>
    <w:p w14:paraId="04A9453F" w14:textId="77777777" w:rsidR="001E5DB2" w:rsidRPr="00D31A00" w:rsidRDefault="001E5DB2" w:rsidP="00D31A00">
      <w:pPr>
        <w:numPr>
          <w:ilvl w:val="1"/>
          <w:numId w:val="61"/>
        </w:numPr>
        <w:spacing w:line="276" w:lineRule="auto"/>
        <w:ind w:left="1701" w:hanging="624"/>
        <w:rPr>
          <w:szCs w:val="24"/>
        </w:rPr>
      </w:pPr>
      <w:r w:rsidRPr="00D31A00">
        <w:rPr>
          <w:szCs w:val="24"/>
        </w:rPr>
        <w:t>ASIC for purposes related to the generation or administration of the significant financial benchmark.</w:t>
      </w:r>
    </w:p>
    <w:p w14:paraId="0B5B8383" w14:textId="77777777" w:rsidR="00A4545A" w:rsidRDefault="00A4545A" w:rsidP="00D31A00">
      <w:pPr>
        <w:pStyle w:val="BodyText"/>
        <w:spacing w:before="0"/>
      </w:pPr>
    </w:p>
    <w:p w14:paraId="0DA02821" w14:textId="47FAD38E" w:rsidR="007141AA" w:rsidRPr="00D31A00" w:rsidRDefault="007141AA" w:rsidP="00D31A00">
      <w:pPr>
        <w:pStyle w:val="BodyText"/>
        <w:spacing w:before="0"/>
      </w:pPr>
      <w:r w:rsidRPr="00D31A00">
        <w:t xml:space="preserve">ASIC publicly consulted on the Rules on 17 July 2017. </w:t>
      </w:r>
      <w:r w:rsidR="002C4CB1" w:rsidRPr="00A072B6">
        <w:t>In making the Rules, ASIC has had regard to the matters specified in section 908CK of the Act</w:t>
      </w:r>
      <w:r w:rsidR="002C4CB1">
        <w:t xml:space="preserve">, and has taken into account the </w:t>
      </w:r>
      <w:r w:rsidR="002C4CB1" w:rsidRPr="00A072B6">
        <w:t>Council of Financial Regulators’ final advice to Government on Reforming Australia’s Regulation of Financial Benchmarks</w:t>
      </w:r>
      <w:r w:rsidR="002C4CB1" w:rsidRPr="00A072B6">
        <w:rPr>
          <w:rStyle w:val="FootnoteReference"/>
        </w:rPr>
        <w:footnoteReference w:id="3"/>
      </w:r>
      <w:r w:rsidR="002C4CB1">
        <w:t xml:space="preserve">. </w:t>
      </w:r>
      <w:r w:rsidRPr="00D31A00">
        <w:t>The Minister consented in writing to ASIC maki</w:t>
      </w:r>
      <w:r w:rsidR="006857AC" w:rsidRPr="00D31A00">
        <w:t xml:space="preserve">ng the Rules under </w:t>
      </w:r>
      <w:r w:rsidR="00B31217" w:rsidRPr="00D31A00">
        <w:t>sub</w:t>
      </w:r>
      <w:r w:rsidR="006857AC" w:rsidRPr="00D31A00">
        <w:t>section 908CM(2)</w:t>
      </w:r>
      <w:r w:rsidRPr="00D31A00">
        <w:t xml:space="preserve"> of the Act. </w:t>
      </w:r>
    </w:p>
    <w:p w14:paraId="126D1665" w14:textId="77777777" w:rsidR="006857AC" w:rsidRPr="00D31A00" w:rsidRDefault="006857AC" w:rsidP="00D31A00">
      <w:pPr>
        <w:pStyle w:val="BodyText"/>
        <w:spacing w:before="0"/>
      </w:pPr>
    </w:p>
    <w:p w14:paraId="7080CEA1" w14:textId="42088A24" w:rsidR="006070F8" w:rsidRDefault="006070F8" w:rsidP="00D31A00">
      <w:pPr>
        <w:keepNext/>
        <w:spacing w:line="276" w:lineRule="auto"/>
        <w:rPr>
          <w:b/>
          <w:szCs w:val="24"/>
        </w:rPr>
      </w:pPr>
      <w:r w:rsidRPr="00D31A00">
        <w:rPr>
          <w:b/>
          <w:szCs w:val="24"/>
        </w:rPr>
        <w:lastRenderedPageBreak/>
        <w:t xml:space="preserve">Human rights implications </w:t>
      </w:r>
    </w:p>
    <w:p w14:paraId="5CA85ED1" w14:textId="77777777" w:rsidR="009E2EDE" w:rsidRPr="00D31A00" w:rsidRDefault="009E2EDE" w:rsidP="00D31A00">
      <w:pPr>
        <w:keepNext/>
        <w:spacing w:line="276" w:lineRule="auto"/>
        <w:rPr>
          <w:b/>
          <w:szCs w:val="24"/>
        </w:rPr>
      </w:pPr>
    </w:p>
    <w:p w14:paraId="18B5C065" w14:textId="77777777" w:rsidR="006070F8" w:rsidRPr="00D31A00" w:rsidRDefault="006070F8" w:rsidP="00D31A00">
      <w:pPr>
        <w:spacing w:line="276" w:lineRule="auto"/>
        <w:rPr>
          <w:szCs w:val="24"/>
        </w:rPr>
      </w:pPr>
      <w:r w:rsidRPr="00D31A00">
        <w:rPr>
          <w:szCs w:val="24"/>
        </w:rPr>
        <w:t>The Legislative Instrument does not engage any of the applicable rights or freedoms.</w:t>
      </w:r>
    </w:p>
    <w:p w14:paraId="4994E28B" w14:textId="77777777" w:rsidR="009E2EDE" w:rsidRDefault="009E2EDE" w:rsidP="00D31A00">
      <w:pPr>
        <w:spacing w:line="276" w:lineRule="auto"/>
        <w:rPr>
          <w:b/>
          <w:szCs w:val="24"/>
        </w:rPr>
      </w:pPr>
    </w:p>
    <w:p w14:paraId="73FAEEE2" w14:textId="254B01E8" w:rsidR="006070F8" w:rsidRPr="00D31A00" w:rsidRDefault="006070F8" w:rsidP="00D31A00">
      <w:pPr>
        <w:spacing w:line="276" w:lineRule="auto"/>
        <w:rPr>
          <w:b/>
          <w:szCs w:val="24"/>
        </w:rPr>
      </w:pPr>
      <w:r w:rsidRPr="00D31A00">
        <w:rPr>
          <w:b/>
          <w:szCs w:val="24"/>
        </w:rPr>
        <w:t xml:space="preserve">Conclusion </w:t>
      </w:r>
    </w:p>
    <w:p w14:paraId="06C59F36" w14:textId="77777777" w:rsidR="009E2EDE" w:rsidRDefault="009E2EDE" w:rsidP="00D31A00">
      <w:pPr>
        <w:spacing w:line="276" w:lineRule="auto"/>
        <w:rPr>
          <w:szCs w:val="24"/>
        </w:rPr>
      </w:pPr>
    </w:p>
    <w:p w14:paraId="7124FAE9" w14:textId="499225EC" w:rsidR="001C2643" w:rsidRPr="00D31A00" w:rsidRDefault="006070F8" w:rsidP="00D31A00">
      <w:pPr>
        <w:spacing w:line="276" w:lineRule="auto"/>
        <w:rPr>
          <w:szCs w:val="24"/>
        </w:rPr>
      </w:pPr>
      <w:r w:rsidRPr="00D31A00">
        <w:rPr>
          <w:szCs w:val="24"/>
        </w:rPr>
        <w:t>The Legislative Instrument is compatible with human rights as it does not raise any human rights issues.</w:t>
      </w:r>
    </w:p>
    <w:p w14:paraId="6B439076" w14:textId="3BF60E92" w:rsidR="003F218C" w:rsidRPr="00D31A00" w:rsidRDefault="003F218C" w:rsidP="00D31A00">
      <w:pPr>
        <w:spacing w:line="276" w:lineRule="auto"/>
        <w:ind w:left="720"/>
        <w:rPr>
          <w:szCs w:val="24"/>
        </w:rPr>
      </w:pPr>
    </w:p>
    <w:p w14:paraId="3EFD7E20" w14:textId="77777777" w:rsidR="00896F9F" w:rsidRPr="00D31A00" w:rsidRDefault="00896F9F" w:rsidP="00D31A00">
      <w:pPr>
        <w:pStyle w:val="Heading1"/>
        <w:spacing w:after="0"/>
        <w:ind w:left="0" w:firstLine="0"/>
        <w:rPr>
          <w:rFonts w:ascii="Times New Roman" w:hAnsi="Times New Roman" w:cs="Times New Roman"/>
        </w:rPr>
      </w:pPr>
    </w:p>
    <w:p w14:paraId="077F9ABE" w14:textId="77777777" w:rsidR="009E2EDE" w:rsidRDefault="009E2EDE">
      <w:pPr>
        <w:overflowPunct/>
        <w:autoSpaceDE/>
        <w:autoSpaceDN/>
        <w:adjustRightInd/>
        <w:textAlignment w:val="auto"/>
        <w:rPr>
          <w:b/>
          <w:caps/>
          <w:szCs w:val="24"/>
        </w:rPr>
      </w:pPr>
      <w:r>
        <w:br w:type="page"/>
      </w:r>
    </w:p>
    <w:p w14:paraId="6999D2AD" w14:textId="1C767552" w:rsidR="00A85268" w:rsidRPr="00D31A00" w:rsidRDefault="00A85268" w:rsidP="00D31A00">
      <w:pPr>
        <w:pStyle w:val="Heading1"/>
        <w:spacing w:after="0"/>
        <w:ind w:left="0" w:firstLine="0"/>
        <w:rPr>
          <w:rFonts w:ascii="Times New Roman" w:hAnsi="Times New Roman" w:cs="Times New Roman"/>
        </w:rPr>
      </w:pPr>
      <w:r w:rsidRPr="00D31A00">
        <w:rPr>
          <w:rFonts w:ascii="Times New Roman" w:hAnsi="Times New Roman" w:cs="Times New Roman"/>
        </w:rPr>
        <w:lastRenderedPageBreak/>
        <w:t>Attachment A – Provision-by-provision description of the instrument</w:t>
      </w:r>
    </w:p>
    <w:p w14:paraId="5F109278" w14:textId="77777777" w:rsidR="009E2EDE" w:rsidRDefault="009E2EDE" w:rsidP="00D31A00">
      <w:pPr>
        <w:pStyle w:val="BodyText"/>
        <w:spacing w:before="0"/>
      </w:pPr>
    </w:p>
    <w:p w14:paraId="716E93D0" w14:textId="701E8CE8" w:rsidR="00A85268" w:rsidRPr="00D31A00" w:rsidRDefault="00A85268" w:rsidP="00D31A00">
      <w:pPr>
        <w:pStyle w:val="BodyText"/>
        <w:spacing w:before="0"/>
      </w:pPr>
      <w:r w:rsidRPr="00D31A00">
        <w:t>Capitalised terms used in this Attachment have the same meaning as in the Rules.</w:t>
      </w:r>
    </w:p>
    <w:p w14:paraId="10D4461A" w14:textId="77777777" w:rsidR="00326BBD" w:rsidRPr="00D31A00" w:rsidRDefault="00326BBD" w:rsidP="00D31A00">
      <w:pPr>
        <w:pStyle w:val="Heading3"/>
        <w:spacing w:before="0" w:after="0"/>
        <w:rPr>
          <w:rFonts w:cs="Times New Roman"/>
        </w:rPr>
      </w:pPr>
    </w:p>
    <w:p w14:paraId="3CCB7493" w14:textId="025EFB1D" w:rsidR="00A85268" w:rsidRPr="00D31A00" w:rsidRDefault="00A85268" w:rsidP="00D31A00">
      <w:pPr>
        <w:pStyle w:val="Heading1"/>
        <w:spacing w:after="0"/>
        <w:ind w:firstLine="0"/>
        <w:rPr>
          <w:rFonts w:ascii="Times New Roman" w:hAnsi="Times New Roman" w:cs="Times New Roman"/>
        </w:rPr>
      </w:pPr>
      <w:r w:rsidRPr="00D31A00">
        <w:rPr>
          <w:rFonts w:ascii="Times New Roman" w:hAnsi="Times New Roman" w:cs="Times New Roman"/>
        </w:rPr>
        <w:t>Chapter 1: Introduction</w:t>
      </w:r>
    </w:p>
    <w:p w14:paraId="3D8D25F4" w14:textId="6B59AC8E" w:rsidR="00A85268" w:rsidRPr="00D31A00" w:rsidRDefault="00A85268" w:rsidP="00D31A00">
      <w:pPr>
        <w:pStyle w:val="Heading2"/>
        <w:spacing w:after="0"/>
        <w:rPr>
          <w:rFonts w:ascii="Times New Roman" w:hAnsi="Times New Roman" w:cs="Times New Roman"/>
        </w:rPr>
      </w:pPr>
      <w:r w:rsidRPr="00D31A00">
        <w:rPr>
          <w:rFonts w:ascii="Times New Roman" w:hAnsi="Times New Roman" w:cs="Times New Roman"/>
        </w:rPr>
        <w:t>Part 1.1 Preliminary</w:t>
      </w:r>
    </w:p>
    <w:p w14:paraId="6A204AFE" w14:textId="77777777" w:rsidR="009E2EDE" w:rsidRDefault="009E2EDE" w:rsidP="00D31A00">
      <w:pPr>
        <w:pStyle w:val="Heading3"/>
        <w:spacing w:before="0" w:after="0"/>
        <w:rPr>
          <w:rFonts w:cs="Times New Roman"/>
        </w:rPr>
      </w:pPr>
    </w:p>
    <w:p w14:paraId="09F9139A" w14:textId="43B74D61" w:rsidR="00A85268" w:rsidRPr="00D31A00" w:rsidRDefault="00A85268" w:rsidP="00D31A00">
      <w:pPr>
        <w:pStyle w:val="Heading3"/>
        <w:spacing w:before="0" w:after="0"/>
        <w:rPr>
          <w:rFonts w:cs="Times New Roman"/>
        </w:rPr>
      </w:pPr>
      <w:r w:rsidRPr="00D31A00">
        <w:rPr>
          <w:rFonts w:cs="Times New Roman"/>
        </w:rPr>
        <w:t>Rule 1.1.1 Enabling Legislation</w:t>
      </w:r>
    </w:p>
    <w:p w14:paraId="2D881447" w14:textId="77777777" w:rsidR="009E2EDE" w:rsidRDefault="009E2EDE" w:rsidP="00D31A00">
      <w:pPr>
        <w:spacing w:line="276" w:lineRule="auto"/>
        <w:rPr>
          <w:szCs w:val="24"/>
        </w:rPr>
      </w:pPr>
    </w:p>
    <w:p w14:paraId="489760D2" w14:textId="50141575" w:rsidR="00B96F94" w:rsidRPr="00D31A00" w:rsidRDefault="00A85268" w:rsidP="00D31A00">
      <w:pPr>
        <w:spacing w:line="276" w:lineRule="auto"/>
        <w:rPr>
          <w:b/>
          <w:szCs w:val="24"/>
        </w:rPr>
      </w:pPr>
      <w:r w:rsidRPr="00D31A00">
        <w:rPr>
          <w:szCs w:val="24"/>
        </w:rPr>
        <w:t xml:space="preserve">Rule 1.1.1 provides that </w:t>
      </w:r>
      <w:r w:rsidR="009C754E" w:rsidRPr="00D31A00">
        <w:rPr>
          <w:szCs w:val="24"/>
        </w:rPr>
        <w:t xml:space="preserve">ASIC makes </w:t>
      </w:r>
      <w:r w:rsidRPr="00D31A00">
        <w:rPr>
          <w:szCs w:val="24"/>
        </w:rPr>
        <w:t>the Instrument under section 908C</w:t>
      </w:r>
      <w:r w:rsidR="00372319" w:rsidRPr="00D31A00">
        <w:rPr>
          <w:szCs w:val="24"/>
        </w:rPr>
        <w:t>D</w:t>
      </w:r>
      <w:r w:rsidRPr="00D31A00">
        <w:rPr>
          <w:szCs w:val="24"/>
        </w:rPr>
        <w:t xml:space="preserve"> of the Act. Section 908C</w:t>
      </w:r>
      <w:r w:rsidR="00372319" w:rsidRPr="00D31A00">
        <w:rPr>
          <w:szCs w:val="24"/>
        </w:rPr>
        <w:t>D</w:t>
      </w:r>
      <w:r w:rsidRPr="00D31A00">
        <w:rPr>
          <w:szCs w:val="24"/>
        </w:rPr>
        <w:t xml:space="preserve"> of the Act empowers ASIC to make rules </w:t>
      </w:r>
      <w:r w:rsidR="00127EB1" w:rsidRPr="00D31A00">
        <w:rPr>
          <w:szCs w:val="24"/>
        </w:rPr>
        <w:t xml:space="preserve">conferring the powers and </w:t>
      </w:r>
      <w:r w:rsidRPr="00D31A00">
        <w:rPr>
          <w:szCs w:val="24"/>
        </w:rPr>
        <w:t>dealing with</w:t>
      </w:r>
      <w:r w:rsidR="00127EB1" w:rsidRPr="00D31A00">
        <w:rPr>
          <w:szCs w:val="24"/>
        </w:rPr>
        <w:t xml:space="preserve"> the</w:t>
      </w:r>
      <w:r w:rsidRPr="00D31A00">
        <w:rPr>
          <w:szCs w:val="24"/>
        </w:rPr>
        <w:t xml:space="preserve"> matters</w:t>
      </w:r>
      <w:r w:rsidR="00372319" w:rsidRPr="00D31A00">
        <w:rPr>
          <w:szCs w:val="24"/>
        </w:rPr>
        <w:t xml:space="preserve"> </w:t>
      </w:r>
      <w:r w:rsidR="00D97924" w:rsidRPr="00D31A00">
        <w:rPr>
          <w:szCs w:val="24"/>
        </w:rPr>
        <w:t>permitted by</w:t>
      </w:r>
      <w:r w:rsidR="00372319" w:rsidRPr="00D31A00">
        <w:rPr>
          <w:szCs w:val="24"/>
        </w:rPr>
        <w:t xml:space="preserve"> section</w:t>
      </w:r>
      <w:r w:rsidRPr="00D31A00">
        <w:rPr>
          <w:szCs w:val="24"/>
        </w:rPr>
        <w:t xml:space="preserve"> 908C</w:t>
      </w:r>
      <w:r w:rsidR="00372319" w:rsidRPr="00D31A00">
        <w:rPr>
          <w:szCs w:val="24"/>
        </w:rPr>
        <w:t>E</w:t>
      </w:r>
      <w:r w:rsidRPr="00D31A00">
        <w:rPr>
          <w:szCs w:val="24"/>
        </w:rPr>
        <w:t xml:space="preserve"> of the Act.</w:t>
      </w:r>
    </w:p>
    <w:p w14:paraId="22564812" w14:textId="77777777" w:rsidR="009E2EDE" w:rsidRDefault="009E2EDE" w:rsidP="00D31A00">
      <w:pPr>
        <w:pStyle w:val="Heading3"/>
        <w:spacing w:before="0" w:after="0"/>
        <w:rPr>
          <w:rFonts w:cs="Times New Roman"/>
        </w:rPr>
      </w:pPr>
    </w:p>
    <w:p w14:paraId="2D7C1D0B" w14:textId="2B0CBA5D" w:rsidR="00A85268" w:rsidRPr="00D31A00" w:rsidRDefault="00A85268" w:rsidP="00D31A00">
      <w:pPr>
        <w:pStyle w:val="Heading3"/>
        <w:spacing w:before="0" w:after="0"/>
        <w:rPr>
          <w:rFonts w:cs="Times New Roman"/>
        </w:rPr>
      </w:pPr>
      <w:r w:rsidRPr="00D31A00">
        <w:rPr>
          <w:rFonts w:cs="Times New Roman"/>
        </w:rPr>
        <w:t>Rule 1.1.2 Title</w:t>
      </w:r>
    </w:p>
    <w:p w14:paraId="10072D7C" w14:textId="77777777" w:rsidR="009E2EDE" w:rsidRDefault="009E2EDE" w:rsidP="00D31A00">
      <w:pPr>
        <w:pStyle w:val="BodyText"/>
        <w:spacing w:before="0"/>
      </w:pPr>
    </w:p>
    <w:p w14:paraId="0D72F5CF" w14:textId="7A7906CF" w:rsidR="00A85268" w:rsidRPr="00D31A00" w:rsidRDefault="00A85268" w:rsidP="00D31A00">
      <w:pPr>
        <w:pStyle w:val="BodyText"/>
        <w:spacing w:before="0"/>
      </w:pPr>
      <w:r w:rsidRPr="00D31A00">
        <w:t>Rule 1.1.2 provides that the Instrument is the ASIC Financial Benchmark (</w:t>
      </w:r>
      <w:r w:rsidR="00372319" w:rsidRPr="00D31A00">
        <w:t>Compelled</w:t>
      </w:r>
      <w:r w:rsidRPr="00D31A00">
        <w:t xml:space="preserve">) Rules 2018. </w:t>
      </w:r>
    </w:p>
    <w:p w14:paraId="49ED7876" w14:textId="77777777" w:rsidR="009E2EDE" w:rsidRDefault="009E2EDE" w:rsidP="00D31A00">
      <w:pPr>
        <w:pStyle w:val="Heading3"/>
        <w:spacing w:before="0" w:after="0"/>
        <w:rPr>
          <w:rFonts w:cs="Times New Roman"/>
        </w:rPr>
      </w:pPr>
    </w:p>
    <w:p w14:paraId="0E4CAC44" w14:textId="7E5CD1E7" w:rsidR="00A85268" w:rsidRPr="00D31A00" w:rsidRDefault="00A85268" w:rsidP="00D31A00">
      <w:pPr>
        <w:pStyle w:val="Heading3"/>
        <w:spacing w:before="0" w:after="0"/>
        <w:rPr>
          <w:rFonts w:cs="Times New Roman"/>
        </w:rPr>
      </w:pPr>
      <w:r w:rsidRPr="00D31A00">
        <w:rPr>
          <w:rFonts w:cs="Times New Roman"/>
        </w:rPr>
        <w:t>Rule 1.1.3 Commencement</w:t>
      </w:r>
    </w:p>
    <w:p w14:paraId="3DCC7E77" w14:textId="77777777" w:rsidR="009E2EDE" w:rsidRDefault="009E2EDE" w:rsidP="00D31A00">
      <w:pPr>
        <w:pStyle w:val="BodyText"/>
        <w:spacing w:before="0"/>
      </w:pPr>
    </w:p>
    <w:p w14:paraId="2E796AAC" w14:textId="3EFE533F" w:rsidR="00A85268" w:rsidRPr="00D31A00" w:rsidRDefault="00A85268" w:rsidP="00D31A00">
      <w:pPr>
        <w:pStyle w:val="BodyText"/>
        <w:spacing w:before="0"/>
      </w:pPr>
      <w:r w:rsidRPr="00D31A00">
        <w:t>Rule 1.1.3 provides that the Instrument commences on the day after it is registered on the Federal Register of Legislation.</w:t>
      </w:r>
    </w:p>
    <w:p w14:paraId="34F42DCB" w14:textId="77777777" w:rsidR="009E2EDE" w:rsidRDefault="009E2EDE" w:rsidP="00D31A00">
      <w:pPr>
        <w:pStyle w:val="Heading3"/>
        <w:spacing w:before="0" w:after="0"/>
        <w:rPr>
          <w:rFonts w:cs="Times New Roman"/>
        </w:rPr>
      </w:pPr>
    </w:p>
    <w:p w14:paraId="02FE0448" w14:textId="1762661D" w:rsidR="00A85268" w:rsidRPr="00D31A00" w:rsidRDefault="00A85268" w:rsidP="00D31A00">
      <w:pPr>
        <w:pStyle w:val="Heading3"/>
        <w:spacing w:before="0" w:after="0"/>
        <w:rPr>
          <w:rFonts w:cs="Times New Roman"/>
        </w:rPr>
      </w:pPr>
      <w:r w:rsidRPr="00D31A00">
        <w:rPr>
          <w:rFonts w:cs="Times New Roman"/>
        </w:rPr>
        <w:t>Rule 1.1.4 Entities that must comply with the rules</w:t>
      </w:r>
    </w:p>
    <w:p w14:paraId="0D729358" w14:textId="77777777" w:rsidR="009E2EDE" w:rsidRDefault="009E2EDE" w:rsidP="00D31A00">
      <w:pPr>
        <w:pStyle w:val="BodyText"/>
        <w:spacing w:before="0"/>
      </w:pPr>
    </w:p>
    <w:p w14:paraId="65F6EFAF" w14:textId="1F07E896" w:rsidR="00A85268" w:rsidRPr="00D31A00" w:rsidRDefault="00382D62" w:rsidP="00D31A00">
      <w:pPr>
        <w:pStyle w:val="BodyText"/>
        <w:spacing w:before="0"/>
      </w:pPr>
      <w:r w:rsidRPr="00D31A00">
        <w:t xml:space="preserve">Rule </w:t>
      </w:r>
      <w:r w:rsidR="00A85268" w:rsidRPr="00D31A00">
        <w:t xml:space="preserve">1.1.4 provides that the Rules apply to benchmark administrator licensees and Contributors. A Contributor is defined in </w:t>
      </w:r>
      <w:r w:rsidRPr="00D31A00">
        <w:t>Rule</w:t>
      </w:r>
      <w:r w:rsidR="00A85268" w:rsidRPr="00D31A00">
        <w:t xml:space="preserve"> 1.2.2 as an entity whose activities result in the provision of data or information to a holder of a benchmark administrator licence for the generation or administration of a financial benchmark specified in that licence. </w:t>
      </w:r>
    </w:p>
    <w:p w14:paraId="2D61CCDA" w14:textId="77777777" w:rsidR="009E2EDE" w:rsidRDefault="009E2EDE" w:rsidP="00D31A00">
      <w:pPr>
        <w:pStyle w:val="Heading3"/>
        <w:spacing w:before="0" w:after="0"/>
        <w:rPr>
          <w:rFonts w:cs="Times New Roman"/>
          <w:u w:val="none"/>
        </w:rPr>
      </w:pPr>
    </w:p>
    <w:p w14:paraId="49E6CD88" w14:textId="412B18C3" w:rsidR="006C6FAF" w:rsidRPr="00D31A00" w:rsidRDefault="0085431D" w:rsidP="00D31A00">
      <w:pPr>
        <w:pStyle w:val="Heading3"/>
        <w:spacing w:before="0" w:after="0"/>
        <w:rPr>
          <w:rFonts w:cs="Times New Roman"/>
          <w:u w:val="none"/>
        </w:rPr>
      </w:pPr>
      <w:r w:rsidRPr="00D31A00">
        <w:rPr>
          <w:rFonts w:cs="Times New Roman"/>
          <w:u w:val="none"/>
        </w:rPr>
        <w:t>The note to Rule 1.1.4 explains that section 908CF of the Act provides that a person (whether a benchmark administrator licensee or otherwise) must comply with the provisions of the compelled financial benchmark rules that apply to the person.</w:t>
      </w:r>
      <w:r w:rsidR="006C6FAF" w:rsidRPr="00D31A00">
        <w:rPr>
          <w:rFonts w:cs="Times New Roman"/>
          <w:u w:val="none"/>
        </w:rPr>
        <w:t xml:space="preserve"> </w:t>
      </w:r>
    </w:p>
    <w:p w14:paraId="67381995" w14:textId="77777777" w:rsidR="009E2EDE" w:rsidRDefault="009E2EDE" w:rsidP="00D31A00">
      <w:pPr>
        <w:pStyle w:val="BodyText"/>
        <w:spacing w:before="0"/>
      </w:pPr>
    </w:p>
    <w:p w14:paraId="3667B97E" w14:textId="0DC204A0" w:rsidR="006C6FAF" w:rsidRPr="00D31A00" w:rsidRDefault="005F637A" w:rsidP="00D31A00">
      <w:pPr>
        <w:pStyle w:val="BodyText"/>
        <w:spacing w:before="0"/>
      </w:pPr>
      <w:r w:rsidRPr="00D31A00">
        <w:t>Further, u</w:t>
      </w:r>
      <w:r w:rsidR="006C6FAF" w:rsidRPr="00D31A00">
        <w:t>nder section 908CJ of the Act, if:</w:t>
      </w:r>
    </w:p>
    <w:p w14:paraId="4443DD81" w14:textId="77777777" w:rsidR="006C6FAF" w:rsidRPr="00D31A00" w:rsidRDefault="006C6FAF" w:rsidP="00D31A00">
      <w:pPr>
        <w:numPr>
          <w:ilvl w:val="0"/>
          <w:numId w:val="50"/>
        </w:numPr>
        <w:spacing w:line="276" w:lineRule="auto"/>
        <w:ind w:left="993" w:hanging="633"/>
        <w:rPr>
          <w:szCs w:val="24"/>
        </w:rPr>
      </w:pPr>
      <w:r w:rsidRPr="00D31A00">
        <w:rPr>
          <w:szCs w:val="24"/>
        </w:rPr>
        <w:t xml:space="preserve">a person (the </w:t>
      </w:r>
      <w:r w:rsidRPr="00D31A00">
        <w:rPr>
          <w:b/>
          <w:i/>
          <w:szCs w:val="24"/>
        </w:rPr>
        <w:t>protected person</w:t>
      </w:r>
      <w:r w:rsidRPr="00D31A00">
        <w:rPr>
          <w:szCs w:val="24"/>
        </w:rPr>
        <w:t>):</w:t>
      </w:r>
    </w:p>
    <w:p w14:paraId="7A9589AF" w14:textId="77777777" w:rsidR="006C6FAF" w:rsidRPr="00D31A00" w:rsidRDefault="006C6FAF" w:rsidP="00D31A00">
      <w:pPr>
        <w:numPr>
          <w:ilvl w:val="0"/>
          <w:numId w:val="51"/>
        </w:numPr>
        <w:spacing w:line="276" w:lineRule="auto"/>
        <w:ind w:left="1701" w:hanging="621"/>
        <w:rPr>
          <w:szCs w:val="24"/>
        </w:rPr>
      </w:pPr>
      <w:r w:rsidRPr="00D31A00">
        <w:rPr>
          <w:szCs w:val="24"/>
        </w:rPr>
        <w:t>provides financial benchmark data, or other information, to another person; or</w:t>
      </w:r>
    </w:p>
    <w:p w14:paraId="55CFE706" w14:textId="77777777" w:rsidR="006C6FAF" w:rsidRPr="00D31A00" w:rsidRDefault="006C6FAF" w:rsidP="00D31A00">
      <w:pPr>
        <w:numPr>
          <w:ilvl w:val="0"/>
          <w:numId w:val="51"/>
        </w:numPr>
        <w:spacing w:line="276" w:lineRule="auto"/>
        <w:ind w:left="1701" w:hanging="621"/>
        <w:rPr>
          <w:szCs w:val="24"/>
        </w:rPr>
      </w:pPr>
      <w:r w:rsidRPr="00D31A00">
        <w:rPr>
          <w:szCs w:val="24"/>
        </w:rPr>
        <w:t>otherwise allows another person access to financial benchmark data, or other information; or</w:t>
      </w:r>
    </w:p>
    <w:p w14:paraId="23DEB31D" w14:textId="77777777" w:rsidR="006C6FAF" w:rsidRPr="00D31A00" w:rsidRDefault="006C6FAF" w:rsidP="00D31A00">
      <w:pPr>
        <w:numPr>
          <w:ilvl w:val="0"/>
          <w:numId w:val="51"/>
        </w:numPr>
        <w:spacing w:line="276" w:lineRule="auto"/>
        <w:ind w:left="1701" w:hanging="621"/>
        <w:rPr>
          <w:szCs w:val="24"/>
        </w:rPr>
      </w:pPr>
      <w:r w:rsidRPr="00D31A00">
        <w:rPr>
          <w:szCs w:val="24"/>
        </w:rPr>
        <w:t>generates or administers in a particular way a significant financial benchmark specified in a benchmark administrator licence; and</w:t>
      </w:r>
    </w:p>
    <w:p w14:paraId="318A2286" w14:textId="77777777" w:rsidR="006C6FAF" w:rsidRPr="00D31A00" w:rsidRDefault="006C6FAF" w:rsidP="00D31A00">
      <w:pPr>
        <w:numPr>
          <w:ilvl w:val="0"/>
          <w:numId w:val="50"/>
        </w:numPr>
        <w:spacing w:line="276" w:lineRule="auto"/>
        <w:ind w:left="993" w:hanging="633"/>
        <w:rPr>
          <w:szCs w:val="24"/>
        </w:rPr>
      </w:pPr>
      <w:r w:rsidRPr="00D31A00">
        <w:rPr>
          <w:szCs w:val="24"/>
        </w:rPr>
        <w:lastRenderedPageBreak/>
        <w:t>the protected person does so, in good faith, in compliance with a requirement imposed by the compelled financial benchmark rules;</w:t>
      </w:r>
    </w:p>
    <w:p w14:paraId="1B5B30FE" w14:textId="59250725" w:rsidR="006C6FAF" w:rsidRPr="00D31A00" w:rsidRDefault="006C6FAF" w:rsidP="00D31A00">
      <w:pPr>
        <w:spacing w:line="276" w:lineRule="auto"/>
        <w:rPr>
          <w:szCs w:val="24"/>
        </w:rPr>
      </w:pPr>
      <w:r w:rsidRPr="00D31A00">
        <w:rPr>
          <w:szCs w:val="24"/>
        </w:rPr>
        <w:t>the protected person is not liable to an action or other proceeding, whether civil or criminal, for or in relation to that conduct.</w:t>
      </w:r>
    </w:p>
    <w:p w14:paraId="15BA0F4F" w14:textId="75613778" w:rsidR="0085431D" w:rsidRPr="00D31A00" w:rsidRDefault="0085431D" w:rsidP="00D31A00">
      <w:pPr>
        <w:pStyle w:val="BodyText"/>
        <w:spacing w:before="0"/>
      </w:pPr>
    </w:p>
    <w:p w14:paraId="4D55E8E3" w14:textId="092B2B55" w:rsidR="00A85268" w:rsidRPr="00D31A00" w:rsidRDefault="00382D62" w:rsidP="00D31A00">
      <w:pPr>
        <w:pStyle w:val="Heading3"/>
        <w:spacing w:before="0" w:after="0"/>
        <w:rPr>
          <w:rFonts w:cs="Times New Roman"/>
        </w:rPr>
      </w:pPr>
      <w:r w:rsidRPr="00D31A00">
        <w:rPr>
          <w:rFonts w:cs="Times New Roman"/>
        </w:rPr>
        <w:t xml:space="preserve">Rule 1.1.5 </w:t>
      </w:r>
      <w:r w:rsidR="00372319" w:rsidRPr="00D31A00">
        <w:rPr>
          <w:rFonts w:cs="Times New Roman"/>
        </w:rPr>
        <w:t>Penalty amounts for each rule</w:t>
      </w:r>
    </w:p>
    <w:p w14:paraId="3113C765" w14:textId="77777777" w:rsidR="009E2EDE" w:rsidRDefault="009E2EDE" w:rsidP="00D31A00">
      <w:pPr>
        <w:pStyle w:val="BodyText"/>
        <w:spacing w:before="0"/>
      </w:pPr>
    </w:p>
    <w:p w14:paraId="20BADDB1" w14:textId="77777777" w:rsidR="009E2EDE" w:rsidRDefault="00382D62" w:rsidP="00D31A00">
      <w:pPr>
        <w:pStyle w:val="BodyText"/>
        <w:spacing w:before="0"/>
      </w:pPr>
      <w:r w:rsidRPr="00D31A00">
        <w:t>Subrule 1.1.5(1) provides that, for paragraph 908CO(b) of the Act, the penalty amount specified under a Rule is the penalty amount for that Rule. Paragraph 908CO(b) of the Act provides</w:t>
      </w:r>
      <w:r w:rsidR="00D60407" w:rsidRPr="00D31A00">
        <w:t xml:space="preserve"> that the</w:t>
      </w:r>
      <w:r w:rsidRPr="00D31A00">
        <w:t xml:space="preserve"> compelled financial benchmark rules may specify a penalty amount for a rule</w:t>
      </w:r>
      <w:r w:rsidR="00D60407" w:rsidRPr="00D31A00">
        <w:t xml:space="preserve"> and the </w:t>
      </w:r>
      <w:r w:rsidRPr="00D31A00">
        <w:t>penalty amount must not exceed 5,500 penalty units (for any entity). At the time of making the rules, a penalty unit for the</w:t>
      </w:r>
      <w:r w:rsidR="00372319" w:rsidRPr="00D31A00">
        <w:t xml:space="preserve"> purposes of paragraph 908CO(b)</w:t>
      </w:r>
      <w:r w:rsidRPr="00D31A00">
        <w:t xml:space="preserve"> is $</w:t>
      </w:r>
      <w:r w:rsidR="00DF0F2D" w:rsidRPr="00D31A00">
        <w:t>210</w:t>
      </w:r>
      <w:r w:rsidRPr="00D31A00">
        <w:t xml:space="preserve"> (see section 4AA of the </w:t>
      </w:r>
      <w:r w:rsidRPr="009E2EDE">
        <w:t>Crimes Act 1914</w:t>
      </w:r>
      <w:r w:rsidRPr="00D31A00">
        <w:t>).</w:t>
      </w:r>
    </w:p>
    <w:p w14:paraId="341B40F1" w14:textId="58D5E4E4" w:rsidR="00382D62" w:rsidRPr="00D31A00" w:rsidRDefault="00382D62" w:rsidP="00D31A00">
      <w:pPr>
        <w:pStyle w:val="BodyText"/>
        <w:spacing w:before="0"/>
      </w:pPr>
      <w:r w:rsidRPr="00D31A00">
        <w:t xml:space="preserve"> </w:t>
      </w:r>
    </w:p>
    <w:p w14:paraId="14973226" w14:textId="7175A74B" w:rsidR="00382D62" w:rsidRPr="00D31A00" w:rsidRDefault="00382D62" w:rsidP="00D31A00">
      <w:pPr>
        <w:pStyle w:val="BodyText"/>
        <w:spacing w:before="0"/>
      </w:pPr>
      <w:r w:rsidRPr="00D31A00">
        <w:t>Subrule 1.1.5(2) provides that, if no penalty amount is specified under a Rule, there is no penalty for that Rule.</w:t>
      </w:r>
    </w:p>
    <w:p w14:paraId="499FE407" w14:textId="77777777" w:rsidR="00326BBD" w:rsidRPr="00D31A00" w:rsidRDefault="00326BBD" w:rsidP="00D31A00">
      <w:pPr>
        <w:pStyle w:val="BodyText"/>
        <w:spacing w:before="0"/>
      </w:pPr>
    </w:p>
    <w:p w14:paraId="2EFED6CA" w14:textId="36063EF5" w:rsidR="00A85268" w:rsidRPr="00D31A00" w:rsidRDefault="00382D62" w:rsidP="00D31A00">
      <w:pPr>
        <w:pStyle w:val="Heading2"/>
        <w:spacing w:after="0"/>
        <w:rPr>
          <w:rFonts w:ascii="Times New Roman" w:hAnsi="Times New Roman" w:cs="Times New Roman"/>
        </w:rPr>
      </w:pPr>
      <w:r w:rsidRPr="00D31A00">
        <w:rPr>
          <w:rFonts w:ascii="Times New Roman" w:hAnsi="Times New Roman" w:cs="Times New Roman"/>
        </w:rPr>
        <w:t xml:space="preserve">Part 1.2 </w:t>
      </w:r>
      <w:r w:rsidR="00A85268" w:rsidRPr="00D31A00">
        <w:rPr>
          <w:rFonts w:ascii="Times New Roman" w:hAnsi="Times New Roman" w:cs="Times New Roman"/>
        </w:rPr>
        <w:t>Interpretation</w:t>
      </w:r>
    </w:p>
    <w:p w14:paraId="60B81C93" w14:textId="77777777" w:rsidR="009E2EDE" w:rsidRDefault="009E2EDE" w:rsidP="00D31A00">
      <w:pPr>
        <w:pStyle w:val="Heading3"/>
        <w:spacing w:before="0" w:after="0"/>
        <w:rPr>
          <w:rFonts w:cs="Times New Roman"/>
        </w:rPr>
      </w:pPr>
    </w:p>
    <w:p w14:paraId="4A558D9D" w14:textId="47E2BEA2" w:rsidR="00382D62" w:rsidRPr="00D31A00" w:rsidRDefault="00382D62" w:rsidP="00D31A00">
      <w:pPr>
        <w:pStyle w:val="Heading3"/>
        <w:spacing w:before="0" w:after="0"/>
        <w:rPr>
          <w:rFonts w:cs="Times New Roman"/>
        </w:rPr>
      </w:pPr>
      <w:r w:rsidRPr="00D31A00">
        <w:rPr>
          <w:rFonts w:cs="Times New Roman"/>
        </w:rPr>
        <w:t>Rule 1.2.1 Words and expressions defined in the Corporations Act</w:t>
      </w:r>
    </w:p>
    <w:p w14:paraId="44C1C261" w14:textId="77777777" w:rsidR="009E2EDE" w:rsidRDefault="009E2EDE" w:rsidP="00D31A00">
      <w:pPr>
        <w:pStyle w:val="BodyText"/>
        <w:spacing w:before="0"/>
      </w:pPr>
    </w:p>
    <w:p w14:paraId="0182DEE0" w14:textId="12BBABFD" w:rsidR="00A85268" w:rsidRPr="00D31A00" w:rsidRDefault="00382D62" w:rsidP="00D31A00">
      <w:pPr>
        <w:pStyle w:val="BodyText"/>
        <w:spacing w:before="0"/>
      </w:pPr>
      <w:r w:rsidRPr="00D31A00">
        <w:t xml:space="preserve">Rule 1.2.1 provides that words and expressions defined in the Act will, unless otherwise defined or specified in the Rules or the contrary intention appears, have the same meaning in the Rules. </w:t>
      </w:r>
    </w:p>
    <w:p w14:paraId="6D03C0E4" w14:textId="77777777" w:rsidR="009E2EDE" w:rsidRDefault="009E2EDE" w:rsidP="00D31A00">
      <w:pPr>
        <w:pStyle w:val="Heading3"/>
        <w:spacing w:before="0" w:after="0"/>
        <w:rPr>
          <w:rFonts w:cs="Times New Roman"/>
        </w:rPr>
      </w:pPr>
    </w:p>
    <w:p w14:paraId="3BC32C9A" w14:textId="2FE7DC86" w:rsidR="00382D62" w:rsidRPr="00D31A00" w:rsidRDefault="00382D62" w:rsidP="00D31A00">
      <w:pPr>
        <w:pStyle w:val="Heading3"/>
        <w:spacing w:before="0" w:after="0"/>
        <w:rPr>
          <w:rFonts w:cs="Times New Roman"/>
        </w:rPr>
      </w:pPr>
      <w:r w:rsidRPr="00D31A00">
        <w:rPr>
          <w:rFonts w:cs="Times New Roman"/>
        </w:rPr>
        <w:t>Rule 1.2.2 Definitions</w:t>
      </w:r>
    </w:p>
    <w:p w14:paraId="05BCE116" w14:textId="77777777" w:rsidR="009E2EDE" w:rsidRDefault="009E2EDE" w:rsidP="00D31A00">
      <w:pPr>
        <w:pStyle w:val="BodyText"/>
        <w:spacing w:before="0"/>
      </w:pPr>
    </w:p>
    <w:p w14:paraId="22482AE7" w14:textId="33B01907" w:rsidR="00382D62" w:rsidRPr="00D31A00" w:rsidRDefault="00382D62" w:rsidP="00D31A00">
      <w:pPr>
        <w:pStyle w:val="BodyText"/>
        <w:spacing w:before="0"/>
      </w:pPr>
      <w:r w:rsidRPr="00D31A00">
        <w:t>Rule 1.2.2 provides definitions for the following terms used in the Rules:</w:t>
      </w:r>
    </w:p>
    <w:p w14:paraId="56426F93" w14:textId="77777777" w:rsidR="00382D62" w:rsidRPr="00D31A00" w:rsidRDefault="00382D62" w:rsidP="00D31A00">
      <w:pPr>
        <w:numPr>
          <w:ilvl w:val="0"/>
          <w:numId w:val="10"/>
        </w:numPr>
        <w:spacing w:line="276" w:lineRule="auto"/>
        <w:ind w:left="993" w:hanging="633"/>
        <w:rPr>
          <w:szCs w:val="24"/>
        </w:rPr>
      </w:pPr>
      <w:r w:rsidRPr="00D31A00">
        <w:rPr>
          <w:szCs w:val="24"/>
        </w:rPr>
        <w:t>Act;</w:t>
      </w:r>
    </w:p>
    <w:p w14:paraId="74EE451D" w14:textId="37DE0E5A" w:rsidR="00382D62" w:rsidRPr="00D31A00" w:rsidRDefault="00382D62" w:rsidP="00D31A00">
      <w:pPr>
        <w:numPr>
          <w:ilvl w:val="0"/>
          <w:numId w:val="10"/>
        </w:numPr>
        <w:spacing w:line="276" w:lineRule="auto"/>
        <w:ind w:left="993" w:hanging="633"/>
        <w:rPr>
          <w:szCs w:val="24"/>
        </w:rPr>
      </w:pPr>
      <w:r w:rsidRPr="00D31A00">
        <w:rPr>
          <w:szCs w:val="24"/>
        </w:rPr>
        <w:t>Contributor;</w:t>
      </w:r>
      <w:r w:rsidR="001815CC" w:rsidRPr="00D31A00">
        <w:rPr>
          <w:szCs w:val="24"/>
        </w:rPr>
        <w:t xml:space="preserve"> and</w:t>
      </w:r>
    </w:p>
    <w:p w14:paraId="214D6467" w14:textId="5FF8F9CC" w:rsidR="00A85268" w:rsidRPr="00D31A00" w:rsidRDefault="001815CC" w:rsidP="00D31A00">
      <w:pPr>
        <w:numPr>
          <w:ilvl w:val="0"/>
          <w:numId w:val="10"/>
        </w:numPr>
        <w:spacing w:line="276" w:lineRule="auto"/>
        <w:ind w:left="993" w:hanging="633"/>
        <w:rPr>
          <w:szCs w:val="24"/>
        </w:rPr>
      </w:pPr>
      <w:r w:rsidRPr="00D31A00">
        <w:rPr>
          <w:szCs w:val="24"/>
        </w:rPr>
        <w:t>Rules</w:t>
      </w:r>
      <w:r w:rsidR="00382D62" w:rsidRPr="00D31A00">
        <w:rPr>
          <w:szCs w:val="24"/>
        </w:rPr>
        <w:t xml:space="preserve">. </w:t>
      </w:r>
    </w:p>
    <w:p w14:paraId="36C4EBA9" w14:textId="77777777" w:rsidR="00326BBD" w:rsidRPr="00D31A00" w:rsidRDefault="00326BBD" w:rsidP="00D31A00">
      <w:pPr>
        <w:spacing w:line="276" w:lineRule="auto"/>
        <w:rPr>
          <w:szCs w:val="24"/>
        </w:rPr>
      </w:pPr>
    </w:p>
    <w:p w14:paraId="7509E94B" w14:textId="365BC93A" w:rsidR="00A51980" w:rsidRPr="00D31A00" w:rsidRDefault="00A51980" w:rsidP="00D31A00">
      <w:pPr>
        <w:pStyle w:val="Heading1"/>
        <w:spacing w:after="0"/>
        <w:ind w:firstLine="0"/>
        <w:rPr>
          <w:rFonts w:ascii="Times New Roman" w:hAnsi="Times New Roman" w:cs="Times New Roman"/>
        </w:rPr>
      </w:pPr>
      <w:r w:rsidRPr="00D31A00">
        <w:rPr>
          <w:rFonts w:ascii="Times New Roman" w:hAnsi="Times New Roman" w:cs="Times New Roman"/>
        </w:rPr>
        <w:t xml:space="preserve">Chapter 2: </w:t>
      </w:r>
      <w:r w:rsidR="001815CC" w:rsidRPr="00D31A00">
        <w:rPr>
          <w:rFonts w:ascii="Times New Roman" w:hAnsi="Times New Roman" w:cs="Times New Roman"/>
        </w:rPr>
        <w:t>Mandatory generation or administration of a significant financial benchmark</w:t>
      </w:r>
    </w:p>
    <w:p w14:paraId="0451779D" w14:textId="77777777" w:rsidR="009E2EDE" w:rsidRDefault="009E2EDE" w:rsidP="00D31A00">
      <w:pPr>
        <w:pStyle w:val="Heading3"/>
        <w:spacing w:before="0" w:after="0"/>
        <w:rPr>
          <w:rFonts w:cs="Times New Roman"/>
        </w:rPr>
      </w:pPr>
    </w:p>
    <w:p w14:paraId="2230C212" w14:textId="0F211C90" w:rsidR="00A51980" w:rsidRPr="00D31A00" w:rsidRDefault="00A51980" w:rsidP="00D31A00">
      <w:pPr>
        <w:pStyle w:val="Heading3"/>
        <w:spacing w:before="0" w:after="0"/>
        <w:rPr>
          <w:rFonts w:cs="Times New Roman"/>
        </w:rPr>
      </w:pPr>
      <w:r w:rsidRPr="00D31A00">
        <w:rPr>
          <w:rFonts w:cs="Times New Roman"/>
        </w:rPr>
        <w:t xml:space="preserve">Rule 2.1.1 </w:t>
      </w:r>
      <w:r w:rsidR="001815CC" w:rsidRPr="00D31A00">
        <w:rPr>
          <w:rFonts w:cs="Times New Roman"/>
        </w:rPr>
        <w:t>Notice to benchmark administrator licensee</w:t>
      </w:r>
    </w:p>
    <w:p w14:paraId="5B62331B" w14:textId="77777777" w:rsidR="009E2EDE" w:rsidRDefault="009E2EDE" w:rsidP="00D31A00">
      <w:pPr>
        <w:pStyle w:val="BodyText"/>
        <w:spacing w:before="0"/>
      </w:pPr>
    </w:p>
    <w:p w14:paraId="056DFBD4" w14:textId="23F07917" w:rsidR="001815CC" w:rsidRPr="00D31A00" w:rsidRDefault="001815CC" w:rsidP="00D31A00">
      <w:pPr>
        <w:pStyle w:val="BodyText"/>
        <w:spacing w:before="0"/>
      </w:pPr>
      <w:r w:rsidRPr="00D31A00">
        <w:t>Subr</w:t>
      </w:r>
      <w:r w:rsidR="00093830" w:rsidRPr="00D31A00">
        <w:t>ule 2.1.1</w:t>
      </w:r>
      <w:r w:rsidRPr="00D31A00">
        <w:t>(1)</w:t>
      </w:r>
      <w:r w:rsidR="00093830" w:rsidRPr="00D31A00">
        <w:t xml:space="preserve"> provides that </w:t>
      </w:r>
      <w:r w:rsidRPr="00D31A00">
        <w:t xml:space="preserve">ASIC may, by written notice, require the holder of a benchmark administrator licence that specifies a significant financial benchmark: </w:t>
      </w:r>
    </w:p>
    <w:p w14:paraId="67629EF3" w14:textId="77777777" w:rsidR="001815CC" w:rsidRPr="00D31A00" w:rsidRDefault="001815CC" w:rsidP="00D31A00">
      <w:pPr>
        <w:numPr>
          <w:ilvl w:val="0"/>
          <w:numId w:val="11"/>
        </w:numPr>
        <w:spacing w:line="276" w:lineRule="auto"/>
        <w:ind w:left="993" w:hanging="633"/>
        <w:rPr>
          <w:szCs w:val="24"/>
        </w:rPr>
      </w:pPr>
      <w:r w:rsidRPr="00D31A00">
        <w:rPr>
          <w:szCs w:val="24"/>
        </w:rPr>
        <w:t>to continue to generate or administer the significant financial benchmark; or</w:t>
      </w:r>
    </w:p>
    <w:p w14:paraId="4D78AD30" w14:textId="77777777" w:rsidR="001815CC" w:rsidRPr="00D31A00" w:rsidRDefault="001815CC" w:rsidP="00D31A00">
      <w:pPr>
        <w:numPr>
          <w:ilvl w:val="0"/>
          <w:numId w:val="11"/>
        </w:numPr>
        <w:spacing w:line="276" w:lineRule="auto"/>
        <w:ind w:left="993" w:hanging="633"/>
        <w:rPr>
          <w:szCs w:val="24"/>
        </w:rPr>
      </w:pPr>
      <w:r w:rsidRPr="00D31A00">
        <w:rPr>
          <w:szCs w:val="24"/>
        </w:rPr>
        <w:t xml:space="preserve">to generate or administer the significant financial benchmark in a particular way. </w:t>
      </w:r>
    </w:p>
    <w:p w14:paraId="49263545" w14:textId="77777777" w:rsidR="009E2EDE" w:rsidRDefault="009E2EDE" w:rsidP="00D31A00">
      <w:pPr>
        <w:pStyle w:val="BodyText"/>
        <w:spacing w:before="0"/>
      </w:pPr>
    </w:p>
    <w:p w14:paraId="2998ED45" w14:textId="2C6566D1" w:rsidR="001815CC" w:rsidRPr="00D31A00" w:rsidRDefault="001815CC" w:rsidP="00D31A00">
      <w:pPr>
        <w:pStyle w:val="BodyText"/>
        <w:spacing w:before="0"/>
      </w:pPr>
      <w:r w:rsidRPr="00D31A00">
        <w:t>Subrule 2.1.1(2) provides that the licensee must comply with the notice.</w:t>
      </w:r>
    </w:p>
    <w:p w14:paraId="6AD339F2" w14:textId="4485FB9D" w:rsidR="001815CC" w:rsidRPr="00D31A00" w:rsidRDefault="001815CC" w:rsidP="00D31A00">
      <w:pPr>
        <w:pStyle w:val="BodyText"/>
        <w:spacing w:before="0"/>
      </w:pPr>
      <w:r w:rsidRPr="00D31A00">
        <w:lastRenderedPageBreak/>
        <w:t xml:space="preserve">Subrule 2.1.1(3) provides that without limiting subrule </w:t>
      </w:r>
      <w:r w:rsidR="007574FE">
        <w:t>2.1.1</w:t>
      </w:r>
      <w:r w:rsidRPr="00D31A00">
        <w:t>(1), a notice under that subrule may:</w:t>
      </w:r>
    </w:p>
    <w:p w14:paraId="4462D680" w14:textId="77777777" w:rsidR="001815CC" w:rsidRPr="00D31A00" w:rsidRDefault="001815CC" w:rsidP="00D31A00">
      <w:pPr>
        <w:numPr>
          <w:ilvl w:val="0"/>
          <w:numId w:val="46"/>
        </w:numPr>
        <w:spacing w:line="276" w:lineRule="auto"/>
        <w:ind w:left="993" w:hanging="633"/>
        <w:rPr>
          <w:szCs w:val="24"/>
        </w:rPr>
      </w:pPr>
      <w:r w:rsidRPr="00D31A00">
        <w:rPr>
          <w:szCs w:val="24"/>
        </w:rPr>
        <w:t>specify the period during which the licensee must comply with the notice, including by reference to the occurrence of one or more events; and</w:t>
      </w:r>
    </w:p>
    <w:p w14:paraId="1ECBC165" w14:textId="77777777" w:rsidR="001815CC" w:rsidRPr="00D31A00" w:rsidRDefault="001815CC" w:rsidP="00D31A00">
      <w:pPr>
        <w:numPr>
          <w:ilvl w:val="0"/>
          <w:numId w:val="46"/>
        </w:numPr>
        <w:spacing w:line="276" w:lineRule="auto"/>
        <w:ind w:left="993" w:hanging="633"/>
        <w:rPr>
          <w:szCs w:val="24"/>
        </w:rPr>
      </w:pPr>
      <w:r w:rsidRPr="00D31A00">
        <w:rPr>
          <w:szCs w:val="24"/>
        </w:rPr>
        <w:t>specify requirements the licensee must comply with in generating or administering the significant financial benchmark, including:</w:t>
      </w:r>
    </w:p>
    <w:p w14:paraId="09C711D1" w14:textId="77777777" w:rsidR="001815CC" w:rsidRPr="00D31A00" w:rsidRDefault="001815CC" w:rsidP="00D31A00">
      <w:pPr>
        <w:numPr>
          <w:ilvl w:val="0"/>
          <w:numId w:val="18"/>
        </w:numPr>
        <w:spacing w:line="276" w:lineRule="auto"/>
        <w:ind w:left="1701" w:hanging="621"/>
        <w:rPr>
          <w:szCs w:val="24"/>
        </w:rPr>
      </w:pPr>
      <w:r w:rsidRPr="00D31A00">
        <w:rPr>
          <w:szCs w:val="24"/>
        </w:rPr>
        <w:t>requirements relating to changes to the method the licensee uses to generate or administer the significant financial benchmark; and</w:t>
      </w:r>
    </w:p>
    <w:p w14:paraId="35033566" w14:textId="77777777" w:rsidR="001815CC" w:rsidRPr="00D31A00" w:rsidRDefault="001815CC" w:rsidP="00D31A00">
      <w:pPr>
        <w:numPr>
          <w:ilvl w:val="0"/>
          <w:numId w:val="18"/>
        </w:numPr>
        <w:spacing w:line="276" w:lineRule="auto"/>
        <w:ind w:left="1701" w:hanging="621"/>
        <w:rPr>
          <w:szCs w:val="24"/>
        </w:rPr>
      </w:pPr>
      <w:r w:rsidRPr="00D31A00">
        <w:rPr>
          <w:szCs w:val="24"/>
        </w:rPr>
        <w:t>where the licensee intends to cease generating or administering the significant financial benchmark, requirements relating to the:</w:t>
      </w:r>
    </w:p>
    <w:p w14:paraId="572465EA" w14:textId="77777777" w:rsidR="001815CC" w:rsidRPr="00D31A00" w:rsidRDefault="001815CC" w:rsidP="00D31A00">
      <w:pPr>
        <w:pStyle w:val="MIRsubsubsubpara"/>
        <w:spacing w:before="0" w:line="276" w:lineRule="auto"/>
        <w:ind w:left="2127" w:hanging="426"/>
        <w:rPr>
          <w:sz w:val="24"/>
          <w:szCs w:val="24"/>
        </w:rPr>
      </w:pPr>
      <w:r w:rsidRPr="00D31A00">
        <w:rPr>
          <w:rStyle w:val="MIRSubsubparaChar"/>
          <w:sz w:val="24"/>
          <w:szCs w:val="24"/>
        </w:rPr>
        <w:t>o</w:t>
      </w:r>
      <w:r w:rsidRPr="00D31A00">
        <w:rPr>
          <w:sz w:val="24"/>
          <w:szCs w:val="24"/>
        </w:rPr>
        <w:t>rderly transition of the significant financial benchmark to another holder of a benchmark administrator licence; or</w:t>
      </w:r>
    </w:p>
    <w:p w14:paraId="2A66B660" w14:textId="77777777" w:rsidR="001815CC" w:rsidRPr="00D31A00" w:rsidRDefault="001815CC" w:rsidP="00D31A00">
      <w:pPr>
        <w:pStyle w:val="MIRsubsubsubpara"/>
        <w:spacing w:before="0" w:line="276" w:lineRule="auto"/>
        <w:ind w:left="2127" w:hanging="426"/>
        <w:rPr>
          <w:sz w:val="24"/>
          <w:szCs w:val="24"/>
        </w:rPr>
      </w:pPr>
      <w:r w:rsidRPr="00D31A00">
        <w:rPr>
          <w:sz w:val="24"/>
          <w:szCs w:val="24"/>
        </w:rPr>
        <w:t xml:space="preserve">orderly </w:t>
      </w:r>
      <w:r w:rsidRPr="00D31A00">
        <w:rPr>
          <w:rStyle w:val="MIRSubsubparaChar"/>
          <w:sz w:val="24"/>
          <w:szCs w:val="24"/>
        </w:rPr>
        <w:t>cessation</w:t>
      </w:r>
      <w:r w:rsidRPr="00D31A00">
        <w:rPr>
          <w:sz w:val="24"/>
          <w:szCs w:val="24"/>
        </w:rPr>
        <w:t xml:space="preserve"> of the generation and administration of the significant financial benchmark.</w:t>
      </w:r>
    </w:p>
    <w:p w14:paraId="5D064CEB" w14:textId="77777777" w:rsidR="009E2EDE" w:rsidRDefault="009E2EDE" w:rsidP="00D31A00">
      <w:pPr>
        <w:pStyle w:val="BodyText"/>
        <w:spacing w:before="0"/>
      </w:pPr>
    </w:p>
    <w:p w14:paraId="2E3CAFC0" w14:textId="51BFE1AD" w:rsidR="00EB5903" w:rsidRDefault="009E2EDE" w:rsidP="00D31A00">
      <w:pPr>
        <w:pStyle w:val="BodyText"/>
        <w:spacing w:before="0"/>
      </w:pPr>
      <w:r>
        <w:t>The purpose of R</w:t>
      </w:r>
      <w:r w:rsidR="00EB5903" w:rsidRPr="00D31A00">
        <w:t xml:space="preserve">ule 2.1.1 is to enable ASIC to compel a licensee to continue generating or administering the significant financial benchmark or to generate or administer it in a particular way in certain circumstances. </w:t>
      </w:r>
    </w:p>
    <w:p w14:paraId="4941820A" w14:textId="77777777" w:rsidR="009E2EDE" w:rsidRPr="00D31A00" w:rsidRDefault="009E2EDE" w:rsidP="00D31A00">
      <w:pPr>
        <w:pStyle w:val="BodyText"/>
        <w:spacing w:before="0"/>
      </w:pPr>
    </w:p>
    <w:p w14:paraId="29AAD991" w14:textId="37EE53CB" w:rsidR="001815CC" w:rsidRPr="00D31A00" w:rsidRDefault="005F637A" w:rsidP="00D31A00">
      <w:pPr>
        <w:pStyle w:val="BodyText"/>
        <w:spacing w:before="0"/>
      </w:pPr>
      <w:r w:rsidRPr="00D31A00">
        <w:t xml:space="preserve">Rule 2.1.1 confers powers and deals with matters permitted by paragraph 908CE(1)(b) and (c) of the Act. </w:t>
      </w:r>
      <w:r w:rsidR="001629C4" w:rsidRPr="00D31A00">
        <w:t>Under p</w:t>
      </w:r>
      <w:r w:rsidR="001815CC" w:rsidRPr="00D31A00">
        <w:t>aragraph 908CE(2)(a) of the Act</w:t>
      </w:r>
      <w:r w:rsidR="001629C4" w:rsidRPr="00D31A00">
        <w:t xml:space="preserve">, </w:t>
      </w:r>
      <w:r w:rsidR="001815CC" w:rsidRPr="00D31A00">
        <w:t xml:space="preserve">ASIC may only </w:t>
      </w:r>
      <w:r w:rsidR="001629C4" w:rsidRPr="00D31A00">
        <w:t xml:space="preserve">require something under </w:t>
      </w:r>
      <w:r w:rsidR="001815CC" w:rsidRPr="00D31A00">
        <w:t>its power in subrul</w:t>
      </w:r>
      <w:r w:rsidR="00EB5903" w:rsidRPr="00D31A00">
        <w:t>e </w:t>
      </w:r>
      <w:r w:rsidR="001815CC" w:rsidRPr="00D31A00">
        <w:t xml:space="preserve">2.1.1(1) if ASIC reasonably believes it is in the public interest to do so. ASIC will provide guidance to industry </w:t>
      </w:r>
      <w:r w:rsidR="00EB5903" w:rsidRPr="00D31A00">
        <w:t xml:space="preserve">about when it considers it would be in the public interest to compel a licensee to continue to generate or administer the significant financial benchmark, including in a particular way. </w:t>
      </w:r>
    </w:p>
    <w:p w14:paraId="4775F9F9" w14:textId="77777777" w:rsidR="009E2EDE" w:rsidRDefault="009E2EDE" w:rsidP="00D31A00">
      <w:pPr>
        <w:pStyle w:val="BodyText"/>
        <w:spacing w:before="0"/>
      </w:pPr>
    </w:p>
    <w:p w14:paraId="533E9652" w14:textId="3275FBAE" w:rsidR="00EB5903" w:rsidRDefault="00EB5903" w:rsidP="00D31A00">
      <w:pPr>
        <w:pStyle w:val="BodyText"/>
        <w:spacing w:before="0"/>
      </w:pPr>
      <w:r w:rsidRPr="00D31A00">
        <w:t>T</w:t>
      </w:r>
      <w:r w:rsidR="00D067F3">
        <w:t>he notification requirement in R</w:t>
      </w:r>
      <w:r w:rsidRPr="00D31A00">
        <w:t xml:space="preserve">ule 2.4.1 of the </w:t>
      </w:r>
      <w:r w:rsidRPr="00D31A00">
        <w:rPr>
          <w:i/>
        </w:rPr>
        <w:t>ASIC Financial Benchmark (Administration) Rules 2018</w:t>
      </w:r>
      <w:r w:rsidRPr="00D31A00">
        <w:t xml:space="preserve"> </w:t>
      </w:r>
      <w:r w:rsidR="009E2EDE">
        <w:t xml:space="preserve">- </w:t>
      </w:r>
      <w:r w:rsidR="001E4453" w:rsidRPr="00D31A00">
        <w:t>which requires a licensee to notify ASIC if the licensee intends to cease generating or administering the financial benchmark</w:t>
      </w:r>
      <w:r w:rsidR="009E2EDE">
        <w:t xml:space="preserve"> -</w:t>
      </w:r>
      <w:r w:rsidR="001E4453" w:rsidRPr="00D31A00">
        <w:t xml:space="preserve"> </w:t>
      </w:r>
      <w:r w:rsidRPr="00D31A00">
        <w:t>may be a trigger for ASIC to consider exercising the power in subrule 2.1.1(1)</w:t>
      </w:r>
      <w:r w:rsidR="003861C8">
        <w:t xml:space="preserve"> of the Rules</w:t>
      </w:r>
      <w:r w:rsidRPr="00D31A00">
        <w:t>.</w:t>
      </w:r>
    </w:p>
    <w:p w14:paraId="731266E0" w14:textId="77777777" w:rsidR="009E2EDE" w:rsidRPr="00D31A00" w:rsidRDefault="009E2EDE" w:rsidP="00D31A00">
      <w:pPr>
        <w:pStyle w:val="BodyText"/>
        <w:spacing w:before="0"/>
      </w:pPr>
    </w:p>
    <w:p w14:paraId="5CF63EF0" w14:textId="14DC0111" w:rsidR="007D2B7C" w:rsidRPr="00D31A00" w:rsidRDefault="00F36AF0" w:rsidP="00D31A00">
      <w:pPr>
        <w:pStyle w:val="BodyText"/>
        <w:spacing w:before="0"/>
      </w:pPr>
      <w:r w:rsidRPr="00D31A00">
        <w:t xml:space="preserve">At </w:t>
      </w:r>
      <w:r w:rsidR="007D2B7C" w:rsidRPr="00D31A00">
        <w:t xml:space="preserve">Schedule 1 </w:t>
      </w:r>
      <w:r w:rsidRPr="00D31A00">
        <w:t xml:space="preserve">of the Rules </w:t>
      </w:r>
      <w:r w:rsidR="007D2B7C" w:rsidRPr="00D31A00">
        <w:t>is an example of a notice that ASIC could issue under subrule 2.1.1(1).</w:t>
      </w:r>
      <w:r w:rsidR="00691742" w:rsidRPr="00D31A00">
        <w:t xml:space="preserve"> That example does not limit the form which a notice may take or the matters whic</w:t>
      </w:r>
      <w:r w:rsidR="009E2EDE">
        <w:t>h may be dealt with in a notice.</w:t>
      </w:r>
    </w:p>
    <w:p w14:paraId="3C6FCC38" w14:textId="77777777" w:rsidR="00F214C6" w:rsidRPr="00D31A00" w:rsidRDefault="00F214C6" w:rsidP="00D31A00">
      <w:pPr>
        <w:pStyle w:val="BodyText"/>
        <w:spacing w:before="0"/>
      </w:pPr>
    </w:p>
    <w:p w14:paraId="4AF35477" w14:textId="59A90478" w:rsidR="001815CC" w:rsidRPr="00D31A00" w:rsidRDefault="00F214C6" w:rsidP="00D31A00">
      <w:pPr>
        <w:pStyle w:val="Heading1"/>
        <w:spacing w:after="0"/>
        <w:rPr>
          <w:rFonts w:ascii="Times New Roman" w:hAnsi="Times New Roman" w:cs="Times New Roman"/>
        </w:rPr>
      </w:pPr>
      <w:r w:rsidRPr="00D31A00">
        <w:rPr>
          <w:rFonts w:ascii="Times New Roman" w:hAnsi="Times New Roman" w:cs="Times New Roman"/>
        </w:rPr>
        <w:t>Chapter 3:</w:t>
      </w:r>
      <w:r w:rsidRPr="00D31A00">
        <w:rPr>
          <w:rFonts w:ascii="Times New Roman" w:hAnsi="Times New Roman" w:cs="Times New Roman"/>
        </w:rPr>
        <w:tab/>
      </w:r>
      <w:r w:rsidR="007D2B7C" w:rsidRPr="00D31A00">
        <w:rPr>
          <w:rFonts w:ascii="Times New Roman" w:hAnsi="Times New Roman" w:cs="Times New Roman"/>
        </w:rPr>
        <w:t xml:space="preserve"> </w:t>
      </w:r>
      <w:r w:rsidRPr="00D31A00">
        <w:rPr>
          <w:rFonts w:ascii="Times New Roman" w:hAnsi="Times New Roman" w:cs="Times New Roman"/>
        </w:rPr>
        <w:t>Mandatory submissions to a significant financial benchmark</w:t>
      </w:r>
    </w:p>
    <w:p w14:paraId="5286E4BD" w14:textId="77777777" w:rsidR="009E2EDE" w:rsidRDefault="009E2EDE" w:rsidP="00D31A00">
      <w:pPr>
        <w:pStyle w:val="Heading3"/>
        <w:spacing w:before="0" w:after="0"/>
        <w:rPr>
          <w:rFonts w:cs="Times New Roman"/>
        </w:rPr>
      </w:pPr>
    </w:p>
    <w:p w14:paraId="6A9739ED" w14:textId="5B57CE01" w:rsidR="009C3A79" w:rsidRPr="00D31A00" w:rsidRDefault="009C3A79" w:rsidP="00D31A00">
      <w:pPr>
        <w:pStyle w:val="Heading3"/>
        <w:spacing w:before="0" w:after="0"/>
        <w:rPr>
          <w:rFonts w:cs="Times New Roman"/>
        </w:rPr>
      </w:pPr>
      <w:r w:rsidRPr="00D31A00">
        <w:rPr>
          <w:rFonts w:cs="Times New Roman"/>
        </w:rPr>
        <w:t>Rule 3.1.1 Notice to Contributor</w:t>
      </w:r>
    </w:p>
    <w:p w14:paraId="4A0A5CB1" w14:textId="77777777" w:rsidR="009E2EDE" w:rsidRDefault="009E2EDE" w:rsidP="00D31A00">
      <w:pPr>
        <w:pStyle w:val="BodyText"/>
        <w:spacing w:before="0"/>
      </w:pPr>
    </w:p>
    <w:p w14:paraId="1932B41B" w14:textId="29520158" w:rsidR="009C3A79" w:rsidRPr="00D31A00" w:rsidRDefault="009C3A79" w:rsidP="00D31A00">
      <w:pPr>
        <w:pStyle w:val="BodyText"/>
        <w:spacing w:before="0"/>
      </w:pPr>
      <w:r w:rsidRPr="00D31A00">
        <w:t>Subrule 3.1.1(1) provides that ASIC may require, by written notice, a Contributor:</w:t>
      </w:r>
    </w:p>
    <w:p w14:paraId="4934242F" w14:textId="77777777" w:rsidR="009C3A79" w:rsidRPr="00D31A00" w:rsidRDefault="009C3A79" w:rsidP="00D31A00">
      <w:pPr>
        <w:numPr>
          <w:ilvl w:val="0"/>
          <w:numId w:val="55"/>
        </w:numPr>
        <w:spacing w:line="276" w:lineRule="auto"/>
        <w:ind w:left="993" w:hanging="633"/>
        <w:rPr>
          <w:szCs w:val="24"/>
        </w:rPr>
      </w:pPr>
      <w:r w:rsidRPr="00D31A00">
        <w:rPr>
          <w:szCs w:val="24"/>
        </w:rPr>
        <w:t>to provide data or information to the holder of a benchmark administrator licence for the generation or administration of a significant financial benchmark specified in that licence; or</w:t>
      </w:r>
    </w:p>
    <w:p w14:paraId="705CF7A3" w14:textId="77777777" w:rsidR="009C3A79" w:rsidRPr="00D31A00" w:rsidRDefault="009C3A79" w:rsidP="00D31A00">
      <w:pPr>
        <w:numPr>
          <w:ilvl w:val="0"/>
          <w:numId w:val="55"/>
        </w:numPr>
        <w:spacing w:line="276" w:lineRule="auto"/>
        <w:ind w:left="993" w:hanging="633"/>
        <w:rPr>
          <w:szCs w:val="24"/>
        </w:rPr>
      </w:pPr>
      <w:r w:rsidRPr="00D31A00">
        <w:rPr>
          <w:szCs w:val="24"/>
        </w:rPr>
        <w:lastRenderedPageBreak/>
        <w:t>to provide ASIC with some or all of that data or information for purposes relating to the generation or administration of that significant financial benchmark.</w:t>
      </w:r>
    </w:p>
    <w:p w14:paraId="1E7863A2" w14:textId="77777777" w:rsidR="009E2EDE" w:rsidRDefault="009E2EDE" w:rsidP="00D31A00">
      <w:pPr>
        <w:pStyle w:val="BodyText"/>
        <w:spacing w:before="0"/>
      </w:pPr>
    </w:p>
    <w:p w14:paraId="39951CE1" w14:textId="134D6D94" w:rsidR="009C3A79" w:rsidRPr="00D31A00" w:rsidRDefault="009E2EDE" w:rsidP="00D31A00">
      <w:pPr>
        <w:pStyle w:val="BodyText"/>
        <w:spacing w:before="0"/>
      </w:pPr>
      <w:r>
        <w:t>Subrule 3.1.1(2</w:t>
      </w:r>
      <w:r w:rsidR="00B67EC1" w:rsidRPr="00D31A00">
        <w:t>) provides that</w:t>
      </w:r>
      <w:r w:rsidR="009C3A79" w:rsidRPr="00D31A00">
        <w:t xml:space="preserve"> </w:t>
      </w:r>
      <w:r w:rsidR="00B67EC1" w:rsidRPr="00D31A00">
        <w:t>t</w:t>
      </w:r>
      <w:r w:rsidR="009C3A79" w:rsidRPr="00D31A00">
        <w:t>he Contributor must comply with the notice.</w:t>
      </w:r>
    </w:p>
    <w:p w14:paraId="678D14C4" w14:textId="77777777" w:rsidR="009E2EDE" w:rsidRDefault="009E2EDE" w:rsidP="00D31A00">
      <w:pPr>
        <w:pStyle w:val="BodyText"/>
        <w:spacing w:before="0"/>
      </w:pPr>
    </w:p>
    <w:p w14:paraId="2881B689" w14:textId="146ED7ED" w:rsidR="009C3A79" w:rsidRPr="00D31A00" w:rsidRDefault="009E2EDE" w:rsidP="00D31A00">
      <w:pPr>
        <w:pStyle w:val="BodyText"/>
        <w:spacing w:before="0"/>
      </w:pPr>
      <w:r>
        <w:t>Subrule 3.1.1(3</w:t>
      </w:r>
      <w:r w:rsidR="00B67EC1" w:rsidRPr="00D31A00">
        <w:t>) provides that w</w:t>
      </w:r>
      <w:r w:rsidR="009C3A79" w:rsidRPr="00D31A00">
        <w:t xml:space="preserve">ithout limiting subrule </w:t>
      </w:r>
      <w:r>
        <w:t>3.1.1</w:t>
      </w:r>
      <w:r w:rsidR="009C3A79" w:rsidRPr="00D31A00">
        <w:t>(1), a notice under that subrule may:</w:t>
      </w:r>
    </w:p>
    <w:p w14:paraId="13447499" w14:textId="77777777" w:rsidR="009C3A79" w:rsidRPr="00D31A00" w:rsidRDefault="009C3A79" w:rsidP="00D31A00">
      <w:pPr>
        <w:numPr>
          <w:ilvl w:val="0"/>
          <w:numId w:val="56"/>
        </w:numPr>
        <w:spacing w:line="276" w:lineRule="auto"/>
        <w:ind w:left="993" w:hanging="633"/>
        <w:rPr>
          <w:szCs w:val="24"/>
        </w:rPr>
      </w:pPr>
      <w:r w:rsidRPr="00D31A00">
        <w:rPr>
          <w:szCs w:val="24"/>
        </w:rPr>
        <w:t>specify the period during which the Contributor must comply with the notice, including by reference to the occurrence of one or more events; and</w:t>
      </w:r>
    </w:p>
    <w:p w14:paraId="4439C85B" w14:textId="77777777" w:rsidR="009C3A79" w:rsidRPr="00D31A00" w:rsidRDefault="009C3A79" w:rsidP="00D31A00">
      <w:pPr>
        <w:numPr>
          <w:ilvl w:val="0"/>
          <w:numId w:val="56"/>
        </w:numPr>
        <w:spacing w:line="276" w:lineRule="auto"/>
        <w:ind w:left="993" w:hanging="633"/>
        <w:rPr>
          <w:szCs w:val="24"/>
        </w:rPr>
      </w:pPr>
      <w:r w:rsidRPr="00D31A00">
        <w:rPr>
          <w:szCs w:val="24"/>
        </w:rPr>
        <w:t>specify requirements the Contributor must comply with in providing the data or information, including:</w:t>
      </w:r>
    </w:p>
    <w:p w14:paraId="77C81C6D" w14:textId="77777777" w:rsidR="009C3A79" w:rsidRPr="00D31A00" w:rsidRDefault="009C3A79" w:rsidP="00D31A00">
      <w:pPr>
        <w:numPr>
          <w:ilvl w:val="0"/>
          <w:numId w:val="57"/>
        </w:numPr>
        <w:spacing w:line="276" w:lineRule="auto"/>
        <w:ind w:left="1701" w:hanging="621"/>
        <w:rPr>
          <w:szCs w:val="24"/>
        </w:rPr>
      </w:pPr>
      <w:r w:rsidRPr="00D31A00">
        <w:rPr>
          <w:szCs w:val="24"/>
        </w:rPr>
        <w:t>requirements relating to the manner and form in which the Contributor must provide the data or information; and</w:t>
      </w:r>
    </w:p>
    <w:p w14:paraId="52F78BD7" w14:textId="47CC48EA" w:rsidR="009C3A79" w:rsidRDefault="009C3A79" w:rsidP="00D31A00">
      <w:pPr>
        <w:numPr>
          <w:ilvl w:val="0"/>
          <w:numId w:val="57"/>
        </w:numPr>
        <w:spacing w:line="276" w:lineRule="auto"/>
        <w:ind w:left="1701" w:hanging="621"/>
        <w:rPr>
          <w:szCs w:val="24"/>
        </w:rPr>
      </w:pPr>
      <w:r w:rsidRPr="00D31A00">
        <w:rPr>
          <w:szCs w:val="24"/>
        </w:rPr>
        <w:t xml:space="preserve">other requirements imposed by the holder of the benchmark administrator licence, ASIC, the Act or the </w:t>
      </w:r>
      <w:r w:rsidRPr="00D31A00">
        <w:rPr>
          <w:i/>
          <w:szCs w:val="24"/>
        </w:rPr>
        <w:t>ASIC Financial Benchmark (Administration) Rules 2017</w:t>
      </w:r>
      <w:r w:rsidRPr="00D31A00">
        <w:rPr>
          <w:szCs w:val="24"/>
        </w:rPr>
        <w:t>.</w:t>
      </w:r>
    </w:p>
    <w:p w14:paraId="031620AD" w14:textId="77777777" w:rsidR="009E2EDE" w:rsidRPr="00D31A00" w:rsidRDefault="009E2EDE" w:rsidP="009E2EDE">
      <w:pPr>
        <w:spacing w:line="276" w:lineRule="auto"/>
        <w:ind w:left="1701"/>
        <w:rPr>
          <w:szCs w:val="24"/>
        </w:rPr>
      </w:pPr>
    </w:p>
    <w:p w14:paraId="0B05B9F6" w14:textId="4CBA8072" w:rsidR="007D2B7C" w:rsidRPr="00D31A00" w:rsidRDefault="005F637A" w:rsidP="00D31A00">
      <w:pPr>
        <w:pStyle w:val="BodyText"/>
        <w:spacing w:before="0"/>
      </w:pPr>
      <w:r w:rsidRPr="00D31A00">
        <w:t xml:space="preserve">Rule 3.1.1 confers powers and deals with matters permitted by paragraph 908CE(1)(a) and (c) of the Act.  </w:t>
      </w:r>
      <w:r w:rsidR="00FF0CBA" w:rsidRPr="00D31A00">
        <w:t>Under s</w:t>
      </w:r>
      <w:r w:rsidR="007D2B7C" w:rsidRPr="00D31A00">
        <w:t>ubsection 908CE(2) of the Act</w:t>
      </w:r>
      <w:r w:rsidR="00FF0CBA" w:rsidRPr="00D31A00">
        <w:t>,</w:t>
      </w:r>
      <w:r w:rsidR="007D2B7C" w:rsidRPr="00D31A00">
        <w:t xml:space="preserve"> ASIC may only </w:t>
      </w:r>
      <w:r w:rsidR="00FF0CBA" w:rsidRPr="00D31A00">
        <w:t>require something under the power in</w:t>
      </w:r>
      <w:r w:rsidR="00F36AF0" w:rsidRPr="00D31A00">
        <w:t xml:space="preserve"> subrule 3.1.1(1) if ASIC </w:t>
      </w:r>
      <w:r w:rsidR="007D2B7C" w:rsidRPr="00D31A00">
        <w:t>reasonably believes it is in the public interest to do so</w:t>
      </w:r>
      <w:r w:rsidR="00F36AF0" w:rsidRPr="00D31A00">
        <w:t xml:space="preserve"> </w:t>
      </w:r>
      <w:r w:rsidR="007D2B7C" w:rsidRPr="00D31A00">
        <w:t>and</w:t>
      </w:r>
      <w:r w:rsidR="00E040C2" w:rsidRPr="00D31A00">
        <w:t>,</w:t>
      </w:r>
      <w:r w:rsidR="00FF0CBA" w:rsidRPr="00D31A00">
        <w:t xml:space="preserve"> in the case </w:t>
      </w:r>
      <w:r w:rsidR="00E040C2" w:rsidRPr="00D31A00">
        <w:t>of the power referred to in paragraph 908CE(1)(a)</w:t>
      </w:r>
      <w:r w:rsidR="00FF0CBA" w:rsidRPr="00D31A00">
        <w:t>,</w:t>
      </w:r>
      <w:r w:rsidR="00F36AF0" w:rsidRPr="00D31A00">
        <w:t xml:space="preserve"> if the Contributor is an entity whose </w:t>
      </w:r>
      <w:r w:rsidR="007D2B7C" w:rsidRPr="00D31A00">
        <w:t>activities have previously resulted in the provision of data or information to that licensee for the generation or administration of that significant financial benchmark.</w:t>
      </w:r>
      <w:r w:rsidR="009E2EDE">
        <w:t xml:space="preserve"> </w:t>
      </w:r>
      <w:r w:rsidR="009E2EDE" w:rsidRPr="009E2EDE">
        <w:t xml:space="preserve"> </w:t>
      </w:r>
      <w:r w:rsidR="009E2EDE">
        <w:t xml:space="preserve">ASIC </w:t>
      </w:r>
      <w:r w:rsidR="002177E2">
        <w:t>will</w:t>
      </w:r>
      <w:r w:rsidR="009E2EDE">
        <w:t xml:space="preserve"> provide </w:t>
      </w:r>
      <w:r w:rsidR="009E2EDE" w:rsidRPr="00CC6033">
        <w:t xml:space="preserve">guidance to industry about when it considers it would be in the public interest to compel a </w:t>
      </w:r>
      <w:r w:rsidR="009E2EDE">
        <w:t>Contributor to provide data or information to ASIC or the benchmark administrator.</w:t>
      </w:r>
    </w:p>
    <w:p w14:paraId="3BC924C1" w14:textId="77777777" w:rsidR="00FF0CBA" w:rsidRPr="00D31A00" w:rsidRDefault="00FF0CBA" w:rsidP="00D31A00">
      <w:pPr>
        <w:pStyle w:val="BodyText"/>
        <w:spacing w:before="0"/>
      </w:pPr>
    </w:p>
    <w:p w14:paraId="18681E41" w14:textId="02B31FF1" w:rsidR="000362E1" w:rsidRPr="00D31A00" w:rsidRDefault="00F36AF0" w:rsidP="002B7646">
      <w:pPr>
        <w:pStyle w:val="BodyText"/>
        <w:spacing w:before="0"/>
      </w:pPr>
      <w:r w:rsidRPr="00D31A00">
        <w:t xml:space="preserve">At </w:t>
      </w:r>
      <w:r w:rsidR="007D2B7C" w:rsidRPr="00D31A00">
        <w:t xml:space="preserve">Schedule 2 </w:t>
      </w:r>
      <w:r w:rsidRPr="00D31A00">
        <w:t xml:space="preserve">of the Rules </w:t>
      </w:r>
      <w:r w:rsidR="007D2B7C" w:rsidRPr="00D31A00">
        <w:t>is an example of a notice that ASIC could issue under paragraph 3.1.1(1)(a).</w:t>
      </w:r>
      <w:r w:rsidR="00691742" w:rsidRPr="00D31A00">
        <w:t xml:space="preserve"> That example does not limit the form which a notice may take or the matters whic</w:t>
      </w:r>
      <w:r w:rsidR="009E2EDE">
        <w:t>h may be dealt with in a notice.</w:t>
      </w:r>
    </w:p>
    <w:sectPr w:rsidR="000362E1" w:rsidRPr="00D31A00" w:rsidSect="00CC5B94">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D23C" w14:textId="77777777" w:rsidR="00CB04C5" w:rsidRDefault="00CB04C5" w:rsidP="00CC5B94">
      <w:r>
        <w:separator/>
      </w:r>
    </w:p>
  </w:endnote>
  <w:endnote w:type="continuationSeparator" w:id="0">
    <w:p w14:paraId="55D06FBB" w14:textId="77777777" w:rsidR="00CB04C5" w:rsidRDefault="00CB04C5" w:rsidP="00CC5B94">
      <w:r>
        <w:continuationSeparator/>
      </w:r>
    </w:p>
  </w:endnote>
  <w:endnote w:type="continuationNotice" w:id="1">
    <w:p w14:paraId="1D16AED9" w14:textId="77777777" w:rsidR="00CB04C5" w:rsidRDefault="00CB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616457"/>
      <w:docPartObj>
        <w:docPartGallery w:val="Page Numbers (Bottom of Page)"/>
        <w:docPartUnique/>
      </w:docPartObj>
    </w:sdtPr>
    <w:sdtEndPr>
      <w:rPr>
        <w:noProof/>
      </w:rPr>
    </w:sdtEndPr>
    <w:sdtContent>
      <w:p w14:paraId="5F57FDE5" w14:textId="744D6717" w:rsidR="00D31A00" w:rsidRDefault="00D31A00">
        <w:pPr>
          <w:pStyle w:val="Footer"/>
          <w:jc w:val="right"/>
        </w:pPr>
        <w:r>
          <w:fldChar w:fldCharType="begin"/>
        </w:r>
        <w:r>
          <w:instrText xml:space="preserve"> PAGE   \* MERGEFORMAT </w:instrText>
        </w:r>
        <w:r>
          <w:fldChar w:fldCharType="separate"/>
        </w:r>
        <w:r w:rsidR="001A619F">
          <w:rPr>
            <w:noProof/>
          </w:rPr>
          <w:t>4</w:t>
        </w:r>
        <w:r>
          <w:rPr>
            <w:noProof/>
          </w:rPr>
          <w:fldChar w:fldCharType="end"/>
        </w:r>
      </w:p>
    </w:sdtContent>
  </w:sdt>
  <w:p w14:paraId="3AD69E15" w14:textId="77777777" w:rsidR="00CB04C5" w:rsidRDefault="00CB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29CB0" w14:textId="77777777" w:rsidR="00CB04C5" w:rsidRDefault="00CB04C5" w:rsidP="00CC5B94">
      <w:r>
        <w:separator/>
      </w:r>
    </w:p>
  </w:footnote>
  <w:footnote w:type="continuationSeparator" w:id="0">
    <w:p w14:paraId="4BA8D4F7" w14:textId="77777777" w:rsidR="00CB04C5" w:rsidRDefault="00CB04C5" w:rsidP="00CC5B94">
      <w:r>
        <w:continuationSeparator/>
      </w:r>
    </w:p>
  </w:footnote>
  <w:footnote w:type="continuationNotice" w:id="1">
    <w:p w14:paraId="1B0F307D" w14:textId="77777777" w:rsidR="00CB04C5" w:rsidRDefault="00CB04C5"/>
  </w:footnote>
  <w:footnote w:id="2">
    <w:p w14:paraId="5DA0FCCC" w14:textId="77777777" w:rsidR="00520A87" w:rsidRDefault="00520A87" w:rsidP="00520A87">
      <w:pPr>
        <w:pStyle w:val="FootnoteText"/>
      </w:pPr>
      <w:r>
        <w:rPr>
          <w:rStyle w:val="FootnoteReference"/>
        </w:rPr>
        <w:footnoteRef/>
      </w:r>
      <w:r>
        <w:t xml:space="preserve"> Available at </w:t>
      </w:r>
      <w:r w:rsidRPr="00B30B31">
        <w:t>http://sjm.ministers.treasury.gov.au/files/2016/10/ATTACHMENT-CFR-advice-financial-benchmarks-regulatory-reform.pdf</w:t>
      </w:r>
    </w:p>
  </w:footnote>
  <w:footnote w:id="3">
    <w:p w14:paraId="7C92C92C" w14:textId="77777777" w:rsidR="002C4CB1" w:rsidRDefault="002C4CB1" w:rsidP="002C4CB1">
      <w:pPr>
        <w:pStyle w:val="FootnoteText"/>
      </w:pPr>
      <w:r>
        <w:rPr>
          <w:rStyle w:val="FootnoteReference"/>
        </w:rPr>
        <w:footnoteRef/>
      </w:r>
      <w:r>
        <w:t xml:space="preserve"> </w:t>
      </w:r>
      <w:r w:rsidRPr="00ED6613">
        <w:t>http://sjm.ministers.treasury.gov.au/files/2016/10/ATTACHMENT-CFR-advice-financial-benchmarks-regulatory-reform.pdf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C95"/>
    <w:multiLevelType w:val="hybridMultilevel"/>
    <w:tmpl w:val="2FC40110"/>
    <w:lvl w:ilvl="0" w:tplc="0AB8A8A8">
      <w:start w:val="1"/>
      <w:numFmt w:val="lowerLetter"/>
      <w:pStyle w:val="ListParagraph"/>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A3106"/>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B5B2D"/>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32712A"/>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46784"/>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B41BA4"/>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8224A3"/>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157983"/>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D12FE4"/>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A66310"/>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570A33"/>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045CA0"/>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D51E6A"/>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395D29"/>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475008"/>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8E3753"/>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420551"/>
    <w:multiLevelType w:val="multilevel"/>
    <w:tmpl w:val="ECA61B12"/>
    <w:styleLink w:val="Style1"/>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9255A4"/>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856EC4"/>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BB4B18"/>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0A4F84"/>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353710"/>
    <w:multiLevelType w:val="hybridMultilevel"/>
    <w:tmpl w:val="1DFEEB8C"/>
    <w:lvl w:ilvl="0" w:tplc="7764D4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8B3EC8"/>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B07C4F"/>
    <w:multiLevelType w:val="hybridMultilevel"/>
    <w:tmpl w:val="C9F6839A"/>
    <w:lvl w:ilvl="0" w:tplc="0C090001">
      <w:start w:val="1"/>
      <w:numFmt w:val="bullet"/>
      <w:lvlText w:val=""/>
      <w:lvlJc w:val="left"/>
      <w:pPr>
        <w:ind w:left="720" w:hanging="360"/>
      </w:pPr>
      <w:rPr>
        <w:rFonts w:ascii="Symbol" w:hAnsi="Symbol"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586125"/>
    <w:multiLevelType w:val="hybridMultilevel"/>
    <w:tmpl w:val="6272485C"/>
    <w:lvl w:ilvl="0" w:tplc="24BA42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FA0919"/>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DA4C7F"/>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19303E"/>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CE3FC1"/>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6069F7"/>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CD29E1"/>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A858C6"/>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7B19FB"/>
    <w:multiLevelType w:val="hybridMultilevel"/>
    <w:tmpl w:val="B9BAC9E6"/>
    <w:lvl w:ilvl="0" w:tplc="369683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7E47AC"/>
    <w:multiLevelType w:val="hybridMultilevel"/>
    <w:tmpl w:val="9BD2595E"/>
    <w:lvl w:ilvl="0" w:tplc="D9C28CB8">
      <w:start w:val="1"/>
      <w:numFmt w:val="lowerLetter"/>
      <w:pStyle w:val="Listsubparagraph"/>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831AAE"/>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237B4D"/>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784722"/>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3C7DBD"/>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AC20BC4"/>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494E69"/>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23566A0"/>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1730DE"/>
    <w:multiLevelType w:val="hybridMultilevel"/>
    <w:tmpl w:val="E9004C2C"/>
    <w:lvl w:ilvl="0" w:tplc="369683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F01FE9"/>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577101"/>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5E7976"/>
    <w:multiLevelType w:val="multilevel"/>
    <w:tmpl w:val="22E287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667D16E4"/>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6A05940"/>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72130AB"/>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7777F83"/>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8253037"/>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CD1573B"/>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1A5CCA"/>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F5A1757"/>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05A69CA"/>
    <w:multiLevelType w:val="hybridMultilevel"/>
    <w:tmpl w:val="8CF29A1E"/>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A60A45"/>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3013BFE"/>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5F630D1"/>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66B2ED2"/>
    <w:multiLevelType w:val="multilevel"/>
    <w:tmpl w:val="61B0FA44"/>
    <w:lvl w:ilvl="0">
      <w:start w:val="233"/>
      <w:numFmt w:val="none"/>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1701" w:firstLine="0"/>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58" w15:restartNumberingAfterBreak="0">
    <w:nsid w:val="782A2364"/>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A630436"/>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A735E47"/>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061216"/>
    <w:multiLevelType w:val="hybridMultilevel"/>
    <w:tmpl w:val="0518B94A"/>
    <w:lvl w:ilvl="0" w:tplc="18CEFC92">
      <w:start w:val="1"/>
      <w:numFmt w:val="lowerLetter"/>
      <w:lvlText w:val="(%1)"/>
      <w:lvlJc w:val="left"/>
      <w:pPr>
        <w:ind w:left="720" w:hanging="360"/>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D70111E"/>
    <w:multiLevelType w:val="hybridMultilevel"/>
    <w:tmpl w:val="9EA24182"/>
    <w:lvl w:ilvl="0" w:tplc="97D2E28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E6B1081"/>
    <w:multiLevelType w:val="hybridMultilevel"/>
    <w:tmpl w:val="042449CA"/>
    <w:lvl w:ilvl="0" w:tplc="0AC69CAC">
      <w:start w:val="1"/>
      <w:numFmt w:val="lowerLetter"/>
      <w:lvlText w:val="(%1)"/>
      <w:lvlJc w:val="left"/>
      <w:pPr>
        <w:ind w:left="680" w:hanging="283"/>
      </w:pPr>
      <w:rPr>
        <w:rFonts w:hint="default"/>
      </w:rPr>
    </w:lvl>
    <w:lvl w:ilvl="1" w:tplc="97D2E2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41"/>
  </w:num>
  <w:num w:numId="3">
    <w:abstractNumId w:val="14"/>
  </w:num>
  <w:num w:numId="4">
    <w:abstractNumId w:val="36"/>
  </w:num>
  <w:num w:numId="5">
    <w:abstractNumId w:val="22"/>
  </w:num>
  <w:num w:numId="6">
    <w:abstractNumId w:val="46"/>
  </w:num>
  <w:num w:numId="7">
    <w:abstractNumId w:val="25"/>
  </w:num>
  <w:num w:numId="8">
    <w:abstractNumId w:val="18"/>
  </w:num>
  <w:num w:numId="9">
    <w:abstractNumId w:val="19"/>
  </w:num>
  <w:num w:numId="10">
    <w:abstractNumId w:val="23"/>
  </w:num>
  <w:num w:numId="11">
    <w:abstractNumId w:val="52"/>
  </w:num>
  <w:num w:numId="12">
    <w:abstractNumId w:val="33"/>
  </w:num>
  <w:num w:numId="13">
    <w:abstractNumId w:val="4"/>
  </w:num>
  <w:num w:numId="14">
    <w:abstractNumId w:val="0"/>
  </w:num>
  <w:num w:numId="15">
    <w:abstractNumId w:val="16"/>
  </w:num>
  <w:num w:numId="16">
    <w:abstractNumId w:val="48"/>
  </w:num>
  <w:num w:numId="17">
    <w:abstractNumId w:val="54"/>
  </w:num>
  <w:num w:numId="18">
    <w:abstractNumId w:val="47"/>
  </w:num>
  <w:num w:numId="19">
    <w:abstractNumId w:val="6"/>
  </w:num>
  <w:num w:numId="20">
    <w:abstractNumId w:val="28"/>
  </w:num>
  <w:num w:numId="21">
    <w:abstractNumId w:val="60"/>
  </w:num>
  <w:num w:numId="22">
    <w:abstractNumId w:val="34"/>
  </w:num>
  <w:num w:numId="23">
    <w:abstractNumId w:val="17"/>
  </w:num>
  <w:num w:numId="24">
    <w:abstractNumId w:val="5"/>
  </w:num>
  <w:num w:numId="25">
    <w:abstractNumId w:val="40"/>
  </w:num>
  <w:num w:numId="26">
    <w:abstractNumId w:val="13"/>
  </w:num>
  <w:num w:numId="27">
    <w:abstractNumId w:val="20"/>
  </w:num>
  <w:num w:numId="28">
    <w:abstractNumId w:val="12"/>
  </w:num>
  <w:num w:numId="29">
    <w:abstractNumId w:val="8"/>
  </w:num>
  <w:num w:numId="30">
    <w:abstractNumId w:val="62"/>
  </w:num>
  <w:num w:numId="31">
    <w:abstractNumId w:val="38"/>
  </w:num>
  <w:num w:numId="32">
    <w:abstractNumId w:val="58"/>
  </w:num>
  <w:num w:numId="33">
    <w:abstractNumId w:val="29"/>
  </w:num>
  <w:num w:numId="34">
    <w:abstractNumId w:val="59"/>
  </w:num>
  <w:num w:numId="35">
    <w:abstractNumId w:val="37"/>
  </w:num>
  <w:num w:numId="36">
    <w:abstractNumId w:val="30"/>
  </w:num>
  <w:num w:numId="37">
    <w:abstractNumId w:val="1"/>
  </w:num>
  <w:num w:numId="38">
    <w:abstractNumId w:val="39"/>
  </w:num>
  <w:num w:numId="39">
    <w:abstractNumId w:val="61"/>
  </w:num>
  <w:num w:numId="40">
    <w:abstractNumId w:val="9"/>
  </w:num>
  <w:num w:numId="41">
    <w:abstractNumId w:val="11"/>
  </w:num>
  <w:num w:numId="42">
    <w:abstractNumId w:val="55"/>
  </w:num>
  <w:num w:numId="43">
    <w:abstractNumId w:val="51"/>
  </w:num>
  <w:num w:numId="44">
    <w:abstractNumId w:val="10"/>
  </w:num>
  <w:num w:numId="45">
    <w:abstractNumId w:val="57"/>
  </w:num>
  <w:num w:numId="46">
    <w:abstractNumId w:val="43"/>
  </w:num>
  <w:num w:numId="47">
    <w:abstractNumId w:val="3"/>
  </w:num>
  <w:num w:numId="48">
    <w:abstractNumId w:val="15"/>
  </w:num>
  <w:num w:numId="49">
    <w:abstractNumId w:val="26"/>
  </w:num>
  <w:num w:numId="50">
    <w:abstractNumId w:val="45"/>
  </w:num>
  <w:num w:numId="51">
    <w:abstractNumId w:val="53"/>
  </w:num>
  <w:num w:numId="52">
    <w:abstractNumId w:val="7"/>
  </w:num>
  <w:num w:numId="53">
    <w:abstractNumId w:val="57"/>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56"/>
  </w:num>
  <w:num w:numId="57">
    <w:abstractNumId w:val="35"/>
  </w:num>
  <w:num w:numId="58">
    <w:abstractNumId w:val="27"/>
  </w:num>
  <w:num w:numId="59">
    <w:abstractNumId w:val="24"/>
  </w:num>
  <w:num w:numId="60">
    <w:abstractNumId w:val="21"/>
  </w:num>
  <w:num w:numId="61">
    <w:abstractNumId w:val="50"/>
  </w:num>
  <w:num w:numId="62">
    <w:abstractNumId w:val="2"/>
  </w:num>
  <w:num w:numId="63">
    <w:abstractNumId w:val="31"/>
  </w:num>
  <w:num w:numId="64">
    <w:abstractNumId w:val="32"/>
  </w:num>
  <w:num w:numId="65">
    <w:abstractNumId w:val="42"/>
  </w:num>
  <w:num w:numId="66">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8C"/>
    <w:rsid w:val="00004628"/>
    <w:rsid w:val="0000766D"/>
    <w:rsid w:val="00011F7F"/>
    <w:rsid w:val="0001563F"/>
    <w:rsid w:val="00015A0C"/>
    <w:rsid w:val="00016170"/>
    <w:rsid w:val="000209B2"/>
    <w:rsid w:val="000212CB"/>
    <w:rsid w:val="00021622"/>
    <w:rsid w:val="00025430"/>
    <w:rsid w:val="000362E1"/>
    <w:rsid w:val="0003670F"/>
    <w:rsid w:val="00045B9B"/>
    <w:rsid w:val="00045D2D"/>
    <w:rsid w:val="00046847"/>
    <w:rsid w:val="00062547"/>
    <w:rsid w:val="000630BB"/>
    <w:rsid w:val="00067B55"/>
    <w:rsid w:val="00070ACB"/>
    <w:rsid w:val="00086787"/>
    <w:rsid w:val="00093830"/>
    <w:rsid w:val="000A5F11"/>
    <w:rsid w:val="000B1045"/>
    <w:rsid w:val="000B56DF"/>
    <w:rsid w:val="000C6D9F"/>
    <w:rsid w:val="000E7539"/>
    <w:rsid w:val="000F0C9A"/>
    <w:rsid w:val="001104FA"/>
    <w:rsid w:val="00113A57"/>
    <w:rsid w:val="001231C8"/>
    <w:rsid w:val="00124D11"/>
    <w:rsid w:val="00127EB1"/>
    <w:rsid w:val="00127FA0"/>
    <w:rsid w:val="00134E68"/>
    <w:rsid w:val="00145A85"/>
    <w:rsid w:val="00145B22"/>
    <w:rsid w:val="00146870"/>
    <w:rsid w:val="001504F5"/>
    <w:rsid w:val="001572D4"/>
    <w:rsid w:val="001629C4"/>
    <w:rsid w:val="00172518"/>
    <w:rsid w:val="00173976"/>
    <w:rsid w:val="001815CC"/>
    <w:rsid w:val="00193213"/>
    <w:rsid w:val="00196E0D"/>
    <w:rsid w:val="001A04A5"/>
    <w:rsid w:val="001A0AB3"/>
    <w:rsid w:val="001A619F"/>
    <w:rsid w:val="001B12DE"/>
    <w:rsid w:val="001B1854"/>
    <w:rsid w:val="001B35D9"/>
    <w:rsid w:val="001B5B2D"/>
    <w:rsid w:val="001C1C44"/>
    <w:rsid w:val="001C2643"/>
    <w:rsid w:val="001D19FD"/>
    <w:rsid w:val="001D524E"/>
    <w:rsid w:val="001E133A"/>
    <w:rsid w:val="001E4453"/>
    <w:rsid w:val="001E5DB2"/>
    <w:rsid w:val="002022AB"/>
    <w:rsid w:val="0020315D"/>
    <w:rsid w:val="002074B9"/>
    <w:rsid w:val="0021189D"/>
    <w:rsid w:val="0021401D"/>
    <w:rsid w:val="002177E2"/>
    <w:rsid w:val="00235995"/>
    <w:rsid w:val="00236E57"/>
    <w:rsid w:val="00241632"/>
    <w:rsid w:val="00257A43"/>
    <w:rsid w:val="002718DD"/>
    <w:rsid w:val="002755B2"/>
    <w:rsid w:val="00280AD8"/>
    <w:rsid w:val="002861EC"/>
    <w:rsid w:val="002902B1"/>
    <w:rsid w:val="002A36D9"/>
    <w:rsid w:val="002B0C11"/>
    <w:rsid w:val="002B7646"/>
    <w:rsid w:val="002C0797"/>
    <w:rsid w:val="002C3896"/>
    <w:rsid w:val="002C4CB1"/>
    <w:rsid w:val="002C5E2D"/>
    <w:rsid w:val="002F1DCB"/>
    <w:rsid w:val="002F3297"/>
    <w:rsid w:val="00303294"/>
    <w:rsid w:val="00323FB9"/>
    <w:rsid w:val="00326BBD"/>
    <w:rsid w:val="00332D42"/>
    <w:rsid w:val="00334A8F"/>
    <w:rsid w:val="0034020F"/>
    <w:rsid w:val="00340593"/>
    <w:rsid w:val="003415A9"/>
    <w:rsid w:val="00342658"/>
    <w:rsid w:val="003430D8"/>
    <w:rsid w:val="00351816"/>
    <w:rsid w:val="00357ECC"/>
    <w:rsid w:val="00372319"/>
    <w:rsid w:val="003732E9"/>
    <w:rsid w:val="00382993"/>
    <w:rsid w:val="00382D62"/>
    <w:rsid w:val="003835D7"/>
    <w:rsid w:val="00384D05"/>
    <w:rsid w:val="00385858"/>
    <w:rsid w:val="003861C8"/>
    <w:rsid w:val="00394584"/>
    <w:rsid w:val="003967E6"/>
    <w:rsid w:val="00397CF6"/>
    <w:rsid w:val="003B21B5"/>
    <w:rsid w:val="003B326D"/>
    <w:rsid w:val="003B6F22"/>
    <w:rsid w:val="003C7436"/>
    <w:rsid w:val="003D2A1B"/>
    <w:rsid w:val="003E48F0"/>
    <w:rsid w:val="003F218C"/>
    <w:rsid w:val="00405EC8"/>
    <w:rsid w:val="00411666"/>
    <w:rsid w:val="00411978"/>
    <w:rsid w:val="004302A0"/>
    <w:rsid w:val="00432518"/>
    <w:rsid w:val="004333FE"/>
    <w:rsid w:val="004369F2"/>
    <w:rsid w:val="0043753D"/>
    <w:rsid w:val="00437627"/>
    <w:rsid w:val="0044285B"/>
    <w:rsid w:val="00455085"/>
    <w:rsid w:val="0046228B"/>
    <w:rsid w:val="004642D2"/>
    <w:rsid w:val="00464F9B"/>
    <w:rsid w:val="00480400"/>
    <w:rsid w:val="00486046"/>
    <w:rsid w:val="004903B9"/>
    <w:rsid w:val="00491AD2"/>
    <w:rsid w:val="00491D39"/>
    <w:rsid w:val="00492D4F"/>
    <w:rsid w:val="004A1F12"/>
    <w:rsid w:val="004A620D"/>
    <w:rsid w:val="004A7654"/>
    <w:rsid w:val="004B24A2"/>
    <w:rsid w:val="004C7AB5"/>
    <w:rsid w:val="004F194D"/>
    <w:rsid w:val="00504B77"/>
    <w:rsid w:val="00505DE1"/>
    <w:rsid w:val="005140FB"/>
    <w:rsid w:val="00514958"/>
    <w:rsid w:val="005154B2"/>
    <w:rsid w:val="00516B8A"/>
    <w:rsid w:val="00520A87"/>
    <w:rsid w:val="005253BD"/>
    <w:rsid w:val="00526845"/>
    <w:rsid w:val="00530B41"/>
    <w:rsid w:val="00534C25"/>
    <w:rsid w:val="0054162D"/>
    <w:rsid w:val="00542E9D"/>
    <w:rsid w:val="00544345"/>
    <w:rsid w:val="00550399"/>
    <w:rsid w:val="00552A7D"/>
    <w:rsid w:val="005540B4"/>
    <w:rsid w:val="005551C2"/>
    <w:rsid w:val="00561C6C"/>
    <w:rsid w:val="005712F1"/>
    <w:rsid w:val="00571EE7"/>
    <w:rsid w:val="00575767"/>
    <w:rsid w:val="0058547F"/>
    <w:rsid w:val="005865A9"/>
    <w:rsid w:val="00593C9E"/>
    <w:rsid w:val="00597532"/>
    <w:rsid w:val="005A4413"/>
    <w:rsid w:val="005A5541"/>
    <w:rsid w:val="005B36A5"/>
    <w:rsid w:val="005B45B7"/>
    <w:rsid w:val="005B6689"/>
    <w:rsid w:val="005D1293"/>
    <w:rsid w:val="005D1394"/>
    <w:rsid w:val="005E05A0"/>
    <w:rsid w:val="005E5ED5"/>
    <w:rsid w:val="005E704D"/>
    <w:rsid w:val="005F2868"/>
    <w:rsid w:val="005F58A6"/>
    <w:rsid w:val="005F637A"/>
    <w:rsid w:val="005F65FB"/>
    <w:rsid w:val="00603208"/>
    <w:rsid w:val="00605133"/>
    <w:rsid w:val="00606FAB"/>
    <w:rsid w:val="006070F8"/>
    <w:rsid w:val="00620769"/>
    <w:rsid w:val="00634543"/>
    <w:rsid w:val="0064255C"/>
    <w:rsid w:val="00643A3A"/>
    <w:rsid w:val="00663AE6"/>
    <w:rsid w:val="006651BF"/>
    <w:rsid w:val="006768E3"/>
    <w:rsid w:val="006857AC"/>
    <w:rsid w:val="00685AD9"/>
    <w:rsid w:val="0069078C"/>
    <w:rsid w:val="00691742"/>
    <w:rsid w:val="00695419"/>
    <w:rsid w:val="006978EC"/>
    <w:rsid w:val="006A3B74"/>
    <w:rsid w:val="006C35E6"/>
    <w:rsid w:val="006C395E"/>
    <w:rsid w:val="006C5C99"/>
    <w:rsid w:val="006C6FAF"/>
    <w:rsid w:val="006E1827"/>
    <w:rsid w:val="006E3A0E"/>
    <w:rsid w:val="006E589A"/>
    <w:rsid w:val="006E67BC"/>
    <w:rsid w:val="006E7FC3"/>
    <w:rsid w:val="006F284F"/>
    <w:rsid w:val="006F3399"/>
    <w:rsid w:val="006F3638"/>
    <w:rsid w:val="00704CB4"/>
    <w:rsid w:val="00705AB5"/>
    <w:rsid w:val="007124E7"/>
    <w:rsid w:val="007141AA"/>
    <w:rsid w:val="00723A89"/>
    <w:rsid w:val="00731349"/>
    <w:rsid w:val="007320A5"/>
    <w:rsid w:val="00735AFA"/>
    <w:rsid w:val="00746294"/>
    <w:rsid w:val="00747E26"/>
    <w:rsid w:val="007556F4"/>
    <w:rsid w:val="00756E6F"/>
    <w:rsid w:val="007574FE"/>
    <w:rsid w:val="00761577"/>
    <w:rsid w:val="00776BFC"/>
    <w:rsid w:val="00776E47"/>
    <w:rsid w:val="007851DF"/>
    <w:rsid w:val="007A2B58"/>
    <w:rsid w:val="007A4250"/>
    <w:rsid w:val="007A532B"/>
    <w:rsid w:val="007A6649"/>
    <w:rsid w:val="007B271B"/>
    <w:rsid w:val="007C3327"/>
    <w:rsid w:val="007D2B7C"/>
    <w:rsid w:val="007D3452"/>
    <w:rsid w:val="007D5318"/>
    <w:rsid w:val="008135A9"/>
    <w:rsid w:val="00813C37"/>
    <w:rsid w:val="00821E5E"/>
    <w:rsid w:val="00824628"/>
    <w:rsid w:val="008278DF"/>
    <w:rsid w:val="008424CB"/>
    <w:rsid w:val="008473D2"/>
    <w:rsid w:val="0085431D"/>
    <w:rsid w:val="00863851"/>
    <w:rsid w:val="008649C6"/>
    <w:rsid w:val="0086620B"/>
    <w:rsid w:val="00867D72"/>
    <w:rsid w:val="00874089"/>
    <w:rsid w:val="00896F9F"/>
    <w:rsid w:val="008A0F53"/>
    <w:rsid w:val="008A30D5"/>
    <w:rsid w:val="008A59F7"/>
    <w:rsid w:val="008B2C90"/>
    <w:rsid w:val="008B4F99"/>
    <w:rsid w:val="008C1252"/>
    <w:rsid w:val="008E37C5"/>
    <w:rsid w:val="008E79C0"/>
    <w:rsid w:val="008F2C16"/>
    <w:rsid w:val="00900624"/>
    <w:rsid w:val="00900839"/>
    <w:rsid w:val="009016E0"/>
    <w:rsid w:val="00903A8B"/>
    <w:rsid w:val="00910096"/>
    <w:rsid w:val="00916390"/>
    <w:rsid w:val="00924BCE"/>
    <w:rsid w:val="00932251"/>
    <w:rsid w:val="009328B5"/>
    <w:rsid w:val="00933148"/>
    <w:rsid w:val="00941FFB"/>
    <w:rsid w:val="00943C5A"/>
    <w:rsid w:val="00947E64"/>
    <w:rsid w:val="00952056"/>
    <w:rsid w:val="00976B63"/>
    <w:rsid w:val="00982A4E"/>
    <w:rsid w:val="009945E9"/>
    <w:rsid w:val="009A31BE"/>
    <w:rsid w:val="009A694C"/>
    <w:rsid w:val="009B22E4"/>
    <w:rsid w:val="009B37BD"/>
    <w:rsid w:val="009C3A79"/>
    <w:rsid w:val="009C754E"/>
    <w:rsid w:val="009E04EC"/>
    <w:rsid w:val="009E119C"/>
    <w:rsid w:val="009E2EDE"/>
    <w:rsid w:val="009E6C52"/>
    <w:rsid w:val="009F0208"/>
    <w:rsid w:val="009F4050"/>
    <w:rsid w:val="009F5DE4"/>
    <w:rsid w:val="00A02C19"/>
    <w:rsid w:val="00A04DEC"/>
    <w:rsid w:val="00A17BDA"/>
    <w:rsid w:val="00A23739"/>
    <w:rsid w:val="00A36EC5"/>
    <w:rsid w:val="00A4545A"/>
    <w:rsid w:val="00A51980"/>
    <w:rsid w:val="00A53CAB"/>
    <w:rsid w:val="00A612A0"/>
    <w:rsid w:val="00A824C1"/>
    <w:rsid w:val="00A82938"/>
    <w:rsid w:val="00A85268"/>
    <w:rsid w:val="00A93628"/>
    <w:rsid w:val="00A95E64"/>
    <w:rsid w:val="00AA0A56"/>
    <w:rsid w:val="00AC01D5"/>
    <w:rsid w:val="00AC0FBF"/>
    <w:rsid w:val="00AC1EBE"/>
    <w:rsid w:val="00AC7518"/>
    <w:rsid w:val="00AE0F99"/>
    <w:rsid w:val="00AE2408"/>
    <w:rsid w:val="00AF3DD1"/>
    <w:rsid w:val="00B20AC4"/>
    <w:rsid w:val="00B27CD4"/>
    <w:rsid w:val="00B27CF7"/>
    <w:rsid w:val="00B30B31"/>
    <w:rsid w:val="00B31217"/>
    <w:rsid w:val="00B3664B"/>
    <w:rsid w:val="00B4425E"/>
    <w:rsid w:val="00B56690"/>
    <w:rsid w:val="00B67EC1"/>
    <w:rsid w:val="00B7737F"/>
    <w:rsid w:val="00B9030E"/>
    <w:rsid w:val="00B96F94"/>
    <w:rsid w:val="00BC7269"/>
    <w:rsid w:val="00BE080A"/>
    <w:rsid w:val="00BE75F5"/>
    <w:rsid w:val="00BF1B8E"/>
    <w:rsid w:val="00C0351B"/>
    <w:rsid w:val="00C1582C"/>
    <w:rsid w:val="00C16142"/>
    <w:rsid w:val="00C168B2"/>
    <w:rsid w:val="00C16D59"/>
    <w:rsid w:val="00C20EF9"/>
    <w:rsid w:val="00C317C9"/>
    <w:rsid w:val="00C34AB4"/>
    <w:rsid w:val="00C46E15"/>
    <w:rsid w:val="00C47A37"/>
    <w:rsid w:val="00C57C08"/>
    <w:rsid w:val="00C57CEC"/>
    <w:rsid w:val="00C73DE3"/>
    <w:rsid w:val="00C83288"/>
    <w:rsid w:val="00C90854"/>
    <w:rsid w:val="00CA6E85"/>
    <w:rsid w:val="00CA7E3C"/>
    <w:rsid w:val="00CB014D"/>
    <w:rsid w:val="00CB04C5"/>
    <w:rsid w:val="00CC5750"/>
    <w:rsid w:val="00CC5B94"/>
    <w:rsid w:val="00CC6033"/>
    <w:rsid w:val="00CD5262"/>
    <w:rsid w:val="00CE411F"/>
    <w:rsid w:val="00CE6FC3"/>
    <w:rsid w:val="00CF6D27"/>
    <w:rsid w:val="00D067F3"/>
    <w:rsid w:val="00D11E7F"/>
    <w:rsid w:val="00D26E0F"/>
    <w:rsid w:val="00D271D6"/>
    <w:rsid w:val="00D31A00"/>
    <w:rsid w:val="00D33F84"/>
    <w:rsid w:val="00D35FBA"/>
    <w:rsid w:val="00D60407"/>
    <w:rsid w:val="00D669EC"/>
    <w:rsid w:val="00D725A1"/>
    <w:rsid w:val="00D81CED"/>
    <w:rsid w:val="00D82F6C"/>
    <w:rsid w:val="00D968D9"/>
    <w:rsid w:val="00D97924"/>
    <w:rsid w:val="00DA0C4A"/>
    <w:rsid w:val="00DA6B14"/>
    <w:rsid w:val="00DB66A7"/>
    <w:rsid w:val="00DC27C3"/>
    <w:rsid w:val="00DD0847"/>
    <w:rsid w:val="00DD16A5"/>
    <w:rsid w:val="00DE409D"/>
    <w:rsid w:val="00DE4B74"/>
    <w:rsid w:val="00DF0F2D"/>
    <w:rsid w:val="00DF5320"/>
    <w:rsid w:val="00DF5E6E"/>
    <w:rsid w:val="00E040C2"/>
    <w:rsid w:val="00E0737B"/>
    <w:rsid w:val="00E17440"/>
    <w:rsid w:val="00E17714"/>
    <w:rsid w:val="00E25F55"/>
    <w:rsid w:val="00E30E94"/>
    <w:rsid w:val="00E40FE0"/>
    <w:rsid w:val="00E4592E"/>
    <w:rsid w:val="00E5494E"/>
    <w:rsid w:val="00E56018"/>
    <w:rsid w:val="00E6440E"/>
    <w:rsid w:val="00E674B3"/>
    <w:rsid w:val="00E70BA5"/>
    <w:rsid w:val="00E82D0A"/>
    <w:rsid w:val="00E847FE"/>
    <w:rsid w:val="00E84813"/>
    <w:rsid w:val="00E90D74"/>
    <w:rsid w:val="00E91C32"/>
    <w:rsid w:val="00E926B9"/>
    <w:rsid w:val="00E956EA"/>
    <w:rsid w:val="00E9712F"/>
    <w:rsid w:val="00EA0BE7"/>
    <w:rsid w:val="00EB5903"/>
    <w:rsid w:val="00EC6FCB"/>
    <w:rsid w:val="00ED683D"/>
    <w:rsid w:val="00EE7B49"/>
    <w:rsid w:val="00EF0A62"/>
    <w:rsid w:val="00EF1153"/>
    <w:rsid w:val="00EF6A20"/>
    <w:rsid w:val="00F119BB"/>
    <w:rsid w:val="00F1464B"/>
    <w:rsid w:val="00F149B7"/>
    <w:rsid w:val="00F20370"/>
    <w:rsid w:val="00F214C6"/>
    <w:rsid w:val="00F25778"/>
    <w:rsid w:val="00F2735E"/>
    <w:rsid w:val="00F35C0F"/>
    <w:rsid w:val="00F36AF0"/>
    <w:rsid w:val="00F42F0A"/>
    <w:rsid w:val="00F501D4"/>
    <w:rsid w:val="00F52AE5"/>
    <w:rsid w:val="00F5358F"/>
    <w:rsid w:val="00F60FE9"/>
    <w:rsid w:val="00F67C5A"/>
    <w:rsid w:val="00F73AAC"/>
    <w:rsid w:val="00F81B47"/>
    <w:rsid w:val="00F94B0B"/>
    <w:rsid w:val="00F97D32"/>
    <w:rsid w:val="00FB1A0E"/>
    <w:rsid w:val="00FB24D8"/>
    <w:rsid w:val="00FC33CD"/>
    <w:rsid w:val="00FC609A"/>
    <w:rsid w:val="00FD1C35"/>
    <w:rsid w:val="00FE2E50"/>
    <w:rsid w:val="00FF08EF"/>
    <w:rsid w:val="00FF0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E53C7"/>
  <w15:docId w15:val="{A12DB9D4-6750-4501-8BE3-1AD4BEB5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AU" w:eastAsia="en-US" w:bidi="ar-SA"/>
      </w:rPr>
    </w:rPrDefault>
    <w:pPrDefault/>
  </w:docDefaults>
  <w:latentStyles w:defLockedState="0" w:defUIPriority="99" w:defSemiHidden="0" w:defUnhideWhenUsed="0" w:defQFormat="0" w:count="375">
    <w:lsdException w:name="Normal" w:uiPriority="2"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0C6D9F"/>
    <w:pPr>
      <w:overflowPunct w:val="0"/>
      <w:autoSpaceDE w:val="0"/>
      <w:autoSpaceDN w:val="0"/>
      <w:adjustRightInd w:val="0"/>
      <w:textAlignment w:val="baseline"/>
    </w:pPr>
    <w:rPr>
      <w:rFonts w:ascii="Times New Roman" w:hAnsi="Times New Roman"/>
      <w:sz w:val="24"/>
    </w:rPr>
  </w:style>
  <w:style w:type="paragraph" w:styleId="Heading1">
    <w:name w:val="heading 1"/>
    <w:basedOn w:val="ListParagraph"/>
    <w:next w:val="Normal"/>
    <w:link w:val="Heading1Char"/>
    <w:uiPriority w:val="1"/>
    <w:qFormat/>
    <w:rsid w:val="00326BBD"/>
    <w:pPr>
      <w:numPr>
        <w:numId w:val="0"/>
      </w:numPr>
      <w:spacing w:after="120"/>
      <w:ind w:left="567" w:hanging="567"/>
      <w:jc w:val="center"/>
      <w:outlineLvl w:val="0"/>
    </w:pPr>
    <w:rPr>
      <w:rFonts w:ascii="Arial Bold" w:hAnsi="Arial Bold" w:cs="Arial"/>
      <w:b/>
      <w:caps/>
    </w:rPr>
  </w:style>
  <w:style w:type="paragraph" w:styleId="Heading2">
    <w:name w:val="heading 2"/>
    <w:basedOn w:val="Normal"/>
    <w:next w:val="Normal"/>
    <w:link w:val="Heading2Char"/>
    <w:qFormat/>
    <w:rsid w:val="00C57C08"/>
    <w:pPr>
      <w:spacing w:after="120" w:line="276" w:lineRule="auto"/>
      <w:outlineLvl w:val="1"/>
    </w:pPr>
    <w:rPr>
      <w:rFonts w:ascii="Arial" w:hAnsi="Arial" w:cs="Arial"/>
      <w:b/>
      <w:szCs w:val="24"/>
    </w:rPr>
  </w:style>
  <w:style w:type="paragraph" w:styleId="Heading3">
    <w:name w:val="heading 3"/>
    <w:basedOn w:val="Heading2"/>
    <w:next w:val="NormalIndent"/>
    <w:link w:val="Heading3Char"/>
    <w:qFormat/>
    <w:rsid w:val="00C57C08"/>
    <w:pPr>
      <w:keepNext/>
      <w:spacing w:before="120"/>
      <w:outlineLvl w:val="2"/>
    </w:pPr>
    <w:rPr>
      <w:rFonts w:ascii="Times New Roman" w:hAnsi="Times New Roman"/>
      <w:b w:val="0"/>
      <w:u w:val="single"/>
    </w:rPr>
  </w:style>
  <w:style w:type="paragraph" w:styleId="Heading4">
    <w:name w:val="heading 4"/>
    <w:basedOn w:val="Subtitle"/>
    <w:next w:val="Normal"/>
    <w:link w:val="Heading4Char"/>
    <w:uiPriority w:val="9"/>
    <w:unhideWhenUsed/>
    <w:qFormat/>
    <w:rsid w:val="00011F7F"/>
    <w:pPr>
      <w:keepNext/>
      <w:numPr>
        <w:ilvl w:val="3"/>
        <w:numId w:val="1"/>
      </w:numPr>
      <w:spacing w:after="240"/>
      <w:outlineLvl w:val="3"/>
    </w:pPr>
  </w:style>
  <w:style w:type="paragraph" w:styleId="Heading5">
    <w:name w:val="heading 5"/>
    <w:basedOn w:val="Normal"/>
    <w:next w:val="Normal"/>
    <w:link w:val="Heading5Char"/>
    <w:uiPriority w:val="9"/>
    <w:unhideWhenUsed/>
    <w:qFormat/>
    <w:rsid w:val="00011F7F"/>
    <w:pPr>
      <w:numPr>
        <w:ilvl w:val="4"/>
        <w:numId w:val="1"/>
      </w:numPr>
      <w:spacing w:after="240"/>
      <w:outlineLvl w:val="4"/>
    </w:pPr>
    <w:rPr>
      <w:i/>
    </w:rPr>
  </w:style>
  <w:style w:type="paragraph" w:styleId="Heading6">
    <w:name w:val="heading 6"/>
    <w:basedOn w:val="Normal"/>
    <w:next w:val="Normal"/>
    <w:link w:val="Heading6Char"/>
    <w:uiPriority w:val="9"/>
    <w:unhideWhenUsed/>
    <w:qFormat/>
    <w:rsid w:val="00011F7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1F7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1F7F"/>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1F7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subparagraph">
    <w:name w:val="List subparagraph"/>
    <w:basedOn w:val="ListParagraph"/>
    <w:uiPriority w:val="2"/>
    <w:qFormat/>
    <w:rsid w:val="000C6D9F"/>
    <w:pPr>
      <w:numPr>
        <w:numId w:val="12"/>
      </w:numPr>
      <w:ind w:left="993" w:hanging="633"/>
    </w:pPr>
    <w:rPr>
      <w:lang w:eastAsia="en-AU"/>
    </w:rPr>
  </w:style>
  <w:style w:type="paragraph" w:customStyle="1" w:styleId="MIRSubpara">
    <w:name w:val="MIR Subpara"/>
    <w:basedOn w:val="Normal"/>
    <w:link w:val="MIRSubparaChar"/>
    <w:qFormat/>
    <w:rsid w:val="001815CC"/>
    <w:pPr>
      <w:numPr>
        <w:ilvl w:val="1"/>
        <w:numId w:val="45"/>
      </w:numPr>
      <w:overflowPunct/>
      <w:autoSpaceDE/>
      <w:autoSpaceDN/>
      <w:adjustRightInd/>
      <w:spacing w:before="100" w:line="300" w:lineRule="atLeast"/>
      <w:textAlignment w:val="auto"/>
    </w:pPr>
    <w:rPr>
      <w:sz w:val="22"/>
      <w:szCs w:val="22"/>
      <w:lang w:eastAsia="en-AU"/>
    </w:rPr>
  </w:style>
  <w:style w:type="character" w:customStyle="1" w:styleId="MIRSubparaChar">
    <w:name w:val="MIR Subpara Char"/>
    <w:basedOn w:val="DefaultParagraphFont"/>
    <w:link w:val="MIRSubpara"/>
    <w:rsid w:val="001815CC"/>
    <w:rPr>
      <w:rFonts w:ascii="Times New Roman" w:hAnsi="Times New Roman"/>
      <w:sz w:val="22"/>
      <w:szCs w:val="22"/>
      <w:lang w:eastAsia="en-AU"/>
    </w:rPr>
  </w:style>
  <w:style w:type="paragraph" w:customStyle="1" w:styleId="MIRsubsubsubpara">
    <w:name w:val="MIR subsubsubpara"/>
    <w:basedOn w:val="Normal"/>
    <w:link w:val="MIRsubsubsubparaChar"/>
    <w:qFormat/>
    <w:rsid w:val="001815CC"/>
    <w:pPr>
      <w:numPr>
        <w:ilvl w:val="3"/>
        <w:numId w:val="45"/>
      </w:numPr>
      <w:overflowPunct/>
      <w:autoSpaceDE/>
      <w:autoSpaceDN/>
      <w:adjustRightInd/>
      <w:spacing w:before="100" w:line="300" w:lineRule="atLeast"/>
      <w:textAlignment w:val="auto"/>
    </w:pPr>
    <w:rPr>
      <w:sz w:val="22"/>
      <w:szCs w:val="22"/>
      <w:lang w:eastAsia="en-AU"/>
    </w:rPr>
  </w:style>
  <w:style w:type="character" w:customStyle="1" w:styleId="Heading1Char">
    <w:name w:val="Heading 1 Char"/>
    <w:link w:val="Heading1"/>
    <w:uiPriority w:val="1"/>
    <w:rsid w:val="00326BBD"/>
    <w:rPr>
      <w:rFonts w:ascii="Arial Bold" w:hAnsi="Arial Bold" w:cs="Arial"/>
      <w:b/>
      <w:caps/>
      <w:sz w:val="24"/>
    </w:rPr>
  </w:style>
  <w:style w:type="character" w:customStyle="1" w:styleId="Heading2Char">
    <w:name w:val="Heading 2 Char"/>
    <w:basedOn w:val="DefaultParagraphFont"/>
    <w:link w:val="Heading2"/>
    <w:rsid w:val="00C57C08"/>
    <w:rPr>
      <w:rFonts w:ascii="Arial" w:hAnsi="Arial" w:cs="Arial"/>
      <w:b/>
      <w:sz w:val="24"/>
      <w:szCs w:val="24"/>
    </w:rPr>
  </w:style>
  <w:style w:type="character" w:customStyle="1" w:styleId="Heading3Char">
    <w:name w:val="Heading 3 Char"/>
    <w:basedOn w:val="DefaultParagraphFont"/>
    <w:link w:val="Heading3"/>
    <w:rsid w:val="00C57C08"/>
    <w:rPr>
      <w:rFonts w:ascii="Times New Roman" w:hAnsi="Times New Roman" w:cs="Arial"/>
      <w:sz w:val="24"/>
      <w:szCs w:val="24"/>
      <w:u w:val="single"/>
    </w:rPr>
  </w:style>
  <w:style w:type="paragraph" w:styleId="ListParagraph">
    <w:name w:val="List Paragraph"/>
    <w:basedOn w:val="Normal"/>
    <w:uiPriority w:val="1"/>
    <w:qFormat/>
    <w:rsid w:val="000C6D9F"/>
    <w:pPr>
      <w:numPr>
        <w:numId w:val="14"/>
      </w:numPr>
      <w:spacing w:line="276" w:lineRule="auto"/>
      <w:ind w:left="993" w:hanging="633"/>
    </w:pPr>
    <w:rPr>
      <w:szCs w:val="24"/>
    </w:rPr>
  </w:style>
  <w:style w:type="paragraph" w:styleId="NormalIndent">
    <w:name w:val="Normal Indent"/>
    <w:basedOn w:val="Normal"/>
    <w:uiPriority w:val="99"/>
    <w:semiHidden/>
    <w:unhideWhenUsed/>
    <w:rsid w:val="00011F7F"/>
    <w:pPr>
      <w:ind w:left="720"/>
    </w:pPr>
  </w:style>
  <w:style w:type="character" w:customStyle="1" w:styleId="Heading4Char">
    <w:name w:val="Heading 4 Char"/>
    <w:basedOn w:val="DefaultParagraphFont"/>
    <w:link w:val="Heading4"/>
    <w:uiPriority w:val="9"/>
    <w:rsid w:val="00011F7F"/>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uiPriority w:val="11"/>
    <w:qFormat/>
    <w:rsid w:val="00011F7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11F7F"/>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011F7F"/>
    <w:rPr>
      <w:rFonts w:ascii="Times New Roman" w:hAnsi="Times New Roman"/>
      <w:i/>
      <w:sz w:val="24"/>
    </w:rPr>
  </w:style>
  <w:style w:type="character" w:customStyle="1" w:styleId="Heading6Char">
    <w:name w:val="Heading 6 Char"/>
    <w:basedOn w:val="DefaultParagraphFont"/>
    <w:link w:val="Heading6"/>
    <w:uiPriority w:val="9"/>
    <w:rsid w:val="00011F7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11F7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11F7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1F7F"/>
    <w:rPr>
      <w:rFonts w:asciiTheme="majorHAnsi" w:eastAsiaTheme="majorEastAsia" w:hAnsiTheme="majorHAnsi" w:cstheme="majorBidi"/>
      <w:i/>
      <w:iCs/>
      <w:color w:val="404040" w:themeColor="text1" w:themeTint="BF"/>
    </w:rPr>
  </w:style>
  <w:style w:type="paragraph" w:styleId="Title">
    <w:name w:val="Title"/>
    <w:basedOn w:val="Heading1"/>
    <w:next w:val="Normal"/>
    <w:link w:val="TitleChar"/>
    <w:uiPriority w:val="10"/>
    <w:qFormat/>
    <w:rsid w:val="00011F7F"/>
    <w:pPr>
      <w:ind w:left="432" w:hanging="432"/>
    </w:pPr>
    <w:rPr>
      <w:rFonts w:cs="Times New Roman"/>
      <w:sz w:val="36"/>
    </w:rPr>
  </w:style>
  <w:style w:type="character" w:customStyle="1" w:styleId="TitleChar">
    <w:name w:val="Title Char"/>
    <w:basedOn w:val="DefaultParagraphFont"/>
    <w:link w:val="Title"/>
    <w:uiPriority w:val="10"/>
    <w:rsid w:val="00011F7F"/>
    <w:rPr>
      <w:rFonts w:ascii="Univers" w:eastAsiaTheme="minorEastAsia" w:hAnsi="Univers"/>
      <w:b/>
      <w:color w:val="4F81BD" w:themeColor="accent1"/>
      <w:sz w:val="36"/>
    </w:rPr>
  </w:style>
  <w:style w:type="paragraph" w:styleId="TOCHeading">
    <w:name w:val="TOC Heading"/>
    <w:basedOn w:val="Heading1"/>
    <w:next w:val="Normal"/>
    <w:uiPriority w:val="39"/>
    <w:unhideWhenUsed/>
    <w:qFormat/>
    <w:rsid w:val="00011F7F"/>
    <w:pPr>
      <w:keepLines/>
      <w:overflowPunct/>
      <w:autoSpaceDE/>
      <w:autoSpaceDN/>
      <w:adjustRightInd/>
      <w:spacing w:before="480" w:after="0"/>
      <w:ind w:left="0" w:firstLine="0"/>
      <w:textAlignment w:val="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semiHidden/>
    <w:unhideWhenUsed/>
    <w:rsid w:val="00874089"/>
    <w:rPr>
      <w:sz w:val="16"/>
      <w:szCs w:val="16"/>
    </w:rPr>
  </w:style>
  <w:style w:type="paragraph" w:styleId="CommentText">
    <w:name w:val="annotation text"/>
    <w:basedOn w:val="Normal"/>
    <w:link w:val="CommentTextChar"/>
    <w:uiPriority w:val="99"/>
    <w:semiHidden/>
    <w:unhideWhenUsed/>
    <w:rsid w:val="00874089"/>
    <w:rPr>
      <w:sz w:val="20"/>
    </w:rPr>
  </w:style>
  <w:style w:type="character" w:customStyle="1" w:styleId="CommentTextChar">
    <w:name w:val="Comment Text Char"/>
    <w:basedOn w:val="DefaultParagraphFont"/>
    <w:link w:val="CommentText"/>
    <w:uiPriority w:val="99"/>
    <w:semiHidden/>
    <w:rsid w:val="0087408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74089"/>
    <w:rPr>
      <w:b/>
      <w:bCs/>
    </w:rPr>
  </w:style>
  <w:style w:type="character" w:customStyle="1" w:styleId="CommentSubjectChar">
    <w:name w:val="Comment Subject Char"/>
    <w:basedOn w:val="CommentTextChar"/>
    <w:link w:val="CommentSubject"/>
    <w:uiPriority w:val="99"/>
    <w:semiHidden/>
    <w:rsid w:val="00874089"/>
    <w:rPr>
      <w:rFonts w:ascii="Times New Roman" w:hAnsi="Times New Roman"/>
      <w:b/>
      <w:bCs/>
    </w:rPr>
  </w:style>
  <w:style w:type="paragraph" w:styleId="BalloonText">
    <w:name w:val="Balloon Text"/>
    <w:basedOn w:val="Normal"/>
    <w:link w:val="BalloonTextChar"/>
    <w:uiPriority w:val="99"/>
    <w:semiHidden/>
    <w:unhideWhenUsed/>
    <w:rsid w:val="00874089"/>
    <w:rPr>
      <w:rFonts w:ascii="Tahoma" w:hAnsi="Tahoma" w:cs="Tahoma"/>
      <w:sz w:val="16"/>
      <w:szCs w:val="16"/>
    </w:rPr>
  </w:style>
  <w:style w:type="character" w:customStyle="1" w:styleId="BalloonTextChar">
    <w:name w:val="Balloon Text Char"/>
    <w:basedOn w:val="DefaultParagraphFont"/>
    <w:link w:val="BalloonText"/>
    <w:uiPriority w:val="99"/>
    <w:semiHidden/>
    <w:rsid w:val="00874089"/>
    <w:rPr>
      <w:rFonts w:ascii="Tahoma" w:hAnsi="Tahoma" w:cs="Tahoma"/>
      <w:sz w:val="16"/>
      <w:szCs w:val="16"/>
    </w:rPr>
  </w:style>
  <w:style w:type="paragraph" w:styleId="BodyText">
    <w:name w:val="Body Text"/>
    <w:basedOn w:val="Normal"/>
    <w:link w:val="BodyTextChar"/>
    <w:qFormat/>
    <w:rsid w:val="003835D7"/>
    <w:pPr>
      <w:spacing w:before="120" w:line="276" w:lineRule="auto"/>
    </w:pPr>
    <w:rPr>
      <w:szCs w:val="24"/>
    </w:rPr>
  </w:style>
  <w:style w:type="character" w:customStyle="1" w:styleId="BodyTextChar">
    <w:name w:val="Body Text Char"/>
    <w:basedOn w:val="DefaultParagraphFont"/>
    <w:link w:val="BodyText"/>
    <w:rsid w:val="003835D7"/>
    <w:rPr>
      <w:rFonts w:ascii="Times New Roman" w:hAnsi="Times New Roman"/>
      <w:sz w:val="24"/>
      <w:szCs w:val="24"/>
    </w:rPr>
  </w:style>
  <w:style w:type="paragraph" w:styleId="Header">
    <w:name w:val="header"/>
    <w:basedOn w:val="Normal"/>
    <w:link w:val="HeaderChar"/>
    <w:uiPriority w:val="99"/>
    <w:unhideWhenUsed/>
    <w:rsid w:val="00CC5B94"/>
    <w:pPr>
      <w:tabs>
        <w:tab w:val="center" w:pos="4513"/>
        <w:tab w:val="right" w:pos="9026"/>
      </w:tabs>
    </w:pPr>
  </w:style>
  <w:style w:type="character" w:customStyle="1" w:styleId="HeaderChar">
    <w:name w:val="Header Char"/>
    <w:basedOn w:val="DefaultParagraphFont"/>
    <w:link w:val="Header"/>
    <w:uiPriority w:val="99"/>
    <w:rsid w:val="00CC5B94"/>
    <w:rPr>
      <w:rFonts w:ascii="Times New Roman" w:hAnsi="Times New Roman"/>
      <w:sz w:val="24"/>
    </w:rPr>
  </w:style>
  <w:style w:type="paragraph" w:styleId="Footer">
    <w:name w:val="footer"/>
    <w:basedOn w:val="Normal"/>
    <w:link w:val="FooterChar"/>
    <w:uiPriority w:val="99"/>
    <w:unhideWhenUsed/>
    <w:rsid w:val="00CC5B94"/>
    <w:pPr>
      <w:tabs>
        <w:tab w:val="center" w:pos="4513"/>
        <w:tab w:val="right" w:pos="9026"/>
      </w:tabs>
    </w:pPr>
  </w:style>
  <w:style w:type="character" w:customStyle="1" w:styleId="FooterChar">
    <w:name w:val="Footer Char"/>
    <w:basedOn w:val="DefaultParagraphFont"/>
    <w:link w:val="Footer"/>
    <w:uiPriority w:val="99"/>
    <w:rsid w:val="00CC5B94"/>
    <w:rPr>
      <w:rFonts w:ascii="Times New Roman" w:hAnsi="Times New Roman"/>
      <w:sz w:val="24"/>
    </w:rPr>
  </w:style>
  <w:style w:type="character" w:styleId="Hyperlink">
    <w:name w:val="Hyperlink"/>
    <w:basedOn w:val="DefaultParagraphFont"/>
    <w:uiPriority w:val="99"/>
    <w:unhideWhenUsed/>
    <w:rsid w:val="00A02C19"/>
    <w:rPr>
      <w:color w:val="0000FF" w:themeColor="hyperlink"/>
      <w:u w:val="single"/>
    </w:rPr>
  </w:style>
  <w:style w:type="paragraph" w:styleId="Revision">
    <w:name w:val="Revision"/>
    <w:hidden/>
    <w:uiPriority w:val="99"/>
    <w:semiHidden/>
    <w:rsid w:val="009F4050"/>
    <w:rPr>
      <w:rFonts w:ascii="Times New Roman" w:hAnsi="Times New Roman"/>
      <w:sz w:val="24"/>
    </w:rPr>
  </w:style>
  <w:style w:type="character" w:customStyle="1" w:styleId="MIRsubsubsubparaChar">
    <w:name w:val="MIR subsubsubpara Char"/>
    <w:basedOn w:val="DefaultParagraphFont"/>
    <w:link w:val="MIRsubsubsubpara"/>
    <w:rsid w:val="001815CC"/>
    <w:rPr>
      <w:rFonts w:ascii="Times New Roman" w:hAnsi="Times New Roman"/>
      <w:sz w:val="22"/>
      <w:szCs w:val="22"/>
      <w:lang w:eastAsia="en-AU"/>
    </w:rPr>
  </w:style>
  <w:style w:type="paragraph" w:customStyle="1" w:styleId="MIRBodyText">
    <w:name w:val="MIR Body Text"/>
    <w:basedOn w:val="Normal"/>
    <w:link w:val="MIRBodyTextChar"/>
    <w:qFormat/>
    <w:rsid w:val="001815CC"/>
    <w:pPr>
      <w:tabs>
        <w:tab w:val="left" w:pos="851"/>
      </w:tabs>
      <w:overflowPunct/>
      <w:autoSpaceDE/>
      <w:autoSpaceDN/>
      <w:adjustRightInd/>
      <w:spacing w:before="200" w:line="300" w:lineRule="atLeast"/>
      <w:ind w:left="850"/>
      <w:textAlignment w:val="auto"/>
    </w:pPr>
    <w:rPr>
      <w:sz w:val="22"/>
      <w:szCs w:val="22"/>
      <w:lang w:eastAsia="en-AU"/>
    </w:rPr>
  </w:style>
  <w:style w:type="character" w:customStyle="1" w:styleId="MIRBodyTextChar">
    <w:name w:val="MIR Body Text Char"/>
    <w:basedOn w:val="DefaultParagraphFont"/>
    <w:link w:val="MIRBodyText"/>
    <w:rsid w:val="001815CC"/>
    <w:rPr>
      <w:rFonts w:ascii="Times New Roman" w:hAnsi="Times New Roman"/>
      <w:sz w:val="22"/>
      <w:szCs w:val="22"/>
      <w:lang w:eastAsia="en-AU"/>
    </w:rPr>
  </w:style>
  <w:style w:type="paragraph" w:customStyle="1" w:styleId="MIRSubsubpara">
    <w:name w:val="MIR Subsubpara"/>
    <w:basedOn w:val="Normal"/>
    <w:link w:val="MIRSubsubparaChar"/>
    <w:qFormat/>
    <w:rsid w:val="001815CC"/>
    <w:pPr>
      <w:numPr>
        <w:ilvl w:val="2"/>
        <w:numId w:val="45"/>
      </w:numPr>
      <w:overflowPunct/>
      <w:autoSpaceDE/>
      <w:autoSpaceDN/>
      <w:adjustRightInd/>
      <w:spacing w:before="100" w:line="300" w:lineRule="atLeast"/>
      <w:textAlignment w:val="auto"/>
    </w:pPr>
    <w:rPr>
      <w:sz w:val="22"/>
      <w:szCs w:val="22"/>
      <w:lang w:eastAsia="en-AU"/>
    </w:rPr>
  </w:style>
  <w:style w:type="character" w:customStyle="1" w:styleId="MIRSubsubparaChar">
    <w:name w:val="MIR Subsubpara Char"/>
    <w:basedOn w:val="DefaultParagraphFont"/>
    <w:link w:val="MIRSubsubpara"/>
    <w:rsid w:val="001815CC"/>
    <w:rPr>
      <w:rFonts w:ascii="Times New Roman" w:hAnsi="Times New Roman"/>
      <w:sz w:val="22"/>
      <w:szCs w:val="22"/>
      <w:lang w:eastAsia="en-AU"/>
    </w:rPr>
  </w:style>
  <w:style w:type="paragraph" w:customStyle="1" w:styleId="subparaa">
    <w:name w:val="sub para (a)"/>
    <w:basedOn w:val="BodyText"/>
    <w:rsid w:val="006E3A0E"/>
    <w:pPr>
      <w:tabs>
        <w:tab w:val="num" w:pos="2693"/>
      </w:tabs>
      <w:overflowPunct/>
      <w:autoSpaceDE/>
      <w:autoSpaceDN/>
      <w:adjustRightInd/>
      <w:spacing w:before="100" w:line="300" w:lineRule="atLeast"/>
      <w:ind w:left="2693" w:hanging="425"/>
      <w:textAlignment w:val="auto"/>
    </w:pPr>
    <w:rPr>
      <w:sz w:val="22"/>
      <w:szCs w:val="22"/>
      <w:lang w:eastAsia="en-AU"/>
    </w:rPr>
  </w:style>
  <w:style w:type="paragraph" w:customStyle="1" w:styleId="subsubparai">
    <w:name w:val="sub sub para (i)"/>
    <w:basedOn w:val="subparaa"/>
    <w:rsid w:val="006E3A0E"/>
    <w:pPr>
      <w:tabs>
        <w:tab w:val="clear" w:pos="2693"/>
        <w:tab w:val="num" w:pos="3119"/>
      </w:tabs>
      <w:ind w:left="3119" w:hanging="426"/>
    </w:pPr>
  </w:style>
  <w:style w:type="paragraph" w:customStyle="1" w:styleId="sub3paraA">
    <w:name w:val="sub3para (A)"/>
    <w:basedOn w:val="subsubparai"/>
    <w:qFormat/>
    <w:rsid w:val="006E3A0E"/>
    <w:pPr>
      <w:tabs>
        <w:tab w:val="clear" w:pos="3119"/>
        <w:tab w:val="num" w:pos="3544"/>
      </w:tabs>
      <w:ind w:left="3544" w:hanging="425"/>
    </w:pPr>
  </w:style>
  <w:style w:type="paragraph" w:customStyle="1" w:styleId="sub4paraI">
    <w:name w:val="sub4para (I)"/>
    <w:basedOn w:val="subsubparai"/>
    <w:qFormat/>
    <w:rsid w:val="006E3A0E"/>
    <w:pPr>
      <w:tabs>
        <w:tab w:val="clear" w:pos="3119"/>
        <w:tab w:val="num" w:pos="3969"/>
      </w:tabs>
      <w:ind w:left="3969" w:hanging="425"/>
    </w:pPr>
  </w:style>
  <w:style w:type="character" w:customStyle="1" w:styleId="subsectionChar">
    <w:name w:val="subsection Char"/>
    <w:aliases w:val="ss Char"/>
    <w:link w:val="subsection"/>
    <w:locked/>
    <w:rsid w:val="00DC27C3"/>
    <w:rPr>
      <w:rFonts w:ascii="Times New Roman" w:hAnsi="Times New Roman"/>
      <w:sz w:val="22"/>
      <w:lang w:eastAsia="en-AU"/>
    </w:rPr>
  </w:style>
  <w:style w:type="paragraph" w:customStyle="1" w:styleId="subsection">
    <w:name w:val="subsection"/>
    <w:aliases w:val="ss"/>
    <w:basedOn w:val="Normal"/>
    <w:link w:val="subsectionChar"/>
    <w:rsid w:val="00DC27C3"/>
    <w:pPr>
      <w:tabs>
        <w:tab w:val="right" w:pos="1021"/>
      </w:tabs>
      <w:overflowPunct/>
      <w:autoSpaceDE/>
      <w:autoSpaceDN/>
      <w:adjustRightInd/>
      <w:spacing w:before="180"/>
      <w:ind w:left="1134" w:hanging="1134"/>
      <w:textAlignment w:val="auto"/>
    </w:pPr>
    <w:rPr>
      <w:sz w:val="22"/>
      <w:lang w:eastAsia="en-AU"/>
    </w:rPr>
  </w:style>
  <w:style w:type="character" w:customStyle="1" w:styleId="paragraphChar">
    <w:name w:val="paragraph Char"/>
    <w:aliases w:val="a Char"/>
    <w:link w:val="paragraph"/>
    <w:locked/>
    <w:rsid w:val="00DC27C3"/>
    <w:rPr>
      <w:rFonts w:ascii="Times New Roman" w:hAnsi="Times New Roman"/>
      <w:sz w:val="22"/>
      <w:lang w:eastAsia="en-AU"/>
    </w:rPr>
  </w:style>
  <w:style w:type="character" w:styleId="UnresolvedMention">
    <w:name w:val="Unresolved Mention"/>
    <w:basedOn w:val="DefaultParagraphFont"/>
    <w:uiPriority w:val="99"/>
    <w:semiHidden/>
    <w:unhideWhenUsed/>
    <w:rsid w:val="00045D2D"/>
    <w:rPr>
      <w:color w:val="808080"/>
      <w:shd w:val="clear" w:color="auto" w:fill="E6E6E6"/>
    </w:rPr>
  </w:style>
  <w:style w:type="numbering" w:customStyle="1" w:styleId="Style1">
    <w:name w:val="Style1"/>
    <w:uiPriority w:val="99"/>
    <w:rsid w:val="005253BD"/>
    <w:pPr>
      <w:numPr>
        <w:numId w:val="15"/>
      </w:numPr>
    </w:pPr>
  </w:style>
  <w:style w:type="paragraph" w:customStyle="1" w:styleId="paragraph">
    <w:name w:val="paragraph"/>
    <w:aliases w:val="a"/>
    <w:basedOn w:val="Normal"/>
    <w:link w:val="paragraphChar"/>
    <w:rsid w:val="00DC27C3"/>
    <w:pPr>
      <w:tabs>
        <w:tab w:val="right" w:pos="1531"/>
      </w:tabs>
      <w:overflowPunct/>
      <w:autoSpaceDE/>
      <w:autoSpaceDN/>
      <w:adjustRightInd/>
      <w:spacing w:before="40"/>
      <w:ind w:left="1644" w:hanging="1644"/>
      <w:textAlignment w:val="auto"/>
    </w:pPr>
    <w:rPr>
      <w:sz w:val="22"/>
      <w:lang w:eastAsia="en-AU"/>
    </w:rPr>
  </w:style>
  <w:style w:type="paragraph" w:customStyle="1" w:styleId="paragraphsub">
    <w:name w:val="paragraph(sub)"/>
    <w:aliases w:val="aa"/>
    <w:basedOn w:val="Normal"/>
    <w:rsid w:val="0064255C"/>
    <w:pPr>
      <w:tabs>
        <w:tab w:val="right" w:pos="1985"/>
      </w:tabs>
      <w:overflowPunct/>
      <w:autoSpaceDE/>
      <w:autoSpaceDN/>
      <w:adjustRightInd/>
      <w:spacing w:before="40"/>
      <w:ind w:left="2098" w:hanging="2098"/>
      <w:textAlignment w:val="auto"/>
    </w:pPr>
    <w:rPr>
      <w:sz w:val="22"/>
      <w:lang w:eastAsia="en-AU"/>
    </w:rPr>
  </w:style>
  <w:style w:type="paragraph" w:customStyle="1" w:styleId="subsection2">
    <w:name w:val="subsection2"/>
    <w:aliases w:val="ss2"/>
    <w:basedOn w:val="Normal"/>
    <w:next w:val="subsection"/>
    <w:rsid w:val="0064255C"/>
    <w:pPr>
      <w:overflowPunct/>
      <w:autoSpaceDE/>
      <w:autoSpaceDN/>
      <w:adjustRightInd/>
      <w:spacing w:before="40"/>
      <w:ind w:left="1134"/>
      <w:textAlignment w:val="auto"/>
    </w:pPr>
    <w:rPr>
      <w:sz w:val="22"/>
      <w:lang w:eastAsia="en-AU"/>
    </w:rPr>
  </w:style>
  <w:style w:type="paragraph" w:styleId="FootnoteText">
    <w:name w:val="footnote text"/>
    <w:basedOn w:val="Normal"/>
    <w:link w:val="FootnoteTextChar"/>
    <w:uiPriority w:val="99"/>
    <w:semiHidden/>
    <w:unhideWhenUsed/>
    <w:rsid w:val="00B30B31"/>
    <w:rPr>
      <w:sz w:val="20"/>
    </w:rPr>
  </w:style>
  <w:style w:type="character" w:customStyle="1" w:styleId="FootnoteTextChar">
    <w:name w:val="Footnote Text Char"/>
    <w:basedOn w:val="DefaultParagraphFont"/>
    <w:link w:val="FootnoteText"/>
    <w:uiPriority w:val="99"/>
    <w:semiHidden/>
    <w:rsid w:val="00B30B31"/>
    <w:rPr>
      <w:rFonts w:ascii="Times New Roman" w:hAnsi="Times New Roman"/>
    </w:rPr>
  </w:style>
  <w:style w:type="character" w:styleId="FootnoteReference">
    <w:name w:val="footnote reference"/>
    <w:basedOn w:val="DefaultParagraphFont"/>
    <w:uiPriority w:val="99"/>
    <w:semiHidden/>
    <w:unhideWhenUsed/>
    <w:rsid w:val="00B30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8427">
      <w:bodyDiv w:val="1"/>
      <w:marLeft w:val="0"/>
      <w:marRight w:val="0"/>
      <w:marTop w:val="0"/>
      <w:marBottom w:val="0"/>
      <w:divBdr>
        <w:top w:val="none" w:sz="0" w:space="0" w:color="auto"/>
        <w:left w:val="none" w:sz="0" w:space="0" w:color="auto"/>
        <w:bottom w:val="none" w:sz="0" w:space="0" w:color="auto"/>
        <w:right w:val="none" w:sz="0" w:space="0" w:color="auto"/>
      </w:divBdr>
      <w:divsChild>
        <w:div w:id="1968275248">
          <w:marLeft w:val="0"/>
          <w:marRight w:val="0"/>
          <w:marTop w:val="0"/>
          <w:marBottom w:val="0"/>
          <w:divBdr>
            <w:top w:val="none" w:sz="0" w:space="0" w:color="auto"/>
            <w:left w:val="none" w:sz="0" w:space="0" w:color="auto"/>
            <w:bottom w:val="none" w:sz="0" w:space="0" w:color="auto"/>
            <w:right w:val="none" w:sz="0" w:space="0" w:color="auto"/>
          </w:divBdr>
          <w:divsChild>
            <w:div w:id="12615395">
              <w:marLeft w:val="0"/>
              <w:marRight w:val="0"/>
              <w:marTop w:val="0"/>
              <w:marBottom w:val="0"/>
              <w:divBdr>
                <w:top w:val="none" w:sz="0" w:space="0" w:color="auto"/>
                <w:left w:val="none" w:sz="0" w:space="0" w:color="auto"/>
                <w:bottom w:val="none" w:sz="0" w:space="0" w:color="auto"/>
                <w:right w:val="none" w:sz="0" w:space="0" w:color="auto"/>
              </w:divBdr>
              <w:divsChild>
                <w:div w:id="577903094">
                  <w:marLeft w:val="0"/>
                  <w:marRight w:val="0"/>
                  <w:marTop w:val="0"/>
                  <w:marBottom w:val="0"/>
                  <w:divBdr>
                    <w:top w:val="none" w:sz="0" w:space="0" w:color="auto"/>
                    <w:left w:val="none" w:sz="0" w:space="0" w:color="auto"/>
                    <w:bottom w:val="none" w:sz="0" w:space="0" w:color="auto"/>
                    <w:right w:val="none" w:sz="0" w:space="0" w:color="auto"/>
                  </w:divBdr>
                  <w:divsChild>
                    <w:div w:id="2106343846">
                      <w:marLeft w:val="0"/>
                      <w:marRight w:val="0"/>
                      <w:marTop w:val="0"/>
                      <w:marBottom w:val="0"/>
                      <w:divBdr>
                        <w:top w:val="none" w:sz="0" w:space="0" w:color="auto"/>
                        <w:left w:val="none" w:sz="0" w:space="0" w:color="auto"/>
                        <w:bottom w:val="none" w:sz="0" w:space="0" w:color="auto"/>
                        <w:right w:val="none" w:sz="0" w:space="0" w:color="auto"/>
                      </w:divBdr>
                      <w:divsChild>
                        <w:div w:id="1037123845">
                          <w:marLeft w:val="0"/>
                          <w:marRight w:val="0"/>
                          <w:marTop w:val="0"/>
                          <w:marBottom w:val="0"/>
                          <w:divBdr>
                            <w:top w:val="none" w:sz="0" w:space="0" w:color="auto"/>
                            <w:left w:val="none" w:sz="0" w:space="0" w:color="auto"/>
                            <w:bottom w:val="none" w:sz="0" w:space="0" w:color="auto"/>
                            <w:right w:val="none" w:sz="0" w:space="0" w:color="auto"/>
                          </w:divBdr>
                          <w:divsChild>
                            <w:div w:id="1914504978">
                              <w:marLeft w:val="0"/>
                              <w:marRight w:val="0"/>
                              <w:marTop w:val="0"/>
                              <w:marBottom w:val="0"/>
                              <w:divBdr>
                                <w:top w:val="none" w:sz="0" w:space="0" w:color="auto"/>
                                <w:left w:val="none" w:sz="0" w:space="0" w:color="auto"/>
                                <w:bottom w:val="none" w:sz="0" w:space="0" w:color="auto"/>
                                <w:right w:val="none" w:sz="0" w:space="0" w:color="auto"/>
                              </w:divBdr>
                              <w:divsChild>
                                <w:div w:id="1465123786">
                                  <w:marLeft w:val="0"/>
                                  <w:marRight w:val="0"/>
                                  <w:marTop w:val="0"/>
                                  <w:marBottom w:val="0"/>
                                  <w:divBdr>
                                    <w:top w:val="none" w:sz="0" w:space="0" w:color="auto"/>
                                    <w:left w:val="none" w:sz="0" w:space="0" w:color="auto"/>
                                    <w:bottom w:val="none" w:sz="0" w:space="0" w:color="auto"/>
                                    <w:right w:val="none" w:sz="0" w:space="0" w:color="auto"/>
                                  </w:divBdr>
                                  <w:divsChild>
                                    <w:div w:id="1310548494">
                                      <w:marLeft w:val="0"/>
                                      <w:marRight w:val="0"/>
                                      <w:marTop w:val="0"/>
                                      <w:marBottom w:val="0"/>
                                      <w:divBdr>
                                        <w:top w:val="none" w:sz="0" w:space="0" w:color="auto"/>
                                        <w:left w:val="none" w:sz="0" w:space="0" w:color="auto"/>
                                        <w:bottom w:val="none" w:sz="0" w:space="0" w:color="auto"/>
                                        <w:right w:val="none" w:sz="0" w:space="0" w:color="auto"/>
                                      </w:divBdr>
                                      <w:divsChild>
                                        <w:div w:id="883056448">
                                          <w:marLeft w:val="0"/>
                                          <w:marRight w:val="0"/>
                                          <w:marTop w:val="0"/>
                                          <w:marBottom w:val="0"/>
                                          <w:divBdr>
                                            <w:top w:val="none" w:sz="0" w:space="0" w:color="auto"/>
                                            <w:left w:val="none" w:sz="0" w:space="0" w:color="auto"/>
                                            <w:bottom w:val="none" w:sz="0" w:space="0" w:color="auto"/>
                                            <w:right w:val="none" w:sz="0" w:space="0" w:color="auto"/>
                                          </w:divBdr>
                                          <w:divsChild>
                                            <w:div w:id="1912689481">
                                              <w:marLeft w:val="0"/>
                                              <w:marRight w:val="0"/>
                                              <w:marTop w:val="0"/>
                                              <w:marBottom w:val="0"/>
                                              <w:divBdr>
                                                <w:top w:val="none" w:sz="0" w:space="0" w:color="auto"/>
                                                <w:left w:val="none" w:sz="0" w:space="0" w:color="auto"/>
                                                <w:bottom w:val="none" w:sz="0" w:space="0" w:color="auto"/>
                                                <w:right w:val="none" w:sz="0" w:space="0" w:color="auto"/>
                                              </w:divBdr>
                                              <w:divsChild>
                                                <w:div w:id="689643709">
                                                  <w:marLeft w:val="0"/>
                                                  <w:marRight w:val="0"/>
                                                  <w:marTop w:val="0"/>
                                                  <w:marBottom w:val="0"/>
                                                  <w:divBdr>
                                                    <w:top w:val="none" w:sz="0" w:space="0" w:color="auto"/>
                                                    <w:left w:val="none" w:sz="0" w:space="0" w:color="auto"/>
                                                    <w:bottom w:val="none" w:sz="0" w:space="0" w:color="auto"/>
                                                    <w:right w:val="none" w:sz="0" w:space="0" w:color="auto"/>
                                                  </w:divBdr>
                                                  <w:divsChild>
                                                    <w:div w:id="1876116275">
                                                      <w:marLeft w:val="0"/>
                                                      <w:marRight w:val="0"/>
                                                      <w:marTop w:val="0"/>
                                                      <w:marBottom w:val="0"/>
                                                      <w:divBdr>
                                                        <w:top w:val="none" w:sz="0" w:space="0" w:color="auto"/>
                                                        <w:left w:val="none" w:sz="0" w:space="0" w:color="auto"/>
                                                        <w:bottom w:val="none" w:sz="0" w:space="0" w:color="auto"/>
                                                        <w:right w:val="none" w:sz="0" w:space="0" w:color="auto"/>
                                                      </w:divBdr>
                                                      <w:divsChild>
                                                        <w:div w:id="2034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035481">
      <w:bodyDiv w:val="1"/>
      <w:marLeft w:val="0"/>
      <w:marRight w:val="0"/>
      <w:marTop w:val="0"/>
      <w:marBottom w:val="0"/>
      <w:divBdr>
        <w:top w:val="none" w:sz="0" w:space="0" w:color="auto"/>
        <w:left w:val="none" w:sz="0" w:space="0" w:color="auto"/>
        <w:bottom w:val="none" w:sz="0" w:space="0" w:color="auto"/>
        <w:right w:val="none" w:sz="0" w:space="0" w:color="auto"/>
      </w:divBdr>
      <w:divsChild>
        <w:div w:id="1160150946">
          <w:marLeft w:val="0"/>
          <w:marRight w:val="0"/>
          <w:marTop w:val="0"/>
          <w:marBottom w:val="0"/>
          <w:divBdr>
            <w:top w:val="none" w:sz="0" w:space="0" w:color="auto"/>
            <w:left w:val="none" w:sz="0" w:space="0" w:color="auto"/>
            <w:bottom w:val="none" w:sz="0" w:space="0" w:color="auto"/>
            <w:right w:val="none" w:sz="0" w:space="0" w:color="auto"/>
          </w:divBdr>
          <w:divsChild>
            <w:div w:id="813369506">
              <w:marLeft w:val="0"/>
              <w:marRight w:val="0"/>
              <w:marTop w:val="0"/>
              <w:marBottom w:val="0"/>
              <w:divBdr>
                <w:top w:val="none" w:sz="0" w:space="0" w:color="auto"/>
                <w:left w:val="none" w:sz="0" w:space="0" w:color="auto"/>
                <w:bottom w:val="none" w:sz="0" w:space="0" w:color="auto"/>
                <w:right w:val="none" w:sz="0" w:space="0" w:color="auto"/>
              </w:divBdr>
              <w:divsChild>
                <w:div w:id="608200169">
                  <w:marLeft w:val="0"/>
                  <w:marRight w:val="0"/>
                  <w:marTop w:val="0"/>
                  <w:marBottom w:val="0"/>
                  <w:divBdr>
                    <w:top w:val="none" w:sz="0" w:space="0" w:color="auto"/>
                    <w:left w:val="none" w:sz="0" w:space="0" w:color="auto"/>
                    <w:bottom w:val="none" w:sz="0" w:space="0" w:color="auto"/>
                    <w:right w:val="none" w:sz="0" w:space="0" w:color="auto"/>
                  </w:divBdr>
                  <w:divsChild>
                    <w:div w:id="540746719">
                      <w:marLeft w:val="0"/>
                      <w:marRight w:val="0"/>
                      <w:marTop w:val="0"/>
                      <w:marBottom w:val="0"/>
                      <w:divBdr>
                        <w:top w:val="none" w:sz="0" w:space="0" w:color="auto"/>
                        <w:left w:val="none" w:sz="0" w:space="0" w:color="auto"/>
                        <w:bottom w:val="none" w:sz="0" w:space="0" w:color="auto"/>
                        <w:right w:val="none" w:sz="0" w:space="0" w:color="auto"/>
                      </w:divBdr>
                      <w:divsChild>
                        <w:div w:id="1709259027">
                          <w:marLeft w:val="0"/>
                          <w:marRight w:val="0"/>
                          <w:marTop w:val="0"/>
                          <w:marBottom w:val="0"/>
                          <w:divBdr>
                            <w:top w:val="none" w:sz="0" w:space="0" w:color="auto"/>
                            <w:left w:val="none" w:sz="0" w:space="0" w:color="auto"/>
                            <w:bottom w:val="none" w:sz="0" w:space="0" w:color="auto"/>
                            <w:right w:val="none" w:sz="0" w:space="0" w:color="auto"/>
                          </w:divBdr>
                          <w:divsChild>
                            <w:div w:id="541140750">
                              <w:marLeft w:val="0"/>
                              <w:marRight w:val="0"/>
                              <w:marTop w:val="0"/>
                              <w:marBottom w:val="0"/>
                              <w:divBdr>
                                <w:top w:val="none" w:sz="0" w:space="0" w:color="auto"/>
                                <w:left w:val="none" w:sz="0" w:space="0" w:color="auto"/>
                                <w:bottom w:val="none" w:sz="0" w:space="0" w:color="auto"/>
                                <w:right w:val="none" w:sz="0" w:space="0" w:color="auto"/>
                              </w:divBdr>
                              <w:divsChild>
                                <w:div w:id="147677425">
                                  <w:marLeft w:val="0"/>
                                  <w:marRight w:val="0"/>
                                  <w:marTop w:val="0"/>
                                  <w:marBottom w:val="0"/>
                                  <w:divBdr>
                                    <w:top w:val="none" w:sz="0" w:space="0" w:color="auto"/>
                                    <w:left w:val="none" w:sz="0" w:space="0" w:color="auto"/>
                                    <w:bottom w:val="none" w:sz="0" w:space="0" w:color="auto"/>
                                    <w:right w:val="none" w:sz="0" w:space="0" w:color="auto"/>
                                  </w:divBdr>
                                  <w:divsChild>
                                    <w:div w:id="1213998907">
                                      <w:marLeft w:val="0"/>
                                      <w:marRight w:val="0"/>
                                      <w:marTop w:val="0"/>
                                      <w:marBottom w:val="0"/>
                                      <w:divBdr>
                                        <w:top w:val="none" w:sz="0" w:space="0" w:color="auto"/>
                                        <w:left w:val="none" w:sz="0" w:space="0" w:color="auto"/>
                                        <w:bottom w:val="none" w:sz="0" w:space="0" w:color="auto"/>
                                        <w:right w:val="none" w:sz="0" w:space="0" w:color="auto"/>
                                      </w:divBdr>
                                      <w:divsChild>
                                        <w:div w:id="1672903534">
                                          <w:marLeft w:val="0"/>
                                          <w:marRight w:val="0"/>
                                          <w:marTop w:val="0"/>
                                          <w:marBottom w:val="0"/>
                                          <w:divBdr>
                                            <w:top w:val="none" w:sz="0" w:space="0" w:color="auto"/>
                                            <w:left w:val="none" w:sz="0" w:space="0" w:color="auto"/>
                                            <w:bottom w:val="none" w:sz="0" w:space="0" w:color="auto"/>
                                            <w:right w:val="none" w:sz="0" w:space="0" w:color="auto"/>
                                          </w:divBdr>
                                          <w:divsChild>
                                            <w:div w:id="14768494">
                                              <w:marLeft w:val="0"/>
                                              <w:marRight w:val="0"/>
                                              <w:marTop w:val="0"/>
                                              <w:marBottom w:val="0"/>
                                              <w:divBdr>
                                                <w:top w:val="none" w:sz="0" w:space="0" w:color="auto"/>
                                                <w:left w:val="none" w:sz="0" w:space="0" w:color="auto"/>
                                                <w:bottom w:val="none" w:sz="0" w:space="0" w:color="auto"/>
                                                <w:right w:val="none" w:sz="0" w:space="0" w:color="auto"/>
                                              </w:divBdr>
                                              <w:divsChild>
                                                <w:div w:id="1951473192">
                                                  <w:marLeft w:val="0"/>
                                                  <w:marRight w:val="0"/>
                                                  <w:marTop w:val="0"/>
                                                  <w:marBottom w:val="0"/>
                                                  <w:divBdr>
                                                    <w:top w:val="none" w:sz="0" w:space="0" w:color="auto"/>
                                                    <w:left w:val="none" w:sz="0" w:space="0" w:color="auto"/>
                                                    <w:bottom w:val="none" w:sz="0" w:space="0" w:color="auto"/>
                                                    <w:right w:val="none" w:sz="0" w:space="0" w:color="auto"/>
                                                  </w:divBdr>
                                                  <w:divsChild>
                                                    <w:div w:id="453251850">
                                                      <w:marLeft w:val="0"/>
                                                      <w:marRight w:val="0"/>
                                                      <w:marTop w:val="0"/>
                                                      <w:marBottom w:val="0"/>
                                                      <w:divBdr>
                                                        <w:top w:val="none" w:sz="0" w:space="0" w:color="auto"/>
                                                        <w:left w:val="none" w:sz="0" w:space="0" w:color="auto"/>
                                                        <w:bottom w:val="none" w:sz="0" w:space="0" w:color="auto"/>
                                                        <w:right w:val="none" w:sz="0" w:space="0" w:color="auto"/>
                                                      </w:divBdr>
                                                      <w:divsChild>
                                                        <w:div w:id="21083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7821108">
      <w:bodyDiv w:val="1"/>
      <w:marLeft w:val="0"/>
      <w:marRight w:val="0"/>
      <w:marTop w:val="0"/>
      <w:marBottom w:val="0"/>
      <w:divBdr>
        <w:top w:val="none" w:sz="0" w:space="0" w:color="auto"/>
        <w:left w:val="none" w:sz="0" w:space="0" w:color="auto"/>
        <w:bottom w:val="none" w:sz="0" w:space="0" w:color="auto"/>
        <w:right w:val="none" w:sz="0" w:space="0" w:color="auto"/>
      </w:divBdr>
    </w:div>
    <w:div w:id="428163496">
      <w:bodyDiv w:val="1"/>
      <w:marLeft w:val="0"/>
      <w:marRight w:val="0"/>
      <w:marTop w:val="0"/>
      <w:marBottom w:val="0"/>
      <w:divBdr>
        <w:top w:val="none" w:sz="0" w:space="0" w:color="auto"/>
        <w:left w:val="none" w:sz="0" w:space="0" w:color="auto"/>
        <w:bottom w:val="none" w:sz="0" w:space="0" w:color="auto"/>
        <w:right w:val="none" w:sz="0" w:space="0" w:color="auto"/>
      </w:divBdr>
    </w:div>
    <w:div w:id="559681998">
      <w:bodyDiv w:val="1"/>
      <w:marLeft w:val="0"/>
      <w:marRight w:val="0"/>
      <w:marTop w:val="0"/>
      <w:marBottom w:val="0"/>
      <w:divBdr>
        <w:top w:val="none" w:sz="0" w:space="0" w:color="auto"/>
        <w:left w:val="none" w:sz="0" w:space="0" w:color="auto"/>
        <w:bottom w:val="none" w:sz="0" w:space="0" w:color="auto"/>
        <w:right w:val="none" w:sz="0" w:space="0" w:color="auto"/>
      </w:divBdr>
    </w:div>
    <w:div w:id="793064582">
      <w:bodyDiv w:val="1"/>
      <w:marLeft w:val="0"/>
      <w:marRight w:val="0"/>
      <w:marTop w:val="0"/>
      <w:marBottom w:val="0"/>
      <w:divBdr>
        <w:top w:val="none" w:sz="0" w:space="0" w:color="auto"/>
        <w:left w:val="none" w:sz="0" w:space="0" w:color="auto"/>
        <w:bottom w:val="none" w:sz="0" w:space="0" w:color="auto"/>
        <w:right w:val="none" w:sz="0" w:space="0" w:color="auto"/>
      </w:divBdr>
    </w:div>
    <w:div w:id="856043355">
      <w:bodyDiv w:val="1"/>
      <w:marLeft w:val="0"/>
      <w:marRight w:val="0"/>
      <w:marTop w:val="0"/>
      <w:marBottom w:val="0"/>
      <w:divBdr>
        <w:top w:val="none" w:sz="0" w:space="0" w:color="auto"/>
        <w:left w:val="none" w:sz="0" w:space="0" w:color="auto"/>
        <w:bottom w:val="none" w:sz="0" w:space="0" w:color="auto"/>
        <w:right w:val="none" w:sz="0" w:space="0" w:color="auto"/>
      </w:divBdr>
    </w:div>
    <w:div w:id="917982551">
      <w:bodyDiv w:val="1"/>
      <w:marLeft w:val="0"/>
      <w:marRight w:val="0"/>
      <w:marTop w:val="0"/>
      <w:marBottom w:val="0"/>
      <w:divBdr>
        <w:top w:val="none" w:sz="0" w:space="0" w:color="auto"/>
        <w:left w:val="none" w:sz="0" w:space="0" w:color="auto"/>
        <w:bottom w:val="none" w:sz="0" w:space="0" w:color="auto"/>
        <w:right w:val="none" w:sz="0" w:space="0" w:color="auto"/>
      </w:divBdr>
    </w:div>
    <w:div w:id="1206483411">
      <w:bodyDiv w:val="1"/>
      <w:marLeft w:val="0"/>
      <w:marRight w:val="0"/>
      <w:marTop w:val="0"/>
      <w:marBottom w:val="0"/>
      <w:divBdr>
        <w:top w:val="none" w:sz="0" w:space="0" w:color="auto"/>
        <w:left w:val="none" w:sz="0" w:space="0" w:color="auto"/>
        <w:bottom w:val="none" w:sz="0" w:space="0" w:color="auto"/>
        <w:right w:val="none" w:sz="0" w:space="0" w:color="auto"/>
      </w:divBdr>
    </w:div>
    <w:div w:id="1520581379">
      <w:bodyDiv w:val="1"/>
      <w:marLeft w:val="0"/>
      <w:marRight w:val="0"/>
      <w:marTop w:val="0"/>
      <w:marBottom w:val="0"/>
      <w:divBdr>
        <w:top w:val="none" w:sz="0" w:space="0" w:color="auto"/>
        <w:left w:val="none" w:sz="0" w:space="0" w:color="auto"/>
        <w:bottom w:val="none" w:sz="0" w:space="0" w:color="auto"/>
        <w:right w:val="none" w:sz="0" w:space="0" w:color="auto"/>
      </w:divBdr>
    </w:div>
    <w:div w:id="1684936184">
      <w:bodyDiv w:val="1"/>
      <w:marLeft w:val="0"/>
      <w:marRight w:val="0"/>
      <w:marTop w:val="0"/>
      <w:marBottom w:val="0"/>
      <w:divBdr>
        <w:top w:val="none" w:sz="0" w:space="0" w:color="auto"/>
        <w:left w:val="none" w:sz="0" w:space="0" w:color="auto"/>
        <w:bottom w:val="none" w:sz="0" w:space="0" w:color="auto"/>
        <w:right w:val="none" w:sz="0" w:space="0" w:color="auto"/>
      </w:divBdr>
    </w:div>
    <w:div w:id="1686782095">
      <w:bodyDiv w:val="1"/>
      <w:marLeft w:val="0"/>
      <w:marRight w:val="0"/>
      <w:marTop w:val="0"/>
      <w:marBottom w:val="0"/>
      <w:divBdr>
        <w:top w:val="none" w:sz="0" w:space="0" w:color="auto"/>
        <w:left w:val="none" w:sz="0" w:space="0" w:color="auto"/>
        <w:bottom w:val="none" w:sz="0" w:space="0" w:color="auto"/>
        <w:right w:val="none" w:sz="0" w:space="0" w:color="auto"/>
      </w:divBdr>
    </w:div>
    <w:div w:id="1701935969">
      <w:bodyDiv w:val="1"/>
      <w:marLeft w:val="0"/>
      <w:marRight w:val="0"/>
      <w:marTop w:val="0"/>
      <w:marBottom w:val="0"/>
      <w:divBdr>
        <w:top w:val="none" w:sz="0" w:space="0" w:color="auto"/>
        <w:left w:val="none" w:sz="0" w:space="0" w:color="auto"/>
        <w:bottom w:val="none" w:sz="0" w:space="0" w:color="auto"/>
        <w:right w:val="none" w:sz="0" w:space="0" w:color="auto"/>
      </w:divBdr>
    </w:div>
    <w:div w:id="1971395591">
      <w:bodyDiv w:val="1"/>
      <w:marLeft w:val="0"/>
      <w:marRight w:val="0"/>
      <w:marTop w:val="0"/>
      <w:marBottom w:val="0"/>
      <w:divBdr>
        <w:top w:val="none" w:sz="0" w:space="0" w:color="auto"/>
        <w:left w:val="none" w:sz="0" w:space="0" w:color="auto"/>
        <w:bottom w:val="none" w:sz="0" w:space="0" w:color="auto"/>
        <w:right w:val="none" w:sz="0" w:space="0" w:color="auto"/>
      </w:divBdr>
    </w:div>
    <w:div w:id="2001615972">
      <w:bodyDiv w:val="1"/>
      <w:marLeft w:val="0"/>
      <w:marRight w:val="0"/>
      <w:marTop w:val="0"/>
      <w:marBottom w:val="0"/>
      <w:divBdr>
        <w:top w:val="none" w:sz="0" w:space="0" w:color="auto"/>
        <w:left w:val="none" w:sz="0" w:space="0" w:color="auto"/>
        <w:bottom w:val="none" w:sz="0" w:space="0" w:color="auto"/>
        <w:right w:val="none" w:sz="0" w:space="0" w:color="auto"/>
      </w:divBdr>
      <w:divsChild>
        <w:div w:id="1097403809">
          <w:marLeft w:val="0"/>
          <w:marRight w:val="0"/>
          <w:marTop w:val="0"/>
          <w:marBottom w:val="0"/>
          <w:divBdr>
            <w:top w:val="none" w:sz="0" w:space="0" w:color="auto"/>
            <w:left w:val="none" w:sz="0" w:space="0" w:color="auto"/>
            <w:bottom w:val="none" w:sz="0" w:space="0" w:color="auto"/>
            <w:right w:val="none" w:sz="0" w:space="0" w:color="auto"/>
          </w:divBdr>
          <w:divsChild>
            <w:div w:id="1386760092">
              <w:marLeft w:val="0"/>
              <w:marRight w:val="0"/>
              <w:marTop w:val="0"/>
              <w:marBottom w:val="0"/>
              <w:divBdr>
                <w:top w:val="none" w:sz="0" w:space="0" w:color="auto"/>
                <w:left w:val="none" w:sz="0" w:space="0" w:color="auto"/>
                <w:bottom w:val="none" w:sz="0" w:space="0" w:color="auto"/>
                <w:right w:val="none" w:sz="0" w:space="0" w:color="auto"/>
              </w:divBdr>
              <w:divsChild>
                <w:div w:id="1840340430">
                  <w:marLeft w:val="0"/>
                  <w:marRight w:val="0"/>
                  <w:marTop w:val="0"/>
                  <w:marBottom w:val="0"/>
                  <w:divBdr>
                    <w:top w:val="none" w:sz="0" w:space="0" w:color="auto"/>
                    <w:left w:val="none" w:sz="0" w:space="0" w:color="auto"/>
                    <w:bottom w:val="none" w:sz="0" w:space="0" w:color="auto"/>
                    <w:right w:val="none" w:sz="0" w:space="0" w:color="auto"/>
                  </w:divBdr>
                  <w:divsChild>
                    <w:div w:id="1748501597">
                      <w:marLeft w:val="0"/>
                      <w:marRight w:val="0"/>
                      <w:marTop w:val="0"/>
                      <w:marBottom w:val="0"/>
                      <w:divBdr>
                        <w:top w:val="none" w:sz="0" w:space="0" w:color="auto"/>
                        <w:left w:val="none" w:sz="0" w:space="0" w:color="auto"/>
                        <w:bottom w:val="none" w:sz="0" w:space="0" w:color="auto"/>
                        <w:right w:val="none" w:sz="0" w:space="0" w:color="auto"/>
                      </w:divBdr>
                      <w:divsChild>
                        <w:div w:id="725569217">
                          <w:marLeft w:val="0"/>
                          <w:marRight w:val="0"/>
                          <w:marTop w:val="0"/>
                          <w:marBottom w:val="0"/>
                          <w:divBdr>
                            <w:top w:val="none" w:sz="0" w:space="0" w:color="auto"/>
                            <w:left w:val="none" w:sz="0" w:space="0" w:color="auto"/>
                            <w:bottom w:val="none" w:sz="0" w:space="0" w:color="auto"/>
                            <w:right w:val="none" w:sz="0" w:space="0" w:color="auto"/>
                          </w:divBdr>
                          <w:divsChild>
                            <w:div w:id="1833253703">
                              <w:marLeft w:val="0"/>
                              <w:marRight w:val="0"/>
                              <w:marTop w:val="0"/>
                              <w:marBottom w:val="0"/>
                              <w:divBdr>
                                <w:top w:val="none" w:sz="0" w:space="0" w:color="auto"/>
                                <w:left w:val="none" w:sz="0" w:space="0" w:color="auto"/>
                                <w:bottom w:val="none" w:sz="0" w:space="0" w:color="auto"/>
                                <w:right w:val="none" w:sz="0" w:space="0" w:color="auto"/>
                              </w:divBdr>
                              <w:divsChild>
                                <w:div w:id="23753018">
                                  <w:marLeft w:val="0"/>
                                  <w:marRight w:val="0"/>
                                  <w:marTop w:val="0"/>
                                  <w:marBottom w:val="0"/>
                                  <w:divBdr>
                                    <w:top w:val="none" w:sz="0" w:space="0" w:color="auto"/>
                                    <w:left w:val="none" w:sz="0" w:space="0" w:color="auto"/>
                                    <w:bottom w:val="none" w:sz="0" w:space="0" w:color="auto"/>
                                    <w:right w:val="none" w:sz="0" w:space="0" w:color="auto"/>
                                  </w:divBdr>
                                  <w:divsChild>
                                    <w:div w:id="490486992">
                                      <w:marLeft w:val="0"/>
                                      <w:marRight w:val="0"/>
                                      <w:marTop w:val="0"/>
                                      <w:marBottom w:val="0"/>
                                      <w:divBdr>
                                        <w:top w:val="none" w:sz="0" w:space="0" w:color="auto"/>
                                        <w:left w:val="none" w:sz="0" w:space="0" w:color="auto"/>
                                        <w:bottom w:val="none" w:sz="0" w:space="0" w:color="auto"/>
                                        <w:right w:val="none" w:sz="0" w:space="0" w:color="auto"/>
                                      </w:divBdr>
                                      <w:divsChild>
                                        <w:div w:id="817763687">
                                          <w:marLeft w:val="0"/>
                                          <w:marRight w:val="0"/>
                                          <w:marTop w:val="0"/>
                                          <w:marBottom w:val="0"/>
                                          <w:divBdr>
                                            <w:top w:val="none" w:sz="0" w:space="0" w:color="auto"/>
                                            <w:left w:val="none" w:sz="0" w:space="0" w:color="auto"/>
                                            <w:bottom w:val="none" w:sz="0" w:space="0" w:color="auto"/>
                                            <w:right w:val="none" w:sz="0" w:space="0" w:color="auto"/>
                                          </w:divBdr>
                                          <w:divsChild>
                                            <w:div w:id="1150026373">
                                              <w:marLeft w:val="0"/>
                                              <w:marRight w:val="0"/>
                                              <w:marTop w:val="0"/>
                                              <w:marBottom w:val="0"/>
                                              <w:divBdr>
                                                <w:top w:val="none" w:sz="0" w:space="0" w:color="auto"/>
                                                <w:left w:val="none" w:sz="0" w:space="0" w:color="auto"/>
                                                <w:bottom w:val="none" w:sz="0" w:space="0" w:color="auto"/>
                                                <w:right w:val="none" w:sz="0" w:space="0" w:color="auto"/>
                                              </w:divBdr>
                                              <w:divsChild>
                                                <w:div w:id="1397582317">
                                                  <w:marLeft w:val="0"/>
                                                  <w:marRight w:val="0"/>
                                                  <w:marTop w:val="0"/>
                                                  <w:marBottom w:val="0"/>
                                                  <w:divBdr>
                                                    <w:top w:val="none" w:sz="0" w:space="0" w:color="auto"/>
                                                    <w:left w:val="none" w:sz="0" w:space="0" w:color="auto"/>
                                                    <w:bottom w:val="none" w:sz="0" w:space="0" w:color="auto"/>
                                                    <w:right w:val="none" w:sz="0" w:space="0" w:color="auto"/>
                                                  </w:divBdr>
                                                  <w:divsChild>
                                                    <w:div w:id="2088259298">
                                                      <w:marLeft w:val="0"/>
                                                      <w:marRight w:val="0"/>
                                                      <w:marTop w:val="0"/>
                                                      <w:marBottom w:val="0"/>
                                                      <w:divBdr>
                                                        <w:top w:val="none" w:sz="0" w:space="0" w:color="auto"/>
                                                        <w:left w:val="none" w:sz="0" w:space="0" w:color="auto"/>
                                                        <w:bottom w:val="none" w:sz="0" w:space="0" w:color="auto"/>
                                                        <w:right w:val="none" w:sz="0" w:space="0" w:color="auto"/>
                                                      </w:divBdr>
                                                      <w:divsChild>
                                                        <w:div w:id="14964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CD90CB66FBDC148A0F38CD84AD4BD99" ma:contentTypeVersion="2" ma:contentTypeDescription="" ma:contentTypeScope="" ma:versionID="661d3c577d63a07116c3d1ba0d1c49e4">
  <xsd:schema xmlns:xsd="http://www.w3.org/2001/XMLSchema" xmlns:xs="http://www.w3.org/2001/XMLSchema" xmlns:p="http://schemas.microsoft.com/office/2006/metadata/properties" xmlns:ns2="da7a9ac0-bc47-4684-84e6-3a8e9ac80c12" xmlns:ns3="f878f9c3-862b-432a-b2cc-09027074edd7" xmlns:ns4="17f478ab-373e-4295-9ff0-9b833ad01319" xmlns:ns6="http://schemas.microsoft.com/sharepoint/v4" targetNamespace="http://schemas.microsoft.com/office/2006/metadata/properties" ma:root="true" ma:fieldsID="70e8117473d6f994b9909e451e68e4bf" ns2:_="" ns3:_="" ns4:_="" ns6:_="">
    <xsd:import namespace="da7a9ac0-bc47-4684-84e6-3a8e9ac80c12"/>
    <xsd:import namespace="f878f9c3-862b-432a-b2cc-09027074edd7"/>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4:Reviewers" minOccurs="0"/>
                <xsd:element ref="ns2:Approvers" minOccurs="0"/>
                <xsd:element ref="ns3:nff893d0f41c40d7949abdfc81381736"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element name="Approvers" ma:index="19" nillable="true" ma:displayName="Approvers"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78f9c3-862b-432a-b2cc-09027074edd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c692ebc2-b976-4220-a50b-d0a3b71b0b6e}" ma:internalName="TaxCatchAll" ma:showField="CatchAllData" ma:web="f878f9c3-862b-432a-b2cc-09027074edd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c692ebc2-b976-4220-a50b-d0a3b71b0b6e}" ma:internalName="TaxCatchAllLabel" ma:readOnly="true" ma:showField="CatchAllDataLabel" ma:web="f878f9c3-862b-432a-b2cc-09027074edd7">
      <xsd:complexType>
        <xsd:complexContent>
          <xsd:extension base="dms:MultiChoiceLookup">
            <xsd:sequence>
              <xsd:element name="Value" type="dms:Lookup" maxOccurs="unbounded" minOccurs="0" nillable="true"/>
            </xsd:sequence>
          </xsd:extension>
        </xsd:complexContent>
      </xsd:complexType>
    </xsd:element>
    <xsd:element name="nff893d0f41c40d7949abdfc81381736" ma:index="20" ma:taxonomy="true" ma:internalName="nff893d0f41c40d7949abdfc81381736" ma:taxonomyFieldName="SecurityClassification" ma:displayName="Security Classification" ma:readOnly="false" ma:default="9;#Sensitive|19fd2cb8-3e97-4464-ae71-8c2c2095d028" ma:fieldId="{7ff893d0-f41c-40d7-949a-bdfc81381736}"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8" nillable="true" ma:displayName="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R20180000499848</RecordNumber>
    <ObjectiveID xmlns="da7a9ac0-bc47-4684-84e6-3a8e9ac80c12" xsi:nil="true"/>
    <TaxCatchAll xmlns="f878f9c3-862b-432a-b2cc-09027074edd7">
      <Value>9</Value>
    </TaxCatchAll>
    <nff893d0f41c40d7949abdfc81381736 xmlns="f878f9c3-862b-432a-b2cc-09027074edd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nff893d0f41c40d7949abdfc81381736>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Reviewers xmlns="17f478ab-373e-4295-9ff0-9b833ad01319">
      <UserInfo>
        <DisplayName/>
        <AccountId xsi:nil="true"/>
        <AccountType/>
      </UserInfo>
    </Reviewers>
    <Approvers xmlns="da7a9ac0-bc47-4684-84e6-3a8e9ac80c12">
      <UserInfo>
        <DisplayName/>
        <AccountId xsi:nil="true"/>
        <AccountType/>
      </UserInfo>
    </Approvers>
    <SignificantReason xmlns="da7a9ac0-bc47-4684-84e6-3a8e9ac80c12" xsi:nil="true"/>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F2B0-92D4-4615-BA2B-A34BDD2AD66F}">
  <ds:schemaRefs>
    <ds:schemaRef ds:uri="http://schemas.microsoft.com/sharepoint/events"/>
  </ds:schemaRefs>
</ds:datastoreItem>
</file>

<file path=customXml/itemProps2.xml><?xml version="1.0" encoding="utf-8"?>
<ds:datastoreItem xmlns:ds="http://schemas.openxmlformats.org/officeDocument/2006/customXml" ds:itemID="{E2A8D474-24B4-4515-94EC-80C8046BF000}">
  <ds:schemaRefs>
    <ds:schemaRef ds:uri="http://schemas.microsoft.com/sharepoint/v3/contenttype/forms"/>
  </ds:schemaRefs>
</ds:datastoreItem>
</file>

<file path=customXml/itemProps3.xml><?xml version="1.0" encoding="utf-8"?>
<ds:datastoreItem xmlns:ds="http://schemas.openxmlformats.org/officeDocument/2006/customXml" ds:itemID="{D6B3C35B-D89C-4761-BC2F-0015D6314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f878f9c3-862b-432a-b2cc-09027074edd7"/>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A0DAE-F3A1-4AAF-82C9-89D2647DB2AF}">
  <ds:schemaRefs>
    <ds:schemaRef ds:uri="http://schemas.microsoft.com/office/2006/documentManagement/types"/>
    <ds:schemaRef ds:uri="da7a9ac0-bc47-4684-84e6-3a8e9ac80c12"/>
    <ds:schemaRef ds:uri="http://purl.org/dc/elements/1.1/"/>
    <ds:schemaRef ds:uri="http://purl.org/dc/terms/"/>
    <ds:schemaRef ds:uri="http://schemas.microsoft.com/office/infopath/2007/PartnerControls"/>
    <ds:schemaRef ds:uri="http://schemas.microsoft.com/sharepoint/v4"/>
    <ds:schemaRef ds:uri="http://www.w3.org/XML/1998/namespace"/>
    <ds:schemaRef ds:uri="http://schemas.openxmlformats.org/package/2006/metadata/core-properties"/>
    <ds:schemaRef ds:uri="http://purl.org/dc/dcmitype/"/>
    <ds:schemaRef ds:uri="17f478ab-373e-4295-9ff0-9b833ad01319"/>
    <ds:schemaRef ds:uri="f878f9c3-862b-432a-b2cc-09027074edd7"/>
    <ds:schemaRef ds:uri="http://schemas.microsoft.com/office/2006/metadata/properties"/>
  </ds:schemaRefs>
</ds:datastoreItem>
</file>

<file path=customXml/itemProps5.xml><?xml version="1.0" encoding="utf-8"?>
<ds:datastoreItem xmlns:ds="http://schemas.openxmlformats.org/officeDocument/2006/customXml" ds:itemID="{E2CE67AE-0FCE-4C83-9873-A904121F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6423931F.dotm</Template>
  <TotalTime>0</TotalTime>
  <Pages>11</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lauren.eckermann</dc:creator>
  <cp:keywords/>
  <dc:description/>
  <cp:lastModifiedBy>Lucy Chadszinow</cp:lastModifiedBy>
  <cp:revision>2</cp:revision>
  <dcterms:created xsi:type="dcterms:W3CDTF">2018-06-06T04:58:00Z</dcterms:created>
  <dcterms:modified xsi:type="dcterms:W3CDTF">2018-06-06T04:58:00Z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0x010100B5F685A1365F544391EF8C813B164F3A009CD90CB66FBDC148A0F38CD84AD4BD99</vt:lpwstr>
  </property>
  <property fmtid="{D5CDD505-2E9C-101B-9397-08002B2CF9AE}" pid="3" name="SecurityClassification">
    <vt:lpwstr>9;#Sensitive|19fd2cb8-3e97-4464-ae71-8c2c2095d028</vt:lpwstr>
  </property>
  <property fmtid="{D5CDD505-2E9C-101B-9397-08002B2CF9AE}" pid="4" name="RecordPoint_WorkflowType">
    <vt:lpwstr>ActiveSubmitStub</vt:lpwstr>
  </property>
  <property fmtid="{D5CDD505-2E9C-101B-9397-08002B2CF9AE}" pid="5" name="RecordPoint_ActiveItemUniqueId">
    <vt:lpwstr>{f9a7ce7d-4107-4763-a03a-01dafce7bf4b}</vt:lpwstr>
  </property>
  <property fmtid="{D5CDD505-2E9C-101B-9397-08002B2CF9AE}" pid="6" name="RecordPoint_ActiveItemWebId">
    <vt:lpwstr>{58b240c8-206e-48ce-834d-c03b3ee6c869}</vt:lpwstr>
  </property>
  <property fmtid="{D5CDD505-2E9C-101B-9397-08002B2CF9AE}" pid="7" name="RecordPoint_ActiveItemSiteId">
    <vt:lpwstr>{d7b1bd36-4632-439e-b4b0-c0995686598d}</vt:lpwstr>
  </property>
  <property fmtid="{D5CDD505-2E9C-101B-9397-08002B2CF9AE}" pid="8" name="RecordPoint_ActiveItemListId">
    <vt:lpwstr>{13ae2011-7e8c-41eb-84bc-52a71d2b741f}</vt:lpwstr>
  </property>
  <property fmtid="{D5CDD505-2E9C-101B-9397-08002B2CF9AE}" pid="9" name="RecordPoint_RecordNumberSubmitted">
    <vt:lpwstr>R20180000499848</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2018-06-05T23:44:48.0381821+10:00</vt:lpwstr>
  </property>
</Properties>
</file>