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C47B" w14:textId="77777777" w:rsidR="00286BD1" w:rsidRDefault="00286BD1" w:rsidP="00C90250">
      <w:pPr>
        <w:spacing w:before="63"/>
        <w:jc w:val="center"/>
        <w:rPr>
          <w:b/>
          <w:color w:val="000000"/>
          <w:spacing w:val="-1"/>
          <w:sz w:val="28"/>
        </w:rPr>
      </w:pPr>
    </w:p>
    <w:p w14:paraId="61B78ABF" w14:textId="48263E59" w:rsidR="005B0E3A" w:rsidRPr="00754D71" w:rsidRDefault="005B0E3A" w:rsidP="00C90250">
      <w:pPr>
        <w:spacing w:before="63"/>
        <w:jc w:val="center"/>
        <w:rPr>
          <w:b/>
          <w:color w:val="000000"/>
          <w:spacing w:val="-1"/>
          <w:sz w:val="28"/>
          <w:szCs w:val="24"/>
        </w:rPr>
      </w:pPr>
      <w:r w:rsidRPr="00754D71">
        <w:rPr>
          <w:b/>
          <w:color w:val="000000"/>
          <w:spacing w:val="-1"/>
          <w:sz w:val="28"/>
        </w:rPr>
        <w:t xml:space="preserve">EXPLANATORY </w:t>
      </w:r>
      <w:r w:rsidR="00510386" w:rsidRPr="00754D71">
        <w:rPr>
          <w:b/>
          <w:color w:val="000000"/>
          <w:spacing w:val="-1"/>
          <w:sz w:val="28"/>
        </w:rPr>
        <w:t>STATEMENT</w:t>
      </w:r>
      <w:r w:rsidR="00510386" w:rsidRPr="00140E1E">
        <w:rPr>
          <w:b/>
          <w:color w:val="000000"/>
          <w:spacing w:val="-1"/>
          <w:sz w:val="24"/>
          <w:szCs w:val="24"/>
        </w:rPr>
        <w:t xml:space="preserve"> </w:t>
      </w:r>
      <w:r w:rsidR="00C90250" w:rsidRPr="00754D71">
        <w:rPr>
          <w:b/>
          <w:color w:val="000000"/>
          <w:spacing w:val="-1"/>
          <w:sz w:val="28"/>
          <w:szCs w:val="24"/>
        </w:rPr>
        <w:t>for</w:t>
      </w:r>
    </w:p>
    <w:p w14:paraId="79978CBE" w14:textId="08168A02" w:rsidR="00C90250" w:rsidRPr="00754D71" w:rsidRDefault="00C90250" w:rsidP="00754D71">
      <w:pPr>
        <w:spacing w:before="63" w:line="479" w:lineRule="auto"/>
        <w:jc w:val="center"/>
        <w:rPr>
          <w:color w:val="000000"/>
          <w:spacing w:val="-1"/>
          <w:sz w:val="28"/>
        </w:rPr>
      </w:pPr>
      <w:r w:rsidRPr="00754D71">
        <w:rPr>
          <w:b/>
          <w:color w:val="000000"/>
          <w:spacing w:val="-1"/>
          <w:sz w:val="28"/>
        </w:rPr>
        <w:t>ASIC Corporations (Amendment) Instrument 201</w:t>
      </w:r>
      <w:r w:rsidR="00035203" w:rsidRPr="00754D71">
        <w:rPr>
          <w:b/>
          <w:color w:val="000000"/>
          <w:spacing w:val="-1"/>
          <w:sz w:val="28"/>
        </w:rPr>
        <w:t>8</w:t>
      </w:r>
      <w:r w:rsidR="00360C18">
        <w:rPr>
          <w:b/>
          <w:color w:val="000000"/>
          <w:spacing w:val="-1"/>
          <w:sz w:val="28"/>
        </w:rPr>
        <w:t>/</w:t>
      </w:r>
      <w:r w:rsidR="0002738C">
        <w:rPr>
          <w:b/>
          <w:color w:val="000000"/>
          <w:spacing w:val="-1"/>
          <w:sz w:val="28"/>
        </w:rPr>
        <w:t>3</w:t>
      </w:r>
    </w:p>
    <w:p w14:paraId="5952A3EB" w14:textId="77777777" w:rsidR="005B0E3A" w:rsidRPr="00286BD1" w:rsidRDefault="005B0E3A" w:rsidP="00286BD1">
      <w:pPr>
        <w:pStyle w:val="BodyText"/>
        <w:jc w:val="center"/>
      </w:pPr>
      <w:r w:rsidRPr="00286BD1">
        <w:t>Prepared by the Australian Securities and Investments Commission</w:t>
      </w:r>
    </w:p>
    <w:p w14:paraId="526742BD" w14:textId="77777777" w:rsidR="005B0E3A" w:rsidRPr="00286BD1" w:rsidRDefault="005B0E3A" w:rsidP="00754D71">
      <w:pPr>
        <w:pStyle w:val="BodyText"/>
        <w:jc w:val="center"/>
      </w:pPr>
    </w:p>
    <w:p w14:paraId="5E783ABA" w14:textId="77777777" w:rsidR="005B0E3A" w:rsidRPr="00140E1E" w:rsidRDefault="005B0E3A" w:rsidP="005B0E3A">
      <w:pPr>
        <w:jc w:val="center"/>
        <w:rPr>
          <w:sz w:val="24"/>
          <w:szCs w:val="24"/>
        </w:rPr>
      </w:pPr>
      <w:r w:rsidRPr="00140E1E">
        <w:rPr>
          <w:i/>
          <w:sz w:val="24"/>
          <w:szCs w:val="24"/>
        </w:rPr>
        <w:t>Corporations Act 2001</w:t>
      </w:r>
    </w:p>
    <w:p w14:paraId="34EB3D51" w14:textId="5B6178BE" w:rsidR="00FE5834" w:rsidRDefault="00FE5834" w:rsidP="00876915">
      <w:pPr>
        <w:pStyle w:val="BodyText"/>
        <w:spacing w:line="240" w:lineRule="auto"/>
        <w:rPr>
          <w:color w:val="000000" w:themeColor="text1"/>
          <w:szCs w:val="24"/>
        </w:rPr>
      </w:pPr>
      <w:r w:rsidRPr="00140E1E">
        <w:rPr>
          <w:szCs w:val="24"/>
        </w:rPr>
        <w:t xml:space="preserve">The Australian Securities and </w:t>
      </w:r>
      <w:r w:rsidRPr="00140E1E">
        <w:rPr>
          <w:spacing w:val="-1"/>
          <w:szCs w:val="24"/>
        </w:rPr>
        <w:t>Investments</w:t>
      </w:r>
      <w:r w:rsidRPr="00140E1E">
        <w:rPr>
          <w:szCs w:val="24"/>
        </w:rPr>
        <w:t xml:space="preserve"> </w:t>
      </w:r>
      <w:r w:rsidRPr="00140E1E">
        <w:rPr>
          <w:spacing w:val="-1"/>
          <w:szCs w:val="24"/>
        </w:rPr>
        <w:t>Commission</w:t>
      </w:r>
      <w:r w:rsidRPr="00140E1E">
        <w:rPr>
          <w:szCs w:val="24"/>
        </w:rPr>
        <w:t xml:space="preserve"> (ASIC) </w:t>
      </w:r>
      <w:r w:rsidRPr="00140E1E">
        <w:rPr>
          <w:spacing w:val="-1"/>
          <w:szCs w:val="24"/>
        </w:rPr>
        <w:t>makes</w:t>
      </w:r>
      <w:r w:rsidRPr="00140E1E">
        <w:rPr>
          <w:szCs w:val="24"/>
        </w:rPr>
        <w:t xml:space="preserve"> ASIC Corporations (Amendment) Instrument 201</w:t>
      </w:r>
      <w:r w:rsidR="001D0EFA" w:rsidRPr="00140E1E">
        <w:rPr>
          <w:szCs w:val="24"/>
        </w:rPr>
        <w:t>8/3</w:t>
      </w:r>
      <w:r w:rsidRPr="00140E1E">
        <w:rPr>
          <w:szCs w:val="24"/>
        </w:rPr>
        <w:t xml:space="preserve"> (</w:t>
      </w:r>
      <w:r w:rsidRPr="00140E1E">
        <w:rPr>
          <w:b/>
          <w:szCs w:val="24"/>
        </w:rPr>
        <w:t>Amending Instrument</w:t>
      </w:r>
      <w:r w:rsidRPr="00140E1E">
        <w:rPr>
          <w:szCs w:val="24"/>
        </w:rPr>
        <w:t>)</w:t>
      </w:r>
      <w:r w:rsidRPr="00140E1E">
        <w:rPr>
          <w:spacing w:val="-1"/>
          <w:szCs w:val="24"/>
        </w:rPr>
        <w:t xml:space="preserve"> </w:t>
      </w:r>
      <w:r w:rsidRPr="00140E1E">
        <w:rPr>
          <w:color w:val="000000"/>
          <w:spacing w:val="-1"/>
          <w:szCs w:val="24"/>
        </w:rPr>
        <w:t xml:space="preserve">under </w:t>
      </w:r>
      <w:r w:rsidRPr="00140E1E">
        <w:rPr>
          <w:szCs w:val="24"/>
        </w:rPr>
        <w:t>subsections 601</w:t>
      </w:r>
      <w:proofErr w:type="gramStart"/>
      <w:r w:rsidRPr="00140E1E">
        <w:rPr>
          <w:szCs w:val="24"/>
        </w:rPr>
        <w:t>QA(</w:t>
      </w:r>
      <w:proofErr w:type="gramEnd"/>
      <w:r w:rsidRPr="00140E1E">
        <w:rPr>
          <w:szCs w:val="24"/>
        </w:rPr>
        <w:t xml:space="preserve">1), </w:t>
      </w:r>
      <w:r w:rsidRPr="00140E1E">
        <w:rPr>
          <w:color w:val="000000" w:themeColor="text1"/>
          <w:szCs w:val="24"/>
        </w:rPr>
        <w:t xml:space="preserve">655A(1), 673(1) and 1020F(1) of the </w:t>
      </w:r>
      <w:r w:rsidRPr="00140E1E">
        <w:rPr>
          <w:i/>
          <w:color w:val="000000" w:themeColor="text1"/>
          <w:szCs w:val="24"/>
        </w:rPr>
        <w:t>Corporations Act 2001</w:t>
      </w:r>
      <w:r w:rsidRPr="00140E1E">
        <w:rPr>
          <w:color w:val="000000" w:themeColor="text1"/>
          <w:szCs w:val="24"/>
        </w:rPr>
        <w:t xml:space="preserve"> (the </w:t>
      </w:r>
      <w:r w:rsidRPr="00140E1E">
        <w:rPr>
          <w:b/>
          <w:color w:val="000000" w:themeColor="text1"/>
          <w:szCs w:val="24"/>
        </w:rPr>
        <w:t>Act</w:t>
      </w:r>
      <w:r w:rsidR="007A4237" w:rsidRPr="00140E1E">
        <w:rPr>
          <w:color w:val="000000" w:themeColor="text1"/>
          <w:szCs w:val="24"/>
        </w:rPr>
        <w:t>).</w:t>
      </w:r>
    </w:p>
    <w:p w14:paraId="58B610A3" w14:textId="7B54444C" w:rsidR="00876915" w:rsidRPr="00140E1E" w:rsidRDefault="00876915" w:rsidP="00286BD1">
      <w:pPr>
        <w:spacing w:before="200" w:after="0"/>
        <w:rPr>
          <w:sz w:val="24"/>
          <w:szCs w:val="24"/>
        </w:rPr>
      </w:pPr>
      <w:r w:rsidRPr="00140E1E">
        <w:rPr>
          <w:sz w:val="24"/>
          <w:szCs w:val="24"/>
        </w:rPr>
        <w:t>The purpose of the Amending Instrument</w:t>
      </w:r>
      <w:r w:rsidRPr="00140E1E">
        <w:rPr>
          <w:b/>
          <w:sz w:val="24"/>
          <w:szCs w:val="24"/>
        </w:rPr>
        <w:t xml:space="preserve"> </w:t>
      </w:r>
      <w:r w:rsidRPr="00140E1E">
        <w:rPr>
          <w:sz w:val="24"/>
          <w:szCs w:val="24"/>
        </w:rPr>
        <w:t xml:space="preserve">is to extend existing relief in </w:t>
      </w:r>
      <w:proofErr w:type="gramStart"/>
      <w:r>
        <w:rPr>
          <w:sz w:val="24"/>
          <w:szCs w:val="24"/>
        </w:rPr>
        <w:t>a number of</w:t>
      </w:r>
      <w:proofErr w:type="gramEnd"/>
      <w:r>
        <w:rPr>
          <w:sz w:val="24"/>
          <w:szCs w:val="24"/>
        </w:rPr>
        <w:t xml:space="preserve"> ASIC</w:t>
      </w:r>
      <w:r w:rsidRPr="00140E1E">
        <w:rPr>
          <w:sz w:val="24"/>
          <w:szCs w:val="24"/>
        </w:rPr>
        <w:t xml:space="preserve"> instruments to facilitate the quotation and trading of</w:t>
      </w:r>
      <w:r w:rsidR="00DA32C7">
        <w:rPr>
          <w:sz w:val="24"/>
          <w:szCs w:val="24"/>
        </w:rPr>
        <w:t xml:space="preserve"> </w:t>
      </w:r>
      <w:r w:rsidR="00747239">
        <w:rPr>
          <w:sz w:val="24"/>
          <w:szCs w:val="24"/>
        </w:rPr>
        <w:t>e</w:t>
      </w:r>
      <w:r w:rsidR="00DA32C7">
        <w:rPr>
          <w:sz w:val="24"/>
          <w:szCs w:val="24"/>
        </w:rPr>
        <w:t xml:space="preserve">xchange </w:t>
      </w:r>
      <w:r w:rsidR="00747239">
        <w:rPr>
          <w:sz w:val="24"/>
          <w:szCs w:val="24"/>
        </w:rPr>
        <w:t>t</w:t>
      </w:r>
      <w:r w:rsidR="00DA32C7">
        <w:rPr>
          <w:sz w:val="24"/>
          <w:szCs w:val="24"/>
        </w:rPr>
        <w:t xml:space="preserve">raded </w:t>
      </w:r>
      <w:r w:rsidR="00747239">
        <w:rPr>
          <w:sz w:val="24"/>
          <w:szCs w:val="24"/>
        </w:rPr>
        <w:t>f</w:t>
      </w:r>
      <w:r w:rsidR="00DA32C7">
        <w:rPr>
          <w:sz w:val="24"/>
          <w:szCs w:val="24"/>
        </w:rPr>
        <w:t>unds (</w:t>
      </w:r>
      <w:r w:rsidR="00DA32C7" w:rsidRPr="00286BD1">
        <w:rPr>
          <w:b/>
          <w:sz w:val="24"/>
          <w:szCs w:val="24"/>
        </w:rPr>
        <w:t>ETF</w:t>
      </w:r>
      <w:r w:rsidR="00DA32C7">
        <w:rPr>
          <w:sz w:val="24"/>
          <w:szCs w:val="24"/>
        </w:rPr>
        <w:t>s)</w:t>
      </w:r>
      <w:r w:rsidRPr="00140E1E">
        <w:rPr>
          <w:sz w:val="24"/>
          <w:szCs w:val="24"/>
        </w:rPr>
        <w:t xml:space="preserve"> on the </w:t>
      </w:r>
      <w:r w:rsidR="00DA32C7">
        <w:rPr>
          <w:sz w:val="24"/>
          <w:szCs w:val="24"/>
        </w:rPr>
        <w:t xml:space="preserve">market operated by </w:t>
      </w:r>
      <w:r w:rsidR="00DA32C7" w:rsidRPr="00140E1E">
        <w:rPr>
          <w:sz w:val="24"/>
          <w:szCs w:val="24"/>
        </w:rPr>
        <w:t>Chi-X Australia Pty Ltd (</w:t>
      </w:r>
      <w:r w:rsidR="00DA32C7" w:rsidRPr="00140E1E">
        <w:rPr>
          <w:b/>
          <w:sz w:val="24"/>
          <w:szCs w:val="24"/>
        </w:rPr>
        <w:t>Chi-X</w:t>
      </w:r>
      <w:r w:rsidR="00DA32C7" w:rsidRPr="00140E1E">
        <w:rPr>
          <w:sz w:val="24"/>
          <w:szCs w:val="24"/>
        </w:rPr>
        <w:t>)</w:t>
      </w:r>
      <w:r w:rsidR="00ED1EB0">
        <w:rPr>
          <w:sz w:val="24"/>
          <w:szCs w:val="24"/>
        </w:rPr>
        <w:t xml:space="preserve">.  </w:t>
      </w:r>
      <w:r w:rsidR="00DA32C7">
        <w:rPr>
          <w:sz w:val="24"/>
          <w:szCs w:val="24"/>
        </w:rPr>
        <w:t xml:space="preserve">The existing relief currently applies only to the market operated by </w:t>
      </w:r>
      <w:r w:rsidR="00DA32C7" w:rsidRPr="00140E1E">
        <w:rPr>
          <w:sz w:val="24"/>
          <w:szCs w:val="24"/>
        </w:rPr>
        <w:t>ASX Limited (</w:t>
      </w:r>
      <w:r w:rsidR="00DA32C7" w:rsidRPr="00140E1E">
        <w:rPr>
          <w:b/>
          <w:sz w:val="24"/>
          <w:szCs w:val="24"/>
        </w:rPr>
        <w:t>ASX</w:t>
      </w:r>
      <w:r w:rsidR="00DA32C7" w:rsidRPr="00140E1E">
        <w:rPr>
          <w:sz w:val="24"/>
          <w:szCs w:val="24"/>
        </w:rPr>
        <w:t>)</w:t>
      </w:r>
      <w:r w:rsidR="00DA32C7">
        <w:rPr>
          <w:sz w:val="24"/>
          <w:szCs w:val="24"/>
        </w:rPr>
        <w:t>.</w:t>
      </w:r>
    </w:p>
    <w:p w14:paraId="3F9C22AB" w14:textId="74C6FD0A" w:rsidR="00FE5834" w:rsidRPr="00140E1E" w:rsidRDefault="00FE5834" w:rsidP="00876915">
      <w:pPr>
        <w:pStyle w:val="BodyText"/>
        <w:spacing w:line="240" w:lineRule="auto"/>
        <w:rPr>
          <w:color w:val="000000"/>
          <w:szCs w:val="24"/>
        </w:rPr>
      </w:pPr>
      <w:r w:rsidRPr="00140E1E">
        <w:rPr>
          <w:color w:val="000000"/>
          <w:szCs w:val="24"/>
        </w:rPr>
        <w:t>Subsection 601</w:t>
      </w:r>
      <w:proofErr w:type="gramStart"/>
      <w:r w:rsidRPr="00140E1E">
        <w:rPr>
          <w:color w:val="000000"/>
          <w:szCs w:val="24"/>
        </w:rPr>
        <w:t>QA(</w:t>
      </w:r>
      <w:proofErr w:type="gramEnd"/>
      <w:r w:rsidRPr="00140E1E">
        <w:rPr>
          <w:color w:val="000000"/>
          <w:szCs w:val="24"/>
        </w:rPr>
        <w:t>1</w:t>
      </w:r>
      <w:r w:rsidRPr="00140E1E">
        <w:rPr>
          <w:b/>
          <w:color w:val="000000"/>
          <w:szCs w:val="24"/>
        </w:rPr>
        <w:t>)</w:t>
      </w:r>
      <w:r w:rsidRPr="00140E1E">
        <w:rPr>
          <w:color w:val="000000"/>
          <w:szCs w:val="24"/>
        </w:rPr>
        <w:t xml:space="preserve"> provides that ASIC may exempt a person from</w:t>
      </w:r>
      <w:r w:rsidR="00876915">
        <w:rPr>
          <w:color w:val="000000"/>
          <w:szCs w:val="24"/>
        </w:rPr>
        <w:t xml:space="preserve"> a provision of</w:t>
      </w:r>
      <w:r w:rsidRPr="00140E1E">
        <w:rPr>
          <w:color w:val="000000"/>
          <w:szCs w:val="24"/>
        </w:rPr>
        <w:t xml:space="preserve"> Chapter 5C</w:t>
      </w:r>
      <w:r w:rsidR="00EE46D0">
        <w:rPr>
          <w:color w:val="000000"/>
          <w:szCs w:val="24"/>
        </w:rPr>
        <w:t>,</w:t>
      </w:r>
      <w:r w:rsidRPr="00140E1E">
        <w:rPr>
          <w:color w:val="000000"/>
          <w:szCs w:val="24"/>
        </w:rPr>
        <w:t xml:space="preserve"> or declare that Chapter 5C applies to a person as if specified provisions were omitted, modified or varied as specified in the declaration. </w:t>
      </w:r>
    </w:p>
    <w:p w14:paraId="63EAD695" w14:textId="5CE532B9" w:rsidR="00FE5834" w:rsidRPr="00140E1E" w:rsidRDefault="00FE5834" w:rsidP="00876915">
      <w:pPr>
        <w:pStyle w:val="BodyText"/>
        <w:spacing w:line="240" w:lineRule="auto"/>
        <w:rPr>
          <w:color w:val="000000"/>
          <w:szCs w:val="24"/>
        </w:rPr>
      </w:pPr>
      <w:r w:rsidRPr="00140E1E">
        <w:rPr>
          <w:color w:val="000000"/>
          <w:szCs w:val="24"/>
        </w:rPr>
        <w:t>Subsections 655</w:t>
      </w:r>
      <w:proofErr w:type="gramStart"/>
      <w:r w:rsidRPr="00140E1E">
        <w:rPr>
          <w:color w:val="000000"/>
          <w:szCs w:val="24"/>
        </w:rPr>
        <w:t>A(</w:t>
      </w:r>
      <w:proofErr w:type="gramEnd"/>
      <w:r w:rsidRPr="00140E1E">
        <w:rPr>
          <w:color w:val="000000"/>
          <w:szCs w:val="24"/>
        </w:rPr>
        <w:t xml:space="preserve">1) and 673(1) provide that ASIC may exempt a person from </w:t>
      </w:r>
      <w:r w:rsidR="00876915">
        <w:rPr>
          <w:color w:val="000000"/>
          <w:szCs w:val="24"/>
        </w:rPr>
        <w:t xml:space="preserve">a provision of </w:t>
      </w:r>
      <w:r w:rsidRPr="00140E1E">
        <w:rPr>
          <w:color w:val="000000"/>
          <w:szCs w:val="24"/>
        </w:rPr>
        <w:t xml:space="preserve">Chapters 6 and 6C respectively or declare that the Chapter applies to a person as if specified provisions </w:t>
      </w:r>
      <w:r w:rsidR="00876915">
        <w:rPr>
          <w:color w:val="000000"/>
          <w:szCs w:val="24"/>
        </w:rPr>
        <w:t>were</w:t>
      </w:r>
      <w:r w:rsidRPr="00140E1E">
        <w:rPr>
          <w:color w:val="000000"/>
          <w:szCs w:val="24"/>
        </w:rPr>
        <w:t xml:space="preserve"> omitted, modified or varied</w:t>
      </w:r>
      <w:r w:rsidR="00876915">
        <w:rPr>
          <w:color w:val="000000"/>
          <w:szCs w:val="24"/>
        </w:rPr>
        <w:t xml:space="preserve"> as specified in the declaration</w:t>
      </w:r>
      <w:r w:rsidRPr="00140E1E">
        <w:rPr>
          <w:color w:val="000000"/>
          <w:szCs w:val="24"/>
        </w:rPr>
        <w:t xml:space="preserve">. </w:t>
      </w:r>
    </w:p>
    <w:p w14:paraId="4336F183" w14:textId="77777777" w:rsidR="00FE5834" w:rsidRPr="00140E1E" w:rsidRDefault="00FE5834" w:rsidP="00DA32C7">
      <w:pPr>
        <w:pStyle w:val="BodyText"/>
        <w:spacing w:line="240" w:lineRule="auto"/>
        <w:rPr>
          <w:color w:val="000000"/>
          <w:szCs w:val="24"/>
        </w:rPr>
      </w:pPr>
      <w:r w:rsidRPr="00140E1E">
        <w:rPr>
          <w:color w:val="000000"/>
          <w:szCs w:val="24"/>
        </w:rPr>
        <w:t>Subsection 1020</w:t>
      </w:r>
      <w:proofErr w:type="gramStart"/>
      <w:r w:rsidRPr="00140E1E">
        <w:rPr>
          <w:color w:val="000000"/>
          <w:szCs w:val="24"/>
        </w:rPr>
        <w:t>F(</w:t>
      </w:r>
      <w:proofErr w:type="gramEnd"/>
      <w:r w:rsidRPr="00140E1E">
        <w:rPr>
          <w:color w:val="000000"/>
          <w:szCs w:val="24"/>
        </w:rPr>
        <w:t>1) provides that ASIC may exempt a person or a financial product (or class of persons or financial products) from all or specified  provisions of Part 7.9  or declare that Part 7.9 applies in relation to a person or a financial product or a class of persons or financial products, as if specified provisions were omitted, modified or varied as specified in the declaration.</w:t>
      </w:r>
    </w:p>
    <w:p w14:paraId="1F15A714" w14:textId="0F419650" w:rsidR="00A84E0A" w:rsidRPr="00140E1E" w:rsidRDefault="003B31B7" w:rsidP="00DA32C7">
      <w:pPr>
        <w:pStyle w:val="BodyText"/>
        <w:spacing w:line="261" w:lineRule="auto"/>
        <w:rPr>
          <w:szCs w:val="24"/>
        </w:rPr>
      </w:pPr>
      <w:r w:rsidRPr="00140E1E">
        <w:rPr>
          <w:szCs w:val="24"/>
        </w:rPr>
        <w:t>The Amending Instrument</w:t>
      </w:r>
      <w:r w:rsidR="00510386" w:rsidRPr="00140E1E">
        <w:rPr>
          <w:szCs w:val="24"/>
        </w:rPr>
        <w:t xml:space="preserve"> </w:t>
      </w:r>
      <w:r w:rsidR="003C0BDA" w:rsidRPr="00140E1E">
        <w:rPr>
          <w:szCs w:val="24"/>
        </w:rPr>
        <w:t>will</w:t>
      </w:r>
      <w:r w:rsidR="00510386" w:rsidRPr="00140E1E">
        <w:rPr>
          <w:szCs w:val="24"/>
        </w:rPr>
        <w:t xml:space="preserve"> amend the following instruments:</w:t>
      </w:r>
    </w:p>
    <w:p w14:paraId="7EF6C988" w14:textId="0985968C" w:rsidR="00B34380" w:rsidRPr="00140E1E" w:rsidRDefault="008C1098" w:rsidP="00754D71">
      <w:pPr>
        <w:pStyle w:val="ListParagraph"/>
        <w:numPr>
          <w:ilvl w:val="0"/>
          <w:numId w:val="15"/>
        </w:numPr>
        <w:spacing w:before="200" w:line="220" w:lineRule="exact"/>
        <w:ind w:left="568" w:hanging="284"/>
        <w:rPr>
          <w:sz w:val="24"/>
          <w:szCs w:val="24"/>
        </w:rPr>
      </w:pPr>
      <w:r w:rsidRPr="00140E1E">
        <w:rPr>
          <w:sz w:val="24"/>
          <w:szCs w:val="24"/>
        </w:rPr>
        <w:t xml:space="preserve">ASIC </w:t>
      </w:r>
      <w:r w:rsidR="00F802A0" w:rsidRPr="00140E1E">
        <w:rPr>
          <w:sz w:val="24"/>
          <w:szCs w:val="24"/>
        </w:rPr>
        <w:t xml:space="preserve">Class Order </w:t>
      </w:r>
      <w:r w:rsidR="00C90250" w:rsidRPr="00140E1E">
        <w:rPr>
          <w:sz w:val="24"/>
          <w:szCs w:val="24"/>
        </w:rPr>
        <w:t xml:space="preserve">[CO </w:t>
      </w:r>
      <w:r w:rsidR="00F802A0" w:rsidRPr="00140E1E">
        <w:rPr>
          <w:sz w:val="24"/>
          <w:szCs w:val="24"/>
        </w:rPr>
        <w:t>10/288</w:t>
      </w:r>
      <w:r w:rsidR="00C90250" w:rsidRPr="00140E1E">
        <w:rPr>
          <w:sz w:val="24"/>
          <w:szCs w:val="24"/>
        </w:rPr>
        <w:t>]</w:t>
      </w:r>
      <w:r w:rsidR="003C0BDA" w:rsidRPr="00140E1E">
        <w:rPr>
          <w:i/>
          <w:sz w:val="24"/>
          <w:szCs w:val="24"/>
        </w:rPr>
        <w:t xml:space="preserve"> </w:t>
      </w:r>
    </w:p>
    <w:p w14:paraId="3E5A7EF0" w14:textId="0AB8EF59" w:rsidR="00CA2D24" w:rsidRPr="00140E1E" w:rsidRDefault="00CA2D24" w:rsidP="00754D71">
      <w:pPr>
        <w:pStyle w:val="ListParagraph"/>
        <w:numPr>
          <w:ilvl w:val="0"/>
          <w:numId w:val="15"/>
        </w:numPr>
        <w:spacing w:before="200" w:line="220" w:lineRule="exact"/>
        <w:ind w:left="568" w:hanging="284"/>
        <w:rPr>
          <w:sz w:val="24"/>
          <w:szCs w:val="24"/>
        </w:rPr>
      </w:pPr>
      <w:r w:rsidRPr="00140E1E">
        <w:rPr>
          <w:sz w:val="24"/>
          <w:szCs w:val="24"/>
        </w:rPr>
        <w:t>ASIC Class Order [CO 13/655]</w:t>
      </w:r>
      <w:r w:rsidRPr="00140E1E">
        <w:rPr>
          <w:i/>
          <w:sz w:val="24"/>
          <w:szCs w:val="24"/>
        </w:rPr>
        <w:t xml:space="preserve"> </w:t>
      </w:r>
    </w:p>
    <w:p w14:paraId="30C48DA9" w14:textId="165E5A36" w:rsidR="00CA2D24" w:rsidRPr="00140E1E" w:rsidRDefault="00CA2D24" w:rsidP="00754D71">
      <w:pPr>
        <w:pStyle w:val="ListParagraph"/>
        <w:numPr>
          <w:ilvl w:val="0"/>
          <w:numId w:val="15"/>
        </w:numPr>
        <w:spacing w:before="200" w:line="220" w:lineRule="exact"/>
        <w:ind w:left="568" w:hanging="284"/>
        <w:rPr>
          <w:sz w:val="24"/>
          <w:szCs w:val="24"/>
        </w:rPr>
      </w:pPr>
      <w:r w:rsidRPr="00140E1E">
        <w:rPr>
          <w:sz w:val="24"/>
          <w:szCs w:val="24"/>
        </w:rPr>
        <w:t>ASIC Class Order [C0 13/721]</w:t>
      </w:r>
    </w:p>
    <w:p w14:paraId="542F86FD" w14:textId="65162119" w:rsidR="00CA2D24" w:rsidRPr="00286BD1" w:rsidRDefault="00CA2D24" w:rsidP="00754D71">
      <w:pPr>
        <w:pStyle w:val="ListParagraph"/>
        <w:numPr>
          <w:ilvl w:val="0"/>
          <w:numId w:val="15"/>
        </w:numPr>
        <w:spacing w:before="200" w:after="0" w:line="220" w:lineRule="exact"/>
        <w:ind w:left="568" w:hanging="284"/>
        <w:rPr>
          <w:sz w:val="24"/>
          <w:szCs w:val="24"/>
        </w:rPr>
      </w:pPr>
      <w:r w:rsidRPr="00140E1E">
        <w:rPr>
          <w:sz w:val="24"/>
          <w:szCs w:val="24"/>
        </w:rPr>
        <w:t>ASIC Class Order [C0 13/1200]</w:t>
      </w:r>
    </w:p>
    <w:p w14:paraId="5DB6AEDE" w14:textId="0E69275A" w:rsidR="00ED1EB0" w:rsidRDefault="00ED1EB0" w:rsidP="00754D71">
      <w:pPr>
        <w:pStyle w:val="ListParagraph"/>
        <w:spacing w:before="200" w:line="220" w:lineRule="exact"/>
        <w:ind w:left="284"/>
        <w:contextualSpacing w:val="0"/>
        <w:rPr>
          <w:sz w:val="24"/>
          <w:szCs w:val="24"/>
        </w:rPr>
      </w:pPr>
      <w:r>
        <w:rPr>
          <w:sz w:val="24"/>
          <w:szCs w:val="24"/>
        </w:rPr>
        <w:t xml:space="preserve">(collectively </w:t>
      </w:r>
      <w:r w:rsidRPr="00286BD1">
        <w:rPr>
          <w:b/>
          <w:sz w:val="24"/>
          <w:szCs w:val="24"/>
        </w:rPr>
        <w:t>Relevant Instruments</w:t>
      </w:r>
      <w:r>
        <w:rPr>
          <w:sz w:val="24"/>
          <w:szCs w:val="24"/>
        </w:rPr>
        <w:t xml:space="preserve">) </w:t>
      </w:r>
    </w:p>
    <w:p w14:paraId="3E67B652" w14:textId="1D00A44F" w:rsidR="00FE5834" w:rsidRPr="00140E1E" w:rsidRDefault="00FE5834" w:rsidP="00286BD1">
      <w:pPr>
        <w:spacing w:before="200" w:after="0"/>
        <w:rPr>
          <w:sz w:val="24"/>
          <w:szCs w:val="24"/>
        </w:rPr>
      </w:pPr>
      <w:r w:rsidRPr="00140E1E">
        <w:rPr>
          <w:sz w:val="24"/>
          <w:szCs w:val="24"/>
        </w:rPr>
        <w:t xml:space="preserve">In addition, ASIC has decided to extend the existing </w:t>
      </w:r>
      <w:r w:rsidR="00AC3531" w:rsidRPr="00140E1E">
        <w:rPr>
          <w:sz w:val="24"/>
          <w:szCs w:val="24"/>
        </w:rPr>
        <w:t xml:space="preserve">disclosure </w:t>
      </w:r>
      <w:r w:rsidRPr="00140E1E">
        <w:rPr>
          <w:sz w:val="24"/>
          <w:szCs w:val="24"/>
        </w:rPr>
        <w:t>relief from section 1017B of the Act</w:t>
      </w:r>
      <w:r w:rsidR="00E422BF" w:rsidRPr="00140E1E">
        <w:rPr>
          <w:sz w:val="24"/>
          <w:szCs w:val="24"/>
        </w:rPr>
        <w:t xml:space="preserve"> in </w:t>
      </w:r>
      <w:r w:rsidR="005B63D9">
        <w:rPr>
          <w:sz w:val="24"/>
          <w:szCs w:val="24"/>
        </w:rPr>
        <w:t>[</w:t>
      </w:r>
      <w:r w:rsidR="00E422BF" w:rsidRPr="00140E1E">
        <w:rPr>
          <w:sz w:val="24"/>
          <w:szCs w:val="24"/>
        </w:rPr>
        <w:t>CO 13/721</w:t>
      </w:r>
      <w:r w:rsidR="00286BD1">
        <w:rPr>
          <w:sz w:val="24"/>
          <w:szCs w:val="24"/>
        </w:rPr>
        <w:t>]</w:t>
      </w:r>
      <w:r w:rsidRPr="00140E1E">
        <w:rPr>
          <w:sz w:val="24"/>
          <w:szCs w:val="24"/>
        </w:rPr>
        <w:t xml:space="preserve"> to managed funds that are quoted and traded on the ASX market. </w:t>
      </w:r>
      <w:r w:rsidR="00876915">
        <w:rPr>
          <w:sz w:val="24"/>
          <w:szCs w:val="24"/>
        </w:rPr>
        <w:t xml:space="preserve">This </w:t>
      </w:r>
      <w:r w:rsidR="00AC3531" w:rsidRPr="00140E1E">
        <w:rPr>
          <w:sz w:val="24"/>
          <w:szCs w:val="24"/>
        </w:rPr>
        <w:t>disclosure</w:t>
      </w:r>
      <w:r w:rsidRPr="00140E1E">
        <w:rPr>
          <w:sz w:val="24"/>
          <w:szCs w:val="24"/>
        </w:rPr>
        <w:t xml:space="preserve"> relief </w:t>
      </w:r>
      <w:r w:rsidR="00876915">
        <w:rPr>
          <w:sz w:val="24"/>
          <w:szCs w:val="24"/>
        </w:rPr>
        <w:t xml:space="preserve">currently </w:t>
      </w:r>
      <w:r w:rsidR="00251F2D" w:rsidRPr="00140E1E">
        <w:rPr>
          <w:sz w:val="24"/>
          <w:szCs w:val="24"/>
        </w:rPr>
        <w:t xml:space="preserve">only </w:t>
      </w:r>
      <w:r w:rsidR="00ED1EB0">
        <w:rPr>
          <w:sz w:val="24"/>
          <w:szCs w:val="24"/>
        </w:rPr>
        <w:t>applies in relation to</w:t>
      </w:r>
      <w:r w:rsidR="00251F2D" w:rsidRPr="00140E1E">
        <w:rPr>
          <w:sz w:val="24"/>
          <w:szCs w:val="24"/>
        </w:rPr>
        <w:t xml:space="preserve"> ETFs on the ASX market</w:t>
      </w:r>
      <w:r w:rsidRPr="00140E1E">
        <w:rPr>
          <w:sz w:val="24"/>
          <w:szCs w:val="24"/>
        </w:rPr>
        <w:t xml:space="preserve">.  </w:t>
      </w:r>
    </w:p>
    <w:p w14:paraId="31AAA42A" w14:textId="35DCEA2E" w:rsidR="00D07A72" w:rsidRDefault="00493E64" w:rsidP="00286BD1">
      <w:pPr>
        <w:spacing w:before="200"/>
        <w:rPr>
          <w:sz w:val="24"/>
          <w:szCs w:val="24"/>
        </w:rPr>
      </w:pPr>
      <w:r w:rsidRPr="00140E1E">
        <w:rPr>
          <w:sz w:val="24"/>
          <w:szCs w:val="24"/>
        </w:rPr>
        <w:t xml:space="preserve">The </w:t>
      </w:r>
      <w:r w:rsidR="00ED1EB0">
        <w:rPr>
          <w:sz w:val="24"/>
          <w:szCs w:val="24"/>
        </w:rPr>
        <w:t>Amending Instrument also amends language used in the Relevant</w:t>
      </w:r>
      <w:r w:rsidR="00ED1EB0" w:rsidRPr="00140E1E">
        <w:rPr>
          <w:sz w:val="24"/>
          <w:szCs w:val="24"/>
        </w:rPr>
        <w:t xml:space="preserve"> </w:t>
      </w:r>
      <w:r w:rsidR="00ED1EB0">
        <w:rPr>
          <w:sz w:val="24"/>
          <w:szCs w:val="24"/>
        </w:rPr>
        <w:t>I</w:t>
      </w:r>
      <w:r w:rsidRPr="00140E1E">
        <w:rPr>
          <w:sz w:val="24"/>
          <w:szCs w:val="24"/>
        </w:rPr>
        <w:t xml:space="preserve">nstruments </w:t>
      </w:r>
      <w:r w:rsidR="00ED1EB0">
        <w:rPr>
          <w:sz w:val="24"/>
          <w:szCs w:val="24"/>
        </w:rPr>
        <w:t>to</w:t>
      </w:r>
      <w:r w:rsidRPr="00140E1E">
        <w:rPr>
          <w:sz w:val="24"/>
          <w:szCs w:val="24"/>
        </w:rPr>
        <w:t xml:space="preserve"> make the terminology </w:t>
      </w:r>
      <w:r w:rsidR="00EE46D0">
        <w:rPr>
          <w:sz w:val="24"/>
          <w:szCs w:val="24"/>
        </w:rPr>
        <w:t>“</w:t>
      </w:r>
      <w:r w:rsidRPr="00140E1E">
        <w:rPr>
          <w:sz w:val="24"/>
          <w:szCs w:val="24"/>
        </w:rPr>
        <w:t>market neutral</w:t>
      </w:r>
      <w:r w:rsidR="00EE46D0">
        <w:rPr>
          <w:sz w:val="24"/>
          <w:szCs w:val="24"/>
        </w:rPr>
        <w:t>”</w:t>
      </w:r>
      <w:r w:rsidRPr="00140E1E">
        <w:rPr>
          <w:sz w:val="24"/>
          <w:szCs w:val="24"/>
        </w:rPr>
        <w:t xml:space="preserve"> </w:t>
      </w:r>
      <w:r w:rsidR="00ED1EB0">
        <w:rPr>
          <w:sz w:val="24"/>
          <w:szCs w:val="24"/>
        </w:rPr>
        <w:t>to ensure that it applies effectively to</w:t>
      </w:r>
      <w:r w:rsidRPr="00140E1E">
        <w:rPr>
          <w:sz w:val="24"/>
          <w:szCs w:val="24"/>
        </w:rPr>
        <w:t xml:space="preserve"> </w:t>
      </w:r>
      <w:r w:rsidR="001245E5" w:rsidRPr="00140E1E">
        <w:rPr>
          <w:sz w:val="24"/>
          <w:szCs w:val="24"/>
        </w:rPr>
        <w:t xml:space="preserve">both </w:t>
      </w:r>
      <w:r w:rsidRPr="00140E1E">
        <w:rPr>
          <w:sz w:val="24"/>
          <w:szCs w:val="24"/>
        </w:rPr>
        <w:t xml:space="preserve">the </w:t>
      </w:r>
      <w:r w:rsidRPr="00140E1E">
        <w:rPr>
          <w:sz w:val="24"/>
          <w:szCs w:val="24"/>
        </w:rPr>
        <w:lastRenderedPageBreak/>
        <w:t xml:space="preserve">ASX and Chi-X market. </w:t>
      </w:r>
      <w:r w:rsidR="00D07A72" w:rsidRPr="00FD4F58">
        <w:rPr>
          <w:sz w:val="24"/>
          <w:szCs w:val="24"/>
        </w:rPr>
        <w:t>For example, the Relevant Instruments incorporated by reference various definitions from specific versions of the operating rules of the ASX. These definitions have been substituted with self-contained definitions that identify fundamental features of the defined terms as appropriate.</w:t>
      </w:r>
    </w:p>
    <w:p w14:paraId="208CBC92" w14:textId="2AF91BC2" w:rsidR="004C1582" w:rsidRPr="00140E1E" w:rsidRDefault="005B0E3A" w:rsidP="00286BD1">
      <w:pPr>
        <w:spacing w:before="200"/>
        <w:rPr>
          <w:sz w:val="24"/>
          <w:szCs w:val="24"/>
        </w:rPr>
      </w:pPr>
      <w:r w:rsidRPr="00140E1E">
        <w:rPr>
          <w:sz w:val="24"/>
          <w:szCs w:val="24"/>
        </w:rPr>
        <w:t xml:space="preserve">Under subsection 33(3) of the </w:t>
      </w:r>
      <w:r w:rsidRPr="00140E1E">
        <w:rPr>
          <w:i/>
          <w:sz w:val="24"/>
          <w:szCs w:val="24"/>
        </w:rPr>
        <w:t>Acts Interpretation Act 1901</w:t>
      </w:r>
      <w:r w:rsidRPr="00140E1E">
        <w:rPr>
          <w:sz w:val="24"/>
          <w:szCs w:val="24"/>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1CB688D6" w14:textId="77777777" w:rsidR="005B0E3A" w:rsidRPr="00754D71" w:rsidRDefault="005B0E3A" w:rsidP="00754D71">
      <w:pPr>
        <w:widowControl w:val="0"/>
        <w:numPr>
          <w:ilvl w:val="0"/>
          <w:numId w:val="7"/>
        </w:numPr>
        <w:tabs>
          <w:tab w:val="left" w:pos="1592"/>
        </w:tabs>
        <w:spacing w:before="145" w:after="0"/>
        <w:ind w:left="0" w:firstLine="0"/>
        <w:rPr>
          <w:rFonts w:ascii="Arial"/>
          <w:b/>
          <w:spacing w:val="-1"/>
          <w:sz w:val="24"/>
        </w:rPr>
      </w:pPr>
      <w:bookmarkStart w:id="0" w:name="1._Background"/>
      <w:bookmarkEnd w:id="0"/>
      <w:r w:rsidRPr="00754D71">
        <w:rPr>
          <w:rFonts w:ascii="Arial"/>
          <w:b/>
          <w:spacing w:val="-1"/>
          <w:sz w:val="24"/>
        </w:rPr>
        <w:t>Background</w:t>
      </w:r>
    </w:p>
    <w:p w14:paraId="3E8AA0A0" w14:textId="592C8CA9" w:rsidR="00691CCA" w:rsidRPr="00140E1E" w:rsidRDefault="0041404E" w:rsidP="00286BD1">
      <w:pPr>
        <w:spacing w:before="200"/>
        <w:rPr>
          <w:sz w:val="24"/>
          <w:szCs w:val="24"/>
        </w:rPr>
      </w:pPr>
      <w:r w:rsidRPr="00140E1E">
        <w:rPr>
          <w:sz w:val="24"/>
          <w:szCs w:val="24"/>
        </w:rPr>
        <w:t>Chi-X hold</w:t>
      </w:r>
      <w:r w:rsidR="00422DBE" w:rsidRPr="00140E1E">
        <w:rPr>
          <w:sz w:val="24"/>
          <w:szCs w:val="24"/>
        </w:rPr>
        <w:t xml:space="preserve">s an Australian market licence </w:t>
      </w:r>
      <w:r w:rsidR="003E5E38" w:rsidRPr="00140E1E">
        <w:rPr>
          <w:sz w:val="24"/>
          <w:szCs w:val="24"/>
        </w:rPr>
        <w:t>(</w:t>
      </w:r>
      <w:r w:rsidR="003E5E38" w:rsidRPr="00140E1E">
        <w:rPr>
          <w:b/>
          <w:sz w:val="24"/>
          <w:szCs w:val="24"/>
        </w:rPr>
        <w:t>AML</w:t>
      </w:r>
      <w:r w:rsidR="003E5E38" w:rsidRPr="00140E1E">
        <w:rPr>
          <w:sz w:val="24"/>
          <w:szCs w:val="24"/>
        </w:rPr>
        <w:t>)</w:t>
      </w:r>
      <w:r w:rsidR="003E5E38" w:rsidRPr="00140E1E">
        <w:rPr>
          <w:b/>
          <w:sz w:val="24"/>
          <w:szCs w:val="24"/>
        </w:rPr>
        <w:t xml:space="preserve"> </w:t>
      </w:r>
      <w:r w:rsidR="006173CE" w:rsidRPr="00140E1E">
        <w:rPr>
          <w:sz w:val="24"/>
          <w:szCs w:val="24"/>
        </w:rPr>
        <w:t xml:space="preserve">which enables it to </w:t>
      </w:r>
      <w:r w:rsidR="00B76A1B" w:rsidRPr="00140E1E">
        <w:rPr>
          <w:sz w:val="24"/>
          <w:szCs w:val="24"/>
        </w:rPr>
        <w:t xml:space="preserve">operate </w:t>
      </w:r>
      <w:r w:rsidR="00DA32C7">
        <w:rPr>
          <w:sz w:val="24"/>
          <w:szCs w:val="24"/>
        </w:rPr>
        <w:t>a</w:t>
      </w:r>
      <w:r w:rsidR="00DA32C7" w:rsidRPr="00140E1E">
        <w:rPr>
          <w:sz w:val="24"/>
          <w:szCs w:val="24"/>
        </w:rPr>
        <w:t xml:space="preserve"> </w:t>
      </w:r>
      <w:r w:rsidR="00B76A1B" w:rsidRPr="00140E1E">
        <w:rPr>
          <w:sz w:val="24"/>
          <w:szCs w:val="24"/>
        </w:rPr>
        <w:t>market through which participants may trade securities</w:t>
      </w:r>
      <w:r w:rsidR="009B2095" w:rsidRPr="00140E1E">
        <w:rPr>
          <w:sz w:val="24"/>
          <w:szCs w:val="24"/>
        </w:rPr>
        <w:t>,</w:t>
      </w:r>
      <w:r w:rsidR="00B76A1B" w:rsidRPr="00140E1E">
        <w:rPr>
          <w:sz w:val="24"/>
          <w:szCs w:val="24"/>
        </w:rPr>
        <w:t xml:space="preserve"> and financial products that relate to a managed investment scheme</w:t>
      </w:r>
      <w:r w:rsidR="009B2095" w:rsidRPr="00140E1E">
        <w:rPr>
          <w:sz w:val="24"/>
          <w:szCs w:val="24"/>
        </w:rPr>
        <w:t>.</w:t>
      </w:r>
      <w:r w:rsidR="00347358" w:rsidRPr="00140E1E">
        <w:rPr>
          <w:sz w:val="24"/>
          <w:szCs w:val="24"/>
        </w:rPr>
        <w:t xml:space="preserve"> </w:t>
      </w:r>
    </w:p>
    <w:p w14:paraId="33E9072B" w14:textId="04432AA8" w:rsidR="00347358" w:rsidRPr="00140E1E" w:rsidRDefault="00347358" w:rsidP="00A83D95">
      <w:pPr>
        <w:spacing w:before="4"/>
        <w:rPr>
          <w:sz w:val="24"/>
          <w:szCs w:val="24"/>
        </w:rPr>
      </w:pPr>
      <w:r w:rsidRPr="00140E1E">
        <w:rPr>
          <w:sz w:val="24"/>
          <w:szCs w:val="24"/>
        </w:rPr>
        <w:t>Chi-X provide secondary trading services in securities and managed investment scheme interests that are listed, quoted and traded on the f</w:t>
      </w:r>
      <w:r w:rsidR="00A83D95">
        <w:rPr>
          <w:sz w:val="24"/>
          <w:szCs w:val="24"/>
        </w:rPr>
        <w:t>inancial market operated by ASX.</w:t>
      </w:r>
      <w:r w:rsidR="000311FD" w:rsidRPr="00140E1E">
        <w:rPr>
          <w:sz w:val="24"/>
          <w:szCs w:val="24"/>
        </w:rPr>
        <w:t xml:space="preserve"> </w:t>
      </w:r>
      <w:r w:rsidR="00CA6D17" w:rsidRPr="00140E1E">
        <w:rPr>
          <w:sz w:val="24"/>
          <w:szCs w:val="24"/>
        </w:rPr>
        <w:t xml:space="preserve">Chi-X also offers trading in warrants that have been admitted to quotation on the Chi-X market. </w:t>
      </w:r>
    </w:p>
    <w:p w14:paraId="1A2874C3" w14:textId="1E4145F7" w:rsidR="00347358" w:rsidRPr="00140E1E" w:rsidRDefault="00AA6841" w:rsidP="00DA32C7">
      <w:pPr>
        <w:spacing w:after="0"/>
        <w:rPr>
          <w:sz w:val="24"/>
          <w:szCs w:val="24"/>
        </w:rPr>
      </w:pPr>
      <w:r w:rsidRPr="00140E1E">
        <w:rPr>
          <w:sz w:val="24"/>
          <w:szCs w:val="24"/>
        </w:rPr>
        <w:t>Chi-X</w:t>
      </w:r>
      <w:r w:rsidR="0041404E" w:rsidRPr="00140E1E">
        <w:rPr>
          <w:sz w:val="24"/>
          <w:szCs w:val="24"/>
        </w:rPr>
        <w:t xml:space="preserve"> </w:t>
      </w:r>
      <w:r w:rsidR="006E0C60" w:rsidRPr="00140E1E">
        <w:rPr>
          <w:sz w:val="24"/>
          <w:szCs w:val="24"/>
        </w:rPr>
        <w:t>is</w:t>
      </w:r>
      <w:r w:rsidR="00DE357C" w:rsidRPr="00140E1E">
        <w:rPr>
          <w:sz w:val="24"/>
          <w:szCs w:val="24"/>
        </w:rPr>
        <w:t xml:space="preserve"> proposing to</w:t>
      </w:r>
      <w:r w:rsidR="00422DBE" w:rsidRPr="00140E1E">
        <w:rPr>
          <w:sz w:val="24"/>
          <w:szCs w:val="24"/>
        </w:rPr>
        <w:t xml:space="preserve"> </w:t>
      </w:r>
      <w:r w:rsidR="00DE357C" w:rsidRPr="00140E1E">
        <w:rPr>
          <w:sz w:val="24"/>
          <w:szCs w:val="24"/>
        </w:rPr>
        <w:t>expand its</w:t>
      </w:r>
      <w:r w:rsidR="0041404E" w:rsidRPr="00140E1E">
        <w:rPr>
          <w:sz w:val="24"/>
          <w:szCs w:val="24"/>
        </w:rPr>
        <w:t xml:space="preserve"> services to include </w:t>
      </w:r>
      <w:r w:rsidR="00CF3A01" w:rsidRPr="00140E1E">
        <w:rPr>
          <w:sz w:val="24"/>
          <w:szCs w:val="24"/>
        </w:rPr>
        <w:t>the quot</w:t>
      </w:r>
      <w:r w:rsidR="00B70332" w:rsidRPr="00140E1E">
        <w:rPr>
          <w:sz w:val="24"/>
          <w:szCs w:val="24"/>
        </w:rPr>
        <w:t>at</w:t>
      </w:r>
      <w:r w:rsidR="00CF3A01" w:rsidRPr="00140E1E">
        <w:rPr>
          <w:sz w:val="24"/>
          <w:szCs w:val="24"/>
        </w:rPr>
        <w:t>i</w:t>
      </w:r>
      <w:r w:rsidR="00B70332" w:rsidRPr="00140E1E">
        <w:rPr>
          <w:sz w:val="24"/>
          <w:szCs w:val="24"/>
        </w:rPr>
        <w:t>on</w:t>
      </w:r>
      <w:r w:rsidR="00CF3A01" w:rsidRPr="00140E1E">
        <w:rPr>
          <w:sz w:val="24"/>
          <w:szCs w:val="24"/>
        </w:rPr>
        <w:t xml:space="preserve"> and trading of </w:t>
      </w:r>
      <w:r w:rsidR="003E5331" w:rsidRPr="00140E1E">
        <w:rPr>
          <w:sz w:val="24"/>
          <w:szCs w:val="24"/>
        </w:rPr>
        <w:t xml:space="preserve">interests in </w:t>
      </w:r>
      <w:r w:rsidR="00DA32C7">
        <w:rPr>
          <w:sz w:val="24"/>
          <w:szCs w:val="24"/>
        </w:rPr>
        <w:t>ETFs</w:t>
      </w:r>
      <w:r w:rsidR="006B0EE9" w:rsidRPr="00140E1E">
        <w:rPr>
          <w:sz w:val="24"/>
          <w:szCs w:val="24"/>
        </w:rPr>
        <w:t xml:space="preserve"> on the Chi-X market</w:t>
      </w:r>
      <w:r w:rsidR="00CF3A01" w:rsidRPr="00140E1E">
        <w:rPr>
          <w:sz w:val="24"/>
          <w:szCs w:val="24"/>
        </w:rPr>
        <w:t xml:space="preserve">. </w:t>
      </w:r>
    </w:p>
    <w:p w14:paraId="5EBC8296" w14:textId="68801911" w:rsidR="00CA020C" w:rsidRPr="00140E1E" w:rsidRDefault="00DE357C" w:rsidP="00A83D95">
      <w:pPr>
        <w:spacing w:before="200"/>
        <w:rPr>
          <w:sz w:val="24"/>
          <w:szCs w:val="24"/>
        </w:rPr>
      </w:pPr>
      <w:r w:rsidRPr="00140E1E">
        <w:rPr>
          <w:sz w:val="24"/>
          <w:szCs w:val="24"/>
        </w:rPr>
        <w:t>Chi-X’s proposed ETF framework will be</w:t>
      </w:r>
      <w:r w:rsidR="0041404E" w:rsidRPr="00140E1E">
        <w:rPr>
          <w:sz w:val="24"/>
          <w:szCs w:val="24"/>
        </w:rPr>
        <w:t xml:space="preserve"> broa</w:t>
      </w:r>
      <w:r w:rsidR="004C1031" w:rsidRPr="00140E1E">
        <w:rPr>
          <w:sz w:val="24"/>
          <w:szCs w:val="24"/>
        </w:rPr>
        <w:t xml:space="preserve">dly equivalent to </w:t>
      </w:r>
      <w:r w:rsidR="003A1166" w:rsidRPr="00140E1E">
        <w:rPr>
          <w:sz w:val="24"/>
          <w:szCs w:val="24"/>
        </w:rPr>
        <w:t>th</w:t>
      </w:r>
      <w:r w:rsidR="006B0EE9" w:rsidRPr="00140E1E">
        <w:rPr>
          <w:sz w:val="24"/>
          <w:szCs w:val="24"/>
        </w:rPr>
        <w:t>at</w:t>
      </w:r>
      <w:r w:rsidR="003A1166" w:rsidRPr="00140E1E">
        <w:rPr>
          <w:sz w:val="24"/>
          <w:szCs w:val="24"/>
        </w:rPr>
        <w:t xml:space="preserve"> </w:t>
      </w:r>
      <w:r w:rsidR="00BE7A12" w:rsidRPr="00140E1E">
        <w:rPr>
          <w:sz w:val="24"/>
          <w:szCs w:val="24"/>
        </w:rPr>
        <w:t xml:space="preserve">offered by the </w:t>
      </w:r>
      <w:r w:rsidR="004C1031" w:rsidRPr="00140E1E">
        <w:rPr>
          <w:sz w:val="24"/>
          <w:szCs w:val="24"/>
        </w:rPr>
        <w:t>ASX</w:t>
      </w:r>
      <w:r w:rsidR="00516141" w:rsidRPr="00140E1E">
        <w:rPr>
          <w:sz w:val="24"/>
          <w:szCs w:val="24"/>
        </w:rPr>
        <w:t xml:space="preserve"> </w:t>
      </w:r>
      <w:r w:rsidR="004B6CD7" w:rsidRPr="00140E1E">
        <w:rPr>
          <w:sz w:val="24"/>
          <w:szCs w:val="24"/>
        </w:rPr>
        <w:t>for ETFs on</w:t>
      </w:r>
      <w:r w:rsidR="003E5331" w:rsidRPr="00140E1E">
        <w:rPr>
          <w:sz w:val="24"/>
          <w:szCs w:val="24"/>
        </w:rPr>
        <w:t xml:space="preserve"> the</w:t>
      </w:r>
      <w:r w:rsidR="004C1582" w:rsidRPr="00140E1E">
        <w:rPr>
          <w:sz w:val="24"/>
          <w:szCs w:val="24"/>
        </w:rPr>
        <w:t xml:space="preserve"> A</w:t>
      </w:r>
      <w:r w:rsidR="003E5331" w:rsidRPr="00140E1E">
        <w:rPr>
          <w:sz w:val="24"/>
          <w:szCs w:val="24"/>
        </w:rPr>
        <w:t>QUA market.  The AQUA market is the ASX market segment dedicated to the quotation and trading of interests in managed funds, ETFs and structured products</w:t>
      </w:r>
      <w:r w:rsidR="00CF3A01" w:rsidRPr="00140E1E">
        <w:rPr>
          <w:sz w:val="24"/>
          <w:szCs w:val="24"/>
        </w:rPr>
        <w:t>.</w:t>
      </w:r>
      <w:r w:rsidR="006C1904" w:rsidRPr="00140E1E">
        <w:rPr>
          <w:sz w:val="24"/>
          <w:szCs w:val="24"/>
        </w:rPr>
        <w:t xml:space="preserve"> </w:t>
      </w:r>
    </w:p>
    <w:p w14:paraId="74912BC9" w14:textId="7B21C177" w:rsidR="00390684" w:rsidRDefault="00053779" w:rsidP="00B42C30">
      <w:pPr>
        <w:spacing w:after="0"/>
        <w:rPr>
          <w:sz w:val="24"/>
          <w:szCs w:val="24"/>
        </w:rPr>
      </w:pPr>
      <w:r>
        <w:rPr>
          <w:sz w:val="24"/>
          <w:szCs w:val="24"/>
        </w:rPr>
        <w:t xml:space="preserve">ASIC has exercised its powers to </w:t>
      </w:r>
      <w:r w:rsidR="009723B9" w:rsidRPr="00140E1E">
        <w:rPr>
          <w:sz w:val="24"/>
          <w:szCs w:val="24"/>
        </w:rPr>
        <w:t>grant relief from the requirements of certain provisions of the Act</w:t>
      </w:r>
      <w:r>
        <w:rPr>
          <w:sz w:val="24"/>
          <w:szCs w:val="24"/>
        </w:rPr>
        <w:t xml:space="preserve"> in order to facilitate the appropriate operation of the AQUA market by ASX</w:t>
      </w:r>
      <w:r w:rsidR="009723B9" w:rsidRPr="00140E1E">
        <w:rPr>
          <w:sz w:val="24"/>
          <w:szCs w:val="24"/>
        </w:rPr>
        <w:t xml:space="preserve">. </w:t>
      </w:r>
      <w:r>
        <w:rPr>
          <w:sz w:val="24"/>
          <w:szCs w:val="24"/>
        </w:rPr>
        <w:t xml:space="preserve"> This relief currently operates specifically to the ASX market</w:t>
      </w:r>
      <w:r w:rsidR="009723B9" w:rsidRPr="00140E1E">
        <w:rPr>
          <w:sz w:val="24"/>
          <w:szCs w:val="24"/>
        </w:rPr>
        <w:t xml:space="preserve">. </w:t>
      </w:r>
      <w:r w:rsidR="000A64E0">
        <w:rPr>
          <w:sz w:val="24"/>
          <w:szCs w:val="24"/>
        </w:rPr>
        <w:t>The</w:t>
      </w:r>
      <w:r w:rsidR="00B42C30" w:rsidRPr="00140E1E">
        <w:rPr>
          <w:sz w:val="24"/>
          <w:szCs w:val="24"/>
        </w:rPr>
        <w:t xml:space="preserve"> </w:t>
      </w:r>
      <w:r w:rsidR="00DE357C" w:rsidRPr="00140E1E">
        <w:rPr>
          <w:sz w:val="24"/>
          <w:szCs w:val="24"/>
        </w:rPr>
        <w:t xml:space="preserve">ETF </w:t>
      </w:r>
      <w:r w:rsidR="00F07BF3" w:rsidRPr="00140E1E">
        <w:rPr>
          <w:sz w:val="24"/>
          <w:szCs w:val="24"/>
        </w:rPr>
        <w:t>service</w:t>
      </w:r>
      <w:r w:rsidR="00DE357C" w:rsidRPr="00140E1E">
        <w:rPr>
          <w:sz w:val="24"/>
          <w:szCs w:val="24"/>
        </w:rPr>
        <w:t>s proposed by</w:t>
      </w:r>
      <w:r w:rsidR="00F07BF3" w:rsidRPr="00140E1E">
        <w:rPr>
          <w:sz w:val="24"/>
          <w:szCs w:val="24"/>
        </w:rPr>
        <w:t xml:space="preserve"> </w:t>
      </w:r>
      <w:r w:rsidR="00B42C30" w:rsidRPr="00140E1E">
        <w:rPr>
          <w:sz w:val="24"/>
          <w:szCs w:val="24"/>
        </w:rPr>
        <w:t>Chi-X</w:t>
      </w:r>
      <w:r w:rsidR="00DE357C" w:rsidRPr="00140E1E">
        <w:rPr>
          <w:sz w:val="24"/>
          <w:szCs w:val="24"/>
        </w:rPr>
        <w:t xml:space="preserve"> </w:t>
      </w:r>
      <w:r w:rsidR="009723B9" w:rsidRPr="00140E1E">
        <w:rPr>
          <w:sz w:val="24"/>
          <w:szCs w:val="24"/>
        </w:rPr>
        <w:t>will be</w:t>
      </w:r>
      <w:r w:rsidR="00B42C30" w:rsidRPr="00140E1E">
        <w:rPr>
          <w:sz w:val="24"/>
          <w:szCs w:val="24"/>
        </w:rPr>
        <w:t xml:space="preserve"> broadly equivalent to th</w:t>
      </w:r>
      <w:r w:rsidR="009723B9" w:rsidRPr="00140E1E">
        <w:rPr>
          <w:sz w:val="24"/>
          <w:szCs w:val="24"/>
        </w:rPr>
        <w:t>at offered by the ASX</w:t>
      </w:r>
      <w:r w:rsidR="000A64E0">
        <w:rPr>
          <w:sz w:val="24"/>
          <w:szCs w:val="24"/>
        </w:rPr>
        <w:t>.  ASIC considers it appropriate to grant</w:t>
      </w:r>
      <w:r>
        <w:rPr>
          <w:sz w:val="24"/>
          <w:szCs w:val="24"/>
        </w:rPr>
        <w:t xml:space="preserve"> </w:t>
      </w:r>
      <w:r w:rsidR="00B42C30" w:rsidRPr="00140E1E">
        <w:rPr>
          <w:sz w:val="24"/>
          <w:szCs w:val="24"/>
        </w:rPr>
        <w:t xml:space="preserve">the same relief to </w:t>
      </w:r>
      <w:r w:rsidR="00390684" w:rsidRPr="00140E1E">
        <w:rPr>
          <w:sz w:val="24"/>
          <w:szCs w:val="24"/>
        </w:rPr>
        <w:t xml:space="preserve">facilitate </w:t>
      </w:r>
      <w:r w:rsidR="00B42C30" w:rsidRPr="00140E1E">
        <w:rPr>
          <w:sz w:val="24"/>
          <w:szCs w:val="24"/>
        </w:rPr>
        <w:t>the q</w:t>
      </w:r>
      <w:r w:rsidR="00580ECE" w:rsidRPr="00140E1E">
        <w:rPr>
          <w:sz w:val="24"/>
          <w:szCs w:val="24"/>
        </w:rPr>
        <w:t xml:space="preserve">uotation and trading of </w:t>
      </w:r>
      <w:r w:rsidR="00B96068" w:rsidRPr="00140E1E">
        <w:rPr>
          <w:sz w:val="24"/>
          <w:szCs w:val="24"/>
        </w:rPr>
        <w:t xml:space="preserve">interests in </w:t>
      </w:r>
      <w:r w:rsidR="00580ECE" w:rsidRPr="00140E1E">
        <w:rPr>
          <w:sz w:val="24"/>
          <w:szCs w:val="24"/>
        </w:rPr>
        <w:t>ETFs</w:t>
      </w:r>
      <w:r w:rsidR="00B42C30" w:rsidRPr="00140E1E">
        <w:rPr>
          <w:sz w:val="24"/>
          <w:szCs w:val="24"/>
        </w:rPr>
        <w:t xml:space="preserve"> on the Chi-X market. </w:t>
      </w:r>
    </w:p>
    <w:p w14:paraId="30598867" w14:textId="7710B023" w:rsidR="000A64E0" w:rsidRPr="00140E1E" w:rsidRDefault="000A64E0" w:rsidP="00754D71">
      <w:pPr>
        <w:spacing w:before="200"/>
        <w:rPr>
          <w:sz w:val="24"/>
          <w:szCs w:val="24"/>
        </w:rPr>
      </w:pPr>
      <w:r w:rsidRPr="00140E1E">
        <w:rPr>
          <w:sz w:val="24"/>
          <w:szCs w:val="24"/>
        </w:rPr>
        <w:t xml:space="preserve">In addition, ASIC has decided to extend the existing disclosure relief from section 1017B of the Act in </w:t>
      </w:r>
      <w:r w:rsidR="00747239">
        <w:rPr>
          <w:sz w:val="24"/>
          <w:szCs w:val="24"/>
        </w:rPr>
        <w:t>[</w:t>
      </w:r>
      <w:r w:rsidRPr="00140E1E">
        <w:rPr>
          <w:sz w:val="24"/>
          <w:szCs w:val="24"/>
        </w:rPr>
        <w:t>CO 13/721</w:t>
      </w:r>
      <w:r w:rsidR="00747239">
        <w:rPr>
          <w:sz w:val="24"/>
          <w:szCs w:val="24"/>
        </w:rPr>
        <w:t>]</w:t>
      </w:r>
      <w:r w:rsidRPr="00140E1E">
        <w:rPr>
          <w:sz w:val="24"/>
          <w:szCs w:val="24"/>
        </w:rPr>
        <w:t xml:space="preserve"> to managed funds that are quoted and traded on the ASX market. </w:t>
      </w:r>
      <w:r>
        <w:rPr>
          <w:sz w:val="24"/>
          <w:szCs w:val="24"/>
        </w:rPr>
        <w:t xml:space="preserve">This </w:t>
      </w:r>
      <w:r w:rsidRPr="00140E1E">
        <w:rPr>
          <w:sz w:val="24"/>
          <w:szCs w:val="24"/>
        </w:rPr>
        <w:t xml:space="preserve">disclosure relief </w:t>
      </w:r>
      <w:r>
        <w:rPr>
          <w:sz w:val="24"/>
          <w:szCs w:val="24"/>
        </w:rPr>
        <w:t xml:space="preserve">currently </w:t>
      </w:r>
      <w:r w:rsidRPr="00140E1E">
        <w:rPr>
          <w:sz w:val="24"/>
          <w:szCs w:val="24"/>
        </w:rPr>
        <w:t xml:space="preserve">only </w:t>
      </w:r>
      <w:r>
        <w:rPr>
          <w:sz w:val="24"/>
          <w:szCs w:val="24"/>
        </w:rPr>
        <w:t>applies in relation to</w:t>
      </w:r>
      <w:r w:rsidRPr="00140E1E">
        <w:rPr>
          <w:sz w:val="24"/>
          <w:szCs w:val="24"/>
        </w:rPr>
        <w:t xml:space="preserve"> ETFs on the ASX market.  </w:t>
      </w:r>
    </w:p>
    <w:p w14:paraId="6B6FAF99" w14:textId="77777777" w:rsidR="005B0E3A" w:rsidRPr="00754D71" w:rsidRDefault="005B0E3A" w:rsidP="00754D71">
      <w:pPr>
        <w:widowControl w:val="0"/>
        <w:numPr>
          <w:ilvl w:val="0"/>
          <w:numId w:val="7"/>
        </w:numPr>
        <w:tabs>
          <w:tab w:val="left" w:pos="1592"/>
        </w:tabs>
        <w:spacing w:before="145" w:after="0"/>
        <w:ind w:left="0" w:firstLine="0"/>
        <w:rPr>
          <w:rFonts w:ascii="Arial"/>
          <w:b/>
          <w:spacing w:val="-1"/>
          <w:sz w:val="24"/>
        </w:rPr>
      </w:pPr>
      <w:bookmarkStart w:id="1" w:name="2._Purpose_of_the_class_order_"/>
      <w:bookmarkEnd w:id="1"/>
      <w:r w:rsidRPr="00754D71">
        <w:rPr>
          <w:rFonts w:ascii="Arial"/>
          <w:b/>
          <w:spacing w:val="-1"/>
          <w:sz w:val="24"/>
        </w:rPr>
        <w:t>Purpose</w:t>
      </w:r>
      <w:r w:rsidR="007C7841" w:rsidRPr="00754D71">
        <w:rPr>
          <w:rFonts w:ascii="Arial"/>
          <w:b/>
          <w:spacing w:val="-1"/>
          <w:sz w:val="24"/>
        </w:rPr>
        <w:t xml:space="preserve"> </w:t>
      </w:r>
      <w:r w:rsidRPr="00754D71">
        <w:rPr>
          <w:rFonts w:ascii="Arial"/>
          <w:b/>
          <w:spacing w:val="-1"/>
          <w:sz w:val="24"/>
        </w:rPr>
        <w:t xml:space="preserve">of the </w:t>
      </w:r>
      <w:r w:rsidR="003B31B7" w:rsidRPr="00754D71">
        <w:rPr>
          <w:rFonts w:ascii="Arial"/>
          <w:b/>
          <w:spacing w:val="-1"/>
          <w:sz w:val="24"/>
        </w:rPr>
        <w:t>Amending Instrument</w:t>
      </w:r>
    </w:p>
    <w:p w14:paraId="36B07459" w14:textId="77777777" w:rsidR="005B0E3A" w:rsidRPr="00140E1E" w:rsidRDefault="005B0E3A" w:rsidP="00D457FC">
      <w:pPr>
        <w:spacing w:after="0"/>
        <w:rPr>
          <w:sz w:val="24"/>
          <w:szCs w:val="24"/>
        </w:rPr>
      </w:pPr>
    </w:p>
    <w:p w14:paraId="2A6C463C" w14:textId="50168D8B" w:rsidR="00735938" w:rsidRDefault="007C7841" w:rsidP="00D457FC">
      <w:pPr>
        <w:spacing w:after="0"/>
        <w:rPr>
          <w:sz w:val="24"/>
          <w:szCs w:val="24"/>
        </w:rPr>
      </w:pPr>
      <w:r w:rsidRPr="00140E1E">
        <w:rPr>
          <w:sz w:val="24"/>
          <w:szCs w:val="24"/>
        </w:rPr>
        <w:t xml:space="preserve">The </w:t>
      </w:r>
      <w:r w:rsidR="00735938" w:rsidRPr="00140E1E">
        <w:rPr>
          <w:sz w:val="24"/>
          <w:szCs w:val="24"/>
        </w:rPr>
        <w:t xml:space="preserve">purpose of the </w:t>
      </w:r>
      <w:r w:rsidR="00FA639B" w:rsidRPr="00140E1E">
        <w:rPr>
          <w:sz w:val="24"/>
          <w:szCs w:val="24"/>
        </w:rPr>
        <w:t>Amending Instrument</w:t>
      </w:r>
      <w:r w:rsidRPr="00140E1E">
        <w:rPr>
          <w:b/>
          <w:sz w:val="24"/>
          <w:szCs w:val="24"/>
        </w:rPr>
        <w:t xml:space="preserve"> </w:t>
      </w:r>
      <w:r w:rsidRPr="00140E1E">
        <w:rPr>
          <w:sz w:val="24"/>
          <w:szCs w:val="24"/>
        </w:rPr>
        <w:t>is to extend the</w:t>
      </w:r>
      <w:r w:rsidR="002C2D50" w:rsidRPr="00140E1E">
        <w:rPr>
          <w:sz w:val="24"/>
          <w:szCs w:val="24"/>
        </w:rPr>
        <w:t xml:space="preserve"> </w:t>
      </w:r>
      <w:r w:rsidR="00343C23">
        <w:rPr>
          <w:sz w:val="24"/>
          <w:szCs w:val="24"/>
        </w:rPr>
        <w:t>application of the Relevant Instruments</w:t>
      </w:r>
      <w:r w:rsidR="00735938" w:rsidRPr="00140E1E">
        <w:rPr>
          <w:sz w:val="24"/>
          <w:szCs w:val="24"/>
        </w:rPr>
        <w:t xml:space="preserve"> </w:t>
      </w:r>
      <w:r w:rsidR="00E84F61" w:rsidRPr="00140E1E">
        <w:rPr>
          <w:sz w:val="24"/>
          <w:szCs w:val="24"/>
        </w:rPr>
        <w:t xml:space="preserve">to </w:t>
      </w:r>
      <w:r w:rsidR="00343C23">
        <w:rPr>
          <w:sz w:val="24"/>
          <w:szCs w:val="24"/>
        </w:rPr>
        <w:t>include</w:t>
      </w:r>
      <w:r w:rsidR="00E84F61" w:rsidRPr="00140E1E">
        <w:rPr>
          <w:sz w:val="24"/>
          <w:szCs w:val="24"/>
        </w:rPr>
        <w:t xml:space="preserve"> </w:t>
      </w:r>
      <w:r w:rsidR="00B70332" w:rsidRPr="00140E1E">
        <w:rPr>
          <w:sz w:val="24"/>
          <w:szCs w:val="24"/>
        </w:rPr>
        <w:t>ETFs</w:t>
      </w:r>
      <w:r w:rsidRPr="00140E1E">
        <w:rPr>
          <w:sz w:val="24"/>
          <w:szCs w:val="24"/>
        </w:rPr>
        <w:t xml:space="preserve"> on the Chi-X market</w:t>
      </w:r>
      <w:r w:rsidR="00A83D95">
        <w:rPr>
          <w:sz w:val="24"/>
          <w:szCs w:val="24"/>
        </w:rPr>
        <w:t>.</w:t>
      </w:r>
    </w:p>
    <w:p w14:paraId="0C40E65D" w14:textId="77777777" w:rsidR="00A83D95" w:rsidRPr="00140E1E" w:rsidRDefault="00A83D95" w:rsidP="00D457FC">
      <w:pPr>
        <w:spacing w:after="0"/>
        <w:rPr>
          <w:sz w:val="24"/>
          <w:szCs w:val="24"/>
        </w:rPr>
      </w:pPr>
    </w:p>
    <w:p w14:paraId="5B690564" w14:textId="3DE069D2" w:rsidR="00005AFD" w:rsidRPr="00140E1E" w:rsidRDefault="00005AFD" w:rsidP="00005AFD">
      <w:pPr>
        <w:rPr>
          <w:b/>
          <w:i/>
          <w:sz w:val="24"/>
          <w:szCs w:val="24"/>
        </w:rPr>
      </w:pPr>
      <w:r w:rsidRPr="00140E1E">
        <w:rPr>
          <w:b/>
          <w:sz w:val="24"/>
          <w:szCs w:val="24"/>
        </w:rPr>
        <w:t>ASIC Class Order [CO 10/288]</w:t>
      </w:r>
    </w:p>
    <w:p w14:paraId="025CC412" w14:textId="45FC7997" w:rsidR="00005AFD" w:rsidRPr="00140E1E" w:rsidRDefault="00233EB8" w:rsidP="00005AFD">
      <w:pPr>
        <w:rPr>
          <w:sz w:val="24"/>
          <w:szCs w:val="24"/>
        </w:rPr>
      </w:pPr>
      <w:r w:rsidRPr="00140E1E">
        <w:rPr>
          <w:sz w:val="24"/>
          <w:szCs w:val="24"/>
        </w:rPr>
        <w:t>C</w:t>
      </w:r>
      <w:r w:rsidR="00005AFD" w:rsidRPr="00140E1E">
        <w:rPr>
          <w:sz w:val="24"/>
          <w:szCs w:val="24"/>
        </w:rPr>
        <w:t xml:space="preserve">lass </w:t>
      </w:r>
      <w:r w:rsidR="00C021F8" w:rsidRPr="00140E1E">
        <w:rPr>
          <w:sz w:val="24"/>
          <w:szCs w:val="24"/>
        </w:rPr>
        <w:t>O</w:t>
      </w:r>
      <w:r w:rsidR="00005AFD" w:rsidRPr="00140E1E">
        <w:rPr>
          <w:sz w:val="24"/>
          <w:szCs w:val="24"/>
        </w:rPr>
        <w:t xml:space="preserve">rder </w:t>
      </w:r>
      <w:r w:rsidRPr="00140E1E">
        <w:rPr>
          <w:sz w:val="24"/>
          <w:szCs w:val="24"/>
        </w:rPr>
        <w:t xml:space="preserve">[CO 10/288] </w:t>
      </w:r>
      <w:r w:rsidR="003D6CA6">
        <w:rPr>
          <w:sz w:val="24"/>
          <w:szCs w:val="24"/>
        </w:rPr>
        <w:t>provides certain exemptions</w:t>
      </w:r>
      <w:r w:rsidR="00005AFD" w:rsidRPr="00140E1E">
        <w:rPr>
          <w:sz w:val="24"/>
          <w:szCs w:val="24"/>
        </w:rPr>
        <w:t xml:space="preserve"> from the </w:t>
      </w:r>
      <w:r w:rsidR="00F92190">
        <w:rPr>
          <w:sz w:val="24"/>
          <w:szCs w:val="24"/>
        </w:rPr>
        <w:t>requirement</w:t>
      </w:r>
      <w:r w:rsidR="00456603" w:rsidRPr="00140E1E">
        <w:rPr>
          <w:sz w:val="24"/>
          <w:szCs w:val="24"/>
        </w:rPr>
        <w:t xml:space="preserve"> under s</w:t>
      </w:r>
      <w:r w:rsidR="001E38E0">
        <w:rPr>
          <w:sz w:val="24"/>
          <w:szCs w:val="24"/>
        </w:rPr>
        <w:t xml:space="preserve">ubsection </w:t>
      </w:r>
      <w:r w:rsidR="00456603" w:rsidRPr="00140E1E">
        <w:rPr>
          <w:sz w:val="24"/>
          <w:szCs w:val="24"/>
        </w:rPr>
        <w:t xml:space="preserve">1020AB(3) </w:t>
      </w:r>
      <w:r w:rsidR="00F92190">
        <w:rPr>
          <w:sz w:val="24"/>
          <w:szCs w:val="24"/>
        </w:rPr>
        <w:t xml:space="preserve">to report a </w:t>
      </w:r>
      <w:r w:rsidR="00F92190" w:rsidRPr="00140E1E">
        <w:rPr>
          <w:sz w:val="24"/>
          <w:szCs w:val="24"/>
        </w:rPr>
        <w:t>covered short sale transaction of a section 1020B product on a licensed</w:t>
      </w:r>
      <w:r w:rsidR="00F92190">
        <w:rPr>
          <w:sz w:val="24"/>
          <w:szCs w:val="24"/>
        </w:rPr>
        <w:t xml:space="preserve"> market.</w:t>
      </w:r>
      <w:r w:rsidR="00F92190" w:rsidRPr="00140E1E">
        <w:rPr>
          <w:sz w:val="24"/>
          <w:szCs w:val="24"/>
        </w:rPr>
        <w:t xml:space="preserve"> </w:t>
      </w:r>
      <w:r w:rsidR="00F92190">
        <w:rPr>
          <w:sz w:val="24"/>
          <w:szCs w:val="24"/>
        </w:rPr>
        <w:t xml:space="preserve"> </w:t>
      </w:r>
      <w:r w:rsidR="003D6CA6">
        <w:rPr>
          <w:sz w:val="24"/>
          <w:szCs w:val="24"/>
        </w:rPr>
        <w:t>Paragraph 4(b) of [CO 10/288] provides an exemption for</w:t>
      </w:r>
      <w:r w:rsidR="00B6128F" w:rsidRPr="00140E1E">
        <w:rPr>
          <w:sz w:val="24"/>
          <w:szCs w:val="24"/>
        </w:rPr>
        <w:t xml:space="preserve"> </w:t>
      </w:r>
      <w:r w:rsidR="00CB2D81" w:rsidRPr="00140E1E">
        <w:rPr>
          <w:sz w:val="24"/>
          <w:szCs w:val="24"/>
        </w:rPr>
        <w:t xml:space="preserve">covered short </w:t>
      </w:r>
      <w:r w:rsidR="00B6128F" w:rsidRPr="00140E1E">
        <w:rPr>
          <w:sz w:val="24"/>
          <w:szCs w:val="24"/>
        </w:rPr>
        <w:t>sale</w:t>
      </w:r>
      <w:r w:rsidR="003D6CA6">
        <w:rPr>
          <w:sz w:val="24"/>
          <w:szCs w:val="24"/>
        </w:rPr>
        <w:t>s</w:t>
      </w:r>
      <w:r w:rsidR="00CB2D81" w:rsidRPr="00140E1E">
        <w:rPr>
          <w:sz w:val="24"/>
          <w:szCs w:val="24"/>
        </w:rPr>
        <w:t xml:space="preserve"> of ETF interests or securities</w:t>
      </w:r>
      <w:r w:rsidR="00B6128F" w:rsidRPr="00140E1E">
        <w:rPr>
          <w:sz w:val="24"/>
          <w:szCs w:val="24"/>
        </w:rPr>
        <w:t xml:space="preserve"> </w:t>
      </w:r>
      <w:r w:rsidR="0006664A" w:rsidRPr="00140E1E">
        <w:rPr>
          <w:sz w:val="24"/>
          <w:szCs w:val="24"/>
        </w:rPr>
        <w:t xml:space="preserve">that are </w:t>
      </w:r>
      <w:r w:rsidR="00B6128F" w:rsidRPr="00140E1E">
        <w:rPr>
          <w:sz w:val="24"/>
          <w:szCs w:val="24"/>
        </w:rPr>
        <w:t>made in the course</w:t>
      </w:r>
      <w:r w:rsidR="00CB2D81" w:rsidRPr="00140E1E">
        <w:rPr>
          <w:sz w:val="24"/>
          <w:szCs w:val="24"/>
        </w:rPr>
        <w:t xml:space="preserve"> of making a market in th</w:t>
      </w:r>
      <w:r w:rsidR="0006664A" w:rsidRPr="00140E1E">
        <w:rPr>
          <w:sz w:val="24"/>
          <w:szCs w:val="24"/>
        </w:rPr>
        <w:t>ose</w:t>
      </w:r>
      <w:r w:rsidR="008B096D" w:rsidRPr="00140E1E">
        <w:rPr>
          <w:sz w:val="24"/>
          <w:szCs w:val="24"/>
        </w:rPr>
        <w:t xml:space="preserve"> interests</w:t>
      </w:r>
      <w:r w:rsidR="00CB2D81" w:rsidRPr="00140E1E">
        <w:rPr>
          <w:sz w:val="24"/>
          <w:szCs w:val="24"/>
        </w:rPr>
        <w:t xml:space="preserve"> or securities </w:t>
      </w:r>
      <w:r w:rsidR="00E07FBF" w:rsidRPr="00140E1E">
        <w:rPr>
          <w:sz w:val="24"/>
          <w:szCs w:val="24"/>
        </w:rPr>
        <w:t xml:space="preserve">on </w:t>
      </w:r>
      <w:r w:rsidR="00CB2D81" w:rsidRPr="00140E1E">
        <w:rPr>
          <w:sz w:val="24"/>
          <w:szCs w:val="24"/>
        </w:rPr>
        <w:t xml:space="preserve">the </w:t>
      </w:r>
      <w:r w:rsidR="00EC69D8" w:rsidRPr="00140E1E">
        <w:rPr>
          <w:sz w:val="24"/>
          <w:szCs w:val="24"/>
        </w:rPr>
        <w:t>ASX</w:t>
      </w:r>
      <w:r w:rsidR="00CB2D81" w:rsidRPr="00140E1E">
        <w:rPr>
          <w:sz w:val="24"/>
          <w:szCs w:val="24"/>
        </w:rPr>
        <w:t xml:space="preserve"> market</w:t>
      </w:r>
      <w:r w:rsidR="00B60C70" w:rsidRPr="00140E1E">
        <w:rPr>
          <w:sz w:val="24"/>
          <w:szCs w:val="24"/>
        </w:rPr>
        <w:t xml:space="preserve"> e.</w:t>
      </w:r>
      <w:r w:rsidR="008D60F6" w:rsidRPr="00140E1E">
        <w:rPr>
          <w:sz w:val="24"/>
          <w:szCs w:val="24"/>
        </w:rPr>
        <w:t>g.</w:t>
      </w:r>
      <w:r w:rsidR="00B60C70" w:rsidRPr="00140E1E">
        <w:rPr>
          <w:sz w:val="24"/>
          <w:szCs w:val="24"/>
        </w:rPr>
        <w:t xml:space="preserve"> on the AQUA market</w:t>
      </w:r>
      <w:r w:rsidR="00AB4942" w:rsidRPr="00140E1E">
        <w:rPr>
          <w:sz w:val="24"/>
          <w:szCs w:val="24"/>
        </w:rPr>
        <w:t xml:space="preserve"> for ETFs</w:t>
      </w:r>
      <w:r w:rsidR="00005AFD" w:rsidRPr="00140E1E">
        <w:rPr>
          <w:sz w:val="24"/>
          <w:szCs w:val="24"/>
        </w:rPr>
        <w:t>.</w:t>
      </w:r>
    </w:p>
    <w:p w14:paraId="5D745435" w14:textId="77777777" w:rsidR="00E81D7A" w:rsidRPr="00E81D7A" w:rsidRDefault="00E81D7A" w:rsidP="00E81D7A">
      <w:pPr>
        <w:pStyle w:val="BodyText"/>
        <w:tabs>
          <w:tab w:val="clear" w:pos="567"/>
          <w:tab w:val="clear" w:pos="680"/>
        </w:tabs>
        <w:overflowPunct/>
        <w:autoSpaceDE/>
        <w:autoSpaceDN/>
        <w:adjustRightInd/>
        <w:spacing w:line="290" w:lineRule="atLeast"/>
        <w:textAlignment w:val="auto"/>
        <w:rPr>
          <w:szCs w:val="24"/>
        </w:rPr>
      </w:pPr>
      <w:r w:rsidRPr="00E81D7A">
        <w:rPr>
          <w:szCs w:val="24"/>
        </w:rPr>
        <w:t>We made [CO 10/288] because we considered that:</w:t>
      </w:r>
    </w:p>
    <w:p w14:paraId="52CF5B9B" w14:textId="77777777" w:rsidR="00E81D7A" w:rsidRPr="00E81D7A" w:rsidRDefault="00E81D7A" w:rsidP="00E81D7A">
      <w:pPr>
        <w:pStyle w:val="subparaa"/>
        <w:numPr>
          <w:ilvl w:val="1"/>
          <w:numId w:val="6"/>
        </w:numPr>
        <w:tabs>
          <w:tab w:val="clear" w:pos="2693"/>
        </w:tabs>
        <w:spacing w:line="290" w:lineRule="atLeast"/>
        <w:ind w:left="993"/>
        <w:rPr>
          <w:sz w:val="24"/>
          <w:szCs w:val="24"/>
        </w:rPr>
      </w:pPr>
      <w:r w:rsidRPr="00E81D7A">
        <w:rPr>
          <w:sz w:val="24"/>
          <w:szCs w:val="24"/>
        </w:rPr>
        <w:t>the cost to collect the reporting information in relation to these sales outweighs the benefit to the market; and</w:t>
      </w:r>
    </w:p>
    <w:p w14:paraId="77FA27CA" w14:textId="77777777" w:rsidR="00E81D7A" w:rsidRPr="00E81D7A" w:rsidRDefault="00E81D7A" w:rsidP="00E81D7A">
      <w:pPr>
        <w:pStyle w:val="subparaa"/>
        <w:numPr>
          <w:ilvl w:val="1"/>
          <w:numId w:val="6"/>
        </w:numPr>
        <w:tabs>
          <w:tab w:val="clear" w:pos="2693"/>
        </w:tabs>
        <w:spacing w:line="290" w:lineRule="atLeast"/>
        <w:ind w:left="993"/>
        <w:rPr>
          <w:sz w:val="24"/>
          <w:szCs w:val="24"/>
        </w:rPr>
      </w:pPr>
      <w:r w:rsidRPr="00E81D7A">
        <w:rPr>
          <w:sz w:val="24"/>
          <w:szCs w:val="24"/>
        </w:rPr>
        <w:t>the relief promotes liquidity and confidence in Australian financial markets by helping market makers to efficiently hedge particular financial products.</w:t>
      </w:r>
    </w:p>
    <w:p w14:paraId="64945AD7" w14:textId="3123D6D8" w:rsidR="00E07FBF" w:rsidRPr="00140E1E" w:rsidRDefault="00E07FBF" w:rsidP="00005AFD">
      <w:pPr>
        <w:spacing w:after="0"/>
        <w:rPr>
          <w:sz w:val="24"/>
          <w:szCs w:val="24"/>
        </w:rPr>
      </w:pPr>
    </w:p>
    <w:p w14:paraId="3BDAA122" w14:textId="601A0AE2" w:rsidR="00017585" w:rsidRPr="00140E1E" w:rsidRDefault="003D6CA6" w:rsidP="00005AFD">
      <w:pPr>
        <w:spacing w:after="0"/>
        <w:rPr>
          <w:sz w:val="24"/>
          <w:szCs w:val="24"/>
        </w:rPr>
      </w:pPr>
      <w:r w:rsidRPr="003D4286">
        <w:rPr>
          <w:sz w:val="24"/>
          <w:szCs w:val="24"/>
        </w:rPr>
        <w:t>The</w:t>
      </w:r>
      <w:r w:rsidR="00E07FBF" w:rsidRPr="003D4286">
        <w:rPr>
          <w:sz w:val="24"/>
          <w:szCs w:val="24"/>
        </w:rPr>
        <w:t xml:space="preserve"> Amending Instrument extends </w:t>
      </w:r>
      <w:r w:rsidR="00593DD3" w:rsidRPr="003D4286">
        <w:rPr>
          <w:sz w:val="24"/>
          <w:szCs w:val="24"/>
        </w:rPr>
        <w:t>the relief</w:t>
      </w:r>
      <w:r w:rsidR="00E07FBF" w:rsidRPr="003D4286">
        <w:rPr>
          <w:sz w:val="24"/>
          <w:szCs w:val="24"/>
        </w:rPr>
        <w:t xml:space="preserve"> </w:t>
      </w:r>
      <w:r w:rsidRPr="003D4286">
        <w:rPr>
          <w:sz w:val="24"/>
          <w:szCs w:val="24"/>
        </w:rPr>
        <w:t>in paragraph 4(b) of [CO 10/288]</w:t>
      </w:r>
      <w:r w:rsidR="00201FBC" w:rsidRPr="003D4286">
        <w:rPr>
          <w:sz w:val="24"/>
          <w:szCs w:val="24"/>
        </w:rPr>
        <w:t xml:space="preserve"> </w:t>
      </w:r>
      <w:r w:rsidR="00E07FBF" w:rsidRPr="003D4286">
        <w:rPr>
          <w:sz w:val="24"/>
          <w:szCs w:val="24"/>
        </w:rPr>
        <w:t xml:space="preserve">to </w:t>
      </w:r>
      <w:r w:rsidR="008B096D" w:rsidRPr="003D4286">
        <w:rPr>
          <w:sz w:val="24"/>
          <w:szCs w:val="24"/>
        </w:rPr>
        <w:t xml:space="preserve">ETF market makers </w:t>
      </w:r>
      <w:r w:rsidR="00C70B8C" w:rsidRPr="003D4286">
        <w:rPr>
          <w:sz w:val="24"/>
          <w:szCs w:val="24"/>
        </w:rPr>
        <w:t>on</w:t>
      </w:r>
      <w:r w:rsidR="00ED4A10" w:rsidRPr="003D4286">
        <w:rPr>
          <w:sz w:val="24"/>
          <w:szCs w:val="24"/>
        </w:rPr>
        <w:t xml:space="preserve"> the licensed market operated by </w:t>
      </w:r>
      <w:r w:rsidR="00593DD3" w:rsidRPr="003D4286">
        <w:rPr>
          <w:sz w:val="24"/>
          <w:szCs w:val="24"/>
        </w:rPr>
        <w:t>Chi-X</w:t>
      </w:r>
      <w:r w:rsidR="00005AFD" w:rsidRPr="003D4286">
        <w:rPr>
          <w:sz w:val="24"/>
          <w:szCs w:val="24"/>
        </w:rPr>
        <w:t>.</w:t>
      </w:r>
    </w:p>
    <w:p w14:paraId="2DF1B4AB" w14:textId="77777777" w:rsidR="00E422BF" w:rsidRPr="00140E1E" w:rsidRDefault="00E422BF" w:rsidP="00005AFD">
      <w:pPr>
        <w:spacing w:after="0"/>
        <w:rPr>
          <w:sz w:val="24"/>
          <w:szCs w:val="24"/>
        </w:rPr>
      </w:pPr>
    </w:p>
    <w:p w14:paraId="7F2DB3A3" w14:textId="19ABFF88" w:rsidR="00E422BF" w:rsidRPr="00140E1E" w:rsidRDefault="00E422BF" w:rsidP="00E422BF">
      <w:pPr>
        <w:rPr>
          <w:b/>
          <w:i/>
          <w:sz w:val="24"/>
          <w:szCs w:val="24"/>
        </w:rPr>
      </w:pPr>
      <w:r w:rsidRPr="00140E1E">
        <w:rPr>
          <w:b/>
          <w:sz w:val="24"/>
          <w:szCs w:val="24"/>
        </w:rPr>
        <w:t>ASIC Class Order [CO 13/655]</w:t>
      </w:r>
      <w:r w:rsidRPr="00140E1E">
        <w:rPr>
          <w:b/>
          <w:i/>
          <w:sz w:val="24"/>
          <w:szCs w:val="24"/>
        </w:rPr>
        <w:t xml:space="preserve"> </w:t>
      </w:r>
    </w:p>
    <w:p w14:paraId="2DB36930" w14:textId="1E7552EE" w:rsidR="00C20321" w:rsidRPr="00140E1E" w:rsidRDefault="00E422BF" w:rsidP="00E422BF">
      <w:pPr>
        <w:autoSpaceDE w:val="0"/>
        <w:autoSpaceDN w:val="0"/>
        <w:adjustRightInd w:val="0"/>
        <w:spacing w:after="0"/>
        <w:rPr>
          <w:sz w:val="24"/>
          <w:szCs w:val="24"/>
        </w:rPr>
      </w:pPr>
      <w:r w:rsidRPr="00140E1E">
        <w:rPr>
          <w:sz w:val="24"/>
          <w:szCs w:val="24"/>
        </w:rPr>
        <w:t>Class Order [CO 13/655] modifies the application of Chapter 5C of the Act</w:t>
      </w:r>
      <w:r w:rsidR="00C20321" w:rsidRPr="00140E1E">
        <w:rPr>
          <w:sz w:val="24"/>
          <w:szCs w:val="24"/>
        </w:rPr>
        <w:t xml:space="preserve"> as it applies to a responsible entity. Relevantly, paragraph 4 of the class order notionally inserts subsection 601GAE. </w:t>
      </w:r>
    </w:p>
    <w:p w14:paraId="16EE3648" w14:textId="77777777" w:rsidR="00C20321" w:rsidRPr="00140E1E" w:rsidRDefault="00C20321" w:rsidP="00E422BF">
      <w:pPr>
        <w:autoSpaceDE w:val="0"/>
        <w:autoSpaceDN w:val="0"/>
        <w:adjustRightInd w:val="0"/>
        <w:spacing w:after="0"/>
        <w:rPr>
          <w:sz w:val="24"/>
          <w:szCs w:val="24"/>
        </w:rPr>
      </w:pPr>
    </w:p>
    <w:p w14:paraId="1751814F" w14:textId="569FA963" w:rsidR="00E422BF" w:rsidRPr="00140E1E" w:rsidRDefault="00C20321" w:rsidP="00E422BF">
      <w:pPr>
        <w:autoSpaceDE w:val="0"/>
        <w:autoSpaceDN w:val="0"/>
        <w:adjustRightInd w:val="0"/>
        <w:spacing w:after="0"/>
        <w:rPr>
          <w:sz w:val="24"/>
          <w:szCs w:val="24"/>
        </w:rPr>
      </w:pPr>
      <w:r w:rsidRPr="00140E1E">
        <w:rPr>
          <w:sz w:val="24"/>
          <w:szCs w:val="24"/>
        </w:rPr>
        <w:t>Subsection s601GAE(1) allows a responsible entity to</w:t>
      </w:r>
      <w:r w:rsidR="00E422BF" w:rsidRPr="00140E1E">
        <w:rPr>
          <w:sz w:val="24"/>
          <w:szCs w:val="24"/>
        </w:rPr>
        <w:t xml:space="preserve"> exercise certain discretions in determining the amount of consideration to acquire an interest in the scheme when it uses a formula or method that complies with subsection 601GAE(2).</w:t>
      </w:r>
    </w:p>
    <w:p w14:paraId="2CDA6860" w14:textId="77777777" w:rsidR="00E422BF" w:rsidRPr="00140E1E" w:rsidRDefault="00E422BF" w:rsidP="00E422BF">
      <w:pPr>
        <w:autoSpaceDE w:val="0"/>
        <w:autoSpaceDN w:val="0"/>
        <w:adjustRightInd w:val="0"/>
        <w:spacing w:after="0"/>
        <w:rPr>
          <w:sz w:val="24"/>
          <w:szCs w:val="24"/>
        </w:rPr>
      </w:pPr>
    </w:p>
    <w:p w14:paraId="51E2F8F3" w14:textId="77777777" w:rsidR="00E422BF" w:rsidRPr="00140E1E" w:rsidRDefault="00E422BF" w:rsidP="00E422BF">
      <w:pPr>
        <w:spacing w:after="0"/>
        <w:rPr>
          <w:sz w:val="24"/>
          <w:szCs w:val="24"/>
        </w:rPr>
      </w:pPr>
      <w:r w:rsidRPr="00140E1E">
        <w:rPr>
          <w:sz w:val="24"/>
          <w:szCs w:val="24"/>
        </w:rPr>
        <w:t>The basis of the formula or method is determined in part on whether the interests in the scheme are in a class of interests that are AQUA products under the operating rules of ASX.</w:t>
      </w:r>
    </w:p>
    <w:p w14:paraId="0B756676" w14:textId="77777777" w:rsidR="00E422BF" w:rsidRPr="00140E1E" w:rsidRDefault="00E422BF" w:rsidP="00E422BF">
      <w:pPr>
        <w:spacing w:after="0"/>
        <w:rPr>
          <w:sz w:val="24"/>
          <w:szCs w:val="24"/>
        </w:rPr>
      </w:pPr>
    </w:p>
    <w:p w14:paraId="31E86AB9" w14:textId="529CC8B2" w:rsidR="00E422BF" w:rsidRPr="00140E1E" w:rsidRDefault="005216F1" w:rsidP="00E422BF">
      <w:pPr>
        <w:spacing w:after="0"/>
        <w:rPr>
          <w:sz w:val="24"/>
          <w:szCs w:val="24"/>
        </w:rPr>
      </w:pPr>
      <w:r>
        <w:rPr>
          <w:sz w:val="24"/>
          <w:szCs w:val="24"/>
        </w:rPr>
        <w:t xml:space="preserve">The </w:t>
      </w:r>
      <w:r w:rsidR="00E422BF" w:rsidRPr="00140E1E">
        <w:rPr>
          <w:sz w:val="24"/>
          <w:szCs w:val="24"/>
        </w:rPr>
        <w:t xml:space="preserve">Amending Instrument </w:t>
      </w:r>
      <w:r>
        <w:rPr>
          <w:sz w:val="24"/>
          <w:szCs w:val="24"/>
        </w:rPr>
        <w:t>will ensure that notional s601GAE operates in relation to</w:t>
      </w:r>
      <w:r w:rsidR="00927FFE" w:rsidRPr="00140E1E">
        <w:rPr>
          <w:sz w:val="24"/>
          <w:szCs w:val="24"/>
        </w:rPr>
        <w:t xml:space="preserve"> ETFs traded and quoted on the Chi-X market</w:t>
      </w:r>
      <w:r>
        <w:rPr>
          <w:sz w:val="24"/>
          <w:szCs w:val="24"/>
        </w:rPr>
        <w:t xml:space="preserve"> in the same manner as it currently does for AQUA products on the ASX.</w:t>
      </w:r>
    </w:p>
    <w:p w14:paraId="2CACE082" w14:textId="77777777" w:rsidR="00E422BF" w:rsidRPr="00140E1E" w:rsidRDefault="00E422BF" w:rsidP="00005AFD">
      <w:pPr>
        <w:spacing w:after="0"/>
        <w:rPr>
          <w:sz w:val="24"/>
          <w:szCs w:val="24"/>
        </w:rPr>
      </w:pPr>
    </w:p>
    <w:p w14:paraId="51D879B0" w14:textId="476FDD1F" w:rsidR="00E422BF" w:rsidRPr="00140E1E" w:rsidRDefault="00E422BF" w:rsidP="00E422BF">
      <w:pPr>
        <w:rPr>
          <w:b/>
          <w:i/>
          <w:sz w:val="24"/>
          <w:szCs w:val="24"/>
        </w:rPr>
      </w:pPr>
      <w:r w:rsidRPr="00140E1E">
        <w:rPr>
          <w:b/>
          <w:sz w:val="24"/>
          <w:szCs w:val="24"/>
        </w:rPr>
        <w:t>ASIC Class Order [CO 13/721]</w:t>
      </w:r>
    </w:p>
    <w:p w14:paraId="78C1415B" w14:textId="1E972B72" w:rsidR="00E422BF" w:rsidRPr="00140E1E" w:rsidRDefault="00E422BF" w:rsidP="00E422BF">
      <w:pPr>
        <w:spacing w:after="0"/>
        <w:rPr>
          <w:sz w:val="24"/>
          <w:szCs w:val="24"/>
        </w:rPr>
      </w:pPr>
      <w:r w:rsidRPr="00140E1E">
        <w:rPr>
          <w:sz w:val="24"/>
          <w:szCs w:val="24"/>
        </w:rPr>
        <w:t>The following relief is provided under Class Order [CO 13/721]:</w:t>
      </w:r>
    </w:p>
    <w:p w14:paraId="28F539E5" w14:textId="77777777" w:rsidR="00E422BF" w:rsidRPr="00140E1E" w:rsidRDefault="00E422BF" w:rsidP="00E422BF">
      <w:pPr>
        <w:spacing w:after="0"/>
        <w:ind w:left="284"/>
        <w:rPr>
          <w:sz w:val="24"/>
          <w:szCs w:val="24"/>
        </w:rPr>
      </w:pPr>
    </w:p>
    <w:p w14:paraId="62BAC727" w14:textId="77777777" w:rsidR="00E422BF" w:rsidRPr="00140E1E" w:rsidRDefault="00E422BF" w:rsidP="00E422BF">
      <w:pPr>
        <w:numPr>
          <w:ilvl w:val="0"/>
          <w:numId w:val="18"/>
        </w:numPr>
        <w:rPr>
          <w:sz w:val="24"/>
          <w:szCs w:val="24"/>
          <w:u w:val="single"/>
        </w:rPr>
      </w:pPr>
      <w:r w:rsidRPr="00140E1E">
        <w:rPr>
          <w:sz w:val="24"/>
          <w:szCs w:val="24"/>
          <w:u w:val="single"/>
        </w:rPr>
        <w:t>Equal treatment relief in withdrawal from an ETF</w:t>
      </w:r>
    </w:p>
    <w:p w14:paraId="32770F84" w14:textId="1CB79BD7" w:rsidR="00E422BF" w:rsidRPr="00140E1E" w:rsidRDefault="008F5A26" w:rsidP="00E422BF">
      <w:pPr>
        <w:ind w:left="709"/>
        <w:rPr>
          <w:sz w:val="24"/>
          <w:szCs w:val="24"/>
        </w:rPr>
      </w:pPr>
      <w:r>
        <w:rPr>
          <w:sz w:val="24"/>
          <w:szCs w:val="24"/>
        </w:rPr>
        <w:t>Paragraph</w:t>
      </w:r>
      <w:r w:rsidR="00E422BF" w:rsidRPr="00140E1E">
        <w:rPr>
          <w:sz w:val="24"/>
          <w:szCs w:val="24"/>
        </w:rPr>
        <w:t xml:space="preserve"> 601FC(1)(d) of the Act</w:t>
      </w:r>
      <w:r>
        <w:rPr>
          <w:sz w:val="24"/>
          <w:szCs w:val="24"/>
        </w:rPr>
        <w:t xml:space="preserve"> requires </w:t>
      </w:r>
      <w:r w:rsidR="00E422BF" w:rsidRPr="00140E1E">
        <w:rPr>
          <w:sz w:val="24"/>
          <w:szCs w:val="24"/>
        </w:rPr>
        <w:t>the responsible entity of a registered scheme to treat members of the scheme who hold interests of the same class equally and members who hold interests of different classes fairly, when exercising its powers and carrying out its duties.</w:t>
      </w:r>
      <w:r>
        <w:rPr>
          <w:sz w:val="24"/>
          <w:szCs w:val="24"/>
        </w:rPr>
        <w:t xml:space="preserve">  Class Order [13/721] provides two exemptions from this requirement.</w:t>
      </w:r>
    </w:p>
    <w:p w14:paraId="1C9B0775" w14:textId="2982CACD" w:rsidR="00E422BF" w:rsidRPr="00140E1E" w:rsidRDefault="008F5A26" w:rsidP="00E422BF">
      <w:pPr>
        <w:ind w:left="709"/>
        <w:rPr>
          <w:sz w:val="24"/>
          <w:szCs w:val="24"/>
        </w:rPr>
      </w:pPr>
      <w:r>
        <w:rPr>
          <w:sz w:val="24"/>
          <w:szCs w:val="24"/>
        </w:rPr>
        <w:t>Paragraph 4 of [CO 13/172] permits a responsible e</w:t>
      </w:r>
      <w:r w:rsidR="001D4003">
        <w:rPr>
          <w:sz w:val="24"/>
          <w:szCs w:val="24"/>
        </w:rPr>
        <w:t>nt</w:t>
      </w:r>
      <w:r>
        <w:rPr>
          <w:sz w:val="24"/>
          <w:szCs w:val="24"/>
        </w:rPr>
        <w:t>ity of an AQUA ETF to require that only an authorised participant can make a withdrawal from the fund.</w:t>
      </w:r>
      <w:r w:rsidR="00E422BF" w:rsidRPr="00140E1E">
        <w:rPr>
          <w:sz w:val="24"/>
          <w:szCs w:val="24"/>
        </w:rPr>
        <w:t xml:space="preserve"> </w:t>
      </w:r>
      <w:r w:rsidR="00D269EB">
        <w:rPr>
          <w:sz w:val="24"/>
          <w:szCs w:val="24"/>
        </w:rPr>
        <w:t xml:space="preserve"> The relief applies in specified circumstances set out in [CO 13/721]</w:t>
      </w:r>
      <w:r w:rsidR="00AE5BC0">
        <w:rPr>
          <w:sz w:val="24"/>
          <w:szCs w:val="24"/>
        </w:rPr>
        <w:t xml:space="preserve">. </w:t>
      </w:r>
      <w:r w:rsidR="00E422BF" w:rsidRPr="00140E1E">
        <w:rPr>
          <w:sz w:val="24"/>
          <w:szCs w:val="24"/>
        </w:rPr>
        <w:t xml:space="preserve">The relief </w:t>
      </w:r>
      <w:r w:rsidR="00026422">
        <w:rPr>
          <w:sz w:val="24"/>
          <w:szCs w:val="24"/>
        </w:rPr>
        <w:t>reflects the fact</w:t>
      </w:r>
      <w:r w:rsidR="00026422" w:rsidRPr="00140E1E">
        <w:rPr>
          <w:sz w:val="24"/>
          <w:szCs w:val="24"/>
        </w:rPr>
        <w:t xml:space="preserve"> </w:t>
      </w:r>
      <w:r w:rsidR="00E422BF" w:rsidRPr="00140E1E">
        <w:rPr>
          <w:sz w:val="24"/>
          <w:szCs w:val="24"/>
        </w:rPr>
        <w:t xml:space="preserve">that retail investors generally </w:t>
      </w:r>
      <w:r w:rsidR="00D269EB">
        <w:rPr>
          <w:sz w:val="24"/>
          <w:szCs w:val="24"/>
        </w:rPr>
        <w:t>engage in ETF trading</w:t>
      </w:r>
      <w:r w:rsidR="00D269EB" w:rsidRPr="00140E1E">
        <w:rPr>
          <w:sz w:val="24"/>
          <w:szCs w:val="24"/>
        </w:rPr>
        <w:t xml:space="preserve"> </w:t>
      </w:r>
      <w:r w:rsidR="00E422BF" w:rsidRPr="00140E1E">
        <w:rPr>
          <w:sz w:val="24"/>
          <w:szCs w:val="24"/>
        </w:rPr>
        <w:t>on the relevant secondary market and are usually prohibited from dealing directly with a responsible entity.</w:t>
      </w:r>
      <w:r w:rsidR="00A131A8" w:rsidRPr="00140E1E">
        <w:rPr>
          <w:sz w:val="24"/>
          <w:szCs w:val="24"/>
        </w:rPr>
        <w:t xml:space="preserve"> The relief also seeks to promote market liquidity in ETFs and to facilitate the pricing of interests in ETFs on the secondary market.</w:t>
      </w:r>
    </w:p>
    <w:p w14:paraId="0279D871" w14:textId="4D64298C" w:rsidR="00E422BF" w:rsidRPr="00140E1E" w:rsidRDefault="00E422BF" w:rsidP="00E422BF">
      <w:pPr>
        <w:ind w:left="709"/>
        <w:rPr>
          <w:sz w:val="24"/>
          <w:szCs w:val="24"/>
        </w:rPr>
      </w:pPr>
      <w:r w:rsidRPr="00140E1E">
        <w:rPr>
          <w:sz w:val="24"/>
          <w:szCs w:val="24"/>
        </w:rPr>
        <w:t>The Amending Instrument extend</w:t>
      </w:r>
      <w:r w:rsidR="00D269EB">
        <w:rPr>
          <w:sz w:val="24"/>
          <w:szCs w:val="24"/>
        </w:rPr>
        <w:t>s</w:t>
      </w:r>
      <w:r w:rsidRPr="00140E1E">
        <w:rPr>
          <w:sz w:val="24"/>
          <w:szCs w:val="24"/>
        </w:rPr>
        <w:t xml:space="preserve"> the relief to interests in an ETF with a comparable trading status under the operating rules of Chi-X.</w:t>
      </w:r>
    </w:p>
    <w:p w14:paraId="17711EBA" w14:textId="77777777" w:rsidR="00E422BF" w:rsidRPr="00140E1E" w:rsidRDefault="00E422BF" w:rsidP="00E422BF">
      <w:pPr>
        <w:numPr>
          <w:ilvl w:val="0"/>
          <w:numId w:val="18"/>
        </w:numPr>
        <w:rPr>
          <w:sz w:val="24"/>
          <w:szCs w:val="24"/>
          <w:u w:val="single"/>
        </w:rPr>
      </w:pPr>
      <w:r w:rsidRPr="00140E1E">
        <w:rPr>
          <w:sz w:val="24"/>
          <w:szCs w:val="24"/>
          <w:u w:val="single"/>
        </w:rPr>
        <w:t>Equal treatment relief for the provision of information to authorised participants</w:t>
      </w:r>
    </w:p>
    <w:p w14:paraId="69B47779" w14:textId="5CA6BE83" w:rsidR="00E422BF" w:rsidRPr="00140E1E" w:rsidRDefault="00D269EB" w:rsidP="00E422BF">
      <w:pPr>
        <w:ind w:left="644"/>
        <w:rPr>
          <w:sz w:val="24"/>
          <w:szCs w:val="24"/>
        </w:rPr>
      </w:pPr>
      <w:r>
        <w:rPr>
          <w:sz w:val="24"/>
          <w:szCs w:val="24"/>
        </w:rPr>
        <w:t xml:space="preserve">The second exemption from the general requirement in paragraph 601FC(1)(d) of the Act is in paragraph 6 of </w:t>
      </w:r>
      <w:r w:rsidR="00E422BF" w:rsidRPr="00140E1E">
        <w:rPr>
          <w:sz w:val="24"/>
          <w:szCs w:val="24"/>
        </w:rPr>
        <w:t>[CO 13/721</w:t>
      </w:r>
      <w:r w:rsidR="00E55B71" w:rsidRPr="00140E1E">
        <w:rPr>
          <w:sz w:val="24"/>
          <w:szCs w:val="24"/>
        </w:rPr>
        <w:t>]</w:t>
      </w:r>
      <w:r>
        <w:rPr>
          <w:sz w:val="24"/>
          <w:szCs w:val="24"/>
        </w:rPr>
        <w:t xml:space="preserve">.  This </w:t>
      </w:r>
      <w:r w:rsidR="00E422BF" w:rsidRPr="00140E1E">
        <w:rPr>
          <w:sz w:val="24"/>
          <w:szCs w:val="24"/>
        </w:rPr>
        <w:t>allows the responsible entity</w:t>
      </w:r>
      <w:r>
        <w:rPr>
          <w:sz w:val="24"/>
          <w:szCs w:val="24"/>
        </w:rPr>
        <w:t xml:space="preserve"> of an AQUA ETF</w:t>
      </w:r>
      <w:r w:rsidR="00E422BF" w:rsidRPr="00140E1E">
        <w:rPr>
          <w:sz w:val="24"/>
          <w:szCs w:val="24"/>
        </w:rPr>
        <w:t xml:space="preserve"> to provide index or portfolio information to authorised participants before other </w:t>
      </w:r>
      <w:r w:rsidR="00C23106">
        <w:rPr>
          <w:sz w:val="24"/>
          <w:szCs w:val="24"/>
        </w:rPr>
        <w:t xml:space="preserve">members. </w:t>
      </w:r>
      <w:r>
        <w:rPr>
          <w:sz w:val="24"/>
          <w:szCs w:val="24"/>
        </w:rPr>
        <w:t>The relief applies in circumstances specified in [CO 13/721]</w:t>
      </w:r>
      <w:r w:rsidR="00E422BF" w:rsidRPr="00140E1E">
        <w:rPr>
          <w:sz w:val="24"/>
          <w:szCs w:val="24"/>
        </w:rPr>
        <w:t>.</w:t>
      </w:r>
    </w:p>
    <w:p w14:paraId="4B584CC0" w14:textId="7A83F983" w:rsidR="00E422BF" w:rsidRPr="00140E1E" w:rsidRDefault="00E422BF" w:rsidP="00E422BF">
      <w:pPr>
        <w:ind w:left="644"/>
        <w:rPr>
          <w:sz w:val="24"/>
          <w:szCs w:val="24"/>
        </w:rPr>
      </w:pPr>
      <w:r w:rsidRPr="00140E1E">
        <w:rPr>
          <w:sz w:val="24"/>
          <w:szCs w:val="24"/>
        </w:rPr>
        <w:t xml:space="preserve">The relief </w:t>
      </w:r>
      <w:r w:rsidR="00026422">
        <w:rPr>
          <w:sz w:val="24"/>
          <w:szCs w:val="24"/>
        </w:rPr>
        <w:t>addres</w:t>
      </w:r>
      <w:r w:rsidR="00C23106">
        <w:rPr>
          <w:sz w:val="24"/>
          <w:szCs w:val="24"/>
        </w:rPr>
        <w:t>s</w:t>
      </w:r>
      <w:r w:rsidR="00026422">
        <w:rPr>
          <w:sz w:val="24"/>
          <w:szCs w:val="24"/>
        </w:rPr>
        <w:t>es</w:t>
      </w:r>
      <w:r w:rsidR="00026422" w:rsidRPr="00140E1E">
        <w:rPr>
          <w:sz w:val="24"/>
          <w:szCs w:val="24"/>
        </w:rPr>
        <w:t xml:space="preserve"> </w:t>
      </w:r>
      <w:r w:rsidRPr="00140E1E">
        <w:rPr>
          <w:sz w:val="24"/>
          <w:szCs w:val="24"/>
        </w:rPr>
        <w:t>the risk of front running occurring as a result of the responsible entity being required to disclose information that would enable particular trading to be predicted or enable real time calculation by the public of an index that may be sold under subscription.</w:t>
      </w:r>
    </w:p>
    <w:p w14:paraId="15853BE4" w14:textId="5F55C169" w:rsidR="00E422BF" w:rsidRPr="00140E1E" w:rsidRDefault="00E422BF" w:rsidP="00E422BF">
      <w:pPr>
        <w:ind w:left="644"/>
        <w:rPr>
          <w:sz w:val="24"/>
          <w:szCs w:val="24"/>
        </w:rPr>
      </w:pPr>
      <w:r w:rsidRPr="00140E1E">
        <w:rPr>
          <w:sz w:val="24"/>
          <w:szCs w:val="24"/>
        </w:rPr>
        <w:t xml:space="preserve">The Amending Instrument </w:t>
      </w:r>
      <w:r w:rsidR="00D269EB">
        <w:rPr>
          <w:sz w:val="24"/>
          <w:szCs w:val="24"/>
        </w:rPr>
        <w:t>extends this</w:t>
      </w:r>
      <w:r w:rsidRPr="00140E1E">
        <w:rPr>
          <w:sz w:val="24"/>
          <w:szCs w:val="24"/>
        </w:rPr>
        <w:t xml:space="preserve"> relief to interests in an ETF with a comparable trading status under the operating rules of Chi-X.</w:t>
      </w:r>
    </w:p>
    <w:p w14:paraId="33576103" w14:textId="77777777" w:rsidR="00E422BF" w:rsidRPr="00140E1E" w:rsidRDefault="00E422BF" w:rsidP="00E422BF">
      <w:pPr>
        <w:ind w:left="284"/>
        <w:rPr>
          <w:sz w:val="24"/>
          <w:szCs w:val="24"/>
        </w:rPr>
      </w:pPr>
      <w:r w:rsidRPr="00140E1E">
        <w:rPr>
          <w:sz w:val="24"/>
          <w:szCs w:val="24"/>
          <w:u w:val="single"/>
        </w:rPr>
        <w:t>(c) Ongoing disclosure relief</w:t>
      </w:r>
    </w:p>
    <w:p w14:paraId="3A3178FF" w14:textId="19AADA77" w:rsidR="00E422BF" w:rsidRPr="00140E1E" w:rsidRDefault="00E422BF" w:rsidP="00026422">
      <w:pPr>
        <w:ind w:left="709"/>
        <w:rPr>
          <w:sz w:val="24"/>
          <w:szCs w:val="24"/>
        </w:rPr>
      </w:pPr>
      <w:r w:rsidRPr="00140E1E">
        <w:rPr>
          <w:sz w:val="24"/>
          <w:szCs w:val="24"/>
        </w:rPr>
        <w:t>Section 101</w:t>
      </w:r>
      <w:r w:rsidR="00CA6259" w:rsidRPr="00140E1E">
        <w:rPr>
          <w:sz w:val="24"/>
          <w:szCs w:val="24"/>
        </w:rPr>
        <w:t>7B of the Act requires an issuer</w:t>
      </w:r>
      <w:r w:rsidRPr="00140E1E">
        <w:rPr>
          <w:sz w:val="24"/>
          <w:szCs w:val="24"/>
        </w:rPr>
        <w:t xml:space="preserve"> of a financial product to notify </w:t>
      </w:r>
      <w:r w:rsidR="00026422">
        <w:rPr>
          <w:sz w:val="24"/>
          <w:szCs w:val="24"/>
        </w:rPr>
        <w:t>retail clients who hold</w:t>
      </w:r>
      <w:r w:rsidRPr="00140E1E">
        <w:rPr>
          <w:sz w:val="24"/>
          <w:szCs w:val="24"/>
        </w:rPr>
        <w:t xml:space="preserve"> the product, of material changes and significant events. </w:t>
      </w:r>
      <w:r w:rsidR="00026422">
        <w:rPr>
          <w:sz w:val="24"/>
          <w:szCs w:val="24"/>
        </w:rPr>
        <w:t xml:space="preserve">This obligation does not apply </w:t>
      </w:r>
      <w:r w:rsidRPr="00140E1E">
        <w:rPr>
          <w:sz w:val="24"/>
          <w:szCs w:val="24"/>
        </w:rPr>
        <w:t>if the financial product is a managed investment product that is an enhanced disclosure (ED) security under section 111AFA of the Act</w:t>
      </w:r>
      <w:r w:rsidR="00026422">
        <w:rPr>
          <w:sz w:val="24"/>
          <w:szCs w:val="24"/>
        </w:rPr>
        <w:t xml:space="preserve"> (see s</w:t>
      </w:r>
      <w:r w:rsidR="00747239">
        <w:rPr>
          <w:sz w:val="24"/>
          <w:szCs w:val="24"/>
        </w:rPr>
        <w:t xml:space="preserve">ection </w:t>
      </w:r>
      <w:r w:rsidR="00026422">
        <w:rPr>
          <w:sz w:val="24"/>
          <w:szCs w:val="24"/>
        </w:rPr>
        <w:t>1017B(2))</w:t>
      </w:r>
    </w:p>
    <w:p w14:paraId="2BC38D0A" w14:textId="0E24803B" w:rsidR="00026422" w:rsidRDefault="00E422BF" w:rsidP="00E422BF">
      <w:pPr>
        <w:ind w:left="709"/>
        <w:rPr>
          <w:sz w:val="24"/>
          <w:szCs w:val="24"/>
        </w:rPr>
      </w:pPr>
      <w:r w:rsidRPr="00140E1E">
        <w:rPr>
          <w:sz w:val="24"/>
          <w:szCs w:val="24"/>
        </w:rPr>
        <w:t xml:space="preserve">Due to the uncertainty regarding classification of certain AQUA ETF products as ED securities under section 111AFA, ASIC provided relief from the </w:t>
      </w:r>
      <w:r w:rsidR="00026422">
        <w:rPr>
          <w:sz w:val="24"/>
          <w:szCs w:val="24"/>
        </w:rPr>
        <w:t>notification obligations under s</w:t>
      </w:r>
      <w:r w:rsidR="00747239">
        <w:rPr>
          <w:sz w:val="24"/>
          <w:szCs w:val="24"/>
        </w:rPr>
        <w:t xml:space="preserve">ection </w:t>
      </w:r>
      <w:r w:rsidR="00026422">
        <w:rPr>
          <w:sz w:val="24"/>
          <w:szCs w:val="24"/>
        </w:rPr>
        <w:t>1017B in the context of AQUA ETFs.</w:t>
      </w:r>
    </w:p>
    <w:p w14:paraId="16FB9E5D" w14:textId="65478BA9" w:rsidR="00E422BF" w:rsidRPr="00140E1E" w:rsidRDefault="00E422BF" w:rsidP="00E422BF">
      <w:pPr>
        <w:ind w:left="709"/>
        <w:rPr>
          <w:sz w:val="24"/>
          <w:szCs w:val="24"/>
        </w:rPr>
      </w:pPr>
      <w:r w:rsidRPr="00140E1E">
        <w:rPr>
          <w:sz w:val="24"/>
          <w:szCs w:val="24"/>
        </w:rPr>
        <w:t>Th</w:t>
      </w:r>
      <w:r w:rsidR="00026422">
        <w:rPr>
          <w:sz w:val="24"/>
          <w:szCs w:val="24"/>
        </w:rPr>
        <w:t>is</w:t>
      </w:r>
      <w:r w:rsidRPr="00140E1E">
        <w:rPr>
          <w:sz w:val="24"/>
          <w:szCs w:val="24"/>
        </w:rPr>
        <w:t xml:space="preserve"> relief </w:t>
      </w:r>
      <w:r w:rsidR="00026422">
        <w:rPr>
          <w:sz w:val="24"/>
          <w:szCs w:val="24"/>
        </w:rPr>
        <w:t>is appropriate as the relevant</w:t>
      </w:r>
      <w:r w:rsidRPr="00140E1E">
        <w:rPr>
          <w:sz w:val="24"/>
          <w:szCs w:val="24"/>
        </w:rPr>
        <w:t xml:space="preserve"> issuers </w:t>
      </w:r>
      <w:r w:rsidR="00026422">
        <w:rPr>
          <w:sz w:val="24"/>
          <w:szCs w:val="24"/>
        </w:rPr>
        <w:t>are</w:t>
      </w:r>
      <w:r w:rsidR="00026422" w:rsidRPr="00140E1E">
        <w:rPr>
          <w:sz w:val="24"/>
          <w:szCs w:val="24"/>
        </w:rPr>
        <w:t xml:space="preserve"> </w:t>
      </w:r>
      <w:r w:rsidRPr="00140E1E">
        <w:rPr>
          <w:sz w:val="24"/>
          <w:szCs w:val="24"/>
        </w:rPr>
        <w:t>subject to continuous disclosure obligations under the operating rules of the ASX and section 675 of the Act.</w:t>
      </w:r>
      <w:r w:rsidR="002F53D0" w:rsidRPr="00140E1E">
        <w:rPr>
          <w:sz w:val="24"/>
          <w:szCs w:val="24"/>
        </w:rPr>
        <w:t xml:space="preserve"> </w:t>
      </w:r>
    </w:p>
    <w:p w14:paraId="0132D0D2" w14:textId="0353110F" w:rsidR="00E55B71" w:rsidRPr="00140E1E" w:rsidRDefault="00E422BF" w:rsidP="00E422BF">
      <w:pPr>
        <w:ind w:left="709"/>
        <w:rPr>
          <w:sz w:val="24"/>
          <w:szCs w:val="24"/>
        </w:rPr>
      </w:pPr>
      <w:r w:rsidRPr="00140E1E">
        <w:rPr>
          <w:sz w:val="24"/>
          <w:szCs w:val="24"/>
        </w:rPr>
        <w:t>The Amending Instrument wi</w:t>
      </w:r>
      <w:r w:rsidR="00A131A8" w:rsidRPr="00140E1E">
        <w:rPr>
          <w:sz w:val="24"/>
          <w:szCs w:val="24"/>
        </w:rPr>
        <w:t xml:space="preserve">ll extend the relief to </w:t>
      </w:r>
      <w:r w:rsidRPr="00140E1E">
        <w:rPr>
          <w:sz w:val="24"/>
          <w:szCs w:val="24"/>
        </w:rPr>
        <w:t>ETF</w:t>
      </w:r>
      <w:r w:rsidR="00A131A8" w:rsidRPr="00140E1E">
        <w:rPr>
          <w:sz w:val="24"/>
          <w:szCs w:val="24"/>
        </w:rPr>
        <w:t>s</w:t>
      </w:r>
      <w:r w:rsidRPr="00140E1E">
        <w:rPr>
          <w:sz w:val="24"/>
          <w:szCs w:val="24"/>
        </w:rPr>
        <w:t xml:space="preserve"> that are </w:t>
      </w:r>
      <w:r w:rsidR="00E55B71" w:rsidRPr="00140E1E">
        <w:rPr>
          <w:sz w:val="24"/>
          <w:szCs w:val="24"/>
        </w:rPr>
        <w:t>able to be traded on the fina</w:t>
      </w:r>
      <w:r w:rsidR="002F53D0" w:rsidRPr="00140E1E">
        <w:rPr>
          <w:sz w:val="24"/>
          <w:szCs w:val="24"/>
        </w:rPr>
        <w:t xml:space="preserve">ncial market operated by Chi-X. </w:t>
      </w:r>
    </w:p>
    <w:p w14:paraId="536C97F9" w14:textId="63600632" w:rsidR="00493E64" w:rsidRPr="00140E1E" w:rsidRDefault="00891D97" w:rsidP="009500D6">
      <w:pPr>
        <w:ind w:left="709"/>
        <w:rPr>
          <w:sz w:val="24"/>
          <w:szCs w:val="24"/>
        </w:rPr>
      </w:pPr>
      <w:r w:rsidRPr="00140E1E">
        <w:rPr>
          <w:sz w:val="24"/>
          <w:szCs w:val="24"/>
        </w:rPr>
        <w:t xml:space="preserve">The Amending Instrument </w:t>
      </w:r>
      <w:r w:rsidR="0037539E" w:rsidRPr="00140E1E">
        <w:rPr>
          <w:sz w:val="24"/>
          <w:szCs w:val="24"/>
        </w:rPr>
        <w:t>wil</w:t>
      </w:r>
      <w:r w:rsidR="00493E64" w:rsidRPr="00140E1E">
        <w:rPr>
          <w:sz w:val="24"/>
          <w:szCs w:val="24"/>
        </w:rPr>
        <w:t>l also extend th</w:t>
      </w:r>
      <w:r w:rsidRPr="00140E1E">
        <w:rPr>
          <w:sz w:val="24"/>
          <w:szCs w:val="24"/>
        </w:rPr>
        <w:t>is aspect of the</w:t>
      </w:r>
      <w:r w:rsidR="00493E64" w:rsidRPr="00140E1E">
        <w:rPr>
          <w:sz w:val="24"/>
          <w:szCs w:val="24"/>
        </w:rPr>
        <w:t xml:space="preserve"> relief to </w:t>
      </w:r>
      <w:r w:rsidR="004064F5">
        <w:rPr>
          <w:sz w:val="24"/>
          <w:szCs w:val="24"/>
        </w:rPr>
        <w:t xml:space="preserve">quoted </w:t>
      </w:r>
      <w:r w:rsidR="00493E64" w:rsidRPr="00140E1E">
        <w:rPr>
          <w:sz w:val="24"/>
          <w:szCs w:val="24"/>
        </w:rPr>
        <w:t>ASX</w:t>
      </w:r>
      <w:r w:rsidR="00927FFE" w:rsidRPr="00140E1E">
        <w:rPr>
          <w:sz w:val="24"/>
          <w:szCs w:val="24"/>
        </w:rPr>
        <w:t xml:space="preserve"> </w:t>
      </w:r>
      <w:r w:rsidR="0037539E" w:rsidRPr="00140E1E">
        <w:rPr>
          <w:sz w:val="24"/>
          <w:szCs w:val="24"/>
        </w:rPr>
        <w:t>managed funds.</w:t>
      </w:r>
      <w:r w:rsidR="00E55B71" w:rsidRPr="00140E1E">
        <w:rPr>
          <w:sz w:val="24"/>
          <w:szCs w:val="24"/>
        </w:rPr>
        <w:t xml:space="preserve"> We consider </w:t>
      </w:r>
      <w:r w:rsidR="002F53D0" w:rsidRPr="00140E1E">
        <w:rPr>
          <w:sz w:val="24"/>
          <w:szCs w:val="24"/>
        </w:rPr>
        <w:t xml:space="preserve">that </w:t>
      </w:r>
      <w:r w:rsidR="00E55B71" w:rsidRPr="00140E1E">
        <w:rPr>
          <w:sz w:val="24"/>
          <w:szCs w:val="24"/>
        </w:rPr>
        <w:t>the rationale for granting relief from s</w:t>
      </w:r>
      <w:r w:rsidR="00747239">
        <w:rPr>
          <w:sz w:val="24"/>
          <w:szCs w:val="24"/>
        </w:rPr>
        <w:t xml:space="preserve">ection </w:t>
      </w:r>
      <w:r w:rsidR="00E55B71" w:rsidRPr="00140E1E">
        <w:rPr>
          <w:sz w:val="24"/>
          <w:szCs w:val="24"/>
        </w:rPr>
        <w:t>1017B of the Act</w:t>
      </w:r>
      <w:r w:rsidRPr="00140E1E">
        <w:rPr>
          <w:sz w:val="24"/>
          <w:szCs w:val="24"/>
        </w:rPr>
        <w:t xml:space="preserve"> </w:t>
      </w:r>
      <w:r w:rsidR="00E55B71" w:rsidRPr="00140E1E">
        <w:rPr>
          <w:sz w:val="24"/>
          <w:szCs w:val="24"/>
        </w:rPr>
        <w:t xml:space="preserve">to </w:t>
      </w:r>
      <w:r w:rsidR="002F53D0" w:rsidRPr="00140E1E">
        <w:rPr>
          <w:sz w:val="24"/>
          <w:szCs w:val="24"/>
        </w:rPr>
        <w:t xml:space="preserve">responsible entities of </w:t>
      </w:r>
      <w:r w:rsidR="00E55B71" w:rsidRPr="00140E1E">
        <w:rPr>
          <w:sz w:val="24"/>
          <w:szCs w:val="24"/>
        </w:rPr>
        <w:t>ETFs also applies to mana</w:t>
      </w:r>
      <w:r w:rsidR="00493E64" w:rsidRPr="00140E1E">
        <w:rPr>
          <w:sz w:val="24"/>
          <w:szCs w:val="24"/>
        </w:rPr>
        <w:t>ged fund</w:t>
      </w:r>
      <w:r w:rsidRPr="00140E1E">
        <w:rPr>
          <w:sz w:val="24"/>
          <w:szCs w:val="24"/>
        </w:rPr>
        <w:t>s</w:t>
      </w:r>
      <w:r w:rsidR="00493E64" w:rsidRPr="00140E1E">
        <w:rPr>
          <w:sz w:val="24"/>
          <w:szCs w:val="24"/>
        </w:rPr>
        <w:t xml:space="preserve"> quoted on the ASX</w:t>
      </w:r>
      <w:r w:rsidRPr="00140E1E">
        <w:rPr>
          <w:sz w:val="24"/>
          <w:szCs w:val="24"/>
        </w:rPr>
        <w:t xml:space="preserve"> market</w:t>
      </w:r>
      <w:r w:rsidR="00E55B71" w:rsidRPr="00140E1E">
        <w:rPr>
          <w:sz w:val="24"/>
          <w:szCs w:val="24"/>
        </w:rPr>
        <w:t xml:space="preserve">. </w:t>
      </w:r>
    </w:p>
    <w:p w14:paraId="5CFEB102" w14:textId="206FB5C9" w:rsidR="00E55B71" w:rsidRPr="00140E1E" w:rsidRDefault="00E55B71" w:rsidP="00891D97">
      <w:pPr>
        <w:ind w:left="709"/>
        <w:rPr>
          <w:sz w:val="24"/>
          <w:szCs w:val="24"/>
        </w:rPr>
      </w:pPr>
      <w:r w:rsidRPr="00140E1E">
        <w:rPr>
          <w:sz w:val="24"/>
          <w:szCs w:val="24"/>
        </w:rPr>
        <w:t>This relief</w:t>
      </w:r>
      <w:r w:rsidR="00927FFE" w:rsidRPr="00140E1E">
        <w:rPr>
          <w:sz w:val="24"/>
          <w:szCs w:val="24"/>
        </w:rPr>
        <w:t xml:space="preserve"> for </w:t>
      </w:r>
      <w:r w:rsidR="00891D97" w:rsidRPr="00140E1E">
        <w:rPr>
          <w:sz w:val="24"/>
          <w:szCs w:val="24"/>
        </w:rPr>
        <w:t>ETFs and managed funds</w:t>
      </w:r>
      <w:r w:rsidRPr="00140E1E">
        <w:rPr>
          <w:sz w:val="24"/>
          <w:szCs w:val="24"/>
        </w:rPr>
        <w:t xml:space="preserve"> is </w:t>
      </w:r>
      <w:r w:rsidR="00493E64" w:rsidRPr="00140E1E">
        <w:rPr>
          <w:sz w:val="24"/>
          <w:szCs w:val="24"/>
        </w:rPr>
        <w:t>granted on the condition that the responsible entity compl</w:t>
      </w:r>
      <w:r w:rsidR="00B245D1">
        <w:rPr>
          <w:sz w:val="24"/>
          <w:szCs w:val="24"/>
        </w:rPr>
        <w:t>ies</w:t>
      </w:r>
      <w:r w:rsidR="00493E64" w:rsidRPr="00140E1E">
        <w:rPr>
          <w:sz w:val="24"/>
          <w:szCs w:val="24"/>
        </w:rPr>
        <w:t xml:space="preserve"> with section 675 of the Act as if the scheme were an unlisted disclosing entity and that this is communicated in the </w:t>
      </w:r>
      <w:r w:rsidR="00747239">
        <w:rPr>
          <w:sz w:val="24"/>
          <w:szCs w:val="24"/>
        </w:rPr>
        <w:t>p</w:t>
      </w:r>
      <w:r w:rsidR="00493E64" w:rsidRPr="00140E1E">
        <w:rPr>
          <w:sz w:val="24"/>
          <w:szCs w:val="24"/>
        </w:rPr>
        <w:t xml:space="preserve">roduct </w:t>
      </w:r>
      <w:r w:rsidR="00747239">
        <w:rPr>
          <w:sz w:val="24"/>
          <w:szCs w:val="24"/>
        </w:rPr>
        <w:t>d</w:t>
      </w:r>
      <w:r w:rsidR="00493E64" w:rsidRPr="00140E1E">
        <w:rPr>
          <w:sz w:val="24"/>
          <w:szCs w:val="24"/>
        </w:rPr>
        <w:t xml:space="preserve">isclosure </w:t>
      </w:r>
      <w:r w:rsidR="00747239">
        <w:rPr>
          <w:sz w:val="24"/>
          <w:szCs w:val="24"/>
        </w:rPr>
        <w:t>s</w:t>
      </w:r>
      <w:r w:rsidR="00493E64" w:rsidRPr="00140E1E">
        <w:rPr>
          <w:sz w:val="24"/>
          <w:szCs w:val="24"/>
        </w:rPr>
        <w:t>tatements for interests in the scheme.</w:t>
      </w:r>
      <w:r w:rsidR="002F53D0" w:rsidRPr="00140E1E">
        <w:rPr>
          <w:sz w:val="24"/>
          <w:szCs w:val="24"/>
        </w:rPr>
        <w:t xml:space="preserve"> </w:t>
      </w:r>
      <w:r w:rsidR="00493E64" w:rsidRPr="00140E1E">
        <w:rPr>
          <w:sz w:val="24"/>
          <w:szCs w:val="24"/>
        </w:rPr>
        <w:t xml:space="preserve"> </w:t>
      </w:r>
    </w:p>
    <w:p w14:paraId="1AB20F6D" w14:textId="789D9836" w:rsidR="00E422BF" w:rsidRPr="00140E1E" w:rsidRDefault="00E422BF" w:rsidP="00E422BF">
      <w:pPr>
        <w:ind w:left="284"/>
        <w:rPr>
          <w:sz w:val="24"/>
          <w:szCs w:val="24"/>
          <w:u w:val="single"/>
        </w:rPr>
      </w:pPr>
      <w:r w:rsidRPr="00140E1E">
        <w:rPr>
          <w:sz w:val="24"/>
          <w:szCs w:val="24"/>
          <w:u w:val="single"/>
        </w:rPr>
        <w:t>(d) Relevant interest relief</w:t>
      </w:r>
    </w:p>
    <w:p w14:paraId="2E4BDD8A" w14:textId="118D1909" w:rsidR="00321A17" w:rsidRDefault="00E422BF" w:rsidP="00754D71">
      <w:pPr>
        <w:spacing w:before="200" w:after="0"/>
        <w:ind w:left="709"/>
        <w:rPr>
          <w:sz w:val="24"/>
          <w:szCs w:val="24"/>
        </w:rPr>
      </w:pPr>
      <w:r w:rsidRPr="00140E1E">
        <w:rPr>
          <w:sz w:val="24"/>
          <w:szCs w:val="24"/>
        </w:rPr>
        <w:t>Section 606 of the Act prohibits</w:t>
      </w:r>
      <w:r w:rsidR="00891D97" w:rsidRPr="00140E1E">
        <w:rPr>
          <w:sz w:val="24"/>
          <w:szCs w:val="24"/>
        </w:rPr>
        <w:t xml:space="preserve"> (amongst other things)</w:t>
      </w:r>
      <w:r w:rsidRPr="00140E1E">
        <w:rPr>
          <w:sz w:val="24"/>
          <w:szCs w:val="24"/>
        </w:rPr>
        <w:t xml:space="preserve"> the acquisition of a relevant interest in voting interests in </w:t>
      </w:r>
      <w:r w:rsidR="00C453D9">
        <w:rPr>
          <w:sz w:val="24"/>
          <w:szCs w:val="24"/>
        </w:rPr>
        <w:t>specified securities</w:t>
      </w:r>
      <w:r w:rsidR="00321A17">
        <w:rPr>
          <w:sz w:val="24"/>
          <w:szCs w:val="24"/>
        </w:rPr>
        <w:t xml:space="preserve"> in specified circumstances.  The circumstances are where the acquisition</w:t>
      </w:r>
      <w:r w:rsidRPr="00140E1E">
        <w:rPr>
          <w:sz w:val="24"/>
          <w:szCs w:val="24"/>
        </w:rPr>
        <w:t xml:space="preserve"> would result in an increase in voting power</w:t>
      </w:r>
      <w:r w:rsidR="00321A17">
        <w:rPr>
          <w:sz w:val="24"/>
          <w:szCs w:val="24"/>
        </w:rPr>
        <w:t>:</w:t>
      </w:r>
    </w:p>
    <w:p w14:paraId="75696497" w14:textId="37D8C2E3" w:rsidR="00321A17" w:rsidRDefault="00321A17" w:rsidP="00861B40">
      <w:pPr>
        <w:pStyle w:val="ListParagraph"/>
        <w:numPr>
          <w:ilvl w:val="2"/>
          <w:numId w:val="6"/>
        </w:numPr>
        <w:tabs>
          <w:tab w:val="clear" w:pos="3119"/>
        </w:tabs>
        <w:spacing w:before="200" w:after="0"/>
        <w:ind w:left="1134"/>
        <w:rPr>
          <w:sz w:val="24"/>
          <w:szCs w:val="24"/>
        </w:rPr>
      </w:pPr>
      <w:r>
        <w:rPr>
          <w:sz w:val="24"/>
          <w:szCs w:val="24"/>
        </w:rPr>
        <w:t>from 20% or below to more than 20%; or</w:t>
      </w:r>
    </w:p>
    <w:p w14:paraId="5B93389F" w14:textId="0FC52B45" w:rsidR="00321A17" w:rsidRPr="00861B40" w:rsidRDefault="00321A17" w:rsidP="00861B40">
      <w:pPr>
        <w:pStyle w:val="ListParagraph"/>
        <w:numPr>
          <w:ilvl w:val="2"/>
          <w:numId w:val="6"/>
        </w:numPr>
        <w:tabs>
          <w:tab w:val="clear" w:pos="3119"/>
        </w:tabs>
        <w:spacing w:before="200" w:after="0"/>
        <w:ind w:left="1134"/>
        <w:rPr>
          <w:sz w:val="24"/>
          <w:szCs w:val="24"/>
        </w:rPr>
      </w:pPr>
      <w:r>
        <w:rPr>
          <w:sz w:val="24"/>
          <w:szCs w:val="24"/>
        </w:rPr>
        <w:t>from a starting point that is above 20% and below 90%</w:t>
      </w:r>
    </w:p>
    <w:p w14:paraId="7359C88C" w14:textId="05500C6F" w:rsidR="00321A17" w:rsidRDefault="00321A17" w:rsidP="00754D71">
      <w:pPr>
        <w:spacing w:before="200"/>
        <w:ind w:left="709"/>
        <w:rPr>
          <w:sz w:val="24"/>
          <w:szCs w:val="24"/>
        </w:rPr>
      </w:pPr>
      <w:r>
        <w:rPr>
          <w:sz w:val="24"/>
          <w:szCs w:val="24"/>
        </w:rPr>
        <w:t xml:space="preserve">The prohibition does not apply if </w:t>
      </w:r>
      <w:r w:rsidR="00E422BF" w:rsidRPr="00140E1E">
        <w:rPr>
          <w:sz w:val="24"/>
          <w:szCs w:val="24"/>
        </w:rPr>
        <w:t>the interest was acquired under o</w:t>
      </w:r>
      <w:r w:rsidR="00C24509" w:rsidRPr="00140E1E">
        <w:rPr>
          <w:sz w:val="24"/>
          <w:szCs w:val="24"/>
        </w:rPr>
        <w:t>ne of the exceptions in s</w:t>
      </w:r>
      <w:r w:rsidR="00E422BF" w:rsidRPr="00140E1E">
        <w:rPr>
          <w:sz w:val="24"/>
          <w:szCs w:val="24"/>
        </w:rPr>
        <w:t>611 of the Act.</w:t>
      </w:r>
    </w:p>
    <w:p w14:paraId="5380387A" w14:textId="53BD2EFD" w:rsidR="00C24509" w:rsidRPr="00140E1E" w:rsidRDefault="001C59D3" w:rsidP="00754D71">
      <w:pPr>
        <w:ind w:left="709"/>
        <w:rPr>
          <w:sz w:val="24"/>
          <w:szCs w:val="24"/>
        </w:rPr>
      </w:pPr>
      <w:r w:rsidRPr="00140E1E">
        <w:rPr>
          <w:sz w:val="24"/>
          <w:szCs w:val="24"/>
        </w:rPr>
        <w:t xml:space="preserve">Paragraph 11 of </w:t>
      </w:r>
      <w:r w:rsidR="00747239">
        <w:rPr>
          <w:sz w:val="24"/>
          <w:szCs w:val="24"/>
        </w:rPr>
        <w:t>[</w:t>
      </w:r>
      <w:r w:rsidRPr="00140E1E">
        <w:rPr>
          <w:sz w:val="24"/>
          <w:szCs w:val="24"/>
        </w:rPr>
        <w:t>CO 13/721</w:t>
      </w:r>
      <w:r w:rsidR="00747239">
        <w:rPr>
          <w:sz w:val="24"/>
          <w:szCs w:val="24"/>
        </w:rPr>
        <w:t>]</w:t>
      </w:r>
      <w:r w:rsidRPr="00140E1E">
        <w:rPr>
          <w:sz w:val="24"/>
          <w:szCs w:val="24"/>
        </w:rPr>
        <w:t xml:space="preserve"> modifies the effect of Chapter 6 and 6C of the Act by applying it to all persons as if subsections 609(19A) – 609(19E) were inserted. </w:t>
      </w:r>
    </w:p>
    <w:p w14:paraId="3C068A9C" w14:textId="44E53580" w:rsidR="00E422BF" w:rsidRPr="00140E1E" w:rsidRDefault="00C24509" w:rsidP="00754D71">
      <w:pPr>
        <w:ind w:left="709"/>
        <w:rPr>
          <w:sz w:val="24"/>
          <w:szCs w:val="24"/>
        </w:rPr>
      </w:pPr>
      <w:r w:rsidRPr="00140E1E">
        <w:rPr>
          <w:sz w:val="24"/>
          <w:szCs w:val="24"/>
        </w:rPr>
        <w:t xml:space="preserve">The purpose of this relief is to </w:t>
      </w:r>
      <w:r w:rsidR="00C3037A">
        <w:rPr>
          <w:sz w:val="24"/>
          <w:szCs w:val="24"/>
        </w:rPr>
        <w:t xml:space="preserve">enable </w:t>
      </w:r>
      <w:r w:rsidR="00C3037A" w:rsidRPr="00140E1E">
        <w:rPr>
          <w:sz w:val="24"/>
          <w:szCs w:val="24"/>
        </w:rPr>
        <w:t xml:space="preserve">authorised participants who are members of the ETF </w:t>
      </w:r>
      <w:r w:rsidR="00C3037A">
        <w:rPr>
          <w:sz w:val="24"/>
          <w:szCs w:val="24"/>
        </w:rPr>
        <w:t xml:space="preserve">to </w:t>
      </w:r>
      <w:r w:rsidRPr="00140E1E">
        <w:rPr>
          <w:sz w:val="24"/>
          <w:szCs w:val="24"/>
        </w:rPr>
        <w:t xml:space="preserve">lodge a withdrawal request under </w:t>
      </w:r>
      <w:r w:rsidR="00C3037A">
        <w:rPr>
          <w:sz w:val="24"/>
          <w:szCs w:val="24"/>
        </w:rPr>
        <w:t>an</w:t>
      </w:r>
      <w:r w:rsidR="00C3037A" w:rsidRPr="00140E1E">
        <w:rPr>
          <w:sz w:val="24"/>
          <w:szCs w:val="24"/>
        </w:rPr>
        <w:t xml:space="preserve"> </w:t>
      </w:r>
      <w:r w:rsidRPr="00140E1E">
        <w:rPr>
          <w:sz w:val="24"/>
          <w:szCs w:val="24"/>
        </w:rPr>
        <w:t>acquisition and withdrawal facility offered by the scheme</w:t>
      </w:r>
      <w:r w:rsidR="00C3037A">
        <w:rPr>
          <w:sz w:val="24"/>
          <w:szCs w:val="24"/>
        </w:rPr>
        <w:t xml:space="preserve"> without contravening s</w:t>
      </w:r>
      <w:r w:rsidR="00747239">
        <w:rPr>
          <w:sz w:val="24"/>
          <w:szCs w:val="24"/>
        </w:rPr>
        <w:t xml:space="preserve">ection </w:t>
      </w:r>
      <w:r w:rsidR="00C3037A">
        <w:rPr>
          <w:sz w:val="24"/>
          <w:szCs w:val="24"/>
        </w:rPr>
        <w:t xml:space="preserve">606 of the Act.  </w:t>
      </w:r>
      <w:r w:rsidRPr="00140E1E">
        <w:rPr>
          <w:sz w:val="24"/>
          <w:szCs w:val="24"/>
        </w:rPr>
        <w:t xml:space="preserve"> The relief only applies when the ETF tracks a </w:t>
      </w:r>
      <w:r w:rsidR="00C3037A">
        <w:rPr>
          <w:sz w:val="24"/>
          <w:szCs w:val="24"/>
        </w:rPr>
        <w:t>published</w:t>
      </w:r>
      <w:r w:rsidRPr="00140E1E">
        <w:rPr>
          <w:sz w:val="24"/>
          <w:szCs w:val="24"/>
        </w:rPr>
        <w:t xml:space="preserve"> index </w:t>
      </w:r>
      <w:r w:rsidR="00C3037A">
        <w:rPr>
          <w:sz w:val="24"/>
          <w:szCs w:val="24"/>
        </w:rPr>
        <w:t xml:space="preserve">and </w:t>
      </w:r>
      <w:r w:rsidRPr="00140E1E">
        <w:rPr>
          <w:sz w:val="24"/>
          <w:szCs w:val="24"/>
        </w:rPr>
        <w:t xml:space="preserve">in which no security </w:t>
      </w:r>
      <w:r w:rsidR="00C3037A">
        <w:rPr>
          <w:sz w:val="24"/>
          <w:szCs w:val="24"/>
        </w:rPr>
        <w:t xml:space="preserve">is expected to </w:t>
      </w:r>
      <w:r w:rsidR="000C05EF" w:rsidRPr="00140E1E">
        <w:rPr>
          <w:sz w:val="24"/>
          <w:szCs w:val="24"/>
        </w:rPr>
        <w:t xml:space="preserve">represent more </w:t>
      </w:r>
      <w:r w:rsidRPr="00140E1E">
        <w:rPr>
          <w:sz w:val="24"/>
          <w:szCs w:val="24"/>
        </w:rPr>
        <w:t>than 10%</w:t>
      </w:r>
      <w:r w:rsidR="000C05EF" w:rsidRPr="00140E1E">
        <w:rPr>
          <w:sz w:val="24"/>
          <w:szCs w:val="24"/>
        </w:rPr>
        <w:t xml:space="preserve"> by value of scheme property</w:t>
      </w:r>
      <w:r w:rsidRPr="00140E1E">
        <w:rPr>
          <w:sz w:val="24"/>
          <w:szCs w:val="24"/>
        </w:rPr>
        <w:t>.</w:t>
      </w:r>
    </w:p>
    <w:p w14:paraId="430F3D95" w14:textId="50E558A9" w:rsidR="00E422BF" w:rsidRPr="00140E1E" w:rsidRDefault="00E422BF" w:rsidP="00754D71">
      <w:pPr>
        <w:ind w:left="709"/>
        <w:rPr>
          <w:sz w:val="24"/>
          <w:szCs w:val="24"/>
        </w:rPr>
      </w:pPr>
      <w:r w:rsidRPr="00140E1E">
        <w:rPr>
          <w:sz w:val="24"/>
          <w:szCs w:val="24"/>
        </w:rPr>
        <w:t>Wit</w:t>
      </w:r>
      <w:r w:rsidR="001C59D3" w:rsidRPr="00140E1E">
        <w:rPr>
          <w:sz w:val="24"/>
          <w:szCs w:val="24"/>
        </w:rPr>
        <w:t xml:space="preserve">hout the relief in </w:t>
      </w:r>
      <w:r w:rsidR="00747239">
        <w:rPr>
          <w:sz w:val="24"/>
          <w:szCs w:val="24"/>
        </w:rPr>
        <w:t>[</w:t>
      </w:r>
      <w:r w:rsidR="001C59D3" w:rsidRPr="00140E1E">
        <w:rPr>
          <w:sz w:val="24"/>
          <w:szCs w:val="24"/>
        </w:rPr>
        <w:t>CO 13/721</w:t>
      </w:r>
      <w:r w:rsidR="00747239">
        <w:rPr>
          <w:sz w:val="24"/>
          <w:szCs w:val="24"/>
        </w:rPr>
        <w:t>]</w:t>
      </w:r>
      <w:r w:rsidRPr="00140E1E">
        <w:rPr>
          <w:sz w:val="24"/>
          <w:szCs w:val="24"/>
        </w:rPr>
        <w:t xml:space="preserve">, the prohibition would extend to relevant interests in the underlying securities of an ETF acquired by reason of acquiring an interest in the ETF.  </w:t>
      </w:r>
      <w:r w:rsidR="000F1C7B">
        <w:rPr>
          <w:sz w:val="24"/>
          <w:szCs w:val="24"/>
        </w:rPr>
        <w:t>We consider that the relief is appropriate because</w:t>
      </w:r>
      <w:r w:rsidRPr="00140E1E">
        <w:rPr>
          <w:sz w:val="24"/>
          <w:szCs w:val="24"/>
        </w:rPr>
        <w:t xml:space="preserve"> the rights attached to interests in an ETF in respect of the underlying securities of the ETF are sufficiently remote or tenuous that they are unlikely to be used as a means of gaining control of the issuer of those securities. </w:t>
      </w:r>
    </w:p>
    <w:p w14:paraId="174E74CC" w14:textId="3FF7B9C2" w:rsidR="00E422BF" w:rsidRPr="00140E1E" w:rsidRDefault="00E422BF" w:rsidP="00754D71">
      <w:pPr>
        <w:ind w:left="709"/>
        <w:rPr>
          <w:sz w:val="24"/>
          <w:szCs w:val="24"/>
        </w:rPr>
      </w:pPr>
      <w:r w:rsidRPr="00140E1E">
        <w:rPr>
          <w:sz w:val="24"/>
          <w:szCs w:val="24"/>
        </w:rPr>
        <w:t xml:space="preserve">The Amending Instrument </w:t>
      </w:r>
      <w:r w:rsidR="000F1C7B">
        <w:rPr>
          <w:sz w:val="24"/>
          <w:szCs w:val="24"/>
        </w:rPr>
        <w:t>extends</w:t>
      </w:r>
      <w:r w:rsidRPr="00140E1E">
        <w:rPr>
          <w:sz w:val="24"/>
          <w:szCs w:val="24"/>
        </w:rPr>
        <w:t xml:space="preserve"> th</w:t>
      </w:r>
      <w:r w:rsidR="000F1C7B">
        <w:rPr>
          <w:sz w:val="24"/>
          <w:szCs w:val="24"/>
        </w:rPr>
        <w:t>is</w:t>
      </w:r>
      <w:r w:rsidRPr="00140E1E">
        <w:rPr>
          <w:sz w:val="24"/>
          <w:szCs w:val="24"/>
        </w:rPr>
        <w:t xml:space="preserve"> relief </w:t>
      </w:r>
      <w:r w:rsidR="00747239">
        <w:rPr>
          <w:sz w:val="24"/>
          <w:szCs w:val="24"/>
        </w:rPr>
        <w:t xml:space="preserve">in relation </w:t>
      </w:r>
      <w:r w:rsidRPr="00140E1E">
        <w:rPr>
          <w:sz w:val="24"/>
          <w:szCs w:val="24"/>
        </w:rPr>
        <w:t>to interests in a scheme that are ETF securities with a comparable trading status under the operating rules of Chi-X.</w:t>
      </w:r>
    </w:p>
    <w:p w14:paraId="37E37A72" w14:textId="3D98D047" w:rsidR="00E422BF" w:rsidRPr="00140E1E" w:rsidRDefault="00E422BF" w:rsidP="00E422BF">
      <w:pPr>
        <w:ind w:left="284"/>
        <w:rPr>
          <w:sz w:val="24"/>
          <w:szCs w:val="24"/>
        </w:rPr>
      </w:pPr>
      <w:r w:rsidRPr="00140E1E">
        <w:rPr>
          <w:sz w:val="24"/>
          <w:szCs w:val="24"/>
          <w:u w:val="single"/>
        </w:rPr>
        <w:t>(e) Substantial holding relief and beneficial trading</w:t>
      </w:r>
    </w:p>
    <w:p w14:paraId="2CDD3411" w14:textId="09872DC7" w:rsidR="00E422BF" w:rsidRPr="003D6C9C" w:rsidRDefault="00E422BF" w:rsidP="003D6C9C">
      <w:pPr>
        <w:pStyle w:val="ListParagraph"/>
        <w:spacing w:after="0"/>
        <w:ind w:left="644"/>
        <w:rPr>
          <w:sz w:val="24"/>
          <w:szCs w:val="24"/>
        </w:rPr>
      </w:pPr>
      <w:r w:rsidRPr="00140E1E">
        <w:rPr>
          <w:sz w:val="24"/>
          <w:szCs w:val="24"/>
        </w:rPr>
        <w:t xml:space="preserve">Section 671B of the Act requires a person to provide information to </w:t>
      </w:r>
      <w:r w:rsidR="006068FF">
        <w:rPr>
          <w:sz w:val="24"/>
          <w:szCs w:val="24"/>
        </w:rPr>
        <w:t xml:space="preserve">a listed company, or </w:t>
      </w:r>
      <w:r w:rsidRPr="00140E1E">
        <w:rPr>
          <w:sz w:val="24"/>
          <w:szCs w:val="24"/>
        </w:rPr>
        <w:t>the responsible entity of a listed managed investment scheme</w:t>
      </w:r>
      <w:r w:rsidR="006068FF">
        <w:rPr>
          <w:sz w:val="24"/>
          <w:szCs w:val="24"/>
        </w:rPr>
        <w:t>,</w:t>
      </w:r>
      <w:r w:rsidRPr="00140E1E">
        <w:rPr>
          <w:sz w:val="24"/>
          <w:szCs w:val="24"/>
        </w:rPr>
        <w:t xml:space="preserve"> in certain circumstances</w:t>
      </w:r>
      <w:r w:rsidR="006068FF">
        <w:rPr>
          <w:sz w:val="24"/>
          <w:szCs w:val="24"/>
        </w:rPr>
        <w:t>,</w:t>
      </w:r>
      <w:r w:rsidRPr="00140E1E">
        <w:rPr>
          <w:sz w:val="24"/>
          <w:szCs w:val="24"/>
        </w:rPr>
        <w:t xml:space="preserve"> including if the person</w:t>
      </w:r>
      <w:r w:rsidR="003D6C9C">
        <w:rPr>
          <w:sz w:val="24"/>
          <w:szCs w:val="24"/>
        </w:rPr>
        <w:t xml:space="preserve"> </w:t>
      </w:r>
      <w:r w:rsidRPr="003D6C9C">
        <w:rPr>
          <w:sz w:val="24"/>
          <w:szCs w:val="24"/>
        </w:rPr>
        <w:t>begins to have or ceases to have a subst</w:t>
      </w:r>
      <w:r w:rsidR="00A131A8" w:rsidRPr="003D6C9C">
        <w:rPr>
          <w:sz w:val="24"/>
          <w:szCs w:val="24"/>
        </w:rPr>
        <w:t xml:space="preserve">antial holding in the </w:t>
      </w:r>
      <w:r w:rsidR="003D6C9C" w:rsidRPr="003D6C9C">
        <w:rPr>
          <w:sz w:val="24"/>
          <w:szCs w:val="24"/>
        </w:rPr>
        <w:t xml:space="preserve">company or </w:t>
      </w:r>
      <w:r w:rsidR="00A131A8" w:rsidRPr="003D6C9C">
        <w:rPr>
          <w:sz w:val="24"/>
          <w:szCs w:val="24"/>
        </w:rPr>
        <w:t>scheme.</w:t>
      </w:r>
      <w:r w:rsidR="003D6C9C">
        <w:rPr>
          <w:sz w:val="24"/>
          <w:szCs w:val="24"/>
        </w:rPr>
        <w:t xml:space="preserve"> </w:t>
      </w:r>
      <w:r w:rsidRPr="003D6C9C">
        <w:rPr>
          <w:sz w:val="24"/>
          <w:szCs w:val="24"/>
        </w:rPr>
        <w:t>The information must also be provided if the person has a substantial holding in the scheme and there is a movement of at least 1% in their holding.</w:t>
      </w:r>
    </w:p>
    <w:p w14:paraId="3D23430C" w14:textId="351EDB16" w:rsidR="00E422BF" w:rsidRPr="00140E1E" w:rsidRDefault="00E422BF" w:rsidP="00E422BF">
      <w:pPr>
        <w:pStyle w:val="ListParagraph"/>
        <w:spacing w:after="0"/>
        <w:ind w:left="644"/>
        <w:rPr>
          <w:sz w:val="24"/>
          <w:szCs w:val="24"/>
        </w:rPr>
      </w:pPr>
    </w:p>
    <w:p w14:paraId="0CCFF928" w14:textId="36156E71" w:rsidR="00E422BF" w:rsidRPr="00140E1E" w:rsidRDefault="00E422BF" w:rsidP="00E422BF">
      <w:pPr>
        <w:pStyle w:val="ListParagraph"/>
        <w:ind w:left="644"/>
        <w:rPr>
          <w:sz w:val="24"/>
          <w:szCs w:val="24"/>
        </w:rPr>
      </w:pPr>
      <w:r w:rsidRPr="00140E1E">
        <w:rPr>
          <w:sz w:val="24"/>
          <w:szCs w:val="24"/>
        </w:rPr>
        <w:t>Class Order [CO 13/721] assists compliance with these obligations by removing the uncertainty that may result from any fluctuations in the composition of the index being tracked by the ETF and therefore fluctuations in a person’s interest in the underlying securities, that may occur during the day.</w:t>
      </w:r>
    </w:p>
    <w:p w14:paraId="2196262F" w14:textId="6F3ABF1D" w:rsidR="00E422BF" w:rsidRPr="00140E1E" w:rsidRDefault="00E422BF" w:rsidP="00E422BF">
      <w:pPr>
        <w:pStyle w:val="ListParagraph"/>
        <w:ind w:left="644"/>
        <w:rPr>
          <w:sz w:val="24"/>
          <w:szCs w:val="24"/>
        </w:rPr>
      </w:pPr>
    </w:p>
    <w:p w14:paraId="1843AAD3" w14:textId="21F3F1BA" w:rsidR="00E422BF" w:rsidRPr="00140E1E" w:rsidRDefault="00E422BF" w:rsidP="00E422BF">
      <w:pPr>
        <w:pStyle w:val="ListParagraph"/>
        <w:ind w:left="644"/>
        <w:rPr>
          <w:sz w:val="24"/>
          <w:szCs w:val="24"/>
        </w:rPr>
      </w:pPr>
      <w:r w:rsidRPr="00140E1E">
        <w:rPr>
          <w:sz w:val="24"/>
          <w:szCs w:val="24"/>
        </w:rPr>
        <w:t>The Amending Instrument extends th</w:t>
      </w:r>
      <w:r w:rsidR="00747239">
        <w:rPr>
          <w:sz w:val="24"/>
          <w:szCs w:val="24"/>
        </w:rPr>
        <w:t>is</w:t>
      </w:r>
      <w:r w:rsidRPr="00140E1E">
        <w:rPr>
          <w:sz w:val="24"/>
          <w:szCs w:val="24"/>
        </w:rPr>
        <w:t xml:space="preserve"> relief </w:t>
      </w:r>
      <w:r w:rsidR="00747239">
        <w:rPr>
          <w:sz w:val="24"/>
          <w:szCs w:val="24"/>
        </w:rPr>
        <w:t xml:space="preserve">in relation </w:t>
      </w:r>
      <w:r w:rsidRPr="00140E1E">
        <w:rPr>
          <w:sz w:val="24"/>
          <w:szCs w:val="24"/>
        </w:rPr>
        <w:t>to interests in ETFs that are traded on the financial market operated by Chi-X.</w:t>
      </w:r>
    </w:p>
    <w:p w14:paraId="76FD1AA5" w14:textId="77777777" w:rsidR="00E422BF" w:rsidRPr="00140E1E" w:rsidRDefault="00E422BF" w:rsidP="00E422BF">
      <w:pPr>
        <w:pStyle w:val="ListParagraph"/>
        <w:ind w:left="644"/>
        <w:rPr>
          <w:sz w:val="24"/>
          <w:szCs w:val="24"/>
        </w:rPr>
      </w:pPr>
    </w:p>
    <w:p w14:paraId="3DF2B459" w14:textId="13578CE4" w:rsidR="00E422BF" w:rsidRPr="00140E1E" w:rsidRDefault="00E422BF" w:rsidP="009500D6">
      <w:pPr>
        <w:pStyle w:val="ListParagraph"/>
        <w:ind w:left="284"/>
        <w:rPr>
          <w:b/>
          <w:sz w:val="24"/>
          <w:szCs w:val="24"/>
        </w:rPr>
      </w:pPr>
      <w:r w:rsidRPr="00140E1E">
        <w:rPr>
          <w:b/>
          <w:sz w:val="24"/>
          <w:szCs w:val="24"/>
        </w:rPr>
        <w:t>ASIC Class Order [CO 13/1200]</w:t>
      </w:r>
    </w:p>
    <w:p w14:paraId="739A9FA1" w14:textId="77777777" w:rsidR="00E422BF" w:rsidRPr="00140E1E" w:rsidRDefault="00E422BF" w:rsidP="009500D6">
      <w:pPr>
        <w:spacing w:after="0"/>
        <w:ind w:left="284"/>
        <w:rPr>
          <w:sz w:val="24"/>
          <w:szCs w:val="24"/>
        </w:rPr>
      </w:pPr>
      <w:r w:rsidRPr="00140E1E">
        <w:rPr>
          <w:sz w:val="24"/>
          <w:szCs w:val="24"/>
        </w:rPr>
        <w:t>Section 1017D of the Act requires issuers of financial products that have an investment component to give retail investors periodic statements when either the product was offered or the holder applied for the product in this jurisdiction. The obligation applies to a number of financial products including interests in registered managed investment schemes.</w:t>
      </w:r>
    </w:p>
    <w:p w14:paraId="0DEAE09F" w14:textId="77777777" w:rsidR="00E422BF" w:rsidRPr="00140E1E" w:rsidRDefault="00E422BF" w:rsidP="00E422BF">
      <w:pPr>
        <w:spacing w:after="0"/>
        <w:rPr>
          <w:sz w:val="24"/>
          <w:szCs w:val="24"/>
        </w:rPr>
      </w:pPr>
    </w:p>
    <w:p w14:paraId="06B7F46E" w14:textId="5EE4AC73" w:rsidR="00E422BF" w:rsidRPr="00140E1E" w:rsidRDefault="00E422BF" w:rsidP="009500D6">
      <w:pPr>
        <w:spacing w:after="0"/>
        <w:ind w:left="284"/>
        <w:rPr>
          <w:sz w:val="24"/>
          <w:szCs w:val="24"/>
        </w:rPr>
      </w:pPr>
      <w:r w:rsidRPr="00140E1E">
        <w:rPr>
          <w:sz w:val="24"/>
          <w:szCs w:val="24"/>
        </w:rPr>
        <w:t xml:space="preserve">Class Order [C0 13/1200] provides relief for </w:t>
      </w:r>
      <w:r w:rsidR="004064F5">
        <w:rPr>
          <w:sz w:val="24"/>
          <w:szCs w:val="24"/>
        </w:rPr>
        <w:t xml:space="preserve">issuers of </w:t>
      </w:r>
      <w:r w:rsidRPr="00140E1E">
        <w:rPr>
          <w:sz w:val="24"/>
          <w:szCs w:val="24"/>
        </w:rPr>
        <w:t>registered scheme</w:t>
      </w:r>
      <w:r w:rsidR="00E55B71" w:rsidRPr="00140E1E">
        <w:rPr>
          <w:sz w:val="24"/>
          <w:szCs w:val="24"/>
        </w:rPr>
        <w:t>s including</w:t>
      </w:r>
      <w:r w:rsidRPr="00140E1E">
        <w:rPr>
          <w:sz w:val="24"/>
          <w:szCs w:val="24"/>
        </w:rPr>
        <w:t xml:space="preserve"> </w:t>
      </w:r>
      <w:r w:rsidR="001D0EFA" w:rsidRPr="00140E1E">
        <w:rPr>
          <w:sz w:val="24"/>
          <w:szCs w:val="24"/>
        </w:rPr>
        <w:t>ETFs and managed funds that are quoted on the AQUA market.</w:t>
      </w:r>
    </w:p>
    <w:p w14:paraId="5A28CA12" w14:textId="77777777" w:rsidR="00E422BF" w:rsidRPr="00140E1E" w:rsidRDefault="00E422BF" w:rsidP="00E422BF">
      <w:pPr>
        <w:spacing w:after="0"/>
        <w:rPr>
          <w:sz w:val="24"/>
          <w:szCs w:val="24"/>
        </w:rPr>
      </w:pPr>
    </w:p>
    <w:p w14:paraId="69DCF186" w14:textId="54E05B45" w:rsidR="00E422BF" w:rsidRPr="00140E1E" w:rsidRDefault="00E422BF" w:rsidP="009500D6">
      <w:pPr>
        <w:spacing w:after="0"/>
        <w:ind w:left="284"/>
        <w:rPr>
          <w:sz w:val="24"/>
          <w:szCs w:val="24"/>
        </w:rPr>
      </w:pPr>
      <w:r w:rsidRPr="00140E1E">
        <w:rPr>
          <w:sz w:val="24"/>
          <w:szCs w:val="24"/>
        </w:rPr>
        <w:t xml:space="preserve">The relief recognises the practical difficulties that issuers of interests in these schemes face when preparing such statements.  These difficulties mainly arise </w:t>
      </w:r>
      <w:r w:rsidR="00452412">
        <w:rPr>
          <w:sz w:val="24"/>
          <w:szCs w:val="24"/>
        </w:rPr>
        <w:t>because issuers are unaware of</w:t>
      </w:r>
      <w:r w:rsidRPr="00140E1E">
        <w:rPr>
          <w:sz w:val="24"/>
          <w:szCs w:val="24"/>
        </w:rPr>
        <w:t xml:space="preserve"> the transaction price at which an investor bought or sold their interest.</w:t>
      </w:r>
    </w:p>
    <w:p w14:paraId="5C2A8B7A" w14:textId="77777777" w:rsidR="00E422BF" w:rsidRPr="00140E1E" w:rsidRDefault="00E422BF" w:rsidP="00E422BF">
      <w:pPr>
        <w:spacing w:after="0"/>
        <w:rPr>
          <w:sz w:val="24"/>
          <w:szCs w:val="24"/>
        </w:rPr>
      </w:pPr>
    </w:p>
    <w:p w14:paraId="6735B371" w14:textId="1746439D" w:rsidR="00E422BF" w:rsidRPr="00140E1E" w:rsidRDefault="00E55B71" w:rsidP="009500D6">
      <w:pPr>
        <w:spacing w:after="0"/>
        <w:ind w:left="284"/>
        <w:rPr>
          <w:sz w:val="24"/>
          <w:szCs w:val="24"/>
        </w:rPr>
      </w:pPr>
      <w:r w:rsidRPr="00140E1E">
        <w:rPr>
          <w:sz w:val="24"/>
          <w:szCs w:val="24"/>
        </w:rPr>
        <w:t>T</w:t>
      </w:r>
      <w:r w:rsidR="00E422BF" w:rsidRPr="00140E1E">
        <w:rPr>
          <w:sz w:val="24"/>
          <w:szCs w:val="24"/>
        </w:rPr>
        <w:t xml:space="preserve">he Amending Instrument extends the relief to </w:t>
      </w:r>
      <w:r w:rsidR="001245E5" w:rsidRPr="00140E1E">
        <w:rPr>
          <w:sz w:val="24"/>
          <w:szCs w:val="24"/>
        </w:rPr>
        <w:t xml:space="preserve">issuers of ETFs </w:t>
      </w:r>
      <w:r w:rsidR="009500D6" w:rsidRPr="00140E1E">
        <w:rPr>
          <w:sz w:val="24"/>
          <w:szCs w:val="24"/>
        </w:rPr>
        <w:t>that are able to be traded on the fin</w:t>
      </w:r>
      <w:r w:rsidR="001245E5" w:rsidRPr="00140E1E">
        <w:rPr>
          <w:sz w:val="24"/>
          <w:szCs w:val="24"/>
        </w:rPr>
        <w:t>ancial market operated by</w:t>
      </w:r>
      <w:r w:rsidR="00E422BF" w:rsidRPr="00140E1E">
        <w:rPr>
          <w:sz w:val="24"/>
          <w:szCs w:val="24"/>
        </w:rPr>
        <w:t xml:space="preserve"> Chi-X.</w:t>
      </w:r>
    </w:p>
    <w:p w14:paraId="3F4378AD" w14:textId="24CF736B" w:rsidR="007A5F95" w:rsidRPr="00140E1E" w:rsidRDefault="00E422BF" w:rsidP="00005AFD">
      <w:pPr>
        <w:spacing w:after="0"/>
        <w:rPr>
          <w:sz w:val="24"/>
          <w:szCs w:val="24"/>
        </w:rPr>
      </w:pPr>
      <w:r w:rsidRPr="00140E1E">
        <w:rPr>
          <w:sz w:val="24"/>
          <w:szCs w:val="24"/>
        </w:rPr>
        <w:t xml:space="preserve"> </w:t>
      </w:r>
    </w:p>
    <w:p w14:paraId="41442832" w14:textId="77777777" w:rsidR="005B0E3A" w:rsidRPr="00754D71" w:rsidRDefault="005B0E3A" w:rsidP="008D60F6">
      <w:pPr>
        <w:widowControl w:val="0"/>
        <w:numPr>
          <w:ilvl w:val="0"/>
          <w:numId w:val="7"/>
        </w:numPr>
        <w:tabs>
          <w:tab w:val="left" w:pos="1592"/>
        </w:tabs>
        <w:spacing w:before="145" w:after="0"/>
        <w:ind w:left="0" w:firstLine="0"/>
        <w:rPr>
          <w:rFonts w:ascii="Arial"/>
          <w:b/>
          <w:spacing w:val="-1"/>
          <w:sz w:val="24"/>
        </w:rPr>
      </w:pPr>
      <w:bookmarkStart w:id="2" w:name="3._Operation_of_the_class_order_"/>
      <w:bookmarkEnd w:id="2"/>
      <w:r w:rsidRPr="00754D71">
        <w:rPr>
          <w:rFonts w:ascii="Arial"/>
          <w:b/>
          <w:spacing w:val="-1"/>
          <w:sz w:val="24"/>
        </w:rPr>
        <w:t>Operation of the instrument</w:t>
      </w:r>
    </w:p>
    <w:p w14:paraId="6EC6E35F" w14:textId="77777777" w:rsidR="005B0E3A" w:rsidRPr="00140E1E" w:rsidRDefault="005B0E3A" w:rsidP="00754D71">
      <w:pPr>
        <w:spacing w:before="4" w:after="0" w:line="220" w:lineRule="exact"/>
        <w:rPr>
          <w:sz w:val="24"/>
          <w:szCs w:val="24"/>
        </w:rPr>
      </w:pPr>
    </w:p>
    <w:p w14:paraId="7F833DD2" w14:textId="7354DD18" w:rsidR="005963F8" w:rsidRPr="00140E1E" w:rsidRDefault="005963F8" w:rsidP="005B0E3A">
      <w:pPr>
        <w:pStyle w:val="BodyText"/>
        <w:spacing w:before="199"/>
        <w:rPr>
          <w:b/>
          <w:szCs w:val="24"/>
        </w:rPr>
      </w:pPr>
      <w:r w:rsidRPr="00140E1E">
        <w:rPr>
          <w:b/>
          <w:szCs w:val="24"/>
        </w:rPr>
        <w:t>ASIC Class Order [</w:t>
      </w:r>
      <w:r w:rsidR="005C769C">
        <w:rPr>
          <w:b/>
          <w:szCs w:val="24"/>
        </w:rPr>
        <w:t xml:space="preserve">CO </w:t>
      </w:r>
      <w:r w:rsidRPr="00140E1E">
        <w:rPr>
          <w:b/>
          <w:szCs w:val="24"/>
        </w:rPr>
        <w:t>10/288]</w:t>
      </w:r>
    </w:p>
    <w:p w14:paraId="62490096" w14:textId="3E927391" w:rsidR="005963F8" w:rsidRDefault="005963F8" w:rsidP="005B0E3A">
      <w:pPr>
        <w:pStyle w:val="BodyText"/>
        <w:spacing w:before="199"/>
        <w:rPr>
          <w:szCs w:val="24"/>
        </w:rPr>
      </w:pPr>
      <w:r w:rsidRPr="00140E1E">
        <w:rPr>
          <w:szCs w:val="24"/>
        </w:rPr>
        <w:t>The Amending Instrument amends subparagraph 4(b) and paragraph 5. The amen</w:t>
      </w:r>
      <w:r w:rsidR="00630906" w:rsidRPr="00140E1E">
        <w:rPr>
          <w:szCs w:val="24"/>
        </w:rPr>
        <w:t>dments have the effect of replacing ASX specific terminology with market neutral terminology and</w:t>
      </w:r>
      <w:r w:rsidR="003232C2" w:rsidRPr="00140E1E">
        <w:rPr>
          <w:szCs w:val="24"/>
        </w:rPr>
        <w:t xml:space="preserve"> extending</w:t>
      </w:r>
      <w:r w:rsidR="00630906" w:rsidRPr="00140E1E">
        <w:rPr>
          <w:szCs w:val="24"/>
        </w:rPr>
        <w:t xml:space="preserve"> the relief </w:t>
      </w:r>
      <w:r w:rsidR="00E8725B" w:rsidRPr="00140E1E">
        <w:rPr>
          <w:szCs w:val="24"/>
        </w:rPr>
        <w:t xml:space="preserve">from the covered short sale </w:t>
      </w:r>
      <w:r w:rsidR="003B1671">
        <w:rPr>
          <w:szCs w:val="24"/>
        </w:rPr>
        <w:t xml:space="preserve">transaction </w:t>
      </w:r>
      <w:r w:rsidR="00E8725B" w:rsidRPr="00140E1E">
        <w:rPr>
          <w:szCs w:val="24"/>
        </w:rPr>
        <w:t xml:space="preserve">reporting obligation under s1020AB(3) </w:t>
      </w:r>
      <w:r w:rsidR="00630906" w:rsidRPr="00140E1E">
        <w:rPr>
          <w:szCs w:val="24"/>
        </w:rPr>
        <w:t>to ETF market makers who ar</w:t>
      </w:r>
      <w:r w:rsidR="00A54749" w:rsidRPr="00140E1E">
        <w:rPr>
          <w:szCs w:val="24"/>
        </w:rPr>
        <w:t>e registered to make a market in</w:t>
      </w:r>
      <w:r w:rsidR="00630906" w:rsidRPr="00140E1E">
        <w:rPr>
          <w:szCs w:val="24"/>
        </w:rPr>
        <w:t xml:space="preserve"> ETFs on the Chi- X market.</w:t>
      </w:r>
    </w:p>
    <w:p w14:paraId="6C67B7C9" w14:textId="369C7B3E" w:rsidR="00B113BC" w:rsidRPr="00140E1E" w:rsidRDefault="00B113BC" w:rsidP="005B0E3A">
      <w:pPr>
        <w:pStyle w:val="BodyText"/>
        <w:spacing w:before="199"/>
        <w:rPr>
          <w:szCs w:val="24"/>
        </w:rPr>
      </w:pPr>
      <w:r w:rsidRPr="00FD4F58">
        <w:rPr>
          <w:szCs w:val="24"/>
        </w:rPr>
        <w:t>We note that the definition of ‘exchange traded fund’ in [CO 10/288] is slightly different from the definition of ‘exchange traded fund’ in [CO 13/655], [CO 13/721] and [CO 13/1200]. This variance is to ensure that the new</w:t>
      </w:r>
      <w:r w:rsidR="00D109AB" w:rsidRPr="00FD4F58">
        <w:rPr>
          <w:szCs w:val="24"/>
        </w:rPr>
        <w:t>,</w:t>
      </w:r>
      <w:r w:rsidRPr="00FD4F58">
        <w:rPr>
          <w:szCs w:val="24"/>
        </w:rPr>
        <w:t xml:space="preserve"> market neutral</w:t>
      </w:r>
      <w:r w:rsidR="00D109AB" w:rsidRPr="00FD4F58">
        <w:rPr>
          <w:szCs w:val="24"/>
        </w:rPr>
        <w:t>,</w:t>
      </w:r>
      <w:r w:rsidRPr="00FD4F58">
        <w:rPr>
          <w:szCs w:val="24"/>
        </w:rPr>
        <w:t xml:space="preserve"> definition of </w:t>
      </w:r>
      <w:r w:rsidR="003B1671" w:rsidRPr="00FD4F58">
        <w:rPr>
          <w:szCs w:val="24"/>
        </w:rPr>
        <w:t>‘exchange traded fund’</w:t>
      </w:r>
      <w:r w:rsidRPr="00FD4F58">
        <w:rPr>
          <w:szCs w:val="24"/>
        </w:rPr>
        <w:t xml:space="preserve"> in [CO 10/288] </w:t>
      </w:r>
      <w:r w:rsidRPr="00754D71">
        <w:rPr>
          <w:szCs w:val="24"/>
        </w:rPr>
        <w:t xml:space="preserve">aligns with the definition that was incorporated by reference in [CO 10/288] from the ASX Market Rules as at </w:t>
      </w:r>
      <w:r w:rsidR="003B1671" w:rsidRPr="00FD4F58">
        <w:rPr>
          <w:szCs w:val="24"/>
        </w:rPr>
        <w:t xml:space="preserve">21 </w:t>
      </w:r>
      <w:r w:rsidRPr="00754D71">
        <w:rPr>
          <w:szCs w:val="24"/>
        </w:rPr>
        <w:t>April 2010.</w:t>
      </w:r>
      <w:r>
        <w:rPr>
          <w:szCs w:val="24"/>
        </w:rPr>
        <w:t xml:space="preserve"> </w:t>
      </w:r>
    </w:p>
    <w:p w14:paraId="02DB9A84" w14:textId="2EE56E93" w:rsidR="00630906" w:rsidRPr="00140E1E" w:rsidRDefault="00D57CE3" w:rsidP="005B0E3A">
      <w:pPr>
        <w:pStyle w:val="BodyText"/>
        <w:spacing w:before="199"/>
        <w:rPr>
          <w:b/>
          <w:szCs w:val="24"/>
        </w:rPr>
      </w:pPr>
      <w:r w:rsidRPr="00140E1E">
        <w:rPr>
          <w:b/>
          <w:szCs w:val="24"/>
        </w:rPr>
        <w:t>ASIC Class Order [</w:t>
      </w:r>
      <w:r w:rsidR="005C769C">
        <w:rPr>
          <w:b/>
          <w:szCs w:val="24"/>
        </w:rPr>
        <w:t xml:space="preserve">CO </w:t>
      </w:r>
      <w:r w:rsidRPr="00140E1E">
        <w:rPr>
          <w:b/>
          <w:szCs w:val="24"/>
        </w:rPr>
        <w:t>13/655]</w:t>
      </w:r>
    </w:p>
    <w:p w14:paraId="5A14D716" w14:textId="2F93DF92" w:rsidR="00D57CE3" w:rsidRPr="00140E1E" w:rsidRDefault="00D57CE3" w:rsidP="005B0E3A">
      <w:pPr>
        <w:pStyle w:val="BodyText"/>
        <w:spacing w:before="199"/>
        <w:rPr>
          <w:szCs w:val="24"/>
        </w:rPr>
      </w:pPr>
      <w:r w:rsidRPr="00140E1E">
        <w:rPr>
          <w:szCs w:val="24"/>
        </w:rPr>
        <w:t>The Amending Instrument amends subparagraph 4(b)</w:t>
      </w:r>
      <w:r w:rsidR="00A54749" w:rsidRPr="00140E1E">
        <w:rPr>
          <w:szCs w:val="24"/>
        </w:rPr>
        <w:t>. The amendme</w:t>
      </w:r>
      <w:r w:rsidR="003232C2" w:rsidRPr="00140E1E">
        <w:rPr>
          <w:szCs w:val="24"/>
        </w:rPr>
        <w:t xml:space="preserve">nts have the effect of </w:t>
      </w:r>
      <w:r w:rsidR="00C9323A" w:rsidRPr="00140E1E">
        <w:rPr>
          <w:szCs w:val="24"/>
        </w:rPr>
        <w:t>replacing</w:t>
      </w:r>
      <w:r w:rsidR="00A54749" w:rsidRPr="00140E1E">
        <w:rPr>
          <w:szCs w:val="24"/>
        </w:rPr>
        <w:t xml:space="preserve"> ASX specific terminology with market neutral terminology and applying the discretionary relief under notional s601GAE </w:t>
      </w:r>
      <w:r w:rsidR="00DE1A85" w:rsidRPr="00140E1E">
        <w:rPr>
          <w:szCs w:val="24"/>
        </w:rPr>
        <w:t xml:space="preserve">of the Act </w:t>
      </w:r>
      <w:r w:rsidR="00A54749" w:rsidRPr="00140E1E">
        <w:rPr>
          <w:szCs w:val="24"/>
        </w:rPr>
        <w:t xml:space="preserve">to responsible entities of ETFs that are able to be traded on the financial market operated by Chi-X. </w:t>
      </w:r>
    </w:p>
    <w:p w14:paraId="6F75949A" w14:textId="7FD59427" w:rsidR="003232C2" w:rsidRPr="00140E1E" w:rsidRDefault="003232C2" w:rsidP="005B0E3A">
      <w:pPr>
        <w:pStyle w:val="BodyText"/>
        <w:spacing w:before="199"/>
        <w:rPr>
          <w:b/>
          <w:szCs w:val="24"/>
        </w:rPr>
      </w:pPr>
      <w:r w:rsidRPr="00140E1E">
        <w:rPr>
          <w:b/>
          <w:szCs w:val="24"/>
        </w:rPr>
        <w:t>ASIC Class Order [</w:t>
      </w:r>
      <w:r w:rsidR="005C769C">
        <w:rPr>
          <w:b/>
          <w:szCs w:val="24"/>
        </w:rPr>
        <w:t xml:space="preserve">CO </w:t>
      </w:r>
      <w:r w:rsidRPr="00140E1E">
        <w:rPr>
          <w:b/>
          <w:szCs w:val="24"/>
        </w:rPr>
        <w:t>13/721]</w:t>
      </w:r>
    </w:p>
    <w:p w14:paraId="08C75CB5" w14:textId="06F30CCB" w:rsidR="00F712A9" w:rsidRPr="00140E1E" w:rsidRDefault="003232C2" w:rsidP="005B0E3A">
      <w:pPr>
        <w:pStyle w:val="BodyText"/>
        <w:spacing w:before="199"/>
        <w:rPr>
          <w:szCs w:val="24"/>
        </w:rPr>
      </w:pPr>
      <w:r w:rsidRPr="00140E1E">
        <w:rPr>
          <w:szCs w:val="24"/>
        </w:rPr>
        <w:t xml:space="preserve">The Amending </w:t>
      </w:r>
      <w:r w:rsidR="00333B8E">
        <w:rPr>
          <w:szCs w:val="24"/>
        </w:rPr>
        <w:t xml:space="preserve">Instrument amends paragraph 4, </w:t>
      </w:r>
      <w:r w:rsidRPr="00140E1E">
        <w:rPr>
          <w:szCs w:val="24"/>
        </w:rPr>
        <w:t>subparagraphs 5(a)</w:t>
      </w:r>
      <w:r w:rsidR="00C9323A" w:rsidRPr="00140E1E">
        <w:rPr>
          <w:szCs w:val="24"/>
        </w:rPr>
        <w:t xml:space="preserve">, 5(a)(ii) and </w:t>
      </w:r>
      <w:r w:rsidRPr="00140E1E">
        <w:rPr>
          <w:szCs w:val="24"/>
        </w:rPr>
        <w:t>5(a)(iii)</w:t>
      </w:r>
      <w:r w:rsidR="00C9323A" w:rsidRPr="00140E1E">
        <w:rPr>
          <w:szCs w:val="24"/>
        </w:rPr>
        <w:t>, subparagraph 5(b), paragraph 6, subparagraph 6(b), subparagraph 7(a), subparagraph 8(a) subparagraph 8(b), subparagraph 8(b)(</w:t>
      </w:r>
      <w:proofErr w:type="spellStart"/>
      <w:r w:rsidR="00C9323A" w:rsidRPr="00140E1E">
        <w:rPr>
          <w:szCs w:val="24"/>
        </w:rPr>
        <w:t>i</w:t>
      </w:r>
      <w:proofErr w:type="spellEnd"/>
      <w:r w:rsidR="00C9323A" w:rsidRPr="00140E1E">
        <w:rPr>
          <w:szCs w:val="24"/>
        </w:rPr>
        <w:t xml:space="preserve">), paragraph 9, paragraph 10, </w:t>
      </w:r>
      <w:r w:rsidR="00F712A9" w:rsidRPr="00140E1E">
        <w:rPr>
          <w:szCs w:val="24"/>
        </w:rPr>
        <w:t>subparagraph 10(b), p</w:t>
      </w:r>
      <w:r w:rsidR="00C9323A" w:rsidRPr="00140E1E">
        <w:rPr>
          <w:szCs w:val="24"/>
        </w:rPr>
        <w:t>aragraph 11, subparag</w:t>
      </w:r>
      <w:r w:rsidR="00F712A9" w:rsidRPr="00140E1E">
        <w:rPr>
          <w:szCs w:val="24"/>
        </w:rPr>
        <w:t xml:space="preserve">raph </w:t>
      </w:r>
      <w:r w:rsidR="00C9323A" w:rsidRPr="00140E1E">
        <w:rPr>
          <w:szCs w:val="24"/>
        </w:rPr>
        <w:t xml:space="preserve">12(a), subparagraph 12(b) and paragraph 13. </w:t>
      </w:r>
      <w:r w:rsidR="00F712A9" w:rsidRPr="00140E1E">
        <w:rPr>
          <w:szCs w:val="24"/>
        </w:rPr>
        <w:t xml:space="preserve"> </w:t>
      </w:r>
    </w:p>
    <w:p w14:paraId="5352E0A2" w14:textId="20C4C0C0" w:rsidR="003232C2" w:rsidRPr="00140E1E" w:rsidRDefault="00F712A9" w:rsidP="005B0E3A">
      <w:pPr>
        <w:pStyle w:val="BodyText"/>
        <w:spacing w:before="199"/>
        <w:rPr>
          <w:szCs w:val="24"/>
        </w:rPr>
      </w:pPr>
      <w:r w:rsidRPr="00140E1E">
        <w:rPr>
          <w:szCs w:val="24"/>
        </w:rPr>
        <w:t xml:space="preserve">The amendments have the effect of replacing ASX specific terminology with market neutral terminology and extending the following relief to responsible entities of ETFs </w:t>
      </w:r>
      <w:r w:rsidR="001D4003">
        <w:rPr>
          <w:szCs w:val="24"/>
        </w:rPr>
        <w:t>that</w:t>
      </w:r>
      <w:r w:rsidRPr="00140E1E">
        <w:rPr>
          <w:szCs w:val="24"/>
        </w:rPr>
        <w:t xml:space="preserve"> are able to be traded on the Chi-X market:</w:t>
      </w:r>
    </w:p>
    <w:p w14:paraId="7504B6D5" w14:textId="0BE97487" w:rsidR="00F712A9" w:rsidRPr="00140E1E" w:rsidRDefault="00333B8E" w:rsidP="00222EFA">
      <w:pPr>
        <w:pStyle w:val="BodyText"/>
        <w:numPr>
          <w:ilvl w:val="0"/>
          <w:numId w:val="27"/>
        </w:numPr>
        <w:tabs>
          <w:tab w:val="clear" w:pos="567"/>
          <w:tab w:val="clear" w:pos="680"/>
          <w:tab w:val="left" w:pos="709"/>
        </w:tabs>
        <w:spacing w:before="199"/>
        <w:rPr>
          <w:szCs w:val="24"/>
        </w:rPr>
      </w:pPr>
      <w:r>
        <w:rPr>
          <w:szCs w:val="24"/>
        </w:rPr>
        <w:t xml:space="preserve">Exemption from </w:t>
      </w:r>
      <w:r w:rsidR="00F712A9" w:rsidRPr="00140E1E">
        <w:rPr>
          <w:szCs w:val="24"/>
        </w:rPr>
        <w:t>s</w:t>
      </w:r>
      <w:r w:rsidR="004A319D">
        <w:rPr>
          <w:szCs w:val="24"/>
        </w:rPr>
        <w:t xml:space="preserve">ection </w:t>
      </w:r>
      <w:r w:rsidR="00F712A9" w:rsidRPr="00140E1E">
        <w:rPr>
          <w:szCs w:val="24"/>
        </w:rPr>
        <w:t>601FC(1)(d)</w:t>
      </w:r>
      <w:r w:rsidR="00DE1A85" w:rsidRPr="00140E1E">
        <w:rPr>
          <w:szCs w:val="24"/>
        </w:rPr>
        <w:t xml:space="preserve"> of the Act</w:t>
      </w:r>
      <w:r w:rsidR="00F712A9" w:rsidRPr="00140E1E">
        <w:rPr>
          <w:szCs w:val="24"/>
        </w:rPr>
        <w:t xml:space="preserve"> </w:t>
      </w:r>
      <w:r w:rsidR="00DE1A85" w:rsidRPr="00140E1E">
        <w:rPr>
          <w:szCs w:val="24"/>
        </w:rPr>
        <w:t xml:space="preserve">when responsible entities permit authorised participants to withdraw </w:t>
      </w:r>
      <w:r w:rsidR="00F712A9" w:rsidRPr="00140E1E">
        <w:rPr>
          <w:szCs w:val="24"/>
        </w:rPr>
        <w:t>from an ETF;</w:t>
      </w:r>
    </w:p>
    <w:p w14:paraId="7BA0DF65" w14:textId="68B8910F" w:rsidR="00F712A9" w:rsidRPr="00140E1E" w:rsidRDefault="00DE1A85" w:rsidP="00222EFA">
      <w:pPr>
        <w:pStyle w:val="BodyText"/>
        <w:numPr>
          <w:ilvl w:val="0"/>
          <w:numId w:val="27"/>
        </w:numPr>
        <w:tabs>
          <w:tab w:val="clear" w:pos="567"/>
          <w:tab w:val="clear" w:pos="680"/>
          <w:tab w:val="left" w:pos="709"/>
        </w:tabs>
        <w:spacing w:before="199"/>
        <w:rPr>
          <w:szCs w:val="24"/>
        </w:rPr>
      </w:pPr>
      <w:r w:rsidRPr="00140E1E">
        <w:rPr>
          <w:szCs w:val="24"/>
        </w:rPr>
        <w:t>Exemption from s</w:t>
      </w:r>
      <w:r w:rsidR="004A319D">
        <w:rPr>
          <w:szCs w:val="24"/>
        </w:rPr>
        <w:t xml:space="preserve">ection </w:t>
      </w:r>
      <w:r w:rsidRPr="00140E1E">
        <w:rPr>
          <w:szCs w:val="24"/>
        </w:rPr>
        <w:t>601FC(1)(d) of the Act when responsible entities provide index or portfolio information to authorised participants before other members;</w:t>
      </w:r>
      <w:r w:rsidR="00DD2A7F" w:rsidRPr="00140E1E">
        <w:rPr>
          <w:szCs w:val="24"/>
        </w:rPr>
        <w:t xml:space="preserve"> </w:t>
      </w:r>
      <w:r w:rsidR="00222EFA">
        <w:rPr>
          <w:szCs w:val="24"/>
        </w:rPr>
        <w:t>and</w:t>
      </w:r>
    </w:p>
    <w:p w14:paraId="40A2743C" w14:textId="0A1C202A" w:rsidR="00A60534" w:rsidRPr="00140E1E" w:rsidRDefault="00DE1A85" w:rsidP="00222EFA">
      <w:pPr>
        <w:pStyle w:val="BodyText"/>
        <w:numPr>
          <w:ilvl w:val="0"/>
          <w:numId w:val="27"/>
        </w:numPr>
        <w:tabs>
          <w:tab w:val="clear" w:pos="567"/>
          <w:tab w:val="clear" w:pos="680"/>
          <w:tab w:val="left" w:pos="709"/>
        </w:tabs>
        <w:spacing w:before="199"/>
        <w:rPr>
          <w:szCs w:val="24"/>
        </w:rPr>
      </w:pPr>
      <w:r w:rsidRPr="00140E1E">
        <w:rPr>
          <w:szCs w:val="24"/>
        </w:rPr>
        <w:t>Exemption from</w:t>
      </w:r>
      <w:r w:rsidR="002308CF">
        <w:rPr>
          <w:szCs w:val="24"/>
        </w:rPr>
        <w:t xml:space="preserve"> the requirements in</w:t>
      </w:r>
      <w:r w:rsidRPr="00140E1E">
        <w:rPr>
          <w:szCs w:val="24"/>
        </w:rPr>
        <w:t xml:space="preserve"> s</w:t>
      </w:r>
      <w:r w:rsidR="004A319D">
        <w:rPr>
          <w:szCs w:val="24"/>
        </w:rPr>
        <w:t xml:space="preserve">ection </w:t>
      </w:r>
      <w:r w:rsidRPr="00140E1E">
        <w:rPr>
          <w:szCs w:val="24"/>
        </w:rPr>
        <w:t xml:space="preserve">1017B of the Act </w:t>
      </w:r>
      <w:r w:rsidR="00A60534" w:rsidRPr="00140E1E">
        <w:rPr>
          <w:szCs w:val="24"/>
        </w:rPr>
        <w:t xml:space="preserve">to notify </w:t>
      </w:r>
      <w:r w:rsidR="0052561B">
        <w:rPr>
          <w:szCs w:val="24"/>
        </w:rPr>
        <w:t>holders of ETF products</w:t>
      </w:r>
      <w:r w:rsidRPr="00140E1E">
        <w:rPr>
          <w:szCs w:val="24"/>
        </w:rPr>
        <w:t xml:space="preserve"> </w:t>
      </w:r>
      <w:r w:rsidR="00A60534" w:rsidRPr="00140E1E">
        <w:rPr>
          <w:szCs w:val="24"/>
        </w:rPr>
        <w:t xml:space="preserve">of material changes and significant events in relation to their </w:t>
      </w:r>
      <w:r w:rsidRPr="00140E1E">
        <w:rPr>
          <w:szCs w:val="24"/>
        </w:rPr>
        <w:t>ETF</w:t>
      </w:r>
      <w:r w:rsidR="00222EFA">
        <w:rPr>
          <w:szCs w:val="24"/>
        </w:rPr>
        <w:t>.</w:t>
      </w:r>
      <w:r w:rsidR="00DD2A7F" w:rsidRPr="00140E1E">
        <w:rPr>
          <w:szCs w:val="24"/>
        </w:rPr>
        <w:t xml:space="preserve"> </w:t>
      </w:r>
    </w:p>
    <w:p w14:paraId="007D24E9" w14:textId="59648326" w:rsidR="00A60534" w:rsidRPr="00140E1E" w:rsidRDefault="00222EFA" w:rsidP="00754D71">
      <w:pPr>
        <w:pStyle w:val="BodyText"/>
        <w:tabs>
          <w:tab w:val="clear" w:pos="567"/>
          <w:tab w:val="clear" w:pos="680"/>
          <w:tab w:val="left" w:pos="709"/>
        </w:tabs>
        <w:spacing w:before="199"/>
        <w:rPr>
          <w:szCs w:val="24"/>
        </w:rPr>
      </w:pPr>
      <w:r>
        <w:rPr>
          <w:szCs w:val="24"/>
        </w:rPr>
        <w:t>The amendments also m</w:t>
      </w:r>
      <w:r w:rsidR="002308CF">
        <w:rPr>
          <w:szCs w:val="24"/>
        </w:rPr>
        <w:t>odif</w:t>
      </w:r>
      <w:r>
        <w:rPr>
          <w:szCs w:val="24"/>
        </w:rPr>
        <w:t>y</w:t>
      </w:r>
      <w:r w:rsidR="002308CF" w:rsidRPr="00140E1E">
        <w:rPr>
          <w:szCs w:val="24"/>
        </w:rPr>
        <w:t xml:space="preserve"> </w:t>
      </w:r>
      <w:r w:rsidR="00A60534" w:rsidRPr="00140E1E">
        <w:rPr>
          <w:szCs w:val="24"/>
        </w:rPr>
        <w:t>Chapters 6 and 6C of the Act</w:t>
      </w:r>
      <w:r w:rsidR="000E3225">
        <w:rPr>
          <w:szCs w:val="24"/>
        </w:rPr>
        <w:t xml:space="preserve"> to cover ETFs that are able to be traded on the financial market operated by Chi-X. Chapters 6 and 6C of the Act is modified</w:t>
      </w:r>
      <w:r w:rsidR="00DE1A85" w:rsidRPr="00140E1E">
        <w:rPr>
          <w:szCs w:val="24"/>
        </w:rPr>
        <w:t xml:space="preserve"> </w:t>
      </w:r>
      <w:r w:rsidR="000C05EF" w:rsidRPr="00140E1E">
        <w:rPr>
          <w:szCs w:val="24"/>
        </w:rPr>
        <w:t xml:space="preserve">so that the ability to lodge withdrawal requests by the authorised participants who are members of the ETF under the acquisition and withdrawal facility offered by a scheme does not by itself give these members a relevant interest in any securities held by the ETF. </w:t>
      </w:r>
    </w:p>
    <w:p w14:paraId="3A96D8D2" w14:textId="577826E9" w:rsidR="000C05EF" w:rsidRPr="00140E1E" w:rsidRDefault="00DD2A7F" w:rsidP="00DD2A7F">
      <w:pPr>
        <w:pStyle w:val="BodyText"/>
        <w:spacing w:before="199"/>
        <w:rPr>
          <w:szCs w:val="24"/>
        </w:rPr>
      </w:pPr>
      <w:r w:rsidRPr="00140E1E">
        <w:rPr>
          <w:szCs w:val="24"/>
        </w:rPr>
        <w:t xml:space="preserve">In addition, </w:t>
      </w:r>
      <w:r w:rsidR="004A319D">
        <w:rPr>
          <w:szCs w:val="24"/>
        </w:rPr>
        <w:t>[</w:t>
      </w:r>
      <w:r w:rsidRPr="00140E1E">
        <w:rPr>
          <w:szCs w:val="24"/>
        </w:rPr>
        <w:t>CO 13/721</w:t>
      </w:r>
      <w:r w:rsidR="004A319D">
        <w:rPr>
          <w:szCs w:val="24"/>
        </w:rPr>
        <w:t>]</w:t>
      </w:r>
      <w:r w:rsidRPr="00140E1E">
        <w:rPr>
          <w:szCs w:val="24"/>
        </w:rPr>
        <w:t xml:space="preserve"> p</w:t>
      </w:r>
      <w:r w:rsidR="00B00872" w:rsidRPr="00140E1E">
        <w:rPr>
          <w:szCs w:val="24"/>
        </w:rPr>
        <w:t>rovides by declaration further clarity on the obligations in relation to beneficial tracing.</w:t>
      </w:r>
    </w:p>
    <w:p w14:paraId="341C07C6" w14:textId="000834B5" w:rsidR="00C9323A" w:rsidRPr="00140E1E" w:rsidRDefault="00C9323A" w:rsidP="00B00872">
      <w:pPr>
        <w:pStyle w:val="BodyText"/>
        <w:spacing w:before="199"/>
        <w:rPr>
          <w:szCs w:val="24"/>
        </w:rPr>
      </w:pPr>
      <w:r w:rsidRPr="00140E1E">
        <w:rPr>
          <w:szCs w:val="24"/>
        </w:rPr>
        <w:t xml:space="preserve">The amendments </w:t>
      </w:r>
      <w:r w:rsidR="00B00872" w:rsidRPr="00140E1E">
        <w:rPr>
          <w:szCs w:val="24"/>
        </w:rPr>
        <w:t xml:space="preserve">also </w:t>
      </w:r>
      <w:r w:rsidR="00222EFA">
        <w:rPr>
          <w:szCs w:val="24"/>
        </w:rPr>
        <w:t xml:space="preserve">extend the </w:t>
      </w:r>
      <w:r w:rsidR="00B00872" w:rsidRPr="00140E1E">
        <w:rPr>
          <w:szCs w:val="24"/>
        </w:rPr>
        <w:t xml:space="preserve">exemption from s1017B of the Act to issuers of quoted ASX managed funds. </w:t>
      </w:r>
    </w:p>
    <w:p w14:paraId="68E7A490" w14:textId="1FA4747B" w:rsidR="005963F8" w:rsidRPr="00140E1E" w:rsidRDefault="00B00872" w:rsidP="005B0E3A">
      <w:pPr>
        <w:pStyle w:val="BodyText"/>
        <w:spacing w:before="199"/>
        <w:rPr>
          <w:b/>
          <w:szCs w:val="24"/>
        </w:rPr>
      </w:pPr>
      <w:r w:rsidRPr="00140E1E">
        <w:rPr>
          <w:b/>
          <w:szCs w:val="24"/>
        </w:rPr>
        <w:t>ASIC Class Order [</w:t>
      </w:r>
      <w:r w:rsidR="00222EFA">
        <w:rPr>
          <w:b/>
          <w:szCs w:val="24"/>
        </w:rPr>
        <w:t xml:space="preserve">CO </w:t>
      </w:r>
      <w:r w:rsidRPr="00140E1E">
        <w:rPr>
          <w:b/>
          <w:szCs w:val="24"/>
        </w:rPr>
        <w:t>13/1200]</w:t>
      </w:r>
    </w:p>
    <w:p w14:paraId="2B7AC7D1" w14:textId="24F2F88F" w:rsidR="005B0E3A" w:rsidRPr="00140E1E" w:rsidRDefault="009B0A21" w:rsidP="005B0E3A">
      <w:pPr>
        <w:pStyle w:val="BodyText"/>
        <w:spacing w:before="199"/>
        <w:rPr>
          <w:szCs w:val="24"/>
        </w:rPr>
      </w:pPr>
      <w:r w:rsidRPr="00140E1E">
        <w:rPr>
          <w:szCs w:val="24"/>
        </w:rPr>
        <w:t>The Amending Instrument amends paragraphs 1, paragraphs 4-7, subparagraphs 8(a) and (b) and paragraph 9.</w:t>
      </w:r>
    </w:p>
    <w:p w14:paraId="567D6E07" w14:textId="5600E22F" w:rsidR="009B0A21" w:rsidRPr="00140E1E" w:rsidRDefault="009B0A21" w:rsidP="005B0E3A">
      <w:pPr>
        <w:pStyle w:val="BodyText"/>
        <w:spacing w:before="199"/>
        <w:rPr>
          <w:szCs w:val="24"/>
        </w:rPr>
      </w:pPr>
      <w:r w:rsidRPr="00140E1E">
        <w:rPr>
          <w:szCs w:val="24"/>
        </w:rPr>
        <w:t xml:space="preserve">The amendments have the effect of replacing ASX specific terminology with market neutral terminology and extending </w:t>
      </w:r>
      <w:r w:rsidR="002308CF">
        <w:rPr>
          <w:szCs w:val="24"/>
        </w:rPr>
        <w:t>the relief in [CO 13/1200]</w:t>
      </w:r>
      <w:r w:rsidR="002308CF" w:rsidRPr="00140E1E">
        <w:rPr>
          <w:szCs w:val="24"/>
        </w:rPr>
        <w:t xml:space="preserve"> </w:t>
      </w:r>
      <w:r w:rsidR="003F1861" w:rsidRPr="00140E1E">
        <w:rPr>
          <w:szCs w:val="24"/>
        </w:rPr>
        <w:t>to responsible entities of ETFs that are able to</w:t>
      </w:r>
      <w:r w:rsidR="00E8725B" w:rsidRPr="00140E1E">
        <w:rPr>
          <w:szCs w:val="24"/>
        </w:rPr>
        <w:t xml:space="preserve"> be traded on the Chi-X market</w:t>
      </w:r>
      <w:r w:rsidR="002308CF">
        <w:rPr>
          <w:szCs w:val="24"/>
        </w:rPr>
        <w:t xml:space="preserve">.  This modifies </w:t>
      </w:r>
      <w:r w:rsidR="00E8725B" w:rsidRPr="00140E1E">
        <w:rPr>
          <w:szCs w:val="24"/>
        </w:rPr>
        <w:t xml:space="preserve">their obligations in regards to periodic reporting requirements. </w:t>
      </w:r>
    </w:p>
    <w:p w14:paraId="20505C9E" w14:textId="77777777" w:rsidR="005B0E3A" w:rsidRPr="00140E1E" w:rsidRDefault="005B0E3A" w:rsidP="005B0E3A">
      <w:pPr>
        <w:spacing w:line="240" w:lineRule="exact"/>
        <w:rPr>
          <w:sz w:val="24"/>
          <w:szCs w:val="24"/>
        </w:rPr>
      </w:pPr>
      <w:bookmarkStart w:id="3" w:name="4._Documents_incorporated_by_reference"/>
      <w:bookmarkEnd w:id="3"/>
    </w:p>
    <w:p w14:paraId="45FDDC02" w14:textId="2AA4DC30" w:rsidR="005B0E3A" w:rsidRPr="00754D71" w:rsidRDefault="005B0E3A" w:rsidP="00754D71">
      <w:pPr>
        <w:pStyle w:val="Heading3"/>
        <w:keepNext w:val="0"/>
        <w:widowControl w:val="0"/>
        <w:numPr>
          <w:ilvl w:val="0"/>
          <w:numId w:val="7"/>
        </w:numPr>
        <w:tabs>
          <w:tab w:val="left" w:pos="1593"/>
        </w:tabs>
        <w:spacing w:after="0" w:line="240" w:lineRule="auto"/>
        <w:ind w:left="0" w:firstLine="0"/>
        <w:jc w:val="left"/>
        <w:rPr>
          <w:rFonts w:ascii="Arial"/>
          <w:b/>
          <w:spacing w:val="-1"/>
          <w:sz w:val="24"/>
        </w:rPr>
      </w:pPr>
      <w:bookmarkStart w:id="4" w:name="5._Consultation"/>
      <w:bookmarkEnd w:id="4"/>
      <w:r w:rsidRPr="00754D71">
        <w:rPr>
          <w:rFonts w:ascii="Arial"/>
          <w:b/>
          <w:spacing w:val="-1"/>
          <w:sz w:val="24"/>
        </w:rPr>
        <w:t>Consultation</w:t>
      </w:r>
    </w:p>
    <w:p w14:paraId="730884EE" w14:textId="3D2F270A" w:rsidR="003D77E3" w:rsidRPr="00140E1E" w:rsidRDefault="009C6421" w:rsidP="003F7B3D">
      <w:pPr>
        <w:pStyle w:val="Bodytextplain"/>
        <w:ind w:left="0"/>
        <w:rPr>
          <w:sz w:val="24"/>
          <w:szCs w:val="24"/>
        </w:rPr>
      </w:pPr>
      <w:r w:rsidRPr="00140E1E">
        <w:rPr>
          <w:rFonts w:eastAsia="Arial"/>
          <w:sz w:val="24"/>
          <w:szCs w:val="24"/>
        </w:rPr>
        <w:t xml:space="preserve">In </w:t>
      </w:r>
      <w:r w:rsidR="005B0C61" w:rsidRPr="00140E1E">
        <w:rPr>
          <w:sz w:val="24"/>
          <w:szCs w:val="24"/>
        </w:rPr>
        <w:t xml:space="preserve">Consultation Paper 235 </w:t>
      </w:r>
      <w:r w:rsidR="005B0C61" w:rsidRPr="00140E1E">
        <w:rPr>
          <w:i/>
          <w:sz w:val="24"/>
          <w:szCs w:val="24"/>
        </w:rPr>
        <w:t xml:space="preserve">Proposed amendments to ASIC market integrity rules and instruments for the Chi-X investment product market </w:t>
      </w:r>
      <w:r w:rsidR="005B0C61" w:rsidRPr="00140E1E">
        <w:rPr>
          <w:sz w:val="24"/>
          <w:szCs w:val="24"/>
        </w:rPr>
        <w:t>(</w:t>
      </w:r>
      <w:r w:rsidR="005B0C61" w:rsidRPr="00140E1E">
        <w:rPr>
          <w:b/>
          <w:sz w:val="24"/>
          <w:szCs w:val="24"/>
        </w:rPr>
        <w:t>CP 235</w:t>
      </w:r>
      <w:r w:rsidR="005B0C61" w:rsidRPr="00140E1E">
        <w:rPr>
          <w:sz w:val="24"/>
          <w:szCs w:val="24"/>
        </w:rPr>
        <w:t>)</w:t>
      </w:r>
      <w:r w:rsidR="003F7B3D" w:rsidRPr="00140E1E">
        <w:rPr>
          <w:sz w:val="24"/>
          <w:szCs w:val="24"/>
        </w:rPr>
        <w:t>, ASIC</w:t>
      </w:r>
      <w:r w:rsidR="005B0C61" w:rsidRPr="00140E1E">
        <w:rPr>
          <w:sz w:val="24"/>
          <w:szCs w:val="24"/>
        </w:rPr>
        <w:t xml:space="preserve"> </w:t>
      </w:r>
      <w:r w:rsidR="003F7B3D" w:rsidRPr="00140E1E">
        <w:rPr>
          <w:sz w:val="24"/>
          <w:szCs w:val="24"/>
        </w:rPr>
        <w:t xml:space="preserve">consulted on </w:t>
      </w:r>
      <w:r w:rsidR="005B0C61" w:rsidRPr="00140E1E">
        <w:rPr>
          <w:sz w:val="24"/>
          <w:szCs w:val="24"/>
        </w:rPr>
        <w:t xml:space="preserve">a number of proposals in relation to </w:t>
      </w:r>
      <w:r w:rsidR="001C5F10" w:rsidRPr="00140E1E">
        <w:rPr>
          <w:sz w:val="24"/>
          <w:szCs w:val="24"/>
        </w:rPr>
        <w:t>the q</w:t>
      </w:r>
      <w:r w:rsidR="00BC152F" w:rsidRPr="00140E1E">
        <w:rPr>
          <w:sz w:val="24"/>
          <w:szCs w:val="24"/>
        </w:rPr>
        <w:t>uotation and trading of ETFs</w:t>
      </w:r>
      <w:r w:rsidR="001C5F10" w:rsidRPr="00140E1E">
        <w:rPr>
          <w:sz w:val="24"/>
          <w:szCs w:val="24"/>
        </w:rPr>
        <w:t xml:space="preserve"> on </w:t>
      </w:r>
      <w:r w:rsidR="003D77E3" w:rsidRPr="00140E1E">
        <w:rPr>
          <w:sz w:val="24"/>
          <w:szCs w:val="24"/>
        </w:rPr>
        <w:t>the Chi-X</w:t>
      </w:r>
      <w:r w:rsidR="001C5F10" w:rsidRPr="00140E1E">
        <w:rPr>
          <w:sz w:val="24"/>
          <w:szCs w:val="24"/>
        </w:rPr>
        <w:t xml:space="preserve"> market</w:t>
      </w:r>
      <w:r w:rsidR="0098562B" w:rsidRPr="00140E1E">
        <w:rPr>
          <w:sz w:val="24"/>
          <w:szCs w:val="24"/>
        </w:rPr>
        <w:t xml:space="preserve">.  </w:t>
      </w:r>
    </w:p>
    <w:p w14:paraId="0FF00328" w14:textId="5DCF784F" w:rsidR="002D309A" w:rsidRPr="00140E1E" w:rsidRDefault="006E3B85">
      <w:pPr>
        <w:pStyle w:val="Bodytextplain"/>
        <w:ind w:left="0"/>
        <w:rPr>
          <w:sz w:val="24"/>
          <w:szCs w:val="24"/>
        </w:rPr>
      </w:pPr>
      <w:r w:rsidRPr="00140E1E">
        <w:rPr>
          <w:sz w:val="24"/>
          <w:szCs w:val="24"/>
        </w:rPr>
        <w:t xml:space="preserve">One of the proposals was to </w:t>
      </w:r>
      <w:r w:rsidR="003F7B3D" w:rsidRPr="00140E1E">
        <w:rPr>
          <w:sz w:val="24"/>
          <w:szCs w:val="24"/>
        </w:rPr>
        <w:t>extend existing ASIC relief</w:t>
      </w:r>
      <w:r w:rsidRPr="00140E1E">
        <w:rPr>
          <w:sz w:val="24"/>
          <w:szCs w:val="24"/>
        </w:rPr>
        <w:t xml:space="preserve"> </w:t>
      </w:r>
      <w:r w:rsidR="003F7B3D" w:rsidRPr="00140E1E">
        <w:rPr>
          <w:sz w:val="24"/>
          <w:szCs w:val="24"/>
        </w:rPr>
        <w:t>applicable to ETFs quoted on the ASX market to ETFs admitted to quotation on the Chi-X market</w:t>
      </w:r>
      <w:r w:rsidRPr="00140E1E">
        <w:rPr>
          <w:sz w:val="24"/>
          <w:szCs w:val="24"/>
        </w:rPr>
        <w:t xml:space="preserve">. This included extending </w:t>
      </w:r>
      <w:r w:rsidR="00BC152F" w:rsidRPr="00140E1E">
        <w:rPr>
          <w:sz w:val="24"/>
          <w:szCs w:val="24"/>
        </w:rPr>
        <w:t xml:space="preserve">existing relief in </w:t>
      </w:r>
      <w:r w:rsidR="006C411E">
        <w:rPr>
          <w:sz w:val="24"/>
          <w:szCs w:val="24"/>
        </w:rPr>
        <w:t>the Relevant Instruments</w:t>
      </w:r>
      <w:r w:rsidR="00AB4942" w:rsidRPr="00140E1E">
        <w:rPr>
          <w:sz w:val="24"/>
          <w:szCs w:val="24"/>
        </w:rPr>
        <w:t>.</w:t>
      </w:r>
      <w:r w:rsidR="003D77E3" w:rsidRPr="00140E1E">
        <w:rPr>
          <w:sz w:val="24"/>
          <w:szCs w:val="24"/>
        </w:rPr>
        <w:t xml:space="preserve"> </w:t>
      </w:r>
    </w:p>
    <w:p w14:paraId="662D9DE0" w14:textId="7C15E61C" w:rsidR="00B5529C" w:rsidRPr="00140E1E" w:rsidRDefault="00B5529C">
      <w:pPr>
        <w:pStyle w:val="Bodytextplain"/>
        <w:ind w:left="0"/>
        <w:rPr>
          <w:sz w:val="24"/>
          <w:szCs w:val="24"/>
        </w:rPr>
      </w:pPr>
      <w:r w:rsidRPr="00140E1E">
        <w:rPr>
          <w:sz w:val="24"/>
          <w:szCs w:val="24"/>
        </w:rPr>
        <w:t xml:space="preserve">We also consulted on our proposal to extend the relief under </w:t>
      </w:r>
      <w:r w:rsidR="006C411E">
        <w:rPr>
          <w:sz w:val="24"/>
          <w:szCs w:val="24"/>
        </w:rPr>
        <w:t>[</w:t>
      </w:r>
      <w:r w:rsidRPr="00140E1E">
        <w:rPr>
          <w:sz w:val="24"/>
          <w:szCs w:val="24"/>
        </w:rPr>
        <w:t>CO 13/271</w:t>
      </w:r>
      <w:r w:rsidR="006C411E">
        <w:rPr>
          <w:sz w:val="24"/>
          <w:szCs w:val="24"/>
        </w:rPr>
        <w:t>]</w:t>
      </w:r>
      <w:r w:rsidRPr="00140E1E">
        <w:rPr>
          <w:sz w:val="24"/>
          <w:szCs w:val="24"/>
        </w:rPr>
        <w:t xml:space="preserve"> currently available to AQUA ETFs to </w:t>
      </w:r>
      <w:r w:rsidR="002D309A" w:rsidRPr="00140E1E">
        <w:rPr>
          <w:sz w:val="24"/>
          <w:szCs w:val="24"/>
        </w:rPr>
        <w:t xml:space="preserve">AQUA </w:t>
      </w:r>
      <w:r w:rsidRPr="00140E1E">
        <w:rPr>
          <w:sz w:val="24"/>
          <w:szCs w:val="24"/>
        </w:rPr>
        <w:t>managed fund products</w:t>
      </w:r>
      <w:r w:rsidR="002D309A" w:rsidRPr="00140E1E">
        <w:rPr>
          <w:sz w:val="24"/>
          <w:szCs w:val="24"/>
        </w:rPr>
        <w:t xml:space="preserve"> quoted on the ASX market</w:t>
      </w:r>
      <w:r w:rsidR="009500D6" w:rsidRPr="00140E1E">
        <w:rPr>
          <w:sz w:val="24"/>
          <w:szCs w:val="24"/>
        </w:rPr>
        <w:t xml:space="preserve"> in CP 235.</w:t>
      </w:r>
    </w:p>
    <w:p w14:paraId="7057383C" w14:textId="690909BB" w:rsidR="00E8725B" w:rsidRPr="00140E1E" w:rsidRDefault="00E8725B">
      <w:pPr>
        <w:pStyle w:val="Bodytextplain"/>
        <w:ind w:left="0"/>
        <w:rPr>
          <w:sz w:val="24"/>
          <w:szCs w:val="24"/>
        </w:rPr>
      </w:pPr>
      <w:r w:rsidRPr="00140E1E">
        <w:rPr>
          <w:sz w:val="24"/>
          <w:szCs w:val="24"/>
        </w:rPr>
        <w:t>In addition, we engaged</w:t>
      </w:r>
      <w:r w:rsidR="002308CF">
        <w:rPr>
          <w:sz w:val="24"/>
          <w:szCs w:val="24"/>
        </w:rPr>
        <w:t xml:space="preserve"> in</w:t>
      </w:r>
      <w:r w:rsidRPr="00140E1E">
        <w:rPr>
          <w:sz w:val="24"/>
          <w:szCs w:val="24"/>
        </w:rPr>
        <w:t xml:space="preserve"> a targeted consultation </w:t>
      </w:r>
      <w:r w:rsidR="00FC700D">
        <w:rPr>
          <w:sz w:val="24"/>
          <w:szCs w:val="24"/>
        </w:rPr>
        <w:t xml:space="preserve">with relevant industry bodies and market operators </w:t>
      </w:r>
      <w:r w:rsidRPr="00140E1E">
        <w:rPr>
          <w:sz w:val="24"/>
          <w:szCs w:val="24"/>
        </w:rPr>
        <w:t xml:space="preserve">on </w:t>
      </w:r>
      <w:r w:rsidR="006C411E">
        <w:rPr>
          <w:sz w:val="24"/>
          <w:szCs w:val="24"/>
        </w:rPr>
        <w:t xml:space="preserve">draft amendments to </w:t>
      </w:r>
      <w:r w:rsidRPr="00140E1E">
        <w:rPr>
          <w:sz w:val="24"/>
          <w:szCs w:val="24"/>
        </w:rPr>
        <w:t>the</w:t>
      </w:r>
      <w:r w:rsidR="0052561B">
        <w:rPr>
          <w:sz w:val="24"/>
          <w:szCs w:val="24"/>
        </w:rPr>
        <w:t xml:space="preserve"> </w:t>
      </w:r>
      <w:r w:rsidR="006C411E">
        <w:rPr>
          <w:sz w:val="24"/>
          <w:szCs w:val="24"/>
        </w:rPr>
        <w:t>Relevant Instruments.</w:t>
      </w:r>
      <w:bookmarkStart w:id="5" w:name="_GoBack"/>
      <w:bookmarkEnd w:id="5"/>
    </w:p>
    <w:p w14:paraId="67AF60C2" w14:textId="3EE8AC85" w:rsidR="008A074E" w:rsidRPr="00140E1E" w:rsidRDefault="007A5F95">
      <w:pPr>
        <w:pStyle w:val="Bodytextplain"/>
        <w:ind w:left="0"/>
        <w:rPr>
          <w:sz w:val="24"/>
          <w:szCs w:val="24"/>
        </w:rPr>
      </w:pPr>
      <w:r w:rsidRPr="00140E1E">
        <w:rPr>
          <w:sz w:val="24"/>
          <w:szCs w:val="24"/>
        </w:rPr>
        <w:t xml:space="preserve">Consultation feedback was </w:t>
      </w:r>
      <w:r w:rsidR="006C1904" w:rsidRPr="00140E1E">
        <w:rPr>
          <w:sz w:val="24"/>
          <w:szCs w:val="24"/>
        </w:rPr>
        <w:t>supportive of ASIC</w:t>
      </w:r>
      <w:r w:rsidR="006C411E">
        <w:rPr>
          <w:sz w:val="24"/>
          <w:szCs w:val="24"/>
        </w:rPr>
        <w:t>’</w:t>
      </w:r>
      <w:r w:rsidR="006C1904" w:rsidRPr="00140E1E">
        <w:rPr>
          <w:sz w:val="24"/>
          <w:szCs w:val="24"/>
        </w:rPr>
        <w:t>s proposal</w:t>
      </w:r>
      <w:r w:rsidRPr="00140E1E">
        <w:rPr>
          <w:sz w:val="24"/>
          <w:szCs w:val="24"/>
        </w:rPr>
        <w:t xml:space="preserve"> to extend existing relief applicable to ETFs quoted on the </w:t>
      </w:r>
      <w:r w:rsidR="008D60F6" w:rsidRPr="00140E1E">
        <w:rPr>
          <w:sz w:val="24"/>
          <w:szCs w:val="24"/>
        </w:rPr>
        <w:t xml:space="preserve">market operated by </w:t>
      </w:r>
      <w:r w:rsidRPr="00140E1E">
        <w:rPr>
          <w:sz w:val="24"/>
          <w:szCs w:val="24"/>
        </w:rPr>
        <w:t>ASX to ETFs admitted to quotation on the Chi-X market</w:t>
      </w:r>
      <w:r w:rsidR="008A074E" w:rsidRPr="00140E1E">
        <w:rPr>
          <w:sz w:val="24"/>
          <w:szCs w:val="24"/>
        </w:rPr>
        <w:t xml:space="preserve">. </w:t>
      </w:r>
      <w:r w:rsidR="006C411E">
        <w:rPr>
          <w:sz w:val="24"/>
          <w:szCs w:val="24"/>
        </w:rPr>
        <w:t>We have incorporated relevant feedback in finalising the Amending Instrument.</w:t>
      </w:r>
    </w:p>
    <w:p w14:paraId="46D48931" w14:textId="77777777" w:rsidR="00017585" w:rsidRPr="00140E1E" w:rsidRDefault="00017585" w:rsidP="005B0C61">
      <w:pPr>
        <w:pStyle w:val="Bodytextplain"/>
        <w:ind w:left="0"/>
        <w:rPr>
          <w:sz w:val="24"/>
          <w:szCs w:val="24"/>
        </w:rPr>
      </w:pPr>
    </w:p>
    <w:p w14:paraId="02007AA4" w14:textId="77777777" w:rsidR="006B57B5" w:rsidRPr="00140E1E" w:rsidRDefault="006B57B5" w:rsidP="008D60F6">
      <w:pPr>
        <w:rPr>
          <w:sz w:val="24"/>
          <w:szCs w:val="24"/>
        </w:rPr>
      </w:pPr>
    </w:p>
    <w:p w14:paraId="57D298B1" w14:textId="77777777" w:rsidR="00055359" w:rsidRDefault="00055359">
      <w:pPr>
        <w:spacing w:after="0"/>
        <w:rPr>
          <w:b/>
          <w:sz w:val="24"/>
          <w:szCs w:val="24"/>
          <w:lang w:eastAsia="en-US"/>
        </w:rPr>
      </w:pPr>
      <w:r>
        <w:rPr>
          <w:b/>
          <w:sz w:val="24"/>
          <w:szCs w:val="24"/>
          <w:lang w:eastAsia="en-US"/>
        </w:rPr>
        <w:br w:type="page"/>
      </w:r>
    </w:p>
    <w:p w14:paraId="4D6049EA" w14:textId="279A1EA6" w:rsidR="00164FCC" w:rsidRDefault="005B63D9" w:rsidP="00754D71">
      <w:pPr>
        <w:spacing w:after="200" w:line="276" w:lineRule="auto"/>
        <w:jc w:val="center"/>
        <w:rPr>
          <w:b/>
          <w:sz w:val="24"/>
          <w:szCs w:val="24"/>
          <w:lang w:eastAsia="en-US"/>
        </w:rPr>
      </w:pPr>
      <w:r>
        <w:rPr>
          <w:b/>
          <w:sz w:val="24"/>
          <w:szCs w:val="24"/>
          <w:lang w:eastAsia="en-US"/>
        </w:rPr>
        <w:t>S</w:t>
      </w:r>
      <w:r w:rsidR="006B57B5" w:rsidRPr="00754D71">
        <w:rPr>
          <w:b/>
          <w:sz w:val="24"/>
          <w:szCs w:val="24"/>
          <w:lang w:eastAsia="en-US"/>
        </w:rPr>
        <w:t>tatement of Compatibility with Human Rights</w:t>
      </w:r>
    </w:p>
    <w:p w14:paraId="4D4FE493" w14:textId="4B3C1DE2" w:rsidR="005B63D9" w:rsidRPr="00754D71" w:rsidRDefault="005B63D9" w:rsidP="00754D71">
      <w:pPr>
        <w:spacing w:after="200" w:line="276" w:lineRule="auto"/>
        <w:jc w:val="center"/>
        <w:rPr>
          <w:i/>
          <w:sz w:val="24"/>
          <w:szCs w:val="24"/>
          <w:lang w:eastAsia="en-US"/>
        </w:rPr>
      </w:pPr>
      <w:r>
        <w:rPr>
          <w:i/>
          <w:sz w:val="24"/>
          <w:szCs w:val="24"/>
          <w:lang w:eastAsia="en-US"/>
        </w:rPr>
        <w:t>Prepared in accordance with Part 3 of the Human Rights (Parliamentary Scrutiny) Act 2011</w:t>
      </w:r>
    </w:p>
    <w:p w14:paraId="20BCD9B2" w14:textId="32245D4F" w:rsidR="00DD2A7F" w:rsidRDefault="00DD2A7F" w:rsidP="00754D71">
      <w:pPr>
        <w:pStyle w:val="CommentText"/>
        <w:spacing w:after="0"/>
        <w:jc w:val="center"/>
        <w:rPr>
          <w:b/>
          <w:sz w:val="24"/>
          <w:szCs w:val="24"/>
          <w:lang w:eastAsia="en-US"/>
        </w:rPr>
      </w:pPr>
      <w:r w:rsidRPr="00754D71">
        <w:rPr>
          <w:b/>
          <w:sz w:val="24"/>
          <w:szCs w:val="24"/>
          <w:lang w:eastAsia="en-US"/>
        </w:rPr>
        <w:t xml:space="preserve">ASIC Corporations (Amendment) </w:t>
      </w:r>
      <w:r w:rsidR="00D70E53" w:rsidRPr="00754D71">
        <w:rPr>
          <w:b/>
          <w:sz w:val="24"/>
          <w:szCs w:val="24"/>
          <w:lang w:eastAsia="en-US"/>
        </w:rPr>
        <w:t>Instrument</w:t>
      </w:r>
      <w:r w:rsidR="004A319D">
        <w:rPr>
          <w:b/>
          <w:sz w:val="24"/>
          <w:szCs w:val="24"/>
          <w:lang w:eastAsia="en-US"/>
        </w:rPr>
        <w:t xml:space="preserve"> </w:t>
      </w:r>
      <w:r w:rsidR="00360C18">
        <w:rPr>
          <w:b/>
          <w:sz w:val="24"/>
          <w:szCs w:val="24"/>
          <w:lang w:eastAsia="en-US"/>
        </w:rPr>
        <w:t>2018/</w:t>
      </w:r>
      <w:r w:rsidRPr="00754D71">
        <w:rPr>
          <w:b/>
          <w:sz w:val="24"/>
          <w:szCs w:val="24"/>
          <w:lang w:eastAsia="en-US"/>
        </w:rPr>
        <w:t>3</w:t>
      </w:r>
    </w:p>
    <w:p w14:paraId="40E3F3A8" w14:textId="77777777" w:rsidR="005B63D9" w:rsidRPr="00754D71" w:rsidRDefault="005B63D9" w:rsidP="00754D71">
      <w:pPr>
        <w:pStyle w:val="CommentText"/>
        <w:spacing w:after="0"/>
        <w:jc w:val="center"/>
        <w:rPr>
          <w:b/>
          <w:sz w:val="24"/>
          <w:szCs w:val="24"/>
          <w:lang w:eastAsia="en-US"/>
        </w:rPr>
      </w:pPr>
    </w:p>
    <w:p w14:paraId="5A96BB2B" w14:textId="47CBF42C" w:rsidR="00DD2A7F" w:rsidRPr="00DD2A7F" w:rsidRDefault="00896775" w:rsidP="00754D71">
      <w:pPr>
        <w:shd w:val="clear" w:color="auto" w:fill="FFFFFF"/>
        <w:spacing w:before="120" w:after="120"/>
        <w:rPr>
          <w:sz w:val="24"/>
          <w:szCs w:val="24"/>
          <w:lang w:val="en-US"/>
        </w:rPr>
      </w:pPr>
      <w:r>
        <w:rPr>
          <w:sz w:val="24"/>
          <w:szCs w:val="24"/>
        </w:rPr>
        <w:t xml:space="preserve">The </w:t>
      </w:r>
      <w:r w:rsidR="00DD2A7F" w:rsidRPr="00DD2A7F">
        <w:rPr>
          <w:sz w:val="24"/>
          <w:szCs w:val="24"/>
        </w:rPr>
        <w:t>AS</w:t>
      </w:r>
      <w:r w:rsidR="00EB377F" w:rsidRPr="00140E1E">
        <w:rPr>
          <w:sz w:val="24"/>
          <w:szCs w:val="24"/>
        </w:rPr>
        <w:t xml:space="preserve">IC Corporations (Amendment) </w:t>
      </w:r>
      <w:r w:rsidR="00D70E53">
        <w:rPr>
          <w:sz w:val="24"/>
          <w:szCs w:val="24"/>
        </w:rPr>
        <w:t xml:space="preserve">Instrument </w:t>
      </w:r>
      <w:r w:rsidR="00360C18">
        <w:rPr>
          <w:sz w:val="24"/>
          <w:szCs w:val="24"/>
        </w:rPr>
        <w:t>2018/</w:t>
      </w:r>
      <w:r w:rsidR="00EB377F" w:rsidRPr="00140E1E">
        <w:rPr>
          <w:sz w:val="24"/>
          <w:szCs w:val="24"/>
        </w:rPr>
        <w:t>3</w:t>
      </w:r>
      <w:r w:rsidR="00DD2A7F" w:rsidRPr="00DD2A7F">
        <w:rPr>
          <w:sz w:val="24"/>
          <w:szCs w:val="24"/>
        </w:rPr>
        <w:t xml:space="preserve"> is compatible with the human rights and freedoms recognised or declared in the international instruments listed in section 3 of the </w:t>
      </w:r>
      <w:r w:rsidR="00DD2A7F" w:rsidRPr="00DD2A7F">
        <w:rPr>
          <w:i/>
          <w:iCs/>
          <w:sz w:val="24"/>
          <w:szCs w:val="24"/>
        </w:rPr>
        <w:t>Human Rights (Parliamentary Scrutiny) Act 2011</w:t>
      </w:r>
      <w:r w:rsidR="00DD2A7F" w:rsidRPr="00DD2A7F">
        <w:rPr>
          <w:sz w:val="24"/>
          <w:szCs w:val="24"/>
        </w:rPr>
        <w:t>. </w:t>
      </w:r>
    </w:p>
    <w:p w14:paraId="639743F9" w14:textId="77777777" w:rsidR="00DD2A7F" w:rsidRPr="00754D71" w:rsidRDefault="00DD2A7F" w:rsidP="00754D71">
      <w:pPr>
        <w:pStyle w:val="CommentText"/>
        <w:spacing w:after="0"/>
        <w:rPr>
          <w:b/>
          <w:sz w:val="24"/>
          <w:szCs w:val="24"/>
          <w:lang w:eastAsia="en-US"/>
        </w:rPr>
      </w:pPr>
      <w:r w:rsidRPr="00754D71">
        <w:rPr>
          <w:b/>
          <w:sz w:val="24"/>
          <w:szCs w:val="24"/>
          <w:lang w:eastAsia="en-US"/>
        </w:rPr>
        <w:t>Overview</w:t>
      </w:r>
    </w:p>
    <w:p w14:paraId="6E5C1C4A" w14:textId="0AE8A59F" w:rsidR="00226E04" w:rsidRPr="00754D71" w:rsidRDefault="00226E04" w:rsidP="00DD2A7F">
      <w:pPr>
        <w:shd w:val="clear" w:color="auto" w:fill="FFFFFF"/>
        <w:spacing w:before="200" w:after="0" w:line="261" w:lineRule="auto"/>
        <w:rPr>
          <w:i/>
          <w:sz w:val="24"/>
          <w:szCs w:val="24"/>
        </w:rPr>
      </w:pPr>
      <w:r>
        <w:rPr>
          <w:i/>
          <w:sz w:val="24"/>
          <w:szCs w:val="24"/>
        </w:rPr>
        <w:t xml:space="preserve">Chi-X </w:t>
      </w:r>
      <w:r w:rsidR="006C50C7">
        <w:rPr>
          <w:i/>
          <w:sz w:val="24"/>
          <w:szCs w:val="24"/>
        </w:rPr>
        <w:t>exchange traded funds</w:t>
      </w:r>
    </w:p>
    <w:p w14:paraId="3D17A21D" w14:textId="106ADAE4" w:rsidR="00DD2A7F" w:rsidRPr="00DD2A7F" w:rsidRDefault="00DD2A7F" w:rsidP="00DD2A7F">
      <w:pPr>
        <w:shd w:val="clear" w:color="auto" w:fill="FFFFFF"/>
        <w:spacing w:before="200" w:after="0" w:line="261" w:lineRule="auto"/>
        <w:rPr>
          <w:sz w:val="24"/>
          <w:szCs w:val="24"/>
          <w:lang w:val="en-US"/>
        </w:rPr>
      </w:pPr>
      <w:r w:rsidRPr="00DD2A7F">
        <w:rPr>
          <w:sz w:val="24"/>
          <w:szCs w:val="24"/>
        </w:rPr>
        <w:t>Chi-X Australia Pty Ltd (</w:t>
      </w:r>
      <w:r w:rsidRPr="00DD2A7F">
        <w:rPr>
          <w:b/>
          <w:bCs/>
          <w:sz w:val="24"/>
          <w:szCs w:val="24"/>
        </w:rPr>
        <w:t>Chi-X</w:t>
      </w:r>
      <w:r w:rsidRPr="00DD2A7F">
        <w:rPr>
          <w:sz w:val="24"/>
          <w:szCs w:val="24"/>
        </w:rPr>
        <w:t>) holds an Australian market licence which enables it to provide secondary trading services in securities and managed investment scheme interests that are listed, quoted and traded on the financial market operated by ASX Limited (</w:t>
      </w:r>
      <w:r w:rsidRPr="00DD2A7F">
        <w:rPr>
          <w:b/>
          <w:bCs/>
          <w:sz w:val="24"/>
          <w:szCs w:val="24"/>
        </w:rPr>
        <w:t>ASX</w:t>
      </w:r>
      <w:r w:rsidRPr="00DD2A7F">
        <w:rPr>
          <w:sz w:val="24"/>
          <w:szCs w:val="24"/>
        </w:rPr>
        <w:t>).</w:t>
      </w:r>
    </w:p>
    <w:p w14:paraId="4EB319A3" w14:textId="0513B935" w:rsidR="00DD2A7F" w:rsidRPr="00DD2A7F" w:rsidRDefault="00DD2A7F" w:rsidP="00DD2A7F">
      <w:pPr>
        <w:shd w:val="clear" w:color="auto" w:fill="FFFFFF"/>
        <w:spacing w:before="200" w:after="0" w:line="261" w:lineRule="auto"/>
        <w:rPr>
          <w:sz w:val="24"/>
          <w:szCs w:val="24"/>
          <w:lang w:val="en-US"/>
        </w:rPr>
      </w:pPr>
      <w:r w:rsidRPr="00DD2A7F">
        <w:rPr>
          <w:sz w:val="24"/>
          <w:szCs w:val="24"/>
        </w:rPr>
        <w:t>Chi-X is expanding its service</w:t>
      </w:r>
      <w:r w:rsidR="00EB377F" w:rsidRPr="00140E1E">
        <w:rPr>
          <w:sz w:val="24"/>
          <w:szCs w:val="24"/>
        </w:rPr>
        <w:t>s to include trading in exchange traded funds (</w:t>
      </w:r>
      <w:r w:rsidR="00EB377F" w:rsidRPr="00140E1E">
        <w:rPr>
          <w:b/>
          <w:sz w:val="24"/>
          <w:szCs w:val="24"/>
        </w:rPr>
        <w:t>ETFs</w:t>
      </w:r>
      <w:r w:rsidR="00EB377F" w:rsidRPr="00140E1E">
        <w:rPr>
          <w:sz w:val="24"/>
          <w:szCs w:val="24"/>
        </w:rPr>
        <w:t xml:space="preserve">) </w:t>
      </w:r>
      <w:r w:rsidRPr="00DD2A7F">
        <w:rPr>
          <w:sz w:val="24"/>
          <w:szCs w:val="24"/>
        </w:rPr>
        <w:t>that have been admitted to quotation on the Chi-X market. This service is broadly equivalent to that offered by</w:t>
      </w:r>
      <w:r w:rsidR="00EB377F" w:rsidRPr="00140E1E">
        <w:rPr>
          <w:sz w:val="24"/>
          <w:szCs w:val="24"/>
        </w:rPr>
        <w:t xml:space="preserve"> the ASX in relation to ETFs on its AQUA market</w:t>
      </w:r>
      <w:r w:rsidRPr="00DD2A7F">
        <w:rPr>
          <w:sz w:val="24"/>
          <w:szCs w:val="24"/>
        </w:rPr>
        <w:t xml:space="preserve"> that have been admitted to quotation on the financial market operated by ASX.</w:t>
      </w:r>
    </w:p>
    <w:p w14:paraId="003C9827" w14:textId="6D2E19B2" w:rsidR="00D70E53" w:rsidRDefault="00D70E53" w:rsidP="00FC700D">
      <w:pPr>
        <w:spacing w:before="200" w:after="0"/>
        <w:rPr>
          <w:sz w:val="24"/>
          <w:szCs w:val="24"/>
        </w:rPr>
      </w:pPr>
      <w:r>
        <w:rPr>
          <w:sz w:val="24"/>
          <w:szCs w:val="24"/>
        </w:rPr>
        <w:t xml:space="preserve">ASIC has exercised its powers to </w:t>
      </w:r>
      <w:r w:rsidRPr="00140E1E">
        <w:rPr>
          <w:sz w:val="24"/>
          <w:szCs w:val="24"/>
        </w:rPr>
        <w:t xml:space="preserve">grant relief from the requirements of certain provisions of the </w:t>
      </w:r>
      <w:r w:rsidR="00085EC8" w:rsidRPr="00754D71">
        <w:rPr>
          <w:i/>
          <w:sz w:val="24"/>
          <w:szCs w:val="24"/>
        </w:rPr>
        <w:t xml:space="preserve">Corporations </w:t>
      </w:r>
      <w:r w:rsidRPr="00754D71">
        <w:rPr>
          <w:i/>
          <w:sz w:val="24"/>
          <w:szCs w:val="24"/>
        </w:rPr>
        <w:t>Act</w:t>
      </w:r>
      <w:r w:rsidR="00085EC8" w:rsidRPr="00754D71">
        <w:rPr>
          <w:i/>
          <w:sz w:val="24"/>
          <w:szCs w:val="24"/>
        </w:rPr>
        <w:t xml:space="preserve"> 2001</w:t>
      </w:r>
      <w:r w:rsidR="00085EC8">
        <w:rPr>
          <w:sz w:val="24"/>
          <w:szCs w:val="24"/>
        </w:rPr>
        <w:t xml:space="preserve"> (</w:t>
      </w:r>
      <w:r w:rsidR="00085EC8">
        <w:rPr>
          <w:b/>
          <w:sz w:val="24"/>
          <w:szCs w:val="24"/>
        </w:rPr>
        <w:t>the Act</w:t>
      </w:r>
      <w:r w:rsidR="00085EC8">
        <w:rPr>
          <w:sz w:val="24"/>
          <w:szCs w:val="24"/>
        </w:rPr>
        <w:t>)</w:t>
      </w:r>
      <w:r>
        <w:rPr>
          <w:sz w:val="24"/>
          <w:szCs w:val="24"/>
        </w:rPr>
        <w:t xml:space="preserve"> </w:t>
      </w:r>
      <w:proofErr w:type="gramStart"/>
      <w:r>
        <w:rPr>
          <w:sz w:val="24"/>
          <w:szCs w:val="24"/>
        </w:rPr>
        <w:t>in order to</w:t>
      </w:r>
      <w:proofErr w:type="gramEnd"/>
      <w:r>
        <w:rPr>
          <w:sz w:val="24"/>
          <w:szCs w:val="24"/>
        </w:rPr>
        <w:t xml:space="preserve"> facilitate the appropriate operation of the AQUA market by ASX</w:t>
      </w:r>
      <w:r w:rsidRPr="00140E1E">
        <w:rPr>
          <w:sz w:val="24"/>
          <w:szCs w:val="24"/>
        </w:rPr>
        <w:t xml:space="preserve">. </w:t>
      </w:r>
      <w:r>
        <w:rPr>
          <w:sz w:val="24"/>
          <w:szCs w:val="24"/>
        </w:rPr>
        <w:t xml:space="preserve"> This relief currently operates specifically to the ASX market</w:t>
      </w:r>
      <w:r w:rsidRPr="00140E1E">
        <w:rPr>
          <w:sz w:val="24"/>
          <w:szCs w:val="24"/>
        </w:rPr>
        <w:t xml:space="preserve">. </w:t>
      </w:r>
      <w:r>
        <w:rPr>
          <w:sz w:val="24"/>
          <w:szCs w:val="24"/>
        </w:rPr>
        <w:t>The</w:t>
      </w:r>
      <w:r w:rsidRPr="00140E1E">
        <w:rPr>
          <w:sz w:val="24"/>
          <w:szCs w:val="24"/>
        </w:rPr>
        <w:t xml:space="preserve"> ETF services proposed by Chi-X will be broadly equivalent to that offered by the ASX</w:t>
      </w:r>
      <w:r>
        <w:rPr>
          <w:sz w:val="24"/>
          <w:szCs w:val="24"/>
        </w:rPr>
        <w:t xml:space="preserve">.  ASIC considers it appropriate to grant </w:t>
      </w:r>
      <w:r w:rsidRPr="00140E1E">
        <w:rPr>
          <w:sz w:val="24"/>
          <w:szCs w:val="24"/>
        </w:rPr>
        <w:t xml:space="preserve">the same relief to facilitate the quotation and trading of interests in ETFs on the Chi-X market. </w:t>
      </w:r>
      <w:r>
        <w:rPr>
          <w:sz w:val="24"/>
          <w:szCs w:val="24"/>
        </w:rPr>
        <w:t xml:space="preserve"> </w:t>
      </w:r>
      <w:r w:rsidRPr="00DD2A7F">
        <w:rPr>
          <w:sz w:val="24"/>
          <w:szCs w:val="24"/>
        </w:rPr>
        <w:t>AS</w:t>
      </w:r>
      <w:r w:rsidRPr="00140E1E">
        <w:rPr>
          <w:sz w:val="24"/>
          <w:szCs w:val="24"/>
        </w:rPr>
        <w:t xml:space="preserve">IC Corporations (Amendment) </w:t>
      </w:r>
      <w:r>
        <w:rPr>
          <w:sz w:val="24"/>
          <w:szCs w:val="24"/>
        </w:rPr>
        <w:t xml:space="preserve">Instrument </w:t>
      </w:r>
      <w:r w:rsidR="00360C18">
        <w:rPr>
          <w:sz w:val="24"/>
          <w:szCs w:val="24"/>
        </w:rPr>
        <w:t>2018/</w:t>
      </w:r>
      <w:r w:rsidRPr="00140E1E">
        <w:rPr>
          <w:sz w:val="24"/>
          <w:szCs w:val="24"/>
        </w:rPr>
        <w:t>3</w:t>
      </w:r>
      <w:r>
        <w:rPr>
          <w:sz w:val="24"/>
          <w:szCs w:val="24"/>
        </w:rPr>
        <w:t xml:space="preserve"> therefore amends the following instruments to extend their application to ETFs quoted and traded on the Chi-X market.</w:t>
      </w:r>
    </w:p>
    <w:p w14:paraId="2ADB5AE6" w14:textId="07753CAC" w:rsidR="00DD2A7F" w:rsidRPr="00DD2A7F" w:rsidRDefault="00DD2A7F" w:rsidP="00DD2A7F">
      <w:pPr>
        <w:shd w:val="clear" w:color="auto" w:fill="FFFFFF"/>
        <w:spacing w:before="200" w:after="0" w:line="261" w:lineRule="auto"/>
        <w:ind w:left="709" w:hanging="709"/>
        <w:rPr>
          <w:sz w:val="24"/>
          <w:szCs w:val="24"/>
          <w:lang w:val="en-US"/>
        </w:rPr>
      </w:pPr>
      <w:r w:rsidRPr="00DD2A7F">
        <w:rPr>
          <w:sz w:val="24"/>
          <w:szCs w:val="24"/>
        </w:rPr>
        <w:t>(a)       </w:t>
      </w:r>
      <w:r w:rsidR="005A2E4B" w:rsidRPr="00140E1E">
        <w:rPr>
          <w:b/>
          <w:sz w:val="24"/>
          <w:szCs w:val="24"/>
        </w:rPr>
        <w:t xml:space="preserve">ASIC </w:t>
      </w:r>
      <w:r w:rsidR="006C411E">
        <w:rPr>
          <w:b/>
          <w:sz w:val="24"/>
          <w:szCs w:val="24"/>
        </w:rPr>
        <w:t xml:space="preserve">Class Order </w:t>
      </w:r>
      <w:r w:rsidR="005A2E4B" w:rsidRPr="00140E1E">
        <w:rPr>
          <w:b/>
          <w:sz w:val="24"/>
          <w:szCs w:val="24"/>
        </w:rPr>
        <w:t>[CO 10/288</w:t>
      </w:r>
      <w:r w:rsidRPr="00DD2A7F">
        <w:rPr>
          <w:b/>
          <w:sz w:val="24"/>
          <w:szCs w:val="24"/>
        </w:rPr>
        <w:t>]:</w:t>
      </w:r>
      <w:r w:rsidRPr="00DD2A7F">
        <w:rPr>
          <w:sz w:val="24"/>
          <w:szCs w:val="24"/>
        </w:rPr>
        <w:t xml:space="preserve">  </w:t>
      </w:r>
    </w:p>
    <w:p w14:paraId="3C3AED5E" w14:textId="03211372" w:rsidR="00DD2A7F" w:rsidRPr="00DD2A7F" w:rsidRDefault="00DD2A7F" w:rsidP="00DD2A7F">
      <w:pPr>
        <w:shd w:val="clear" w:color="auto" w:fill="FFFFFF"/>
        <w:spacing w:before="200" w:after="0" w:line="261" w:lineRule="auto"/>
        <w:rPr>
          <w:sz w:val="24"/>
          <w:szCs w:val="24"/>
          <w:lang w:val="en-US"/>
        </w:rPr>
      </w:pPr>
      <w:r w:rsidRPr="00DD2A7F">
        <w:rPr>
          <w:sz w:val="24"/>
          <w:szCs w:val="24"/>
        </w:rPr>
        <w:t xml:space="preserve">This Class Order </w:t>
      </w:r>
      <w:r w:rsidR="005A2E4B" w:rsidRPr="00140E1E">
        <w:rPr>
          <w:sz w:val="24"/>
          <w:szCs w:val="24"/>
        </w:rPr>
        <w:t xml:space="preserve">gives relief to ETF market makers from the requirement </w:t>
      </w:r>
      <w:r w:rsidR="00AE15F4">
        <w:rPr>
          <w:sz w:val="24"/>
          <w:szCs w:val="24"/>
        </w:rPr>
        <w:t>in</w:t>
      </w:r>
      <w:r w:rsidR="00AE15F4" w:rsidRPr="00140E1E">
        <w:rPr>
          <w:sz w:val="24"/>
          <w:szCs w:val="24"/>
        </w:rPr>
        <w:t xml:space="preserve"> s1020</w:t>
      </w:r>
      <w:proofErr w:type="gramStart"/>
      <w:r w:rsidR="00AE15F4" w:rsidRPr="00140E1E">
        <w:rPr>
          <w:sz w:val="24"/>
          <w:szCs w:val="24"/>
        </w:rPr>
        <w:t>AB(</w:t>
      </w:r>
      <w:proofErr w:type="gramEnd"/>
      <w:r w:rsidR="00AE15F4" w:rsidRPr="00140E1E">
        <w:rPr>
          <w:sz w:val="24"/>
          <w:szCs w:val="24"/>
        </w:rPr>
        <w:t>3)</w:t>
      </w:r>
      <w:r w:rsidR="00AE15F4">
        <w:rPr>
          <w:sz w:val="24"/>
          <w:szCs w:val="24"/>
        </w:rPr>
        <w:t xml:space="preserve"> of the Act</w:t>
      </w:r>
      <w:r w:rsidR="00AE15F4" w:rsidRPr="00140E1E">
        <w:rPr>
          <w:sz w:val="24"/>
          <w:szCs w:val="24"/>
        </w:rPr>
        <w:t xml:space="preserve"> </w:t>
      </w:r>
      <w:r w:rsidR="005A2E4B" w:rsidRPr="00140E1E">
        <w:rPr>
          <w:sz w:val="24"/>
          <w:szCs w:val="24"/>
        </w:rPr>
        <w:t xml:space="preserve">to report covered short sales in the course of making a market. The relief recognises that </w:t>
      </w:r>
      <w:r w:rsidR="000B6DE8" w:rsidRPr="00140E1E">
        <w:rPr>
          <w:sz w:val="24"/>
          <w:szCs w:val="24"/>
        </w:rPr>
        <w:t xml:space="preserve">the cost to collect the reporting information in relation to these sales outweighs the benefit to the market. </w:t>
      </w:r>
    </w:p>
    <w:p w14:paraId="3BB0F163" w14:textId="5C626A0D" w:rsidR="00DD2A7F" w:rsidRPr="00DD2A7F" w:rsidRDefault="00DD2A7F" w:rsidP="00DD2A7F">
      <w:pPr>
        <w:shd w:val="clear" w:color="auto" w:fill="FFFFFF"/>
        <w:spacing w:before="200" w:after="0" w:line="261" w:lineRule="auto"/>
        <w:ind w:left="709" w:hanging="709"/>
        <w:rPr>
          <w:sz w:val="24"/>
          <w:szCs w:val="24"/>
          <w:lang w:val="en-US"/>
        </w:rPr>
      </w:pPr>
      <w:r w:rsidRPr="00DD2A7F">
        <w:rPr>
          <w:sz w:val="24"/>
          <w:szCs w:val="24"/>
        </w:rPr>
        <w:t>(b)       </w:t>
      </w:r>
      <w:r w:rsidR="000B6DE8" w:rsidRPr="00140E1E">
        <w:rPr>
          <w:b/>
          <w:sz w:val="24"/>
          <w:szCs w:val="24"/>
        </w:rPr>
        <w:t xml:space="preserve">ASIC Class Order </w:t>
      </w:r>
      <w:r w:rsidR="006C411E">
        <w:rPr>
          <w:b/>
          <w:sz w:val="24"/>
          <w:szCs w:val="24"/>
        </w:rPr>
        <w:t xml:space="preserve">[CO </w:t>
      </w:r>
      <w:r w:rsidR="000B6DE8" w:rsidRPr="00140E1E">
        <w:rPr>
          <w:b/>
          <w:sz w:val="24"/>
          <w:szCs w:val="24"/>
        </w:rPr>
        <w:t>13/655</w:t>
      </w:r>
      <w:r w:rsidRPr="00DD2A7F">
        <w:rPr>
          <w:b/>
          <w:sz w:val="24"/>
          <w:szCs w:val="24"/>
        </w:rPr>
        <w:t xml:space="preserve">]: </w:t>
      </w:r>
    </w:p>
    <w:p w14:paraId="38A3BCB2" w14:textId="7F4C51C9" w:rsidR="000B6DE8" w:rsidRPr="00140E1E" w:rsidRDefault="000B6DE8" w:rsidP="00754D71">
      <w:pPr>
        <w:shd w:val="clear" w:color="auto" w:fill="FFFFFF"/>
        <w:spacing w:before="200" w:after="0" w:line="261" w:lineRule="auto"/>
        <w:rPr>
          <w:sz w:val="24"/>
          <w:szCs w:val="24"/>
        </w:rPr>
      </w:pPr>
      <w:r w:rsidRPr="00140E1E">
        <w:rPr>
          <w:sz w:val="24"/>
          <w:szCs w:val="24"/>
        </w:rPr>
        <w:t xml:space="preserve">This Class Order modifies the application of Chapter 5C of the Act as it applies to a responsible entity. Relevantly, paragraph 4 of the class order notionally inserts subsection 601GAE. </w:t>
      </w:r>
    </w:p>
    <w:p w14:paraId="020CD132" w14:textId="77777777" w:rsidR="000B6DE8" w:rsidRPr="00140E1E" w:rsidRDefault="000B6DE8" w:rsidP="000B6DE8">
      <w:pPr>
        <w:autoSpaceDE w:val="0"/>
        <w:autoSpaceDN w:val="0"/>
        <w:adjustRightInd w:val="0"/>
        <w:spacing w:after="0"/>
        <w:rPr>
          <w:sz w:val="24"/>
          <w:szCs w:val="24"/>
        </w:rPr>
      </w:pPr>
    </w:p>
    <w:p w14:paraId="73058431" w14:textId="77777777" w:rsidR="000B6DE8" w:rsidRPr="00140E1E" w:rsidRDefault="000B6DE8" w:rsidP="000B6DE8">
      <w:pPr>
        <w:autoSpaceDE w:val="0"/>
        <w:autoSpaceDN w:val="0"/>
        <w:adjustRightInd w:val="0"/>
        <w:spacing w:after="0"/>
        <w:rPr>
          <w:sz w:val="24"/>
          <w:szCs w:val="24"/>
        </w:rPr>
      </w:pPr>
      <w:r w:rsidRPr="00140E1E">
        <w:rPr>
          <w:sz w:val="24"/>
          <w:szCs w:val="24"/>
        </w:rPr>
        <w:t>Subsection s601</w:t>
      </w:r>
      <w:proofErr w:type="gramStart"/>
      <w:r w:rsidRPr="00140E1E">
        <w:rPr>
          <w:sz w:val="24"/>
          <w:szCs w:val="24"/>
        </w:rPr>
        <w:t>GAE(</w:t>
      </w:r>
      <w:proofErr w:type="gramEnd"/>
      <w:r w:rsidRPr="00140E1E">
        <w:rPr>
          <w:sz w:val="24"/>
          <w:szCs w:val="24"/>
        </w:rPr>
        <w:t>1) allows a responsible entity to exercise certain discretions in determining the amount of consideration to acquire an interest in the scheme when it uses a formula or method that complies with subsection 601GAE(2).</w:t>
      </w:r>
    </w:p>
    <w:p w14:paraId="054860AD" w14:textId="3DF76B43" w:rsidR="00DD2A7F" w:rsidRPr="00DD2A7F" w:rsidRDefault="00DD2A7F" w:rsidP="00140E1E">
      <w:pPr>
        <w:shd w:val="clear" w:color="auto" w:fill="FFFFFF"/>
        <w:spacing w:before="200" w:after="0" w:line="261" w:lineRule="auto"/>
        <w:rPr>
          <w:sz w:val="24"/>
          <w:szCs w:val="24"/>
          <w:lang w:val="en-US"/>
        </w:rPr>
      </w:pPr>
      <w:r w:rsidRPr="00DD2A7F">
        <w:rPr>
          <w:sz w:val="24"/>
          <w:szCs w:val="24"/>
        </w:rPr>
        <w:t>(c)       </w:t>
      </w:r>
      <w:r w:rsidRPr="00DD2A7F">
        <w:rPr>
          <w:b/>
          <w:sz w:val="24"/>
          <w:szCs w:val="24"/>
        </w:rPr>
        <w:t xml:space="preserve">ASIC Class Order </w:t>
      </w:r>
      <w:r w:rsidR="006C411E">
        <w:rPr>
          <w:b/>
          <w:sz w:val="24"/>
          <w:szCs w:val="24"/>
        </w:rPr>
        <w:t xml:space="preserve">[CO </w:t>
      </w:r>
      <w:r w:rsidR="000B6DE8" w:rsidRPr="00140E1E">
        <w:rPr>
          <w:b/>
          <w:sz w:val="24"/>
          <w:szCs w:val="24"/>
        </w:rPr>
        <w:t>13/721]</w:t>
      </w:r>
      <w:r w:rsidR="00F853F8">
        <w:rPr>
          <w:b/>
          <w:sz w:val="24"/>
          <w:szCs w:val="24"/>
        </w:rPr>
        <w:t>:</w:t>
      </w:r>
    </w:p>
    <w:p w14:paraId="6A728A1E" w14:textId="57DACFEA" w:rsidR="007A7103" w:rsidRPr="00140E1E" w:rsidRDefault="00DD2A7F" w:rsidP="007A7103">
      <w:pPr>
        <w:pStyle w:val="BodyText"/>
        <w:spacing w:before="199"/>
        <w:rPr>
          <w:szCs w:val="24"/>
        </w:rPr>
      </w:pPr>
      <w:r w:rsidRPr="00DD2A7F">
        <w:rPr>
          <w:szCs w:val="24"/>
        </w:rPr>
        <w:t xml:space="preserve">This Class Order </w:t>
      </w:r>
      <w:r w:rsidR="00AE15F4">
        <w:rPr>
          <w:szCs w:val="24"/>
        </w:rPr>
        <w:t>makes</w:t>
      </w:r>
      <w:r w:rsidR="00AE15F4" w:rsidRPr="00140E1E">
        <w:rPr>
          <w:szCs w:val="24"/>
        </w:rPr>
        <w:t xml:space="preserve"> </w:t>
      </w:r>
      <w:r w:rsidR="00D53690" w:rsidRPr="00140E1E">
        <w:rPr>
          <w:szCs w:val="24"/>
        </w:rPr>
        <w:t xml:space="preserve">the following </w:t>
      </w:r>
      <w:r w:rsidR="007A7103" w:rsidRPr="00140E1E">
        <w:rPr>
          <w:szCs w:val="24"/>
        </w:rPr>
        <w:t>exemptions to provide relief to responsible entities of ETFs</w:t>
      </w:r>
      <w:r w:rsidR="00AE15F4">
        <w:rPr>
          <w:szCs w:val="24"/>
        </w:rPr>
        <w:t>:</w:t>
      </w:r>
      <w:r w:rsidR="007A7103" w:rsidRPr="00140E1E">
        <w:rPr>
          <w:szCs w:val="24"/>
        </w:rPr>
        <w:t xml:space="preserve"> </w:t>
      </w:r>
    </w:p>
    <w:p w14:paraId="472992A4" w14:textId="165892C5" w:rsidR="007A7103" w:rsidRPr="00140E1E" w:rsidRDefault="007A7103" w:rsidP="00896775">
      <w:pPr>
        <w:pStyle w:val="BodyText"/>
        <w:numPr>
          <w:ilvl w:val="0"/>
          <w:numId w:val="27"/>
        </w:numPr>
        <w:tabs>
          <w:tab w:val="clear" w:pos="567"/>
          <w:tab w:val="left" w:pos="709"/>
        </w:tabs>
        <w:spacing w:before="199"/>
        <w:rPr>
          <w:szCs w:val="24"/>
        </w:rPr>
      </w:pPr>
      <w:r w:rsidRPr="00140E1E">
        <w:rPr>
          <w:szCs w:val="24"/>
        </w:rPr>
        <w:t xml:space="preserve">Exemption from </w:t>
      </w:r>
      <w:r w:rsidR="00AE15F4">
        <w:rPr>
          <w:szCs w:val="24"/>
        </w:rPr>
        <w:t xml:space="preserve">the requirement in </w:t>
      </w:r>
      <w:r w:rsidRPr="00140E1E">
        <w:rPr>
          <w:szCs w:val="24"/>
        </w:rPr>
        <w:t>s601FC(1)(d) of the Act to provide equal treatment of members when responsible entities permit authorised participants to withdraw from an ETF;</w:t>
      </w:r>
    </w:p>
    <w:p w14:paraId="20EB8415" w14:textId="787E25F8" w:rsidR="007A7103" w:rsidRPr="00140E1E" w:rsidRDefault="007A7103" w:rsidP="00754D71">
      <w:pPr>
        <w:pStyle w:val="BodyText"/>
        <w:numPr>
          <w:ilvl w:val="0"/>
          <w:numId w:val="27"/>
        </w:numPr>
        <w:tabs>
          <w:tab w:val="clear" w:pos="567"/>
          <w:tab w:val="left" w:pos="709"/>
        </w:tabs>
        <w:spacing w:before="199"/>
        <w:rPr>
          <w:szCs w:val="24"/>
        </w:rPr>
      </w:pPr>
      <w:r w:rsidRPr="00140E1E">
        <w:rPr>
          <w:szCs w:val="24"/>
        </w:rPr>
        <w:t xml:space="preserve">Exemption from </w:t>
      </w:r>
      <w:r w:rsidR="00AE15F4">
        <w:rPr>
          <w:szCs w:val="24"/>
        </w:rPr>
        <w:t xml:space="preserve">the requirement in </w:t>
      </w:r>
      <w:r w:rsidRPr="00140E1E">
        <w:rPr>
          <w:szCs w:val="24"/>
        </w:rPr>
        <w:t xml:space="preserve">s601FC(1)(d) of the Act to provide equal treatment of members when responsible entities provide index or portfolio information to authorised participants before other members; </w:t>
      </w:r>
      <w:r w:rsidR="006C411E">
        <w:rPr>
          <w:szCs w:val="24"/>
        </w:rPr>
        <w:t>and</w:t>
      </w:r>
    </w:p>
    <w:p w14:paraId="0636DFB1" w14:textId="41E8C379" w:rsidR="007A7103" w:rsidRPr="00140E1E" w:rsidRDefault="007A7103" w:rsidP="00754D71">
      <w:pPr>
        <w:pStyle w:val="BodyText"/>
        <w:numPr>
          <w:ilvl w:val="0"/>
          <w:numId w:val="27"/>
        </w:numPr>
        <w:tabs>
          <w:tab w:val="clear" w:pos="567"/>
          <w:tab w:val="left" w:pos="709"/>
        </w:tabs>
        <w:spacing w:before="199"/>
        <w:rPr>
          <w:szCs w:val="24"/>
        </w:rPr>
      </w:pPr>
      <w:r w:rsidRPr="00140E1E">
        <w:rPr>
          <w:szCs w:val="24"/>
        </w:rPr>
        <w:t xml:space="preserve">Exemption from </w:t>
      </w:r>
      <w:r w:rsidR="00AE15F4">
        <w:rPr>
          <w:szCs w:val="24"/>
        </w:rPr>
        <w:t xml:space="preserve">the requirement in </w:t>
      </w:r>
      <w:r w:rsidRPr="00140E1E">
        <w:rPr>
          <w:szCs w:val="24"/>
        </w:rPr>
        <w:t>s1017B of the Act to notify retail clients of material changes and significant events in relation to their ETF</w:t>
      </w:r>
      <w:r w:rsidR="00FD4F58">
        <w:rPr>
          <w:szCs w:val="24"/>
        </w:rPr>
        <w:t>.</w:t>
      </w:r>
    </w:p>
    <w:p w14:paraId="02303669" w14:textId="62B19A7F" w:rsidR="007A7103" w:rsidRPr="00140E1E" w:rsidRDefault="006C411E" w:rsidP="00754D71">
      <w:pPr>
        <w:pStyle w:val="BodyText"/>
        <w:tabs>
          <w:tab w:val="clear" w:pos="567"/>
          <w:tab w:val="clear" w:pos="680"/>
          <w:tab w:val="left" w:pos="0"/>
        </w:tabs>
        <w:spacing w:before="199"/>
        <w:rPr>
          <w:szCs w:val="24"/>
        </w:rPr>
      </w:pPr>
      <w:r>
        <w:rPr>
          <w:szCs w:val="24"/>
        </w:rPr>
        <w:t>This Class Order also m</w:t>
      </w:r>
      <w:r w:rsidR="00D53690" w:rsidRPr="00140E1E">
        <w:rPr>
          <w:szCs w:val="24"/>
        </w:rPr>
        <w:t>odifi</w:t>
      </w:r>
      <w:r>
        <w:rPr>
          <w:szCs w:val="24"/>
        </w:rPr>
        <w:t>es</w:t>
      </w:r>
      <w:r w:rsidR="007A7103" w:rsidRPr="00140E1E">
        <w:rPr>
          <w:szCs w:val="24"/>
        </w:rPr>
        <w:t xml:space="preserve"> Chapters 6 and 6C of the Act so that the ability to lodge a withdrawal request by </w:t>
      </w:r>
      <w:r w:rsidR="00AE15F4">
        <w:rPr>
          <w:szCs w:val="24"/>
        </w:rPr>
        <w:t>an</w:t>
      </w:r>
      <w:r w:rsidR="00AE15F4" w:rsidRPr="00140E1E">
        <w:rPr>
          <w:szCs w:val="24"/>
        </w:rPr>
        <w:t xml:space="preserve"> </w:t>
      </w:r>
      <w:r w:rsidR="00517A72">
        <w:rPr>
          <w:szCs w:val="24"/>
        </w:rPr>
        <w:t>authorised participant</w:t>
      </w:r>
      <w:r w:rsidR="007A7103" w:rsidRPr="00140E1E">
        <w:rPr>
          <w:szCs w:val="24"/>
        </w:rPr>
        <w:t xml:space="preserve"> who </w:t>
      </w:r>
      <w:r w:rsidR="00AE15F4">
        <w:rPr>
          <w:szCs w:val="24"/>
        </w:rPr>
        <w:t>is a</w:t>
      </w:r>
      <w:r w:rsidR="00AE15F4" w:rsidRPr="00140E1E">
        <w:rPr>
          <w:szCs w:val="24"/>
        </w:rPr>
        <w:t xml:space="preserve"> </w:t>
      </w:r>
      <w:r w:rsidR="007A7103" w:rsidRPr="00140E1E">
        <w:rPr>
          <w:szCs w:val="24"/>
        </w:rPr>
        <w:t xml:space="preserve">member of the ETF under the acquisition and withdrawal facility offered by a scheme does not by itself give </w:t>
      </w:r>
      <w:r w:rsidR="00AE15F4">
        <w:rPr>
          <w:szCs w:val="24"/>
        </w:rPr>
        <w:t>the</w:t>
      </w:r>
      <w:r w:rsidR="00AE15F4" w:rsidRPr="00140E1E">
        <w:rPr>
          <w:szCs w:val="24"/>
        </w:rPr>
        <w:t xml:space="preserve"> </w:t>
      </w:r>
      <w:r w:rsidR="007A7103" w:rsidRPr="00140E1E">
        <w:rPr>
          <w:szCs w:val="24"/>
        </w:rPr>
        <w:t xml:space="preserve">member a relevant interest in any securities held by the ETF. </w:t>
      </w:r>
    </w:p>
    <w:p w14:paraId="44B16F04" w14:textId="570F5069" w:rsidR="00DD2A7F" w:rsidRPr="00DD2A7F" w:rsidRDefault="007A7103" w:rsidP="00140E1E">
      <w:pPr>
        <w:pStyle w:val="BodyText"/>
        <w:spacing w:before="199"/>
        <w:rPr>
          <w:szCs w:val="24"/>
        </w:rPr>
      </w:pPr>
      <w:r w:rsidRPr="00140E1E">
        <w:rPr>
          <w:szCs w:val="24"/>
        </w:rPr>
        <w:t>In addition, CO 13/721 provides by declaration further clarity on the obligations in relation to beneficial tracing.</w:t>
      </w:r>
    </w:p>
    <w:p w14:paraId="2C53084D" w14:textId="5280E476" w:rsidR="00DD2A7F" w:rsidRPr="00DD2A7F" w:rsidRDefault="007A7103" w:rsidP="00DD2A7F">
      <w:pPr>
        <w:shd w:val="clear" w:color="auto" w:fill="FFFFFF"/>
        <w:spacing w:before="200" w:after="0"/>
        <w:rPr>
          <w:sz w:val="24"/>
          <w:szCs w:val="24"/>
          <w:lang w:val="en-US"/>
        </w:rPr>
      </w:pPr>
      <w:r w:rsidRPr="00140E1E">
        <w:rPr>
          <w:sz w:val="24"/>
          <w:szCs w:val="24"/>
        </w:rPr>
        <w:t xml:space="preserve"> </w:t>
      </w:r>
      <w:r w:rsidR="00DD2A7F" w:rsidRPr="00DD2A7F">
        <w:rPr>
          <w:sz w:val="24"/>
          <w:szCs w:val="24"/>
        </w:rPr>
        <w:t>(d</w:t>
      </w:r>
      <w:r w:rsidR="00140E1E" w:rsidRPr="00140E1E">
        <w:rPr>
          <w:sz w:val="24"/>
          <w:szCs w:val="24"/>
        </w:rPr>
        <w:t xml:space="preserve">)       </w:t>
      </w:r>
      <w:r w:rsidR="00140E1E" w:rsidRPr="00140E1E">
        <w:rPr>
          <w:b/>
          <w:sz w:val="24"/>
          <w:szCs w:val="24"/>
        </w:rPr>
        <w:t xml:space="preserve">ASIC Class Order </w:t>
      </w:r>
      <w:r w:rsidR="00F853F8">
        <w:rPr>
          <w:b/>
          <w:sz w:val="24"/>
          <w:szCs w:val="24"/>
        </w:rPr>
        <w:t xml:space="preserve">[CO </w:t>
      </w:r>
      <w:r w:rsidR="00140E1E" w:rsidRPr="00140E1E">
        <w:rPr>
          <w:b/>
          <w:sz w:val="24"/>
          <w:szCs w:val="24"/>
        </w:rPr>
        <w:t>13/1200]:</w:t>
      </w:r>
    </w:p>
    <w:p w14:paraId="227DBAE5" w14:textId="54DB21D8" w:rsidR="00AE15F4" w:rsidRDefault="00140E1E" w:rsidP="00D53690">
      <w:pPr>
        <w:pStyle w:val="BodyText"/>
        <w:spacing w:before="199"/>
        <w:rPr>
          <w:szCs w:val="24"/>
        </w:rPr>
      </w:pPr>
      <w:r w:rsidRPr="00140E1E">
        <w:rPr>
          <w:szCs w:val="24"/>
        </w:rPr>
        <w:t xml:space="preserve">This Class Order modifies the obligations under s1017D of the Act </w:t>
      </w:r>
      <w:proofErr w:type="gramStart"/>
      <w:r w:rsidRPr="00140E1E">
        <w:rPr>
          <w:szCs w:val="24"/>
        </w:rPr>
        <w:t>in regards to</w:t>
      </w:r>
      <w:proofErr w:type="gramEnd"/>
      <w:r w:rsidRPr="00140E1E">
        <w:rPr>
          <w:szCs w:val="24"/>
        </w:rPr>
        <w:t xml:space="preserve"> periodic statement reporting requirements for issuers of quoted ETFs. This relief </w:t>
      </w:r>
      <w:r w:rsidR="00AE15F4">
        <w:rPr>
          <w:szCs w:val="24"/>
        </w:rPr>
        <w:t>reflects</w:t>
      </w:r>
      <w:r w:rsidR="00AE15F4" w:rsidRPr="00140E1E">
        <w:rPr>
          <w:szCs w:val="24"/>
        </w:rPr>
        <w:t xml:space="preserve"> </w:t>
      </w:r>
      <w:r w:rsidRPr="00140E1E">
        <w:rPr>
          <w:szCs w:val="24"/>
        </w:rPr>
        <w:t xml:space="preserve">the practical difficulties issuers face in preparing these periodic statements. </w:t>
      </w:r>
    </w:p>
    <w:p w14:paraId="57461CF7" w14:textId="3B106F04" w:rsidR="00226E04" w:rsidRPr="00754D71" w:rsidRDefault="00226E04" w:rsidP="00754D71">
      <w:pPr>
        <w:spacing w:before="200" w:after="0"/>
        <w:rPr>
          <w:i/>
          <w:szCs w:val="24"/>
        </w:rPr>
      </w:pPr>
      <w:r w:rsidRPr="00754D71">
        <w:rPr>
          <w:i/>
          <w:szCs w:val="24"/>
        </w:rPr>
        <w:t xml:space="preserve">ASX </w:t>
      </w:r>
      <w:r w:rsidR="006C50C7">
        <w:rPr>
          <w:i/>
          <w:szCs w:val="24"/>
        </w:rPr>
        <w:t>m</w:t>
      </w:r>
      <w:r w:rsidRPr="00754D71">
        <w:rPr>
          <w:i/>
          <w:szCs w:val="24"/>
        </w:rPr>
        <w:t>anaged funds</w:t>
      </w:r>
    </w:p>
    <w:p w14:paraId="341A091E" w14:textId="35C9530B" w:rsidR="00896775" w:rsidRDefault="00226E04" w:rsidP="00754D71">
      <w:pPr>
        <w:spacing w:before="200" w:after="0"/>
        <w:rPr>
          <w:b/>
          <w:szCs w:val="24"/>
        </w:rPr>
      </w:pPr>
      <w:r w:rsidRPr="00AC5773">
        <w:rPr>
          <w:szCs w:val="24"/>
        </w:rPr>
        <w:t xml:space="preserve">ASIC has </w:t>
      </w:r>
      <w:r w:rsidR="006C50C7">
        <w:rPr>
          <w:szCs w:val="24"/>
        </w:rPr>
        <w:t xml:space="preserve">also </w:t>
      </w:r>
      <w:r>
        <w:rPr>
          <w:szCs w:val="24"/>
        </w:rPr>
        <w:t xml:space="preserve">exercised its powers to </w:t>
      </w:r>
      <w:r w:rsidRPr="00AC5773">
        <w:rPr>
          <w:szCs w:val="24"/>
        </w:rPr>
        <w:t xml:space="preserve">extend the existing disclosure relief from section 1017B of the Act in [CO 13/721] to </w:t>
      </w:r>
      <w:r>
        <w:rPr>
          <w:szCs w:val="24"/>
        </w:rPr>
        <w:t xml:space="preserve">issuers of </w:t>
      </w:r>
      <w:r w:rsidRPr="00AC5773">
        <w:rPr>
          <w:szCs w:val="24"/>
        </w:rPr>
        <w:t xml:space="preserve">managed funds that are quoted and traded on the ASX market. This disclosure relief currently only applies in relation to ETFs </w:t>
      </w:r>
      <w:r>
        <w:rPr>
          <w:szCs w:val="24"/>
        </w:rPr>
        <w:t xml:space="preserve">quoted and traded </w:t>
      </w:r>
      <w:r w:rsidRPr="00AC5773">
        <w:rPr>
          <w:szCs w:val="24"/>
        </w:rPr>
        <w:t>on the ASX market</w:t>
      </w:r>
      <w:r>
        <w:rPr>
          <w:szCs w:val="24"/>
        </w:rPr>
        <w:t>. ASIC considers that the rationale for granting relief from s1017B of the Act to responsible entities of ETFs also applies to managed funds quoted on the ASX market</w:t>
      </w:r>
      <w:r w:rsidRPr="00AC5773">
        <w:rPr>
          <w:szCs w:val="24"/>
        </w:rPr>
        <w:t xml:space="preserve">. </w:t>
      </w:r>
      <w:r>
        <w:rPr>
          <w:szCs w:val="24"/>
        </w:rPr>
        <w:t xml:space="preserve">As such, </w:t>
      </w:r>
      <w:r w:rsidR="00D53690" w:rsidRPr="00140E1E" w:rsidDel="00896775">
        <w:rPr>
          <w:szCs w:val="24"/>
        </w:rPr>
        <w:t xml:space="preserve">ASIC Corporations (Amendment) Instrument 2018/3 also provides an exemption from s1017B of the Act to issuers of quoted ASX managed funds. </w:t>
      </w:r>
    </w:p>
    <w:p w14:paraId="2D326576" w14:textId="4C5E5B0A" w:rsidR="00DD2A7F" w:rsidRPr="00754D71" w:rsidRDefault="00DD2A7F" w:rsidP="00754D71">
      <w:pPr>
        <w:pStyle w:val="CommentText"/>
        <w:spacing w:before="240"/>
        <w:rPr>
          <w:b/>
          <w:sz w:val="24"/>
          <w:szCs w:val="24"/>
          <w:lang w:eastAsia="en-US"/>
        </w:rPr>
      </w:pPr>
      <w:r w:rsidRPr="00754D71">
        <w:rPr>
          <w:b/>
          <w:sz w:val="24"/>
          <w:szCs w:val="24"/>
          <w:lang w:eastAsia="en-US"/>
        </w:rPr>
        <w:t>Human rights implications</w:t>
      </w:r>
    </w:p>
    <w:p w14:paraId="016B3810" w14:textId="4E10385E" w:rsidR="00DD2A7F" w:rsidRDefault="00DD2A7F" w:rsidP="00DD2A7F">
      <w:pPr>
        <w:shd w:val="clear" w:color="auto" w:fill="FFFFFF"/>
        <w:spacing w:before="120" w:after="120"/>
        <w:rPr>
          <w:sz w:val="24"/>
          <w:szCs w:val="24"/>
        </w:rPr>
      </w:pPr>
      <w:r w:rsidRPr="00DD2A7F">
        <w:rPr>
          <w:sz w:val="24"/>
          <w:szCs w:val="24"/>
        </w:rPr>
        <w:t>This legislative instrument does not engage any of the applicable rights or freedoms.</w:t>
      </w:r>
    </w:p>
    <w:p w14:paraId="09526946" w14:textId="77777777" w:rsidR="00DD2A7F" w:rsidRPr="00754D71" w:rsidRDefault="00DD2A7F" w:rsidP="00754D71">
      <w:pPr>
        <w:pStyle w:val="CommentText"/>
        <w:spacing w:before="240"/>
        <w:rPr>
          <w:b/>
          <w:sz w:val="24"/>
          <w:szCs w:val="24"/>
          <w:lang w:eastAsia="en-US"/>
        </w:rPr>
      </w:pPr>
      <w:r w:rsidRPr="00754D71">
        <w:rPr>
          <w:b/>
          <w:sz w:val="24"/>
          <w:szCs w:val="24"/>
          <w:lang w:eastAsia="en-US"/>
        </w:rPr>
        <w:t>Conclusion</w:t>
      </w:r>
    </w:p>
    <w:p w14:paraId="629FF823" w14:textId="3C80369F" w:rsidR="000076D6" w:rsidRDefault="00DD2A7F" w:rsidP="00896775">
      <w:pPr>
        <w:rPr>
          <w:sz w:val="24"/>
          <w:szCs w:val="24"/>
        </w:rPr>
      </w:pPr>
      <w:r w:rsidRPr="00DD2A7F">
        <w:rPr>
          <w:sz w:val="24"/>
          <w:szCs w:val="24"/>
        </w:rPr>
        <w:t>This legislative instrument is compatible with human rights as it does not raise any human rights issues.</w:t>
      </w:r>
    </w:p>
    <w:p w14:paraId="28F21F59" w14:textId="77777777" w:rsidR="00896775" w:rsidRPr="000B4578" w:rsidRDefault="00896775" w:rsidP="00896775">
      <w:pPr>
        <w:pStyle w:val="Bodytextplain"/>
        <w:spacing w:before="120" w:after="120"/>
        <w:ind w:left="0"/>
        <w:jc w:val="center"/>
        <w:rPr>
          <w:rFonts w:ascii="Arial" w:hAnsi="Arial" w:cs="Arial"/>
          <w:b/>
        </w:rPr>
      </w:pPr>
      <w:r w:rsidRPr="000B4578">
        <w:rPr>
          <w:rFonts w:ascii="Arial" w:hAnsi="Arial" w:cs="Arial"/>
          <w:b/>
        </w:rPr>
        <w:t>Australian Securities and Investments Commission</w:t>
      </w:r>
    </w:p>
    <w:p w14:paraId="31F7D276" w14:textId="77777777" w:rsidR="00896775" w:rsidRPr="00140E1E" w:rsidRDefault="00896775" w:rsidP="00896775">
      <w:pPr>
        <w:rPr>
          <w:sz w:val="24"/>
          <w:szCs w:val="24"/>
        </w:rPr>
      </w:pPr>
    </w:p>
    <w:sectPr w:rsidR="00896775" w:rsidRPr="00140E1E">
      <w:headerReference w:type="even" r:id="rId11"/>
      <w:headerReference w:type="default" r:id="rId12"/>
      <w:footerReference w:type="even" r:id="rId13"/>
      <w:footerReference w:type="default" r:id="rId14"/>
      <w:head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F3A2" w14:textId="77777777" w:rsidR="00916235" w:rsidRDefault="00916235">
      <w:pPr>
        <w:spacing w:after="0"/>
      </w:pPr>
      <w:r>
        <w:separator/>
      </w:r>
    </w:p>
  </w:endnote>
  <w:endnote w:type="continuationSeparator" w:id="0">
    <w:p w14:paraId="32EC5F6D" w14:textId="77777777" w:rsidR="00916235" w:rsidRDefault="00916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D738"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8E75583" w14:textId="77777777" w:rsidR="00C27A4B" w:rsidRDefault="007379D1">
    <w:pPr>
      <w:pStyle w:val="Footer"/>
      <w:ind w:right="360"/>
    </w:pPr>
  </w:p>
  <w:p w14:paraId="3DC85815" w14:textId="77777777" w:rsidR="00C27A4B" w:rsidRDefault="007379D1"/>
  <w:p w14:paraId="49E80122" w14:textId="77777777" w:rsidR="00C27A4B" w:rsidRDefault="007379D1"/>
  <w:p w14:paraId="64805795" w14:textId="77777777" w:rsidR="00C27A4B" w:rsidRDefault="007379D1"/>
  <w:p w14:paraId="2AACCDFD" w14:textId="77777777" w:rsidR="00C27A4B" w:rsidRDefault="007379D1"/>
  <w:p w14:paraId="42673B1A" w14:textId="77777777" w:rsidR="00C27A4B" w:rsidRDefault="007379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E607" w14:textId="686A11BC"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54CE8CEC" wp14:editId="731E9C1D">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DE9A8" w14:textId="57DF0DCB"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7379D1">
                            <w:rPr>
                              <w:rStyle w:val="PageNumber"/>
                              <w:rFonts w:ascii="Arial" w:hAnsi="Arial" w:cs="Arial"/>
                              <w:noProof/>
                              <w:color w:val="117DC7"/>
                              <w:sz w:val="16"/>
                              <w:szCs w:val="16"/>
                            </w:rPr>
                            <w:t>10</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E8CEC"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5F0DE9A8" w14:textId="57DF0DCB"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7379D1">
                      <w:rPr>
                        <w:rStyle w:val="PageNumber"/>
                        <w:rFonts w:ascii="Arial" w:hAnsi="Arial" w:cs="Arial"/>
                        <w:noProof/>
                        <w:color w:val="117DC7"/>
                        <w:sz w:val="16"/>
                        <w:szCs w:val="16"/>
                      </w:rPr>
                      <w:t>10</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8F50A" w14:textId="77777777" w:rsidR="00916235" w:rsidRDefault="00916235">
      <w:pPr>
        <w:spacing w:after="0"/>
      </w:pPr>
      <w:r>
        <w:separator/>
      </w:r>
    </w:p>
  </w:footnote>
  <w:footnote w:type="continuationSeparator" w:id="0">
    <w:p w14:paraId="2FABF137" w14:textId="77777777" w:rsidR="00916235" w:rsidRDefault="00916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9D73" w14:textId="77777777" w:rsidR="00C27A4B" w:rsidRDefault="007379D1"/>
  <w:p w14:paraId="24CE1806" w14:textId="77777777" w:rsidR="00C27A4B" w:rsidRDefault="007379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D68C" w14:textId="20194ADF" w:rsidR="00C27A4B" w:rsidRDefault="00242989" w:rsidP="00242989">
    <w:pPr>
      <w:pStyle w:val="Footer"/>
      <w:pBdr>
        <w:bottom w:val="single" w:sz="4" w:space="1" w:color="117DC7"/>
      </w:pBdr>
      <w:jc w:val="both"/>
    </w:pPr>
    <w:r w:rsidRPr="001F5D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A554"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6006E22"/>
    <w:lvl w:ilvl="0">
      <w:numFmt w:val="bullet"/>
      <w:lvlText w:val="*"/>
      <w:lvlJc w:val="left"/>
    </w:lvl>
  </w:abstractNum>
  <w:abstractNum w:abstractNumId="1" w15:restartNumberingAfterBreak="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338C4"/>
    <w:multiLevelType w:val="hybridMultilevel"/>
    <w:tmpl w:val="121286A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15:restartNumberingAfterBreak="0">
    <w:nsid w:val="0CE67AF6"/>
    <w:multiLevelType w:val="hybridMultilevel"/>
    <w:tmpl w:val="E05E3604"/>
    <w:lvl w:ilvl="0" w:tplc="B47469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9F7F94"/>
    <w:multiLevelType w:val="hybridMultilevel"/>
    <w:tmpl w:val="7318E338"/>
    <w:lvl w:ilvl="0" w:tplc="B7608B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15:restartNumberingAfterBreak="0">
    <w:nsid w:val="24377F59"/>
    <w:multiLevelType w:val="hybridMultilevel"/>
    <w:tmpl w:val="9B1AAB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2"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1558F"/>
    <w:multiLevelType w:val="hybridMultilevel"/>
    <w:tmpl w:val="4E78DF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A7133A2"/>
    <w:multiLevelType w:val="hybridMultilevel"/>
    <w:tmpl w:val="640220D0"/>
    <w:lvl w:ilvl="0" w:tplc="B3B0E8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6" w15:restartNumberingAfterBreak="0">
    <w:nsid w:val="44B46DDC"/>
    <w:multiLevelType w:val="hybridMultilevel"/>
    <w:tmpl w:val="7884E3B2"/>
    <w:lvl w:ilvl="0" w:tplc="EE8653C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D745C5"/>
    <w:multiLevelType w:val="hybridMultilevel"/>
    <w:tmpl w:val="949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2B00C2"/>
    <w:multiLevelType w:val="hybridMultilevel"/>
    <w:tmpl w:val="D4184C0E"/>
    <w:lvl w:ilvl="0" w:tplc="F3C44AB8">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1C1B4B"/>
    <w:multiLevelType w:val="hybridMultilevel"/>
    <w:tmpl w:val="ECEE22DC"/>
    <w:lvl w:ilvl="0" w:tplc="E9504A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A455F9"/>
    <w:multiLevelType w:val="hybridMultilevel"/>
    <w:tmpl w:val="3E800970"/>
    <w:lvl w:ilvl="0" w:tplc="63948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5" w15:restartNumberingAfterBreak="0">
    <w:nsid w:val="6DE96100"/>
    <w:multiLevelType w:val="hybridMultilevel"/>
    <w:tmpl w:val="70EEDD58"/>
    <w:lvl w:ilvl="0" w:tplc="D342052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C42694"/>
    <w:multiLevelType w:val="hybridMultilevel"/>
    <w:tmpl w:val="696EFF72"/>
    <w:lvl w:ilvl="0" w:tplc="4516F3F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17"/>
  </w:num>
  <w:num w:numId="4">
    <w:abstractNumId w:val="24"/>
  </w:num>
  <w:num w:numId="5">
    <w:abstractNumId w:val="10"/>
  </w:num>
  <w:num w:numId="6">
    <w:abstractNumId w:val="8"/>
  </w:num>
  <w:num w:numId="7">
    <w:abstractNumId w:val="15"/>
  </w:num>
  <w:num w:numId="8">
    <w:abstractNumId w:val="6"/>
  </w:num>
  <w:num w:numId="9">
    <w:abstractNumId w:val="2"/>
  </w:num>
  <w:num w:numId="10">
    <w:abstractNumId w:val="1"/>
  </w:num>
  <w:num w:numId="11">
    <w:abstractNumId w:val="12"/>
  </w:num>
  <w:num w:numId="12">
    <w:abstractNumId w:val="23"/>
  </w:num>
  <w:num w:numId="13">
    <w:abstractNumId w:val="20"/>
  </w:num>
  <w:num w:numId="14">
    <w:abstractNumId w:val="11"/>
  </w:num>
  <w:num w:numId="15">
    <w:abstractNumId w:val="9"/>
  </w:num>
  <w:num w:numId="16">
    <w:abstractNumId w:val="0"/>
    <w:lvlOverride w:ilvl="0">
      <w:lvl w:ilvl="0">
        <w:numFmt w:val="bullet"/>
        <w:lvlText w:val=""/>
        <w:legacy w:legacy="1" w:legacySpace="0" w:legacyIndent="0"/>
        <w:lvlJc w:val="left"/>
        <w:rPr>
          <w:rFonts w:ascii="Symbol" w:hAnsi="Symbol" w:hint="default"/>
          <w:sz w:val="22"/>
        </w:rPr>
      </w:lvl>
    </w:lvlOverride>
  </w:num>
  <w:num w:numId="17">
    <w:abstractNumId w:val="5"/>
  </w:num>
  <w:num w:numId="18">
    <w:abstractNumId w:val="16"/>
  </w:num>
  <w:num w:numId="19">
    <w:abstractNumId w:val="21"/>
  </w:num>
  <w:num w:numId="20">
    <w:abstractNumId w:val="26"/>
  </w:num>
  <w:num w:numId="21">
    <w:abstractNumId w:val="14"/>
  </w:num>
  <w:num w:numId="22">
    <w:abstractNumId w:val="22"/>
  </w:num>
  <w:num w:numId="23">
    <w:abstractNumId w:val="25"/>
  </w:num>
  <w:num w:numId="24">
    <w:abstractNumId w:val="13"/>
  </w:num>
  <w:num w:numId="25">
    <w:abstractNumId w:val="3"/>
  </w:num>
  <w:num w:numId="26">
    <w:abstractNumId w:val="4"/>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3A"/>
    <w:rsid w:val="00002BF8"/>
    <w:rsid w:val="00004361"/>
    <w:rsid w:val="00005AFD"/>
    <w:rsid w:val="000076D6"/>
    <w:rsid w:val="00011758"/>
    <w:rsid w:val="00017585"/>
    <w:rsid w:val="00026422"/>
    <w:rsid w:val="0002738C"/>
    <w:rsid w:val="000311FD"/>
    <w:rsid w:val="000328EA"/>
    <w:rsid w:val="00035203"/>
    <w:rsid w:val="00040505"/>
    <w:rsid w:val="00043848"/>
    <w:rsid w:val="00053779"/>
    <w:rsid w:val="00055359"/>
    <w:rsid w:val="000634C3"/>
    <w:rsid w:val="0006664A"/>
    <w:rsid w:val="000751D6"/>
    <w:rsid w:val="00080A38"/>
    <w:rsid w:val="00085ACC"/>
    <w:rsid w:val="00085EC8"/>
    <w:rsid w:val="0008606B"/>
    <w:rsid w:val="00090FCA"/>
    <w:rsid w:val="00096DAE"/>
    <w:rsid w:val="000973F8"/>
    <w:rsid w:val="000A15BD"/>
    <w:rsid w:val="000A64E0"/>
    <w:rsid w:val="000B6DE8"/>
    <w:rsid w:val="000C02AE"/>
    <w:rsid w:val="000C05EF"/>
    <w:rsid w:val="000D3A7F"/>
    <w:rsid w:val="000D3D2A"/>
    <w:rsid w:val="000D79F2"/>
    <w:rsid w:val="000E04EC"/>
    <w:rsid w:val="000E3225"/>
    <w:rsid w:val="000E6083"/>
    <w:rsid w:val="000F1C7B"/>
    <w:rsid w:val="000F74EF"/>
    <w:rsid w:val="00117B2A"/>
    <w:rsid w:val="0012063A"/>
    <w:rsid w:val="001237AA"/>
    <w:rsid w:val="001245E5"/>
    <w:rsid w:val="00126027"/>
    <w:rsid w:val="00135F8C"/>
    <w:rsid w:val="00140828"/>
    <w:rsid w:val="00140E1E"/>
    <w:rsid w:val="00144354"/>
    <w:rsid w:val="0015495B"/>
    <w:rsid w:val="001602BF"/>
    <w:rsid w:val="00161BC1"/>
    <w:rsid w:val="00164559"/>
    <w:rsid w:val="00164FCC"/>
    <w:rsid w:val="00177B68"/>
    <w:rsid w:val="00187174"/>
    <w:rsid w:val="00191568"/>
    <w:rsid w:val="001A2776"/>
    <w:rsid w:val="001A4DDE"/>
    <w:rsid w:val="001A4ED2"/>
    <w:rsid w:val="001A7F76"/>
    <w:rsid w:val="001B0ACE"/>
    <w:rsid w:val="001C59D3"/>
    <w:rsid w:val="001C5F10"/>
    <w:rsid w:val="001D0EFA"/>
    <w:rsid w:val="001D2D98"/>
    <w:rsid w:val="001D366D"/>
    <w:rsid w:val="001D4003"/>
    <w:rsid w:val="001E2F81"/>
    <w:rsid w:val="001E38E0"/>
    <w:rsid w:val="001E3D0A"/>
    <w:rsid w:val="001E79D1"/>
    <w:rsid w:val="001F31F6"/>
    <w:rsid w:val="001F3519"/>
    <w:rsid w:val="001F5D93"/>
    <w:rsid w:val="00201245"/>
    <w:rsid w:val="002016E3"/>
    <w:rsid w:val="00201FBC"/>
    <w:rsid w:val="0020278F"/>
    <w:rsid w:val="00203CF2"/>
    <w:rsid w:val="00210F7F"/>
    <w:rsid w:val="002139C6"/>
    <w:rsid w:val="00214F8D"/>
    <w:rsid w:val="00222EFA"/>
    <w:rsid w:val="00224F84"/>
    <w:rsid w:val="00226102"/>
    <w:rsid w:val="00226E04"/>
    <w:rsid w:val="002308CF"/>
    <w:rsid w:val="00233EB8"/>
    <w:rsid w:val="00234E39"/>
    <w:rsid w:val="002364CC"/>
    <w:rsid w:val="00242989"/>
    <w:rsid w:val="00251F2D"/>
    <w:rsid w:val="00255FA1"/>
    <w:rsid w:val="00264621"/>
    <w:rsid w:val="00273833"/>
    <w:rsid w:val="00280B38"/>
    <w:rsid w:val="00282C53"/>
    <w:rsid w:val="00286BD1"/>
    <w:rsid w:val="00287743"/>
    <w:rsid w:val="00297ADC"/>
    <w:rsid w:val="002A528F"/>
    <w:rsid w:val="002A7267"/>
    <w:rsid w:val="002B5560"/>
    <w:rsid w:val="002C0263"/>
    <w:rsid w:val="002C28BF"/>
    <w:rsid w:val="002C2D50"/>
    <w:rsid w:val="002C7E65"/>
    <w:rsid w:val="002D08AE"/>
    <w:rsid w:val="002D309A"/>
    <w:rsid w:val="002D5AF0"/>
    <w:rsid w:val="002E1F38"/>
    <w:rsid w:val="002E6C5B"/>
    <w:rsid w:val="002F0EDD"/>
    <w:rsid w:val="002F53D0"/>
    <w:rsid w:val="002F66B4"/>
    <w:rsid w:val="002F69CF"/>
    <w:rsid w:val="003020EC"/>
    <w:rsid w:val="00303EC6"/>
    <w:rsid w:val="00304A69"/>
    <w:rsid w:val="003056AD"/>
    <w:rsid w:val="0031341D"/>
    <w:rsid w:val="00313454"/>
    <w:rsid w:val="003138D9"/>
    <w:rsid w:val="00321A17"/>
    <w:rsid w:val="003232C2"/>
    <w:rsid w:val="00324847"/>
    <w:rsid w:val="00332C8F"/>
    <w:rsid w:val="00333B8E"/>
    <w:rsid w:val="0033702E"/>
    <w:rsid w:val="003372B3"/>
    <w:rsid w:val="00343C23"/>
    <w:rsid w:val="00345786"/>
    <w:rsid w:val="00347358"/>
    <w:rsid w:val="003558C8"/>
    <w:rsid w:val="00360C18"/>
    <w:rsid w:val="00361010"/>
    <w:rsid w:val="003627F9"/>
    <w:rsid w:val="00366B44"/>
    <w:rsid w:val="00370DF7"/>
    <w:rsid w:val="00372F4D"/>
    <w:rsid w:val="0037539E"/>
    <w:rsid w:val="0038632E"/>
    <w:rsid w:val="00390684"/>
    <w:rsid w:val="00393F15"/>
    <w:rsid w:val="00397286"/>
    <w:rsid w:val="003A1166"/>
    <w:rsid w:val="003A313D"/>
    <w:rsid w:val="003A75E5"/>
    <w:rsid w:val="003B1671"/>
    <w:rsid w:val="003B1E51"/>
    <w:rsid w:val="003B31B7"/>
    <w:rsid w:val="003C0BDA"/>
    <w:rsid w:val="003D4286"/>
    <w:rsid w:val="003D6C9C"/>
    <w:rsid w:val="003D6CA6"/>
    <w:rsid w:val="003D77E3"/>
    <w:rsid w:val="003D7F80"/>
    <w:rsid w:val="003E5331"/>
    <w:rsid w:val="003E5E38"/>
    <w:rsid w:val="003E661B"/>
    <w:rsid w:val="003E7FC7"/>
    <w:rsid w:val="003F17AD"/>
    <w:rsid w:val="003F1861"/>
    <w:rsid w:val="003F5E96"/>
    <w:rsid w:val="003F65E1"/>
    <w:rsid w:val="003F71FE"/>
    <w:rsid w:val="003F7B3D"/>
    <w:rsid w:val="0040443D"/>
    <w:rsid w:val="004062B7"/>
    <w:rsid w:val="004064F5"/>
    <w:rsid w:val="0040709C"/>
    <w:rsid w:val="0041404E"/>
    <w:rsid w:val="004146B0"/>
    <w:rsid w:val="00422DBE"/>
    <w:rsid w:val="0043265B"/>
    <w:rsid w:val="00435441"/>
    <w:rsid w:val="0045103A"/>
    <w:rsid w:val="00452412"/>
    <w:rsid w:val="00456603"/>
    <w:rsid w:val="00456F38"/>
    <w:rsid w:val="0046240A"/>
    <w:rsid w:val="004636DF"/>
    <w:rsid w:val="0046731D"/>
    <w:rsid w:val="004705C1"/>
    <w:rsid w:val="004747D0"/>
    <w:rsid w:val="0049044A"/>
    <w:rsid w:val="004920D4"/>
    <w:rsid w:val="00493E64"/>
    <w:rsid w:val="004948C2"/>
    <w:rsid w:val="004975A0"/>
    <w:rsid w:val="004A319D"/>
    <w:rsid w:val="004B43A6"/>
    <w:rsid w:val="004B535F"/>
    <w:rsid w:val="004B6CD7"/>
    <w:rsid w:val="004B6D6D"/>
    <w:rsid w:val="004C1031"/>
    <w:rsid w:val="004C1582"/>
    <w:rsid w:val="004C3349"/>
    <w:rsid w:val="004C5B1E"/>
    <w:rsid w:val="004C5F6D"/>
    <w:rsid w:val="004C7D6B"/>
    <w:rsid w:val="004D31C2"/>
    <w:rsid w:val="004D53A0"/>
    <w:rsid w:val="004E3D24"/>
    <w:rsid w:val="004F4210"/>
    <w:rsid w:val="00510386"/>
    <w:rsid w:val="005110FD"/>
    <w:rsid w:val="00512DF0"/>
    <w:rsid w:val="00516141"/>
    <w:rsid w:val="005177B5"/>
    <w:rsid w:val="00517A72"/>
    <w:rsid w:val="00520545"/>
    <w:rsid w:val="0052067D"/>
    <w:rsid w:val="00520F48"/>
    <w:rsid w:val="005215F7"/>
    <w:rsid w:val="005216F1"/>
    <w:rsid w:val="00521934"/>
    <w:rsid w:val="0052561B"/>
    <w:rsid w:val="005336D5"/>
    <w:rsid w:val="00545205"/>
    <w:rsid w:val="00546135"/>
    <w:rsid w:val="00551019"/>
    <w:rsid w:val="00552A10"/>
    <w:rsid w:val="0055777F"/>
    <w:rsid w:val="00560DCC"/>
    <w:rsid w:val="00562551"/>
    <w:rsid w:val="005637B3"/>
    <w:rsid w:val="0057030E"/>
    <w:rsid w:val="005759F2"/>
    <w:rsid w:val="0057711D"/>
    <w:rsid w:val="00580ECE"/>
    <w:rsid w:val="00581657"/>
    <w:rsid w:val="005830EF"/>
    <w:rsid w:val="005911BB"/>
    <w:rsid w:val="00591728"/>
    <w:rsid w:val="00593DD3"/>
    <w:rsid w:val="005963F8"/>
    <w:rsid w:val="00596760"/>
    <w:rsid w:val="005A2E4B"/>
    <w:rsid w:val="005A3155"/>
    <w:rsid w:val="005A37F6"/>
    <w:rsid w:val="005A7673"/>
    <w:rsid w:val="005B0C61"/>
    <w:rsid w:val="005B0E3A"/>
    <w:rsid w:val="005B3D6E"/>
    <w:rsid w:val="005B63D9"/>
    <w:rsid w:val="005C730F"/>
    <w:rsid w:val="005C769C"/>
    <w:rsid w:val="005D5548"/>
    <w:rsid w:val="005D61D1"/>
    <w:rsid w:val="005D6D7E"/>
    <w:rsid w:val="005E020F"/>
    <w:rsid w:val="005E455D"/>
    <w:rsid w:val="005E57B6"/>
    <w:rsid w:val="005F7D72"/>
    <w:rsid w:val="00600145"/>
    <w:rsid w:val="006068FF"/>
    <w:rsid w:val="00610844"/>
    <w:rsid w:val="006168A7"/>
    <w:rsid w:val="006173CE"/>
    <w:rsid w:val="00626951"/>
    <w:rsid w:val="00630906"/>
    <w:rsid w:val="00643FC9"/>
    <w:rsid w:val="00651EBC"/>
    <w:rsid w:val="00653172"/>
    <w:rsid w:val="0065685C"/>
    <w:rsid w:val="00676FB0"/>
    <w:rsid w:val="0068293D"/>
    <w:rsid w:val="00691CCA"/>
    <w:rsid w:val="00694DC6"/>
    <w:rsid w:val="006A1E10"/>
    <w:rsid w:val="006A4B06"/>
    <w:rsid w:val="006A69D1"/>
    <w:rsid w:val="006B0EE9"/>
    <w:rsid w:val="006B57A0"/>
    <w:rsid w:val="006B57B5"/>
    <w:rsid w:val="006C1904"/>
    <w:rsid w:val="006C3F04"/>
    <w:rsid w:val="006C411E"/>
    <w:rsid w:val="006C50C7"/>
    <w:rsid w:val="006C6785"/>
    <w:rsid w:val="006D35CA"/>
    <w:rsid w:val="006D557B"/>
    <w:rsid w:val="006D612D"/>
    <w:rsid w:val="006D6548"/>
    <w:rsid w:val="006D7F57"/>
    <w:rsid w:val="006E0C60"/>
    <w:rsid w:val="006E3B85"/>
    <w:rsid w:val="006F222D"/>
    <w:rsid w:val="00700186"/>
    <w:rsid w:val="00705330"/>
    <w:rsid w:val="00706AC5"/>
    <w:rsid w:val="00712012"/>
    <w:rsid w:val="00735938"/>
    <w:rsid w:val="007379D1"/>
    <w:rsid w:val="00742C0C"/>
    <w:rsid w:val="007442C0"/>
    <w:rsid w:val="0074636C"/>
    <w:rsid w:val="00746F99"/>
    <w:rsid w:val="00747239"/>
    <w:rsid w:val="00754D71"/>
    <w:rsid w:val="0076225E"/>
    <w:rsid w:val="007722F7"/>
    <w:rsid w:val="0077476E"/>
    <w:rsid w:val="00776044"/>
    <w:rsid w:val="007762B5"/>
    <w:rsid w:val="00777B04"/>
    <w:rsid w:val="00783DAB"/>
    <w:rsid w:val="00784193"/>
    <w:rsid w:val="007868E3"/>
    <w:rsid w:val="00786DDF"/>
    <w:rsid w:val="0079675E"/>
    <w:rsid w:val="007A1D9C"/>
    <w:rsid w:val="007A4237"/>
    <w:rsid w:val="007A4733"/>
    <w:rsid w:val="007A5F95"/>
    <w:rsid w:val="007A7103"/>
    <w:rsid w:val="007B0849"/>
    <w:rsid w:val="007B0CFB"/>
    <w:rsid w:val="007B537B"/>
    <w:rsid w:val="007B5E7A"/>
    <w:rsid w:val="007C3E11"/>
    <w:rsid w:val="007C48BA"/>
    <w:rsid w:val="007C7841"/>
    <w:rsid w:val="007D3937"/>
    <w:rsid w:val="007E4CA2"/>
    <w:rsid w:val="007F02CE"/>
    <w:rsid w:val="00801A20"/>
    <w:rsid w:val="00804601"/>
    <w:rsid w:val="008052D4"/>
    <w:rsid w:val="0082656D"/>
    <w:rsid w:val="00841607"/>
    <w:rsid w:val="008539DA"/>
    <w:rsid w:val="00861B40"/>
    <w:rsid w:val="00872FE6"/>
    <w:rsid w:val="00876915"/>
    <w:rsid w:val="00884B17"/>
    <w:rsid w:val="00885403"/>
    <w:rsid w:val="00886E54"/>
    <w:rsid w:val="00891D97"/>
    <w:rsid w:val="008948C3"/>
    <w:rsid w:val="0089647A"/>
    <w:rsid w:val="00896775"/>
    <w:rsid w:val="008A074E"/>
    <w:rsid w:val="008A6E85"/>
    <w:rsid w:val="008B096D"/>
    <w:rsid w:val="008B5C4C"/>
    <w:rsid w:val="008C01F0"/>
    <w:rsid w:val="008C1098"/>
    <w:rsid w:val="008D2551"/>
    <w:rsid w:val="008D5398"/>
    <w:rsid w:val="008D60F6"/>
    <w:rsid w:val="008D6E49"/>
    <w:rsid w:val="008E2A1D"/>
    <w:rsid w:val="008E342D"/>
    <w:rsid w:val="008E372F"/>
    <w:rsid w:val="008E4BE9"/>
    <w:rsid w:val="008F40B5"/>
    <w:rsid w:val="008F5A26"/>
    <w:rsid w:val="0090244D"/>
    <w:rsid w:val="00904A7B"/>
    <w:rsid w:val="00904BED"/>
    <w:rsid w:val="00905409"/>
    <w:rsid w:val="00915E9E"/>
    <w:rsid w:val="00916235"/>
    <w:rsid w:val="00916D63"/>
    <w:rsid w:val="0091770D"/>
    <w:rsid w:val="00925AA6"/>
    <w:rsid w:val="00927841"/>
    <w:rsid w:val="00927FFE"/>
    <w:rsid w:val="0093477B"/>
    <w:rsid w:val="009365AC"/>
    <w:rsid w:val="00944959"/>
    <w:rsid w:val="009500D6"/>
    <w:rsid w:val="0095274D"/>
    <w:rsid w:val="009723B9"/>
    <w:rsid w:val="00975D97"/>
    <w:rsid w:val="009763BF"/>
    <w:rsid w:val="00977490"/>
    <w:rsid w:val="00983549"/>
    <w:rsid w:val="0098562B"/>
    <w:rsid w:val="00990684"/>
    <w:rsid w:val="0099103A"/>
    <w:rsid w:val="009912E0"/>
    <w:rsid w:val="009932E3"/>
    <w:rsid w:val="009B0A21"/>
    <w:rsid w:val="009B2095"/>
    <w:rsid w:val="009B63FE"/>
    <w:rsid w:val="009B7711"/>
    <w:rsid w:val="009C5759"/>
    <w:rsid w:val="009C6421"/>
    <w:rsid w:val="009D1E2A"/>
    <w:rsid w:val="009D3431"/>
    <w:rsid w:val="009D4D02"/>
    <w:rsid w:val="009D57C8"/>
    <w:rsid w:val="009D6A8D"/>
    <w:rsid w:val="009E7A5E"/>
    <w:rsid w:val="009F3C19"/>
    <w:rsid w:val="009F5C0C"/>
    <w:rsid w:val="009F6DC4"/>
    <w:rsid w:val="009F78BB"/>
    <w:rsid w:val="00A01B95"/>
    <w:rsid w:val="00A100BA"/>
    <w:rsid w:val="00A131A8"/>
    <w:rsid w:val="00A16B3E"/>
    <w:rsid w:val="00A24225"/>
    <w:rsid w:val="00A255AA"/>
    <w:rsid w:val="00A5148F"/>
    <w:rsid w:val="00A54749"/>
    <w:rsid w:val="00A5533E"/>
    <w:rsid w:val="00A60534"/>
    <w:rsid w:val="00A63C03"/>
    <w:rsid w:val="00A77F1D"/>
    <w:rsid w:val="00A831AA"/>
    <w:rsid w:val="00A83D95"/>
    <w:rsid w:val="00A84E0A"/>
    <w:rsid w:val="00A90FAD"/>
    <w:rsid w:val="00A92EDF"/>
    <w:rsid w:val="00A95EEF"/>
    <w:rsid w:val="00AA5E81"/>
    <w:rsid w:val="00AA6841"/>
    <w:rsid w:val="00AA6EB7"/>
    <w:rsid w:val="00AB4942"/>
    <w:rsid w:val="00AC02C2"/>
    <w:rsid w:val="00AC3531"/>
    <w:rsid w:val="00AC5773"/>
    <w:rsid w:val="00AD7739"/>
    <w:rsid w:val="00AE15F4"/>
    <w:rsid w:val="00AE5BC0"/>
    <w:rsid w:val="00AF2A84"/>
    <w:rsid w:val="00AF2F0C"/>
    <w:rsid w:val="00B00872"/>
    <w:rsid w:val="00B01B9A"/>
    <w:rsid w:val="00B02281"/>
    <w:rsid w:val="00B037A0"/>
    <w:rsid w:val="00B113BC"/>
    <w:rsid w:val="00B1188E"/>
    <w:rsid w:val="00B245D1"/>
    <w:rsid w:val="00B24D04"/>
    <w:rsid w:val="00B31747"/>
    <w:rsid w:val="00B336C3"/>
    <w:rsid w:val="00B34380"/>
    <w:rsid w:val="00B42C30"/>
    <w:rsid w:val="00B44054"/>
    <w:rsid w:val="00B45D48"/>
    <w:rsid w:val="00B542E9"/>
    <w:rsid w:val="00B5529C"/>
    <w:rsid w:val="00B60C70"/>
    <w:rsid w:val="00B6128F"/>
    <w:rsid w:val="00B62562"/>
    <w:rsid w:val="00B70332"/>
    <w:rsid w:val="00B7417C"/>
    <w:rsid w:val="00B75F0F"/>
    <w:rsid w:val="00B76A1B"/>
    <w:rsid w:val="00B8100E"/>
    <w:rsid w:val="00B8451C"/>
    <w:rsid w:val="00B914A9"/>
    <w:rsid w:val="00B96068"/>
    <w:rsid w:val="00B961A2"/>
    <w:rsid w:val="00BA07EA"/>
    <w:rsid w:val="00BA1883"/>
    <w:rsid w:val="00BA3376"/>
    <w:rsid w:val="00BA4E93"/>
    <w:rsid w:val="00BA5C3E"/>
    <w:rsid w:val="00BA5CD8"/>
    <w:rsid w:val="00BA7BF6"/>
    <w:rsid w:val="00BB4831"/>
    <w:rsid w:val="00BB7C7F"/>
    <w:rsid w:val="00BC152F"/>
    <w:rsid w:val="00BC6ED0"/>
    <w:rsid w:val="00BD0393"/>
    <w:rsid w:val="00BE5088"/>
    <w:rsid w:val="00BE7A12"/>
    <w:rsid w:val="00BF0A09"/>
    <w:rsid w:val="00BF1514"/>
    <w:rsid w:val="00C00BDA"/>
    <w:rsid w:val="00C021F8"/>
    <w:rsid w:val="00C12FD3"/>
    <w:rsid w:val="00C20321"/>
    <w:rsid w:val="00C23106"/>
    <w:rsid w:val="00C24023"/>
    <w:rsid w:val="00C24509"/>
    <w:rsid w:val="00C24644"/>
    <w:rsid w:val="00C3037A"/>
    <w:rsid w:val="00C31FDF"/>
    <w:rsid w:val="00C33BEB"/>
    <w:rsid w:val="00C3597A"/>
    <w:rsid w:val="00C35D69"/>
    <w:rsid w:val="00C36898"/>
    <w:rsid w:val="00C41612"/>
    <w:rsid w:val="00C453D9"/>
    <w:rsid w:val="00C5592E"/>
    <w:rsid w:val="00C55C59"/>
    <w:rsid w:val="00C63CD9"/>
    <w:rsid w:val="00C65398"/>
    <w:rsid w:val="00C661B7"/>
    <w:rsid w:val="00C70B8C"/>
    <w:rsid w:val="00C71144"/>
    <w:rsid w:val="00C77819"/>
    <w:rsid w:val="00C90250"/>
    <w:rsid w:val="00C91459"/>
    <w:rsid w:val="00C92EBC"/>
    <w:rsid w:val="00C9323A"/>
    <w:rsid w:val="00CA020C"/>
    <w:rsid w:val="00CA2D24"/>
    <w:rsid w:val="00CA2DC3"/>
    <w:rsid w:val="00CA6259"/>
    <w:rsid w:val="00CA6D17"/>
    <w:rsid w:val="00CB2D81"/>
    <w:rsid w:val="00CB2E96"/>
    <w:rsid w:val="00CB32F3"/>
    <w:rsid w:val="00CB5CB1"/>
    <w:rsid w:val="00CC59BA"/>
    <w:rsid w:val="00CC63AA"/>
    <w:rsid w:val="00CD0C66"/>
    <w:rsid w:val="00CD4AEB"/>
    <w:rsid w:val="00CD51C0"/>
    <w:rsid w:val="00CF05BA"/>
    <w:rsid w:val="00CF05E5"/>
    <w:rsid w:val="00CF391E"/>
    <w:rsid w:val="00CF3A01"/>
    <w:rsid w:val="00CF66DC"/>
    <w:rsid w:val="00D07A72"/>
    <w:rsid w:val="00D109AB"/>
    <w:rsid w:val="00D11045"/>
    <w:rsid w:val="00D11318"/>
    <w:rsid w:val="00D12A56"/>
    <w:rsid w:val="00D26129"/>
    <w:rsid w:val="00D269EB"/>
    <w:rsid w:val="00D35F7F"/>
    <w:rsid w:val="00D454AA"/>
    <w:rsid w:val="00D4554B"/>
    <w:rsid w:val="00D457FC"/>
    <w:rsid w:val="00D46BD0"/>
    <w:rsid w:val="00D50D35"/>
    <w:rsid w:val="00D53690"/>
    <w:rsid w:val="00D57AAD"/>
    <w:rsid w:val="00D57CE3"/>
    <w:rsid w:val="00D673C9"/>
    <w:rsid w:val="00D67570"/>
    <w:rsid w:val="00D67D81"/>
    <w:rsid w:val="00D70E53"/>
    <w:rsid w:val="00D72C2B"/>
    <w:rsid w:val="00D751C6"/>
    <w:rsid w:val="00D9085A"/>
    <w:rsid w:val="00D9122A"/>
    <w:rsid w:val="00D9722F"/>
    <w:rsid w:val="00DA23AB"/>
    <w:rsid w:val="00DA32C7"/>
    <w:rsid w:val="00DB1EC1"/>
    <w:rsid w:val="00DD2A7F"/>
    <w:rsid w:val="00DE1A85"/>
    <w:rsid w:val="00DE24B7"/>
    <w:rsid w:val="00DE2CE2"/>
    <w:rsid w:val="00DE357C"/>
    <w:rsid w:val="00DF0D3B"/>
    <w:rsid w:val="00E052F5"/>
    <w:rsid w:val="00E07FBF"/>
    <w:rsid w:val="00E1779A"/>
    <w:rsid w:val="00E36D40"/>
    <w:rsid w:val="00E422BF"/>
    <w:rsid w:val="00E55B71"/>
    <w:rsid w:val="00E5648D"/>
    <w:rsid w:val="00E61783"/>
    <w:rsid w:val="00E620CB"/>
    <w:rsid w:val="00E63294"/>
    <w:rsid w:val="00E7694D"/>
    <w:rsid w:val="00E81D7A"/>
    <w:rsid w:val="00E84F61"/>
    <w:rsid w:val="00E87085"/>
    <w:rsid w:val="00E8725B"/>
    <w:rsid w:val="00E87BCC"/>
    <w:rsid w:val="00E9173A"/>
    <w:rsid w:val="00E92737"/>
    <w:rsid w:val="00E97A5C"/>
    <w:rsid w:val="00EA1802"/>
    <w:rsid w:val="00EA2869"/>
    <w:rsid w:val="00EA3298"/>
    <w:rsid w:val="00EB377F"/>
    <w:rsid w:val="00EB4A5C"/>
    <w:rsid w:val="00EB5B54"/>
    <w:rsid w:val="00EC5BBF"/>
    <w:rsid w:val="00EC69D8"/>
    <w:rsid w:val="00ED1EB0"/>
    <w:rsid w:val="00ED4A10"/>
    <w:rsid w:val="00ED795B"/>
    <w:rsid w:val="00EE20E3"/>
    <w:rsid w:val="00EE46D0"/>
    <w:rsid w:val="00EF3CAD"/>
    <w:rsid w:val="00F07BF3"/>
    <w:rsid w:val="00F13A2C"/>
    <w:rsid w:val="00F175CD"/>
    <w:rsid w:val="00F1768A"/>
    <w:rsid w:val="00F2190F"/>
    <w:rsid w:val="00F32759"/>
    <w:rsid w:val="00F33598"/>
    <w:rsid w:val="00F438ED"/>
    <w:rsid w:val="00F449A8"/>
    <w:rsid w:val="00F4755E"/>
    <w:rsid w:val="00F512EB"/>
    <w:rsid w:val="00F6461E"/>
    <w:rsid w:val="00F648C2"/>
    <w:rsid w:val="00F655A1"/>
    <w:rsid w:val="00F712A9"/>
    <w:rsid w:val="00F802A0"/>
    <w:rsid w:val="00F83473"/>
    <w:rsid w:val="00F8454C"/>
    <w:rsid w:val="00F853F8"/>
    <w:rsid w:val="00F92190"/>
    <w:rsid w:val="00F93B32"/>
    <w:rsid w:val="00F97B3C"/>
    <w:rsid w:val="00FA266B"/>
    <w:rsid w:val="00FA639B"/>
    <w:rsid w:val="00FA743C"/>
    <w:rsid w:val="00FB10B6"/>
    <w:rsid w:val="00FB2EDA"/>
    <w:rsid w:val="00FB3AA0"/>
    <w:rsid w:val="00FB6A62"/>
    <w:rsid w:val="00FB6E7C"/>
    <w:rsid w:val="00FC01A0"/>
    <w:rsid w:val="00FC1B16"/>
    <w:rsid w:val="00FC3341"/>
    <w:rsid w:val="00FC3F13"/>
    <w:rsid w:val="00FC4452"/>
    <w:rsid w:val="00FC700D"/>
    <w:rsid w:val="00FD4F58"/>
    <w:rsid w:val="00FE5834"/>
    <w:rsid w:val="00FE5C5D"/>
    <w:rsid w:val="00FF14EC"/>
    <w:rsid w:val="00FF3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3CDF41"/>
  <w15:docId w15:val="{78EF54B0-9864-43E3-91A1-3DFA2601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004361"/>
    <w:rPr>
      <w:sz w:val="16"/>
      <w:szCs w:val="16"/>
    </w:rPr>
  </w:style>
  <w:style w:type="paragraph" w:styleId="CommentSubject">
    <w:name w:val="annotation subject"/>
    <w:basedOn w:val="CommentText"/>
    <w:next w:val="CommentText"/>
    <w:link w:val="CommentSubjectChar"/>
    <w:uiPriority w:val="99"/>
    <w:semiHidden/>
    <w:unhideWhenUsed/>
    <w:rsid w:val="00004361"/>
    <w:rPr>
      <w:b/>
      <w:bCs/>
    </w:rPr>
  </w:style>
  <w:style w:type="character" w:customStyle="1" w:styleId="CommentTextChar">
    <w:name w:val="Comment Text Char"/>
    <w:basedOn w:val="DefaultParagraphFont"/>
    <w:link w:val="CommentText"/>
    <w:semiHidden/>
    <w:rsid w:val="00004361"/>
  </w:style>
  <w:style w:type="character" w:customStyle="1" w:styleId="CommentSubjectChar">
    <w:name w:val="Comment Subject Char"/>
    <w:basedOn w:val="CommentTextChar"/>
    <w:link w:val="CommentSubject"/>
    <w:uiPriority w:val="99"/>
    <w:semiHidden/>
    <w:rsid w:val="00004361"/>
    <w:rPr>
      <w:b/>
      <w:bCs/>
    </w:rPr>
  </w:style>
  <w:style w:type="paragraph" w:styleId="BalloonText">
    <w:name w:val="Balloon Text"/>
    <w:basedOn w:val="Normal"/>
    <w:link w:val="BalloonTextChar"/>
    <w:uiPriority w:val="99"/>
    <w:semiHidden/>
    <w:unhideWhenUsed/>
    <w:rsid w:val="000043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61"/>
    <w:rPr>
      <w:rFonts w:ascii="Tahoma" w:hAnsi="Tahoma" w:cs="Tahoma"/>
      <w:sz w:val="16"/>
      <w:szCs w:val="16"/>
    </w:rPr>
  </w:style>
  <w:style w:type="paragraph" w:styleId="Revision">
    <w:name w:val="Revision"/>
    <w:hidden/>
    <w:uiPriority w:val="99"/>
    <w:semiHidden/>
    <w:rsid w:val="006A69D1"/>
    <w:rPr>
      <w:sz w:val="22"/>
    </w:rPr>
  </w:style>
  <w:style w:type="paragraph" w:customStyle="1" w:styleId="Default">
    <w:name w:val="Default"/>
    <w:rsid w:val="00884B17"/>
    <w:pPr>
      <w:autoSpaceDE w:val="0"/>
      <w:autoSpaceDN w:val="0"/>
      <w:adjustRightInd w:val="0"/>
    </w:pPr>
    <w:rPr>
      <w:color w:val="000000"/>
      <w:sz w:val="24"/>
      <w:szCs w:val="24"/>
    </w:rPr>
  </w:style>
  <w:style w:type="character" w:styleId="Hyperlink">
    <w:name w:val="Hyperlink"/>
    <w:basedOn w:val="DefaultParagraphFont"/>
    <w:uiPriority w:val="99"/>
    <w:unhideWhenUsed/>
    <w:rsid w:val="00577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9389">
      <w:bodyDiv w:val="1"/>
      <w:marLeft w:val="0"/>
      <w:marRight w:val="0"/>
      <w:marTop w:val="0"/>
      <w:marBottom w:val="0"/>
      <w:divBdr>
        <w:top w:val="none" w:sz="0" w:space="0" w:color="auto"/>
        <w:left w:val="none" w:sz="0" w:space="0" w:color="auto"/>
        <w:bottom w:val="none" w:sz="0" w:space="0" w:color="auto"/>
        <w:right w:val="none" w:sz="0" w:space="0" w:color="auto"/>
      </w:divBdr>
      <w:divsChild>
        <w:div w:id="920064365">
          <w:marLeft w:val="0"/>
          <w:marRight w:val="0"/>
          <w:marTop w:val="0"/>
          <w:marBottom w:val="0"/>
          <w:divBdr>
            <w:top w:val="none" w:sz="0" w:space="0" w:color="auto"/>
            <w:left w:val="none" w:sz="0" w:space="0" w:color="auto"/>
            <w:bottom w:val="none" w:sz="0" w:space="0" w:color="auto"/>
            <w:right w:val="none" w:sz="0" w:space="0" w:color="auto"/>
          </w:divBdr>
          <w:divsChild>
            <w:div w:id="1733772674">
              <w:marLeft w:val="0"/>
              <w:marRight w:val="0"/>
              <w:marTop w:val="0"/>
              <w:marBottom w:val="0"/>
              <w:divBdr>
                <w:top w:val="none" w:sz="0" w:space="0" w:color="auto"/>
                <w:left w:val="none" w:sz="0" w:space="0" w:color="auto"/>
                <w:bottom w:val="none" w:sz="0" w:space="0" w:color="auto"/>
                <w:right w:val="none" w:sz="0" w:space="0" w:color="auto"/>
              </w:divBdr>
              <w:divsChild>
                <w:div w:id="515079980">
                  <w:marLeft w:val="0"/>
                  <w:marRight w:val="0"/>
                  <w:marTop w:val="0"/>
                  <w:marBottom w:val="0"/>
                  <w:divBdr>
                    <w:top w:val="none" w:sz="0" w:space="0" w:color="auto"/>
                    <w:left w:val="none" w:sz="0" w:space="0" w:color="auto"/>
                    <w:bottom w:val="none" w:sz="0" w:space="0" w:color="auto"/>
                    <w:right w:val="none" w:sz="0" w:space="0" w:color="auto"/>
                  </w:divBdr>
                  <w:divsChild>
                    <w:div w:id="667709622">
                      <w:marLeft w:val="0"/>
                      <w:marRight w:val="0"/>
                      <w:marTop w:val="0"/>
                      <w:marBottom w:val="0"/>
                      <w:divBdr>
                        <w:top w:val="none" w:sz="0" w:space="0" w:color="auto"/>
                        <w:left w:val="none" w:sz="0" w:space="0" w:color="auto"/>
                        <w:bottom w:val="none" w:sz="0" w:space="0" w:color="auto"/>
                        <w:right w:val="none" w:sz="0" w:space="0" w:color="auto"/>
                      </w:divBdr>
                      <w:divsChild>
                        <w:div w:id="671294924">
                          <w:marLeft w:val="0"/>
                          <w:marRight w:val="0"/>
                          <w:marTop w:val="0"/>
                          <w:marBottom w:val="0"/>
                          <w:divBdr>
                            <w:top w:val="none" w:sz="0" w:space="0" w:color="auto"/>
                            <w:left w:val="none" w:sz="0" w:space="0" w:color="auto"/>
                            <w:bottom w:val="none" w:sz="0" w:space="0" w:color="auto"/>
                            <w:right w:val="none" w:sz="0" w:space="0" w:color="auto"/>
                          </w:divBdr>
                          <w:divsChild>
                            <w:div w:id="1639409312">
                              <w:marLeft w:val="0"/>
                              <w:marRight w:val="0"/>
                              <w:marTop w:val="0"/>
                              <w:marBottom w:val="0"/>
                              <w:divBdr>
                                <w:top w:val="none" w:sz="0" w:space="0" w:color="auto"/>
                                <w:left w:val="none" w:sz="0" w:space="0" w:color="auto"/>
                                <w:bottom w:val="none" w:sz="0" w:space="0" w:color="auto"/>
                                <w:right w:val="none" w:sz="0" w:space="0" w:color="auto"/>
                              </w:divBdr>
                              <w:divsChild>
                                <w:div w:id="1176770134">
                                  <w:marLeft w:val="0"/>
                                  <w:marRight w:val="0"/>
                                  <w:marTop w:val="0"/>
                                  <w:marBottom w:val="0"/>
                                  <w:divBdr>
                                    <w:top w:val="none" w:sz="0" w:space="0" w:color="auto"/>
                                    <w:left w:val="none" w:sz="0" w:space="0" w:color="auto"/>
                                    <w:bottom w:val="none" w:sz="0" w:space="0" w:color="auto"/>
                                    <w:right w:val="none" w:sz="0" w:space="0" w:color="auto"/>
                                  </w:divBdr>
                                  <w:divsChild>
                                    <w:div w:id="1621642471">
                                      <w:marLeft w:val="0"/>
                                      <w:marRight w:val="0"/>
                                      <w:marTop w:val="0"/>
                                      <w:marBottom w:val="0"/>
                                      <w:divBdr>
                                        <w:top w:val="none" w:sz="0" w:space="0" w:color="auto"/>
                                        <w:left w:val="none" w:sz="0" w:space="0" w:color="auto"/>
                                        <w:bottom w:val="none" w:sz="0" w:space="0" w:color="auto"/>
                                        <w:right w:val="none" w:sz="0" w:space="0" w:color="auto"/>
                                      </w:divBdr>
                                      <w:divsChild>
                                        <w:div w:id="111175416">
                                          <w:marLeft w:val="0"/>
                                          <w:marRight w:val="0"/>
                                          <w:marTop w:val="0"/>
                                          <w:marBottom w:val="0"/>
                                          <w:divBdr>
                                            <w:top w:val="none" w:sz="0" w:space="0" w:color="auto"/>
                                            <w:left w:val="none" w:sz="0" w:space="0" w:color="auto"/>
                                            <w:bottom w:val="none" w:sz="0" w:space="0" w:color="auto"/>
                                            <w:right w:val="none" w:sz="0" w:space="0" w:color="auto"/>
                                          </w:divBdr>
                                          <w:divsChild>
                                            <w:div w:id="108471916">
                                              <w:marLeft w:val="0"/>
                                              <w:marRight w:val="0"/>
                                              <w:marTop w:val="0"/>
                                              <w:marBottom w:val="0"/>
                                              <w:divBdr>
                                                <w:top w:val="none" w:sz="0" w:space="0" w:color="auto"/>
                                                <w:left w:val="none" w:sz="0" w:space="0" w:color="auto"/>
                                                <w:bottom w:val="none" w:sz="0" w:space="0" w:color="auto"/>
                                                <w:right w:val="none" w:sz="0" w:space="0" w:color="auto"/>
                                              </w:divBdr>
                                              <w:divsChild>
                                                <w:div w:id="153885531">
                                                  <w:marLeft w:val="0"/>
                                                  <w:marRight w:val="0"/>
                                                  <w:marTop w:val="0"/>
                                                  <w:marBottom w:val="0"/>
                                                  <w:divBdr>
                                                    <w:top w:val="none" w:sz="0" w:space="0" w:color="auto"/>
                                                    <w:left w:val="none" w:sz="0" w:space="0" w:color="auto"/>
                                                    <w:bottom w:val="none" w:sz="0" w:space="0" w:color="auto"/>
                                                    <w:right w:val="none" w:sz="0" w:space="0" w:color="auto"/>
                                                  </w:divBdr>
                                                  <w:divsChild>
                                                    <w:div w:id="450325321">
                                                      <w:marLeft w:val="0"/>
                                                      <w:marRight w:val="0"/>
                                                      <w:marTop w:val="0"/>
                                                      <w:marBottom w:val="0"/>
                                                      <w:divBdr>
                                                        <w:top w:val="none" w:sz="0" w:space="0" w:color="auto"/>
                                                        <w:left w:val="none" w:sz="0" w:space="0" w:color="auto"/>
                                                        <w:bottom w:val="none" w:sz="0" w:space="0" w:color="auto"/>
                                                        <w:right w:val="none" w:sz="0" w:space="0" w:color="auto"/>
                                                      </w:divBdr>
                                                      <w:divsChild>
                                                        <w:div w:id="17926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R20180000519432</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738ED0130A659C4EB249A07D57A11ED1" ma:contentTypeVersion="21" ma:contentTypeDescription="" ma:contentTypeScope="" ma:versionID="58887e23d6dd0ae9e583e62f77c95a78">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391e380a9e2a5dc272828748efce6af8"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9B92-940F-454F-B853-773C8DAB74F8}">
  <ds:schemaRefs>
    <ds:schemaRef ds:uri="http://schemas.microsoft.com/sharepoint/v3/contenttype/forms"/>
  </ds:schemaRefs>
</ds:datastoreItem>
</file>

<file path=customXml/itemProps2.xml><?xml version="1.0" encoding="utf-8"?>
<ds:datastoreItem xmlns:ds="http://schemas.openxmlformats.org/officeDocument/2006/customXml" ds:itemID="{CF67BAAD-83B0-4F8F-B121-5C910D0EDA98}">
  <ds:schemaRefs>
    <ds:schemaRef ds:uri="http://www.w3.org/XML/1998/namespace"/>
    <ds:schemaRef ds:uri="http://schemas.microsoft.com/office/2006/documentManagement/types"/>
    <ds:schemaRef ds:uri="http://schemas.openxmlformats.org/package/2006/metadata/core-properties"/>
    <ds:schemaRef ds:uri="e3c121ce-93ad-4322-8dbe-6959e0a586ce"/>
    <ds:schemaRef ds:uri="http://schemas.microsoft.com/office/infopath/2007/PartnerControls"/>
    <ds:schemaRef ds:uri="http://schemas.microsoft.com/sharepoint/v4"/>
    <ds:schemaRef ds:uri="17f478ab-373e-4295-9ff0-9b833ad01319"/>
    <ds:schemaRef ds:uri="http://purl.org/dc/dcmitype/"/>
    <ds:schemaRef ds:uri="http://purl.org/dc/elements/1.1/"/>
    <ds:schemaRef ds:uri="da7a9ac0-bc47-4684-84e6-3a8e9ac80c1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1A60370-D898-4217-BB49-AA535DA14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A6CD1-3BDF-4F0A-859C-DAD5B886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3605</Words>
  <Characters>19067</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Yasmin Hamad</cp:lastModifiedBy>
  <cp:revision>5</cp:revision>
  <cp:lastPrinted>2018-05-22T08:02:00Z</cp:lastPrinted>
  <dcterms:created xsi:type="dcterms:W3CDTF">2018-05-28T04:25:00Z</dcterms:created>
  <dcterms:modified xsi:type="dcterms:W3CDTF">2018-05-28T04:34:00Z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A4615802</vt:lpwstr>
  </property>
  <property fmtid="{D5CDD505-2E9C-101B-9397-08002B2CF9AE}" pid="4" name="Objective-Title">
    <vt:lpwstr>Explanatory statement - ETFs CMAP</vt:lpwstr>
  </property>
  <property fmtid="{D5CDD505-2E9C-101B-9397-08002B2CF9AE}" pid="5" name="Objective-Comment">
    <vt:lpwstr>
    </vt:lpwstr>
  </property>
  <property fmtid="{D5CDD505-2E9C-101B-9397-08002B2CF9AE}" pid="6" name="Objective-CreationStamp">
    <vt:filetime>2015-09-30T23:14:53Z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2016-01-08T00:51:12Z</vt:filetime>
  </property>
  <property fmtid="{D5CDD505-2E9C-101B-9397-08002B2CF9AE}" pid="11" name="Objective-Owner">
    <vt:lpwstr>Yasmin Hamad</vt:lpwstr>
  </property>
  <property fmtid="{D5CDD505-2E9C-101B-9397-08002B2CF9AE}" pid="12" name="Objective-Path">
    <vt:lpwstr>BCS:ASIC:REGULATION &amp; COMPLIANCE:Assessments, Surveillance &amp; Supervision:Market &amp; Participant Supervision:Legal &amp; Policy:26. Chi-X Product Platform Class Orders:Explanatory Statements:Explanatory Statement - ETFs:</vt:lpwstr>
  </property>
  <property fmtid="{D5CDD505-2E9C-101B-9397-08002B2CF9AE}" pid="13" name="Objective-Parent">
    <vt:lpwstr>Explanatory Statement - ETFs</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2015 - 000580</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0x010100B5F685A1365F544391EF8C813B164F3A00738ED0130A659C4EB249A07D57A11ED1</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WebId">
    <vt:lpwstr>{e3c121ce-93ad-4322-8dbe-6959e0a586ce}</vt:lpwstr>
  </property>
  <property fmtid="{D5CDD505-2E9C-101B-9397-08002B2CF9AE}" pid="26" name="RecordPoint_ActiveItemSiteId">
    <vt:lpwstr>{0b958f2c-90d4-403d-8438-83e392e48011}</vt:lpwstr>
  </property>
  <property fmtid="{D5CDD505-2E9C-101B-9397-08002B2CF9AE}" pid="27" name="RecordPoint_ActiveItemListId">
    <vt:lpwstr>{28101cd3-8878-44c5-9ac9-f4f0d1992559}</vt:lpwstr>
  </property>
  <property fmtid="{D5CDD505-2E9C-101B-9397-08002B2CF9AE}" pid="28" name="RecordPoint_ActiveItemUniqueId">
    <vt:lpwstr>{45aaeaa6-9a95-4d1b-8428-8b2e4761882d}</vt:lpwstr>
  </property>
  <property fmtid="{D5CDD505-2E9C-101B-9397-08002B2CF9AE}" pid="29" name="RecordPoint_RecordNumberSubmitted">
    <vt:lpwstr/>
  </property>
  <property fmtid="{D5CDD505-2E9C-101B-9397-08002B2CF9AE}" pid="30" name="RecordPoint_SubmissionCompleted">
    <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