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C7C147" w14:textId="77777777" w:rsidR="00F109D4" w:rsidRPr="002A310F" w:rsidRDefault="00F109D4" w:rsidP="00647BB7">
      <w:pPr>
        <w:pStyle w:val="Heading1"/>
        <w:spacing w:after="360"/>
        <w:rPr>
          <w:rFonts w:ascii="Times New Roman" w:hAnsi="Times New Roman"/>
        </w:rPr>
      </w:pPr>
      <w:bookmarkStart w:id="0" w:name="_GoBack"/>
      <w:bookmarkEnd w:id="0"/>
      <w:r w:rsidRPr="002A310F">
        <w:rPr>
          <w:rFonts w:ascii="Times New Roman" w:hAnsi="Times New Roman"/>
        </w:rPr>
        <w:t>EXPLANATORY STATEMENT</w:t>
      </w:r>
    </w:p>
    <w:p w14:paraId="1C4E9683" w14:textId="41C6076D" w:rsidR="007662C7" w:rsidRPr="003E1CE3" w:rsidRDefault="00F109D4" w:rsidP="003E1CE3">
      <w:pPr>
        <w:pStyle w:val="Heading2"/>
        <w:jc w:val="center"/>
      </w:pPr>
      <w:r w:rsidRPr="00503E44">
        <w:t xml:space="preserve">Issued by authority of the </w:t>
      </w:r>
      <w:r w:rsidR="006B38DA">
        <w:t xml:space="preserve">Assistant </w:t>
      </w:r>
      <w:r w:rsidR="00D751B6">
        <w:t xml:space="preserve">Minister </w:t>
      </w:r>
      <w:r w:rsidR="006B38DA">
        <w:t>to the Treasurer</w:t>
      </w:r>
      <w:r w:rsidR="00680FDF">
        <w:t>, Parliamentary Secretary to the Treasurer</w:t>
      </w:r>
    </w:p>
    <w:p w14:paraId="0DF0F1A4" w14:textId="500EAD69" w:rsidR="00F109D4" w:rsidRPr="00503E44" w:rsidRDefault="00553B47" w:rsidP="00AA1689">
      <w:pPr>
        <w:spacing w:before="0" w:after="240"/>
        <w:jc w:val="center"/>
        <w:rPr>
          <w:i/>
        </w:rPr>
      </w:pPr>
      <w:r>
        <w:rPr>
          <w:i/>
        </w:rPr>
        <w:t>Productivity Commission</w:t>
      </w:r>
      <w:r w:rsidR="00357EC1">
        <w:rPr>
          <w:i/>
        </w:rPr>
        <w:t xml:space="preserve"> Act 1998</w:t>
      </w:r>
    </w:p>
    <w:p w14:paraId="6F72D015" w14:textId="0DA4DB5B" w:rsidR="00F109D4" w:rsidRPr="00503E44" w:rsidRDefault="00553B47" w:rsidP="00AA1689">
      <w:pPr>
        <w:tabs>
          <w:tab w:val="left" w:pos="1418"/>
        </w:tabs>
        <w:spacing w:before="0" w:after="240"/>
        <w:jc w:val="center"/>
        <w:rPr>
          <w:i/>
        </w:rPr>
      </w:pPr>
      <w:r>
        <w:rPr>
          <w:i/>
        </w:rPr>
        <w:t xml:space="preserve">Productivity Commission </w:t>
      </w:r>
      <w:r w:rsidR="00E07E04" w:rsidRPr="00E07E04">
        <w:rPr>
          <w:i/>
        </w:rPr>
        <w:t>Regulations 20</w:t>
      </w:r>
      <w:r w:rsidR="00E07E04">
        <w:rPr>
          <w:i/>
        </w:rPr>
        <w:t>18</w:t>
      </w:r>
    </w:p>
    <w:p w14:paraId="22A5959D" w14:textId="0896A814" w:rsidR="00F109D4" w:rsidRDefault="00C55D29" w:rsidP="00647BB7">
      <w:pPr>
        <w:spacing w:before="240"/>
      </w:pPr>
      <w:r w:rsidRPr="00503E44">
        <w:t xml:space="preserve">Section </w:t>
      </w:r>
      <w:r w:rsidR="00553B47">
        <w:t>60</w:t>
      </w:r>
      <w:r w:rsidR="005E4BAC">
        <w:t xml:space="preserve"> </w:t>
      </w:r>
      <w:r w:rsidR="00F109D4" w:rsidRPr="00503E44">
        <w:t xml:space="preserve">of the </w:t>
      </w:r>
      <w:r w:rsidR="00FE0F2C" w:rsidRPr="00FE0F2C">
        <w:rPr>
          <w:i/>
        </w:rPr>
        <w:t>Productivity Commission Act 1998</w:t>
      </w:r>
      <w:r w:rsidR="00F109D4" w:rsidRPr="00503E44">
        <w:t xml:space="preserve"> (the Act) provides that the Governor-General may make regulations prescribing matters required or permitted by the Act to be prescribed, or necessary or convenient to be prescribed for carrying out or giving effect to the Act.</w:t>
      </w:r>
    </w:p>
    <w:p w14:paraId="0F95942A" w14:textId="053908D3" w:rsidR="00406B95" w:rsidRDefault="00E07E04" w:rsidP="00406B95">
      <w:pPr>
        <w:spacing w:before="240"/>
      </w:pPr>
      <w:r w:rsidRPr="00E07E04">
        <w:t xml:space="preserve">The purpose of the </w:t>
      </w:r>
      <w:r w:rsidR="00DF378E">
        <w:rPr>
          <w:i/>
        </w:rPr>
        <w:t xml:space="preserve">Productivity Commission </w:t>
      </w:r>
      <w:r w:rsidR="00231708" w:rsidRPr="00231708">
        <w:rPr>
          <w:i/>
        </w:rPr>
        <w:t xml:space="preserve">Regulations </w:t>
      </w:r>
      <w:r w:rsidR="00DF378E">
        <w:rPr>
          <w:i/>
        </w:rPr>
        <w:t>2018</w:t>
      </w:r>
      <w:r w:rsidR="00231708" w:rsidRPr="00231708">
        <w:t xml:space="preserve"> (the Regulations)</w:t>
      </w:r>
      <w:r w:rsidRPr="00E07E04">
        <w:t xml:space="preserve"> </w:t>
      </w:r>
      <w:r w:rsidR="00B62AB2">
        <w:t>is</w:t>
      </w:r>
      <w:r w:rsidRPr="00E07E04">
        <w:t xml:space="preserve"> to remake </w:t>
      </w:r>
      <w:r w:rsidR="00B62AB2">
        <w:t xml:space="preserve">and improve </w:t>
      </w:r>
      <w:r w:rsidRPr="00E07E04">
        <w:t xml:space="preserve">the </w:t>
      </w:r>
      <w:r w:rsidR="00DF378E">
        <w:rPr>
          <w:i/>
        </w:rPr>
        <w:t xml:space="preserve">Productivity Commission </w:t>
      </w:r>
      <w:r w:rsidR="00DF378E" w:rsidRPr="00231708">
        <w:rPr>
          <w:i/>
        </w:rPr>
        <w:t xml:space="preserve">Regulations </w:t>
      </w:r>
      <w:r w:rsidR="00DF378E">
        <w:rPr>
          <w:i/>
        </w:rPr>
        <w:t>1998</w:t>
      </w:r>
      <w:r w:rsidR="00DF378E" w:rsidRPr="00231708">
        <w:t xml:space="preserve"> </w:t>
      </w:r>
      <w:r w:rsidR="00231708">
        <w:t xml:space="preserve">and </w:t>
      </w:r>
      <w:r w:rsidRPr="00E07E04">
        <w:t>ensure their effect continue</w:t>
      </w:r>
      <w:r w:rsidR="00406B95">
        <w:t>s</w:t>
      </w:r>
      <w:r w:rsidRPr="00E07E04">
        <w:t>.</w:t>
      </w:r>
      <w:r w:rsidR="00B9502D">
        <w:t xml:space="preserve"> </w:t>
      </w:r>
      <w:r w:rsidR="00F02AFF" w:rsidRPr="00F02AFF">
        <w:t xml:space="preserve">The </w:t>
      </w:r>
      <w:r w:rsidR="00F02AFF" w:rsidRPr="00F02AFF">
        <w:rPr>
          <w:i/>
        </w:rPr>
        <w:t>Legislation Act 2003</w:t>
      </w:r>
      <w:r w:rsidR="00F02AFF" w:rsidRPr="00F02AFF">
        <w:t xml:space="preserve"> provides that all legislative instruments, other than exempt instruments, are automatically </w:t>
      </w:r>
      <w:r w:rsidR="00076284">
        <w:t xml:space="preserve">repealed </w:t>
      </w:r>
      <w:r w:rsidR="00406B95">
        <w:t xml:space="preserve">after 10 years or in accordance with </w:t>
      </w:r>
      <w:r w:rsidR="00F02AFF" w:rsidRPr="00F02AFF">
        <w:t>the progressive timetable set out in section 50</w:t>
      </w:r>
      <w:r w:rsidR="00406B95">
        <w:t>. The</w:t>
      </w:r>
      <w:r w:rsidR="00076284">
        <w:t xml:space="preserve"> </w:t>
      </w:r>
      <w:r w:rsidR="00DF378E">
        <w:rPr>
          <w:i/>
        </w:rPr>
        <w:t xml:space="preserve">Productivity Commission Regulations 1998 </w:t>
      </w:r>
      <w:r w:rsidR="009975DD">
        <w:t>were</w:t>
      </w:r>
      <w:r w:rsidR="00766836">
        <w:t xml:space="preserve"> scheduled for </w:t>
      </w:r>
      <w:r w:rsidR="00076284">
        <w:t>automatic repeal on 1 </w:t>
      </w:r>
      <w:r w:rsidR="00DF378E">
        <w:t>April</w:t>
      </w:r>
      <w:r w:rsidR="00076284">
        <w:t> </w:t>
      </w:r>
      <w:r w:rsidR="00406B95">
        <w:t xml:space="preserve">2019. </w:t>
      </w:r>
    </w:p>
    <w:p w14:paraId="14090434" w14:textId="5A134FB6" w:rsidR="00E07E04" w:rsidRDefault="00E07E04" w:rsidP="00647BB7">
      <w:pPr>
        <w:spacing w:before="240"/>
      </w:pPr>
      <w:r>
        <w:t xml:space="preserve">The purpose of the </w:t>
      </w:r>
      <w:r w:rsidR="00DF378E">
        <w:rPr>
          <w:i/>
        </w:rPr>
        <w:t>Productivity Commission Regulations</w:t>
      </w:r>
      <w:r w:rsidRPr="00E07E04">
        <w:rPr>
          <w:i/>
        </w:rPr>
        <w:t xml:space="preserve"> </w:t>
      </w:r>
      <w:r w:rsidR="00DF378E">
        <w:rPr>
          <w:i/>
        </w:rPr>
        <w:t>1998</w:t>
      </w:r>
      <w:r>
        <w:rPr>
          <w:i/>
        </w:rPr>
        <w:t xml:space="preserve"> </w:t>
      </w:r>
      <w:r>
        <w:t xml:space="preserve">was to </w:t>
      </w:r>
      <w:r w:rsidR="006511A4">
        <w:t xml:space="preserve">prescribe </w:t>
      </w:r>
      <w:r>
        <w:t xml:space="preserve">the </w:t>
      </w:r>
      <w:r w:rsidR="00DF378E">
        <w:t>open tender threshold for engaging consultants, expertise or independent advice</w:t>
      </w:r>
      <w:r w:rsidR="00FC5D3F">
        <w:t xml:space="preserve"> at $80,000</w:t>
      </w:r>
      <w:r w:rsidR="00DF378E">
        <w:t xml:space="preserve">. </w:t>
      </w:r>
      <w:r w:rsidR="00FC5D3F">
        <w:t xml:space="preserve">This amount </w:t>
      </w:r>
      <w:r w:rsidR="00393B23">
        <w:t>reflects</w:t>
      </w:r>
      <w:r w:rsidR="00FC5D3F">
        <w:t xml:space="preserve"> </w:t>
      </w:r>
      <w:r w:rsidR="00FC5D3F" w:rsidRPr="00FC5D3F">
        <w:t xml:space="preserve">the mandatory open tender threshold as set out in the Commonwealth Procurement Guidelines – January 2005. </w:t>
      </w:r>
      <w:r w:rsidR="00766836">
        <w:t>That</w:t>
      </w:r>
      <w:r w:rsidR="00B62AB2">
        <w:t xml:space="preserve"> purpose is</w:t>
      </w:r>
      <w:r w:rsidR="00E816C1">
        <w:t xml:space="preserve"> </w:t>
      </w:r>
      <w:r w:rsidR="00BC5F70">
        <w:t>achieved</w:t>
      </w:r>
      <w:r w:rsidR="00E816C1">
        <w:t xml:space="preserve"> by the</w:t>
      </w:r>
      <w:r w:rsidR="00B62AB2">
        <w:t xml:space="preserve"> </w:t>
      </w:r>
      <w:r w:rsidR="00766836">
        <w:t>R</w:t>
      </w:r>
      <w:r w:rsidR="00B62AB2">
        <w:t>egulations.</w:t>
      </w:r>
    </w:p>
    <w:p w14:paraId="38F30CAB" w14:textId="2A6E2218" w:rsidR="00C37E05" w:rsidRDefault="00766836" w:rsidP="00647BB7">
      <w:pPr>
        <w:spacing w:before="240"/>
      </w:pPr>
      <w:r>
        <w:t>The R</w:t>
      </w:r>
      <w:r w:rsidR="00E07E04">
        <w:t xml:space="preserve">egulations will apply </w:t>
      </w:r>
      <w:r w:rsidR="00B55B9A">
        <w:t xml:space="preserve">to </w:t>
      </w:r>
      <w:r w:rsidR="00E5672D">
        <w:t xml:space="preserve">tender processes occurring the day after they are </w:t>
      </w:r>
      <w:r w:rsidR="00B55B9A">
        <w:t>registered</w:t>
      </w:r>
      <w:r w:rsidR="00BC5F70">
        <w:t xml:space="preserve"> on the Federal Register of Legislation</w:t>
      </w:r>
      <w:r w:rsidR="00B55B9A">
        <w:t>.</w:t>
      </w:r>
    </w:p>
    <w:p w14:paraId="40496983" w14:textId="024D0078" w:rsidR="00B9502D" w:rsidRDefault="00B9502D" w:rsidP="00E5672D">
      <w:pPr>
        <w:spacing w:before="240"/>
      </w:pPr>
      <w:r>
        <w:t xml:space="preserve">The Regulations remake and improve the </w:t>
      </w:r>
      <w:r w:rsidR="00E5672D">
        <w:rPr>
          <w:i/>
        </w:rPr>
        <w:t xml:space="preserve">Productivity Commission Regulations 1998 </w:t>
      </w:r>
      <w:r>
        <w:t>by</w:t>
      </w:r>
      <w:bookmarkStart w:id="1" w:name="tempbookmark"/>
      <w:bookmarkEnd w:id="1"/>
      <w:r w:rsidR="00E5672D">
        <w:t xml:space="preserve"> </w:t>
      </w:r>
      <w:r w:rsidRPr="00541B6F">
        <w:t xml:space="preserve">adopting current drafting practices such as referring to ‘sections’ rather than ‘regulations’. </w:t>
      </w:r>
    </w:p>
    <w:p w14:paraId="49044846" w14:textId="19AA1F5B" w:rsidR="00B9502D" w:rsidRDefault="002A5569" w:rsidP="00B9502D">
      <w:pPr>
        <w:spacing w:before="240"/>
      </w:pPr>
      <w:r>
        <w:t>The</w:t>
      </w:r>
      <w:r w:rsidR="00B9502D">
        <w:t xml:space="preserve"> changes do not </w:t>
      </w:r>
      <w:r w:rsidR="00E5672D">
        <w:t xml:space="preserve">affect the </w:t>
      </w:r>
      <w:r w:rsidR="00B9502D">
        <w:t>meaning or operation of the provisions.</w:t>
      </w:r>
    </w:p>
    <w:p w14:paraId="783DD165" w14:textId="63066C35" w:rsidR="00E61D47" w:rsidRPr="00F20518" w:rsidRDefault="00C7325C" w:rsidP="00647BB7">
      <w:pPr>
        <w:spacing w:before="240"/>
      </w:pPr>
      <w:r w:rsidRPr="00F20518">
        <w:t xml:space="preserve">These regulations were </w:t>
      </w:r>
      <w:r w:rsidR="00FC5D3F" w:rsidRPr="00F20518">
        <w:t xml:space="preserve">prepared </w:t>
      </w:r>
      <w:r w:rsidRPr="00F20518">
        <w:t>in consultation with the Productivity Commission</w:t>
      </w:r>
      <w:r w:rsidR="00FC5D3F" w:rsidRPr="00F20518">
        <w:t xml:space="preserve"> with no issues raised</w:t>
      </w:r>
      <w:r w:rsidRPr="00F20518">
        <w:t xml:space="preserve">.  </w:t>
      </w:r>
    </w:p>
    <w:p w14:paraId="1E72006D" w14:textId="77777777" w:rsidR="00B62AB2" w:rsidRDefault="00B62AB2" w:rsidP="00B62AB2">
      <w:pPr>
        <w:spacing w:before="240"/>
      </w:pPr>
      <w:r w:rsidRPr="00B62AB2">
        <w:t xml:space="preserve">Further details of the Regulations are set out in the </w:t>
      </w:r>
      <w:r w:rsidRPr="00B62AB2">
        <w:rPr>
          <w:u w:val="single"/>
        </w:rPr>
        <w:t>Attachment</w:t>
      </w:r>
      <w:r w:rsidRPr="00B62AB2">
        <w:t>.</w:t>
      </w:r>
    </w:p>
    <w:p w14:paraId="71615E9B" w14:textId="278092E3" w:rsidR="009143A0" w:rsidRDefault="00F109D4" w:rsidP="00B62AB2">
      <w:pPr>
        <w:spacing w:before="240"/>
      </w:pPr>
      <w:r w:rsidRPr="00503E44">
        <w:t xml:space="preserve">The Regulations commence on </w:t>
      </w:r>
      <w:r w:rsidR="00E07E04">
        <w:t xml:space="preserve">the day after </w:t>
      </w:r>
      <w:r w:rsidR="00B62AB2">
        <w:t>it is registered on the</w:t>
      </w:r>
      <w:r w:rsidR="002A5569">
        <w:t xml:space="preserve"> Federal Register of Legislation.</w:t>
      </w:r>
    </w:p>
    <w:p w14:paraId="1C5CCC2D" w14:textId="1B68181C" w:rsidR="00BC5F70" w:rsidRDefault="00BC5F70" w:rsidP="00B62AB2">
      <w:pPr>
        <w:spacing w:before="240"/>
      </w:pPr>
      <w:r w:rsidRPr="00E61D47">
        <w:t>The Office of Best Practice Regulation considered the Regulations have minor impact on business, community organisations or individuals and has certified that the remaking of the Regulations do not require a Regulatory Impact Statement</w:t>
      </w:r>
      <w:r w:rsidR="00F20518">
        <w:t xml:space="preserve"> (OBPR </w:t>
      </w:r>
      <w:r w:rsidR="00F20518" w:rsidRPr="00F20518">
        <w:t>ID </w:t>
      </w:r>
      <w:r w:rsidR="00B212B5" w:rsidRPr="00F20518">
        <w:t>23546</w:t>
      </w:r>
      <w:r w:rsidRPr="00F20518">
        <w:t>)</w:t>
      </w:r>
    </w:p>
    <w:p w14:paraId="5EC3DFA8" w14:textId="77777777" w:rsidR="00F20518" w:rsidRDefault="00F20518" w:rsidP="00B62AB2">
      <w:pPr>
        <w:spacing w:before="240"/>
      </w:pPr>
    </w:p>
    <w:p w14:paraId="0F42CC60" w14:textId="77777777" w:rsidR="00F20518" w:rsidRDefault="00F20518" w:rsidP="00B62AB2">
      <w:pPr>
        <w:spacing w:before="240"/>
      </w:pPr>
    </w:p>
    <w:p w14:paraId="5121B7F0" w14:textId="77777777" w:rsidR="00F20518" w:rsidRDefault="00F20518" w:rsidP="00B62AB2">
      <w:pPr>
        <w:spacing w:before="240"/>
      </w:pPr>
    </w:p>
    <w:p w14:paraId="3F7749F5" w14:textId="77777777" w:rsidR="00E4438C" w:rsidRPr="00BC5F70" w:rsidRDefault="00E4438C" w:rsidP="00BC5F70">
      <w:pPr>
        <w:pStyle w:val="Heading3"/>
        <w:jc w:val="center"/>
        <w:rPr>
          <w:rFonts w:ascii="Helvetica" w:hAnsi="Helvetica"/>
          <w:szCs w:val="24"/>
        </w:rPr>
      </w:pPr>
      <w:r w:rsidRPr="00BC5F70">
        <w:rPr>
          <w:rFonts w:ascii="Helvetica" w:hAnsi="Helvetica"/>
          <w:szCs w:val="24"/>
        </w:rPr>
        <w:t>Statement of Compatibility with Human Rights</w:t>
      </w:r>
    </w:p>
    <w:p w14:paraId="5E5D1A30" w14:textId="77777777" w:rsidR="00E4438C" w:rsidRPr="00647BB7" w:rsidRDefault="00E4438C" w:rsidP="00AC1D15">
      <w:pPr>
        <w:spacing w:before="240"/>
        <w:jc w:val="center"/>
        <w:rPr>
          <w:i/>
        </w:rPr>
      </w:pPr>
      <w:r w:rsidRPr="00647BB7">
        <w:rPr>
          <w:i/>
        </w:rPr>
        <w:t>Prepared in accordance with Part 3 of the Human Rights (Parliamentary Scrutiny) Act 2011</w:t>
      </w:r>
    </w:p>
    <w:p w14:paraId="34C289A4" w14:textId="13BAD81D" w:rsidR="00E4438C" w:rsidRPr="00BC5F70" w:rsidRDefault="00E5672D" w:rsidP="00BC5F70">
      <w:pPr>
        <w:spacing w:after="200"/>
        <w:jc w:val="center"/>
        <w:rPr>
          <w:i/>
        </w:rPr>
      </w:pPr>
      <w:r>
        <w:rPr>
          <w:i/>
        </w:rPr>
        <w:t>Productivity Commission</w:t>
      </w:r>
      <w:r w:rsidR="00B74728" w:rsidRPr="00BC5F70">
        <w:rPr>
          <w:i/>
        </w:rPr>
        <w:t xml:space="preserve"> Regulations 2018</w:t>
      </w:r>
    </w:p>
    <w:p w14:paraId="26272921" w14:textId="77777777" w:rsidR="00E4438C" w:rsidRPr="00647BB7" w:rsidRDefault="00E4438C" w:rsidP="00647BB7">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47619494" w14:textId="77777777" w:rsidR="00E4438C" w:rsidRPr="00647BB7" w:rsidRDefault="00E4438C" w:rsidP="003E1CE3">
      <w:pPr>
        <w:pStyle w:val="Heading3"/>
      </w:pPr>
      <w:r w:rsidRPr="00647BB7">
        <w:t>Overview of the Legislative Instrument</w:t>
      </w:r>
    </w:p>
    <w:p w14:paraId="359061AC" w14:textId="77777777" w:rsidR="00E5672D" w:rsidRDefault="00E5672D" w:rsidP="00E5672D">
      <w:pPr>
        <w:spacing w:before="240"/>
      </w:pPr>
      <w:r>
        <w:t xml:space="preserve">The Regulations remake and improve the </w:t>
      </w:r>
      <w:r>
        <w:rPr>
          <w:i/>
        </w:rPr>
        <w:t xml:space="preserve">Productivity Commission Regulations 1998 </w:t>
      </w:r>
      <w:r>
        <w:t xml:space="preserve">by </w:t>
      </w:r>
      <w:r w:rsidRPr="00541B6F">
        <w:t xml:space="preserve">adopting current drafting practices such as referring to ‘sections’ rather than ‘regulations’. </w:t>
      </w:r>
    </w:p>
    <w:p w14:paraId="065F0810" w14:textId="2DF57D68" w:rsidR="00BC5F70" w:rsidRDefault="002A5569" w:rsidP="00E5672D">
      <w:pPr>
        <w:spacing w:before="240"/>
      </w:pPr>
      <w:r>
        <w:t>The</w:t>
      </w:r>
      <w:r w:rsidR="00BC5F70">
        <w:t xml:space="preserve"> changes do not affect the</w:t>
      </w:r>
      <w:r w:rsidR="00E5672D">
        <w:t xml:space="preserve"> substantive</w:t>
      </w:r>
      <w:r w:rsidR="00BC5F70">
        <w:t xml:space="preserve"> meaning or operation of the provisions.</w:t>
      </w:r>
    </w:p>
    <w:p w14:paraId="2D8EF68C" w14:textId="29DA5BDB" w:rsidR="00E4438C" w:rsidRPr="00647BB7" w:rsidRDefault="00E4438C" w:rsidP="003E1CE3">
      <w:pPr>
        <w:pStyle w:val="Heading3"/>
      </w:pPr>
      <w:r w:rsidRPr="00647BB7">
        <w:t>Human rights implications</w:t>
      </w:r>
    </w:p>
    <w:p w14:paraId="6095334C" w14:textId="77777777" w:rsidR="00E4438C" w:rsidRPr="00647BB7" w:rsidRDefault="00E4438C" w:rsidP="00647BB7">
      <w:pPr>
        <w:spacing w:before="240"/>
      </w:pPr>
      <w:r w:rsidRPr="00A63531">
        <w:t>This Legislative Instrument does not engage any of the applicable rights or freedoms.</w:t>
      </w:r>
    </w:p>
    <w:p w14:paraId="56DDCDAA" w14:textId="77777777" w:rsidR="00E4438C" w:rsidRPr="00647BB7" w:rsidRDefault="00E4438C" w:rsidP="003E1CE3">
      <w:pPr>
        <w:pStyle w:val="Heading3"/>
      </w:pPr>
      <w:r w:rsidRPr="00647BB7">
        <w:t>Conclusion</w:t>
      </w:r>
    </w:p>
    <w:p w14:paraId="1627D18C" w14:textId="77777777" w:rsidR="00E4438C" w:rsidRDefault="00E4438C" w:rsidP="00647BB7">
      <w:pPr>
        <w:spacing w:before="240"/>
      </w:pPr>
      <w:r w:rsidRPr="00647BB7">
        <w:t>This Legislative Instrument is compatible with human rights as it does not raise any human rights issues.</w:t>
      </w:r>
    </w:p>
    <w:p w14:paraId="7A69EFE6" w14:textId="77777777" w:rsidR="002A310F" w:rsidRDefault="002A310F" w:rsidP="00647BB7">
      <w:pPr>
        <w:spacing w:before="240"/>
      </w:pPr>
    </w:p>
    <w:p w14:paraId="2B8F1C31" w14:textId="77777777" w:rsidR="002A310F" w:rsidRDefault="002A310F">
      <w:pPr>
        <w:spacing w:before="0" w:after="0"/>
      </w:pPr>
      <w:r>
        <w:br w:type="page"/>
      </w:r>
    </w:p>
    <w:p w14:paraId="155A5597" w14:textId="77777777" w:rsidR="006C436F" w:rsidRDefault="006C436F" w:rsidP="006C436F">
      <w:pPr>
        <w:tabs>
          <w:tab w:val="left" w:pos="2835"/>
        </w:tabs>
        <w:spacing w:before="240"/>
        <w:ind w:right="91"/>
        <w:jc w:val="right"/>
        <w:rPr>
          <w:b/>
          <w:u w:val="single"/>
        </w:rPr>
      </w:pPr>
      <w:r>
        <w:rPr>
          <w:b/>
          <w:u w:val="single"/>
        </w:rPr>
        <w:lastRenderedPageBreak/>
        <w:t>ATTACHMENT</w:t>
      </w:r>
    </w:p>
    <w:p w14:paraId="4592466A" w14:textId="6C04A827" w:rsidR="006C436F" w:rsidRPr="00F733D8" w:rsidRDefault="002A5569" w:rsidP="006C436F">
      <w:pPr>
        <w:tabs>
          <w:tab w:val="left" w:pos="2835"/>
        </w:tabs>
        <w:spacing w:before="240"/>
        <w:ind w:right="91"/>
        <w:rPr>
          <w:b/>
          <w:u w:val="single"/>
        </w:rPr>
      </w:pPr>
      <w:r>
        <w:rPr>
          <w:b/>
          <w:u w:val="single"/>
        </w:rPr>
        <w:t>Details of the</w:t>
      </w:r>
      <w:r w:rsidR="006C436F" w:rsidRPr="00F733D8">
        <w:rPr>
          <w:b/>
          <w:u w:val="single"/>
        </w:rPr>
        <w:t xml:space="preserve"> </w:t>
      </w:r>
      <w:r w:rsidR="00E5672D">
        <w:rPr>
          <w:b/>
          <w:i/>
          <w:u w:val="single"/>
        </w:rPr>
        <w:t>Productivity Commission</w:t>
      </w:r>
      <w:r w:rsidR="006C436F" w:rsidRPr="00D077A3">
        <w:rPr>
          <w:b/>
          <w:i/>
          <w:u w:val="single"/>
        </w:rPr>
        <w:t xml:space="preserve"> Regulations 2018</w:t>
      </w:r>
    </w:p>
    <w:p w14:paraId="65B06CF5" w14:textId="15AA898F" w:rsidR="00FC5D3F" w:rsidRPr="00F20518" w:rsidRDefault="006C436F" w:rsidP="006C436F">
      <w:pPr>
        <w:spacing w:before="240"/>
        <w:rPr>
          <w:u w:val="single"/>
        </w:rPr>
      </w:pPr>
      <w:r w:rsidRPr="00F20518">
        <w:rPr>
          <w:u w:val="single"/>
        </w:rPr>
        <w:t xml:space="preserve">Section 1 </w:t>
      </w:r>
      <w:r w:rsidR="00FC5D3F" w:rsidRPr="00F20518">
        <w:rPr>
          <w:u w:val="single"/>
        </w:rPr>
        <w:t>– Name of Regulation</w:t>
      </w:r>
    </w:p>
    <w:p w14:paraId="4CB91C7E" w14:textId="2803A4D9" w:rsidR="006C436F" w:rsidRPr="00393B23" w:rsidRDefault="00FC5D3F" w:rsidP="006C436F">
      <w:pPr>
        <w:spacing w:before="240"/>
      </w:pPr>
      <w:r w:rsidRPr="00F20518">
        <w:t xml:space="preserve">This section provides that the title of the </w:t>
      </w:r>
      <w:r w:rsidR="006C436F" w:rsidRPr="00FC5D3F">
        <w:t xml:space="preserve">Regulations </w:t>
      </w:r>
      <w:r w:rsidRPr="00FC5D3F">
        <w:t>is</w:t>
      </w:r>
      <w:r w:rsidR="006C436F" w:rsidRPr="00FC5D3F">
        <w:t xml:space="preserve"> </w:t>
      </w:r>
      <w:r w:rsidR="00C7325C" w:rsidRPr="00FC5D3F">
        <w:t xml:space="preserve">the </w:t>
      </w:r>
      <w:r w:rsidR="00E5672D" w:rsidRPr="00393B23">
        <w:t>Productivity Commission</w:t>
      </w:r>
      <w:r w:rsidR="006C436F" w:rsidRPr="00393B23">
        <w:t xml:space="preserve"> Regulations 2018.</w:t>
      </w:r>
    </w:p>
    <w:p w14:paraId="2D62ECD4" w14:textId="620325A5" w:rsidR="00FC5D3F" w:rsidRPr="00F20518" w:rsidRDefault="006C436F" w:rsidP="006C436F">
      <w:pPr>
        <w:spacing w:before="240"/>
        <w:rPr>
          <w:u w:val="single"/>
        </w:rPr>
      </w:pPr>
      <w:r w:rsidRPr="00F20518">
        <w:rPr>
          <w:u w:val="single"/>
        </w:rPr>
        <w:t xml:space="preserve">Section 2 – </w:t>
      </w:r>
      <w:r w:rsidR="00FC5D3F" w:rsidRPr="00F20518">
        <w:rPr>
          <w:u w:val="single"/>
        </w:rPr>
        <w:t>Commencement</w:t>
      </w:r>
    </w:p>
    <w:p w14:paraId="7486DC38" w14:textId="5442F690" w:rsidR="006C436F" w:rsidRDefault="00FC5D3F" w:rsidP="006C436F">
      <w:pPr>
        <w:spacing w:before="240"/>
      </w:pPr>
      <w:r>
        <w:t xml:space="preserve">This section </w:t>
      </w:r>
      <w:r w:rsidR="006C436F">
        <w:t>provides the Regulations commence the day after they are registered</w:t>
      </w:r>
      <w:r w:rsidR="008C7FB6">
        <w:t xml:space="preserve"> on the Federal Register of Legislation</w:t>
      </w:r>
      <w:r w:rsidR="006C436F">
        <w:t>.</w:t>
      </w:r>
    </w:p>
    <w:p w14:paraId="2DC808D4" w14:textId="2F7A4C01" w:rsidR="00FC5D3F" w:rsidRPr="00F20518" w:rsidRDefault="006C436F" w:rsidP="006C436F">
      <w:pPr>
        <w:spacing w:before="240"/>
        <w:rPr>
          <w:u w:val="single"/>
        </w:rPr>
      </w:pPr>
      <w:r w:rsidRPr="00F20518">
        <w:rPr>
          <w:u w:val="single"/>
        </w:rPr>
        <w:t xml:space="preserve">Section 3 – </w:t>
      </w:r>
      <w:r w:rsidR="00FC5D3F" w:rsidRPr="00F20518">
        <w:rPr>
          <w:u w:val="single"/>
        </w:rPr>
        <w:t>Authority</w:t>
      </w:r>
    </w:p>
    <w:p w14:paraId="74BB575D" w14:textId="52D61685" w:rsidR="006C436F" w:rsidRDefault="00FC5D3F" w:rsidP="006C436F">
      <w:pPr>
        <w:spacing w:before="240"/>
      </w:pPr>
      <w:r>
        <w:t xml:space="preserve">This section </w:t>
      </w:r>
      <w:r w:rsidR="006C436F">
        <w:t xml:space="preserve">provides the Regulations are made under the </w:t>
      </w:r>
      <w:r w:rsidR="00E5672D" w:rsidRPr="00F20518">
        <w:rPr>
          <w:i/>
        </w:rPr>
        <w:t>Productivity Commission</w:t>
      </w:r>
      <w:r w:rsidR="006C436F" w:rsidRPr="00F20518">
        <w:rPr>
          <w:i/>
        </w:rPr>
        <w:t xml:space="preserve"> Act 199</w:t>
      </w:r>
      <w:r w:rsidR="00E5672D" w:rsidRPr="00F20518">
        <w:rPr>
          <w:i/>
        </w:rPr>
        <w:t>8</w:t>
      </w:r>
      <w:r w:rsidR="006C436F">
        <w:t>.</w:t>
      </w:r>
    </w:p>
    <w:p w14:paraId="01C27E89" w14:textId="5ED3C900" w:rsidR="00FC5D3F" w:rsidRPr="00F20518" w:rsidRDefault="006C436F" w:rsidP="006C436F">
      <w:pPr>
        <w:spacing w:before="240"/>
        <w:rPr>
          <w:u w:val="single"/>
        </w:rPr>
      </w:pPr>
      <w:r w:rsidRPr="00F20518">
        <w:rPr>
          <w:u w:val="single"/>
        </w:rPr>
        <w:t xml:space="preserve">Section 4 – </w:t>
      </w:r>
      <w:r w:rsidR="00FC5D3F" w:rsidRPr="00F20518">
        <w:rPr>
          <w:u w:val="single"/>
        </w:rPr>
        <w:t>Schedules</w:t>
      </w:r>
    </w:p>
    <w:p w14:paraId="521370C3" w14:textId="7A2AC135" w:rsidR="006C436F" w:rsidRDefault="00FC5D3F" w:rsidP="006C436F">
      <w:pPr>
        <w:spacing w:before="240"/>
      </w:pPr>
      <w:r>
        <w:t xml:space="preserve">This section </w:t>
      </w:r>
      <w:r w:rsidR="006C436F">
        <w:t>provides that each instrument identified in a Schedule to the Regulations is amended or repealed in accordance with these Regulations.</w:t>
      </w:r>
    </w:p>
    <w:p w14:paraId="51BDD267" w14:textId="2ED7D407" w:rsidR="00FC5D3F" w:rsidRDefault="006C436F" w:rsidP="006C436F">
      <w:pPr>
        <w:spacing w:before="240"/>
      </w:pPr>
      <w:r w:rsidRPr="00F20518">
        <w:rPr>
          <w:u w:val="single"/>
        </w:rPr>
        <w:t xml:space="preserve">Section 5 </w:t>
      </w:r>
      <w:r w:rsidR="00FC5D3F" w:rsidRPr="00F20518">
        <w:rPr>
          <w:u w:val="single"/>
        </w:rPr>
        <w:noBreakHyphen/>
        <w:t xml:space="preserve"> Definitions</w:t>
      </w:r>
      <w:r w:rsidR="00FC5D3F">
        <w:t>–</w:t>
      </w:r>
      <w:r>
        <w:t xml:space="preserve"> </w:t>
      </w:r>
    </w:p>
    <w:p w14:paraId="4ED9CAEC" w14:textId="75CC8B33" w:rsidR="006C436F" w:rsidRDefault="00FC5D3F" w:rsidP="006C436F">
      <w:pPr>
        <w:spacing w:before="240"/>
      </w:pPr>
      <w:r w:rsidRPr="00FC5D3F">
        <w:t>This section defines Act as the P</w:t>
      </w:r>
      <w:r w:rsidR="00393B23">
        <w:t>roductivity Commission Act 1998</w:t>
      </w:r>
      <w:r w:rsidR="006C436F">
        <w:t>.</w:t>
      </w:r>
    </w:p>
    <w:p w14:paraId="55BB93A6" w14:textId="0AFC70EF" w:rsidR="00FC5D3F" w:rsidRPr="00F20518" w:rsidRDefault="006C436F" w:rsidP="006C436F">
      <w:pPr>
        <w:spacing w:before="240"/>
        <w:rPr>
          <w:u w:val="single"/>
        </w:rPr>
      </w:pPr>
      <w:r w:rsidRPr="00F20518">
        <w:rPr>
          <w:u w:val="single"/>
        </w:rPr>
        <w:t xml:space="preserve">Section 6 – </w:t>
      </w:r>
      <w:r w:rsidR="00FC5D3F" w:rsidRPr="00F20518">
        <w:rPr>
          <w:u w:val="single"/>
        </w:rPr>
        <w:t>Estimated value of consultancy</w:t>
      </w:r>
    </w:p>
    <w:p w14:paraId="08BA6F4E" w14:textId="2037F945" w:rsidR="006C436F" w:rsidRDefault="00393B23" w:rsidP="006C436F">
      <w:pPr>
        <w:spacing w:before="240"/>
      </w:pPr>
      <w:r>
        <w:t xml:space="preserve">This section </w:t>
      </w:r>
      <w:r w:rsidR="00E5672D">
        <w:t xml:space="preserve">sets the open tender threshold at $80,000. </w:t>
      </w:r>
    </w:p>
    <w:p w14:paraId="1185422A" w14:textId="265CFC1B" w:rsidR="00FC5D3F" w:rsidRPr="00F20518" w:rsidRDefault="006C436F" w:rsidP="006C436F">
      <w:pPr>
        <w:spacing w:before="240"/>
        <w:rPr>
          <w:u w:val="single"/>
        </w:rPr>
      </w:pPr>
      <w:r w:rsidRPr="00F20518">
        <w:rPr>
          <w:u w:val="single"/>
        </w:rPr>
        <w:t xml:space="preserve">Schedule 1 – </w:t>
      </w:r>
      <w:r w:rsidR="00FC5D3F" w:rsidRPr="00F20518">
        <w:rPr>
          <w:u w:val="single"/>
        </w:rPr>
        <w:t>Repeals</w:t>
      </w:r>
    </w:p>
    <w:p w14:paraId="51E470B5" w14:textId="23DA8DF4" w:rsidR="00F20518" w:rsidRDefault="00393B23" w:rsidP="006C436F">
      <w:pPr>
        <w:spacing w:before="240"/>
      </w:pPr>
      <w:r>
        <w:t xml:space="preserve">Schedule 1 to the Regulations </w:t>
      </w:r>
      <w:r w:rsidR="006C436F">
        <w:t>repeals the</w:t>
      </w:r>
      <w:r w:rsidR="002A5569">
        <w:t xml:space="preserve"> </w:t>
      </w:r>
      <w:r w:rsidR="002A5569" w:rsidRPr="002A5569">
        <w:rPr>
          <w:i/>
        </w:rPr>
        <w:t>Productivity Commission Regulations 1998</w:t>
      </w:r>
      <w:r w:rsidR="006C436F">
        <w:t>. This ensures that the Regulations will be repealed and remade befo</w:t>
      </w:r>
      <w:r w:rsidR="002A5569">
        <w:t>re they sunset on 1 </w:t>
      </w:r>
      <w:r w:rsidR="00E5672D">
        <w:t>April</w:t>
      </w:r>
      <w:r w:rsidR="006C436F">
        <w:t xml:space="preserve"> 2019. </w:t>
      </w:r>
    </w:p>
    <w:p w14:paraId="210DA75E" w14:textId="77777777" w:rsidR="002A5569" w:rsidRDefault="002A5569" w:rsidP="006C436F">
      <w:pPr>
        <w:spacing w:before="240"/>
      </w:pPr>
    </w:p>
    <w:p w14:paraId="6421B7CC" w14:textId="77777777" w:rsidR="006C436F" w:rsidRPr="00DC525B" w:rsidRDefault="006C436F" w:rsidP="006C436F">
      <w:pPr>
        <w:shd w:val="clear" w:color="auto" w:fill="FFFFFF"/>
        <w:spacing w:before="100" w:beforeAutospacing="1" w:after="100" w:afterAutospacing="1"/>
        <w:rPr>
          <w:bCs/>
          <w:szCs w:val="24"/>
          <w:u w:val="single"/>
        </w:rPr>
      </w:pPr>
      <w:r w:rsidRPr="00DC525B">
        <w:rPr>
          <w:b/>
          <w:bCs/>
          <w:szCs w:val="24"/>
          <w:u w:val="single"/>
        </w:rPr>
        <w:t>Finding table</w:t>
      </w:r>
    </w:p>
    <w:p w14:paraId="7C94FC3A" w14:textId="6D103009" w:rsidR="006C436F" w:rsidRPr="00DC525B" w:rsidRDefault="006C436F" w:rsidP="006C436F">
      <w:pPr>
        <w:pStyle w:val="base-text-paragraph"/>
        <w:ind w:left="0"/>
        <w:jc w:val="both"/>
      </w:pPr>
      <w:r w:rsidRPr="00DC525B">
        <w:t>As a result of some of the changes described above, it became necessary to renu</w:t>
      </w:r>
      <w:r w:rsidR="002A5569">
        <w:t xml:space="preserve">mber provisions of the </w:t>
      </w:r>
      <w:r w:rsidRPr="00DC525B">
        <w:t>Regulations. This Explanatory Memorandum includes a finding table to assist in identifying whic</w:t>
      </w:r>
      <w:r w:rsidR="002A5569">
        <w:t>h provision in the</w:t>
      </w:r>
      <w:r w:rsidRPr="00DC525B">
        <w:t xml:space="preserve"> Regulations corresponds to a provision in the old law that has been rewritten or consolidated, and vice versa. </w:t>
      </w:r>
    </w:p>
    <w:p w14:paraId="7A9D2538" w14:textId="75FA8680" w:rsidR="006C436F" w:rsidRPr="00DC525B" w:rsidRDefault="006C436F" w:rsidP="006C436F">
      <w:pPr>
        <w:pStyle w:val="base-text-paragraph"/>
        <w:ind w:left="0"/>
        <w:jc w:val="both"/>
      </w:pPr>
      <w:r w:rsidRPr="00DC525B">
        <w:t xml:space="preserve">References to the old law are to the </w:t>
      </w:r>
      <w:r w:rsidR="00E5672D">
        <w:rPr>
          <w:i/>
        </w:rPr>
        <w:t xml:space="preserve">Productivity Commission </w:t>
      </w:r>
      <w:r w:rsidR="00E5672D" w:rsidRPr="00D077A3">
        <w:rPr>
          <w:i/>
        </w:rPr>
        <w:t xml:space="preserve">Regulations </w:t>
      </w:r>
      <w:r w:rsidR="00E5672D">
        <w:rPr>
          <w:i/>
        </w:rPr>
        <w:t>1998</w:t>
      </w:r>
      <w:r w:rsidRPr="00DC525B">
        <w:rPr>
          <w:i/>
        </w:rPr>
        <w:t xml:space="preserve">. </w:t>
      </w:r>
      <w:r w:rsidRPr="00DC525B">
        <w:t xml:space="preserve">References to the new law are to the </w:t>
      </w:r>
      <w:r w:rsidR="00E5672D">
        <w:rPr>
          <w:i/>
        </w:rPr>
        <w:t xml:space="preserve">Productivity Commission </w:t>
      </w:r>
      <w:r w:rsidR="00E5672D" w:rsidRPr="00D077A3">
        <w:rPr>
          <w:i/>
        </w:rPr>
        <w:t>Regulations 2018</w:t>
      </w:r>
      <w:r w:rsidRPr="00DC525B">
        <w:t>. Also, in the finding table, ‘no equivalent’</w:t>
      </w:r>
      <w:r w:rsidRPr="00DC525B">
        <w:rPr>
          <w:i/>
        </w:rPr>
        <w:t xml:space="preserve"> </w:t>
      </w:r>
      <w:r w:rsidRPr="00DC525B">
        <w:t xml:space="preserve">means that this is a new provision that has no equivalent in the old law. </w:t>
      </w:r>
    </w:p>
    <w:p w14:paraId="79A9C19D" w14:textId="77777777" w:rsidR="006C436F" w:rsidRPr="00DC525B" w:rsidRDefault="006C436F" w:rsidP="006C436F">
      <w:pPr>
        <w:pStyle w:val="base-text-paragraph"/>
        <w:ind w:left="0"/>
        <w:jc w:val="both"/>
        <w:rPr>
          <w:i/>
        </w:rPr>
      </w:pPr>
    </w:p>
    <w:tbl>
      <w:tblPr>
        <w:tblStyle w:val="TableGrid"/>
        <w:tblW w:w="8522" w:type="dxa"/>
        <w:tblLook w:val="04A0" w:firstRow="1" w:lastRow="0" w:firstColumn="1" w:lastColumn="0" w:noHBand="0" w:noVBand="1"/>
      </w:tblPr>
      <w:tblGrid>
        <w:gridCol w:w="4261"/>
        <w:gridCol w:w="4261"/>
      </w:tblGrid>
      <w:tr w:rsidR="006C436F" w:rsidRPr="00005E51" w14:paraId="78B5BB28" w14:textId="77777777" w:rsidTr="00100CB2">
        <w:tc>
          <w:tcPr>
            <w:tcW w:w="4261" w:type="dxa"/>
          </w:tcPr>
          <w:p w14:paraId="00759003" w14:textId="77777777" w:rsidR="006C436F" w:rsidRPr="00005E51" w:rsidRDefault="006C436F" w:rsidP="00100CB2">
            <w:pPr>
              <w:pStyle w:val="base-text-paragraph"/>
              <w:ind w:left="0"/>
              <w:jc w:val="center"/>
              <w:rPr>
                <w:b/>
                <w:i/>
                <w:szCs w:val="24"/>
              </w:rPr>
            </w:pPr>
            <w:r w:rsidRPr="00005E51">
              <w:rPr>
                <w:b/>
                <w:i/>
                <w:szCs w:val="24"/>
              </w:rPr>
              <w:lastRenderedPageBreak/>
              <w:t>Old law</w:t>
            </w:r>
          </w:p>
        </w:tc>
        <w:tc>
          <w:tcPr>
            <w:tcW w:w="4261" w:type="dxa"/>
          </w:tcPr>
          <w:p w14:paraId="39226CD3" w14:textId="77777777" w:rsidR="006C436F" w:rsidRPr="00005E51" w:rsidRDefault="006C436F" w:rsidP="00100CB2">
            <w:pPr>
              <w:pStyle w:val="base-text-paragraph"/>
              <w:ind w:left="0"/>
              <w:jc w:val="center"/>
              <w:rPr>
                <w:b/>
                <w:i/>
                <w:szCs w:val="24"/>
              </w:rPr>
            </w:pPr>
            <w:r w:rsidRPr="00005E51">
              <w:rPr>
                <w:b/>
                <w:i/>
                <w:szCs w:val="24"/>
              </w:rPr>
              <w:t>New law</w:t>
            </w:r>
          </w:p>
        </w:tc>
      </w:tr>
      <w:tr w:rsidR="006C436F" w:rsidRPr="00005E51" w14:paraId="60335D74" w14:textId="77777777" w:rsidTr="00100CB2">
        <w:tc>
          <w:tcPr>
            <w:tcW w:w="4261" w:type="dxa"/>
          </w:tcPr>
          <w:p w14:paraId="6ED9F766" w14:textId="139A1181" w:rsidR="006C436F" w:rsidRPr="00005E51" w:rsidRDefault="00E5672D" w:rsidP="00100CB2">
            <w:pPr>
              <w:pStyle w:val="base-text-paragraph"/>
              <w:ind w:left="0"/>
              <w:jc w:val="center"/>
              <w:rPr>
                <w:i/>
                <w:szCs w:val="24"/>
              </w:rPr>
            </w:pPr>
            <w:r>
              <w:rPr>
                <w:i/>
              </w:rPr>
              <w:t>Productivity Commission Regulations 199</w:t>
            </w:r>
            <w:r w:rsidRPr="00D077A3">
              <w:rPr>
                <w:i/>
              </w:rPr>
              <w:t>8</w:t>
            </w:r>
          </w:p>
        </w:tc>
        <w:tc>
          <w:tcPr>
            <w:tcW w:w="4261" w:type="dxa"/>
          </w:tcPr>
          <w:p w14:paraId="3AF4E649" w14:textId="750FD80A" w:rsidR="006C436F" w:rsidRPr="00005E51" w:rsidRDefault="00E5672D" w:rsidP="00100CB2">
            <w:pPr>
              <w:pStyle w:val="base-text-paragraph"/>
              <w:ind w:left="0"/>
              <w:jc w:val="center"/>
              <w:rPr>
                <w:i/>
                <w:szCs w:val="24"/>
              </w:rPr>
            </w:pPr>
            <w:r>
              <w:rPr>
                <w:i/>
              </w:rPr>
              <w:t xml:space="preserve">Productivity Commission </w:t>
            </w:r>
            <w:r w:rsidRPr="00D077A3">
              <w:rPr>
                <w:i/>
              </w:rPr>
              <w:t>Regulations 2018</w:t>
            </w:r>
          </w:p>
        </w:tc>
      </w:tr>
      <w:tr w:rsidR="006C436F" w:rsidRPr="00005E51" w14:paraId="584F232F" w14:textId="77777777" w:rsidTr="00100CB2">
        <w:tc>
          <w:tcPr>
            <w:tcW w:w="4261" w:type="dxa"/>
          </w:tcPr>
          <w:p w14:paraId="2D950A4D" w14:textId="77777777" w:rsidR="006C436F" w:rsidRPr="00005E51" w:rsidRDefault="006C436F" w:rsidP="00100CB2">
            <w:pPr>
              <w:pStyle w:val="base-text-paragraph"/>
              <w:ind w:left="0"/>
              <w:jc w:val="both"/>
              <w:rPr>
                <w:szCs w:val="24"/>
              </w:rPr>
            </w:pPr>
            <w:r w:rsidRPr="00005E51">
              <w:rPr>
                <w:szCs w:val="24"/>
              </w:rPr>
              <w:t>1</w:t>
            </w:r>
          </w:p>
        </w:tc>
        <w:tc>
          <w:tcPr>
            <w:tcW w:w="4261" w:type="dxa"/>
          </w:tcPr>
          <w:p w14:paraId="49B8F9AC" w14:textId="77777777" w:rsidR="006C436F" w:rsidRPr="00005E51" w:rsidRDefault="006C436F" w:rsidP="00100CB2">
            <w:pPr>
              <w:pStyle w:val="base-text-paragraph"/>
              <w:ind w:left="0"/>
              <w:jc w:val="both"/>
              <w:rPr>
                <w:szCs w:val="24"/>
              </w:rPr>
            </w:pPr>
            <w:r w:rsidRPr="00005E51">
              <w:rPr>
                <w:szCs w:val="24"/>
              </w:rPr>
              <w:t>1</w:t>
            </w:r>
          </w:p>
        </w:tc>
      </w:tr>
      <w:tr w:rsidR="006C436F" w:rsidRPr="00005E51" w14:paraId="31F073BC" w14:textId="77777777" w:rsidTr="00100CB2">
        <w:tc>
          <w:tcPr>
            <w:tcW w:w="4261" w:type="dxa"/>
          </w:tcPr>
          <w:p w14:paraId="6F05AAE5" w14:textId="77777777" w:rsidR="006C436F" w:rsidRPr="00005E51" w:rsidRDefault="006C436F" w:rsidP="00100CB2">
            <w:pPr>
              <w:pStyle w:val="base-text-paragraph"/>
              <w:ind w:left="0"/>
              <w:jc w:val="both"/>
              <w:rPr>
                <w:szCs w:val="24"/>
              </w:rPr>
            </w:pPr>
            <w:r>
              <w:rPr>
                <w:szCs w:val="24"/>
              </w:rPr>
              <w:t>2</w:t>
            </w:r>
          </w:p>
        </w:tc>
        <w:tc>
          <w:tcPr>
            <w:tcW w:w="4261" w:type="dxa"/>
          </w:tcPr>
          <w:p w14:paraId="477A17D0" w14:textId="77777777" w:rsidR="006C436F" w:rsidRPr="00005E51" w:rsidRDefault="006C436F" w:rsidP="00100CB2">
            <w:pPr>
              <w:pStyle w:val="base-text-paragraph"/>
              <w:ind w:left="0"/>
              <w:jc w:val="both"/>
              <w:rPr>
                <w:szCs w:val="24"/>
              </w:rPr>
            </w:pPr>
            <w:r w:rsidRPr="00005E51">
              <w:rPr>
                <w:szCs w:val="24"/>
              </w:rPr>
              <w:t>2</w:t>
            </w:r>
          </w:p>
        </w:tc>
      </w:tr>
      <w:tr w:rsidR="006C436F" w:rsidRPr="00005E51" w14:paraId="36FD6A00" w14:textId="77777777" w:rsidTr="00100CB2">
        <w:tc>
          <w:tcPr>
            <w:tcW w:w="4261" w:type="dxa"/>
          </w:tcPr>
          <w:p w14:paraId="7094BFB9" w14:textId="77777777" w:rsidR="006C436F" w:rsidRPr="00005E51" w:rsidRDefault="006C436F" w:rsidP="00100CB2">
            <w:pPr>
              <w:pStyle w:val="base-text-paragraph"/>
              <w:ind w:left="0"/>
              <w:jc w:val="both"/>
              <w:rPr>
                <w:szCs w:val="24"/>
              </w:rPr>
            </w:pPr>
            <w:r>
              <w:rPr>
                <w:szCs w:val="24"/>
              </w:rPr>
              <w:t>No equivalent</w:t>
            </w:r>
          </w:p>
        </w:tc>
        <w:tc>
          <w:tcPr>
            <w:tcW w:w="4261" w:type="dxa"/>
          </w:tcPr>
          <w:p w14:paraId="158C008A" w14:textId="77777777" w:rsidR="006C436F" w:rsidRPr="00005E51" w:rsidRDefault="006C436F" w:rsidP="00100CB2">
            <w:pPr>
              <w:pStyle w:val="base-text-paragraph"/>
              <w:ind w:left="0"/>
              <w:jc w:val="both"/>
              <w:rPr>
                <w:szCs w:val="24"/>
              </w:rPr>
            </w:pPr>
            <w:r>
              <w:rPr>
                <w:szCs w:val="24"/>
              </w:rPr>
              <w:t>3</w:t>
            </w:r>
          </w:p>
        </w:tc>
      </w:tr>
      <w:tr w:rsidR="006C436F" w:rsidRPr="00005E51" w14:paraId="12591A5C" w14:textId="77777777" w:rsidTr="00100CB2">
        <w:tc>
          <w:tcPr>
            <w:tcW w:w="4261" w:type="dxa"/>
          </w:tcPr>
          <w:p w14:paraId="32D860DC" w14:textId="77777777" w:rsidR="006C436F" w:rsidRPr="00005E51" w:rsidRDefault="006C436F" w:rsidP="00100CB2">
            <w:pPr>
              <w:pStyle w:val="base-text-paragraph"/>
              <w:ind w:left="0"/>
              <w:jc w:val="both"/>
              <w:rPr>
                <w:szCs w:val="24"/>
              </w:rPr>
            </w:pPr>
            <w:r w:rsidRPr="00005E51">
              <w:rPr>
                <w:szCs w:val="24"/>
              </w:rPr>
              <w:t>No equivalent</w:t>
            </w:r>
          </w:p>
        </w:tc>
        <w:tc>
          <w:tcPr>
            <w:tcW w:w="4261" w:type="dxa"/>
          </w:tcPr>
          <w:p w14:paraId="3208B01D" w14:textId="77777777" w:rsidR="006C436F" w:rsidRPr="00005E51" w:rsidRDefault="006C436F" w:rsidP="00100CB2">
            <w:pPr>
              <w:pStyle w:val="base-text-paragraph"/>
              <w:ind w:left="0"/>
              <w:jc w:val="both"/>
              <w:rPr>
                <w:szCs w:val="24"/>
              </w:rPr>
            </w:pPr>
            <w:r w:rsidRPr="00005E51">
              <w:rPr>
                <w:szCs w:val="24"/>
              </w:rPr>
              <w:t>4</w:t>
            </w:r>
          </w:p>
        </w:tc>
      </w:tr>
      <w:tr w:rsidR="006C436F" w:rsidRPr="00005E51" w14:paraId="490061C7" w14:textId="77777777" w:rsidTr="00100CB2">
        <w:tc>
          <w:tcPr>
            <w:tcW w:w="4261" w:type="dxa"/>
          </w:tcPr>
          <w:p w14:paraId="7F54FC62" w14:textId="77777777" w:rsidR="006C436F" w:rsidRPr="00005E51" w:rsidRDefault="006C436F" w:rsidP="00100CB2">
            <w:pPr>
              <w:pStyle w:val="base-text-paragraph"/>
              <w:ind w:left="0"/>
              <w:jc w:val="both"/>
              <w:rPr>
                <w:szCs w:val="24"/>
              </w:rPr>
            </w:pPr>
            <w:r>
              <w:rPr>
                <w:szCs w:val="24"/>
              </w:rPr>
              <w:t>3</w:t>
            </w:r>
          </w:p>
        </w:tc>
        <w:tc>
          <w:tcPr>
            <w:tcW w:w="4261" w:type="dxa"/>
          </w:tcPr>
          <w:p w14:paraId="7A6327F2" w14:textId="77777777" w:rsidR="006C436F" w:rsidRPr="00005E51" w:rsidRDefault="006C436F" w:rsidP="00100CB2">
            <w:pPr>
              <w:pStyle w:val="base-text-paragraph"/>
              <w:ind w:left="0"/>
              <w:jc w:val="both"/>
              <w:rPr>
                <w:szCs w:val="24"/>
              </w:rPr>
            </w:pPr>
            <w:r w:rsidRPr="00005E51">
              <w:rPr>
                <w:szCs w:val="24"/>
              </w:rPr>
              <w:t>5</w:t>
            </w:r>
          </w:p>
        </w:tc>
      </w:tr>
      <w:tr w:rsidR="006C436F" w:rsidRPr="00005E51" w14:paraId="3AEF7CFC" w14:textId="77777777" w:rsidTr="00100CB2">
        <w:tc>
          <w:tcPr>
            <w:tcW w:w="4261" w:type="dxa"/>
          </w:tcPr>
          <w:p w14:paraId="2EB3FAAB" w14:textId="77777777" w:rsidR="006C436F" w:rsidRPr="00005E51" w:rsidRDefault="006C436F" w:rsidP="00100CB2">
            <w:pPr>
              <w:pStyle w:val="base-text-paragraph"/>
              <w:ind w:left="0"/>
              <w:jc w:val="both"/>
              <w:rPr>
                <w:szCs w:val="24"/>
              </w:rPr>
            </w:pPr>
            <w:r>
              <w:rPr>
                <w:szCs w:val="24"/>
              </w:rPr>
              <w:t>4</w:t>
            </w:r>
          </w:p>
        </w:tc>
        <w:tc>
          <w:tcPr>
            <w:tcW w:w="4261" w:type="dxa"/>
          </w:tcPr>
          <w:p w14:paraId="49A430C3" w14:textId="77777777" w:rsidR="006C436F" w:rsidRPr="00005E51" w:rsidRDefault="006C436F" w:rsidP="00100CB2">
            <w:pPr>
              <w:pStyle w:val="base-text-paragraph"/>
              <w:ind w:left="0"/>
              <w:jc w:val="both"/>
              <w:rPr>
                <w:szCs w:val="24"/>
              </w:rPr>
            </w:pPr>
            <w:r w:rsidRPr="00005E51">
              <w:rPr>
                <w:szCs w:val="24"/>
              </w:rPr>
              <w:t>6</w:t>
            </w:r>
          </w:p>
        </w:tc>
      </w:tr>
      <w:tr w:rsidR="006C436F" w:rsidRPr="00005E51" w14:paraId="7DB4E996" w14:textId="77777777" w:rsidTr="00100CB2">
        <w:tc>
          <w:tcPr>
            <w:tcW w:w="4261" w:type="dxa"/>
          </w:tcPr>
          <w:p w14:paraId="109AA8B7" w14:textId="77777777" w:rsidR="006C436F" w:rsidRPr="00005E51" w:rsidRDefault="006C436F" w:rsidP="00100CB2">
            <w:pPr>
              <w:pStyle w:val="base-text-paragraph"/>
              <w:ind w:left="0"/>
              <w:jc w:val="both"/>
              <w:rPr>
                <w:szCs w:val="24"/>
              </w:rPr>
            </w:pPr>
            <w:r>
              <w:rPr>
                <w:szCs w:val="24"/>
              </w:rPr>
              <w:t>No equivalent</w:t>
            </w:r>
            <w:r w:rsidRPr="00005E51">
              <w:rPr>
                <w:szCs w:val="24"/>
              </w:rPr>
              <w:t xml:space="preserve"> </w:t>
            </w:r>
          </w:p>
        </w:tc>
        <w:tc>
          <w:tcPr>
            <w:tcW w:w="4261" w:type="dxa"/>
          </w:tcPr>
          <w:p w14:paraId="18472DCE" w14:textId="77777777" w:rsidR="006C436F" w:rsidRPr="00005E51" w:rsidRDefault="006C436F" w:rsidP="00100CB2">
            <w:pPr>
              <w:pStyle w:val="base-text-paragraph"/>
              <w:ind w:left="0"/>
              <w:jc w:val="both"/>
              <w:rPr>
                <w:szCs w:val="24"/>
              </w:rPr>
            </w:pPr>
            <w:r w:rsidRPr="00005E51">
              <w:rPr>
                <w:szCs w:val="24"/>
              </w:rPr>
              <w:t xml:space="preserve">Schedule 1 </w:t>
            </w:r>
          </w:p>
        </w:tc>
      </w:tr>
    </w:tbl>
    <w:p w14:paraId="5FE88275" w14:textId="6A107B62" w:rsidR="00701DB0" w:rsidRDefault="00701DB0" w:rsidP="006C436F">
      <w:pPr>
        <w:spacing w:before="240"/>
        <w:jc w:val="right"/>
      </w:pPr>
    </w:p>
    <w:sectPr w:rsidR="00701DB0" w:rsidSect="00392BBA">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0140F8" w14:textId="77777777" w:rsidR="002E106B" w:rsidRDefault="002E106B" w:rsidP="00954679">
      <w:pPr>
        <w:spacing w:before="0" w:after="0"/>
      </w:pPr>
      <w:r>
        <w:separator/>
      </w:r>
    </w:p>
  </w:endnote>
  <w:endnote w:type="continuationSeparator" w:id="0">
    <w:p w14:paraId="1BB5F445" w14:textId="77777777" w:rsidR="002E106B" w:rsidRDefault="002E106B"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2F4062FF" w14:textId="77777777" w:rsidR="00954679" w:rsidRDefault="00954679"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4E3127">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4E3127">
              <w:rPr>
                <w:bCs/>
                <w:noProof/>
              </w:rPr>
              <w:t>4</w:t>
            </w:r>
            <w:r w:rsidRPr="00954679">
              <w:rPr>
                <w:bCs/>
                <w:szCs w:val="24"/>
              </w:rPr>
              <w:fldChar w:fldCharType="end"/>
            </w:r>
          </w:p>
        </w:sdtContent>
      </w:sdt>
    </w:sdtContent>
  </w:sdt>
  <w:p w14:paraId="5422A767" w14:textId="77777777" w:rsidR="00954679" w:rsidRDefault="009546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860FB8" w14:textId="77777777" w:rsidR="002E106B" w:rsidRDefault="002E106B" w:rsidP="00954679">
      <w:pPr>
        <w:spacing w:before="0" w:after="0"/>
      </w:pPr>
      <w:r>
        <w:separator/>
      </w:r>
    </w:p>
  </w:footnote>
  <w:footnote w:type="continuationSeparator" w:id="0">
    <w:p w14:paraId="2B5E8354" w14:textId="77777777" w:rsidR="002E106B" w:rsidRDefault="002E106B" w:rsidP="0095467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E04"/>
    <w:rsid w:val="00006B39"/>
    <w:rsid w:val="00016EA2"/>
    <w:rsid w:val="00076284"/>
    <w:rsid w:val="00095211"/>
    <w:rsid w:val="000C10DF"/>
    <w:rsid w:val="000D103C"/>
    <w:rsid w:val="00113B45"/>
    <w:rsid w:val="001E6A74"/>
    <w:rsid w:val="001F41D0"/>
    <w:rsid w:val="00220F16"/>
    <w:rsid w:val="00231708"/>
    <w:rsid w:val="0024298E"/>
    <w:rsid w:val="00254C5B"/>
    <w:rsid w:val="002930B0"/>
    <w:rsid w:val="002A310F"/>
    <w:rsid w:val="002A5569"/>
    <w:rsid w:val="002B4548"/>
    <w:rsid w:val="002E106B"/>
    <w:rsid w:val="003342CD"/>
    <w:rsid w:val="00335042"/>
    <w:rsid w:val="00357EC1"/>
    <w:rsid w:val="00362B70"/>
    <w:rsid w:val="00391126"/>
    <w:rsid w:val="00392BBA"/>
    <w:rsid w:val="00393B23"/>
    <w:rsid w:val="003954FD"/>
    <w:rsid w:val="003E1CE3"/>
    <w:rsid w:val="00406B95"/>
    <w:rsid w:val="00462095"/>
    <w:rsid w:val="004B3C0F"/>
    <w:rsid w:val="004C05E4"/>
    <w:rsid w:val="004C09ED"/>
    <w:rsid w:val="004E3127"/>
    <w:rsid w:val="004E39E1"/>
    <w:rsid w:val="00503E44"/>
    <w:rsid w:val="00515283"/>
    <w:rsid w:val="00533926"/>
    <w:rsid w:val="00553B47"/>
    <w:rsid w:val="0055675D"/>
    <w:rsid w:val="00561195"/>
    <w:rsid w:val="00566E8F"/>
    <w:rsid w:val="005833BE"/>
    <w:rsid w:val="005D7D5A"/>
    <w:rsid w:val="005E4BAC"/>
    <w:rsid w:val="0060130D"/>
    <w:rsid w:val="00603D7F"/>
    <w:rsid w:val="0064129F"/>
    <w:rsid w:val="00647BB7"/>
    <w:rsid w:val="006511A4"/>
    <w:rsid w:val="00680FDF"/>
    <w:rsid w:val="006A0786"/>
    <w:rsid w:val="006B38DA"/>
    <w:rsid w:val="006C436F"/>
    <w:rsid w:val="00701DB0"/>
    <w:rsid w:val="007238B3"/>
    <w:rsid w:val="00736F61"/>
    <w:rsid w:val="007662C7"/>
    <w:rsid w:val="00766836"/>
    <w:rsid w:val="00776306"/>
    <w:rsid w:val="007B1F10"/>
    <w:rsid w:val="007E018D"/>
    <w:rsid w:val="007F1B71"/>
    <w:rsid w:val="00807E7D"/>
    <w:rsid w:val="00831675"/>
    <w:rsid w:val="0088467C"/>
    <w:rsid w:val="00894579"/>
    <w:rsid w:val="008A5B67"/>
    <w:rsid w:val="008C5777"/>
    <w:rsid w:val="008C7FB6"/>
    <w:rsid w:val="008D16F7"/>
    <w:rsid w:val="009143A0"/>
    <w:rsid w:val="009251CA"/>
    <w:rsid w:val="00932966"/>
    <w:rsid w:val="00954679"/>
    <w:rsid w:val="009975DD"/>
    <w:rsid w:val="009E2F86"/>
    <w:rsid w:val="00A008E3"/>
    <w:rsid w:val="00A12209"/>
    <w:rsid w:val="00A36DF3"/>
    <w:rsid w:val="00A532DD"/>
    <w:rsid w:val="00A63531"/>
    <w:rsid w:val="00A80BCF"/>
    <w:rsid w:val="00A8369C"/>
    <w:rsid w:val="00AA1689"/>
    <w:rsid w:val="00AC1D15"/>
    <w:rsid w:val="00B07B0C"/>
    <w:rsid w:val="00B212B5"/>
    <w:rsid w:val="00B25563"/>
    <w:rsid w:val="00B26D48"/>
    <w:rsid w:val="00B42EE1"/>
    <w:rsid w:val="00B55B9A"/>
    <w:rsid w:val="00B62AB2"/>
    <w:rsid w:val="00B74728"/>
    <w:rsid w:val="00B92478"/>
    <w:rsid w:val="00B9502D"/>
    <w:rsid w:val="00BC5F70"/>
    <w:rsid w:val="00BD61A2"/>
    <w:rsid w:val="00BE484D"/>
    <w:rsid w:val="00C37E05"/>
    <w:rsid w:val="00C55D29"/>
    <w:rsid w:val="00C7325C"/>
    <w:rsid w:val="00CA0BE9"/>
    <w:rsid w:val="00CA138D"/>
    <w:rsid w:val="00CC7641"/>
    <w:rsid w:val="00CE28D6"/>
    <w:rsid w:val="00D13794"/>
    <w:rsid w:val="00D24052"/>
    <w:rsid w:val="00D31575"/>
    <w:rsid w:val="00D34626"/>
    <w:rsid w:val="00D4257A"/>
    <w:rsid w:val="00D62665"/>
    <w:rsid w:val="00D751B6"/>
    <w:rsid w:val="00DB5BEB"/>
    <w:rsid w:val="00DC0CDE"/>
    <w:rsid w:val="00DC4D72"/>
    <w:rsid w:val="00DF378E"/>
    <w:rsid w:val="00E03B37"/>
    <w:rsid w:val="00E0624D"/>
    <w:rsid w:val="00E07E04"/>
    <w:rsid w:val="00E342DE"/>
    <w:rsid w:val="00E4438C"/>
    <w:rsid w:val="00E457F3"/>
    <w:rsid w:val="00E5672D"/>
    <w:rsid w:val="00E61D47"/>
    <w:rsid w:val="00E816C1"/>
    <w:rsid w:val="00EB7E71"/>
    <w:rsid w:val="00F02AFF"/>
    <w:rsid w:val="00F109D4"/>
    <w:rsid w:val="00F20518"/>
    <w:rsid w:val="00F47585"/>
    <w:rsid w:val="00F709C5"/>
    <w:rsid w:val="00FC5D3F"/>
    <w:rsid w:val="00FE04E4"/>
    <w:rsid w:val="00FE0F2C"/>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6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B55B9A"/>
    <w:rPr>
      <w:color w:val="800080" w:themeColor="followedHyperlink"/>
      <w:u w:val="single"/>
    </w:rPr>
  </w:style>
  <w:style w:type="table" w:styleId="TableGrid">
    <w:name w:val="Table Grid"/>
    <w:basedOn w:val="TableNormal"/>
    <w:uiPriority w:val="59"/>
    <w:rsid w:val="006C4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B55B9A"/>
    <w:rPr>
      <w:color w:val="800080" w:themeColor="followedHyperlink"/>
      <w:u w:val="single"/>
    </w:rPr>
  </w:style>
  <w:style w:type="table" w:styleId="TableGrid">
    <w:name w:val="Table Grid"/>
    <w:basedOn w:val="TableNormal"/>
    <w:uiPriority w:val="59"/>
    <w:rsid w:val="006C4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9f7bc583-7cbe-45b9-a2bd-8bbb6543b37e">
      <Value>11</Value>
    </TaxCatchAll>
    <_dlc_DocId xmlns="9f7bc583-7cbe-45b9-a2bd-8bbb6543b37e">2018RG-111-8600</_dlc_DocId>
    <_dlc_DocIdUrl xmlns="9f7bc583-7cbe-45b9-a2bd-8bbb6543b37e">
      <Url>http://tweb/sites/rg/ldp/lmu/_layouts/15/DocIdRedir.aspx?ID=2018RG-111-8600</Url>
      <Description>2018RG-111-8600</Description>
    </_dlc_DocIdUrl>
  </documentManagement>
</p:properti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11221" ma:contentTypeDescription=" " ma:contentTypeScope="" ma:versionID="2e93c2b3e08cfe35e7ae25d1f8d1d235">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32f1aaaa33c51780a447a63930c25cc4"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46278533-3486-40E5-9013-DD26FD164D39}">
  <ds:schemaRefs>
    <ds:schemaRef ds:uri="http://schemas.microsoft.com/sharepoint/v4"/>
    <ds:schemaRef ds:uri="9f7bc583-7cbe-45b9-a2bd-8bbb6543b37e"/>
    <ds:schemaRef ds:uri="http://purl.org/dc/elements/1.1/"/>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dcmitype/"/>
    <ds:schemaRef ds:uri="http://schemas.microsoft.com/office/infopath/2007/PartnerControls"/>
    <ds:schemaRef ds:uri="http://schemas.microsoft.com/sharepoint/v3"/>
    <ds:schemaRef ds:uri="http://purl.org/dc/terms/"/>
  </ds:schemaRefs>
</ds:datastoreItem>
</file>

<file path=customXml/itemProps3.xml><?xml version="1.0" encoding="utf-8"?>
<ds:datastoreItem xmlns:ds="http://schemas.openxmlformats.org/officeDocument/2006/customXml" ds:itemID="{AE85AC0E-4A0D-4DC4-9A55-997F9FE32A69}">
  <ds:schemaRefs>
    <ds:schemaRef ds:uri="office.server.policy"/>
  </ds:schemaRefs>
</ds:datastoreItem>
</file>

<file path=customXml/itemProps4.xml><?xml version="1.0" encoding="utf-8"?>
<ds:datastoreItem xmlns:ds="http://schemas.openxmlformats.org/officeDocument/2006/customXml" ds:itemID="{89C6C59D-8AD8-4CF9-87FF-567B58F2619B}"/>
</file>

<file path=customXml/itemProps5.xml><?xml version="1.0" encoding="utf-8"?>
<ds:datastoreItem xmlns:ds="http://schemas.openxmlformats.org/officeDocument/2006/customXml" ds:itemID="{969537E0-1DD7-4069-9FC9-7F5F9A7F341B}">
  <ds:schemaRefs>
    <ds:schemaRef ds:uri="http://schemas.microsoft.com/sharepoint/events"/>
  </ds:schemaRefs>
</ds:datastoreItem>
</file>

<file path=customXml/itemProps6.xml><?xml version="1.0" encoding="utf-8"?>
<ds:datastoreItem xmlns:ds="http://schemas.openxmlformats.org/officeDocument/2006/customXml" ds:itemID="{2CB116D0-1045-4E65-BB4C-3B0BD1F15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20</TotalTime>
  <Pages>4</Pages>
  <Words>730</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Zanardo, Amanda</dc:creator>
  <cp:lastModifiedBy>Osborne, Lea</cp:lastModifiedBy>
  <cp:revision>7</cp:revision>
  <cp:lastPrinted>2018-04-17T23:43:00Z</cp:lastPrinted>
  <dcterms:created xsi:type="dcterms:W3CDTF">2018-04-10T05:17:00Z</dcterms:created>
  <dcterms:modified xsi:type="dcterms:W3CDTF">2018-04-17T23:43:00Z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1891710342</vt:i4>
  </property>
  <property fmtid="{D5CDD505-2E9C-101B-9397-08002B2CF9AE}" pid="3" name="_NewReviewCycle">
    <vt:lpwstr/>
  </property>
  <property fmtid="{D5CDD505-2E9C-101B-9397-08002B2CF9AE}" pid="4" name="_EmailSubject">
    <vt:lpwstr>TSY/45/336 - Remake Productivity Regulations [SEC=PROTECTED, DLM=Sensitive]</vt:lpwstr>
  </property>
  <property fmtid="{D5CDD505-2E9C-101B-9397-08002B2CF9AE}" pid="5" name="_AuthorEmail">
    <vt:lpwstr>Amanda.Zanardo@TREASURY.GOV.AU</vt:lpwstr>
  </property>
  <property fmtid="{D5CDD505-2E9C-101B-9397-08002B2CF9AE}" pid="6" name="_AuthorEmailDisplayName">
    <vt:lpwstr>Zanardo, Amanda</vt:lpwstr>
  </property>
  <property fmtid="{D5CDD505-2E9C-101B-9397-08002B2CF9AE}" pid="7" name="ContentTypeId">
    <vt:lpwstr>0x01010036BB8DE7EC542E42A8B2E98CC20CB69700D5C18F41BA18FB44827A222ACD6776F5</vt:lpwstr>
  </property>
  <property fmtid="{D5CDD505-2E9C-101B-9397-08002B2CF9AE}" pid="8" name="TSYRecordClass">
    <vt:lpwstr>11;#TSY RA-9237 - Destroy 5 years after action completed|9f1a030e-81bf-44c5-98eb-4d5d869a40d5</vt:lpwstr>
  </property>
  <property fmtid="{D5CDD505-2E9C-101B-9397-08002B2CF9AE}" pid="9" name="_dlc_DocIdItemGuid">
    <vt:lpwstr>97584bf9-495b-4f87-a6cb-11fc2344548e</vt:lpwstr>
  </property>
  <property fmtid="{D5CDD505-2E9C-101B-9397-08002B2CF9AE}" pid="10" name="_PreviousAdHocReviewCycleID">
    <vt:i4>-1604769980</vt:i4>
  </property>
  <property fmtid="{D5CDD505-2E9C-101B-9397-08002B2CF9AE}" pid="11" name="RecordPoint_WorkflowType">
    <vt:lpwstr>ActiveSubmitStub</vt:lpwstr>
  </property>
  <property fmtid="{D5CDD505-2E9C-101B-9397-08002B2CF9AE}" pid="12" name="RecordPoint_SubmissionCompleted">
    <vt:lpwstr>2018-04-18T10:06:19.6301889+10:00</vt:lpwstr>
  </property>
  <property fmtid="{D5CDD505-2E9C-101B-9397-08002B2CF9AE}" pid="13" name="RecordPoint_ActiveItemUniqueId">
    <vt:lpwstr>{97584bf9-495b-4f87-a6cb-11fc2344548e}</vt:lpwstr>
  </property>
  <property fmtid="{D5CDD505-2E9C-101B-9397-08002B2CF9AE}" pid="14" name="RecordPoint_ActiveItemWebId">
    <vt:lpwstr>{2602612e-a30f-4de0-b9eb-e01e73dc8005}</vt:lpwstr>
  </property>
  <property fmtid="{D5CDD505-2E9C-101B-9397-08002B2CF9AE}" pid="15" name="RecordPoint_ActiveItemSiteId">
    <vt:lpwstr>{5b52b9a5-e5b2-4521-8814-a1e24ca2869d}</vt:lpwstr>
  </property>
  <property fmtid="{D5CDD505-2E9C-101B-9397-08002B2CF9AE}" pid="16" name="RecordPoint_ActiveItemListId">
    <vt:lpwstr>{1a010be9-83b3-4740-abb7-452f2d1120fe}</vt:lpwstr>
  </property>
  <property fmtid="{D5CDD505-2E9C-101B-9397-08002B2CF9AE}" pid="17" name="RecordPoint_RecordNumberSubmitted">
    <vt:lpwstr>R0001642947</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ies>
</file>