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AD172" w14:textId="1FD6411E" w:rsidR="0028716E" w:rsidRDefault="0028716E" w:rsidP="0028716E">
      <w:pPr>
        <w:pStyle w:val="Title"/>
      </w:pPr>
      <w:r w:rsidRPr="00B32BD1">
        <w:t>EXPLANATORY STATEMENT</w:t>
      </w:r>
      <w:r>
        <w:t xml:space="preserve"> for</w:t>
      </w:r>
    </w:p>
    <w:p w14:paraId="052CB988" w14:textId="77777777" w:rsidR="0028716E" w:rsidRPr="00B32BD1" w:rsidRDefault="0028716E" w:rsidP="0028716E">
      <w:pPr>
        <w:pStyle w:val="Title"/>
      </w:pPr>
    </w:p>
    <w:p w14:paraId="37988A5C" w14:textId="115B7F1A" w:rsidR="00EA14B3" w:rsidRPr="0028716E" w:rsidRDefault="00EA14B3" w:rsidP="00514B1D">
      <w:pPr>
        <w:pStyle w:val="Title"/>
        <w:rPr>
          <w:sz w:val="24"/>
        </w:rPr>
      </w:pPr>
      <w:r w:rsidRPr="0028716E">
        <w:rPr>
          <w:sz w:val="24"/>
        </w:rPr>
        <w:t xml:space="preserve">ASIC </w:t>
      </w:r>
      <w:r w:rsidR="0028716E" w:rsidRPr="0028716E">
        <w:rPr>
          <w:sz w:val="24"/>
        </w:rPr>
        <w:t>Market Integrity Rules (Futures Markets) Class Waiver 20</w:t>
      </w:r>
      <w:r w:rsidR="008A4A4C" w:rsidRPr="0028716E">
        <w:rPr>
          <w:sz w:val="24"/>
        </w:rPr>
        <w:t>1</w:t>
      </w:r>
      <w:r w:rsidR="0028716E" w:rsidRPr="0028716E">
        <w:rPr>
          <w:sz w:val="24"/>
        </w:rPr>
        <w:t>8</w:t>
      </w:r>
      <w:r w:rsidR="00B32BD1" w:rsidRPr="0028716E">
        <w:rPr>
          <w:sz w:val="24"/>
        </w:rPr>
        <w:t>/</w:t>
      </w:r>
      <w:r w:rsidR="00EE14BA">
        <w:rPr>
          <w:sz w:val="24"/>
        </w:rPr>
        <w:t>312</w:t>
      </w:r>
    </w:p>
    <w:p w14:paraId="37988A5D" w14:textId="77777777" w:rsidR="00EA14B3" w:rsidRPr="00B32BD1" w:rsidRDefault="00EA14B3" w:rsidP="00514B1D">
      <w:pPr>
        <w:pStyle w:val="Title"/>
      </w:pPr>
    </w:p>
    <w:p w14:paraId="37988A5F" w14:textId="77777777" w:rsidR="00EA14B3" w:rsidRPr="00B32BD1" w:rsidRDefault="00EA14B3" w:rsidP="00514B1D">
      <w:pPr>
        <w:pStyle w:val="BodyTextcentred"/>
      </w:pPr>
      <w:r w:rsidRPr="00B32BD1">
        <w:t>Prepared by the Australian Securities and Investments Commission</w:t>
      </w:r>
    </w:p>
    <w:p w14:paraId="37988A60" w14:textId="03AA0BBF" w:rsidR="00EA14B3" w:rsidRPr="00B32BD1" w:rsidRDefault="00262491" w:rsidP="00514B1D">
      <w:pPr>
        <w:pStyle w:val="BodyTextcentreditals"/>
      </w:pPr>
      <w:r>
        <w:t>ASIC Market Integrity Rules (</w:t>
      </w:r>
      <w:r w:rsidR="0028716E">
        <w:t>Futures</w:t>
      </w:r>
      <w:r>
        <w:t xml:space="preserve"> Market</w:t>
      </w:r>
      <w:r w:rsidR="0028716E">
        <w:t>s</w:t>
      </w:r>
      <w:r>
        <w:t>) 201</w:t>
      </w:r>
      <w:r w:rsidR="0028716E">
        <w:t>7</w:t>
      </w:r>
    </w:p>
    <w:p w14:paraId="37988A61" w14:textId="59B04162" w:rsidR="00C46D02" w:rsidRDefault="0091740C" w:rsidP="0028716E">
      <w:pPr>
        <w:pStyle w:val="BodyText"/>
        <w:spacing w:line="240" w:lineRule="auto"/>
      </w:pPr>
      <w:r w:rsidRPr="0091740C">
        <w:t>The Australian Securities and Investments Commission (</w:t>
      </w:r>
      <w:r w:rsidRPr="0091740C">
        <w:rPr>
          <w:b/>
          <w:i/>
        </w:rPr>
        <w:t>ASIC</w:t>
      </w:r>
      <w:r w:rsidRPr="0091740C">
        <w:t xml:space="preserve">) makes </w:t>
      </w:r>
      <w:r w:rsidR="0028716E" w:rsidRPr="0028716E">
        <w:t>ASIC Market Integrity Rules (</w:t>
      </w:r>
      <w:r w:rsidR="0028716E">
        <w:t>Futures</w:t>
      </w:r>
      <w:r w:rsidR="0028716E" w:rsidRPr="0028716E">
        <w:t xml:space="preserve"> Markets) Class Waiver 2018/</w:t>
      </w:r>
      <w:r w:rsidR="00EE14BA">
        <w:t>312</w:t>
      </w:r>
      <w:r w:rsidR="0028716E" w:rsidRPr="0028716E">
        <w:t xml:space="preserve"> (the </w:t>
      </w:r>
      <w:r w:rsidR="0028716E" w:rsidRPr="0028716E">
        <w:rPr>
          <w:b/>
          <w:i/>
        </w:rPr>
        <w:t>instrument</w:t>
      </w:r>
      <w:r w:rsidR="0028716E" w:rsidRPr="0028716E">
        <w:t xml:space="preserve">) </w:t>
      </w:r>
      <w:r w:rsidRPr="0091740C">
        <w:t xml:space="preserve">under Rule 1.2.1(1) of the </w:t>
      </w:r>
      <w:r w:rsidRPr="0091740C">
        <w:rPr>
          <w:i/>
        </w:rPr>
        <w:t>ASIC Market Integrity Rules (</w:t>
      </w:r>
      <w:r w:rsidR="0028716E">
        <w:rPr>
          <w:i/>
        </w:rPr>
        <w:t>Futures</w:t>
      </w:r>
      <w:r w:rsidRPr="0091740C">
        <w:rPr>
          <w:i/>
        </w:rPr>
        <w:t> Market</w:t>
      </w:r>
      <w:r w:rsidR="0028716E">
        <w:rPr>
          <w:i/>
        </w:rPr>
        <w:t>s</w:t>
      </w:r>
      <w:r w:rsidRPr="0091740C">
        <w:rPr>
          <w:i/>
        </w:rPr>
        <w:t>) 201</w:t>
      </w:r>
      <w:r w:rsidR="0028716E">
        <w:rPr>
          <w:i/>
        </w:rPr>
        <w:t>7</w:t>
      </w:r>
      <w:r w:rsidRPr="0091740C">
        <w:rPr>
          <w:i/>
        </w:rPr>
        <w:t xml:space="preserve"> </w:t>
      </w:r>
      <w:r w:rsidRPr="0091740C">
        <w:t>(the</w:t>
      </w:r>
      <w:r w:rsidR="00C46D02">
        <w:t> </w:t>
      </w:r>
      <w:r w:rsidRPr="0091740C">
        <w:rPr>
          <w:b/>
          <w:i/>
        </w:rPr>
        <w:t>Rules</w:t>
      </w:r>
      <w:r w:rsidRPr="0091740C">
        <w:t>)</w:t>
      </w:r>
      <w:r w:rsidRPr="00C46D02">
        <w:t>.</w:t>
      </w:r>
      <w:r w:rsidR="00C46D02">
        <w:t xml:space="preserve"> </w:t>
      </w:r>
    </w:p>
    <w:p w14:paraId="37988A62" w14:textId="512485C3" w:rsidR="00EA14B3" w:rsidRDefault="00C46D02" w:rsidP="0028716E">
      <w:pPr>
        <w:pStyle w:val="BodyText"/>
      </w:pPr>
      <w:r>
        <w:t xml:space="preserve">Under </w:t>
      </w:r>
      <w:r w:rsidR="0028716E">
        <w:t>subr</w:t>
      </w:r>
      <w:r>
        <w:t>ule</w:t>
      </w:r>
      <w:r w:rsidR="00110AA6">
        <w:t xml:space="preserve"> 1.2.1(1)</w:t>
      </w:r>
      <w:r w:rsidR="0028716E">
        <w:t xml:space="preserve"> of the Rules</w:t>
      </w:r>
      <w:r>
        <w:t>, ASIC may relieve any person or class of persons from the obligation to comply with a provision of the Rules</w:t>
      </w:r>
      <w:r w:rsidR="0028716E">
        <w:t xml:space="preserve">, </w:t>
      </w:r>
      <w:r w:rsidR="0028716E" w:rsidRPr="0028716E">
        <w:t>either generally or in a particular case or category, and either unconditionally or subject to such conditions as ASIC thinks fit</w:t>
      </w:r>
      <w:r w:rsidR="00904914">
        <w:t>.</w:t>
      </w:r>
      <w:r>
        <w:t xml:space="preserve">   </w:t>
      </w:r>
    </w:p>
    <w:p w14:paraId="37988A63" w14:textId="5E5DA41F" w:rsidR="004E3FBD" w:rsidRPr="00C46D02" w:rsidRDefault="0028716E" w:rsidP="0028716E">
      <w:pPr>
        <w:pStyle w:val="BodyText"/>
      </w:pPr>
      <w:r>
        <w:rPr>
          <w:bCs/>
        </w:rPr>
        <w:t>U</w:t>
      </w:r>
      <w:r w:rsidRPr="0028716E">
        <w:rPr>
          <w:bCs/>
        </w:rPr>
        <w:t xml:space="preserve">nless the contrary intention appears, </w:t>
      </w:r>
      <w:r>
        <w:rPr>
          <w:bCs/>
        </w:rPr>
        <w:t>c</w:t>
      </w:r>
      <w:r w:rsidR="004E3FBD" w:rsidRPr="004E3FBD">
        <w:rPr>
          <w:bCs/>
        </w:rPr>
        <w:t xml:space="preserve">apitalised terms in this Explanatory Statement </w:t>
      </w:r>
      <w:r>
        <w:rPr>
          <w:bCs/>
        </w:rPr>
        <w:t>have the same meaning as</w:t>
      </w:r>
      <w:r w:rsidR="004E3FBD" w:rsidRPr="004E3FBD">
        <w:rPr>
          <w:bCs/>
        </w:rPr>
        <w:t xml:space="preserve"> in the Rules. </w:t>
      </w:r>
    </w:p>
    <w:p w14:paraId="37988A64" w14:textId="77777777" w:rsidR="00EA14B3" w:rsidRPr="00B32BD1" w:rsidRDefault="00EA14B3" w:rsidP="0028716E">
      <w:pPr>
        <w:pStyle w:val="Heading1"/>
        <w:tabs>
          <w:tab w:val="clear" w:pos="879"/>
        </w:tabs>
        <w:overflowPunct/>
        <w:autoSpaceDE/>
        <w:autoSpaceDN/>
        <w:adjustRightInd/>
        <w:spacing w:after="60" w:line="240" w:lineRule="auto"/>
        <w:textAlignment w:val="auto"/>
        <w:rPr>
          <w:rFonts w:cs="Arial"/>
          <w:bCs/>
          <w:kern w:val="32"/>
          <w:sz w:val="24"/>
          <w:szCs w:val="32"/>
        </w:rPr>
      </w:pPr>
      <w:bookmarkStart w:id="0" w:name="_Toc158699036"/>
      <w:r w:rsidRPr="00B32BD1">
        <w:rPr>
          <w:rFonts w:cs="Arial"/>
          <w:bCs/>
          <w:kern w:val="32"/>
          <w:sz w:val="24"/>
          <w:szCs w:val="32"/>
        </w:rPr>
        <w:t>1.</w:t>
      </w:r>
      <w:r w:rsidRPr="00B32BD1">
        <w:rPr>
          <w:rFonts w:cs="Arial"/>
          <w:bCs/>
          <w:kern w:val="32"/>
          <w:sz w:val="24"/>
          <w:szCs w:val="32"/>
        </w:rPr>
        <w:tab/>
        <w:t>Background</w:t>
      </w:r>
      <w:bookmarkEnd w:id="0"/>
    </w:p>
    <w:p w14:paraId="480388EC" w14:textId="77777777" w:rsidR="0028716E" w:rsidRPr="002075F6" w:rsidRDefault="0028716E" w:rsidP="0028716E">
      <w:pPr>
        <w:tabs>
          <w:tab w:val="left" w:pos="567"/>
          <w:tab w:val="left" w:pos="680"/>
        </w:tabs>
        <w:overflowPunct w:val="0"/>
        <w:autoSpaceDE w:val="0"/>
        <w:autoSpaceDN w:val="0"/>
        <w:adjustRightInd w:val="0"/>
        <w:spacing w:before="199" w:line="300" w:lineRule="atLeast"/>
        <w:textAlignment w:val="baseline"/>
      </w:pPr>
      <w:bookmarkStart w:id="1" w:name="_Toc158699037"/>
      <w:r w:rsidRPr="002075F6">
        <w:t>As part of its supervisory responsibilities, ASIC reviewed the 14 market integrity rule books in force in late 2016 and identified the need to consolidate certain market integrity rule books which covered substantively similar existing obligations across like domestic licensed markets.</w:t>
      </w:r>
    </w:p>
    <w:p w14:paraId="4AA8A02C" w14:textId="546C8F32" w:rsidR="0028716E" w:rsidRPr="002075F6" w:rsidRDefault="0028716E" w:rsidP="0028716E">
      <w:pPr>
        <w:spacing w:before="200" w:after="100" w:afterAutospacing="1"/>
      </w:pPr>
      <w:r w:rsidRPr="002075F6">
        <w:t xml:space="preserve">In Consultation Paper 277 </w:t>
      </w:r>
      <w:r w:rsidRPr="002075F6">
        <w:rPr>
          <w:i/>
        </w:rPr>
        <w:t>Proposals to consolidate the ASIC market integrity rules</w:t>
      </w:r>
      <w:r w:rsidRPr="002075F6">
        <w:t xml:space="preserve"> </w:t>
      </w:r>
      <w:r w:rsidRPr="002075F6">
        <w:t>(</w:t>
      </w:r>
      <w:r w:rsidRPr="002075F6">
        <w:rPr>
          <w:b/>
          <w:i/>
        </w:rPr>
        <w:t>CP 277</w:t>
      </w:r>
      <w:r w:rsidRPr="002075F6">
        <w:t xml:space="preserve">), ASIC proposed to consolidate the Pre-Commencement Market Integrity Rules to create a single set of market integrity rules for the </w:t>
      </w:r>
      <w:r w:rsidRPr="002075F6">
        <w:t>ASX</w:t>
      </w:r>
      <w:r w:rsidR="00B33366">
        <w:t xml:space="preserve"> 24 and FEX Markets</w:t>
      </w:r>
      <w:r w:rsidRPr="002075F6">
        <w:t>.</w:t>
      </w:r>
    </w:p>
    <w:p w14:paraId="42159B0A" w14:textId="24A2EB42" w:rsidR="0028716E" w:rsidRPr="002075F6" w:rsidRDefault="0028716E" w:rsidP="0028716E">
      <w:pPr>
        <w:spacing w:before="200" w:after="100" w:afterAutospacing="1"/>
      </w:pPr>
      <w:r w:rsidRPr="002075F6">
        <w:t xml:space="preserve">Following public consultation, ASIC made the Rules in November 2017. Generally, the Rules maintain the substance of the regulatory regime embodied in market integrity rules (the </w:t>
      </w:r>
      <w:r w:rsidRPr="002075F6">
        <w:rPr>
          <w:b/>
          <w:i/>
        </w:rPr>
        <w:t>Pre-Commencement Market Integrity Rules</w:t>
      </w:r>
      <w:r w:rsidRPr="002075F6">
        <w:t xml:space="preserve">) applicable prior to the commencement of the Rules, including the </w:t>
      </w:r>
      <w:r w:rsidRPr="002075F6">
        <w:rPr>
          <w:i/>
        </w:rPr>
        <w:t xml:space="preserve">ASIC Market Integrity Rules (ASX </w:t>
      </w:r>
      <w:r>
        <w:rPr>
          <w:i/>
        </w:rPr>
        <w:t xml:space="preserve">24 </w:t>
      </w:r>
      <w:r w:rsidRPr="002075F6">
        <w:rPr>
          <w:i/>
        </w:rPr>
        <w:t>Market) 2010</w:t>
      </w:r>
      <w:r w:rsidRPr="002075F6">
        <w:t xml:space="preserve"> (</w:t>
      </w:r>
      <w:r w:rsidRPr="002075F6">
        <w:rPr>
          <w:b/>
          <w:i/>
        </w:rPr>
        <w:t xml:space="preserve">ASX </w:t>
      </w:r>
      <w:r>
        <w:rPr>
          <w:b/>
          <w:i/>
        </w:rPr>
        <w:t xml:space="preserve">24 </w:t>
      </w:r>
      <w:r w:rsidRPr="002075F6">
        <w:rPr>
          <w:b/>
          <w:i/>
        </w:rPr>
        <w:t>Rules</w:t>
      </w:r>
      <w:r w:rsidRPr="002075F6">
        <w:t>). The Rules will repeal the Pre-Commencement Market Integrity Rules on 7 May 2018.</w:t>
      </w:r>
    </w:p>
    <w:p w14:paraId="51E9AD6B" w14:textId="7C506664" w:rsidR="0028716E" w:rsidRDefault="0028716E" w:rsidP="0028716E">
      <w:pPr>
        <w:tabs>
          <w:tab w:val="left" w:pos="567"/>
          <w:tab w:val="left" w:pos="680"/>
        </w:tabs>
        <w:overflowPunct w:val="0"/>
        <w:autoSpaceDE w:val="0"/>
        <w:autoSpaceDN w:val="0"/>
        <w:adjustRightInd w:val="0"/>
        <w:spacing w:before="199" w:line="300" w:lineRule="atLeast"/>
        <w:textAlignment w:val="baseline"/>
        <w:rPr>
          <w:szCs w:val="20"/>
        </w:rPr>
      </w:pPr>
      <w:r w:rsidRPr="002075F6">
        <w:rPr>
          <w:szCs w:val="20"/>
        </w:rPr>
        <w:t>Upon the repeal of the Pre-Commencement Market Integrity Rules, ASIC Waivers made under the Pre-Commencement Market Integrity Rules will also be repealed, including ASIC Class Waiver [CW 1</w:t>
      </w:r>
      <w:r>
        <w:rPr>
          <w:szCs w:val="20"/>
        </w:rPr>
        <w:t>3</w:t>
      </w:r>
      <w:r w:rsidRPr="002075F6">
        <w:rPr>
          <w:szCs w:val="20"/>
        </w:rPr>
        <w:t>/</w:t>
      </w:r>
      <w:r>
        <w:rPr>
          <w:szCs w:val="20"/>
        </w:rPr>
        <w:t>972</w:t>
      </w:r>
      <w:r w:rsidRPr="002075F6">
        <w:rPr>
          <w:szCs w:val="20"/>
        </w:rPr>
        <w:t>].</w:t>
      </w:r>
    </w:p>
    <w:p w14:paraId="05A093BD" w14:textId="300C38C4" w:rsidR="00B33366" w:rsidRDefault="00B33366" w:rsidP="0028716E">
      <w:pPr>
        <w:tabs>
          <w:tab w:val="left" w:pos="567"/>
          <w:tab w:val="left" w:pos="680"/>
        </w:tabs>
        <w:overflowPunct w:val="0"/>
        <w:autoSpaceDE w:val="0"/>
        <w:autoSpaceDN w:val="0"/>
        <w:adjustRightInd w:val="0"/>
        <w:spacing w:before="199" w:line="300" w:lineRule="atLeast"/>
        <w:textAlignment w:val="baseline"/>
        <w:rPr>
          <w:szCs w:val="20"/>
        </w:rPr>
      </w:pPr>
      <w:r w:rsidRPr="00777F8B">
        <w:rPr>
          <w:szCs w:val="20"/>
        </w:rPr>
        <w:t>[CW 13/972]</w:t>
      </w:r>
      <w:r w:rsidR="00777F8B" w:rsidRPr="00777F8B">
        <w:rPr>
          <w:szCs w:val="20"/>
        </w:rPr>
        <w:t xml:space="preserve"> relieves a </w:t>
      </w:r>
      <w:r w:rsidR="00777F8B">
        <w:rPr>
          <w:szCs w:val="20"/>
        </w:rPr>
        <w:t>P</w:t>
      </w:r>
      <w:r w:rsidR="00777F8B" w:rsidRPr="00777F8B">
        <w:rPr>
          <w:szCs w:val="20"/>
        </w:rPr>
        <w:t xml:space="preserve">rincipal </w:t>
      </w:r>
      <w:r w:rsidR="00777F8B">
        <w:rPr>
          <w:szCs w:val="20"/>
        </w:rPr>
        <w:t>T</w:t>
      </w:r>
      <w:r w:rsidR="00777F8B" w:rsidRPr="00777F8B">
        <w:rPr>
          <w:szCs w:val="20"/>
        </w:rPr>
        <w:t xml:space="preserve">rader from </w:t>
      </w:r>
      <w:r w:rsidR="00777F8B" w:rsidRPr="00777F8B">
        <w:rPr>
          <w:szCs w:val="20"/>
        </w:rPr>
        <w:t xml:space="preserve">the obligation to comply with </w:t>
      </w:r>
      <w:r w:rsidR="00777F8B">
        <w:rPr>
          <w:szCs w:val="20"/>
        </w:rPr>
        <w:t>the risk management requirements in paragraphs</w:t>
      </w:r>
      <w:r w:rsidR="00777F8B" w:rsidRPr="00777F8B">
        <w:rPr>
          <w:szCs w:val="20"/>
        </w:rPr>
        <w:t xml:space="preserve"> 2.2.1(1)(ab), (b), (c) and (e) of the ASX 24 </w:t>
      </w:r>
      <w:r w:rsidR="00777F8B">
        <w:rPr>
          <w:szCs w:val="20"/>
        </w:rPr>
        <w:t>Rules</w:t>
      </w:r>
      <w:r w:rsidR="00777F8B" w:rsidRPr="00777F8B">
        <w:rPr>
          <w:szCs w:val="20"/>
        </w:rPr>
        <w:t>, in the case where the principal trader is a client of another market participant and the principal trader accesses the market through that market participant.</w:t>
      </w:r>
      <w:r w:rsidR="00777F8B">
        <w:rPr>
          <w:szCs w:val="20"/>
        </w:rPr>
        <w:t xml:space="preserve"> P</w:t>
      </w:r>
      <w:r w:rsidR="00777F8B">
        <w:rPr>
          <w:szCs w:val="20"/>
        </w:rPr>
        <w:t>aragraphs</w:t>
      </w:r>
      <w:r w:rsidR="00777F8B" w:rsidRPr="00777F8B">
        <w:rPr>
          <w:szCs w:val="20"/>
        </w:rPr>
        <w:t xml:space="preserve"> 2.2.1(1</w:t>
      </w:r>
      <w:proofErr w:type="gramStart"/>
      <w:r w:rsidR="00777F8B" w:rsidRPr="00777F8B">
        <w:rPr>
          <w:szCs w:val="20"/>
        </w:rPr>
        <w:t>)(</w:t>
      </w:r>
      <w:proofErr w:type="gramEnd"/>
      <w:r w:rsidR="00777F8B" w:rsidRPr="00777F8B">
        <w:rPr>
          <w:szCs w:val="20"/>
        </w:rPr>
        <w:t>ab), (b), (c) and (e) of the ASX 24</w:t>
      </w:r>
      <w:r w:rsidR="00777F8B">
        <w:rPr>
          <w:szCs w:val="20"/>
        </w:rPr>
        <w:t xml:space="preserve"> Rules correspond with </w:t>
      </w:r>
      <w:r w:rsidR="00777F8B">
        <w:rPr>
          <w:szCs w:val="20"/>
        </w:rPr>
        <w:t>paragraphs</w:t>
      </w:r>
      <w:r w:rsidR="00777F8B" w:rsidRPr="00777F8B">
        <w:rPr>
          <w:szCs w:val="20"/>
        </w:rPr>
        <w:t xml:space="preserve"> 2.2.1(1)(ab), (b), (c) and (e) of the </w:t>
      </w:r>
      <w:r w:rsidR="00777F8B">
        <w:rPr>
          <w:szCs w:val="20"/>
        </w:rPr>
        <w:t>Rules.</w:t>
      </w:r>
    </w:p>
    <w:p w14:paraId="4EF11D41" w14:textId="19FB6600" w:rsidR="00777F8B" w:rsidRPr="00777F8B" w:rsidRDefault="00777F8B" w:rsidP="00777F8B">
      <w:pPr>
        <w:pStyle w:val="BodyText"/>
        <w:spacing w:before="199"/>
        <w:rPr>
          <w:szCs w:val="24"/>
        </w:rPr>
      </w:pPr>
      <w:r w:rsidRPr="001051DC">
        <w:rPr>
          <w:szCs w:val="24"/>
        </w:rPr>
        <w:lastRenderedPageBreak/>
        <w:t xml:space="preserve">In Report 547 </w:t>
      </w:r>
      <w:r w:rsidRPr="001051DC">
        <w:rPr>
          <w:i/>
          <w:szCs w:val="24"/>
        </w:rPr>
        <w:t>Response to submissions on CP 277 Proposals to consolidate the ASIC market integrity rules (</w:t>
      </w:r>
      <w:r w:rsidRPr="001051DC">
        <w:rPr>
          <w:b/>
          <w:i/>
          <w:szCs w:val="24"/>
        </w:rPr>
        <w:t>REP 457</w:t>
      </w:r>
      <w:r w:rsidRPr="001051DC">
        <w:rPr>
          <w:i/>
          <w:szCs w:val="24"/>
        </w:rPr>
        <w:t>)</w:t>
      </w:r>
      <w:r w:rsidRPr="001051DC">
        <w:rPr>
          <w:szCs w:val="24"/>
        </w:rPr>
        <w:t xml:space="preserve"> ASIC announced that as part of its project to consolidate the market integrity rules it would remake existing individual and class waivers under the Rules before 7 May 2018.</w:t>
      </w:r>
    </w:p>
    <w:p w14:paraId="37988A7A" w14:textId="4C961ECD" w:rsidR="00EA14B3" w:rsidRDefault="00EA14B3" w:rsidP="0028716E">
      <w:pPr>
        <w:pStyle w:val="Heading1"/>
        <w:tabs>
          <w:tab w:val="clear" w:pos="879"/>
        </w:tabs>
        <w:overflowPunct/>
        <w:autoSpaceDE/>
        <w:autoSpaceDN/>
        <w:adjustRightInd/>
        <w:spacing w:after="60" w:line="240" w:lineRule="auto"/>
        <w:textAlignment w:val="auto"/>
        <w:rPr>
          <w:rFonts w:cs="Arial"/>
          <w:bCs/>
          <w:kern w:val="32"/>
          <w:sz w:val="24"/>
          <w:szCs w:val="32"/>
        </w:rPr>
      </w:pPr>
      <w:r>
        <w:rPr>
          <w:rFonts w:cs="Arial"/>
          <w:bCs/>
          <w:kern w:val="32"/>
          <w:sz w:val="24"/>
          <w:szCs w:val="32"/>
        </w:rPr>
        <w:t>2.</w:t>
      </w:r>
      <w:r>
        <w:rPr>
          <w:rFonts w:cs="Arial"/>
          <w:bCs/>
          <w:kern w:val="32"/>
          <w:sz w:val="24"/>
          <w:szCs w:val="32"/>
        </w:rPr>
        <w:tab/>
        <w:t xml:space="preserve">Purpose of the </w:t>
      </w:r>
      <w:bookmarkEnd w:id="1"/>
      <w:r w:rsidR="00D77B4C">
        <w:rPr>
          <w:rFonts w:cs="Arial"/>
          <w:bCs/>
          <w:kern w:val="32"/>
          <w:sz w:val="24"/>
          <w:szCs w:val="32"/>
        </w:rPr>
        <w:t>instrument</w:t>
      </w:r>
      <w:r>
        <w:rPr>
          <w:rFonts w:cs="Arial"/>
          <w:bCs/>
          <w:kern w:val="32"/>
          <w:sz w:val="24"/>
          <w:szCs w:val="32"/>
        </w:rPr>
        <w:t xml:space="preserve"> </w:t>
      </w:r>
    </w:p>
    <w:p w14:paraId="37988A7B" w14:textId="5895A04B" w:rsidR="00474F43" w:rsidRDefault="002275D2" w:rsidP="0028716E">
      <w:pPr>
        <w:pStyle w:val="BodyText"/>
        <w:spacing w:line="240" w:lineRule="auto"/>
        <w:rPr>
          <w:iCs/>
        </w:rPr>
      </w:pPr>
      <w:r w:rsidRPr="002275D2">
        <w:rPr>
          <w:iCs/>
        </w:rPr>
        <w:t>The p</w:t>
      </w:r>
      <w:r>
        <w:rPr>
          <w:iCs/>
        </w:rPr>
        <w:t>urpose of th</w:t>
      </w:r>
      <w:r w:rsidR="00D77B4C">
        <w:rPr>
          <w:iCs/>
        </w:rPr>
        <w:t>e</w:t>
      </w:r>
      <w:r>
        <w:rPr>
          <w:iCs/>
        </w:rPr>
        <w:t xml:space="preserve"> </w:t>
      </w:r>
      <w:r w:rsidR="00D77B4C">
        <w:rPr>
          <w:iCs/>
        </w:rPr>
        <w:t>instrument</w:t>
      </w:r>
      <w:r w:rsidR="00CC57DD">
        <w:rPr>
          <w:iCs/>
        </w:rPr>
        <w:t xml:space="preserve"> </w:t>
      </w:r>
      <w:r w:rsidR="001C664D">
        <w:rPr>
          <w:iCs/>
        </w:rPr>
        <w:t xml:space="preserve">is </w:t>
      </w:r>
      <w:r w:rsidR="00CC57DD">
        <w:rPr>
          <w:iCs/>
        </w:rPr>
        <w:t xml:space="preserve">to </w:t>
      </w:r>
      <w:r w:rsidR="00CF74EE">
        <w:rPr>
          <w:iCs/>
        </w:rPr>
        <w:t xml:space="preserve">relieve </w:t>
      </w:r>
      <w:r w:rsidR="00474F43">
        <w:rPr>
          <w:iCs/>
        </w:rPr>
        <w:t xml:space="preserve">a Principal Trader from certain risk management obligations under </w:t>
      </w:r>
      <w:r w:rsidR="00D77B4C">
        <w:rPr>
          <w:iCs/>
        </w:rPr>
        <w:t>subr</w:t>
      </w:r>
      <w:r w:rsidR="00474F43">
        <w:rPr>
          <w:iCs/>
        </w:rPr>
        <w:t xml:space="preserve">ule 2.2.1(1) </w:t>
      </w:r>
      <w:r w:rsidR="00D77B4C">
        <w:rPr>
          <w:iCs/>
        </w:rPr>
        <w:t xml:space="preserve">of the Rules </w:t>
      </w:r>
      <w:r w:rsidR="00474F43">
        <w:rPr>
          <w:iCs/>
        </w:rPr>
        <w:t>wi</w:t>
      </w:r>
      <w:r w:rsidR="00703A56">
        <w:rPr>
          <w:iCs/>
        </w:rPr>
        <w:t>th respect to its House Account</w:t>
      </w:r>
      <w:r w:rsidR="00474F43">
        <w:rPr>
          <w:iCs/>
        </w:rPr>
        <w:t xml:space="preserve"> in circumstances where the Principal Trader accesses the market as a </w:t>
      </w:r>
      <w:r w:rsidR="009134A7">
        <w:rPr>
          <w:iCs/>
        </w:rPr>
        <w:t>C</w:t>
      </w:r>
      <w:r w:rsidR="00474F43">
        <w:rPr>
          <w:iCs/>
        </w:rPr>
        <w:t xml:space="preserve">lient of </w:t>
      </w:r>
      <w:r w:rsidR="003C2C4D">
        <w:rPr>
          <w:iCs/>
        </w:rPr>
        <w:t>another</w:t>
      </w:r>
      <w:r w:rsidR="00A6348C">
        <w:rPr>
          <w:iCs/>
        </w:rPr>
        <w:t xml:space="preserve"> </w:t>
      </w:r>
      <w:r w:rsidR="009134A7">
        <w:rPr>
          <w:iCs/>
        </w:rPr>
        <w:t>Market Participant.</w:t>
      </w:r>
    </w:p>
    <w:p w14:paraId="37988A7C" w14:textId="10422591" w:rsidR="00A6348C" w:rsidRPr="00A6348C" w:rsidRDefault="00B71679" w:rsidP="0028716E">
      <w:pPr>
        <w:pStyle w:val="BodyText"/>
        <w:spacing w:line="240" w:lineRule="auto"/>
        <w:rPr>
          <w:iCs/>
        </w:rPr>
      </w:pPr>
      <w:r>
        <w:rPr>
          <w:iCs/>
        </w:rPr>
        <w:t>Th</w:t>
      </w:r>
      <w:r w:rsidR="00D77B4C">
        <w:rPr>
          <w:iCs/>
        </w:rPr>
        <w:t>e</w:t>
      </w:r>
      <w:r>
        <w:rPr>
          <w:iCs/>
        </w:rPr>
        <w:t xml:space="preserve"> </w:t>
      </w:r>
      <w:r w:rsidR="00D77B4C">
        <w:rPr>
          <w:iCs/>
        </w:rPr>
        <w:t>instrument</w:t>
      </w:r>
      <w:r w:rsidR="00CF74EE">
        <w:rPr>
          <w:iCs/>
        </w:rPr>
        <w:t xml:space="preserve"> has been </w:t>
      </w:r>
      <w:r w:rsidR="00372B1D">
        <w:rPr>
          <w:iCs/>
        </w:rPr>
        <w:t xml:space="preserve">made </w:t>
      </w:r>
      <w:r>
        <w:rPr>
          <w:iCs/>
        </w:rPr>
        <w:t xml:space="preserve">on the grounds </w:t>
      </w:r>
      <w:r w:rsidR="005312B8">
        <w:rPr>
          <w:iCs/>
        </w:rPr>
        <w:t>that</w:t>
      </w:r>
      <w:r w:rsidR="00474F43">
        <w:rPr>
          <w:iCs/>
        </w:rPr>
        <w:t xml:space="preserve"> the Market Participant responsible for access to the Terminal </w:t>
      </w:r>
      <w:r w:rsidR="00D729DE">
        <w:rPr>
          <w:iCs/>
        </w:rPr>
        <w:t xml:space="preserve">must comply </w:t>
      </w:r>
      <w:r w:rsidR="00D729DE" w:rsidRPr="00D729DE">
        <w:rPr>
          <w:iCs/>
        </w:rPr>
        <w:t xml:space="preserve"> with its risk management obligations under </w:t>
      </w:r>
      <w:r w:rsidR="00D77B4C">
        <w:rPr>
          <w:iCs/>
        </w:rPr>
        <w:t>subr</w:t>
      </w:r>
      <w:r w:rsidR="00D729DE" w:rsidRPr="00D729DE">
        <w:rPr>
          <w:iCs/>
        </w:rPr>
        <w:t>ule 2.2.1(1) with respect to the Principal Trader as its Client.</w:t>
      </w:r>
      <w:r w:rsidR="00D729DE">
        <w:rPr>
          <w:iCs/>
        </w:rPr>
        <w:t xml:space="preserve"> In these circumstances, the Principal Trader </w:t>
      </w:r>
      <w:bookmarkStart w:id="2" w:name="_Toc158699040"/>
      <w:r w:rsidR="00A6348C" w:rsidRPr="00A6348C">
        <w:rPr>
          <w:iCs/>
        </w:rPr>
        <w:t xml:space="preserve">may not have the capability to set, document and input into </w:t>
      </w:r>
      <w:r w:rsidR="009134A7">
        <w:rPr>
          <w:iCs/>
        </w:rPr>
        <w:t>t</w:t>
      </w:r>
      <w:r w:rsidR="00A6348C" w:rsidRPr="00A6348C">
        <w:rPr>
          <w:iCs/>
        </w:rPr>
        <w:t>rading platform account maintenance pre-determined order or position limits on its House Account</w:t>
      </w:r>
      <w:r w:rsidR="00A6348C">
        <w:rPr>
          <w:iCs/>
        </w:rPr>
        <w:t>.</w:t>
      </w:r>
    </w:p>
    <w:p w14:paraId="37988A7D" w14:textId="77777777" w:rsidR="00EA14B3" w:rsidRDefault="00EA14B3" w:rsidP="0028716E">
      <w:pPr>
        <w:pStyle w:val="Heading1"/>
        <w:tabs>
          <w:tab w:val="clear" w:pos="879"/>
        </w:tabs>
        <w:overflowPunct/>
        <w:autoSpaceDE/>
        <w:autoSpaceDN/>
        <w:adjustRightInd/>
        <w:spacing w:after="60" w:line="240" w:lineRule="auto"/>
        <w:textAlignment w:val="auto"/>
        <w:rPr>
          <w:rFonts w:cs="Arial"/>
          <w:bCs/>
          <w:kern w:val="32"/>
          <w:sz w:val="24"/>
          <w:szCs w:val="32"/>
        </w:rPr>
      </w:pPr>
      <w:r w:rsidRPr="00632665">
        <w:rPr>
          <w:rFonts w:cs="Arial"/>
          <w:bCs/>
          <w:kern w:val="32"/>
          <w:sz w:val="24"/>
          <w:szCs w:val="32"/>
        </w:rPr>
        <w:t>3.</w:t>
      </w:r>
      <w:r w:rsidRPr="00632665">
        <w:rPr>
          <w:rFonts w:cs="Arial"/>
          <w:bCs/>
          <w:kern w:val="32"/>
          <w:sz w:val="24"/>
          <w:szCs w:val="32"/>
        </w:rPr>
        <w:tab/>
        <w:t xml:space="preserve">Operation of the class </w:t>
      </w:r>
      <w:bookmarkEnd w:id="2"/>
      <w:r w:rsidR="00CF74EE">
        <w:rPr>
          <w:rFonts w:cs="Arial"/>
          <w:bCs/>
          <w:kern w:val="32"/>
          <w:sz w:val="24"/>
          <w:szCs w:val="32"/>
        </w:rPr>
        <w:t xml:space="preserve">rule </w:t>
      </w:r>
      <w:r w:rsidR="0074058A" w:rsidRPr="00632665">
        <w:rPr>
          <w:rFonts w:cs="Arial"/>
          <w:bCs/>
          <w:kern w:val="32"/>
          <w:sz w:val="24"/>
          <w:szCs w:val="32"/>
        </w:rPr>
        <w:t>waiver</w:t>
      </w:r>
      <w:r w:rsidRPr="00632665">
        <w:rPr>
          <w:rFonts w:cs="Arial"/>
          <w:bCs/>
          <w:kern w:val="32"/>
          <w:sz w:val="24"/>
          <w:szCs w:val="32"/>
        </w:rPr>
        <w:t xml:space="preserve"> </w:t>
      </w:r>
    </w:p>
    <w:p w14:paraId="4B7D28FF" w14:textId="77777777" w:rsidR="00D77B4C" w:rsidRPr="0094569A" w:rsidRDefault="00D77B4C" w:rsidP="00D77B4C">
      <w:pPr>
        <w:keepNext/>
        <w:keepLines/>
        <w:spacing w:before="360"/>
        <w:ind w:left="567" w:hanging="567"/>
        <w:outlineLvl w:val="1"/>
        <w:rPr>
          <w:b/>
          <w:kern w:val="28"/>
          <w:lang w:eastAsia="en-AU"/>
        </w:rPr>
      </w:pPr>
      <w:bookmarkStart w:id="3" w:name="_Toc158699041"/>
      <w:r w:rsidRPr="0094569A">
        <w:rPr>
          <w:b/>
          <w:kern w:val="28"/>
          <w:lang w:eastAsia="en-AU"/>
        </w:rPr>
        <w:t>Name of legislative instrument</w:t>
      </w:r>
    </w:p>
    <w:p w14:paraId="2EE68866" w14:textId="3C9FBB43" w:rsidR="00D77B4C" w:rsidRPr="00D77B4C" w:rsidRDefault="00D77B4C" w:rsidP="00D77B4C">
      <w:pPr>
        <w:tabs>
          <w:tab w:val="left" w:pos="567"/>
          <w:tab w:val="left" w:pos="680"/>
        </w:tabs>
        <w:overflowPunct w:val="0"/>
        <w:autoSpaceDE w:val="0"/>
        <w:autoSpaceDN w:val="0"/>
        <w:adjustRightInd w:val="0"/>
        <w:spacing w:before="199" w:line="300" w:lineRule="atLeast"/>
        <w:textAlignment w:val="baseline"/>
      </w:pPr>
      <w:r w:rsidRPr="0094569A">
        <w:t xml:space="preserve">Section 1 of the instrument provides that the name of the instrument is the </w:t>
      </w:r>
      <w:r w:rsidRPr="0094569A">
        <w:rPr>
          <w:i/>
        </w:rPr>
        <w:t>ASIC Market Integrity Rules (</w:t>
      </w:r>
      <w:r>
        <w:rPr>
          <w:i/>
        </w:rPr>
        <w:t>Futures</w:t>
      </w:r>
      <w:r w:rsidRPr="0094569A">
        <w:rPr>
          <w:i/>
        </w:rPr>
        <w:t xml:space="preserve"> Markets) Class Waiver </w:t>
      </w:r>
      <w:r w:rsidR="00FB755E">
        <w:rPr>
          <w:i/>
        </w:rPr>
        <w:t>20</w:t>
      </w:r>
      <w:r w:rsidRPr="0094569A">
        <w:rPr>
          <w:i/>
        </w:rPr>
        <w:t>18/</w:t>
      </w:r>
      <w:r w:rsidR="00EE14BA">
        <w:rPr>
          <w:i/>
        </w:rPr>
        <w:t>312</w:t>
      </w:r>
      <w:r w:rsidRPr="0094569A">
        <w:rPr>
          <w:i/>
        </w:rPr>
        <w:t>.</w:t>
      </w:r>
    </w:p>
    <w:p w14:paraId="43B2A8A7" w14:textId="77777777" w:rsidR="00D77B4C" w:rsidRPr="0094569A" w:rsidRDefault="00D77B4C" w:rsidP="00D77B4C">
      <w:pPr>
        <w:keepNext/>
        <w:keepLines/>
        <w:spacing w:before="360"/>
        <w:ind w:left="567" w:hanging="567"/>
        <w:outlineLvl w:val="1"/>
        <w:rPr>
          <w:b/>
          <w:kern w:val="28"/>
          <w:lang w:eastAsia="en-AU"/>
        </w:rPr>
      </w:pPr>
      <w:r w:rsidRPr="0094569A">
        <w:rPr>
          <w:b/>
          <w:kern w:val="28"/>
          <w:lang w:eastAsia="en-AU"/>
        </w:rPr>
        <w:t>Commencement</w:t>
      </w:r>
    </w:p>
    <w:p w14:paraId="70285F62" w14:textId="7F3330B6" w:rsidR="00D77B4C" w:rsidRDefault="00D77B4C" w:rsidP="00FB755E">
      <w:pPr>
        <w:spacing w:before="240"/>
      </w:pPr>
      <w:r w:rsidRPr="0094569A">
        <w:t>Section 2 of the instrument provides that the</w:t>
      </w:r>
      <w:r w:rsidRPr="0094569A">
        <w:rPr>
          <w:lang w:eastAsia="en-AU"/>
        </w:rPr>
        <w:t xml:space="preserve"> instrument commences on the later of</w:t>
      </w:r>
      <w:r w:rsidR="00FB755E">
        <w:rPr>
          <w:lang w:eastAsia="en-AU"/>
        </w:rPr>
        <w:t xml:space="preserve"> </w:t>
      </w:r>
      <w:r w:rsidRPr="0094569A">
        <w:rPr>
          <w:lang w:eastAsia="en-AU"/>
        </w:rPr>
        <w:t xml:space="preserve">7 May </w:t>
      </w:r>
      <w:r w:rsidRPr="0094569A">
        <w:rPr>
          <w:lang w:eastAsia="en-AU"/>
        </w:rPr>
        <w:t>2018</w:t>
      </w:r>
      <w:r w:rsidR="00FB755E">
        <w:rPr>
          <w:lang w:eastAsia="en-AU"/>
        </w:rPr>
        <w:t xml:space="preserve"> </w:t>
      </w:r>
      <w:r w:rsidR="00B33366">
        <w:rPr>
          <w:lang w:eastAsia="en-AU"/>
        </w:rPr>
        <w:t xml:space="preserve">and </w:t>
      </w:r>
      <w:r w:rsidRPr="0094569A">
        <w:t xml:space="preserve">the </w:t>
      </w:r>
      <w:r w:rsidRPr="0094569A">
        <w:t>day after the instrument is registered on the Federal Register of Legislation.</w:t>
      </w:r>
    </w:p>
    <w:p w14:paraId="76D38F18" w14:textId="77777777" w:rsidR="00D77B4C" w:rsidRPr="0094569A" w:rsidRDefault="00D77B4C" w:rsidP="00D77B4C">
      <w:pPr>
        <w:tabs>
          <w:tab w:val="left" w:pos="567"/>
          <w:tab w:val="left" w:pos="680"/>
        </w:tabs>
        <w:overflowPunct w:val="0"/>
        <w:autoSpaceDE w:val="0"/>
        <w:autoSpaceDN w:val="0"/>
        <w:adjustRightInd w:val="0"/>
        <w:spacing w:before="199" w:line="300" w:lineRule="atLeast"/>
        <w:textAlignment w:val="baseline"/>
        <w:rPr>
          <w:b/>
        </w:rPr>
      </w:pPr>
      <w:r w:rsidRPr="0094569A">
        <w:rPr>
          <w:b/>
        </w:rPr>
        <w:t>Authority</w:t>
      </w:r>
    </w:p>
    <w:p w14:paraId="2D2571FF" w14:textId="2C04BDAB" w:rsidR="00D77B4C" w:rsidRDefault="00D77B4C" w:rsidP="00D77B4C">
      <w:pPr>
        <w:tabs>
          <w:tab w:val="left" w:pos="567"/>
          <w:tab w:val="left" w:pos="680"/>
        </w:tabs>
        <w:overflowPunct w:val="0"/>
        <w:autoSpaceDE w:val="0"/>
        <w:autoSpaceDN w:val="0"/>
        <w:adjustRightInd w:val="0"/>
        <w:spacing w:before="199" w:line="300" w:lineRule="atLeast"/>
        <w:textAlignment w:val="baseline"/>
      </w:pPr>
      <w:r w:rsidRPr="0094569A">
        <w:t xml:space="preserve">Section </w:t>
      </w:r>
      <w:r>
        <w:t>3</w:t>
      </w:r>
      <w:r w:rsidRPr="0094569A">
        <w:t xml:space="preserve"> of the instrument provides that the instrument is made under subrule 1.2.1(1) of the </w:t>
      </w:r>
      <w:r>
        <w:t>Rules</w:t>
      </w:r>
      <w:r w:rsidRPr="0094569A">
        <w:t>.</w:t>
      </w:r>
    </w:p>
    <w:p w14:paraId="69DF5AF1" w14:textId="77777777" w:rsidR="00D77B4C" w:rsidRPr="0094569A" w:rsidRDefault="00D77B4C" w:rsidP="00D77B4C">
      <w:pPr>
        <w:tabs>
          <w:tab w:val="left" w:pos="567"/>
          <w:tab w:val="left" w:pos="680"/>
        </w:tabs>
        <w:overflowPunct w:val="0"/>
        <w:autoSpaceDE w:val="0"/>
        <w:autoSpaceDN w:val="0"/>
        <w:adjustRightInd w:val="0"/>
        <w:spacing w:before="199" w:line="300" w:lineRule="atLeast"/>
        <w:textAlignment w:val="baseline"/>
        <w:rPr>
          <w:b/>
        </w:rPr>
      </w:pPr>
      <w:r w:rsidRPr="0094569A">
        <w:rPr>
          <w:b/>
        </w:rPr>
        <w:t>Interpretation</w:t>
      </w:r>
    </w:p>
    <w:p w14:paraId="38B0B8FA" w14:textId="77777777" w:rsidR="00D77B4C" w:rsidRPr="0094569A" w:rsidRDefault="00D77B4C" w:rsidP="00D77B4C">
      <w:pPr>
        <w:tabs>
          <w:tab w:val="left" w:pos="567"/>
          <w:tab w:val="left" w:pos="680"/>
        </w:tabs>
        <w:overflowPunct w:val="0"/>
        <w:autoSpaceDE w:val="0"/>
        <w:autoSpaceDN w:val="0"/>
        <w:adjustRightInd w:val="0"/>
        <w:spacing w:before="199" w:line="300" w:lineRule="atLeast"/>
        <w:textAlignment w:val="baseline"/>
      </w:pPr>
      <w:r w:rsidRPr="0094569A">
        <w:t xml:space="preserve">Section </w:t>
      </w:r>
      <w:r>
        <w:t>4</w:t>
      </w:r>
      <w:r w:rsidRPr="0094569A">
        <w:t xml:space="preserve"> of the instrument provides that, unless the contrary intention appears, capitalised terms have the same meaning as in the Rules.</w:t>
      </w:r>
    </w:p>
    <w:p w14:paraId="0AECD311" w14:textId="5C092182" w:rsidR="00D77B4C" w:rsidRPr="00D77B4C" w:rsidRDefault="00D77B4C" w:rsidP="00D77B4C">
      <w:pPr>
        <w:tabs>
          <w:tab w:val="left" w:pos="1701"/>
        </w:tabs>
        <w:overflowPunct w:val="0"/>
        <w:autoSpaceDE w:val="0"/>
        <w:autoSpaceDN w:val="0"/>
        <w:adjustRightInd w:val="0"/>
        <w:spacing w:before="199" w:line="300" w:lineRule="atLeast"/>
        <w:textAlignment w:val="baseline"/>
        <w:rPr>
          <w:b/>
        </w:rPr>
      </w:pPr>
      <w:r w:rsidRPr="00D77B4C">
        <w:rPr>
          <w:b/>
        </w:rPr>
        <w:t>Waiver from requirements in paragraphs 2.2.1(1</w:t>
      </w:r>
      <w:proofErr w:type="gramStart"/>
      <w:r w:rsidRPr="00D77B4C">
        <w:rPr>
          <w:b/>
        </w:rPr>
        <w:t>)(</w:t>
      </w:r>
      <w:proofErr w:type="gramEnd"/>
      <w:r w:rsidRPr="00D77B4C">
        <w:rPr>
          <w:b/>
        </w:rPr>
        <w:t>ab), (b), (c) and (e)</w:t>
      </w:r>
    </w:p>
    <w:p w14:paraId="76796A0C" w14:textId="77777777" w:rsidR="00D77B4C" w:rsidRPr="005D3D41" w:rsidRDefault="00D77B4C" w:rsidP="00D77B4C">
      <w:pPr>
        <w:pStyle w:val="LI-BodyTextNumbered"/>
        <w:ind w:left="0" w:firstLine="0"/>
      </w:pPr>
      <w:r>
        <w:t xml:space="preserve">Section 5 of the instrument provides that a </w:t>
      </w:r>
      <w:r>
        <w:rPr>
          <w:lang w:val="en-US"/>
        </w:rPr>
        <w:t xml:space="preserve">Principal Trader </w:t>
      </w:r>
      <w:r>
        <w:t>does not have</w:t>
      </w:r>
      <w:r w:rsidRPr="00AA2512">
        <w:t xml:space="preserve"> to comply with </w:t>
      </w:r>
      <w:r>
        <w:t>paragraphs</w:t>
      </w:r>
      <w:r w:rsidRPr="00AA2512">
        <w:t xml:space="preserve"> </w:t>
      </w:r>
      <w:r>
        <w:t>2.2.1(1</w:t>
      </w:r>
      <w:proofErr w:type="gramStart"/>
      <w:r>
        <w:t>)(</w:t>
      </w:r>
      <w:proofErr w:type="gramEnd"/>
      <w:r>
        <w:t>ab), (b), (</w:t>
      </w:r>
      <w:r w:rsidRPr="009134A7">
        <w:t>c) (to the extent it relates to the limits determined in paragraphs (ab) and (b)) and (e) o</w:t>
      </w:r>
      <w:r>
        <w:t xml:space="preserve">f the Rules where the Principal Trader is a Client of another Market Participant (the </w:t>
      </w:r>
      <w:r w:rsidRPr="001C1314">
        <w:rPr>
          <w:b/>
          <w:i/>
        </w:rPr>
        <w:t>Second Market Participant</w:t>
      </w:r>
      <w:r>
        <w:t>) and the Second Market Participant either:</w:t>
      </w:r>
      <w:r w:rsidRPr="005D3D41">
        <w:t xml:space="preserve"> </w:t>
      </w:r>
    </w:p>
    <w:p w14:paraId="0A73C182" w14:textId="77777777" w:rsidR="00D77B4C" w:rsidRDefault="00D77B4C" w:rsidP="00B33366">
      <w:pPr>
        <w:pStyle w:val="LI-BodyTextParaa"/>
        <w:ind w:left="1287"/>
      </w:pPr>
      <w:r>
        <w:lastRenderedPageBreak/>
        <w:t>(a</w:t>
      </w:r>
      <w:r w:rsidRPr="005D3D41">
        <w:t>)</w:t>
      </w:r>
      <w:r w:rsidRPr="005D3D41">
        <w:tab/>
      </w:r>
      <w:r w:rsidRPr="008C5450">
        <w:t>permits the Principal Trader to connect to a Terminal</w:t>
      </w:r>
      <w:r>
        <w:t xml:space="preserve"> </w:t>
      </w:r>
      <w:r w:rsidRPr="00146E66">
        <w:t xml:space="preserve">for the purposes of </w:t>
      </w:r>
      <w:r>
        <w:t>t</w:t>
      </w:r>
      <w:r w:rsidRPr="00146E66">
        <w:t xml:space="preserve">rading for </w:t>
      </w:r>
      <w:r>
        <w:t>the Principal Trader’s</w:t>
      </w:r>
      <w:r w:rsidRPr="00146E66">
        <w:t xml:space="preserve"> House Account</w:t>
      </w:r>
      <w:r>
        <w:t>; or</w:t>
      </w:r>
    </w:p>
    <w:p w14:paraId="529C0F80" w14:textId="15D33F7E" w:rsidR="00D77B4C" w:rsidRDefault="00D77B4C" w:rsidP="00B33366">
      <w:pPr>
        <w:pStyle w:val="LI-BodyTextParaa"/>
        <w:ind w:left="1287"/>
      </w:pPr>
      <w:r>
        <w:t>(b)</w:t>
      </w:r>
      <w:r>
        <w:tab/>
      </w:r>
      <w:proofErr w:type="gramStart"/>
      <w:r w:rsidRPr="008C5450">
        <w:t>enter</w:t>
      </w:r>
      <w:r>
        <w:t>s</w:t>
      </w:r>
      <w:proofErr w:type="gramEnd"/>
      <w:r w:rsidRPr="008C5450">
        <w:t xml:space="preserve"> Orders</w:t>
      </w:r>
      <w:r>
        <w:t xml:space="preserve"> on the Principal Trader’s House Account</w:t>
      </w:r>
      <w:r w:rsidRPr="008C5450">
        <w:t xml:space="preserve"> into the Trading Platform</w:t>
      </w:r>
      <w:r>
        <w:t xml:space="preserve"> through the Second Market Participant’s Order System.</w:t>
      </w:r>
    </w:p>
    <w:p w14:paraId="37988A86" w14:textId="77777777" w:rsidR="00EA14B3" w:rsidRDefault="00F93985" w:rsidP="000D5EAB">
      <w:pPr>
        <w:pStyle w:val="Heading1"/>
        <w:keepLines/>
        <w:tabs>
          <w:tab w:val="clear" w:pos="879"/>
        </w:tabs>
        <w:overflowPunct/>
        <w:autoSpaceDE/>
        <w:autoSpaceDN/>
        <w:adjustRightInd/>
        <w:spacing w:after="60" w:line="240" w:lineRule="auto"/>
        <w:textAlignment w:val="auto"/>
        <w:rPr>
          <w:rFonts w:cs="Arial"/>
          <w:bCs/>
          <w:kern w:val="32"/>
          <w:sz w:val="24"/>
          <w:szCs w:val="32"/>
        </w:rPr>
      </w:pPr>
      <w:bookmarkStart w:id="4" w:name="_Toc158699042"/>
      <w:bookmarkEnd w:id="3"/>
      <w:r>
        <w:rPr>
          <w:rFonts w:cs="Arial"/>
          <w:bCs/>
          <w:kern w:val="32"/>
          <w:sz w:val="24"/>
          <w:szCs w:val="32"/>
        </w:rPr>
        <w:t>4</w:t>
      </w:r>
      <w:r w:rsidR="00EA14B3">
        <w:rPr>
          <w:rFonts w:cs="Arial"/>
          <w:bCs/>
          <w:kern w:val="32"/>
          <w:sz w:val="24"/>
          <w:szCs w:val="32"/>
        </w:rPr>
        <w:t>.</w:t>
      </w:r>
      <w:r w:rsidR="00EA14B3">
        <w:rPr>
          <w:rFonts w:cs="Arial"/>
          <w:bCs/>
          <w:kern w:val="32"/>
          <w:sz w:val="24"/>
          <w:szCs w:val="32"/>
        </w:rPr>
        <w:tab/>
        <w:t>Consultation</w:t>
      </w:r>
      <w:bookmarkEnd w:id="4"/>
    </w:p>
    <w:p w14:paraId="37988A87" w14:textId="77777777" w:rsidR="0024574B" w:rsidRDefault="0024574B" w:rsidP="000D5EAB">
      <w:pPr>
        <w:pStyle w:val="BodyText"/>
        <w:keepNext/>
        <w:keepLines/>
        <w:spacing w:before="0"/>
        <w:rPr>
          <w:iCs/>
        </w:rPr>
      </w:pPr>
    </w:p>
    <w:p w14:paraId="40FDD86A" w14:textId="4299CEB1" w:rsidR="00D77B4C" w:rsidRDefault="009134A7" w:rsidP="009134A7">
      <w:pPr>
        <w:pStyle w:val="BodyText"/>
        <w:keepNext/>
        <w:keepLines/>
        <w:spacing w:before="0" w:line="240" w:lineRule="auto"/>
        <w:rPr>
          <w:iCs/>
        </w:rPr>
      </w:pPr>
      <w:r>
        <w:rPr>
          <w:iCs/>
        </w:rPr>
        <w:t xml:space="preserve">ASIC made [CW 13/972] to address consultation feedback received from a respondent to </w:t>
      </w:r>
      <w:r w:rsidRPr="00D729DE">
        <w:rPr>
          <w:iCs/>
        </w:rPr>
        <w:t xml:space="preserve">Consultation Paper 195 </w:t>
      </w:r>
      <w:r w:rsidRPr="00D729DE">
        <w:rPr>
          <w:i/>
          <w:iCs/>
        </w:rPr>
        <w:t>Proposed amendments to ASIC market integrity rules: ASX 24 and FEX markets</w:t>
      </w:r>
      <w:r w:rsidRPr="00D729DE">
        <w:rPr>
          <w:iCs/>
        </w:rPr>
        <w:t xml:space="preserve"> (</w:t>
      </w:r>
      <w:r w:rsidRPr="00322479">
        <w:rPr>
          <w:b/>
          <w:i/>
          <w:iCs/>
        </w:rPr>
        <w:t>CP 195</w:t>
      </w:r>
      <w:r w:rsidRPr="00D729DE">
        <w:rPr>
          <w:iCs/>
        </w:rPr>
        <w:t>)</w:t>
      </w:r>
      <w:r>
        <w:rPr>
          <w:iCs/>
        </w:rPr>
        <w:t xml:space="preserve"> </w:t>
      </w:r>
      <w:r>
        <w:rPr>
          <w:iCs/>
        </w:rPr>
        <w:t>in relation to the</w:t>
      </w:r>
      <w:r w:rsidR="00770BBA">
        <w:rPr>
          <w:iCs/>
        </w:rPr>
        <w:t xml:space="preserve"> risk management requirements in</w:t>
      </w:r>
      <w:r w:rsidR="007B1223">
        <w:rPr>
          <w:iCs/>
        </w:rPr>
        <w:t xml:space="preserve"> Rule 2.2.1</w:t>
      </w:r>
      <w:r>
        <w:rPr>
          <w:iCs/>
        </w:rPr>
        <w:t xml:space="preserve"> of the ASX 24 Rules</w:t>
      </w:r>
      <w:r w:rsidR="00D729DE">
        <w:rPr>
          <w:iCs/>
        </w:rPr>
        <w:t xml:space="preserve">. </w:t>
      </w:r>
      <w:r w:rsidR="00463BA2" w:rsidRPr="00463BA2">
        <w:rPr>
          <w:iCs/>
        </w:rPr>
        <w:t>The</w:t>
      </w:r>
      <w:r w:rsidR="00043153" w:rsidRPr="00043153">
        <w:rPr>
          <w:iCs/>
        </w:rPr>
        <w:t xml:space="preserve"> respondent submitted that it may be difficult for a </w:t>
      </w:r>
      <w:r w:rsidR="00043153">
        <w:rPr>
          <w:iCs/>
        </w:rPr>
        <w:t>Principal T</w:t>
      </w:r>
      <w:r w:rsidR="00043153" w:rsidRPr="00043153">
        <w:rPr>
          <w:iCs/>
        </w:rPr>
        <w:t>rader that accesse</w:t>
      </w:r>
      <w:r w:rsidR="00043153">
        <w:rPr>
          <w:iCs/>
        </w:rPr>
        <w:t xml:space="preserve">s the </w:t>
      </w:r>
      <w:r>
        <w:rPr>
          <w:iCs/>
        </w:rPr>
        <w:t>ASX 24 Market</w:t>
      </w:r>
      <w:r w:rsidR="00043153">
        <w:rPr>
          <w:iCs/>
        </w:rPr>
        <w:t xml:space="preserve"> through another Market P</w:t>
      </w:r>
      <w:r w:rsidR="00043153" w:rsidRPr="00043153">
        <w:rPr>
          <w:iCs/>
        </w:rPr>
        <w:t>articipant to c</w:t>
      </w:r>
      <w:r>
        <w:rPr>
          <w:iCs/>
        </w:rPr>
        <w:t xml:space="preserve">omply with Rule 2.2.1 </w:t>
      </w:r>
      <w:r w:rsidR="00043153" w:rsidRPr="00043153">
        <w:rPr>
          <w:iCs/>
        </w:rPr>
        <w:t xml:space="preserve">if the </w:t>
      </w:r>
      <w:r w:rsidR="0013759A">
        <w:rPr>
          <w:iCs/>
        </w:rPr>
        <w:t>Principal T</w:t>
      </w:r>
      <w:r w:rsidR="00043153" w:rsidRPr="00043153">
        <w:rPr>
          <w:iCs/>
        </w:rPr>
        <w:t>rader has no control over the trading limits that are set</w:t>
      </w:r>
      <w:r w:rsidR="00B7773A">
        <w:rPr>
          <w:iCs/>
        </w:rPr>
        <w:t xml:space="preserve"> </w:t>
      </w:r>
      <w:r w:rsidR="00463BA2">
        <w:rPr>
          <w:iCs/>
        </w:rPr>
        <w:t>(see Report 343</w:t>
      </w:r>
      <w:r w:rsidR="00463BA2" w:rsidRPr="00463BA2">
        <w:rPr>
          <w:iCs/>
        </w:rPr>
        <w:t xml:space="preserve">: </w:t>
      </w:r>
      <w:r w:rsidR="00463BA2" w:rsidRPr="008C7F87">
        <w:rPr>
          <w:i/>
          <w:iCs/>
        </w:rPr>
        <w:t>Response to submissions on CP 195 Proposed amendments to ASIC market integrity rules: ASX 24 and FEX markets</w:t>
      </w:r>
      <w:r w:rsidR="00463BA2">
        <w:rPr>
          <w:iCs/>
        </w:rPr>
        <w:t xml:space="preserve"> at paragraphs 15 to 17).</w:t>
      </w:r>
    </w:p>
    <w:p w14:paraId="4404B201" w14:textId="33384051" w:rsidR="009134A7" w:rsidRPr="001051DC" w:rsidRDefault="009134A7" w:rsidP="009134A7">
      <w:pPr>
        <w:pStyle w:val="BodyText"/>
        <w:spacing w:before="199"/>
        <w:rPr>
          <w:szCs w:val="24"/>
        </w:rPr>
      </w:pPr>
      <w:r>
        <w:rPr>
          <w:szCs w:val="24"/>
        </w:rPr>
        <w:t>T</w:t>
      </w:r>
      <w:r w:rsidRPr="001051DC">
        <w:rPr>
          <w:szCs w:val="24"/>
        </w:rPr>
        <w:t>h</w:t>
      </w:r>
      <w:r>
        <w:rPr>
          <w:szCs w:val="24"/>
        </w:rPr>
        <w:t>e</w:t>
      </w:r>
      <w:r w:rsidRPr="001051DC">
        <w:rPr>
          <w:szCs w:val="24"/>
        </w:rPr>
        <w:t xml:space="preserve"> instrument is part of a wider project to consolidate the market integrity rules. ASIC consulted extensively with market operators, market participants and industry bodies before makin</w:t>
      </w:r>
      <w:r>
        <w:rPr>
          <w:szCs w:val="24"/>
        </w:rPr>
        <w:t>g the Rules and the instrument.</w:t>
      </w:r>
    </w:p>
    <w:p w14:paraId="2C75DB93" w14:textId="77777777" w:rsidR="009134A7" w:rsidRDefault="009134A7" w:rsidP="009134A7">
      <w:pPr>
        <w:pStyle w:val="BodyText"/>
        <w:spacing w:before="199"/>
        <w:rPr>
          <w:szCs w:val="24"/>
        </w:rPr>
      </w:pPr>
      <w:r w:rsidRPr="001051DC">
        <w:rPr>
          <w:szCs w:val="24"/>
        </w:rPr>
        <w:t xml:space="preserve">The consultation period for Consultation Paper 277 </w:t>
      </w:r>
      <w:r w:rsidRPr="001051DC">
        <w:rPr>
          <w:i/>
          <w:szCs w:val="24"/>
        </w:rPr>
        <w:t>Proposals to consolidate the ASIC market integrity rules</w:t>
      </w:r>
      <w:r w:rsidRPr="001051DC">
        <w:rPr>
          <w:szCs w:val="24"/>
        </w:rPr>
        <w:t xml:space="preserve"> (</w:t>
      </w:r>
      <w:r w:rsidRPr="001051DC">
        <w:rPr>
          <w:b/>
          <w:i/>
          <w:szCs w:val="24"/>
        </w:rPr>
        <w:t>CP 277</w:t>
      </w:r>
      <w:r w:rsidRPr="001051DC">
        <w:rPr>
          <w:szCs w:val="24"/>
        </w:rPr>
        <w:t>) occurred between 24 January 2017 and 7 March 2017. ASIC held over 25 meetings with stakeholders during and following that period. In addition, ASIC consulted ASIC’s Market Advisory Panel on the proposals. ASIC received five non-confidential submissions and six confidential submissions to CP 277 from a broad range of stakeholders including from market participants, market operators and industry associations.</w:t>
      </w:r>
    </w:p>
    <w:p w14:paraId="032DBB11" w14:textId="77777777" w:rsidR="009134A7" w:rsidRDefault="009134A7" w:rsidP="009134A7">
      <w:pPr>
        <w:pStyle w:val="BodyText"/>
        <w:spacing w:before="0" w:line="240" w:lineRule="auto"/>
        <w:rPr>
          <w:szCs w:val="24"/>
        </w:rPr>
      </w:pPr>
    </w:p>
    <w:p w14:paraId="6B46FBE2" w14:textId="407556C4" w:rsidR="0028716E" w:rsidRDefault="009134A7" w:rsidP="009134A7">
      <w:pPr>
        <w:pStyle w:val="BodyText"/>
        <w:spacing w:before="0" w:line="240" w:lineRule="auto"/>
        <w:rPr>
          <w:b/>
          <w:u w:val="single"/>
        </w:rPr>
      </w:pPr>
      <w:r w:rsidRPr="0076197A">
        <w:rPr>
          <w:szCs w:val="24"/>
        </w:rPr>
        <w:t xml:space="preserve">The Office of Best Practice Regulation has assessed the proposals implemented by the Rules and the instrument as having a minor impact on business, community </w:t>
      </w:r>
      <w:proofErr w:type="gramStart"/>
      <w:r w:rsidRPr="0076197A">
        <w:rPr>
          <w:szCs w:val="24"/>
        </w:rPr>
        <w:t>organisations</w:t>
      </w:r>
      <w:proofErr w:type="gramEnd"/>
      <w:r w:rsidRPr="0076197A">
        <w:rPr>
          <w:szCs w:val="24"/>
        </w:rPr>
        <w:t xml:space="preserve"> or individuals and confirmed that no further analysis, in the form of a Regulatory Impact Statement is required (OBPR ID 22449).  </w:t>
      </w:r>
      <w:r w:rsidR="0028716E">
        <w:rPr>
          <w:b/>
          <w:u w:val="single"/>
        </w:rPr>
        <w:br w:type="page"/>
      </w:r>
    </w:p>
    <w:p w14:paraId="37988A94" w14:textId="54904100" w:rsidR="000966DC" w:rsidRPr="000966DC" w:rsidRDefault="000966DC" w:rsidP="00A462A6">
      <w:pPr>
        <w:jc w:val="center"/>
      </w:pPr>
      <w:r w:rsidRPr="000966DC">
        <w:rPr>
          <w:b/>
          <w:bCs/>
        </w:rPr>
        <w:lastRenderedPageBreak/>
        <w:t>Statement of Compatibility with Human Rights</w:t>
      </w:r>
    </w:p>
    <w:p w14:paraId="37988A95" w14:textId="77777777" w:rsidR="000966DC" w:rsidRPr="000966DC" w:rsidRDefault="000966DC" w:rsidP="00A462A6">
      <w:pPr>
        <w:jc w:val="center"/>
      </w:pPr>
    </w:p>
    <w:p w14:paraId="37988A96" w14:textId="3CA6EFB0" w:rsidR="000966DC" w:rsidRPr="000966DC" w:rsidRDefault="000966DC" w:rsidP="00A462A6">
      <w:pPr>
        <w:jc w:val="center"/>
        <w:rPr>
          <w:i/>
        </w:rPr>
      </w:pPr>
      <w:r w:rsidRPr="000966DC">
        <w:rPr>
          <w:i/>
          <w:iCs/>
        </w:rPr>
        <w:t>Prepared in accordance with Part 3 of the Human Rights (Parliamentary Scrutiny) Act 2011</w:t>
      </w:r>
    </w:p>
    <w:p w14:paraId="37988A97" w14:textId="77777777" w:rsidR="000966DC" w:rsidRPr="000966DC" w:rsidRDefault="000966DC" w:rsidP="00514B1D">
      <w:pPr>
        <w:jc w:val="both"/>
        <w:rPr>
          <w:bCs/>
        </w:rPr>
      </w:pPr>
    </w:p>
    <w:p w14:paraId="37988A98" w14:textId="27DBA9EF" w:rsidR="000966DC" w:rsidRPr="000966DC" w:rsidRDefault="000966DC" w:rsidP="000D5EAB">
      <w:pPr>
        <w:rPr>
          <w:b/>
          <w:bCs/>
        </w:rPr>
      </w:pPr>
      <w:r w:rsidRPr="000966DC">
        <w:rPr>
          <w:b/>
          <w:bCs/>
        </w:rPr>
        <w:t xml:space="preserve">ASIC </w:t>
      </w:r>
      <w:r w:rsidR="00FF5925">
        <w:rPr>
          <w:b/>
          <w:bCs/>
        </w:rPr>
        <w:t>Market Integrity Rules (Future</w:t>
      </w:r>
      <w:r w:rsidR="000D5EAB">
        <w:rPr>
          <w:b/>
          <w:bCs/>
        </w:rPr>
        <w:t>s</w:t>
      </w:r>
      <w:r w:rsidR="00FF5925">
        <w:rPr>
          <w:b/>
          <w:bCs/>
        </w:rPr>
        <w:t xml:space="preserve"> Markets) </w:t>
      </w:r>
      <w:r w:rsidR="00FF5925" w:rsidRPr="000966DC">
        <w:rPr>
          <w:b/>
          <w:bCs/>
        </w:rPr>
        <w:t xml:space="preserve">Class Waiver </w:t>
      </w:r>
      <w:r w:rsidR="00FF5925">
        <w:rPr>
          <w:b/>
          <w:bCs/>
        </w:rPr>
        <w:t>20</w:t>
      </w:r>
      <w:r w:rsidRPr="000966DC">
        <w:rPr>
          <w:b/>
          <w:bCs/>
        </w:rPr>
        <w:t>1</w:t>
      </w:r>
      <w:r w:rsidR="00FF5925">
        <w:rPr>
          <w:b/>
          <w:bCs/>
        </w:rPr>
        <w:t>8</w:t>
      </w:r>
      <w:r w:rsidRPr="000966DC">
        <w:rPr>
          <w:b/>
          <w:bCs/>
        </w:rPr>
        <w:t>/</w:t>
      </w:r>
      <w:r w:rsidR="00EE14BA">
        <w:rPr>
          <w:b/>
          <w:bCs/>
        </w:rPr>
        <w:t>312</w:t>
      </w:r>
    </w:p>
    <w:p w14:paraId="37988A99" w14:textId="77777777" w:rsidR="000966DC" w:rsidRPr="000966DC" w:rsidRDefault="000966DC" w:rsidP="000D5EAB"/>
    <w:p w14:paraId="37988A9A" w14:textId="3421A415" w:rsidR="000966DC" w:rsidRPr="000966DC" w:rsidRDefault="004C7789" w:rsidP="000D5EAB">
      <w:r w:rsidRPr="004C7789">
        <w:t>ASIC Market Integrity Rules (Future</w:t>
      </w:r>
      <w:r w:rsidR="000D5EAB">
        <w:t>s</w:t>
      </w:r>
      <w:r w:rsidRPr="004C7789">
        <w:t xml:space="preserve"> Markets) Class Waiver 2018/</w:t>
      </w:r>
      <w:r w:rsidR="00EE14BA">
        <w:t>312</w:t>
      </w:r>
      <w:r w:rsidR="000D5EAB">
        <w:t xml:space="preserve"> (the </w:t>
      </w:r>
      <w:r w:rsidR="000D5EAB" w:rsidRPr="000D5EAB">
        <w:rPr>
          <w:b/>
          <w:i/>
        </w:rPr>
        <w:t>instrument</w:t>
      </w:r>
      <w:r w:rsidR="000D5EAB">
        <w:t>)</w:t>
      </w:r>
      <w:r w:rsidRPr="004C7789" w:rsidDel="004C7789">
        <w:t xml:space="preserve"> </w:t>
      </w:r>
      <w:r w:rsidR="000966DC" w:rsidRPr="000966DC">
        <w:t xml:space="preserve">is compatible with the human rights and freedoms recognised or declared in the international instruments listed in section 3 of the </w:t>
      </w:r>
      <w:r w:rsidR="000966DC" w:rsidRPr="000966DC">
        <w:rPr>
          <w:i/>
        </w:rPr>
        <w:t>Human Rights (Parliamentary Scrutiny) Act 2011</w:t>
      </w:r>
      <w:r w:rsidR="000966DC" w:rsidRPr="000966DC">
        <w:t>.</w:t>
      </w:r>
    </w:p>
    <w:p w14:paraId="37988A9B" w14:textId="77777777" w:rsidR="000966DC" w:rsidRPr="000966DC" w:rsidRDefault="000966DC" w:rsidP="000D5EAB"/>
    <w:p w14:paraId="37988A9C" w14:textId="77777777" w:rsidR="000966DC" w:rsidRPr="000966DC" w:rsidRDefault="000966DC" w:rsidP="000D5EAB">
      <w:pPr>
        <w:rPr>
          <w:b/>
        </w:rPr>
      </w:pPr>
      <w:r w:rsidRPr="000966DC">
        <w:rPr>
          <w:b/>
        </w:rPr>
        <w:t>Overview of the legislative instrument</w:t>
      </w:r>
    </w:p>
    <w:p w14:paraId="37988A9D" w14:textId="77777777" w:rsidR="000966DC" w:rsidRPr="000966DC" w:rsidRDefault="000966DC" w:rsidP="000D5EAB">
      <w:pPr>
        <w:rPr>
          <w:b/>
        </w:rPr>
      </w:pPr>
    </w:p>
    <w:p w14:paraId="37988A9E" w14:textId="44FD7A5C" w:rsidR="000966DC" w:rsidRPr="000966DC" w:rsidRDefault="000966DC" w:rsidP="000D5EAB">
      <w:r w:rsidRPr="000966DC">
        <w:t>The Australian Securities and Investments Commission (</w:t>
      </w:r>
      <w:r w:rsidRPr="000966DC">
        <w:rPr>
          <w:b/>
          <w:i/>
        </w:rPr>
        <w:t>ASIC</w:t>
      </w:r>
      <w:r w:rsidRPr="000966DC">
        <w:t xml:space="preserve">) </w:t>
      </w:r>
      <w:proofErr w:type="gramStart"/>
      <w:r w:rsidRPr="000966DC">
        <w:t>makes</w:t>
      </w:r>
      <w:proofErr w:type="gramEnd"/>
      <w:r w:rsidRPr="000966DC">
        <w:t xml:space="preserve"> this instrument under </w:t>
      </w:r>
      <w:r w:rsidR="00322479">
        <w:t>subr</w:t>
      </w:r>
      <w:r w:rsidRPr="000966DC">
        <w:t xml:space="preserve">ule 1.2.1(1) </w:t>
      </w:r>
      <w:r w:rsidRPr="00823BE3">
        <w:t>of t</w:t>
      </w:r>
      <w:r w:rsidRPr="000966DC">
        <w:t xml:space="preserve">he </w:t>
      </w:r>
      <w:r w:rsidRPr="000966DC">
        <w:rPr>
          <w:i/>
        </w:rPr>
        <w:t xml:space="preserve">ASIC Market Integrity </w:t>
      </w:r>
      <w:r w:rsidRPr="00FF5925">
        <w:t>Rules</w:t>
      </w:r>
      <w:r w:rsidRPr="000966DC">
        <w:rPr>
          <w:i/>
        </w:rPr>
        <w:t xml:space="preserve"> (</w:t>
      </w:r>
      <w:r w:rsidR="00FF5925">
        <w:rPr>
          <w:i/>
        </w:rPr>
        <w:t>Futures</w:t>
      </w:r>
      <w:r w:rsidRPr="000966DC">
        <w:rPr>
          <w:i/>
        </w:rPr>
        <w:t> Market</w:t>
      </w:r>
      <w:r w:rsidR="00FF5925">
        <w:rPr>
          <w:i/>
        </w:rPr>
        <w:t>s</w:t>
      </w:r>
      <w:r w:rsidRPr="000966DC">
        <w:rPr>
          <w:i/>
        </w:rPr>
        <w:t>) 201</w:t>
      </w:r>
      <w:r w:rsidR="00FF5925">
        <w:rPr>
          <w:i/>
        </w:rPr>
        <w:t>7</w:t>
      </w:r>
      <w:r w:rsidRPr="000966DC">
        <w:rPr>
          <w:i/>
        </w:rPr>
        <w:t xml:space="preserve"> </w:t>
      </w:r>
      <w:r w:rsidRPr="000966DC">
        <w:t>(the</w:t>
      </w:r>
      <w:r w:rsidRPr="000966DC">
        <w:rPr>
          <w:b/>
          <w:i/>
        </w:rPr>
        <w:t xml:space="preserve"> Rules</w:t>
      </w:r>
      <w:r w:rsidRPr="000966DC">
        <w:t xml:space="preserve">). </w:t>
      </w:r>
    </w:p>
    <w:p w14:paraId="37988A9F" w14:textId="77777777" w:rsidR="000966DC" w:rsidRPr="000966DC" w:rsidRDefault="000966DC" w:rsidP="000D5EAB"/>
    <w:p w14:paraId="37988AA0" w14:textId="6B913893" w:rsidR="000966DC" w:rsidRDefault="000966DC" w:rsidP="000D5EAB">
      <w:r w:rsidRPr="000966DC">
        <w:t xml:space="preserve">Under that rule, ASIC may relieve any person or class of persons from the obligation to comply with a provision of the Rules.   </w:t>
      </w:r>
    </w:p>
    <w:p w14:paraId="37988AA1" w14:textId="77777777" w:rsidR="000966DC" w:rsidRDefault="000966DC" w:rsidP="000D5EAB"/>
    <w:p w14:paraId="7D89F652" w14:textId="095AC1DE" w:rsidR="00777F8B" w:rsidRDefault="00777F8B" w:rsidP="000D5EAB">
      <w:pPr>
        <w:rPr>
          <w:iCs/>
        </w:rPr>
      </w:pPr>
      <w:r w:rsidRPr="00777F8B">
        <w:rPr>
          <w:iCs/>
        </w:rPr>
        <w:t xml:space="preserve">The instrument relieves a Principal Trader from the obligation to comply with </w:t>
      </w:r>
      <w:r>
        <w:rPr>
          <w:iCs/>
        </w:rPr>
        <w:t xml:space="preserve">the risk management requirements in </w:t>
      </w:r>
      <w:r w:rsidRPr="00777F8B">
        <w:rPr>
          <w:iCs/>
        </w:rPr>
        <w:t xml:space="preserve">paragraphs 2.2.1(1)(ab), (b), (c) and (e) of the </w:t>
      </w:r>
      <w:r>
        <w:rPr>
          <w:iCs/>
        </w:rPr>
        <w:t>Rules</w:t>
      </w:r>
      <w:r w:rsidRPr="00777F8B">
        <w:rPr>
          <w:iCs/>
        </w:rPr>
        <w:t>, in the case where the Principal Trader is a client of another Market Participant and the Principal Trader accesses the market through that Market Participant.</w:t>
      </w:r>
      <w:bookmarkStart w:id="5" w:name="_GoBack"/>
      <w:bookmarkEnd w:id="5"/>
    </w:p>
    <w:p w14:paraId="37988AAE" w14:textId="77777777" w:rsidR="000966DC" w:rsidRPr="000966DC" w:rsidRDefault="000966DC" w:rsidP="000D5EAB">
      <w:pPr>
        <w:rPr>
          <w:iCs/>
        </w:rPr>
      </w:pPr>
    </w:p>
    <w:p w14:paraId="37988AB0" w14:textId="77777777" w:rsidR="000966DC" w:rsidRPr="000966DC" w:rsidRDefault="000966DC" w:rsidP="000D5EAB">
      <w:pPr>
        <w:rPr>
          <w:b/>
        </w:rPr>
      </w:pPr>
      <w:r w:rsidRPr="000966DC">
        <w:rPr>
          <w:b/>
        </w:rPr>
        <w:t>Human rights implications</w:t>
      </w:r>
    </w:p>
    <w:p w14:paraId="37988AB1" w14:textId="77777777" w:rsidR="000966DC" w:rsidRPr="000966DC" w:rsidRDefault="000966DC" w:rsidP="000D5EAB"/>
    <w:p w14:paraId="37988AB2" w14:textId="1D9EAE97" w:rsidR="000966DC" w:rsidRPr="000966DC" w:rsidRDefault="000966DC" w:rsidP="000D5EAB">
      <w:r w:rsidRPr="000966DC">
        <w:t xml:space="preserve">This </w:t>
      </w:r>
      <w:r w:rsidR="004C7789">
        <w:t>i</w:t>
      </w:r>
      <w:r w:rsidRPr="000966DC">
        <w:t xml:space="preserve">nstrument does not engage any of the applicable rights or freedoms.  </w:t>
      </w:r>
    </w:p>
    <w:p w14:paraId="37988AB3" w14:textId="77777777" w:rsidR="000966DC" w:rsidRPr="000966DC" w:rsidRDefault="000966DC" w:rsidP="000D5EAB"/>
    <w:p w14:paraId="5F08CFAA" w14:textId="1B01FE9B" w:rsidR="00FF5925" w:rsidRPr="00A7124F" w:rsidRDefault="00FF5925" w:rsidP="000D5EAB">
      <w:pPr>
        <w:spacing w:after="240"/>
        <w:rPr>
          <w:b/>
        </w:rPr>
      </w:pPr>
      <w:r w:rsidRPr="00A7124F">
        <w:rPr>
          <w:b/>
        </w:rPr>
        <w:t>Conclusion</w:t>
      </w:r>
    </w:p>
    <w:p w14:paraId="7013986D" w14:textId="77777777" w:rsidR="00FF5925" w:rsidRPr="00A7124F" w:rsidRDefault="00FF5925" w:rsidP="000D5EAB">
      <w:pPr>
        <w:spacing w:after="240"/>
      </w:pPr>
      <w:r w:rsidRPr="00A7124F">
        <w:t>This legislative instrument is compatible with human rights as it does not raise any human rights issues.</w:t>
      </w:r>
    </w:p>
    <w:p w14:paraId="3ACB8E7A" w14:textId="31DE3E69" w:rsidR="00FF5925" w:rsidRPr="00A7124F" w:rsidRDefault="00FF5925" w:rsidP="00FF5925">
      <w:pPr>
        <w:spacing w:after="240"/>
        <w:jc w:val="center"/>
      </w:pPr>
      <w:r w:rsidRPr="00A7124F">
        <w:rPr>
          <w:b/>
        </w:rPr>
        <w:t>Australian Securities and Investments Commission</w:t>
      </w:r>
    </w:p>
    <w:p w14:paraId="37988AB8" w14:textId="77777777" w:rsidR="00235AE6" w:rsidRDefault="00235AE6" w:rsidP="00514B1D">
      <w:pPr>
        <w:jc w:val="both"/>
      </w:pPr>
    </w:p>
    <w:p w14:paraId="37988AB9" w14:textId="77777777" w:rsidR="00235AE6" w:rsidRPr="00235AE6" w:rsidRDefault="00235AE6" w:rsidP="00514B1D">
      <w:pPr>
        <w:pStyle w:val="BodyText"/>
        <w:spacing w:before="0"/>
        <w:jc w:val="both"/>
        <w:rPr>
          <w:bCs/>
        </w:rPr>
      </w:pPr>
    </w:p>
    <w:p w14:paraId="37988ABA" w14:textId="77777777" w:rsidR="00CF44D8" w:rsidRPr="004B6CCD" w:rsidRDefault="00CF44D8" w:rsidP="00514B1D">
      <w:pPr>
        <w:pStyle w:val="BodyText"/>
        <w:spacing w:before="0"/>
        <w:jc w:val="both"/>
      </w:pPr>
    </w:p>
    <w:sectPr w:rsidR="00CF44D8" w:rsidRPr="004B6CCD" w:rsidSect="006E2F45">
      <w:headerReference w:type="default" r:id="rId12"/>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88ABD" w14:textId="77777777" w:rsidR="007406C1" w:rsidRDefault="007406C1" w:rsidP="00EA14B3">
      <w:r>
        <w:separator/>
      </w:r>
    </w:p>
  </w:endnote>
  <w:endnote w:type="continuationSeparator" w:id="0">
    <w:p w14:paraId="37988ABE" w14:textId="77777777" w:rsidR="007406C1" w:rsidRDefault="007406C1" w:rsidP="00EA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88ABB" w14:textId="77777777" w:rsidR="007406C1" w:rsidRDefault="007406C1" w:rsidP="00EA14B3">
      <w:r>
        <w:separator/>
      </w:r>
    </w:p>
  </w:footnote>
  <w:footnote w:type="continuationSeparator" w:id="0">
    <w:p w14:paraId="37988ABC" w14:textId="77777777" w:rsidR="007406C1" w:rsidRDefault="007406C1" w:rsidP="00EA1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120516"/>
      <w:docPartObj>
        <w:docPartGallery w:val="Page Numbers (Top of Page)"/>
        <w:docPartUnique/>
      </w:docPartObj>
    </w:sdtPr>
    <w:sdtEndPr/>
    <w:sdtContent>
      <w:p w14:paraId="37988ABF" w14:textId="77777777" w:rsidR="000966DC" w:rsidRDefault="000D5EAB">
        <w:pPr>
          <w:pStyle w:val="Header"/>
          <w:jc w:val="center"/>
        </w:pPr>
        <w:r>
          <w:fldChar w:fldCharType="begin"/>
        </w:r>
        <w:r>
          <w:instrText xml:space="preserve"> PAGE   \* MERGEFORMAT </w:instrText>
        </w:r>
        <w:r>
          <w:fldChar w:fldCharType="separate"/>
        </w:r>
        <w:r w:rsidR="006729BE">
          <w:rPr>
            <w:noProof/>
          </w:rPr>
          <w:t>4</w:t>
        </w:r>
        <w:r>
          <w:rPr>
            <w:noProof/>
          </w:rPr>
          <w:fldChar w:fldCharType="end"/>
        </w:r>
      </w:p>
    </w:sdtContent>
  </w:sdt>
  <w:p w14:paraId="37988AC0" w14:textId="77777777" w:rsidR="000966DC" w:rsidRDefault="000966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AE9"/>
    <w:multiLevelType w:val="hybridMultilevel"/>
    <w:tmpl w:val="9402B352"/>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C83215C"/>
    <w:multiLevelType w:val="hybridMultilevel"/>
    <w:tmpl w:val="2F482198"/>
    <w:lvl w:ilvl="0" w:tplc="C78024E0">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2F5D3E"/>
    <w:multiLevelType w:val="hybridMultilevel"/>
    <w:tmpl w:val="A544B0FE"/>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3712FA"/>
    <w:multiLevelType w:val="hybridMultilevel"/>
    <w:tmpl w:val="20F853B4"/>
    <w:lvl w:ilvl="0" w:tplc="903A69E6">
      <w:start w:val="1"/>
      <w:numFmt w:val="lowerLetter"/>
      <w:lvlText w:val="(%1)"/>
      <w:lvlJc w:val="left"/>
      <w:pPr>
        <w:ind w:left="2406" w:hanging="360"/>
      </w:pPr>
      <w:rPr>
        <w:rFonts w:hint="default"/>
      </w:rPr>
    </w:lvl>
    <w:lvl w:ilvl="1" w:tplc="0C090019" w:tentative="1">
      <w:start w:val="1"/>
      <w:numFmt w:val="lowerLetter"/>
      <w:lvlText w:val="%2."/>
      <w:lvlJc w:val="left"/>
      <w:pPr>
        <w:ind w:left="3126" w:hanging="360"/>
      </w:pPr>
    </w:lvl>
    <w:lvl w:ilvl="2" w:tplc="0C09001B" w:tentative="1">
      <w:start w:val="1"/>
      <w:numFmt w:val="lowerRoman"/>
      <w:lvlText w:val="%3."/>
      <w:lvlJc w:val="right"/>
      <w:pPr>
        <w:ind w:left="3846" w:hanging="180"/>
      </w:pPr>
    </w:lvl>
    <w:lvl w:ilvl="3" w:tplc="0C09000F" w:tentative="1">
      <w:start w:val="1"/>
      <w:numFmt w:val="decimal"/>
      <w:lvlText w:val="%4."/>
      <w:lvlJc w:val="left"/>
      <w:pPr>
        <w:ind w:left="4566" w:hanging="360"/>
      </w:pPr>
    </w:lvl>
    <w:lvl w:ilvl="4" w:tplc="0C090019" w:tentative="1">
      <w:start w:val="1"/>
      <w:numFmt w:val="lowerLetter"/>
      <w:lvlText w:val="%5."/>
      <w:lvlJc w:val="left"/>
      <w:pPr>
        <w:ind w:left="5286" w:hanging="360"/>
      </w:pPr>
    </w:lvl>
    <w:lvl w:ilvl="5" w:tplc="0C09001B" w:tentative="1">
      <w:start w:val="1"/>
      <w:numFmt w:val="lowerRoman"/>
      <w:lvlText w:val="%6."/>
      <w:lvlJc w:val="right"/>
      <w:pPr>
        <w:ind w:left="6006" w:hanging="180"/>
      </w:pPr>
    </w:lvl>
    <w:lvl w:ilvl="6" w:tplc="0C09000F" w:tentative="1">
      <w:start w:val="1"/>
      <w:numFmt w:val="decimal"/>
      <w:lvlText w:val="%7."/>
      <w:lvlJc w:val="left"/>
      <w:pPr>
        <w:ind w:left="6726" w:hanging="360"/>
      </w:pPr>
    </w:lvl>
    <w:lvl w:ilvl="7" w:tplc="0C090019" w:tentative="1">
      <w:start w:val="1"/>
      <w:numFmt w:val="lowerLetter"/>
      <w:lvlText w:val="%8."/>
      <w:lvlJc w:val="left"/>
      <w:pPr>
        <w:ind w:left="7446" w:hanging="360"/>
      </w:pPr>
    </w:lvl>
    <w:lvl w:ilvl="8" w:tplc="0C09001B" w:tentative="1">
      <w:start w:val="1"/>
      <w:numFmt w:val="lowerRoman"/>
      <w:lvlText w:val="%9."/>
      <w:lvlJc w:val="right"/>
      <w:pPr>
        <w:ind w:left="8166" w:hanging="180"/>
      </w:pPr>
    </w:lvl>
  </w:abstractNum>
  <w:abstractNum w:abstractNumId="5">
    <w:nsid w:val="30AC763D"/>
    <w:multiLevelType w:val="hybridMultilevel"/>
    <w:tmpl w:val="B0EA8D0C"/>
    <w:lvl w:ilvl="0" w:tplc="26F607E4">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3783510"/>
    <w:multiLevelType w:val="hybridMultilevel"/>
    <w:tmpl w:val="B64E51C6"/>
    <w:lvl w:ilvl="0" w:tplc="26F607E4">
      <w:start w:val="1"/>
      <w:numFmt w:val="lowerLetter"/>
      <w:lvlText w:val="(%1)"/>
      <w:lvlJc w:val="left"/>
      <w:pPr>
        <w:ind w:left="144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D24C2C"/>
    <w:multiLevelType w:val="hybridMultilevel"/>
    <w:tmpl w:val="16F65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06134F7"/>
    <w:multiLevelType w:val="hybridMultilevel"/>
    <w:tmpl w:val="4EC8C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52927E3"/>
    <w:multiLevelType w:val="hybridMultilevel"/>
    <w:tmpl w:val="CC1AAA9A"/>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659F5DEE"/>
    <w:multiLevelType w:val="hybridMultilevel"/>
    <w:tmpl w:val="6E5A0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9A47D69"/>
    <w:multiLevelType w:val="hybridMultilevel"/>
    <w:tmpl w:val="72943942"/>
    <w:lvl w:ilvl="0" w:tplc="C48485D2">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D330AFF"/>
    <w:multiLevelType w:val="hybridMultilevel"/>
    <w:tmpl w:val="0A0CB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F8D1D91"/>
    <w:multiLevelType w:val="hybridMultilevel"/>
    <w:tmpl w:val="CFAEF88C"/>
    <w:lvl w:ilvl="0" w:tplc="BA9A5AEC">
      <w:start w:val="1"/>
      <w:numFmt w:val="decimal"/>
      <w:lvlText w:val="%1."/>
      <w:lvlJc w:val="left"/>
      <w:pPr>
        <w:ind w:left="360" w:hanging="360"/>
      </w:pPr>
      <w:rPr>
        <w:b w:val="0"/>
      </w:rPr>
    </w:lvl>
    <w:lvl w:ilvl="1" w:tplc="26F607E4">
      <w:start w:val="1"/>
      <w:numFmt w:val="lowerLetter"/>
      <w:lvlText w:val="(%2)"/>
      <w:lvlJc w:val="left"/>
      <w:pPr>
        <w:ind w:left="1080" w:hanging="360"/>
      </w:pPr>
      <w:rPr>
        <w:rFonts w:hint="default"/>
      </w:rPr>
    </w:lvl>
    <w:lvl w:ilvl="2" w:tplc="CFA2019C">
      <w:start w:val="1"/>
      <w:numFmt w:val="lowerRoman"/>
      <w:lvlText w:val="(%3)"/>
      <w:lvlJc w:val="right"/>
      <w:pPr>
        <w:ind w:left="1800" w:hanging="18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14"/>
  </w:num>
  <w:num w:numId="3">
    <w:abstractNumId w:val="7"/>
  </w:num>
  <w:num w:numId="4">
    <w:abstractNumId w:val="11"/>
  </w:num>
  <w:num w:numId="5">
    <w:abstractNumId w:val="9"/>
  </w:num>
  <w:num w:numId="6">
    <w:abstractNumId w:val="12"/>
  </w:num>
  <w:num w:numId="7">
    <w:abstractNumId w:val="13"/>
  </w:num>
  <w:num w:numId="8">
    <w:abstractNumId w:val="0"/>
  </w:num>
  <w:num w:numId="9">
    <w:abstractNumId w:val="8"/>
  </w:num>
  <w:num w:numId="10">
    <w:abstractNumId w:val="2"/>
  </w:num>
  <w:num w:numId="11">
    <w:abstractNumId w:val="15"/>
  </w:num>
  <w:num w:numId="12">
    <w:abstractNumId w:val="10"/>
  </w:num>
  <w:num w:numId="13">
    <w:abstractNumId w:val="1"/>
  </w:num>
  <w:num w:numId="14">
    <w:abstractNumId w:val="5"/>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27"/>
    <w:rsid w:val="00043153"/>
    <w:rsid w:val="000966DC"/>
    <w:rsid w:val="000C5B20"/>
    <w:rsid w:val="000D335C"/>
    <w:rsid w:val="000D5EAB"/>
    <w:rsid w:val="000E01C2"/>
    <w:rsid w:val="000E67E1"/>
    <w:rsid w:val="00100BB3"/>
    <w:rsid w:val="00110AA6"/>
    <w:rsid w:val="001139FE"/>
    <w:rsid w:val="0013759A"/>
    <w:rsid w:val="00174A4D"/>
    <w:rsid w:val="001A1A03"/>
    <w:rsid w:val="001C3E48"/>
    <w:rsid w:val="001C664D"/>
    <w:rsid w:val="001D252F"/>
    <w:rsid w:val="001D35F8"/>
    <w:rsid w:val="001E6161"/>
    <w:rsid w:val="00211AE6"/>
    <w:rsid w:val="002138E0"/>
    <w:rsid w:val="002275D2"/>
    <w:rsid w:val="00235AE6"/>
    <w:rsid w:val="0024574B"/>
    <w:rsid w:val="00262491"/>
    <w:rsid w:val="00276ADF"/>
    <w:rsid w:val="0028716E"/>
    <w:rsid w:val="002A0AAF"/>
    <w:rsid w:val="002A1709"/>
    <w:rsid w:val="002B6A86"/>
    <w:rsid w:val="0030524E"/>
    <w:rsid w:val="0031485D"/>
    <w:rsid w:val="00317C06"/>
    <w:rsid w:val="00322479"/>
    <w:rsid w:val="00331BD9"/>
    <w:rsid w:val="0034183E"/>
    <w:rsid w:val="00372B1D"/>
    <w:rsid w:val="003B67D1"/>
    <w:rsid w:val="003C2C4D"/>
    <w:rsid w:val="003C6734"/>
    <w:rsid w:val="003E1F71"/>
    <w:rsid w:val="003F27A6"/>
    <w:rsid w:val="00402C40"/>
    <w:rsid w:val="00406282"/>
    <w:rsid w:val="00453A5A"/>
    <w:rsid w:val="00463BA2"/>
    <w:rsid w:val="00464601"/>
    <w:rsid w:val="00474F43"/>
    <w:rsid w:val="00477403"/>
    <w:rsid w:val="00491559"/>
    <w:rsid w:val="004A1BC9"/>
    <w:rsid w:val="004A3425"/>
    <w:rsid w:val="004B6CCD"/>
    <w:rsid w:val="004C0EE6"/>
    <w:rsid w:val="004C67C6"/>
    <w:rsid w:val="004C7789"/>
    <w:rsid w:val="004E3FBD"/>
    <w:rsid w:val="005077B4"/>
    <w:rsid w:val="00514B1D"/>
    <w:rsid w:val="005312B8"/>
    <w:rsid w:val="00573BB9"/>
    <w:rsid w:val="00593DDC"/>
    <w:rsid w:val="005A52B5"/>
    <w:rsid w:val="005C2E9D"/>
    <w:rsid w:val="005C611E"/>
    <w:rsid w:val="005E5D95"/>
    <w:rsid w:val="005F766B"/>
    <w:rsid w:val="00616190"/>
    <w:rsid w:val="00617D0C"/>
    <w:rsid w:val="0062512C"/>
    <w:rsid w:val="00632665"/>
    <w:rsid w:val="006327C1"/>
    <w:rsid w:val="0065205F"/>
    <w:rsid w:val="0066690C"/>
    <w:rsid w:val="006729BE"/>
    <w:rsid w:val="00675B28"/>
    <w:rsid w:val="006918B9"/>
    <w:rsid w:val="006C7B52"/>
    <w:rsid w:val="006E2F45"/>
    <w:rsid w:val="006E7831"/>
    <w:rsid w:val="006F3DF1"/>
    <w:rsid w:val="006F57FD"/>
    <w:rsid w:val="00703A56"/>
    <w:rsid w:val="00727D6A"/>
    <w:rsid w:val="0074058A"/>
    <w:rsid w:val="007406C1"/>
    <w:rsid w:val="00757ED5"/>
    <w:rsid w:val="00770BBA"/>
    <w:rsid w:val="00777F8B"/>
    <w:rsid w:val="0079230D"/>
    <w:rsid w:val="007A508E"/>
    <w:rsid w:val="007B1223"/>
    <w:rsid w:val="007F06C5"/>
    <w:rsid w:val="00803242"/>
    <w:rsid w:val="008120A3"/>
    <w:rsid w:val="00823BE3"/>
    <w:rsid w:val="00830922"/>
    <w:rsid w:val="00837ABB"/>
    <w:rsid w:val="00851186"/>
    <w:rsid w:val="00853035"/>
    <w:rsid w:val="00863FCE"/>
    <w:rsid w:val="0087661F"/>
    <w:rsid w:val="00897DB3"/>
    <w:rsid w:val="008A4A4C"/>
    <w:rsid w:val="008B28ED"/>
    <w:rsid w:val="008C7F87"/>
    <w:rsid w:val="008F529D"/>
    <w:rsid w:val="00904914"/>
    <w:rsid w:val="00905E15"/>
    <w:rsid w:val="009134A7"/>
    <w:rsid w:val="0091740C"/>
    <w:rsid w:val="00941227"/>
    <w:rsid w:val="00951707"/>
    <w:rsid w:val="00951CD6"/>
    <w:rsid w:val="009534CC"/>
    <w:rsid w:val="009961F6"/>
    <w:rsid w:val="00997819"/>
    <w:rsid w:val="009A69A6"/>
    <w:rsid w:val="009C75E1"/>
    <w:rsid w:val="00A4617F"/>
    <w:rsid w:val="00A462A6"/>
    <w:rsid w:val="00A4766C"/>
    <w:rsid w:val="00A505FB"/>
    <w:rsid w:val="00A6348C"/>
    <w:rsid w:val="00A6367C"/>
    <w:rsid w:val="00AF6871"/>
    <w:rsid w:val="00B13E12"/>
    <w:rsid w:val="00B22B0C"/>
    <w:rsid w:val="00B32BD1"/>
    <w:rsid w:val="00B33366"/>
    <w:rsid w:val="00B50B3F"/>
    <w:rsid w:val="00B6715E"/>
    <w:rsid w:val="00B6730C"/>
    <w:rsid w:val="00B71679"/>
    <w:rsid w:val="00B737CA"/>
    <w:rsid w:val="00B7773A"/>
    <w:rsid w:val="00B849F0"/>
    <w:rsid w:val="00B9019F"/>
    <w:rsid w:val="00BB561E"/>
    <w:rsid w:val="00C0201D"/>
    <w:rsid w:val="00C32D51"/>
    <w:rsid w:val="00C46D02"/>
    <w:rsid w:val="00C507DB"/>
    <w:rsid w:val="00C74CA1"/>
    <w:rsid w:val="00C802F5"/>
    <w:rsid w:val="00C8141B"/>
    <w:rsid w:val="00C82D37"/>
    <w:rsid w:val="00CC57DD"/>
    <w:rsid w:val="00CC60A7"/>
    <w:rsid w:val="00CF44D8"/>
    <w:rsid w:val="00CF74EE"/>
    <w:rsid w:val="00D2169F"/>
    <w:rsid w:val="00D46A03"/>
    <w:rsid w:val="00D729DE"/>
    <w:rsid w:val="00D77B4C"/>
    <w:rsid w:val="00D920E5"/>
    <w:rsid w:val="00D9303B"/>
    <w:rsid w:val="00DB12D4"/>
    <w:rsid w:val="00E11015"/>
    <w:rsid w:val="00E70159"/>
    <w:rsid w:val="00E76E8E"/>
    <w:rsid w:val="00E772BC"/>
    <w:rsid w:val="00EA14B3"/>
    <w:rsid w:val="00EA4299"/>
    <w:rsid w:val="00EA5686"/>
    <w:rsid w:val="00EB019D"/>
    <w:rsid w:val="00EB7EC2"/>
    <w:rsid w:val="00EE14BA"/>
    <w:rsid w:val="00F029E2"/>
    <w:rsid w:val="00F03D17"/>
    <w:rsid w:val="00F25F1C"/>
    <w:rsid w:val="00F43207"/>
    <w:rsid w:val="00F44C01"/>
    <w:rsid w:val="00F870B9"/>
    <w:rsid w:val="00F90D57"/>
    <w:rsid w:val="00F93985"/>
    <w:rsid w:val="00FA545A"/>
    <w:rsid w:val="00FB755E"/>
    <w:rsid w:val="00FF59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8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D51"/>
    <w:rPr>
      <w:sz w:val="24"/>
      <w:szCs w:val="24"/>
      <w:lang w:eastAsia="en-US"/>
    </w:rPr>
  </w:style>
  <w:style w:type="paragraph" w:styleId="Heading1">
    <w:name w:val="heading 1"/>
    <w:aliases w:val="h1,header 1"/>
    <w:next w:val="CommentText"/>
    <w:qFormat/>
    <w:rsid w:val="00C32D51"/>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rsid w:val="00C32D51"/>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rsid w:val="00C32D51"/>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C32D51"/>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rsid w:val="00C32D51"/>
    <w:pPr>
      <w:overflowPunct w:val="0"/>
      <w:autoSpaceDE w:val="0"/>
      <w:autoSpaceDN w:val="0"/>
      <w:adjustRightInd w:val="0"/>
      <w:ind w:left="567" w:hanging="567"/>
      <w:jc w:val="center"/>
      <w:textAlignment w:val="baseline"/>
    </w:pPr>
    <w:rPr>
      <w:b/>
      <w:bCs/>
      <w:sz w:val="28"/>
      <w:szCs w:val="20"/>
    </w:rPr>
  </w:style>
  <w:style w:type="paragraph" w:customStyle="1" w:styleId="BodyTextcentreditals">
    <w:name w:val="Body Text centred itals"/>
    <w:basedOn w:val="BodyText"/>
    <w:rsid w:val="00C32D51"/>
    <w:pPr>
      <w:jc w:val="center"/>
    </w:pPr>
    <w:rPr>
      <w:i/>
      <w:iCs/>
    </w:rPr>
  </w:style>
  <w:style w:type="paragraph" w:customStyle="1" w:styleId="BodyTextcentred">
    <w:name w:val="Body Text centred"/>
    <w:basedOn w:val="BodyText"/>
    <w:rsid w:val="00C32D51"/>
    <w:pPr>
      <w:jc w:val="center"/>
    </w:pPr>
  </w:style>
  <w:style w:type="paragraph" w:customStyle="1" w:styleId="Subsubpara">
    <w:name w:val="Sub sub para"/>
    <w:basedOn w:val="Normal"/>
    <w:rsid w:val="00C32D51"/>
    <w:pPr>
      <w:numPr>
        <w:numId w:val="3"/>
      </w:numPr>
      <w:tabs>
        <w:tab w:val="left" w:pos="540"/>
      </w:tabs>
      <w:spacing w:before="100" w:line="300" w:lineRule="exact"/>
    </w:pPr>
  </w:style>
  <w:style w:type="paragraph" w:customStyle="1" w:styleId="Subpara">
    <w:name w:val="Sub para"/>
    <w:basedOn w:val="BodyText"/>
    <w:rsid w:val="00C32D51"/>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sid w:val="00C32D51"/>
    <w:rPr>
      <w:sz w:val="20"/>
      <w:szCs w:val="20"/>
    </w:rPr>
  </w:style>
  <w:style w:type="paragraph" w:styleId="FootnoteText">
    <w:name w:val="footnote text"/>
    <w:basedOn w:val="Normal"/>
    <w:link w:val="FootnoteTextChar"/>
    <w:uiPriority w:val="99"/>
    <w:semiHidden/>
    <w:unhideWhenUsed/>
    <w:rsid w:val="00EA14B3"/>
    <w:rPr>
      <w:sz w:val="20"/>
      <w:szCs w:val="20"/>
    </w:rPr>
  </w:style>
  <w:style w:type="character" w:customStyle="1" w:styleId="FootnoteTextChar">
    <w:name w:val="Footnote Text Char"/>
    <w:basedOn w:val="DefaultParagraphFont"/>
    <w:link w:val="FootnoteText"/>
    <w:uiPriority w:val="99"/>
    <w:semiHidden/>
    <w:rsid w:val="00EA14B3"/>
    <w:rPr>
      <w:lang w:eastAsia="en-US"/>
    </w:rPr>
  </w:style>
  <w:style w:type="character" w:styleId="FootnoteReference">
    <w:name w:val="footnote reference"/>
    <w:basedOn w:val="DefaultParagraphFont"/>
    <w:uiPriority w:val="99"/>
    <w:semiHidden/>
    <w:unhideWhenUsed/>
    <w:rsid w:val="00EA14B3"/>
    <w:rPr>
      <w:vertAlign w:val="superscript"/>
    </w:rPr>
  </w:style>
  <w:style w:type="paragraph" w:styleId="BalloonText">
    <w:name w:val="Balloon Text"/>
    <w:basedOn w:val="Normal"/>
    <w:link w:val="BalloonTextChar"/>
    <w:uiPriority w:val="99"/>
    <w:semiHidden/>
    <w:unhideWhenUsed/>
    <w:rsid w:val="00997819"/>
    <w:rPr>
      <w:rFonts w:ascii="Tahoma" w:hAnsi="Tahoma" w:cs="Tahoma"/>
      <w:sz w:val="16"/>
      <w:szCs w:val="16"/>
    </w:rPr>
  </w:style>
  <w:style w:type="character" w:customStyle="1" w:styleId="BalloonTextChar">
    <w:name w:val="Balloon Text Char"/>
    <w:basedOn w:val="DefaultParagraphFont"/>
    <w:link w:val="BalloonText"/>
    <w:uiPriority w:val="99"/>
    <w:semiHidden/>
    <w:rsid w:val="00997819"/>
    <w:rPr>
      <w:rFonts w:ascii="Tahoma" w:hAnsi="Tahoma" w:cs="Tahoma"/>
      <w:sz w:val="16"/>
      <w:szCs w:val="16"/>
      <w:lang w:eastAsia="en-US"/>
    </w:rPr>
  </w:style>
  <w:style w:type="paragraph" w:styleId="Header">
    <w:name w:val="header"/>
    <w:basedOn w:val="Normal"/>
    <w:link w:val="HeaderChar"/>
    <w:uiPriority w:val="99"/>
    <w:unhideWhenUsed/>
    <w:rsid w:val="006E2F45"/>
    <w:pPr>
      <w:tabs>
        <w:tab w:val="center" w:pos="4513"/>
        <w:tab w:val="right" w:pos="9026"/>
      </w:tabs>
    </w:pPr>
  </w:style>
  <w:style w:type="character" w:customStyle="1" w:styleId="HeaderChar">
    <w:name w:val="Header Char"/>
    <w:basedOn w:val="DefaultParagraphFont"/>
    <w:link w:val="Header"/>
    <w:uiPriority w:val="99"/>
    <w:rsid w:val="006E2F45"/>
    <w:rPr>
      <w:sz w:val="24"/>
      <w:szCs w:val="24"/>
      <w:lang w:eastAsia="en-US"/>
    </w:rPr>
  </w:style>
  <w:style w:type="paragraph" w:styleId="Footer">
    <w:name w:val="footer"/>
    <w:basedOn w:val="Normal"/>
    <w:link w:val="FooterChar"/>
    <w:uiPriority w:val="99"/>
    <w:semiHidden/>
    <w:unhideWhenUsed/>
    <w:rsid w:val="006E2F45"/>
    <w:pPr>
      <w:tabs>
        <w:tab w:val="center" w:pos="4513"/>
        <w:tab w:val="right" w:pos="9026"/>
      </w:tabs>
    </w:pPr>
  </w:style>
  <w:style w:type="character" w:customStyle="1" w:styleId="FooterChar">
    <w:name w:val="Footer Char"/>
    <w:basedOn w:val="DefaultParagraphFont"/>
    <w:link w:val="Footer"/>
    <w:uiPriority w:val="99"/>
    <w:semiHidden/>
    <w:rsid w:val="006E2F45"/>
    <w:rPr>
      <w:sz w:val="24"/>
      <w:szCs w:val="24"/>
      <w:lang w:eastAsia="en-US"/>
    </w:rPr>
  </w:style>
  <w:style w:type="paragraph" w:styleId="ListParagraph">
    <w:name w:val="List Paragraph"/>
    <w:basedOn w:val="Normal"/>
    <w:uiPriority w:val="34"/>
    <w:qFormat/>
    <w:rsid w:val="004A3425"/>
    <w:pPr>
      <w:ind w:left="720"/>
      <w:contextualSpacing/>
    </w:pPr>
  </w:style>
  <w:style w:type="character" w:styleId="CommentReference">
    <w:name w:val="annotation reference"/>
    <w:basedOn w:val="DefaultParagraphFont"/>
    <w:uiPriority w:val="99"/>
    <w:semiHidden/>
    <w:unhideWhenUsed/>
    <w:rsid w:val="00830922"/>
    <w:rPr>
      <w:sz w:val="16"/>
      <w:szCs w:val="16"/>
    </w:rPr>
  </w:style>
  <w:style w:type="paragraph" w:styleId="CommentSubject">
    <w:name w:val="annotation subject"/>
    <w:basedOn w:val="CommentText"/>
    <w:next w:val="CommentText"/>
    <w:link w:val="CommentSubjectChar"/>
    <w:uiPriority w:val="99"/>
    <w:semiHidden/>
    <w:unhideWhenUsed/>
    <w:rsid w:val="00830922"/>
    <w:rPr>
      <w:b/>
      <w:bCs/>
    </w:rPr>
  </w:style>
  <w:style w:type="character" w:customStyle="1" w:styleId="CommentTextChar">
    <w:name w:val="Comment Text Char"/>
    <w:basedOn w:val="DefaultParagraphFont"/>
    <w:link w:val="CommentText"/>
    <w:semiHidden/>
    <w:rsid w:val="00830922"/>
    <w:rPr>
      <w:lang w:eastAsia="en-US"/>
    </w:rPr>
  </w:style>
  <w:style w:type="character" w:customStyle="1" w:styleId="CommentSubjectChar">
    <w:name w:val="Comment Subject Char"/>
    <w:basedOn w:val="CommentTextChar"/>
    <w:link w:val="CommentSubject"/>
    <w:rsid w:val="00830922"/>
    <w:rPr>
      <w:lang w:eastAsia="en-US"/>
    </w:rPr>
  </w:style>
  <w:style w:type="paragraph" w:customStyle="1" w:styleId="LI-BodyTextParaa">
    <w:name w:val="LI - Body Text Para (a)"/>
    <w:basedOn w:val="Normal"/>
    <w:link w:val="LI-BodyTextParaaChar"/>
    <w:rsid w:val="00D77B4C"/>
    <w:pPr>
      <w:spacing w:before="240"/>
      <w:ind w:left="1701" w:hanging="567"/>
    </w:pPr>
    <w:rPr>
      <w:lang w:eastAsia="en-AU"/>
    </w:rPr>
  </w:style>
  <w:style w:type="character" w:customStyle="1" w:styleId="LI-BodyTextParaaChar">
    <w:name w:val="LI - Body Text Para (a) Char"/>
    <w:link w:val="LI-BodyTextParaa"/>
    <w:rsid w:val="00D77B4C"/>
    <w:rPr>
      <w:sz w:val="24"/>
      <w:szCs w:val="24"/>
    </w:rPr>
  </w:style>
  <w:style w:type="paragraph" w:customStyle="1" w:styleId="LI-BodyTextNumbered">
    <w:name w:val="LI - Body Text Numbered"/>
    <w:basedOn w:val="Normal"/>
    <w:link w:val="LI-BodyTextNumberedChar"/>
    <w:qFormat/>
    <w:rsid w:val="00D77B4C"/>
    <w:pPr>
      <w:spacing w:before="240"/>
      <w:ind w:left="1134" w:hanging="567"/>
    </w:pPr>
    <w:rPr>
      <w:lang w:eastAsia="en-AU"/>
    </w:rPr>
  </w:style>
  <w:style w:type="character" w:customStyle="1" w:styleId="LI-BodyTextNumberedChar">
    <w:name w:val="LI - Body Text Numbered Char"/>
    <w:link w:val="LI-BodyTextNumbered"/>
    <w:rsid w:val="00D77B4C"/>
    <w:rPr>
      <w:sz w:val="24"/>
      <w:szCs w:val="24"/>
    </w:rPr>
  </w:style>
  <w:style w:type="character" w:customStyle="1" w:styleId="BodyTextChar">
    <w:name w:val="Body Text Char"/>
    <w:basedOn w:val="DefaultParagraphFont"/>
    <w:link w:val="BodyText"/>
    <w:rsid w:val="00777F8B"/>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D51"/>
    <w:rPr>
      <w:sz w:val="24"/>
      <w:szCs w:val="24"/>
      <w:lang w:eastAsia="en-US"/>
    </w:rPr>
  </w:style>
  <w:style w:type="paragraph" w:styleId="Heading1">
    <w:name w:val="heading 1"/>
    <w:aliases w:val="h1,header 1"/>
    <w:next w:val="CommentText"/>
    <w:qFormat/>
    <w:rsid w:val="00C32D51"/>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rsid w:val="00C32D51"/>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rsid w:val="00C32D51"/>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C32D51"/>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rsid w:val="00C32D51"/>
    <w:pPr>
      <w:overflowPunct w:val="0"/>
      <w:autoSpaceDE w:val="0"/>
      <w:autoSpaceDN w:val="0"/>
      <w:adjustRightInd w:val="0"/>
      <w:ind w:left="567" w:hanging="567"/>
      <w:jc w:val="center"/>
      <w:textAlignment w:val="baseline"/>
    </w:pPr>
    <w:rPr>
      <w:b/>
      <w:bCs/>
      <w:sz w:val="28"/>
      <w:szCs w:val="20"/>
    </w:rPr>
  </w:style>
  <w:style w:type="paragraph" w:customStyle="1" w:styleId="BodyTextcentreditals">
    <w:name w:val="Body Text centred itals"/>
    <w:basedOn w:val="BodyText"/>
    <w:rsid w:val="00C32D51"/>
    <w:pPr>
      <w:jc w:val="center"/>
    </w:pPr>
    <w:rPr>
      <w:i/>
      <w:iCs/>
    </w:rPr>
  </w:style>
  <w:style w:type="paragraph" w:customStyle="1" w:styleId="BodyTextcentred">
    <w:name w:val="Body Text centred"/>
    <w:basedOn w:val="BodyText"/>
    <w:rsid w:val="00C32D51"/>
    <w:pPr>
      <w:jc w:val="center"/>
    </w:pPr>
  </w:style>
  <w:style w:type="paragraph" w:customStyle="1" w:styleId="Subsubpara">
    <w:name w:val="Sub sub para"/>
    <w:basedOn w:val="Normal"/>
    <w:rsid w:val="00C32D51"/>
    <w:pPr>
      <w:numPr>
        <w:numId w:val="3"/>
      </w:numPr>
      <w:tabs>
        <w:tab w:val="left" w:pos="540"/>
      </w:tabs>
      <w:spacing w:before="100" w:line="300" w:lineRule="exact"/>
    </w:pPr>
  </w:style>
  <w:style w:type="paragraph" w:customStyle="1" w:styleId="Subpara">
    <w:name w:val="Sub para"/>
    <w:basedOn w:val="BodyText"/>
    <w:rsid w:val="00C32D51"/>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sid w:val="00C32D51"/>
    <w:rPr>
      <w:sz w:val="20"/>
      <w:szCs w:val="20"/>
    </w:rPr>
  </w:style>
  <w:style w:type="paragraph" w:styleId="FootnoteText">
    <w:name w:val="footnote text"/>
    <w:basedOn w:val="Normal"/>
    <w:link w:val="FootnoteTextChar"/>
    <w:uiPriority w:val="99"/>
    <w:semiHidden/>
    <w:unhideWhenUsed/>
    <w:rsid w:val="00EA14B3"/>
    <w:rPr>
      <w:sz w:val="20"/>
      <w:szCs w:val="20"/>
    </w:rPr>
  </w:style>
  <w:style w:type="character" w:customStyle="1" w:styleId="FootnoteTextChar">
    <w:name w:val="Footnote Text Char"/>
    <w:basedOn w:val="DefaultParagraphFont"/>
    <w:link w:val="FootnoteText"/>
    <w:uiPriority w:val="99"/>
    <w:semiHidden/>
    <w:rsid w:val="00EA14B3"/>
    <w:rPr>
      <w:lang w:eastAsia="en-US"/>
    </w:rPr>
  </w:style>
  <w:style w:type="character" w:styleId="FootnoteReference">
    <w:name w:val="footnote reference"/>
    <w:basedOn w:val="DefaultParagraphFont"/>
    <w:uiPriority w:val="99"/>
    <w:semiHidden/>
    <w:unhideWhenUsed/>
    <w:rsid w:val="00EA14B3"/>
    <w:rPr>
      <w:vertAlign w:val="superscript"/>
    </w:rPr>
  </w:style>
  <w:style w:type="paragraph" w:styleId="BalloonText">
    <w:name w:val="Balloon Text"/>
    <w:basedOn w:val="Normal"/>
    <w:link w:val="BalloonTextChar"/>
    <w:uiPriority w:val="99"/>
    <w:semiHidden/>
    <w:unhideWhenUsed/>
    <w:rsid w:val="00997819"/>
    <w:rPr>
      <w:rFonts w:ascii="Tahoma" w:hAnsi="Tahoma" w:cs="Tahoma"/>
      <w:sz w:val="16"/>
      <w:szCs w:val="16"/>
    </w:rPr>
  </w:style>
  <w:style w:type="character" w:customStyle="1" w:styleId="BalloonTextChar">
    <w:name w:val="Balloon Text Char"/>
    <w:basedOn w:val="DefaultParagraphFont"/>
    <w:link w:val="BalloonText"/>
    <w:uiPriority w:val="99"/>
    <w:semiHidden/>
    <w:rsid w:val="00997819"/>
    <w:rPr>
      <w:rFonts w:ascii="Tahoma" w:hAnsi="Tahoma" w:cs="Tahoma"/>
      <w:sz w:val="16"/>
      <w:szCs w:val="16"/>
      <w:lang w:eastAsia="en-US"/>
    </w:rPr>
  </w:style>
  <w:style w:type="paragraph" w:styleId="Header">
    <w:name w:val="header"/>
    <w:basedOn w:val="Normal"/>
    <w:link w:val="HeaderChar"/>
    <w:uiPriority w:val="99"/>
    <w:unhideWhenUsed/>
    <w:rsid w:val="006E2F45"/>
    <w:pPr>
      <w:tabs>
        <w:tab w:val="center" w:pos="4513"/>
        <w:tab w:val="right" w:pos="9026"/>
      </w:tabs>
    </w:pPr>
  </w:style>
  <w:style w:type="character" w:customStyle="1" w:styleId="HeaderChar">
    <w:name w:val="Header Char"/>
    <w:basedOn w:val="DefaultParagraphFont"/>
    <w:link w:val="Header"/>
    <w:uiPriority w:val="99"/>
    <w:rsid w:val="006E2F45"/>
    <w:rPr>
      <w:sz w:val="24"/>
      <w:szCs w:val="24"/>
      <w:lang w:eastAsia="en-US"/>
    </w:rPr>
  </w:style>
  <w:style w:type="paragraph" w:styleId="Footer">
    <w:name w:val="footer"/>
    <w:basedOn w:val="Normal"/>
    <w:link w:val="FooterChar"/>
    <w:uiPriority w:val="99"/>
    <w:semiHidden/>
    <w:unhideWhenUsed/>
    <w:rsid w:val="006E2F45"/>
    <w:pPr>
      <w:tabs>
        <w:tab w:val="center" w:pos="4513"/>
        <w:tab w:val="right" w:pos="9026"/>
      </w:tabs>
    </w:pPr>
  </w:style>
  <w:style w:type="character" w:customStyle="1" w:styleId="FooterChar">
    <w:name w:val="Footer Char"/>
    <w:basedOn w:val="DefaultParagraphFont"/>
    <w:link w:val="Footer"/>
    <w:uiPriority w:val="99"/>
    <w:semiHidden/>
    <w:rsid w:val="006E2F45"/>
    <w:rPr>
      <w:sz w:val="24"/>
      <w:szCs w:val="24"/>
      <w:lang w:eastAsia="en-US"/>
    </w:rPr>
  </w:style>
  <w:style w:type="paragraph" w:styleId="ListParagraph">
    <w:name w:val="List Paragraph"/>
    <w:basedOn w:val="Normal"/>
    <w:uiPriority w:val="34"/>
    <w:qFormat/>
    <w:rsid w:val="004A3425"/>
    <w:pPr>
      <w:ind w:left="720"/>
      <w:contextualSpacing/>
    </w:pPr>
  </w:style>
  <w:style w:type="character" w:styleId="CommentReference">
    <w:name w:val="annotation reference"/>
    <w:basedOn w:val="DefaultParagraphFont"/>
    <w:uiPriority w:val="99"/>
    <w:semiHidden/>
    <w:unhideWhenUsed/>
    <w:rsid w:val="00830922"/>
    <w:rPr>
      <w:sz w:val="16"/>
      <w:szCs w:val="16"/>
    </w:rPr>
  </w:style>
  <w:style w:type="paragraph" w:styleId="CommentSubject">
    <w:name w:val="annotation subject"/>
    <w:basedOn w:val="CommentText"/>
    <w:next w:val="CommentText"/>
    <w:link w:val="CommentSubjectChar"/>
    <w:uiPriority w:val="99"/>
    <w:semiHidden/>
    <w:unhideWhenUsed/>
    <w:rsid w:val="00830922"/>
    <w:rPr>
      <w:b/>
      <w:bCs/>
    </w:rPr>
  </w:style>
  <w:style w:type="character" w:customStyle="1" w:styleId="CommentTextChar">
    <w:name w:val="Comment Text Char"/>
    <w:basedOn w:val="DefaultParagraphFont"/>
    <w:link w:val="CommentText"/>
    <w:semiHidden/>
    <w:rsid w:val="00830922"/>
    <w:rPr>
      <w:lang w:eastAsia="en-US"/>
    </w:rPr>
  </w:style>
  <w:style w:type="character" w:customStyle="1" w:styleId="CommentSubjectChar">
    <w:name w:val="Comment Subject Char"/>
    <w:basedOn w:val="CommentTextChar"/>
    <w:link w:val="CommentSubject"/>
    <w:rsid w:val="00830922"/>
    <w:rPr>
      <w:lang w:eastAsia="en-US"/>
    </w:rPr>
  </w:style>
  <w:style w:type="paragraph" w:customStyle="1" w:styleId="LI-BodyTextParaa">
    <w:name w:val="LI - Body Text Para (a)"/>
    <w:basedOn w:val="Normal"/>
    <w:link w:val="LI-BodyTextParaaChar"/>
    <w:rsid w:val="00D77B4C"/>
    <w:pPr>
      <w:spacing w:before="240"/>
      <w:ind w:left="1701" w:hanging="567"/>
    </w:pPr>
    <w:rPr>
      <w:lang w:eastAsia="en-AU"/>
    </w:rPr>
  </w:style>
  <w:style w:type="character" w:customStyle="1" w:styleId="LI-BodyTextParaaChar">
    <w:name w:val="LI - Body Text Para (a) Char"/>
    <w:link w:val="LI-BodyTextParaa"/>
    <w:rsid w:val="00D77B4C"/>
    <w:rPr>
      <w:sz w:val="24"/>
      <w:szCs w:val="24"/>
    </w:rPr>
  </w:style>
  <w:style w:type="paragraph" w:customStyle="1" w:styleId="LI-BodyTextNumbered">
    <w:name w:val="LI - Body Text Numbered"/>
    <w:basedOn w:val="Normal"/>
    <w:link w:val="LI-BodyTextNumberedChar"/>
    <w:qFormat/>
    <w:rsid w:val="00D77B4C"/>
    <w:pPr>
      <w:spacing w:before="240"/>
      <w:ind w:left="1134" w:hanging="567"/>
    </w:pPr>
    <w:rPr>
      <w:lang w:eastAsia="en-AU"/>
    </w:rPr>
  </w:style>
  <w:style w:type="character" w:customStyle="1" w:styleId="LI-BodyTextNumberedChar">
    <w:name w:val="LI - Body Text Numbered Char"/>
    <w:link w:val="LI-BodyTextNumbered"/>
    <w:rsid w:val="00D77B4C"/>
    <w:rPr>
      <w:sz w:val="24"/>
      <w:szCs w:val="24"/>
    </w:rPr>
  </w:style>
  <w:style w:type="character" w:customStyle="1" w:styleId="BodyTextChar">
    <w:name w:val="Body Text Char"/>
    <w:basedOn w:val="DefaultParagraphFont"/>
    <w:link w:val="BodyText"/>
    <w:rsid w:val="00777F8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da7a9ac0-bc47-4684-84e6-3a8e9ac80c12">R20180000365872</RecordNumber>
    <ObjectiveID xmlns="da7a9ac0-bc47-4684-84e6-3a8e9ac80c12" xsi:nil="true"/>
    <p667162f272e4bbe821fb2b66e5d33ca xmlns="e3c121ce-93ad-4322-8dbe-6959e0a586c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667162f272e4bbe821fb2b66e5d33ca>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TaxCatchAll xmlns="e3c121ce-93ad-4322-8dbe-6959e0a586ce">
      <Value>7</Value>
    </TaxCatchAll>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C Document" ma:contentTypeID="0x010100B5F685A1365F544391EF8C813B164F3A009AAF408ED544FE43BBB1215B13EDA277" ma:contentTypeVersion="21" ma:contentTypeDescription="" ma:contentTypeScope="" ma:versionID="483aae87c45ddc6f7abfec74b86d5066">
  <xsd:schema xmlns:xsd="http://www.w3.org/2001/XMLSchema" xmlns:xs="http://www.w3.org/2001/XMLSchema" xmlns:p="http://schemas.microsoft.com/office/2006/metadata/properties" xmlns:ns2="da7a9ac0-bc47-4684-84e6-3a8e9ac80c12" xmlns:ns3="e3c121ce-93ad-4322-8dbe-6959e0a586ce" xmlns:ns5="17f478ab-373e-4295-9ff0-9b833ad01319" xmlns:ns6="http://schemas.microsoft.com/sharepoint/v4" targetNamespace="http://schemas.microsoft.com/office/2006/metadata/properties" ma:root="true" ma:fieldsID="b183a8331b905fd1f78fcffd7722045c" ns2:_="" ns3:_="" ns5:_="" ns6:_="">
    <xsd:import namespace="da7a9ac0-bc47-4684-84e6-3a8e9ac80c12"/>
    <xsd:import namespace="e3c121ce-93ad-4322-8dbe-6959e0a586ce"/>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p667162f272e4bbe821fb2b66e5d33c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9"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121ce-93ad-4322-8dbe-6959e0a586c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a92895e-6658-4d2e-8b97-5f90c93aabd9}" ma:internalName="TaxCatchAll" ma:showField="CatchAllData"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a92895e-6658-4d2e-8b97-5f90c93aabd9}" ma:internalName="TaxCatchAllLabel" ma:readOnly="true" ma:showField="CatchAllDataLabel"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p667162f272e4bbe821fb2b66e5d33ca" ma:index="17" ma:taxonomy="true" ma:internalName="p667162f272e4bbe821fb2b66e5d33ca" ma:taxonomyFieldName="SecurityClassification" ma:displayName="Security Classification" ma:default="7;#Sensitive|19fd2cb8-3e97-4464-ae71-8c2c2095d028" ma:fieldId="{9667162f-272e-4bbe-821f-b2b66e5d33c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271CC-ED88-4381-8950-741148CCC54B}">
  <ds:schemaRefs>
    <ds:schemaRef ds:uri="http://schemas.openxmlformats.org/package/2006/metadata/core-properties"/>
    <ds:schemaRef ds:uri="http://schemas.microsoft.com/office/infopath/2007/PartnerControls"/>
    <ds:schemaRef ds:uri="http://schemas.microsoft.com/office/2006/metadata/properties"/>
    <ds:schemaRef ds:uri="e3c121ce-93ad-4322-8dbe-6959e0a586ce"/>
    <ds:schemaRef ds:uri="http://purl.org/dc/elements/1.1/"/>
    <ds:schemaRef ds:uri="http://schemas.microsoft.com/sharepoint/v4"/>
    <ds:schemaRef ds:uri="http://schemas.microsoft.com/office/2006/documentManagement/types"/>
    <ds:schemaRef ds:uri="17f478ab-373e-4295-9ff0-9b833ad01319"/>
    <ds:schemaRef ds:uri="http://purl.org/dc/terms/"/>
    <ds:schemaRef ds:uri="da7a9ac0-bc47-4684-84e6-3a8e9ac80c12"/>
    <ds:schemaRef ds:uri="http://www.w3.org/XML/1998/namespace"/>
    <ds:schemaRef ds:uri="http://purl.org/dc/dcmitype/"/>
  </ds:schemaRefs>
</ds:datastoreItem>
</file>

<file path=customXml/itemProps2.xml><?xml version="1.0" encoding="utf-8"?>
<ds:datastoreItem xmlns:ds="http://schemas.openxmlformats.org/officeDocument/2006/customXml" ds:itemID="{BBE929BB-977B-47C0-80AA-0C1EEC03E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3c121ce-93ad-4322-8dbe-6959e0a586ce"/>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20DE0-1244-4115-BD75-99AC3C0E70B0}">
  <ds:schemaRefs>
    <ds:schemaRef ds:uri="http://schemas.microsoft.com/sharepoint/v3/contenttype/forms"/>
  </ds:schemaRefs>
</ds:datastoreItem>
</file>

<file path=customXml/itemProps4.xml><?xml version="1.0" encoding="utf-8"?>
<ds:datastoreItem xmlns:ds="http://schemas.openxmlformats.org/officeDocument/2006/customXml" ds:itemID="{9C6EEF33-1373-415C-BC3D-51286C7AF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1235</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Helen.Yu</dc:creator>
  <cp:lastModifiedBy>andrew.templer</cp:lastModifiedBy>
  <cp:revision>13</cp:revision>
  <cp:lastPrinted>2011-07-14T02:28:00Z</cp:lastPrinted>
  <dcterms:created xsi:type="dcterms:W3CDTF">2018-04-19T05:38:00Z</dcterms:created>
  <dcterms:modified xsi:type="dcterms:W3CDTF">2018-04-26T10:48:00Z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A3921129</vt:lpwstr>
  </property>
  <property fmtid="{D5CDD505-2E9C-101B-9397-08002B2CF9AE}" pid="4" name="Objective-Title">
    <vt:lpwstr>Explanatory Statement for Class Rule Waiver [13-972]</vt:lpwstr>
  </property>
  <property fmtid="{D5CDD505-2E9C-101B-9397-08002B2CF9AE}" pid="5" name="Objective-Comment">
    <vt:lpwstr/>
  </property>
  <property fmtid="{D5CDD505-2E9C-101B-9397-08002B2CF9AE}" pid="6" name="Objective-CreationStamp">
    <vt:filetime>2013-08-19T01:06:55Z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2013-08-19T02:43:29Z</vt:filetime>
  </property>
  <property fmtid="{D5CDD505-2E9C-101B-9397-08002B2CF9AE}" pid="11" name="Objective-Owner">
    <vt:lpwstr>Natalie Boulizos</vt:lpwstr>
  </property>
  <property fmtid="{D5CDD505-2E9C-101B-9397-08002B2CF9AE}" pid="12" name="Objective-Path">
    <vt:lpwstr>ASIC BCS:REGULATION &amp; COMPLIANCE:Assessments, Surveillance &amp; Supervision:Market &amp; Participant Supervision:Legal &amp; Policy:Amendments to ASX 24 Market Integrity Rules 2013 (No.1):Final Documents:</vt:lpwstr>
  </property>
  <property fmtid="{D5CDD505-2E9C-101B-9397-08002B2CF9AE}" pid="13" name="Objective-Parent">
    <vt:lpwstr>Final Documents</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i4>2</vt:i4>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y fmtid="{D5CDD505-2E9C-101B-9397-08002B2CF9AE}" pid="22" name="ContentTypeId">
    <vt:lpwstr>0x010100B5F685A1365F544391EF8C813B164F3A009AAF408ED544FE43BBB1215B13EDA277</vt:lpwstr>
  </property>
  <property fmtid="{D5CDD505-2E9C-101B-9397-08002B2CF9AE}" pid="23" name="RecordPoint_WorkflowType">
    <vt:lpwstr>ActiveSubmitStub</vt:lpwstr>
  </property>
  <property fmtid="{D5CDD505-2E9C-101B-9397-08002B2CF9AE}" pid="24" name="RecordPoint_ActiveItemWebId">
    <vt:lpwstr>{e3c121ce-93ad-4322-8dbe-6959e0a586ce}</vt:lpwstr>
  </property>
  <property fmtid="{D5CDD505-2E9C-101B-9397-08002B2CF9AE}" pid="25" name="RecordPoint_ActiveItemSiteId">
    <vt:lpwstr>{0b958f2c-90d4-403d-8438-83e392e48011}</vt:lpwstr>
  </property>
  <property fmtid="{D5CDD505-2E9C-101B-9397-08002B2CF9AE}" pid="26" name="RecordPoint_ActiveItemListId">
    <vt:lpwstr>{226ed8a2-2cfb-4b87-ab22-c424a0a2c160}</vt:lpwstr>
  </property>
  <property fmtid="{D5CDD505-2E9C-101B-9397-08002B2CF9AE}" pid="27" name="RecordPoint_ActiveItemUniqueId">
    <vt:lpwstr>{a323e386-50e1-4e42-a33a-e85243005223}</vt:lpwstr>
  </property>
  <property fmtid="{D5CDD505-2E9C-101B-9397-08002B2CF9AE}" pid="28" name="RecordPoint_RecordNumberSubmitted">
    <vt:lpwstr>R20180000365872</vt:lpwstr>
  </property>
  <property fmtid="{D5CDD505-2E9C-101B-9397-08002B2CF9AE}" pid="29" name="RecordPoint_SubmissionCompleted">
    <vt:lpwstr>2018-04-26T20:50:39.9619907+10:00</vt:lpwstr>
  </property>
  <property fmtid="{D5CDD505-2E9C-101B-9397-08002B2CF9AE}" pid="30" name="SecurityClassification">
    <vt:lpwstr>7;#Sensitive|19fd2cb8-3e97-4464-ae71-8c2c2095d028</vt:lpwstr>
  </property>
  <property fmtid="{D5CDD505-2E9C-101B-9397-08002B2CF9AE}" pid="31" name="RecordPoint_SubmissionDate">
    <vt:lpwstr/>
  </property>
  <property fmtid="{D5CDD505-2E9C-101B-9397-08002B2CF9AE}" pid="32" name="RecordPoint_RecordFormat">
    <vt:lpwstr/>
  </property>
  <property fmtid="{D5CDD505-2E9C-101B-9397-08002B2CF9AE}" pid="33" name="RecordPoint_ActiveItemMoved">
    <vt:lpwstr/>
  </property>
</Properties>
</file>