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C213" w14:textId="77777777" w:rsidR="00BC5A41" w:rsidRPr="00E74999" w:rsidRDefault="0035754C" w:rsidP="005B6095">
      <w:pPr>
        <w:pStyle w:val="Heading1"/>
        <w:jc w:val="left"/>
        <w:rPr>
          <w:sz w:val="24"/>
        </w:rPr>
      </w:pPr>
      <w:bookmarkStart w:id="0" w:name="_GoBack"/>
      <w:bookmarkEnd w:id="0"/>
      <w:r w:rsidRPr="00E74999">
        <w:rPr>
          <w:sz w:val="24"/>
        </w:rPr>
        <w:t xml:space="preserve">REGULATION IMPACT ANALYSIS — </w:t>
      </w:r>
      <w:r w:rsidRPr="00DF150F">
        <w:rPr>
          <w:sz w:val="24"/>
        </w:rPr>
        <w:t>COUNTERPARTY</w:t>
      </w:r>
      <w:r w:rsidRPr="00E74999">
        <w:rPr>
          <w:sz w:val="24"/>
        </w:rPr>
        <w:t xml:space="preserve"> CREDIT RISK</w:t>
      </w:r>
    </w:p>
    <w:p w14:paraId="357C1404" w14:textId="77777777" w:rsidR="0035754C" w:rsidRPr="00E74999" w:rsidRDefault="0035754C" w:rsidP="005B6095">
      <w:pPr>
        <w:jc w:val="left"/>
        <w:rPr>
          <w:sz w:val="24"/>
        </w:rPr>
      </w:pPr>
      <w:r w:rsidRPr="00E74999">
        <w:rPr>
          <w:sz w:val="24"/>
        </w:rPr>
        <w:t>(OBPR ID: 20657)</w:t>
      </w:r>
    </w:p>
    <w:p w14:paraId="7418B15F" w14:textId="77777777" w:rsidR="0035754C" w:rsidRPr="00E74999" w:rsidRDefault="0035754C" w:rsidP="005B6095">
      <w:pPr>
        <w:pStyle w:val="Heading2"/>
        <w:jc w:val="left"/>
        <w:rPr>
          <w:sz w:val="24"/>
          <w:szCs w:val="24"/>
        </w:rPr>
      </w:pPr>
      <w:r w:rsidRPr="00E74999">
        <w:rPr>
          <w:sz w:val="24"/>
          <w:szCs w:val="24"/>
        </w:rPr>
        <w:t>Background</w:t>
      </w:r>
    </w:p>
    <w:p w14:paraId="72597422" w14:textId="72992539" w:rsidR="0035754C" w:rsidRPr="00E74999" w:rsidRDefault="0035754C" w:rsidP="001D59AB">
      <w:pPr>
        <w:rPr>
          <w:rFonts w:eastAsiaTheme="minorEastAsia"/>
        </w:rPr>
      </w:pPr>
      <w:r w:rsidRPr="00E74999">
        <w:rPr>
          <w:rFonts w:eastAsiaTheme="minorEastAsia"/>
        </w:rPr>
        <w:t xml:space="preserve">APRA’s development of its revised prudential framework for counterparty credit risk involved an equivalent process and analysis to that required for a Regulation Impact Statement (RIS) as set out in </w:t>
      </w:r>
      <w:r w:rsidRPr="00E74999">
        <w:rPr>
          <w:rFonts w:eastAsiaTheme="minorEastAsia"/>
          <w:i/>
        </w:rPr>
        <w:t>The Australian Government Guide to Regulation</w:t>
      </w:r>
      <w:r w:rsidRPr="00E74999">
        <w:rPr>
          <w:rFonts w:eastAsiaTheme="minorEastAsia"/>
        </w:rPr>
        <w:t xml:space="preserve"> (the Guide).</w:t>
      </w:r>
      <w:r w:rsidRPr="00E74999">
        <w:rPr>
          <w:rFonts w:eastAsiaTheme="minorEastAsia"/>
          <w:color w:val="595959" w:themeColor="text1" w:themeTint="A6"/>
          <w:vertAlign w:val="superscript"/>
        </w:rPr>
        <w:footnoteReference w:id="2"/>
      </w:r>
      <w:r w:rsidRPr="00E74999">
        <w:rPr>
          <w:rFonts w:eastAsiaTheme="minorEastAsia"/>
          <w:vertAlign w:val="superscript"/>
        </w:rPr>
        <w:t xml:space="preserve"> </w:t>
      </w:r>
      <w:r w:rsidRPr="00E74999">
        <w:rPr>
          <w:rFonts w:eastAsiaTheme="minorEastAsia"/>
        </w:rPr>
        <w:t xml:space="preserve"> </w:t>
      </w:r>
      <w:r w:rsidR="001C4012">
        <w:rPr>
          <w:rFonts w:eastAsiaTheme="minorEastAsia"/>
        </w:rPr>
        <w:t xml:space="preserve">Using </w:t>
      </w:r>
      <w:r w:rsidRPr="00E74999">
        <w:rPr>
          <w:rFonts w:eastAsiaTheme="minorEastAsia"/>
        </w:rPr>
        <w:t xml:space="preserve">this process, APRA </w:t>
      </w:r>
      <w:r w:rsidR="001C4012">
        <w:rPr>
          <w:rFonts w:eastAsiaTheme="minorEastAsia"/>
        </w:rPr>
        <w:t xml:space="preserve">has </w:t>
      </w:r>
      <w:r w:rsidRPr="00E74999">
        <w:rPr>
          <w:rFonts w:eastAsiaTheme="minorEastAsia"/>
        </w:rPr>
        <w:t xml:space="preserve">answered the seven RIS questions set out in the Guide, </w:t>
      </w:r>
      <w:r w:rsidR="001C4012">
        <w:rPr>
          <w:rFonts w:eastAsiaTheme="minorEastAsia"/>
        </w:rPr>
        <w:t xml:space="preserve">details of </w:t>
      </w:r>
      <w:r w:rsidRPr="00E74999">
        <w:rPr>
          <w:rFonts w:eastAsiaTheme="minorEastAsia"/>
        </w:rPr>
        <w:t>which are summarised below.</w:t>
      </w:r>
    </w:p>
    <w:p w14:paraId="73BB8768" w14:textId="2061321D" w:rsidR="005B6095" w:rsidRPr="00E74999" w:rsidRDefault="0077637B" w:rsidP="0077637B">
      <w:pPr>
        <w:pStyle w:val="Heading2"/>
        <w:rPr>
          <w:sz w:val="24"/>
          <w:szCs w:val="24"/>
          <w:lang w:val="en-GB"/>
        </w:rPr>
      </w:pPr>
      <w:r w:rsidRPr="00E74999">
        <w:rPr>
          <w:sz w:val="24"/>
          <w:szCs w:val="24"/>
          <w:lang w:val="en-GB"/>
        </w:rPr>
        <w:t>Questions 1</w:t>
      </w:r>
      <w:r w:rsidR="007A2368" w:rsidRPr="00E74999">
        <w:rPr>
          <w:sz w:val="24"/>
          <w:szCs w:val="24"/>
          <w:lang w:val="en-GB"/>
        </w:rPr>
        <w:t xml:space="preserve"> and 2 — Assessing the problem and objectives of government action</w:t>
      </w:r>
    </w:p>
    <w:p w14:paraId="7ED6F8A4" w14:textId="5B60D05F" w:rsidR="00DF60E4" w:rsidRPr="00E74999" w:rsidRDefault="00DF60E4" w:rsidP="00DF60E4">
      <w:pPr>
        <w:rPr>
          <w:lang w:val="en-GB"/>
        </w:rPr>
      </w:pPr>
      <w:bookmarkStart w:id="1" w:name="_Toc483508940"/>
      <w:r>
        <w:rPr>
          <w:lang w:val="en-GB"/>
        </w:rPr>
        <w:t>In July 2012, t</w:t>
      </w:r>
      <w:r w:rsidRPr="00E74999">
        <w:rPr>
          <w:lang w:val="en-GB"/>
        </w:rPr>
        <w:t>he Basel Committee</w:t>
      </w:r>
      <w:r>
        <w:rPr>
          <w:lang w:val="en-GB"/>
        </w:rPr>
        <w:t xml:space="preserve"> </w:t>
      </w:r>
      <w:r w:rsidR="005F63A5">
        <w:rPr>
          <w:lang w:val="en-GB"/>
        </w:rPr>
        <w:t>on Banking Supervision (Basel Committee)</w:t>
      </w:r>
      <w:r>
        <w:rPr>
          <w:lang w:val="en-GB"/>
        </w:rPr>
        <w:t xml:space="preserve"> released a </w:t>
      </w:r>
      <w:r w:rsidRPr="00E74999">
        <w:rPr>
          <w:lang w:val="en-GB"/>
        </w:rPr>
        <w:t xml:space="preserve">standard </w:t>
      </w:r>
      <w:r w:rsidR="005F63A5">
        <w:rPr>
          <w:lang w:val="en-GB"/>
        </w:rPr>
        <w:t>on</w:t>
      </w:r>
      <w:r w:rsidR="005F63A5" w:rsidRPr="00E74999">
        <w:rPr>
          <w:lang w:val="en-GB"/>
        </w:rPr>
        <w:t xml:space="preserve"> </w:t>
      </w:r>
      <w:r w:rsidRPr="00E74999">
        <w:rPr>
          <w:lang w:val="en-GB"/>
        </w:rPr>
        <w:t xml:space="preserve">capital requirements </w:t>
      </w:r>
      <w:r>
        <w:rPr>
          <w:lang w:val="en-GB"/>
        </w:rPr>
        <w:t>(interim standard) for bank exposures to central counterparties (CCPs)</w:t>
      </w:r>
      <w:r w:rsidR="005F63A5">
        <w:rPr>
          <w:lang w:val="en-GB"/>
        </w:rPr>
        <w:t>,</w:t>
      </w:r>
      <w:r>
        <w:rPr>
          <w:lang w:val="en-GB"/>
        </w:rPr>
        <w:t xml:space="preserve"> which aimed</w:t>
      </w:r>
      <w:r w:rsidRPr="00E74999">
        <w:rPr>
          <w:lang w:val="en-GB"/>
        </w:rPr>
        <w:t xml:space="preserve"> to ensure the capital framework better reflect</w:t>
      </w:r>
      <w:r>
        <w:rPr>
          <w:lang w:val="en-GB"/>
        </w:rPr>
        <w:t>ed</w:t>
      </w:r>
      <w:r w:rsidRPr="00E74999">
        <w:rPr>
          <w:lang w:val="en-GB"/>
        </w:rPr>
        <w:t xml:space="preserve"> the inherent risks of the various types of exposures to CCPs, whilst </w:t>
      </w:r>
      <w:r w:rsidR="005F63A5">
        <w:rPr>
          <w:lang w:val="en-GB"/>
        </w:rPr>
        <w:t xml:space="preserve">also </w:t>
      </w:r>
      <w:r w:rsidRPr="00E74999">
        <w:rPr>
          <w:lang w:val="en-GB"/>
        </w:rPr>
        <w:t xml:space="preserve">ensuring there are incentives to centrally clear </w:t>
      </w:r>
      <w:r>
        <w:rPr>
          <w:lang w:val="en-GB"/>
        </w:rPr>
        <w:t>over-the-counter (</w:t>
      </w:r>
      <w:r w:rsidRPr="00E74999">
        <w:rPr>
          <w:lang w:val="en-GB"/>
        </w:rPr>
        <w:t>OTC</w:t>
      </w:r>
      <w:r>
        <w:rPr>
          <w:lang w:val="en-GB"/>
        </w:rPr>
        <w:t>)</w:t>
      </w:r>
      <w:r w:rsidRPr="00E74999">
        <w:rPr>
          <w:lang w:val="en-GB"/>
        </w:rPr>
        <w:t xml:space="preserve"> derivative transactions. However, since the release of </w:t>
      </w:r>
      <w:r>
        <w:rPr>
          <w:lang w:val="en-GB"/>
        </w:rPr>
        <w:t>the</w:t>
      </w:r>
      <w:r w:rsidRPr="00E74999">
        <w:rPr>
          <w:lang w:val="en-GB"/>
        </w:rPr>
        <w:t xml:space="preserve"> interim standard, the Basel Committee has undertaken additional work to improve its framework and address </w:t>
      </w:r>
      <w:r>
        <w:rPr>
          <w:lang w:val="en-GB"/>
        </w:rPr>
        <w:t xml:space="preserve">a number of </w:t>
      </w:r>
      <w:r w:rsidRPr="00E74999">
        <w:rPr>
          <w:lang w:val="en-GB"/>
        </w:rPr>
        <w:t>known deficiencies in the interim standard, including:</w:t>
      </w:r>
      <w:bookmarkEnd w:id="1"/>
    </w:p>
    <w:p w14:paraId="180DA557" w14:textId="77777777" w:rsidR="00DF60E4" w:rsidRPr="00E74999" w:rsidRDefault="00DF60E4" w:rsidP="00DF60E4">
      <w:pPr>
        <w:pStyle w:val="BULLET1"/>
        <w:rPr>
          <w:lang w:val="en-GB"/>
        </w:rPr>
      </w:pPr>
      <w:bookmarkStart w:id="2" w:name="_Toc483508941"/>
      <w:r w:rsidRPr="00E74999">
        <w:rPr>
          <w:lang w:val="en-GB"/>
        </w:rPr>
        <w:t>instances of insufficient capital being held against exposures to some CCPs;</w:t>
      </w:r>
      <w:bookmarkEnd w:id="2"/>
    </w:p>
    <w:p w14:paraId="5E8CCB74" w14:textId="77777777" w:rsidR="00DF60E4" w:rsidRPr="00E74999" w:rsidRDefault="00DF60E4" w:rsidP="00DF60E4">
      <w:pPr>
        <w:pStyle w:val="BULLET1"/>
        <w:rPr>
          <w:lang w:val="en-GB"/>
        </w:rPr>
      </w:pPr>
      <w:bookmarkStart w:id="3" w:name="_Toc483508942"/>
      <w:r w:rsidRPr="00E74999">
        <w:rPr>
          <w:lang w:val="en-GB"/>
        </w:rPr>
        <w:t>instances of capital charges for exposures to CCPs being higher than for bilateral transactions; and</w:t>
      </w:r>
      <w:bookmarkEnd w:id="3"/>
    </w:p>
    <w:p w14:paraId="5A65FA9B" w14:textId="77777777" w:rsidR="00DF60E4" w:rsidRPr="00E74999" w:rsidRDefault="00DF60E4" w:rsidP="00DF60E4">
      <w:pPr>
        <w:pStyle w:val="BULLET1"/>
        <w:rPr>
          <w:lang w:val="en-GB"/>
        </w:rPr>
      </w:pPr>
      <w:bookmarkStart w:id="4" w:name="_Toc483508943"/>
      <w:r w:rsidRPr="00E74999">
        <w:rPr>
          <w:lang w:val="en-GB"/>
        </w:rPr>
        <w:t>capital treatment penalising the maintenance of substantial default funds.</w:t>
      </w:r>
      <w:bookmarkEnd w:id="4"/>
    </w:p>
    <w:p w14:paraId="4555ACFB" w14:textId="7D62E2BB" w:rsidR="00DF60E4" w:rsidRDefault="00213797" w:rsidP="00DF60E4">
      <w:pPr>
        <w:rPr>
          <w:lang w:val="en-GB"/>
        </w:rPr>
      </w:pPr>
      <w:bookmarkStart w:id="5" w:name="_Toc483508944"/>
      <w:r>
        <w:rPr>
          <w:lang w:val="en-GB"/>
        </w:rPr>
        <w:t xml:space="preserve">In 2014, the Basel Committee released </w:t>
      </w:r>
      <w:r>
        <w:rPr>
          <w:i/>
          <w:lang w:val="en-GB"/>
        </w:rPr>
        <w:t>The standardised approach for measuring counterparty credit risk exposures</w:t>
      </w:r>
      <w:r w:rsidRPr="001407B5">
        <w:rPr>
          <w:rStyle w:val="FootnoteReference"/>
          <w:sz w:val="24"/>
          <w:lang w:val="en-GB"/>
        </w:rPr>
        <w:footnoteReference w:id="3"/>
      </w:r>
      <w:r>
        <w:rPr>
          <w:lang w:val="en-GB"/>
        </w:rPr>
        <w:t xml:space="preserve"> and </w:t>
      </w:r>
      <w:r>
        <w:rPr>
          <w:i/>
          <w:lang w:val="en-GB"/>
        </w:rPr>
        <w:t xml:space="preserve">Capital requirements for bank exposures to central counterparties – </w:t>
      </w:r>
      <w:r>
        <w:rPr>
          <w:i/>
          <w:lang w:val="en-GB"/>
        </w:rPr>
        <w:lastRenderedPageBreak/>
        <w:t>final standard</w:t>
      </w:r>
      <w:r>
        <w:rPr>
          <w:lang w:val="en-GB"/>
        </w:rPr>
        <w:t xml:space="preserve"> (final standard).</w:t>
      </w:r>
      <w:r w:rsidRPr="001407B5">
        <w:rPr>
          <w:rStyle w:val="FootnoteReference"/>
          <w:sz w:val="24"/>
          <w:lang w:val="en-GB"/>
        </w:rPr>
        <w:footnoteReference w:id="4"/>
      </w:r>
      <w:r w:rsidR="00DF60E4">
        <w:rPr>
          <w:lang w:val="en-GB"/>
        </w:rPr>
        <w:t xml:space="preserve"> </w:t>
      </w:r>
      <w:r>
        <w:rPr>
          <w:lang w:val="en-GB"/>
        </w:rPr>
        <w:t xml:space="preserve">The </w:t>
      </w:r>
      <w:r w:rsidR="00DF60E4" w:rsidRPr="00E74999">
        <w:rPr>
          <w:lang w:val="en-GB"/>
        </w:rPr>
        <w:t xml:space="preserve">final standard retains many of the features of the interim </w:t>
      </w:r>
      <w:r w:rsidR="00DF60E4">
        <w:rPr>
          <w:lang w:val="en-GB"/>
        </w:rPr>
        <w:t>standard</w:t>
      </w:r>
      <w:r w:rsidR="00DF60E4" w:rsidRPr="00E74999">
        <w:rPr>
          <w:lang w:val="en-GB"/>
        </w:rPr>
        <w:t xml:space="preserve"> including the scope of application, treatment of trade exposures to</w:t>
      </w:r>
      <w:r w:rsidR="00DF60E4">
        <w:rPr>
          <w:lang w:val="en-GB"/>
        </w:rPr>
        <w:t xml:space="preserve"> qualifying CCPs</w:t>
      </w:r>
      <w:r w:rsidR="00DF60E4" w:rsidRPr="00E74999">
        <w:rPr>
          <w:lang w:val="en-GB"/>
        </w:rPr>
        <w:t xml:space="preserve"> </w:t>
      </w:r>
      <w:r w:rsidR="00DF60E4">
        <w:rPr>
          <w:lang w:val="en-GB"/>
        </w:rPr>
        <w:t>(</w:t>
      </w:r>
      <w:r w:rsidR="00DF60E4" w:rsidRPr="00E74999">
        <w:rPr>
          <w:lang w:val="en-GB"/>
        </w:rPr>
        <w:t>QCCPs</w:t>
      </w:r>
      <w:r w:rsidR="00DF60E4">
        <w:rPr>
          <w:lang w:val="en-GB"/>
        </w:rPr>
        <w:t>)</w:t>
      </w:r>
      <w:r w:rsidR="00DF60E4" w:rsidRPr="00E74999">
        <w:rPr>
          <w:lang w:val="en-GB"/>
        </w:rPr>
        <w:t xml:space="preserve"> and the capital requirements for exposures to non-qualifying CCPs. However, to address deficiencies in the interim standard, the final standard includes a new approach for determining capital requirements for default fund exposures to QCCPs and an explicit cap on capital charges for exposures to QCCPs so those charges cannot exceed the charges that would apply if the CCP were non-qualifying, and utilises the </w:t>
      </w:r>
      <w:r w:rsidR="005F63A5">
        <w:rPr>
          <w:lang w:val="en-GB"/>
        </w:rPr>
        <w:t>standardised approach to counterparty credit risk (</w:t>
      </w:r>
      <w:r w:rsidR="00DF60E4" w:rsidRPr="00E74999">
        <w:rPr>
          <w:lang w:val="en-GB"/>
        </w:rPr>
        <w:t>SA-CCR</w:t>
      </w:r>
      <w:r w:rsidR="005F63A5">
        <w:rPr>
          <w:lang w:val="en-GB"/>
        </w:rPr>
        <w:t>)</w:t>
      </w:r>
      <w:r w:rsidR="00DF60E4" w:rsidRPr="00E74999">
        <w:rPr>
          <w:lang w:val="en-GB"/>
        </w:rPr>
        <w:t xml:space="preserve"> (rather than the </w:t>
      </w:r>
      <w:r w:rsidR="005F63A5">
        <w:rPr>
          <w:lang w:val="en-GB"/>
        </w:rPr>
        <w:t>current exposure method (</w:t>
      </w:r>
      <w:r w:rsidR="00DF60E4" w:rsidRPr="00E74999">
        <w:rPr>
          <w:lang w:val="en-GB"/>
        </w:rPr>
        <w:t>CEM</w:t>
      </w:r>
      <w:r w:rsidR="005F63A5">
        <w:rPr>
          <w:lang w:val="en-GB"/>
        </w:rPr>
        <w:t>)</w:t>
      </w:r>
      <w:r w:rsidR="00DF60E4" w:rsidRPr="00E74999">
        <w:rPr>
          <w:lang w:val="en-GB"/>
        </w:rPr>
        <w:t>) to measure exposure values.</w:t>
      </w:r>
      <w:bookmarkEnd w:id="5"/>
    </w:p>
    <w:p w14:paraId="2A8E9850" w14:textId="34E29663" w:rsidR="00271ED5" w:rsidRDefault="00E41DAE" w:rsidP="001D59AB">
      <w:pPr>
        <w:rPr>
          <w:lang w:val="en-GB"/>
        </w:rPr>
      </w:pPr>
      <w:r w:rsidRPr="00E74999">
        <w:rPr>
          <w:lang w:val="en-GB"/>
        </w:rPr>
        <w:t xml:space="preserve">In </w:t>
      </w:r>
      <w:r w:rsidR="004A5E3F">
        <w:rPr>
          <w:lang w:val="en-GB"/>
        </w:rPr>
        <w:t>a</w:t>
      </w:r>
      <w:r w:rsidRPr="00E74999">
        <w:rPr>
          <w:lang w:val="en-GB"/>
        </w:rPr>
        <w:t xml:space="preserve"> </w:t>
      </w:r>
      <w:r w:rsidR="004A5E3F">
        <w:rPr>
          <w:lang w:val="en-GB"/>
        </w:rPr>
        <w:t>September 2016</w:t>
      </w:r>
      <w:r w:rsidRPr="00E74999">
        <w:rPr>
          <w:lang w:val="en-GB"/>
        </w:rPr>
        <w:t xml:space="preserve"> discussion paper, </w:t>
      </w:r>
      <w:r w:rsidRPr="00E74999">
        <w:rPr>
          <w:i/>
          <w:lang w:val="en-GB"/>
        </w:rPr>
        <w:t>Counterparty credit risk for ADIs</w:t>
      </w:r>
      <w:r w:rsidRPr="00E74999">
        <w:rPr>
          <w:lang w:val="en-GB"/>
        </w:rPr>
        <w:t>,</w:t>
      </w:r>
      <w:r w:rsidRPr="00E74999">
        <w:rPr>
          <w:rStyle w:val="FootnoteReference"/>
          <w:sz w:val="24"/>
          <w:lang w:val="en-GB"/>
        </w:rPr>
        <w:footnoteReference w:id="5"/>
      </w:r>
      <w:r w:rsidR="00E74999">
        <w:rPr>
          <w:lang w:val="en-GB"/>
        </w:rPr>
        <w:t xml:space="preserve"> APRA outlined the problem in relation to the prudential framework for counterparty credit risk for authorised deposit-taking institutions (ADIs)</w:t>
      </w:r>
      <w:r w:rsidR="000A668B">
        <w:rPr>
          <w:lang w:val="en-GB"/>
        </w:rPr>
        <w:t>,</w:t>
      </w:r>
      <w:r w:rsidR="004A5E3F">
        <w:rPr>
          <w:lang w:val="en-GB"/>
        </w:rPr>
        <w:t xml:space="preserve"> noting that the existing non-modelled approaches to </w:t>
      </w:r>
      <w:r w:rsidR="00C77A4D">
        <w:rPr>
          <w:lang w:val="en-GB"/>
        </w:rPr>
        <w:t>counterparty credit risk</w:t>
      </w:r>
      <w:r w:rsidR="00271ED5">
        <w:rPr>
          <w:lang w:val="en-GB"/>
        </w:rPr>
        <w:t xml:space="preserve"> – in the form of the CEM and standardised method (SM) – have a number of limitations. For the CEM these limitations include:</w:t>
      </w:r>
    </w:p>
    <w:p w14:paraId="4B109101" w14:textId="3F479F5C" w:rsidR="00271ED5" w:rsidRPr="00E74999" w:rsidRDefault="003046C2" w:rsidP="001D59AB">
      <w:pPr>
        <w:pStyle w:val="BULLET1"/>
        <w:rPr>
          <w:lang w:val="en-GB"/>
        </w:rPr>
      </w:pPr>
      <w:r>
        <w:rPr>
          <w:lang w:val="en-GB"/>
        </w:rPr>
        <w:t xml:space="preserve">the </w:t>
      </w:r>
      <w:r w:rsidR="00271ED5">
        <w:rPr>
          <w:lang w:val="en-GB"/>
        </w:rPr>
        <w:t xml:space="preserve">CEM </w:t>
      </w:r>
      <w:r w:rsidR="00271ED5" w:rsidRPr="00E74999">
        <w:rPr>
          <w:lang w:val="en-GB"/>
        </w:rPr>
        <w:t>does not differentiate between margined and unmargined counterparty credit risk exposures in the calculation of potential future exposure;</w:t>
      </w:r>
    </w:p>
    <w:p w14:paraId="5597ADCD" w14:textId="67B25D90" w:rsidR="00271ED5" w:rsidRPr="00E74999" w:rsidRDefault="00271ED5" w:rsidP="001D59AB">
      <w:pPr>
        <w:pStyle w:val="BULLET1"/>
        <w:rPr>
          <w:lang w:val="en-GB"/>
        </w:rPr>
      </w:pPr>
      <w:r w:rsidRPr="00E74999">
        <w:rPr>
          <w:lang w:val="en-GB"/>
        </w:rPr>
        <w:t xml:space="preserve">recognition of netting benefits is simplistic and </w:t>
      </w:r>
      <w:r w:rsidR="003046C2">
        <w:rPr>
          <w:lang w:val="en-GB"/>
        </w:rPr>
        <w:t xml:space="preserve">does </w:t>
      </w:r>
      <w:r w:rsidRPr="00E74999">
        <w:rPr>
          <w:lang w:val="en-GB"/>
        </w:rPr>
        <w:t>not reflect the economical</w:t>
      </w:r>
      <w:r w:rsidR="003046C2">
        <w:rPr>
          <w:lang w:val="en-GB"/>
        </w:rPr>
        <w:t>ly</w:t>
      </w:r>
      <w:r w:rsidRPr="00E74999">
        <w:rPr>
          <w:lang w:val="en-GB"/>
        </w:rPr>
        <w:t xml:space="preserve"> meaningful relationships between derivative positions;</w:t>
      </w:r>
    </w:p>
    <w:p w14:paraId="6E0BFEED" w14:textId="2191C6BC" w:rsidR="00271ED5" w:rsidRDefault="00271ED5" w:rsidP="001D59AB">
      <w:pPr>
        <w:pStyle w:val="BULLET1"/>
        <w:rPr>
          <w:lang w:val="en-GB"/>
        </w:rPr>
      </w:pPr>
      <w:r w:rsidRPr="00271ED5">
        <w:rPr>
          <w:lang w:val="en-GB"/>
        </w:rPr>
        <w:t xml:space="preserve">the CEM formulation </w:t>
      </w:r>
      <w:r w:rsidR="003046C2">
        <w:rPr>
          <w:lang w:val="en-GB"/>
        </w:rPr>
        <w:t xml:space="preserve">only </w:t>
      </w:r>
      <w:r w:rsidRPr="00271ED5">
        <w:rPr>
          <w:lang w:val="en-GB"/>
        </w:rPr>
        <w:t>uses two factors (</w:t>
      </w:r>
      <w:r w:rsidR="003046C2">
        <w:rPr>
          <w:lang w:val="en-GB"/>
        </w:rPr>
        <w:t>asset</w:t>
      </w:r>
      <w:r w:rsidRPr="00271ED5">
        <w:rPr>
          <w:lang w:val="en-GB"/>
        </w:rPr>
        <w:t xml:space="preserve"> type and residual maturity) to estimate the exposure amount for different products. As a result, the CEM is not granular enough to capture risks and correlations within asset classes; and</w:t>
      </w:r>
    </w:p>
    <w:p w14:paraId="38BF6144" w14:textId="7ABB0AE5" w:rsidR="00271ED5" w:rsidRPr="00271ED5" w:rsidRDefault="00271ED5" w:rsidP="001D59AB">
      <w:pPr>
        <w:pStyle w:val="BULLET1"/>
        <w:rPr>
          <w:lang w:val="en-GB"/>
        </w:rPr>
      </w:pPr>
      <w:r w:rsidRPr="00271ED5">
        <w:rPr>
          <w:lang w:val="en-GB"/>
        </w:rPr>
        <w:t xml:space="preserve">the supervisory add-on factors in </w:t>
      </w:r>
      <w:r w:rsidR="003046C2">
        <w:rPr>
          <w:lang w:val="en-GB"/>
        </w:rPr>
        <w:t xml:space="preserve">the </w:t>
      </w:r>
      <w:r w:rsidRPr="00271ED5">
        <w:rPr>
          <w:lang w:val="en-GB"/>
        </w:rPr>
        <w:t>CEM do not sufficiently capture the level of volat</w:t>
      </w:r>
      <w:r w:rsidR="003046C2">
        <w:rPr>
          <w:lang w:val="en-GB"/>
        </w:rPr>
        <w:t>ility</w:t>
      </w:r>
      <w:r w:rsidRPr="00271ED5">
        <w:rPr>
          <w:lang w:val="en-GB"/>
        </w:rPr>
        <w:t xml:space="preserve"> as observed over recent stress periods, including during the global financial crisis</w:t>
      </w:r>
      <w:r w:rsidR="00F21CF8">
        <w:rPr>
          <w:lang w:val="en-GB"/>
        </w:rPr>
        <w:t>.</w:t>
      </w:r>
    </w:p>
    <w:p w14:paraId="447312B9" w14:textId="39B96211" w:rsidR="002A7592" w:rsidRDefault="00271ED5" w:rsidP="001D59AB">
      <w:pPr>
        <w:rPr>
          <w:lang w:val="en-GB"/>
        </w:rPr>
      </w:pPr>
      <w:r>
        <w:rPr>
          <w:lang w:val="en-GB"/>
        </w:rPr>
        <w:t xml:space="preserve">For the SM, </w:t>
      </w:r>
      <w:r w:rsidR="00FA3C95">
        <w:rPr>
          <w:lang w:val="en-GB"/>
        </w:rPr>
        <w:t xml:space="preserve">while more risk sensitive than the CEM, criticisms </w:t>
      </w:r>
      <w:r>
        <w:rPr>
          <w:lang w:val="en-GB"/>
        </w:rPr>
        <w:t xml:space="preserve">include </w:t>
      </w:r>
      <w:r w:rsidR="00FA3C95">
        <w:rPr>
          <w:lang w:val="en-GB"/>
        </w:rPr>
        <w:t xml:space="preserve">that it </w:t>
      </w:r>
      <w:r w:rsidR="002A7592">
        <w:rPr>
          <w:lang w:val="en-GB"/>
        </w:rPr>
        <w:t>fails</w:t>
      </w:r>
      <w:r>
        <w:rPr>
          <w:lang w:val="en-GB"/>
        </w:rPr>
        <w:t xml:space="preserve"> </w:t>
      </w:r>
      <w:r w:rsidR="002A7592">
        <w:rPr>
          <w:lang w:val="en-GB"/>
        </w:rPr>
        <w:t>to differentiate sufficiently</w:t>
      </w:r>
      <w:r>
        <w:rPr>
          <w:lang w:val="en-GB"/>
        </w:rPr>
        <w:t xml:space="preserve"> between margined and u</w:t>
      </w:r>
      <w:r w:rsidR="00EF3B20">
        <w:rPr>
          <w:lang w:val="en-GB"/>
        </w:rPr>
        <w:t>n</w:t>
      </w:r>
      <w:r>
        <w:rPr>
          <w:lang w:val="en-GB"/>
        </w:rPr>
        <w:t xml:space="preserve">margined transactions and </w:t>
      </w:r>
      <w:r w:rsidR="002A7592">
        <w:rPr>
          <w:lang w:val="en-GB"/>
        </w:rPr>
        <w:t xml:space="preserve">there has been </w:t>
      </w:r>
      <w:r>
        <w:rPr>
          <w:lang w:val="en-GB"/>
        </w:rPr>
        <w:t>inconsistent implementation of the approach across ADIs.</w:t>
      </w:r>
    </w:p>
    <w:p w14:paraId="3C71B418" w14:textId="37C461B5" w:rsidR="004A5E3F" w:rsidRDefault="00213797" w:rsidP="001D59AB">
      <w:pPr>
        <w:rPr>
          <w:lang w:val="en-GB"/>
        </w:rPr>
      </w:pPr>
      <w:r>
        <w:rPr>
          <w:lang w:val="en-GB"/>
        </w:rPr>
        <w:lastRenderedPageBreak/>
        <w:t xml:space="preserve">As noted earlier, </w:t>
      </w:r>
      <w:r w:rsidR="00135BE0">
        <w:rPr>
          <w:lang w:val="en-GB"/>
        </w:rPr>
        <w:t>t</w:t>
      </w:r>
      <w:r w:rsidR="00A80F80">
        <w:rPr>
          <w:lang w:val="en-GB"/>
        </w:rPr>
        <w:t>he</w:t>
      </w:r>
      <w:r w:rsidR="00E06446">
        <w:rPr>
          <w:lang w:val="en-GB"/>
        </w:rPr>
        <w:t xml:space="preserve"> </w:t>
      </w:r>
      <w:r w:rsidR="00A80F80">
        <w:rPr>
          <w:lang w:val="en-GB"/>
        </w:rPr>
        <w:t>limitations</w:t>
      </w:r>
      <w:r w:rsidR="00E06446">
        <w:rPr>
          <w:lang w:val="en-GB"/>
        </w:rPr>
        <w:t xml:space="preserve"> with the CEM and SM</w:t>
      </w:r>
      <w:r w:rsidR="00A80F80">
        <w:rPr>
          <w:lang w:val="en-GB"/>
        </w:rPr>
        <w:t xml:space="preserve"> led to the Basel Committee developing a single non-internal model method for measuring exposure at default for counterparty credit risk</w:t>
      </w:r>
      <w:r>
        <w:rPr>
          <w:lang w:val="en-GB"/>
        </w:rPr>
        <w:t xml:space="preserve"> – </w:t>
      </w:r>
      <w:r w:rsidR="00135BE0">
        <w:rPr>
          <w:lang w:val="en-GB"/>
        </w:rPr>
        <w:t xml:space="preserve">in the form of the </w:t>
      </w:r>
      <w:r>
        <w:rPr>
          <w:lang w:val="en-GB"/>
        </w:rPr>
        <w:t>SA-CCR</w:t>
      </w:r>
      <w:r w:rsidR="00A80F80">
        <w:rPr>
          <w:lang w:val="en-GB"/>
        </w:rPr>
        <w:t>.</w:t>
      </w:r>
      <w:r w:rsidR="00907BA4">
        <w:rPr>
          <w:lang w:val="en-GB"/>
        </w:rPr>
        <w:t xml:space="preserve"> The objectives of the revised approach were to:</w:t>
      </w:r>
    </w:p>
    <w:p w14:paraId="423FAD90" w14:textId="17F3F142" w:rsidR="00907BA4" w:rsidRDefault="00907BA4" w:rsidP="001D59AB">
      <w:pPr>
        <w:pStyle w:val="BULLET1"/>
        <w:rPr>
          <w:lang w:val="en-GB"/>
        </w:rPr>
      </w:pPr>
      <w:r>
        <w:rPr>
          <w:lang w:val="en-GB"/>
        </w:rPr>
        <w:t xml:space="preserve">provide for application to a wide variety of transaction types (margined, </w:t>
      </w:r>
      <w:r w:rsidR="00EF3B20">
        <w:rPr>
          <w:lang w:val="en-GB"/>
        </w:rPr>
        <w:br w:type="textWrapping" w:clear="all"/>
      </w:r>
      <w:r>
        <w:rPr>
          <w:lang w:val="en-GB"/>
        </w:rPr>
        <w:t>unmargined, centrally cleared, non-centrally cleared/bilateral);</w:t>
      </w:r>
    </w:p>
    <w:p w14:paraId="450837FD" w14:textId="17749F7C" w:rsidR="00907BA4" w:rsidRDefault="00907BA4" w:rsidP="001D59AB">
      <w:pPr>
        <w:pStyle w:val="BULLET1"/>
        <w:rPr>
          <w:lang w:val="en-GB"/>
        </w:rPr>
      </w:pPr>
      <w:r>
        <w:rPr>
          <w:lang w:val="en-GB"/>
        </w:rPr>
        <w:t>allow simple and easy implementation;</w:t>
      </w:r>
    </w:p>
    <w:p w14:paraId="4EEDE4F0" w14:textId="609F885F" w:rsidR="00907BA4" w:rsidRDefault="00907BA4" w:rsidP="001D59AB">
      <w:pPr>
        <w:pStyle w:val="BULLET1"/>
        <w:rPr>
          <w:lang w:val="en-GB"/>
        </w:rPr>
      </w:pPr>
      <w:r>
        <w:rPr>
          <w:lang w:val="en-GB"/>
        </w:rPr>
        <w:t xml:space="preserve">minimise discretion by national authorities and </w:t>
      </w:r>
      <w:r w:rsidR="000467D3">
        <w:rPr>
          <w:lang w:val="en-GB"/>
        </w:rPr>
        <w:t>institutions; and</w:t>
      </w:r>
    </w:p>
    <w:p w14:paraId="633F870A" w14:textId="2637A871" w:rsidR="000467D3" w:rsidRDefault="000467D3" w:rsidP="001D59AB">
      <w:pPr>
        <w:pStyle w:val="BULLET1"/>
        <w:rPr>
          <w:lang w:val="en-GB"/>
        </w:rPr>
      </w:pPr>
      <w:r>
        <w:rPr>
          <w:lang w:val="en-GB"/>
        </w:rPr>
        <w:t>improve risk sensitivity of the capital framework without adding undue complexity.</w:t>
      </w:r>
    </w:p>
    <w:p w14:paraId="4AC1EBA6" w14:textId="0F9C9BE0" w:rsidR="00E41DAE" w:rsidRDefault="00213797" w:rsidP="001D59AB">
      <w:pPr>
        <w:rPr>
          <w:lang w:val="en-GB"/>
        </w:rPr>
      </w:pPr>
      <w:r>
        <w:rPr>
          <w:lang w:val="en-GB"/>
        </w:rPr>
        <w:t>APRA proposed changes to the prudential framework for counterparty credit risk</w:t>
      </w:r>
      <w:r w:rsidR="002A1411">
        <w:rPr>
          <w:lang w:val="en-GB"/>
        </w:rPr>
        <w:t xml:space="preserve"> were</w:t>
      </w:r>
      <w:r>
        <w:rPr>
          <w:lang w:val="en-GB"/>
        </w:rPr>
        <w:t xml:space="preserve"> designed to address these deficiencies. </w:t>
      </w:r>
      <w:r w:rsidR="005950A0">
        <w:rPr>
          <w:lang w:val="en-GB"/>
        </w:rPr>
        <w:t xml:space="preserve">Details of the changes were set out in </w:t>
      </w:r>
      <w:r w:rsidR="00DC0BD5">
        <w:rPr>
          <w:lang w:val="en-GB"/>
        </w:rPr>
        <w:t xml:space="preserve">a </w:t>
      </w:r>
      <w:r w:rsidR="005950A0">
        <w:rPr>
          <w:lang w:val="en-GB"/>
        </w:rPr>
        <w:t xml:space="preserve">draft revised </w:t>
      </w:r>
      <w:r w:rsidR="00A60F98">
        <w:rPr>
          <w:i/>
          <w:lang w:val="en-GB"/>
        </w:rPr>
        <w:t>Prudential Standard APS 112 Capital Adequacy: Standardised Approach to Credit Risk</w:t>
      </w:r>
      <w:r w:rsidR="00A60F98">
        <w:rPr>
          <w:lang w:val="en-GB"/>
        </w:rPr>
        <w:t xml:space="preserve"> (APS 112) and a new </w:t>
      </w:r>
      <w:r w:rsidR="00A60F98">
        <w:rPr>
          <w:i/>
          <w:lang w:val="en-GB"/>
        </w:rPr>
        <w:t>Prudential Standard APS 180 Capital Adequacy: Counterparty Credit Risk</w:t>
      </w:r>
      <w:r w:rsidR="00A60F98">
        <w:rPr>
          <w:lang w:val="en-GB"/>
        </w:rPr>
        <w:t xml:space="preserve"> (APS 180)</w:t>
      </w:r>
      <w:r w:rsidR="005950A0">
        <w:rPr>
          <w:lang w:val="en-GB"/>
        </w:rPr>
        <w:t>.</w:t>
      </w:r>
      <w:r w:rsidR="00A60F98">
        <w:rPr>
          <w:lang w:val="en-GB"/>
        </w:rPr>
        <w:t xml:space="preserve"> </w:t>
      </w:r>
      <w:r w:rsidR="00344A7E">
        <w:rPr>
          <w:lang w:val="en-GB"/>
        </w:rPr>
        <w:t xml:space="preserve">As part of the proposed changes, APRA </w:t>
      </w:r>
      <w:r w:rsidR="009D4343">
        <w:rPr>
          <w:lang w:val="en-GB"/>
        </w:rPr>
        <w:t>indicated</w:t>
      </w:r>
      <w:r w:rsidR="00344A7E">
        <w:rPr>
          <w:lang w:val="en-GB"/>
        </w:rPr>
        <w:t xml:space="preserve"> that all ADIs entering into derivative transactions would be required to use the SA-CCR methodology to measure their counterparty credit risk exposures and to hold capital for exposures to central counterparties consistent with the Basel Committee’s final standard.</w:t>
      </w:r>
      <w:r w:rsidR="001407B5">
        <w:rPr>
          <w:lang w:val="en-GB"/>
        </w:rPr>
        <w:t xml:space="preserve"> APRA further revised its proposals after considering submissions from industry to the 2016 consultation. Details of the revised approach were set out in the 2017 discussion paper </w:t>
      </w:r>
      <w:r w:rsidR="001407B5">
        <w:rPr>
          <w:i/>
          <w:lang w:val="en-GB"/>
        </w:rPr>
        <w:t>Counterparty credit risk for ADIs</w:t>
      </w:r>
      <w:r w:rsidR="007D28AC">
        <w:rPr>
          <w:lang w:val="en-GB"/>
        </w:rPr>
        <w:t>.</w:t>
      </w:r>
      <w:r w:rsidR="001407B5" w:rsidRPr="004942BC">
        <w:rPr>
          <w:rStyle w:val="FootnoteReference"/>
          <w:sz w:val="24"/>
          <w:lang w:val="en-GB"/>
        </w:rPr>
        <w:footnoteReference w:id="6"/>
      </w:r>
    </w:p>
    <w:p w14:paraId="7EBFBD28" w14:textId="0630A7C6" w:rsidR="00622E74" w:rsidRDefault="00622E74" w:rsidP="00622E74">
      <w:pPr>
        <w:pStyle w:val="Heading2"/>
        <w:rPr>
          <w:lang w:val="en-GB"/>
        </w:rPr>
      </w:pPr>
      <w:r>
        <w:rPr>
          <w:lang w:val="en-GB"/>
        </w:rPr>
        <w:t>Question 3 and 4 — Options to achieve objectives and impact analysis</w:t>
      </w:r>
    </w:p>
    <w:p w14:paraId="629D62D7" w14:textId="482B7386" w:rsidR="00360B3A" w:rsidRDefault="00360B3A" w:rsidP="00360B3A">
      <w:pPr>
        <w:rPr>
          <w:lang w:val="en-GB"/>
        </w:rPr>
      </w:pPr>
      <w:r>
        <w:rPr>
          <w:lang w:val="en-GB"/>
        </w:rPr>
        <w:t xml:space="preserve">As set in the 2017 discussion paper, APRA considered three options in developing proposed revisions </w:t>
      </w:r>
      <w:r w:rsidR="001F2B16">
        <w:rPr>
          <w:lang w:val="en-GB"/>
        </w:rPr>
        <w:t>to its counterparty credit risk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202959" w:rsidRPr="00E74999" w14:paraId="49577BF4" w14:textId="77777777" w:rsidTr="00202959">
        <w:tc>
          <w:tcPr>
            <w:tcW w:w="2410" w:type="dxa"/>
            <w:tcBorders>
              <w:bottom w:val="single" w:sz="4" w:space="0" w:color="FFFFFF" w:themeColor="background1"/>
            </w:tcBorders>
            <w:shd w:val="clear" w:color="auto" w:fill="002060"/>
          </w:tcPr>
          <w:p w14:paraId="76C32CEA" w14:textId="6F080ADD" w:rsidR="00202959" w:rsidRPr="001C78EE" w:rsidRDefault="00202959" w:rsidP="005B6095">
            <w:pPr>
              <w:jc w:val="left"/>
              <w:rPr>
                <w:b/>
                <w:bCs/>
                <w:szCs w:val="22"/>
                <w:lang w:val="en-GB"/>
              </w:rPr>
            </w:pPr>
            <w:r w:rsidRPr="001C78EE">
              <w:rPr>
                <w:b/>
                <w:bCs/>
                <w:szCs w:val="22"/>
                <w:lang w:val="en-GB"/>
              </w:rPr>
              <w:t>Options</w:t>
            </w:r>
          </w:p>
        </w:tc>
        <w:tc>
          <w:tcPr>
            <w:tcW w:w="6606" w:type="dxa"/>
            <w:tcBorders>
              <w:bottom w:val="single" w:sz="4" w:space="0" w:color="FFFFFF" w:themeColor="background1"/>
            </w:tcBorders>
            <w:shd w:val="clear" w:color="auto" w:fill="808080" w:themeFill="background1" w:themeFillShade="80"/>
          </w:tcPr>
          <w:p w14:paraId="389F10E2" w14:textId="4D4CD74F" w:rsidR="00202959" w:rsidRPr="001C78EE" w:rsidRDefault="00202959" w:rsidP="005B6095">
            <w:pPr>
              <w:jc w:val="left"/>
              <w:rPr>
                <w:szCs w:val="22"/>
                <w:lang w:val="en-GB"/>
              </w:rPr>
            </w:pPr>
            <w:r w:rsidRPr="001C78EE">
              <w:rPr>
                <w:b/>
                <w:color w:val="FFFFFF" w:themeColor="background1"/>
                <w:szCs w:val="22"/>
                <w:lang w:val="en-GB"/>
              </w:rPr>
              <w:t>Approach</w:t>
            </w:r>
          </w:p>
        </w:tc>
      </w:tr>
      <w:tr w:rsidR="005B6095" w:rsidRPr="00E74999" w14:paraId="1FB48C92" w14:textId="77777777" w:rsidTr="00622374">
        <w:tc>
          <w:tcPr>
            <w:tcW w:w="2410" w:type="dxa"/>
            <w:tcBorders>
              <w:bottom w:val="single" w:sz="4" w:space="0" w:color="FFFFFF" w:themeColor="background1"/>
            </w:tcBorders>
            <w:shd w:val="clear" w:color="auto" w:fill="002060"/>
          </w:tcPr>
          <w:p w14:paraId="6A65312B" w14:textId="77777777" w:rsidR="005B6095" w:rsidRPr="001C78EE" w:rsidRDefault="005B6095" w:rsidP="005B6095">
            <w:pPr>
              <w:jc w:val="left"/>
              <w:rPr>
                <w:b/>
                <w:bCs/>
                <w:szCs w:val="22"/>
                <w:lang w:val="en-GB"/>
              </w:rPr>
            </w:pPr>
            <w:r w:rsidRPr="001C78EE">
              <w:rPr>
                <w:b/>
                <w:bCs/>
                <w:szCs w:val="22"/>
                <w:lang w:val="en-GB"/>
              </w:rPr>
              <w:t>Option 1: Status quo</w:t>
            </w:r>
          </w:p>
        </w:tc>
        <w:tc>
          <w:tcPr>
            <w:tcW w:w="6606" w:type="dxa"/>
            <w:tcBorders>
              <w:bottom w:val="single" w:sz="4" w:space="0" w:color="FFFFFF" w:themeColor="background1"/>
            </w:tcBorders>
            <w:shd w:val="clear" w:color="auto" w:fill="F2F2F2" w:themeFill="background1" w:themeFillShade="F2"/>
          </w:tcPr>
          <w:p w14:paraId="471C31F0" w14:textId="271E162F" w:rsidR="005B6095" w:rsidRPr="001C78EE" w:rsidRDefault="005B6095" w:rsidP="005B6095">
            <w:pPr>
              <w:jc w:val="left"/>
              <w:rPr>
                <w:szCs w:val="22"/>
                <w:lang w:val="en-GB"/>
              </w:rPr>
            </w:pPr>
            <w:r w:rsidRPr="001C78EE">
              <w:rPr>
                <w:szCs w:val="22"/>
                <w:lang w:val="en-GB"/>
              </w:rPr>
              <w:t>Maintain APRA’s existing prudential requirements for counterparty credit risk</w:t>
            </w:r>
            <w:r w:rsidR="00863AEA" w:rsidRPr="001C78EE">
              <w:rPr>
                <w:szCs w:val="22"/>
                <w:lang w:val="en-GB"/>
              </w:rPr>
              <w:t>.</w:t>
            </w:r>
            <w:r w:rsidRPr="001C78EE">
              <w:rPr>
                <w:szCs w:val="22"/>
                <w:lang w:val="en-GB"/>
              </w:rPr>
              <w:t xml:space="preserve"> </w:t>
            </w:r>
          </w:p>
        </w:tc>
      </w:tr>
      <w:tr w:rsidR="005B6095" w:rsidRPr="00E74999" w14:paraId="2379CA7F" w14:textId="77777777" w:rsidTr="00622374">
        <w:tc>
          <w:tcPr>
            <w:tcW w:w="2410" w:type="dxa"/>
            <w:tcBorders>
              <w:top w:val="single" w:sz="4" w:space="0" w:color="FFFFFF" w:themeColor="background1"/>
              <w:bottom w:val="single" w:sz="4" w:space="0" w:color="FFFFFF" w:themeColor="background1"/>
            </w:tcBorders>
            <w:shd w:val="clear" w:color="auto" w:fill="002060"/>
          </w:tcPr>
          <w:p w14:paraId="6C818258" w14:textId="7214B4D8" w:rsidR="005B6095" w:rsidRPr="001C78EE" w:rsidRDefault="005B6095" w:rsidP="00D1652D">
            <w:pPr>
              <w:jc w:val="left"/>
              <w:rPr>
                <w:b/>
                <w:bCs/>
                <w:szCs w:val="22"/>
                <w:lang w:val="en-GB"/>
              </w:rPr>
            </w:pPr>
            <w:r w:rsidRPr="001C78EE">
              <w:rPr>
                <w:b/>
                <w:bCs/>
                <w:szCs w:val="22"/>
                <w:lang w:val="en-GB"/>
              </w:rPr>
              <w:lastRenderedPageBreak/>
              <w:t xml:space="preserve">Option </w:t>
            </w:r>
            <w:r w:rsidR="00D1652D" w:rsidRPr="001C78EE">
              <w:rPr>
                <w:b/>
                <w:bCs/>
                <w:szCs w:val="22"/>
                <w:lang w:val="en-GB"/>
              </w:rPr>
              <w:t>2</w:t>
            </w:r>
            <w:r w:rsidRPr="001C78EE">
              <w:rPr>
                <w:b/>
                <w:bCs/>
                <w:szCs w:val="22"/>
                <w:lang w:val="en-GB"/>
              </w:rPr>
              <w:t>: Apply the SA-CCR to all ADIs</w:t>
            </w:r>
          </w:p>
        </w:tc>
        <w:tc>
          <w:tcPr>
            <w:tcW w:w="6606" w:type="dxa"/>
            <w:tcBorders>
              <w:top w:val="single" w:sz="4" w:space="0" w:color="FFFFFF" w:themeColor="background1"/>
              <w:bottom w:val="single" w:sz="4" w:space="0" w:color="FFFFFF" w:themeColor="background1"/>
            </w:tcBorders>
            <w:shd w:val="clear" w:color="auto" w:fill="F2F2F2" w:themeFill="background1" w:themeFillShade="F2"/>
          </w:tcPr>
          <w:p w14:paraId="3F726AD9" w14:textId="77777777" w:rsidR="005B6095" w:rsidRPr="001C78EE" w:rsidRDefault="005B6095" w:rsidP="005B6095">
            <w:pPr>
              <w:jc w:val="left"/>
              <w:rPr>
                <w:szCs w:val="22"/>
                <w:lang w:val="en-GB"/>
              </w:rPr>
            </w:pPr>
            <w:r w:rsidRPr="001C78EE">
              <w:rPr>
                <w:szCs w:val="22"/>
                <w:lang w:val="en-GB"/>
              </w:rPr>
              <w:t>Apply the SA-CCR to all ADIs. The Basel Committee’s final standard for bank exposures to CCPs would also be applied to all ADIs.</w:t>
            </w:r>
          </w:p>
        </w:tc>
      </w:tr>
      <w:tr w:rsidR="005B6095" w:rsidRPr="00E74999" w14:paraId="2C9C42F1" w14:textId="77777777" w:rsidTr="00622374">
        <w:tc>
          <w:tcPr>
            <w:tcW w:w="2410" w:type="dxa"/>
            <w:tcBorders>
              <w:top w:val="single" w:sz="4" w:space="0" w:color="FFFFFF" w:themeColor="background1"/>
            </w:tcBorders>
            <w:shd w:val="clear" w:color="auto" w:fill="002060"/>
          </w:tcPr>
          <w:p w14:paraId="125A1E71" w14:textId="60187CEA" w:rsidR="005B6095" w:rsidRPr="001C78EE" w:rsidRDefault="005B6095" w:rsidP="00D1652D">
            <w:pPr>
              <w:jc w:val="left"/>
              <w:rPr>
                <w:b/>
                <w:bCs/>
                <w:szCs w:val="22"/>
                <w:lang w:val="en-GB"/>
              </w:rPr>
            </w:pPr>
            <w:r w:rsidRPr="001C78EE">
              <w:rPr>
                <w:b/>
                <w:bCs/>
                <w:szCs w:val="22"/>
                <w:lang w:val="en-GB"/>
              </w:rPr>
              <w:t xml:space="preserve">Option </w:t>
            </w:r>
            <w:r w:rsidR="00D1652D" w:rsidRPr="001C78EE">
              <w:rPr>
                <w:b/>
                <w:bCs/>
                <w:szCs w:val="22"/>
                <w:lang w:val="en-GB"/>
              </w:rPr>
              <w:t>3</w:t>
            </w:r>
            <w:r w:rsidRPr="001C78EE">
              <w:rPr>
                <w:b/>
                <w:bCs/>
                <w:szCs w:val="22"/>
                <w:lang w:val="en-GB"/>
              </w:rPr>
              <w:t>: Apply the SA-CCR to some ADIs</w:t>
            </w:r>
          </w:p>
        </w:tc>
        <w:tc>
          <w:tcPr>
            <w:tcW w:w="6606" w:type="dxa"/>
            <w:tcBorders>
              <w:top w:val="single" w:sz="4" w:space="0" w:color="FFFFFF" w:themeColor="background1"/>
            </w:tcBorders>
            <w:shd w:val="clear" w:color="auto" w:fill="F2F2F2" w:themeFill="background1" w:themeFillShade="F2"/>
          </w:tcPr>
          <w:p w14:paraId="264E8049" w14:textId="671A2728" w:rsidR="005B6095" w:rsidRPr="001C78EE" w:rsidRDefault="00D1652D" w:rsidP="00D1652D">
            <w:pPr>
              <w:jc w:val="left"/>
              <w:rPr>
                <w:szCs w:val="22"/>
                <w:lang w:val="en-GB"/>
              </w:rPr>
            </w:pPr>
            <w:r w:rsidRPr="001C78EE">
              <w:rPr>
                <w:szCs w:val="22"/>
                <w:lang w:val="en-GB"/>
              </w:rPr>
              <w:t>Only a</w:t>
            </w:r>
            <w:r w:rsidR="005B6095" w:rsidRPr="001C78EE">
              <w:rPr>
                <w:szCs w:val="22"/>
                <w:lang w:val="en-GB"/>
              </w:rPr>
              <w:t>pply the SA-CCR to ADIs with material levels of counterparty credit risk exposure. The final standard for bank exposures to CCPs would be applied to all ADIs.</w:t>
            </w:r>
          </w:p>
        </w:tc>
      </w:tr>
    </w:tbl>
    <w:p w14:paraId="01C0E9E7" w14:textId="77777777" w:rsidR="005B6095" w:rsidRPr="00E74999" w:rsidRDefault="005B6095" w:rsidP="00907BA4">
      <w:pPr>
        <w:pStyle w:val="Heading3"/>
      </w:pPr>
      <w:bookmarkStart w:id="6" w:name="_Toc482347828"/>
      <w:bookmarkStart w:id="7" w:name="_Toc483508932"/>
      <w:bookmarkStart w:id="8" w:name="_Toc484768599"/>
      <w:bookmarkStart w:id="9" w:name="_Toc487050996"/>
      <w:bookmarkStart w:id="10" w:name="_Toc487100427"/>
      <w:bookmarkStart w:id="11" w:name="_Toc487100519"/>
      <w:r w:rsidRPr="00E74999">
        <w:t>Option 1: Status quo</w:t>
      </w:r>
      <w:bookmarkEnd w:id="6"/>
      <w:bookmarkEnd w:id="7"/>
      <w:bookmarkEnd w:id="8"/>
      <w:bookmarkEnd w:id="9"/>
      <w:bookmarkEnd w:id="10"/>
      <w:bookmarkEnd w:id="11"/>
    </w:p>
    <w:p w14:paraId="60D9E7EE" w14:textId="06148C10" w:rsidR="005B6095" w:rsidRDefault="005B6095" w:rsidP="001D59AB">
      <w:pPr>
        <w:rPr>
          <w:lang w:val="en-GB"/>
        </w:rPr>
      </w:pPr>
      <w:r w:rsidRPr="00E74999">
        <w:rPr>
          <w:lang w:val="en-GB"/>
        </w:rPr>
        <w:t xml:space="preserve">Under this option, APRA would maintain its </w:t>
      </w:r>
      <w:r w:rsidR="004E62BC">
        <w:rPr>
          <w:lang w:val="en-GB"/>
        </w:rPr>
        <w:t>existing</w:t>
      </w:r>
      <w:r w:rsidRPr="00E74999">
        <w:rPr>
          <w:lang w:val="en-GB"/>
        </w:rPr>
        <w:t xml:space="preserve"> counterparty credit risk prudential and reporting framework for ADIs. APRA’s current framework requires all ADIs to utilise the CEM to calculate exposure at default for counterparty credit risk. The current framework also includes capital requirements for exposures to</w:t>
      </w:r>
      <w:r w:rsidR="00DE69CB">
        <w:rPr>
          <w:lang w:val="en-GB"/>
        </w:rPr>
        <w:t xml:space="preserve"> </w:t>
      </w:r>
      <w:r w:rsidRPr="00E74999">
        <w:rPr>
          <w:lang w:val="en-GB"/>
        </w:rPr>
        <w:t>CCP</w:t>
      </w:r>
      <w:r w:rsidR="00DB2E48">
        <w:rPr>
          <w:lang w:val="en-GB"/>
        </w:rPr>
        <w:t>s</w:t>
      </w:r>
      <w:r w:rsidRPr="00E74999">
        <w:rPr>
          <w:lang w:val="en-GB"/>
        </w:rPr>
        <w:t xml:space="preserve"> based on the Basel Committee’s July</w:t>
      </w:r>
      <w:r w:rsidR="002A1411">
        <w:rPr>
          <w:lang w:val="en-GB"/>
        </w:rPr>
        <w:t> </w:t>
      </w:r>
      <w:r w:rsidRPr="00E74999">
        <w:rPr>
          <w:lang w:val="en-GB"/>
        </w:rPr>
        <w:t>2012 interim standard for bank exposures to CCPs.</w:t>
      </w:r>
    </w:p>
    <w:p w14:paraId="4A766EED" w14:textId="507EA57B" w:rsidR="00DF150F" w:rsidRPr="00E74999" w:rsidRDefault="00DF150F" w:rsidP="001D59AB">
      <w:pPr>
        <w:rPr>
          <w:lang w:val="en-GB"/>
        </w:rPr>
      </w:pPr>
      <w:r w:rsidRPr="00E74999">
        <w:rPr>
          <w:lang w:val="en-GB"/>
        </w:rPr>
        <w:t xml:space="preserve">Under this option, all ADIs would continue to use the CEM to measure counterparty credit risk exposures and </w:t>
      </w:r>
      <w:r>
        <w:rPr>
          <w:lang w:val="en-GB"/>
        </w:rPr>
        <w:t>the</w:t>
      </w:r>
      <w:r w:rsidRPr="00E74999">
        <w:rPr>
          <w:lang w:val="en-GB"/>
        </w:rPr>
        <w:t xml:space="preserve"> identified deficiencies</w:t>
      </w:r>
      <w:r>
        <w:rPr>
          <w:lang w:val="en-GB"/>
        </w:rPr>
        <w:t xml:space="preserve"> noted above</w:t>
      </w:r>
      <w:r w:rsidRPr="00E74999">
        <w:rPr>
          <w:lang w:val="en-GB"/>
        </w:rPr>
        <w:t xml:space="preserve"> would remain.</w:t>
      </w:r>
    </w:p>
    <w:p w14:paraId="22A38B54" w14:textId="77777777" w:rsidR="005B6095" w:rsidRPr="00E74999" w:rsidRDefault="005B6095" w:rsidP="001D59AB">
      <w:pPr>
        <w:rPr>
          <w:lang w:val="en-GB"/>
        </w:rPr>
      </w:pPr>
      <w:r w:rsidRPr="00E74999">
        <w:rPr>
          <w:lang w:val="en-GB"/>
        </w:rPr>
        <w:t>Maintaining the status quo would not result in any immediate additional compliance costs for ADIs; however, there are likely to be a range of indirect costs. These include potential costs resulting from inconsistencies with the international framework and inadequate capital being held against counterparty credit risk exposures, including exposures to CCPs.</w:t>
      </w:r>
    </w:p>
    <w:p w14:paraId="7724D547" w14:textId="6B055228" w:rsidR="005B6095" w:rsidRPr="00E74999" w:rsidRDefault="005B6095" w:rsidP="001D59AB">
      <w:pPr>
        <w:rPr>
          <w:lang w:val="en-GB"/>
        </w:rPr>
      </w:pPr>
      <w:r w:rsidRPr="00E74999">
        <w:rPr>
          <w:lang w:val="en-GB"/>
        </w:rPr>
        <w:t>These indirect costs are not easily quantifiable</w:t>
      </w:r>
      <w:r w:rsidR="00F63833">
        <w:rPr>
          <w:lang w:val="en-GB"/>
        </w:rPr>
        <w:t>,</w:t>
      </w:r>
      <w:r w:rsidRPr="00E74999">
        <w:rPr>
          <w:lang w:val="en-GB"/>
        </w:rPr>
        <w:t xml:space="preserve"> but could </w:t>
      </w:r>
      <w:r w:rsidR="00DE69CB">
        <w:rPr>
          <w:lang w:val="en-GB"/>
        </w:rPr>
        <w:t>range from</w:t>
      </w:r>
      <w:r w:rsidRPr="00E74999">
        <w:rPr>
          <w:lang w:val="en-GB"/>
        </w:rPr>
        <w:t xml:space="preserve"> moderate to significant</w:t>
      </w:r>
      <w:r w:rsidR="00F63833">
        <w:rPr>
          <w:lang w:val="en-GB"/>
        </w:rPr>
        <w:t xml:space="preserve"> in terms of impact</w:t>
      </w:r>
      <w:r w:rsidRPr="00E74999">
        <w:rPr>
          <w:lang w:val="en-GB"/>
        </w:rPr>
        <w:t xml:space="preserve">. The </w:t>
      </w:r>
      <w:r w:rsidR="00F63833">
        <w:rPr>
          <w:lang w:val="en-GB"/>
        </w:rPr>
        <w:t xml:space="preserve">actual indirect </w:t>
      </w:r>
      <w:r w:rsidRPr="00E74999">
        <w:rPr>
          <w:lang w:val="en-GB"/>
        </w:rPr>
        <w:t xml:space="preserve">costs are likely </w:t>
      </w:r>
      <w:r w:rsidR="00DE69CB">
        <w:rPr>
          <w:lang w:val="en-GB"/>
        </w:rPr>
        <w:t xml:space="preserve">to </w:t>
      </w:r>
      <w:r w:rsidRPr="00E74999">
        <w:rPr>
          <w:lang w:val="en-GB"/>
        </w:rPr>
        <w:t xml:space="preserve">depend on the extent of an ADI’s exposure to counterparty credit risk </w:t>
      </w:r>
      <w:r w:rsidR="00F63833">
        <w:rPr>
          <w:lang w:val="en-GB"/>
        </w:rPr>
        <w:t>and</w:t>
      </w:r>
      <w:r w:rsidRPr="00E74999">
        <w:rPr>
          <w:lang w:val="en-GB"/>
        </w:rPr>
        <w:t xml:space="preserve"> its approach to managing </w:t>
      </w:r>
      <w:r w:rsidR="00DB2E48">
        <w:rPr>
          <w:lang w:val="en-GB"/>
        </w:rPr>
        <w:t>this risk</w:t>
      </w:r>
      <w:r w:rsidRPr="00E74999">
        <w:rPr>
          <w:lang w:val="en-GB"/>
        </w:rPr>
        <w:t xml:space="preserve">. These costs </w:t>
      </w:r>
      <w:r w:rsidR="00BD0E27">
        <w:rPr>
          <w:lang w:val="en-GB"/>
        </w:rPr>
        <w:t>may become</w:t>
      </w:r>
      <w:r w:rsidRPr="00E74999">
        <w:rPr>
          <w:lang w:val="en-GB"/>
        </w:rPr>
        <w:t xml:space="preserve"> significant in market</w:t>
      </w:r>
      <w:r w:rsidR="00F63833">
        <w:rPr>
          <w:lang w:val="en-GB"/>
        </w:rPr>
        <w:t>-</w:t>
      </w:r>
      <w:r w:rsidRPr="00E74999">
        <w:rPr>
          <w:lang w:val="en-GB"/>
        </w:rPr>
        <w:t>stress events.</w:t>
      </w:r>
    </w:p>
    <w:p w14:paraId="19BE3379" w14:textId="03A46B0E" w:rsidR="005B6095" w:rsidRPr="00E74999" w:rsidRDefault="005B6095" w:rsidP="001D59AB">
      <w:pPr>
        <w:rPr>
          <w:lang w:val="en-GB"/>
        </w:rPr>
      </w:pPr>
      <w:bookmarkStart w:id="12" w:name="_Toc483508934"/>
      <w:r w:rsidRPr="00E74999">
        <w:rPr>
          <w:lang w:val="en-GB"/>
        </w:rPr>
        <w:t xml:space="preserve">This option would also involve maintaining APRA’s current framework of capital requirements for exposures to CCPs, which is based on the Basel Committee’s July 2012 interim standard. Trading through CCPs </w:t>
      </w:r>
      <w:r w:rsidR="00F63833">
        <w:rPr>
          <w:lang w:val="en-GB"/>
        </w:rPr>
        <w:t>has</w:t>
      </w:r>
      <w:r w:rsidRPr="00E74999">
        <w:rPr>
          <w:lang w:val="en-GB"/>
        </w:rPr>
        <w:t xml:space="preserve"> several benefits compared to trading bilaterally</w:t>
      </w:r>
      <w:r w:rsidR="00F63833">
        <w:rPr>
          <w:lang w:val="en-GB"/>
        </w:rPr>
        <w:t>, including</w:t>
      </w:r>
      <w:r w:rsidRPr="00E74999">
        <w:rPr>
          <w:lang w:val="en-GB"/>
        </w:rPr>
        <w:t>:</w:t>
      </w:r>
      <w:bookmarkEnd w:id="12"/>
    </w:p>
    <w:p w14:paraId="30C96041" w14:textId="09E68FD1" w:rsidR="005B6095" w:rsidRPr="00E74999" w:rsidRDefault="005B6095" w:rsidP="001D59AB">
      <w:pPr>
        <w:pStyle w:val="BULLET1"/>
        <w:rPr>
          <w:lang w:val="en-GB"/>
        </w:rPr>
      </w:pPr>
      <w:bookmarkStart w:id="13" w:name="_Toc483508935"/>
      <w:r w:rsidRPr="00E74999">
        <w:rPr>
          <w:lang w:val="en-GB"/>
        </w:rPr>
        <w:t xml:space="preserve">CCPs can reduce counterparty credit risk by netting exposures on a multilateral basis. </w:t>
      </w:r>
      <w:r w:rsidR="00DB2E48">
        <w:rPr>
          <w:lang w:val="en-GB"/>
        </w:rPr>
        <w:t>That is</w:t>
      </w:r>
      <w:r w:rsidRPr="00E74999">
        <w:rPr>
          <w:lang w:val="en-GB"/>
        </w:rPr>
        <w:t xml:space="preserve">, CCPs can offset an amount due from a party on one transaction against an amount owed to that party on another transaction, reducing the magnitude of </w:t>
      </w:r>
      <w:r w:rsidR="00F63833">
        <w:rPr>
          <w:lang w:val="en-GB"/>
        </w:rPr>
        <w:t>the</w:t>
      </w:r>
      <w:r w:rsidRPr="00E74999">
        <w:rPr>
          <w:lang w:val="en-GB"/>
        </w:rPr>
        <w:t xml:space="preserve"> net exposure </w:t>
      </w:r>
      <w:r w:rsidR="00F63833">
        <w:rPr>
          <w:lang w:val="en-GB"/>
        </w:rPr>
        <w:t xml:space="preserve">to that party </w:t>
      </w:r>
      <w:r w:rsidRPr="00E74999">
        <w:rPr>
          <w:lang w:val="en-GB"/>
        </w:rPr>
        <w:t xml:space="preserve">and </w:t>
      </w:r>
      <w:r w:rsidR="00F63833">
        <w:rPr>
          <w:lang w:val="en-GB"/>
        </w:rPr>
        <w:t xml:space="preserve">any </w:t>
      </w:r>
      <w:r w:rsidRPr="00E74999">
        <w:rPr>
          <w:lang w:val="en-GB"/>
        </w:rPr>
        <w:t>potential loss in the event of default by another counterparty. Multilateral netting also reduc</w:t>
      </w:r>
      <w:r w:rsidR="00F63833">
        <w:rPr>
          <w:lang w:val="en-GB"/>
        </w:rPr>
        <w:t>es</w:t>
      </w:r>
      <w:r w:rsidRPr="00E74999">
        <w:rPr>
          <w:lang w:val="en-GB"/>
        </w:rPr>
        <w:t xml:space="preserve"> a counterparty’s liquidity needs by netting its payment obligations.</w:t>
      </w:r>
      <w:bookmarkEnd w:id="13"/>
    </w:p>
    <w:p w14:paraId="387E7967" w14:textId="50D53238" w:rsidR="005B6095" w:rsidRPr="00E74999" w:rsidRDefault="005B6095" w:rsidP="001D59AB">
      <w:pPr>
        <w:pStyle w:val="BULLET1"/>
        <w:rPr>
          <w:lang w:val="en-GB"/>
        </w:rPr>
      </w:pPr>
      <w:bookmarkStart w:id="14" w:name="_Toc483508936"/>
      <w:r w:rsidRPr="00E74999">
        <w:rPr>
          <w:lang w:val="en-GB"/>
        </w:rPr>
        <w:t>CCPs have systems, rules and resources</w:t>
      </w:r>
      <w:r w:rsidR="00211C2D">
        <w:rPr>
          <w:lang w:val="en-GB"/>
        </w:rPr>
        <w:t xml:space="preserve"> that, in the event of default by one party,</w:t>
      </w:r>
      <w:r w:rsidRPr="00E74999">
        <w:rPr>
          <w:lang w:val="en-GB"/>
        </w:rPr>
        <w:t xml:space="preserve"> facilitate a more orderly and efficient resolution than would occur for bilateral transactions.</w:t>
      </w:r>
      <w:bookmarkEnd w:id="14"/>
    </w:p>
    <w:p w14:paraId="67042B73" w14:textId="0881A72E" w:rsidR="005B6095" w:rsidRPr="00E74999" w:rsidRDefault="005B6095" w:rsidP="001D59AB">
      <w:pPr>
        <w:pStyle w:val="BULLET1"/>
        <w:rPr>
          <w:lang w:val="en-GB"/>
        </w:rPr>
      </w:pPr>
      <w:bookmarkStart w:id="15" w:name="_Toc483508937"/>
      <w:r w:rsidRPr="00E74999">
        <w:rPr>
          <w:lang w:val="en-GB"/>
        </w:rPr>
        <w:lastRenderedPageBreak/>
        <w:t>Further, CCPs generally require all positions to have collateral held as a mitigant against counterparty credit risk.</w:t>
      </w:r>
      <w:bookmarkEnd w:id="15"/>
    </w:p>
    <w:p w14:paraId="2603BC1C" w14:textId="1AE9A512" w:rsidR="005B6095" w:rsidRPr="00E74999" w:rsidRDefault="00DB2E48" w:rsidP="001D59AB">
      <w:pPr>
        <w:pStyle w:val="BULLET1"/>
        <w:rPr>
          <w:lang w:val="en-GB"/>
        </w:rPr>
      </w:pPr>
      <w:bookmarkStart w:id="16" w:name="_Toc483508938"/>
      <w:r>
        <w:rPr>
          <w:lang w:val="en-GB"/>
        </w:rPr>
        <w:t>T</w:t>
      </w:r>
      <w:r w:rsidR="005B6095" w:rsidRPr="00E74999">
        <w:rPr>
          <w:lang w:val="en-GB"/>
        </w:rPr>
        <w:t>rading through CCPs increases market transparency by making information on activities and exposures available to regulators and the public.</w:t>
      </w:r>
      <w:bookmarkEnd w:id="16"/>
    </w:p>
    <w:p w14:paraId="78545622" w14:textId="6D941CE2" w:rsidR="005B6095" w:rsidRPr="00E74999" w:rsidRDefault="005B6095" w:rsidP="001D59AB">
      <w:pPr>
        <w:rPr>
          <w:lang w:val="en-GB"/>
        </w:rPr>
      </w:pPr>
      <w:bookmarkStart w:id="17" w:name="_Toc483508939"/>
      <w:r w:rsidRPr="00E74999">
        <w:rPr>
          <w:lang w:val="en-GB"/>
        </w:rPr>
        <w:t xml:space="preserve">While wider use of CCPs has the potential to lower entity-level counterparty credit risk and increase the systemic resilience of OTC derivatives markets, an ADI that enters into transactions with a CCP takes on an exposure to that CCP. The ADI may still be liable for loss if another member of the CCP defaults and the CCP is unable to cover the resultant losses out of the collateral contributed by the defaulter or </w:t>
      </w:r>
      <w:r w:rsidR="00211C2D">
        <w:rPr>
          <w:lang w:val="en-GB"/>
        </w:rPr>
        <w:t xml:space="preserve">is unable to </w:t>
      </w:r>
      <w:r w:rsidRPr="00E74999">
        <w:rPr>
          <w:lang w:val="en-GB"/>
        </w:rPr>
        <w:t>find another appropriate remedy. In such cases, the CCP may pass on losses to its other members.</w:t>
      </w:r>
      <w:bookmarkEnd w:id="17"/>
    </w:p>
    <w:p w14:paraId="12BE03EB" w14:textId="545E06E7" w:rsidR="005B6095" w:rsidRPr="00E74999" w:rsidRDefault="005B6095" w:rsidP="001D59AB">
      <w:pPr>
        <w:rPr>
          <w:lang w:val="en-GB"/>
        </w:rPr>
      </w:pPr>
      <w:bookmarkStart w:id="18" w:name="_Toc483508945"/>
      <w:r w:rsidRPr="00E74999">
        <w:rPr>
          <w:lang w:val="en-GB"/>
        </w:rPr>
        <w:t>As APRA would maintain its current framework</w:t>
      </w:r>
      <w:r w:rsidR="004139FA">
        <w:rPr>
          <w:lang w:val="en-GB"/>
        </w:rPr>
        <w:t xml:space="preserve"> under </w:t>
      </w:r>
      <w:r w:rsidR="003A2774">
        <w:rPr>
          <w:lang w:val="en-GB"/>
        </w:rPr>
        <w:t>O</w:t>
      </w:r>
      <w:r w:rsidR="004139FA">
        <w:rPr>
          <w:lang w:val="en-GB"/>
        </w:rPr>
        <w:t>ption 1</w:t>
      </w:r>
      <w:r w:rsidRPr="00E74999">
        <w:rPr>
          <w:lang w:val="en-GB"/>
        </w:rPr>
        <w:t xml:space="preserve">, the identified deficiencies in capital requirements for exposures to CCPs would </w:t>
      </w:r>
      <w:r w:rsidR="004139FA">
        <w:rPr>
          <w:lang w:val="en-GB"/>
        </w:rPr>
        <w:t>remain.</w:t>
      </w:r>
      <w:r w:rsidRPr="00E74999">
        <w:rPr>
          <w:lang w:val="en-GB"/>
        </w:rPr>
        <w:t xml:space="preserve"> This is also likely to result in a number of indirect costs due to capital requirements not </w:t>
      </w:r>
      <w:r w:rsidR="00EF6DBA">
        <w:rPr>
          <w:lang w:val="en-GB"/>
        </w:rPr>
        <w:t>favouring</w:t>
      </w:r>
      <w:r w:rsidRPr="00E74999">
        <w:rPr>
          <w:lang w:val="en-GB"/>
        </w:rPr>
        <w:t xml:space="preserve"> central clearing, inconsistencies with the international framework – which are likely to be particularly pronounced due to the reliance on large global CCPs to make available to ADIs </w:t>
      </w:r>
      <w:r w:rsidR="003D27B5">
        <w:rPr>
          <w:lang w:val="en-GB"/>
        </w:rPr>
        <w:t xml:space="preserve">the </w:t>
      </w:r>
      <w:r w:rsidRPr="00E74999">
        <w:rPr>
          <w:lang w:val="en-GB"/>
        </w:rPr>
        <w:t>data necessary to undertake the required calculations – and insufficient capital being held against certain exposures to CCPs.</w:t>
      </w:r>
      <w:bookmarkEnd w:id="18"/>
    </w:p>
    <w:p w14:paraId="1EA91C60" w14:textId="77777777" w:rsidR="005B6095" w:rsidRPr="00E74999" w:rsidRDefault="005B6095" w:rsidP="00907BA4">
      <w:pPr>
        <w:pStyle w:val="Heading3"/>
      </w:pPr>
      <w:bookmarkStart w:id="19" w:name="_Toc482347830"/>
      <w:bookmarkStart w:id="20" w:name="_Toc483508946"/>
      <w:bookmarkStart w:id="21" w:name="_Toc484768600"/>
      <w:bookmarkStart w:id="22" w:name="_Toc487050997"/>
      <w:bookmarkStart w:id="23" w:name="_Toc487100428"/>
      <w:bookmarkStart w:id="24" w:name="_Toc487100520"/>
      <w:r w:rsidRPr="00E74999">
        <w:t>Option 2: Apply the SA-CCR to all ADIs</w:t>
      </w:r>
      <w:bookmarkEnd w:id="19"/>
      <w:bookmarkEnd w:id="20"/>
      <w:bookmarkEnd w:id="21"/>
      <w:bookmarkEnd w:id="22"/>
      <w:bookmarkEnd w:id="23"/>
      <w:bookmarkEnd w:id="24"/>
    </w:p>
    <w:p w14:paraId="33C02C5A" w14:textId="1C357A60" w:rsidR="00627676" w:rsidRDefault="005B6095" w:rsidP="001D59AB">
      <w:pPr>
        <w:rPr>
          <w:lang w:val="en-GB"/>
        </w:rPr>
      </w:pPr>
      <w:r w:rsidRPr="00E74999">
        <w:rPr>
          <w:lang w:val="en-GB"/>
        </w:rPr>
        <w:t>A second option is for APRA’s counterparty credit risk framework, including reporting requirements, to be amended to fully incorporate the SA-CCR. APRA consulted on this option in September 2016.</w:t>
      </w:r>
      <w:bookmarkStart w:id="25" w:name="_Toc482347829"/>
    </w:p>
    <w:p w14:paraId="58B245B9" w14:textId="085A3C4D" w:rsidR="005B6095" w:rsidRPr="00E74999" w:rsidRDefault="00627676" w:rsidP="001D59AB">
      <w:pPr>
        <w:rPr>
          <w:lang w:val="en-GB"/>
        </w:rPr>
      </w:pPr>
      <w:r w:rsidRPr="00E74999">
        <w:rPr>
          <w:lang w:val="en-GB"/>
        </w:rPr>
        <w:t xml:space="preserve">The </w:t>
      </w:r>
      <w:r w:rsidR="0058305E">
        <w:rPr>
          <w:lang w:val="en-GB"/>
        </w:rPr>
        <w:t>S</w:t>
      </w:r>
      <w:r w:rsidRPr="00E74999">
        <w:rPr>
          <w:lang w:val="en-GB"/>
        </w:rPr>
        <w:t>A-CCR is a new approach for measuring counterparty credit risk exposures that has been designed to address known deficiencies in the existing methodologies and achieve a more risk</w:t>
      </w:r>
      <w:r w:rsidR="00F410F6">
        <w:rPr>
          <w:lang w:val="en-GB"/>
        </w:rPr>
        <w:t>-</w:t>
      </w:r>
      <w:r w:rsidRPr="00E74999">
        <w:rPr>
          <w:lang w:val="en-GB"/>
        </w:rPr>
        <w:t>sensitive and accurate measurement of counterparty credit risk exposures. Under the revised framework, the exposure value determined under the SA-CCR is multiplied by the risk weight assigned to the counterparty to the transaction to generate the counterparty credit risk capital requirement.</w:t>
      </w:r>
      <w:bookmarkEnd w:id="25"/>
    </w:p>
    <w:p w14:paraId="4A29A28C" w14:textId="1AF01191" w:rsidR="005B6095" w:rsidRPr="00E74999" w:rsidRDefault="005B6095" w:rsidP="001D59AB">
      <w:pPr>
        <w:rPr>
          <w:lang w:val="en-GB"/>
        </w:rPr>
      </w:pPr>
      <w:r w:rsidRPr="00E74999">
        <w:rPr>
          <w:lang w:val="en-GB"/>
        </w:rPr>
        <w:t xml:space="preserve">As the SA-CCR is designed to address the deficiencies identified in the CEM, APRA considers that there are significant benefits associated with implementation. In particular, the SA-CCR is a marked improvement over the CEM in terms of granularity and risk sensitivity in the measurement of counterparty credit risk exposures. This option would address the deficiencies outlined under </w:t>
      </w:r>
      <w:r w:rsidR="003A2774">
        <w:rPr>
          <w:lang w:val="en-GB"/>
        </w:rPr>
        <w:t>O</w:t>
      </w:r>
      <w:r w:rsidRPr="00E74999">
        <w:rPr>
          <w:lang w:val="en-GB"/>
        </w:rPr>
        <w:t>ption 1 above.</w:t>
      </w:r>
    </w:p>
    <w:p w14:paraId="3A4DB49E" w14:textId="4538689B" w:rsidR="005B6095" w:rsidRPr="00E74999" w:rsidRDefault="005B6095" w:rsidP="001D59AB">
      <w:pPr>
        <w:rPr>
          <w:lang w:val="en-GB"/>
        </w:rPr>
      </w:pPr>
      <w:r w:rsidRPr="00E74999">
        <w:rPr>
          <w:lang w:val="en-GB"/>
        </w:rPr>
        <w:lastRenderedPageBreak/>
        <w:t xml:space="preserve">The benefits of implementing the SA-CCR are likely to be </w:t>
      </w:r>
      <w:r w:rsidR="0058305E">
        <w:rPr>
          <w:lang w:val="en-GB"/>
        </w:rPr>
        <w:t>greatest</w:t>
      </w:r>
      <w:r w:rsidRPr="00E74999">
        <w:rPr>
          <w:lang w:val="en-GB"/>
        </w:rPr>
        <w:t xml:space="preserve"> for ADIs </w:t>
      </w:r>
      <w:r w:rsidR="0058305E">
        <w:rPr>
          <w:lang w:val="en-GB"/>
        </w:rPr>
        <w:t>with</w:t>
      </w:r>
      <w:r w:rsidRPr="00E74999">
        <w:rPr>
          <w:lang w:val="en-GB"/>
        </w:rPr>
        <w:t xml:space="preserve"> large</w:t>
      </w:r>
      <w:r w:rsidR="003D27B5">
        <w:rPr>
          <w:lang w:val="en-GB"/>
        </w:rPr>
        <w:t>r, more</w:t>
      </w:r>
      <w:r w:rsidRPr="00E74999">
        <w:rPr>
          <w:lang w:val="en-GB"/>
        </w:rPr>
        <w:t xml:space="preserve"> complex counterparty credit risk exposures and </w:t>
      </w:r>
      <w:r w:rsidR="0058305E">
        <w:rPr>
          <w:lang w:val="en-GB"/>
        </w:rPr>
        <w:t xml:space="preserve">that </w:t>
      </w:r>
      <w:r w:rsidRPr="00E74999">
        <w:rPr>
          <w:lang w:val="en-GB"/>
        </w:rPr>
        <w:t xml:space="preserve">are </w:t>
      </w:r>
      <w:r w:rsidR="0058305E">
        <w:rPr>
          <w:lang w:val="en-GB"/>
        </w:rPr>
        <w:t xml:space="preserve">internationally </w:t>
      </w:r>
      <w:r w:rsidRPr="00E74999">
        <w:rPr>
          <w:lang w:val="en-GB"/>
        </w:rPr>
        <w:t>active</w:t>
      </w:r>
      <w:r w:rsidR="0058305E">
        <w:rPr>
          <w:lang w:val="en-GB"/>
        </w:rPr>
        <w:t xml:space="preserve">. The benefits </w:t>
      </w:r>
      <w:r w:rsidRPr="00E74999">
        <w:rPr>
          <w:lang w:val="en-GB"/>
        </w:rPr>
        <w:t xml:space="preserve">from requiring smaller ADIs </w:t>
      </w:r>
      <w:r w:rsidR="0058305E">
        <w:rPr>
          <w:lang w:val="en-GB"/>
        </w:rPr>
        <w:t>with</w:t>
      </w:r>
      <w:r w:rsidRPr="00E74999">
        <w:rPr>
          <w:lang w:val="en-GB"/>
        </w:rPr>
        <w:t xml:space="preserve"> </w:t>
      </w:r>
      <w:r w:rsidR="0058305E">
        <w:rPr>
          <w:lang w:val="en-GB"/>
        </w:rPr>
        <w:t>lower</w:t>
      </w:r>
      <w:r w:rsidRPr="00E74999">
        <w:rPr>
          <w:lang w:val="en-GB"/>
        </w:rPr>
        <w:t xml:space="preserve"> levels of exposure to implement the SA-CCR</w:t>
      </w:r>
      <w:r w:rsidR="0058305E">
        <w:rPr>
          <w:lang w:val="en-GB"/>
        </w:rPr>
        <w:t xml:space="preserve"> would be considerably less than those for ADIs with larger, more complex counterparty credit risk exposures</w:t>
      </w:r>
      <w:r w:rsidRPr="00E74999">
        <w:rPr>
          <w:lang w:val="en-GB"/>
        </w:rPr>
        <w:t>.</w:t>
      </w:r>
    </w:p>
    <w:p w14:paraId="5216F07B" w14:textId="57E65696" w:rsidR="005B6095" w:rsidRPr="00E74999" w:rsidRDefault="005B6095" w:rsidP="001D59AB">
      <w:pPr>
        <w:rPr>
          <w:lang w:val="en-GB"/>
        </w:rPr>
      </w:pPr>
      <w:r w:rsidRPr="00E74999">
        <w:rPr>
          <w:lang w:val="en-GB"/>
        </w:rPr>
        <w:t xml:space="preserve">While the SA-CCR methodology has been designed to improve risk sensitivity without creating undue complexity, it does require more complex calculations than the CEM. Implementation of the SA-CCR </w:t>
      </w:r>
      <w:r w:rsidR="0058305E">
        <w:rPr>
          <w:lang w:val="en-GB"/>
        </w:rPr>
        <w:t>would</w:t>
      </w:r>
      <w:r w:rsidRPr="00E74999">
        <w:rPr>
          <w:lang w:val="en-GB"/>
        </w:rPr>
        <w:t xml:space="preserve"> therefore impose additional</w:t>
      </w:r>
      <w:r w:rsidR="00FB5C77">
        <w:rPr>
          <w:lang w:val="en-GB"/>
        </w:rPr>
        <w:t>, potentially substantial,</w:t>
      </w:r>
      <w:r w:rsidRPr="00E74999">
        <w:rPr>
          <w:lang w:val="en-GB"/>
        </w:rPr>
        <w:t xml:space="preserve"> compliance costs on ADIs. </w:t>
      </w:r>
      <w:r w:rsidR="0058305E">
        <w:rPr>
          <w:lang w:val="en-GB"/>
        </w:rPr>
        <w:t xml:space="preserve">These </w:t>
      </w:r>
      <w:r w:rsidRPr="00E74999">
        <w:rPr>
          <w:lang w:val="en-GB"/>
        </w:rPr>
        <w:t xml:space="preserve">costs are expected to include systems procurement </w:t>
      </w:r>
      <w:r w:rsidR="0058305E">
        <w:rPr>
          <w:lang w:val="en-GB"/>
        </w:rPr>
        <w:t>and</w:t>
      </w:r>
      <w:r w:rsidRPr="00E74999">
        <w:rPr>
          <w:lang w:val="en-GB"/>
        </w:rPr>
        <w:t xml:space="preserve"> build costs, data and computation costs and regulatory reporting costs. APRA expects </w:t>
      </w:r>
      <w:r w:rsidR="00F410F6">
        <w:rPr>
          <w:lang w:val="en-GB"/>
        </w:rPr>
        <w:t xml:space="preserve">that </w:t>
      </w:r>
      <w:r w:rsidRPr="00E74999">
        <w:rPr>
          <w:lang w:val="en-GB"/>
        </w:rPr>
        <w:t xml:space="preserve">this option would result in higher compliance costs than under </w:t>
      </w:r>
      <w:r w:rsidR="003A2774">
        <w:rPr>
          <w:lang w:val="en-GB"/>
        </w:rPr>
        <w:t>O</w:t>
      </w:r>
      <w:r w:rsidRPr="00E74999">
        <w:rPr>
          <w:lang w:val="en-GB"/>
        </w:rPr>
        <w:t xml:space="preserve">ption 3, as </w:t>
      </w:r>
      <w:r w:rsidR="00F410F6">
        <w:rPr>
          <w:lang w:val="en-GB"/>
        </w:rPr>
        <w:t>it</w:t>
      </w:r>
      <w:r w:rsidRPr="00E74999">
        <w:rPr>
          <w:lang w:val="en-GB"/>
        </w:rPr>
        <w:t xml:space="preserve"> would involve applying the SA-CCR methodology to all ADIs, including those with immaterial levels of counterparty credit risk exposure.</w:t>
      </w:r>
    </w:p>
    <w:p w14:paraId="55148BC7" w14:textId="2B5EC399" w:rsidR="005B6095" w:rsidRPr="00E74999" w:rsidRDefault="005B6095" w:rsidP="001D59AB">
      <w:pPr>
        <w:rPr>
          <w:lang w:val="en-GB"/>
        </w:rPr>
      </w:pPr>
      <w:r w:rsidRPr="00E74999">
        <w:rPr>
          <w:lang w:val="en-GB"/>
        </w:rPr>
        <w:t>This option would also involve updating APRA’s capital requirements for exposures to CCPs to reflect the Basel Committee’s final standard. The benefits of incorporating the modifications to the capital framework for exposures to CCPs include ensuring ADIs hold a more appropriate level of regulatory capital against the risks they undertake in transacting with CCPs and ensuring alignment of incentives for central clearing.</w:t>
      </w:r>
    </w:p>
    <w:p w14:paraId="10433D1E" w14:textId="2011CC1E" w:rsidR="005B6095" w:rsidRPr="00E74999" w:rsidRDefault="005B6095" w:rsidP="001D59AB">
      <w:pPr>
        <w:rPr>
          <w:lang w:val="en-GB"/>
        </w:rPr>
      </w:pPr>
      <w:r w:rsidRPr="00E74999">
        <w:rPr>
          <w:lang w:val="en-GB"/>
        </w:rPr>
        <w:t>ADIs are also expected to face compliance costs associated with the implementation of the final standard for bank exposures to CCPs. These costs a</w:t>
      </w:r>
      <w:r w:rsidR="004821F3">
        <w:rPr>
          <w:lang w:val="en-GB"/>
        </w:rPr>
        <w:t>re</w:t>
      </w:r>
      <w:r w:rsidRPr="00E74999">
        <w:rPr>
          <w:lang w:val="en-GB"/>
        </w:rPr>
        <w:t xml:space="preserve"> expected to be significantly lower than the costs associated with SA-CCR implementation as many elements of the framework for bank exposures to CCPs would remain unchanged, and fewer ADIs would be affected by the changes as core aspects of the revised framework</w:t>
      </w:r>
      <w:r w:rsidR="004821F3">
        <w:rPr>
          <w:lang w:val="en-GB"/>
        </w:rPr>
        <w:t>,</w:t>
      </w:r>
      <w:r w:rsidRPr="00E74999">
        <w:rPr>
          <w:lang w:val="en-GB"/>
        </w:rPr>
        <w:t xml:space="preserve"> such as the calculation of capital requirements for default fund exposures to QCCPs</w:t>
      </w:r>
      <w:r w:rsidR="004821F3">
        <w:rPr>
          <w:lang w:val="en-GB"/>
        </w:rPr>
        <w:t>,</w:t>
      </w:r>
      <w:r w:rsidRPr="00E74999">
        <w:rPr>
          <w:lang w:val="en-GB"/>
        </w:rPr>
        <w:t xml:space="preserve"> are only relevant for ADIs who are clearing members of QCCPs (i.e. large</w:t>
      </w:r>
      <w:r w:rsidR="003D27B5">
        <w:rPr>
          <w:lang w:val="en-GB"/>
        </w:rPr>
        <w:t>,</w:t>
      </w:r>
      <w:r w:rsidRPr="00E74999">
        <w:rPr>
          <w:lang w:val="en-GB"/>
        </w:rPr>
        <w:t xml:space="preserve"> </w:t>
      </w:r>
      <w:r w:rsidR="004821F3">
        <w:rPr>
          <w:lang w:val="en-GB"/>
        </w:rPr>
        <w:t xml:space="preserve">more </w:t>
      </w:r>
      <w:r w:rsidRPr="00E74999">
        <w:rPr>
          <w:lang w:val="en-GB"/>
        </w:rPr>
        <w:t>sophisticated ADIs).</w:t>
      </w:r>
    </w:p>
    <w:p w14:paraId="7E8C69FB" w14:textId="1B748151" w:rsidR="005B6095" w:rsidRPr="00E74999" w:rsidRDefault="005B6095" w:rsidP="00907BA4">
      <w:pPr>
        <w:pStyle w:val="Heading3"/>
      </w:pPr>
      <w:bookmarkStart w:id="26" w:name="_Toc487050998"/>
      <w:bookmarkStart w:id="27" w:name="_Toc487100429"/>
      <w:bookmarkStart w:id="28" w:name="_Toc487100521"/>
      <w:bookmarkStart w:id="29" w:name="_Toc482347831"/>
      <w:bookmarkStart w:id="30" w:name="_Toc483508947"/>
      <w:bookmarkStart w:id="31" w:name="_Toc484768601"/>
      <w:r w:rsidRPr="00E74999">
        <w:t xml:space="preserve">Option 3: </w:t>
      </w:r>
      <w:r w:rsidR="00D1652D">
        <w:t>Only a</w:t>
      </w:r>
      <w:r w:rsidRPr="00E74999">
        <w:t>pply the SA-CCR to ADIs with material levels of counterparty credit risk exposure</w:t>
      </w:r>
      <w:bookmarkEnd w:id="26"/>
      <w:bookmarkEnd w:id="27"/>
      <w:bookmarkEnd w:id="28"/>
      <w:bookmarkEnd w:id="29"/>
      <w:bookmarkEnd w:id="30"/>
      <w:bookmarkEnd w:id="31"/>
    </w:p>
    <w:p w14:paraId="6BCACA53" w14:textId="0D9608FF" w:rsidR="005B6095" w:rsidRPr="00E74999" w:rsidRDefault="005B6095" w:rsidP="001D59AB">
      <w:pPr>
        <w:rPr>
          <w:lang w:val="en-GB"/>
        </w:rPr>
      </w:pPr>
      <w:r w:rsidRPr="00E74999">
        <w:rPr>
          <w:lang w:val="en-GB"/>
        </w:rPr>
        <w:t xml:space="preserve">Given the compliance costs associated with implementing the SA-CCR, an alternative option is to apply the SA-CCR methodology </w:t>
      </w:r>
      <w:r w:rsidR="00767DB9">
        <w:rPr>
          <w:lang w:val="en-GB"/>
        </w:rPr>
        <w:t xml:space="preserve">only </w:t>
      </w:r>
      <w:r w:rsidRPr="00E74999">
        <w:rPr>
          <w:lang w:val="en-GB"/>
        </w:rPr>
        <w:t>to those ADIs with material counterparty credit risk exposures and apply a simpler alternative to other ADIs.</w:t>
      </w:r>
    </w:p>
    <w:p w14:paraId="5DC0D400" w14:textId="56DED931" w:rsidR="005B6095" w:rsidRPr="00E74999" w:rsidRDefault="005B6095" w:rsidP="001D59AB">
      <w:pPr>
        <w:rPr>
          <w:lang w:val="en-GB"/>
        </w:rPr>
      </w:pPr>
      <w:r w:rsidRPr="00E74999">
        <w:rPr>
          <w:lang w:val="en-GB"/>
        </w:rPr>
        <w:t xml:space="preserve">This option is expected to result in similar benefits to </w:t>
      </w:r>
      <w:r w:rsidR="00940031">
        <w:rPr>
          <w:lang w:val="en-GB"/>
        </w:rPr>
        <w:t>O</w:t>
      </w:r>
      <w:r w:rsidRPr="00E74999">
        <w:rPr>
          <w:lang w:val="en-GB"/>
        </w:rPr>
        <w:t xml:space="preserve">ption 2 due to the high concentration in counterparty credit risk exposures amongst the largest ADIs in Australia. As ADIs with the largest exposures represent a substantial majority of the market, applying the SA-CCR to only </w:t>
      </w:r>
      <w:r w:rsidR="00863AEA">
        <w:rPr>
          <w:lang w:val="en-GB"/>
        </w:rPr>
        <w:t xml:space="preserve">those </w:t>
      </w:r>
      <w:r w:rsidRPr="00E74999">
        <w:rPr>
          <w:lang w:val="en-GB"/>
        </w:rPr>
        <w:t>ADIs</w:t>
      </w:r>
      <w:r w:rsidR="00863AEA">
        <w:rPr>
          <w:lang w:val="en-GB"/>
        </w:rPr>
        <w:t xml:space="preserve"> approved to use the internal ratings-based approach to credit risk (IRB ADIs)</w:t>
      </w:r>
      <w:r w:rsidRPr="00E74999">
        <w:rPr>
          <w:lang w:val="en-GB"/>
        </w:rPr>
        <w:t xml:space="preserve"> would result in use of the SA-CCR for the majority of all ADIs’ exposures, and by the main participants in international </w:t>
      </w:r>
      <w:r w:rsidRPr="00E74999">
        <w:rPr>
          <w:lang w:val="en-GB"/>
        </w:rPr>
        <w:lastRenderedPageBreak/>
        <w:t>markets. Further, some of the key benefits associated with the SA-CCR include more granular and meaningful recognition of netting, and differentiation between margined and unmargined exposures. These benefits are likely to be most relevant for ADIs that have the most sophisticated netting and margining practices for their portfolio of OTC derivatives, exchange-traded derivatives and long settlement transactions.</w:t>
      </w:r>
    </w:p>
    <w:p w14:paraId="4991FBF6" w14:textId="6D3AD6CE" w:rsidR="005B6095" w:rsidRPr="00E74999" w:rsidRDefault="005B6095" w:rsidP="001D59AB">
      <w:pPr>
        <w:rPr>
          <w:lang w:val="en-GB"/>
        </w:rPr>
      </w:pPr>
      <w:r w:rsidRPr="00E74999">
        <w:rPr>
          <w:lang w:val="en-GB"/>
        </w:rPr>
        <w:t>For ADIs with immaterial counterparty credit risk</w:t>
      </w:r>
      <w:r w:rsidR="00767DB9">
        <w:rPr>
          <w:lang w:val="en-GB"/>
        </w:rPr>
        <w:t xml:space="preserve"> exposure</w:t>
      </w:r>
      <w:r w:rsidRPr="00E74999">
        <w:rPr>
          <w:lang w:val="en-GB"/>
        </w:rPr>
        <w:t>, APRA considers that an equivalent level of financial safety could be achieved at significantly lower compliance costs by maintaining the current methodology (the CEM) and recalibrating the calculation (through the application of scaling factors) to approximate the additional conservatism</w:t>
      </w:r>
      <w:r w:rsidR="00767DB9">
        <w:rPr>
          <w:lang w:val="en-GB"/>
        </w:rPr>
        <w:t xml:space="preserve"> in the SA-CCR and differentiating</w:t>
      </w:r>
      <w:r w:rsidRPr="00E74999">
        <w:rPr>
          <w:lang w:val="en-GB"/>
        </w:rPr>
        <w:t xml:space="preserve"> between margined and unmargined exposures in the calculation of capital requirements. </w:t>
      </w:r>
      <w:r w:rsidR="00767DB9">
        <w:rPr>
          <w:lang w:val="en-GB"/>
        </w:rPr>
        <w:t>T</w:t>
      </w:r>
      <w:r w:rsidRPr="00E74999">
        <w:rPr>
          <w:lang w:val="en-GB"/>
        </w:rPr>
        <w:t>his option would</w:t>
      </w:r>
      <w:r w:rsidR="00767DB9">
        <w:rPr>
          <w:lang w:val="en-GB"/>
        </w:rPr>
        <w:t xml:space="preserve"> </w:t>
      </w:r>
      <w:r w:rsidRPr="00E74999">
        <w:rPr>
          <w:lang w:val="en-GB"/>
        </w:rPr>
        <w:t>result in minimal additional compliance costs for those ADIs that maintain an adjusted version of the CEM. Under this option, APRA could also allow a standardised ADI to opt-in to using the SA-CCR.</w:t>
      </w:r>
    </w:p>
    <w:p w14:paraId="007BDECB" w14:textId="1073EECA" w:rsidR="005B6095" w:rsidRPr="00E74999" w:rsidRDefault="005B6095" w:rsidP="001D59AB">
      <w:pPr>
        <w:rPr>
          <w:lang w:val="en-GB"/>
        </w:rPr>
      </w:pPr>
      <w:r w:rsidRPr="00E74999">
        <w:rPr>
          <w:lang w:val="en-GB"/>
        </w:rPr>
        <w:t xml:space="preserve">Compliance costs for those ADIs required to implement SA-CCR under this option are expected to be equivalent to those under </w:t>
      </w:r>
      <w:r w:rsidR="00940031">
        <w:rPr>
          <w:lang w:val="en-GB"/>
        </w:rPr>
        <w:t>O</w:t>
      </w:r>
      <w:r w:rsidRPr="00E74999">
        <w:rPr>
          <w:lang w:val="en-GB"/>
        </w:rPr>
        <w:t xml:space="preserve">ption 2; however, the aggregate compliance costs associated with this option are likely to </w:t>
      </w:r>
      <w:r w:rsidR="00863AEA">
        <w:rPr>
          <w:lang w:val="en-GB"/>
        </w:rPr>
        <w:t xml:space="preserve">be </w:t>
      </w:r>
      <w:r w:rsidRPr="00E74999">
        <w:rPr>
          <w:lang w:val="en-GB"/>
        </w:rPr>
        <w:t xml:space="preserve">materially lower than under </w:t>
      </w:r>
      <w:r w:rsidR="00940031">
        <w:rPr>
          <w:lang w:val="en-GB"/>
        </w:rPr>
        <w:t>O</w:t>
      </w:r>
      <w:r w:rsidRPr="00E74999">
        <w:rPr>
          <w:lang w:val="en-GB"/>
        </w:rPr>
        <w:t xml:space="preserve">ption 2 due to the application of the SA-CCR to </w:t>
      </w:r>
      <w:r w:rsidR="00FA4758">
        <w:rPr>
          <w:lang w:val="en-GB"/>
        </w:rPr>
        <w:t>a limited number of</w:t>
      </w:r>
      <w:r w:rsidRPr="00E74999">
        <w:rPr>
          <w:lang w:val="en-GB"/>
        </w:rPr>
        <w:t xml:space="preserve"> ADIs.</w:t>
      </w:r>
    </w:p>
    <w:p w14:paraId="419DD724" w14:textId="61D02119" w:rsidR="00494822" w:rsidRDefault="005B6095" w:rsidP="001D59AB">
      <w:r w:rsidRPr="00E74999">
        <w:t>This option would also involve amending APRA’s requirements for counterparty credit risk to incorporate the Basel Committee’s final standard o</w:t>
      </w:r>
      <w:r w:rsidR="0026129E">
        <w:t>n</w:t>
      </w:r>
      <w:r w:rsidRPr="00E74999">
        <w:t xml:space="preserve"> capital requirements for bank exposures to CCPs. As noted </w:t>
      </w:r>
      <w:r w:rsidR="0026129E">
        <w:t>previously</w:t>
      </w:r>
      <w:r w:rsidRPr="00E74999">
        <w:t xml:space="preserve">, the costs associated </w:t>
      </w:r>
      <w:r w:rsidR="0026129E">
        <w:t xml:space="preserve">with </w:t>
      </w:r>
      <w:r w:rsidRPr="00E74999">
        <w:t xml:space="preserve">implementation of the final standard for exposures to CCPs are expected to be substantially lower than the cost of implementing the SA-CCR and, while the </w:t>
      </w:r>
      <w:r w:rsidR="00135BE0">
        <w:t>APRA’s</w:t>
      </w:r>
      <w:r w:rsidRPr="00E74999">
        <w:t xml:space="preserve"> standard would apply to all ADIs, many aspects of the revised framework are relevant only where an ADI undertakes a certain activity, such as participating as a clearing member of a QCCP. The costs and benefits associated with implementation of the Basel Committee’s final standard o</w:t>
      </w:r>
      <w:r w:rsidR="0026129E">
        <w:t>n</w:t>
      </w:r>
      <w:r w:rsidRPr="00E74999">
        <w:t xml:space="preserve"> capital requirements for bank exposures to CCPs would be the same as under </w:t>
      </w:r>
      <w:r w:rsidR="003A2774">
        <w:t>O</w:t>
      </w:r>
      <w:r w:rsidRPr="00E74999">
        <w:t>ption 2.</w:t>
      </w:r>
    </w:p>
    <w:p w14:paraId="02E7C52F" w14:textId="50B5FD3E" w:rsidR="0026129E" w:rsidRDefault="0026129E" w:rsidP="0026129E">
      <w:pPr>
        <w:pStyle w:val="Heading2"/>
        <w:rPr>
          <w:lang w:val="en-GB"/>
        </w:rPr>
      </w:pPr>
      <w:r w:rsidRPr="0026129E">
        <w:rPr>
          <w:lang w:val="en-GB"/>
        </w:rPr>
        <w:t>Question 5</w:t>
      </w:r>
      <w:r w:rsidR="009353B0">
        <w:rPr>
          <w:lang w:val="en-GB"/>
        </w:rPr>
        <w:t xml:space="preserve"> — Consultation</w:t>
      </w:r>
    </w:p>
    <w:p w14:paraId="3819CC0E" w14:textId="585C9EB0" w:rsidR="009353B0" w:rsidRPr="00966B0C" w:rsidRDefault="009353B0" w:rsidP="001D59AB">
      <w:pPr>
        <w:rPr>
          <w:lang w:val="en-GB"/>
        </w:rPr>
      </w:pPr>
      <w:r w:rsidRPr="00966B0C">
        <w:rPr>
          <w:lang w:val="en-GB"/>
        </w:rPr>
        <w:t xml:space="preserve">APRA initially consulted on changes to the prudential framework in relation to counterparty credit risk </w:t>
      </w:r>
      <w:r w:rsidR="00863AEA">
        <w:rPr>
          <w:lang w:val="en-GB"/>
        </w:rPr>
        <w:t>for</w:t>
      </w:r>
      <w:r w:rsidR="00863AEA" w:rsidRPr="00966B0C">
        <w:rPr>
          <w:lang w:val="en-GB"/>
        </w:rPr>
        <w:t xml:space="preserve"> </w:t>
      </w:r>
      <w:r w:rsidRPr="00966B0C">
        <w:rPr>
          <w:lang w:val="en-GB"/>
        </w:rPr>
        <w:t xml:space="preserve">ADIs in September 2016. </w:t>
      </w:r>
      <w:r w:rsidR="00E2500D" w:rsidRPr="00966B0C">
        <w:rPr>
          <w:lang w:val="en-GB"/>
        </w:rPr>
        <w:t xml:space="preserve">This public consultation included a discussion paper </w:t>
      </w:r>
      <w:r w:rsidR="00E2500D" w:rsidRPr="00966B0C">
        <w:rPr>
          <w:i/>
          <w:lang w:val="en-GB"/>
        </w:rPr>
        <w:t>Counterparty credit risk for ADIs</w:t>
      </w:r>
      <w:r w:rsidR="00E2500D" w:rsidRPr="00966B0C">
        <w:rPr>
          <w:lang w:val="en-GB"/>
        </w:rPr>
        <w:t xml:space="preserve"> which set out proposed changes consistent with those being promulgated by the Basel Committee</w:t>
      </w:r>
      <w:r w:rsidR="001B4096" w:rsidRPr="00966B0C">
        <w:rPr>
          <w:lang w:val="en-GB"/>
        </w:rPr>
        <w:t>. At that time</w:t>
      </w:r>
      <w:r w:rsidR="00863AEA">
        <w:rPr>
          <w:lang w:val="en-GB"/>
        </w:rPr>
        <w:t>,</w:t>
      </w:r>
      <w:r w:rsidR="001B4096" w:rsidRPr="00966B0C">
        <w:rPr>
          <w:lang w:val="en-GB"/>
        </w:rPr>
        <w:t xml:space="preserve"> APRA proposed that all ADIs would be subject to a new framework for counterparty credit risk in the form of the SA-CCR. The submissions received </w:t>
      </w:r>
      <w:r w:rsidR="001B4096" w:rsidRPr="00966B0C">
        <w:rPr>
          <w:lang w:val="en-GB"/>
        </w:rPr>
        <w:lastRenderedPageBreak/>
        <w:t>generally support</w:t>
      </w:r>
      <w:r w:rsidR="005C2079">
        <w:rPr>
          <w:lang w:val="en-GB"/>
        </w:rPr>
        <w:t>ed</w:t>
      </w:r>
      <w:r w:rsidR="001B4096" w:rsidRPr="00966B0C">
        <w:rPr>
          <w:lang w:val="en-GB"/>
        </w:rPr>
        <w:t xml:space="preserve"> APRA’s proposal </w:t>
      </w:r>
      <w:r w:rsidR="005C2079">
        <w:rPr>
          <w:lang w:val="en-GB"/>
        </w:rPr>
        <w:t xml:space="preserve">but </w:t>
      </w:r>
      <w:r w:rsidR="001B4096" w:rsidRPr="00966B0C">
        <w:rPr>
          <w:lang w:val="en-GB"/>
        </w:rPr>
        <w:t xml:space="preserve">did raise a number of </w:t>
      </w:r>
      <w:r w:rsidR="005C2079">
        <w:rPr>
          <w:lang w:val="en-GB"/>
        </w:rPr>
        <w:t>concerns</w:t>
      </w:r>
      <w:r w:rsidR="001B4096" w:rsidRPr="00966B0C">
        <w:rPr>
          <w:lang w:val="en-GB"/>
        </w:rPr>
        <w:t xml:space="preserve">, including </w:t>
      </w:r>
      <w:r w:rsidR="00DF150F">
        <w:rPr>
          <w:lang w:val="en-GB"/>
        </w:rPr>
        <w:t xml:space="preserve">with </w:t>
      </w:r>
      <w:r w:rsidR="001B4096" w:rsidRPr="00966B0C">
        <w:rPr>
          <w:lang w:val="en-GB"/>
        </w:rPr>
        <w:t xml:space="preserve">the implementation timetable, the appropriateness of the requirements for ADIs with immaterial counterparty credit risk exposures and the treatment of multi-level client structures. </w:t>
      </w:r>
      <w:r w:rsidR="00135BE0">
        <w:rPr>
          <w:lang w:val="en-GB"/>
        </w:rPr>
        <w:t>In August 2017,</w:t>
      </w:r>
      <w:r w:rsidR="00135BE0" w:rsidRPr="00397FAD">
        <w:rPr>
          <w:rStyle w:val="FootnoteReference"/>
          <w:sz w:val="24"/>
          <w:lang w:val="en-GB"/>
        </w:rPr>
        <w:footnoteReference w:id="7"/>
      </w:r>
      <w:r w:rsidR="00135BE0">
        <w:rPr>
          <w:lang w:val="en-GB"/>
        </w:rPr>
        <w:t xml:space="preserve"> a</w:t>
      </w:r>
      <w:r w:rsidR="001B4096" w:rsidRPr="00966B0C">
        <w:rPr>
          <w:lang w:val="en-GB"/>
        </w:rPr>
        <w:t xml:space="preserve">fter consideration of the issues raised in submissions, APRA undertook further public consultation on revised proposals, the most significant of which was to allow </w:t>
      </w:r>
      <w:r w:rsidR="0017639F" w:rsidRPr="00966B0C">
        <w:rPr>
          <w:lang w:val="en-GB"/>
        </w:rPr>
        <w:t>ADIs with immaterial counterparty credit risk exposure to be subject to a simpler framework. APRA modified its original proposal to allow those ADIs with immaterial exposures to comply with an adjusted version of the CEM.</w:t>
      </w:r>
      <w:r w:rsidR="00294775" w:rsidRPr="00966B0C">
        <w:rPr>
          <w:lang w:val="en-GB"/>
        </w:rPr>
        <w:t xml:space="preserve"> APRA’s response to material issues is set out in the Response to submissions letter on the APRA website.</w:t>
      </w:r>
    </w:p>
    <w:p w14:paraId="3CF25771" w14:textId="0B6FE1FB" w:rsidR="00543CF8" w:rsidRDefault="00543CF8" w:rsidP="00543CF8">
      <w:pPr>
        <w:pStyle w:val="Heading2"/>
        <w:rPr>
          <w:lang w:val="en-GB"/>
        </w:rPr>
      </w:pPr>
      <w:r>
        <w:rPr>
          <w:lang w:val="en-GB"/>
        </w:rPr>
        <w:t>Question 6 – What is the appropriate option</w:t>
      </w:r>
    </w:p>
    <w:p w14:paraId="4FFF2D0B" w14:textId="3330E77E" w:rsidR="00543CF8" w:rsidRPr="002D2D98" w:rsidRDefault="002C7245" w:rsidP="001D59AB">
      <w:pPr>
        <w:rPr>
          <w:lang w:val="en-GB"/>
        </w:rPr>
      </w:pPr>
      <w:r w:rsidRPr="002D2D98">
        <w:rPr>
          <w:lang w:val="en-GB"/>
        </w:rPr>
        <w:t>As part of its public consultation</w:t>
      </w:r>
      <w:r w:rsidR="00D30D1E">
        <w:rPr>
          <w:lang w:val="en-GB"/>
        </w:rPr>
        <w:t xml:space="preserve"> in September 2016</w:t>
      </w:r>
      <w:r w:rsidRPr="002D2D98">
        <w:rPr>
          <w:lang w:val="en-GB"/>
        </w:rPr>
        <w:t xml:space="preserve">, APRA sought information from stakeholders on the compliance impacts of the proposed changes set out in the discussion paper, including associated substantive costs. Respondents were asked to use the Commonwealth Regulatory Burden Measurement tool to assess regulatory costs. </w:t>
      </w:r>
      <w:r w:rsidR="00950CBC">
        <w:rPr>
          <w:lang w:val="en-GB"/>
        </w:rPr>
        <w:t xml:space="preserve">Submissions to the September 2016 consultation </w:t>
      </w:r>
      <w:r w:rsidRPr="002D2D98">
        <w:rPr>
          <w:lang w:val="en-GB"/>
        </w:rPr>
        <w:t>provided regulatory cost estimates of the expected cost impacts of the proposals</w:t>
      </w:r>
      <w:r w:rsidR="00950CBC">
        <w:rPr>
          <w:lang w:val="en-GB"/>
        </w:rPr>
        <w:t>, notably moving from the existing framework to the SA-CCR</w:t>
      </w:r>
      <w:r w:rsidRPr="002D2D98">
        <w:rPr>
          <w:lang w:val="en-GB"/>
        </w:rPr>
        <w:t>. APRA has</w:t>
      </w:r>
      <w:r w:rsidR="00D30D1E">
        <w:rPr>
          <w:lang w:val="en-GB"/>
        </w:rPr>
        <w:t xml:space="preserve"> used the expected costs provided by industry to</w:t>
      </w:r>
      <w:r w:rsidRPr="002D2D98">
        <w:rPr>
          <w:lang w:val="en-GB"/>
        </w:rPr>
        <w:t xml:space="preserve"> estimate the costs of each option. APRA has considered relevant compliance costs (i.e. administration, substantive and financial compliance costs as applicable) in estimating the regulatory cost of each option. These costs include the costs for ADIs of complying with a revised counterparty credit risk framework, which largely relates to syst</w:t>
      </w:r>
      <w:r w:rsidR="00F401DE" w:rsidRPr="002D2D98">
        <w:rPr>
          <w:lang w:val="en-GB"/>
        </w:rPr>
        <w:t>e</w:t>
      </w:r>
      <w:r w:rsidRPr="002D2D98">
        <w:rPr>
          <w:lang w:val="en-GB"/>
        </w:rPr>
        <w:t>m changes</w:t>
      </w:r>
      <w:r w:rsidR="00F401DE" w:rsidRPr="002D2D98">
        <w:rPr>
          <w:lang w:val="en-GB"/>
        </w:rPr>
        <w:t xml:space="preserve">, updating internal policies and procedures and staff training. In estimating the costs, it has been assumed that ADIs will be directly affected, </w:t>
      </w:r>
      <w:r w:rsidR="001F2237">
        <w:rPr>
          <w:lang w:val="en-GB"/>
        </w:rPr>
        <w:t xml:space="preserve">and that </w:t>
      </w:r>
      <w:r w:rsidR="00F401DE" w:rsidRPr="002D2D98">
        <w:rPr>
          <w:lang w:val="en-GB"/>
        </w:rPr>
        <w:t>there are no direct costs expected to be incurred by other stakeholders. All costs set out in the following tables reflect the amortised cost per year over a 10-year time horizon.</w:t>
      </w:r>
    </w:p>
    <w:p w14:paraId="184D46EF" w14:textId="3F31595C" w:rsidR="002039E3" w:rsidRPr="00A26A02" w:rsidRDefault="002039E3" w:rsidP="002D2D98">
      <w:pPr>
        <w:pStyle w:val="Heading5"/>
        <w:rPr>
          <w:lang w:val="en-GB"/>
        </w:rPr>
      </w:pPr>
      <w:r>
        <w:rPr>
          <w:lang w:val="en-GB"/>
        </w:rPr>
        <w:t xml:space="preserve">Option 1 </w:t>
      </w:r>
      <w:r w:rsidR="002D2D98">
        <w:rPr>
          <w:lang w:val="en-GB"/>
        </w:rPr>
        <w:t>—</w:t>
      </w:r>
      <w:r>
        <w:rPr>
          <w:lang w:val="en-GB"/>
        </w:rPr>
        <w:t xml:space="preserve"> </w:t>
      </w:r>
      <w:r w:rsidR="002D2D98">
        <w:rPr>
          <w:lang w:val="en-GB"/>
        </w:rPr>
        <w:t>Status quo</w:t>
      </w:r>
    </w:p>
    <w:p w14:paraId="564E6710" w14:textId="762D95D3" w:rsidR="002039E3" w:rsidRDefault="00207B6A" w:rsidP="009353B0">
      <w:pPr>
        <w:rPr>
          <w:lang w:val="en-GB"/>
        </w:rPr>
      </w:pPr>
      <w:r>
        <w:rPr>
          <w:lang w:val="en-GB"/>
        </w:rPr>
        <w:t>Under this option, ADIs and other stakeholder</w:t>
      </w:r>
      <w:r w:rsidR="00D30D1E">
        <w:rPr>
          <w:lang w:val="en-GB"/>
        </w:rPr>
        <w:t>s</w:t>
      </w:r>
      <w:r>
        <w:rPr>
          <w:lang w:val="en-GB"/>
        </w:rPr>
        <w:t xml:space="preserve"> would not incur any additional compliance costs as the existing framework would be unchanged (refer</w:t>
      </w:r>
      <w:r w:rsidR="00837BA2">
        <w:rPr>
          <w:lang w:val="en-GB"/>
        </w:rPr>
        <w:t xml:space="preserve"> to</w:t>
      </w:r>
      <w:r>
        <w:rPr>
          <w:lang w:val="en-GB"/>
        </w:rPr>
        <w:t xml:space="preserve"> Table 1). There would, however, be indirect costs as ADIs would no longer comply with international obligations should the SA-CCR </w:t>
      </w:r>
      <w:r>
        <w:rPr>
          <w:lang w:val="en-GB"/>
        </w:rPr>
        <w:lastRenderedPageBreak/>
        <w:t>framework not be adopted. This could also affect the ability of ADIs to participate in international markets.</w:t>
      </w:r>
    </w:p>
    <w:p w14:paraId="24CA734A" w14:textId="77777777" w:rsidR="002039E3" w:rsidRPr="002039E3" w:rsidRDefault="002039E3" w:rsidP="002039E3">
      <w:pPr>
        <w:pStyle w:val="Heading5"/>
        <w:rPr>
          <w:rFonts w:eastAsiaTheme="minorHAnsi"/>
          <w:lang w:val="en-GB" w:eastAsia="en-US"/>
        </w:rPr>
      </w:pPr>
      <w:r w:rsidRPr="002039E3">
        <w:rPr>
          <w:rFonts w:eastAsiaTheme="minorHAnsi"/>
          <w:lang w:val="en-GB" w:eastAsia="en-US"/>
        </w:rPr>
        <w:t>Table 1—Average annual regulatory costs</w:t>
      </w:r>
    </w:p>
    <w:tbl>
      <w:tblPr>
        <w:tblStyle w:val="TableGrid10"/>
        <w:tblW w:w="0" w:type="auto"/>
        <w:tblLook w:val="04A0" w:firstRow="1" w:lastRow="0" w:firstColumn="1" w:lastColumn="0" w:noHBand="0" w:noVBand="1"/>
      </w:tblPr>
      <w:tblGrid>
        <w:gridCol w:w="2122"/>
        <w:gridCol w:w="1484"/>
        <w:gridCol w:w="1803"/>
        <w:gridCol w:w="1803"/>
        <w:gridCol w:w="1804"/>
      </w:tblGrid>
      <w:tr w:rsidR="002039E3" w:rsidRPr="00D11CDB" w14:paraId="33871918" w14:textId="77777777" w:rsidTr="00D33946">
        <w:tc>
          <w:tcPr>
            <w:tcW w:w="2122" w:type="dxa"/>
            <w:shd w:val="clear" w:color="auto" w:fill="002060"/>
            <w:vAlign w:val="bottom"/>
          </w:tcPr>
          <w:p w14:paraId="05B5AD76"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Sector</w:t>
            </w:r>
          </w:p>
        </w:tc>
        <w:tc>
          <w:tcPr>
            <w:tcW w:w="1484" w:type="dxa"/>
            <w:shd w:val="clear" w:color="auto" w:fill="002060"/>
            <w:vAlign w:val="bottom"/>
          </w:tcPr>
          <w:p w14:paraId="25CC3799"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Business</w:t>
            </w:r>
          </w:p>
        </w:tc>
        <w:tc>
          <w:tcPr>
            <w:tcW w:w="1803" w:type="dxa"/>
            <w:shd w:val="clear" w:color="auto" w:fill="002060"/>
            <w:vAlign w:val="bottom"/>
          </w:tcPr>
          <w:p w14:paraId="267DB71C"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Community organisations</w:t>
            </w:r>
          </w:p>
        </w:tc>
        <w:tc>
          <w:tcPr>
            <w:tcW w:w="1803" w:type="dxa"/>
            <w:shd w:val="clear" w:color="auto" w:fill="002060"/>
            <w:vAlign w:val="bottom"/>
          </w:tcPr>
          <w:p w14:paraId="3FE66E6F"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Individuals</w:t>
            </w:r>
          </w:p>
        </w:tc>
        <w:tc>
          <w:tcPr>
            <w:tcW w:w="1804" w:type="dxa"/>
            <w:shd w:val="clear" w:color="auto" w:fill="002060"/>
            <w:vAlign w:val="bottom"/>
          </w:tcPr>
          <w:p w14:paraId="06277A2F"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Total change in costs</w:t>
            </w:r>
          </w:p>
        </w:tc>
      </w:tr>
      <w:tr w:rsidR="002039E3" w:rsidRPr="00D11CDB" w14:paraId="35F4C7A0" w14:textId="77777777" w:rsidTr="00D33946">
        <w:tc>
          <w:tcPr>
            <w:tcW w:w="2122" w:type="dxa"/>
            <w:vAlign w:val="center"/>
          </w:tcPr>
          <w:p w14:paraId="60DA7426"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Total change in cost by sector ($ million)</w:t>
            </w:r>
          </w:p>
        </w:tc>
        <w:tc>
          <w:tcPr>
            <w:tcW w:w="1484" w:type="dxa"/>
            <w:vAlign w:val="center"/>
          </w:tcPr>
          <w:p w14:paraId="37A6CC1E"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803" w:type="dxa"/>
            <w:vAlign w:val="center"/>
          </w:tcPr>
          <w:p w14:paraId="14F16D79"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803" w:type="dxa"/>
            <w:vAlign w:val="center"/>
          </w:tcPr>
          <w:p w14:paraId="0D0174E1"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804" w:type="dxa"/>
            <w:vAlign w:val="center"/>
          </w:tcPr>
          <w:p w14:paraId="0BED9EE1" w14:textId="77777777" w:rsidR="002039E3" w:rsidRPr="00D11CDB" w:rsidRDefault="002039E3" w:rsidP="002039E3">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r>
    </w:tbl>
    <w:p w14:paraId="190E1784" w14:textId="77777777" w:rsidR="002039E3" w:rsidRDefault="002039E3" w:rsidP="009353B0">
      <w:pPr>
        <w:rPr>
          <w:lang w:val="en-GB"/>
        </w:rPr>
      </w:pPr>
    </w:p>
    <w:p w14:paraId="7017F368" w14:textId="6C405A02" w:rsidR="002039E3" w:rsidRDefault="002D2D98" w:rsidP="002D2D98">
      <w:pPr>
        <w:pStyle w:val="Heading5"/>
        <w:rPr>
          <w:lang w:val="en-GB"/>
        </w:rPr>
      </w:pPr>
      <w:r>
        <w:rPr>
          <w:lang w:val="en-GB"/>
        </w:rPr>
        <w:t>Option 2 — Apply the SA-CCR to all ADIs</w:t>
      </w:r>
    </w:p>
    <w:p w14:paraId="3B6A3417" w14:textId="4F48A8E4" w:rsidR="002039E3" w:rsidRDefault="00D33946" w:rsidP="002039E3">
      <w:pPr>
        <w:rPr>
          <w:lang w:val="en-GB"/>
        </w:rPr>
      </w:pPr>
      <w:r>
        <w:rPr>
          <w:lang w:val="en-GB"/>
        </w:rPr>
        <w:t xml:space="preserve">Under this option, ADIs would incur additional costs as the existing counterparty credit risk framework would be modified to comply with the revisions to the Basel Committee’s framework. Costs incurred would be a result of updates to systems, processes and procedures to reflect the new requirements, legal costs and staff training (refer </w:t>
      </w:r>
      <w:r w:rsidR="00837BA2">
        <w:rPr>
          <w:lang w:val="en-GB"/>
        </w:rPr>
        <w:t xml:space="preserve">to </w:t>
      </w:r>
      <w:r>
        <w:rPr>
          <w:lang w:val="en-GB"/>
        </w:rPr>
        <w:t>Table 2).</w:t>
      </w:r>
    </w:p>
    <w:p w14:paraId="404A65CA" w14:textId="0A7AB75D" w:rsidR="001D59AB" w:rsidRDefault="001D59AB" w:rsidP="002039E3">
      <w:pPr>
        <w:rPr>
          <w:lang w:val="en-GB"/>
        </w:rPr>
      </w:pPr>
      <w:r>
        <w:rPr>
          <w:lang w:val="en-GB"/>
        </w:rPr>
        <w:t>The costs</w:t>
      </w:r>
      <w:r w:rsidR="001132EE">
        <w:rPr>
          <w:lang w:val="en-GB"/>
        </w:rPr>
        <w:t xml:space="preserve"> under this option</w:t>
      </w:r>
      <w:r>
        <w:rPr>
          <w:lang w:val="en-GB"/>
        </w:rPr>
        <w:t xml:space="preserve"> </w:t>
      </w:r>
      <w:r w:rsidR="000B5452">
        <w:rPr>
          <w:lang w:val="en-GB"/>
        </w:rPr>
        <w:t xml:space="preserve">would </w:t>
      </w:r>
      <w:r>
        <w:rPr>
          <w:lang w:val="en-GB"/>
        </w:rPr>
        <w:t>ar</w:t>
      </w:r>
      <w:r w:rsidR="000B5452">
        <w:rPr>
          <w:lang w:val="en-GB"/>
        </w:rPr>
        <w:t>ise as a result of material changes to the counterparty credit framework</w:t>
      </w:r>
      <w:r w:rsidR="005B5903">
        <w:rPr>
          <w:lang w:val="en-GB"/>
        </w:rPr>
        <w:t xml:space="preserve"> as outlined. Changes include modifications to systems, procedures and processes to reflect the revised counterparty credit risk framework as well as changes to existing reporting requirements and new reporting requirements</w:t>
      </w:r>
      <w:r w:rsidR="000B5452">
        <w:rPr>
          <w:lang w:val="en-GB"/>
        </w:rPr>
        <w:t>.</w:t>
      </w:r>
      <w:r w:rsidR="005B5903">
        <w:rPr>
          <w:lang w:val="en-GB"/>
        </w:rPr>
        <w:t xml:space="preserve"> This option would commence on 1 July 2019. APRA has previously indicated in public statements that the requirements would commence not earlier than 1 January 2019, hence the commencement timeframe allows industry additional time to prepare for the changes under this option.</w:t>
      </w:r>
    </w:p>
    <w:p w14:paraId="15184F68" w14:textId="65871A7C" w:rsidR="002039E3" w:rsidRDefault="002039E3" w:rsidP="002039E3">
      <w:pPr>
        <w:pStyle w:val="Heading5"/>
        <w:rPr>
          <w:lang w:val="en-GB"/>
        </w:rPr>
      </w:pPr>
      <w:r w:rsidRPr="002039E3">
        <w:rPr>
          <w:rFonts w:eastAsiaTheme="minorHAnsi"/>
          <w:lang w:val="en-GB" w:eastAsia="en-US"/>
        </w:rPr>
        <w:t xml:space="preserve">Table </w:t>
      </w:r>
      <w:r>
        <w:rPr>
          <w:rFonts w:eastAsiaTheme="minorHAnsi"/>
          <w:lang w:val="en-GB" w:eastAsia="en-US"/>
        </w:rPr>
        <w:t>2</w:t>
      </w:r>
      <w:r w:rsidRPr="002039E3">
        <w:rPr>
          <w:rFonts w:eastAsiaTheme="minorHAnsi"/>
          <w:lang w:val="en-GB" w:eastAsia="en-US"/>
        </w:rPr>
        <w:t>—Average annual regulatory costs</w:t>
      </w:r>
    </w:p>
    <w:tbl>
      <w:tblPr>
        <w:tblStyle w:val="TableGrid10"/>
        <w:tblW w:w="0" w:type="auto"/>
        <w:tblLayout w:type="fixed"/>
        <w:tblLook w:val="04A0" w:firstRow="1" w:lastRow="0" w:firstColumn="1" w:lastColumn="0" w:noHBand="0" w:noVBand="1"/>
      </w:tblPr>
      <w:tblGrid>
        <w:gridCol w:w="2122"/>
        <w:gridCol w:w="1724"/>
        <w:gridCol w:w="1724"/>
        <w:gridCol w:w="1724"/>
        <w:gridCol w:w="1724"/>
      </w:tblGrid>
      <w:tr w:rsidR="002039E3" w:rsidRPr="00D11CDB" w14:paraId="184042A5" w14:textId="77777777" w:rsidTr="00D33946">
        <w:tc>
          <w:tcPr>
            <w:tcW w:w="212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65526DD0"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Sector</w:t>
            </w:r>
          </w:p>
        </w:tc>
        <w:tc>
          <w:tcPr>
            <w:tcW w:w="148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264BA034"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Business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3E4DA3FD"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Community organisations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4398E41F"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Individuals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5B74507A"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Total change in costs</w:t>
            </w:r>
          </w:p>
        </w:tc>
      </w:tr>
      <w:tr w:rsidR="002039E3" w:rsidRPr="00D11CDB" w14:paraId="3747B06F" w14:textId="77777777" w:rsidTr="00D33946">
        <w:tc>
          <w:tcPr>
            <w:tcW w:w="2122" w:type="dxa"/>
            <w:tcBorders>
              <w:top w:val="single" w:sz="4" w:space="0" w:color="auto"/>
              <w:left w:val="single" w:sz="4" w:space="0" w:color="auto"/>
              <w:bottom w:val="single" w:sz="4" w:space="0" w:color="auto"/>
              <w:right w:val="single" w:sz="4" w:space="0" w:color="auto"/>
            </w:tcBorders>
            <w:vAlign w:val="center"/>
            <w:hideMark/>
          </w:tcPr>
          <w:p w14:paraId="7449841D"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Total change in cost by sector ($ million)</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35E3403" w14:textId="4A2FE953" w:rsidR="002039E3" w:rsidRPr="00D11CDB" w:rsidRDefault="00C64D6B" w:rsidP="00D33946">
            <w:pPr>
              <w:keepNext/>
              <w:spacing w:before="120" w:after="120"/>
              <w:jc w:val="left"/>
              <w:rPr>
                <w:rFonts w:eastAsiaTheme="minorHAnsi" w:cs="Arial"/>
                <w:szCs w:val="22"/>
                <w:lang w:val="en-GB" w:eastAsia="en-US"/>
              </w:rPr>
            </w:pPr>
            <w:r>
              <w:rPr>
                <w:rFonts w:eastAsiaTheme="minorHAnsi" w:cs="Arial"/>
                <w:szCs w:val="22"/>
                <w:lang w:val="en-GB" w:eastAsia="en-US"/>
              </w:rPr>
              <w:t>12</w:t>
            </w:r>
          </w:p>
        </w:tc>
        <w:tc>
          <w:tcPr>
            <w:tcW w:w="1724" w:type="dxa"/>
            <w:tcBorders>
              <w:top w:val="single" w:sz="4" w:space="0" w:color="auto"/>
              <w:left w:val="single" w:sz="4" w:space="0" w:color="auto"/>
              <w:bottom w:val="single" w:sz="4" w:space="0" w:color="auto"/>
              <w:right w:val="single" w:sz="4" w:space="0" w:color="auto"/>
            </w:tcBorders>
            <w:vAlign w:val="center"/>
            <w:hideMark/>
          </w:tcPr>
          <w:p w14:paraId="0FFE2B16"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24C7B639" w14:textId="77777777" w:rsidR="002039E3" w:rsidRPr="00D11CDB" w:rsidRDefault="002039E3" w:rsidP="00D33946">
            <w:pPr>
              <w:keepNext/>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CA66A46" w14:textId="7EFD4851" w:rsidR="002039E3" w:rsidRPr="00D11CDB" w:rsidRDefault="00C64D6B" w:rsidP="00D33946">
            <w:pPr>
              <w:keepNext/>
              <w:spacing w:before="120" w:after="120"/>
              <w:jc w:val="left"/>
              <w:rPr>
                <w:rFonts w:eastAsiaTheme="minorHAnsi" w:cs="Arial"/>
                <w:szCs w:val="22"/>
                <w:lang w:val="en-GB" w:eastAsia="en-US"/>
              </w:rPr>
            </w:pPr>
            <w:r>
              <w:rPr>
                <w:rFonts w:eastAsiaTheme="minorHAnsi" w:cs="Arial"/>
                <w:szCs w:val="22"/>
                <w:lang w:val="en-GB" w:eastAsia="en-US"/>
              </w:rPr>
              <w:t>12</w:t>
            </w:r>
          </w:p>
        </w:tc>
      </w:tr>
    </w:tbl>
    <w:p w14:paraId="3FB6EBD1" w14:textId="77777777" w:rsidR="002039E3" w:rsidRDefault="002039E3" w:rsidP="009353B0">
      <w:pPr>
        <w:rPr>
          <w:lang w:val="en-GB"/>
        </w:rPr>
      </w:pPr>
    </w:p>
    <w:p w14:paraId="6B13F24A" w14:textId="4141BE1F" w:rsidR="002039E3" w:rsidRDefault="002039E3" w:rsidP="0030135A">
      <w:pPr>
        <w:pStyle w:val="Heading5"/>
        <w:rPr>
          <w:lang w:val="en-GB"/>
        </w:rPr>
      </w:pPr>
      <w:r>
        <w:rPr>
          <w:lang w:val="en-GB"/>
        </w:rPr>
        <w:t xml:space="preserve">Option 3 </w:t>
      </w:r>
      <w:r w:rsidR="002D2D98">
        <w:rPr>
          <w:lang w:val="en-GB"/>
        </w:rPr>
        <w:t>—</w:t>
      </w:r>
      <w:r w:rsidR="002D2D98" w:rsidRPr="002D2D98">
        <w:t xml:space="preserve"> </w:t>
      </w:r>
      <w:r w:rsidR="002D2D98">
        <w:t>Only a</w:t>
      </w:r>
      <w:r w:rsidR="002D2D98" w:rsidRPr="00E74999">
        <w:t>pply the SA-CCR to ADIs with material levels of counterparty credit risk exposure</w:t>
      </w:r>
    </w:p>
    <w:p w14:paraId="745D35D0" w14:textId="0F750329" w:rsidR="002039E3" w:rsidRDefault="00FA4758" w:rsidP="002039E3">
      <w:pPr>
        <w:rPr>
          <w:lang w:val="en-GB"/>
        </w:rPr>
      </w:pPr>
      <w:r>
        <w:rPr>
          <w:lang w:val="en-GB"/>
        </w:rPr>
        <w:t xml:space="preserve">This is a modified variant of </w:t>
      </w:r>
      <w:r w:rsidR="003A2774">
        <w:rPr>
          <w:lang w:val="en-GB"/>
        </w:rPr>
        <w:t>O</w:t>
      </w:r>
      <w:r>
        <w:rPr>
          <w:lang w:val="en-GB"/>
        </w:rPr>
        <w:t xml:space="preserve">ption 2. Under this option, only </w:t>
      </w:r>
      <w:r w:rsidR="001F2237">
        <w:rPr>
          <w:lang w:val="en-GB"/>
        </w:rPr>
        <w:t xml:space="preserve">IRB </w:t>
      </w:r>
      <w:r>
        <w:rPr>
          <w:lang w:val="en-GB"/>
        </w:rPr>
        <w:t xml:space="preserve">ADIs would have to apply the SA-CCR framework. All other ADIs would be able to use a simplified approach to measuring their </w:t>
      </w:r>
      <w:r>
        <w:rPr>
          <w:lang w:val="en-GB"/>
        </w:rPr>
        <w:lastRenderedPageBreak/>
        <w:t>counter</w:t>
      </w:r>
      <w:r w:rsidR="003164E1">
        <w:rPr>
          <w:lang w:val="en-GB"/>
        </w:rPr>
        <w:t>party credit risk exposures in the form of</w:t>
      </w:r>
      <w:r>
        <w:rPr>
          <w:lang w:val="en-GB"/>
        </w:rPr>
        <w:t xml:space="preserve"> </w:t>
      </w:r>
      <w:r w:rsidR="003164E1">
        <w:rPr>
          <w:lang w:val="en-GB"/>
        </w:rPr>
        <w:t>an</w:t>
      </w:r>
      <w:r>
        <w:rPr>
          <w:lang w:val="en-GB"/>
        </w:rPr>
        <w:t xml:space="preserve"> adjusted CEM.</w:t>
      </w:r>
      <w:r w:rsidR="00452429">
        <w:rPr>
          <w:lang w:val="en-GB"/>
        </w:rPr>
        <w:t xml:space="preserve"> ADIs would incur additional costs as the existing counterparty credit risk framework would be modified to comply with the revisions to the Basel Committee’s framework. Costs incurred would be a result of updates to systems, processes and procedures to reflect the new requirements, legal costs and staff training (refer to Table 3).</w:t>
      </w:r>
    </w:p>
    <w:p w14:paraId="0BCDD971" w14:textId="33ED44CE" w:rsidR="005B5903" w:rsidRPr="002039E3" w:rsidRDefault="001132EE" w:rsidP="002039E3">
      <w:pPr>
        <w:rPr>
          <w:lang w:val="en-GB"/>
        </w:rPr>
      </w:pPr>
      <w:r>
        <w:rPr>
          <w:lang w:val="en-GB"/>
        </w:rPr>
        <w:t xml:space="preserve">As for </w:t>
      </w:r>
      <w:r w:rsidR="003A2774">
        <w:rPr>
          <w:lang w:val="en-GB"/>
        </w:rPr>
        <w:t>O</w:t>
      </w:r>
      <w:r>
        <w:rPr>
          <w:lang w:val="en-GB"/>
        </w:rPr>
        <w:t xml:space="preserve">ption 2, the costs associated with this option would arise as a result of material changes to the counterparty credit risk framework for a limited subset of ADIs, being </w:t>
      </w:r>
      <w:r w:rsidR="0076066D">
        <w:rPr>
          <w:lang w:val="en-GB"/>
        </w:rPr>
        <w:t xml:space="preserve">ADIs with </w:t>
      </w:r>
      <w:r w:rsidR="001F2237">
        <w:rPr>
          <w:lang w:val="en-GB"/>
        </w:rPr>
        <w:t xml:space="preserve">IRB </w:t>
      </w:r>
      <w:r w:rsidR="0076066D">
        <w:rPr>
          <w:lang w:val="en-GB"/>
        </w:rPr>
        <w:t>approval</w:t>
      </w:r>
      <w:r>
        <w:rPr>
          <w:lang w:val="en-GB"/>
        </w:rPr>
        <w:t>, while for other ADIs the costs would be moderated as they would be subject to an adjusted form of the existing framework.</w:t>
      </w:r>
    </w:p>
    <w:p w14:paraId="369443D8" w14:textId="77777777" w:rsidR="00452429" w:rsidRPr="001C78EE" w:rsidRDefault="00452429" w:rsidP="00452429">
      <w:pPr>
        <w:pStyle w:val="Heading5"/>
        <w:spacing w:after="0"/>
        <w:rPr>
          <w:rFonts w:eastAsiaTheme="minorHAnsi"/>
          <w:i w:val="0"/>
          <w:lang w:val="en-GB" w:eastAsia="en-US"/>
        </w:rPr>
      </w:pPr>
    </w:p>
    <w:p w14:paraId="355FD63C" w14:textId="70FB960C" w:rsidR="002039E3" w:rsidRDefault="002039E3" w:rsidP="00452429">
      <w:pPr>
        <w:pStyle w:val="Heading5"/>
        <w:spacing w:before="0"/>
        <w:rPr>
          <w:lang w:val="en-GB"/>
        </w:rPr>
      </w:pPr>
      <w:r w:rsidRPr="002039E3">
        <w:rPr>
          <w:rFonts w:eastAsiaTheme="minorHAnsi"/>
          <w:lang w:val="en-GB" w:eastAsia="en-US"/>
        </w:rPr>
        <w:t xml:space="preserve">Table </w:t>
      </w:r>
      <w:r>
        <w:rPr>
          <w:rFonts w:eastAsiaTheme="minorHAnsi"/>
          <w:lang w:val="en-GB" w:eastAsia="en-US"/>
        </w:rPr>
        <w:t>3</w:t>
      </w:r>
      <w:r w:rsidRPr="002039E3">
        <w:rPr>
          <w:rFonts w:eastAsiaTheme="minorHAnsi"/>
          <w:lang w:val="en-GB" w:eastAsia="en-US"/>
        </w:rPr>
        <w:t>—Average annual regulatory costs</w:t>
      </w:r>
    </w:p>
    <w:tbl>
      <w:tblPr>
        <w:tblStyle w:val="TableGrid10"/>
        <w:tblW w:w="0" w:type="auto"/>
        <w:tblLayout w:type="fixed"/>
        <w:tblLook w:val="04A0" w:firstRow="1" w:lastRow="0" w:firstColumn="1" w:lastColumn="0" w:noHBand="0" w:noVBand="1"/>
      </w:tblPr>
      <w:tblGrid>
        <w:gridCol w:w="2122"/>
        <w:gridCol w:w="1724"/>
        <w:gridCol w:w="1724"/>
        <w:gridCol w:w="1724"/>
        <w:gridCol w:w="1724"/>
      </w:tblGrid>
      <w:tr w:rsidR="002039E3" w:rsidRPr="00D11CDB" w14:paraId="5E637EBB" w14:textId="77777777" w:rsidTr="00452429">
        <w:trPr>
          <w:cantSplit/>
        </w:trPr>
        <w:tc>
          <w:tcPr>
            <w:tcW w:w="212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08206587"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Sector</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5DE39208"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Business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7E661A43"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Community organisations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2E0A88FB"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Individuals</w:t>
            </w:r>
          </w:p>
        </w:tc>
        <w:tc>
          <w:tcPr>
            <w:tcW w:w="1724"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6535DCC6"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Total change in costs</w:t>
            </w:r>
          </w:p>
        </w:tc>
      </w:tr>
      <w:tr w:rsidR="002039E3" w:rsidRPr="00D11CDB" w14:paraId="74580F34" w14:textId="77777777" w:rsidTr="00452429">
        <w:trPr>
          <w:cantSplit/>
        </w:trPr>
        <w:tc>
          <w:tcPr>
            <w:tcW w:w="2122" w:type="dxa"/>
            <w:tcBorders>
              <w:top w:val="single" w:sz="4" w:space="0" w:color="auto"/>
              <w:left w:val="single" w:sz="4" w:space="0" w:color="auto"/>
              <w:bottom w:val="single" w:sz="4" w:space="0" w:color="auto"/>
              <w:right w:val="single" w:sz="4" w:space="0" w:color="auto"/>
            </w:tcBorders>
            <w:vAlign w:val="center"/>
            <w:hideMark/>
          </w:tcPr>
          <w:p w14:paraId="2A01ADDE"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Total change in cost by sector ($ million)</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D77E0A3" w14:textId="4E14BDCF" w:rsidR="002039E3" w:rsidRPr="00D11CDB" w:rsidRDefault="00B50E79" w:rsidP="00D33946">
            <w:pPr>
              <w:spacing w:before="120" w:after="120"/>
              <w:jc w:val="left"/>
              <w:rPr>
                <w:rFonts w:eastAsiaTheme="minorHAnsi" w:cs="Arial"/>
                <w:szCs w:val="22"/>
                <w:lang w:val="en-GB" w:eastAsia="en-US"/>
              </w:rPr>
            </w:pPr>
            <w:r>
              <w:rPr>
                <w:rFonts w:eastAsiaTheme="minorHAnsi" w:cs="Arial"/>
                <w:szCs w:val="22"/>
                <w:lang w:val="en-GB" w:eastAsia="en-US"/>
              </w:rPr>
              <w:t>7.2</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AF18F87"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01BFE5E" w14:textId="77777777" w:rsidR="002039E3" w:rsidRPr="00D11CDB" w:rsidRDefault="002039E3" w:rsidP="00D33946">
            <w:pPr>
              <w:spacing w:before="120" w:after="120"/>
              <w:jc w:val="left"/>
              <w:rPr>
                <w:rFonts w:eastAsiaTheme="minorHAnsi" w:cs="Arial"/>
                <w:szCs w:val="22"/>
                <w:lang w:val="en-GB" w:eastAsia="en-US"/>
              </w:rPr>
            </w:pPr>
            <w:r w:rsidRPr="00D11CDB">
              <w:rPr>
                <w:rFonts w:eastAsiaTheme="minorHAnsi" w:cs="Arial"/>
                <w:szCs w:val="22"/>
                <w:lang w:val="en-GB" w:eastAsia="en-US"/>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0CFA2B34" w14:textId="61D32F86" w:rsidR="002039E3" w:rsidRPr="00D11CDB" w:rsidRDefault="00B50E79" w:rsidP="00571F51">
            <w:pPr>
              <w:spacing w:before="120" w:after="120"/>
              <w:jc w:val="left"/>
              <w:rPr>
                <w:rFonts w:eastAsiaTheme="minorHAnsi" w:cs="Arial"/>
                <w:szCs w:val="22"/>
                <w:lang w:val="en-GB" w:eastAsia="en-US"/>
              </w:rPr>
            </w:pPr>
            <w:r>
              <w:rPr>
                <w:rFonts w:eastAsiaTheme="minorHAnsi" w:cs="Arial"/>
                <w:szCs w:val="22"/>
                <w:lang w:val="en-GB" w:eastAsia="en-US"/>
              </w:rPr>
              <w:t>7.2</w:t>
            </w:r>
          </w:p>
        </w:tc>
      </w:tr>
    </w:tbl>
    <w:p w14:paraId="7A82F061" w14:textId="77777777" w:rsidR="002039E3" w:rsidRDefault="002039E3" w:rsidP="009353B0">
      <w:pPr>
        <w:rPr>
          <w:lang w:val="en-GB"/>
        </w:rPr>
      </w:pPr>
    </w:p>
    <w:p w14:paraId="3F1ABD50" w14:textId="5ED8B899" w:rsidR="00452429" w:rsidRPr="009353B0" w:rsidRDefault="00452429" w:rsidP="00452429">
      <w:pPr>
        <w:pStyle w:val="Heading4"/>
        <w:rPr>
          <w:lang w:val="en-GB"/>
        </w:rPr>
      </w:pPr>
      <w:r>
        <w:rPr>
          <w:lang w:val="en-GB"/>
        </w:rPr>
        <w:t>Summary assessment of options</w:t>
      </w:r>
    </w:p>
    <w:p w14:paraId="192A1E29" w14:textId="77777777" w:rsidR="00D11CDB" w:rsidRPr="00D11CDB" w:rsidRDefault="00D11CDB" w:rsidP="00D11CDB">
      <w:pPr>
        <w:keepNext/>
        <w:numPr>
          <w:ilvl w:val="4"/>
          <w:numId w:val="0"/>
        </w:numPr>
        <w:spacing w:before="240" w:after="120"/>
        <w:outlineLvl w:val="4"/>
        <w:rPr>
          <w:rFonts w:eastAsiaTheme="minorHAnsi" w:cs="Arial"/>
          <w:b/>
          <w:i/>
          <w:iCs/>
          <w:szCs w:val="26"/>
          <w:lang w:val="en-GB" w:eastAsia="en-US"/>
        </w:rPr>
      </w:pPr>
      <w:r w:rsidRPr="00D11CDB">
        <w:rPr>
          <w:rFonts w:eastAsiaTheme="minorHAnsi" w:cs="Arial"/>
          <w:b/>
          <w:i/>
          <w:iCs/>
          <w:szCs w:val="26"/>
          <w:lang w:val="en-GB" w:eastAsia="en-US"/>
        </w:rPr>
        <w:t>Table 4—Summary of net benefits of each option</w:t>
      </w:r>
    </w:p>
    <w:tbl>
      <w:tblPr>
        <w:tblStyle w:val="TableGrid11"/>
        <w:tblW w:w="0" w:type="auto"/>
        <w:tblLayout w:type="fixed"/>
        <w:tblLook w:val="04A0" w:firstRow="1" w:lastRow="0" w:firstColumn="1" w:lastColumn="0" w:noHBand="0" w:noVBand="1"/>
      </w:tblPr>
      <w:tblGrid>
        <w:gridCol w:w="2211"/>
        <w:gridCol w:w="2268"/>
        <w:gridCol w:w="2268"/>
        <w:gridCol w:w="2268"/>
      </w:tblGrid>
      <w:tr w:rsidR="00D11CDB" w:rsidRPr="00D11CDB" w14:paraId="3793372A" w14:textId="77777777" w:rsidTr="00D358E4">
        <w:tc>
          <w:tcPr>
            <w:tcW w:w="2211" w:type="dxa"/>
            <w:tcBorders>
              <w:top w:val="single" w:sz="4" w:space="0" w:color="auto"/>
              <w:left w:val="single" w:sz="4" w:space="0" w:color="auto"/>
              <w:bottom w:val="single" w:sz="4" w:space="0" w:color="auto"/>
              <w:right w:val="single" w:sz="4" w:space="0" w:color="auto"/>
            </w:tcBorders>
            <w:shd w:val="clear" w:color="auto" w:fill="002060"/>
            <w:vAlign w:val="center"/>
          </w:tcPr>
          <w:p w14:paraId="7FD3CC28" w14:textId="77777777" w:rsidR="00D11CDB" w:rsidRPr="00D11CDB" w:rsidRDefault="00D11CDB" w:rsidP="00D11CDB">
            <w:pPr>
              <w:keepNext/>
              <w:spacing w:before="120" w:after="120"/>
              <w:jc w:val="left"/>
              <w:rPr>
                <w:rFonts w:eastAsiaTheme="minorHAnsi" w:cs="Arial"/>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7B4C1363"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Option 1</w:t>
            </w:r>
          </w:p>
        </w:tc>
        <w:tc>
          <w:tcPr>
            <w:tcW w:w="2268"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3090BCB8"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Option 2</w:t>
            </w:r>
          </w:p>
        </w:tc>
        <w:tc>
          <w:tcPr>
            <w:tcW w:w="2268" w:type="dxa"/>
            <w:tcBorders>
              <w:top w:val="single" w:sz="4" w:space="0" w:color="auto"/>
              <w:left w:val="single" w:sz="4" w:space="0" w:color="auto"/>
              <w:bottom w:val="single" w:sz="4" w:space="0" w:color="auto"/>
              <w:right w:val="single" w:sz="4" w:space="0" w:color="auto"/>
            </w:tcBorders>
            <w:shd w:val="clear" w:color="auto" w:fill="002060"/>
            <w:vAlign w:val="bottom"/>
          </w:tcPr>
          <w:p w14:paraId="3BA4AD25"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Option 3</w:t>
            </w:r>
          </w:p>
        </w:tc>
      </w:tr>
      <w:tr w:rsidR="00D11CDB" w:rsidRPr="00D11CDB" w14:paraId="3166A98D" w14:textId="77777777" w:rsidTr="008B5CEC">
        <w:tc>
          <w:tcPr>
            <w:tcW w:w="2211" w:type="dxa"/>
            <w:tcBorders>
              <w:top w:val="single" w:sz="4" w:space="0" w:color="auto"/>
              <w:left w:val="single" w:sz="4" w:space="0" w:color="auto"/>
              <w:bottom w:val="single" w:sz="4" w:space="0" w:color="auto"/>
              <w:right w:val="single" w:sz="4" w:space="0" w:color="auto"/>
            </w:tcBorders>
            <w:vAlign w:val="center"/>
            <w:hideMark/>
          </w:tcPr>
          <w:p w14:paraId="25B80E1E"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Compliance cost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024FCB"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No change</w:t>
            </w:r>
          </w:p>
        </w:tc>
        <w:tc>
          <w:tcPr>
            <w:tcW w:w="2268" w:type="dxa"/>
            <w:tcBorders>
              <w:top w:val="single" w:sz="4" w:space="0" w:color="auto"/>
              <w:left w:val="single" w:sz="4" w:space="0" w:color="auto"/>
              <w:bottom w:val="single" w:sz="4" w:space="0" w:color="auto"/>
              <w:right w:val="single" w:sz="4" w:space="0" w:color="auto"/>
            </w:tcBorders>
            <w:vAlign w:val="center"/>
          </w:tcPr>
          <w:p w14:paraId="70BBEFBE" w14:textId="6CD82920" w:rsidR="00D11CDB" w:rsidRPr="00D11CDB" w:rsidRDefault="000460A8" w:rsidP="003164E1">
            <w:pPr>
              <w:keepNext/>
              <w:spacing w:before="120" w:after="120"/>
              <w:jc w:val="left"/>
              <w:rPr>
                <w:rFonts w:eastAsiaTheme="minorHAnsi" w:cs="Arial"/>
                <w:szCs w:val="22"/>
                <w:lang w:val="en-GB" w:eastAsia="en-US"/>
              </w:rPr>
            </w:pPr>
            <w:r>
              <w:rPr>
                <w:rFonts w:eastAsiaTheme="minorHAnsi" w:cs="Arial"/>
                <w:szCs w:val="22"/>
                <w:lang w:val="en-GB" w:eastAsia="en-US"/>
              </w:rPr>
              <w:t xml:space="preserve">Moderate </w:t>
            </w:r>
            <w:r w:rsidR="00FA4758">
              <w:rPr>
                <w:rFonts w:eastAsiaTheme="minorHAnsi" w:cs="Arial"/>
                <w:szCs w:val="22"/>
                <w:lang w:val="en-GB" w:eastAsia="en-US"/>
              </w:rPr>
              <w:t>costs</w:t>
            </w:r>
          </w:p>
        </w:tc>
        <w:tc>
          <w:tcPr>
            <w:tcW w:w="2268" w:type="dxa"/>
            <w:tcBorders>
              <w:top w:val="single" w:sz="4" w:space="0" w:color="auto"/>
              <w:left w:val="single" w:sz="4" w:space="0" w:color="auto"/>
              <w:bottom w:val="single" w:sz="4" w:space="0" w:color="auto"/>
              <w:right w:val="single" w:sz="4" w:space="0" w:color="auto"/>
            </w:tcBorders>
            <w:vAlign w:val="center"/>
          </w:tcPr>
          <w:p w14:paraId="74E9336C" w14:textId="46D8B0C2" w:rsidR="00D11CDB" w:rsidRPr="00D11CDB" w:rsidRDefault="000460A8" w:rsidP="003164E1">
            <w:pPr>
              <w:keepNext/>
              <w:spacing w:before="120" w:after="120"/>
              <w:jc w:val="left"/>
              <w:rPr>
                <w:rFonts w:eastAsiaTheme="minorHAnsi" w:cs="Arial"/>
                <w:szCs w:val="22"/>
                <w:lang w:val="en-GB" w:eastAsia="en-US"/>
              </w:rPr>
            </w:pPr>
            <w:r>
              <w:rPr>
                <w:rFonts w:eastAsiaTheme="minorHAnsi" w:cs="Arial"/>
                <w:szCs w:val="22"/>
                <w:lang w:val="en-GB" w:eastAsia="en-US"/>
              </w:rPr>
              <w:t>Moderate</w:t>
            </w:r>
            <w:r w:rsidR="00B50E79">
              <w:rPr>
                <w:rFonts w:eastAsiaTheme="minorHAnsi" w:cs="Arial"/>
                <w:szCs w:val="22"/>
                <w:lang w:val="en-GB" w:eastAsia="en-US"/>
              </w:rPr>
              <w:t xml:space="preserve"> costs</w:t>
            </w:r>
          </w:p>
        </w:tc>
      </w:tr>
      <w:tr w:rsidR="00D11CDB" w:rsidRPr="00D11CDB" w14:paraId="4ECC6E31" w14:textId="77777777" w:rsidTr="00D11CDB">
        <w:tc>
          <w:tcPr>
            <w:tcW w:w="2211" w:type="dxa"/>
            <w:tcBorders>
              <w:top w:val="single" w:sz="4" w:space="0" w:color="auto"/>
              <w:left w:val="single" w:sz="4" w:space="0" w:color="auto"/>
              <w:bottom w:val="single" w:sz="4" w:space="0" w:color="auto"/>
              <w:right w:val="single" w:sz="4" w:space="0" w:color="auto"/>
            </w:tcBorders>
            <w:vAlign w:val="center"/>
            <w:hideMark/>
          </w:tcPr>
          <w:p w14:paraId="11BB0187" w14:textId="6C492B30"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 xml:space="preserve">Complies with Basel </w:t>
            </w:r>
            <w:r>
              <w:rPr>
                <w:rFonts w:eastAsiaTheme="minorHAnsi" w:cs="Arial"/>
                <w:szCs w:val="22"/>
                <w:lang w:val="en-GB" w:eastAsia="en-US"/>
              </w:rPr>
              <w:t xml:space="preserve">counterparty credit risk </w:t>
            </w:r>
            <w:r w:rsidRPr="00D11CDB">
              <w:rPr>
                <w:rFonts w:eastAsiaTheme="minorHAnsi" w:cs="Arial"/>
                <w:szCs w:val="22"/>
                <w:lang w:val="en-GB" w:eastAsia="en-US"/>
              </w:rPr>
              <w:t>framework</w:t>
            </w:r>
          </w:p>
        </w:tc>
        <w:tc>
          <w:tcPr>
            <w:tcW w:w="2268" w:type="dxa"/>
            <w:tcBorders>
              <w:top w:val="single" w:sz="4" w:space="0" w:color="auto"/>
              <w:left w:val="single" w:sz="4" w:space="0" w:color="auto"/>
              <w:bottom w:val="single" w:sz="4" w:space="0" w:color="auto"/>
              <w:right w:val="single" w:sz="4" w:space="0" w:color="auto"/>
            </w:tcBorders>
            <w:vAlign w:val="center"/>
          </w:tcPr>
          <w:p w14:paraId="4E3645F9" w14:textId="546E28C3" w:rsidR="00D11CDB" w:rsidRPr="00D11CDB" w:rsidRDefault="00FA4758" w:rsidP="00D11CDB">
            <w:pPr>
              <w:keepNext/>
              <w:spacing w:before="120" w:after="120"/>
              <w:jc w:val="left"/>
              <w:rPr>
                <w:rFonts w:eastAsiaTheme="minorHAnsi" w:cs="Arial"/>
                <w:szCs w:val="22"/>
                <w:lang w:val="en-GB" w:eastAsia="en-US"/>
              </w:rPr>
            </w:pPr>
            <w:r>
              <w:rPr>
                <w:rFonts w:eastAsiaTheme="minorHAnsi" w:cs="Arial"/>
                <w:szCs w:val="22"/>
                <w:lang w:val="en-GB" w:eastAsia="en-US"/>
              </w:rPr>
              <w:t>Not compliant</w:t>
            </w:r>
          </w:p>
        </w:tc>
        <w:tc>
          <w:tcPr>
            <w:tcW w:w="2268" w:type="dxa"/>
            <w:tcBorders>
              <w:top w:val="single" w:sz="4" w:space="0" w:color="auto"/>
              <w:left w:val="single" w:sz="4" w:space="0" w:color="auto"/>
              <w:bottom w:val="single" w:sz="4" w:space="0" w:color="auto"/>
              <w:right w:val="single" w:sz="4" w:space="0" w:color="auto"/>
            </w:tcBorders>
            <w:vAlign w:val="center"/>
          </w:tcPr>
          <w:p w14:paraId="13274890" w14:textId="2EDBB1FB" w:rsidR="00D11CDB" w:rsidRPr="00D11CDB" w:rsidRDefault="00FA4758" w:rsidP="00D11CDB">
            <w:pPr>
              <w:keepNext/>
              <w:spacing w:before="120" w:after="120"/>
              <w:ind w:left="357" w:hanging="357"/>
              <w:jc w:val="left"/>
              <w:rPr>
                <w:rFonts w:eastAsiaTheme="minorHAnsi" w:cs="Arial"/>
                <w:szCs w:val="22"/>
                <w:lang w:val="en-GB" w:eastAsia="en-US"/>
              </w:rPr>
            </w:pPr>
            <w:r>
              <w:rPr>
                <w:rFonts w:eastAsiaTheme="minorHAnsi" w:cs="Arial"/>
                <w:szCs w:val="22"/>
                <w:lang w:val="en-GB" w:eastAsia="en-US"/>
              </w:rPr>
              <w:t>Compliant</w:t>
            </w:r>
          </w:p>
        </w:tc>
        <w:tc>
          <w:tcPr>
            <w:tcW w:w="2268" w:type="dxa"/>
            <w:tcBorders>
              <w:top w:val="single" w:sz="4" w:space="0" w:color="auto"/>
              <w:left w:val="single" w:sz="4" w:space="0" w:color="auto"/>
              <w:bottom w:val="single" w:sz="4" w:space="0" w:color="auto"/>
              <w:right w:val="single" w:sz="4" w:space="0" w:color="auto"/>
            </w:tcBorders>
            <w:vAlign w:val="center"/>
          </w:tcPr>
          <w:p w14:paraId="65176D63" w14:textId="180FC638" w:rsidR="00D11CDB" w:rsidRPr="00D11CDB" w:rsidRDefault="00A46E48" w:rsidP="00A46E48">
            <w:pPr>
              <w:keepNext/>
              <w:spacing w:before="120" w:after="120"/>
              <w:jc w:val="left"/>
              <w:rPr>
                <w:rFonts w:eastAsiaTheme="minorHAnsi" w:cs="Arial"/>
                <w:szCs w:val="22"/>
                <w:lang w:val="en-GB" w:eastAsia="en-US"/>
              </w:rPr>
            </w:pPr>
            <w:r>
              <w:rPr>
                <w:rFonts w:eastAsiaTheme="minorHAnsi" w:cs="Arial"/>
                <w:szCs w:val="22"/>
                <w:lang w:val="en-GB" w:eastAsia="en-US"/>
              </w:rPr>
              <w:t>C</w:t>
            </w:r>
            <w:r w:rsidR="00FA4758">
              <w:rPr>
                <w:rFonts w:eastAsiaTheme="minorHAnsi" w:cs="Arial"/>
                <w:szCs w:val="22"/>
                <w:lang w:val="en-GB" w:eastAsia="en-US"/>
              </w:rPr>
              <w:t>ompliant</w:t>
            </w:r>
            <w:r w:rsidR="00E9783A">
              <w:rPr>
                <w:rFonts w:eastAsiaTheme="minorHAnsi" w:cs="Arial"/>
                <w:szCs w:val="22"/>
                <w:lang w:val="en-GB" w:eastAsia="en-US"/>
              </w:rPr>
              <w:t xml:space="preserve"> </w:t>
            </w:r>
          </w:p>
        </w:tc>
      </w:tr>
      <w:tr w:rsidR="00D11CDB" w:rsidRPr="00D11CDB" w14:paraId="3F4B0E08" w14:textId="77777777" w:rsidTr="00D11CDB">
        <w:tc>
          <w:tcPr>
            <w:tcW w:w="2211" w:type="dxa"/>
            <w:tcBorders>
              <w:top w:val="single" w:sz="4" w:space="0" w:color="auto"/>
              <w:left w:val="single" w:sz="4" w:space="0" w:color="auto"/>
              <w:bottom w:val="single" w:sz="4" w:space="0" w:color="auto"/>
              <w:right w:val="single" w:sz="4" w:space="0" w:color="auto"/>
            </w:tcBorders>
            <w:vAlign w:val="center"/>
            <w:hideMark/>
          </w:tcPr>
          <w:p w14:paraId="13AC37FA" w14:textId="77777777" w:rsidR="00D11CDB" w:rsidRPr="00D11CDB" w:rsidRDefault="00D11CDB" w:rsidP="00D11CDB">
            <w:pPr>
              <w:keepNext/>
              <w:spacing w:before="120" w:after="120"/>
              <w:jc w:val="left"/>
              <w:rPr>
                <w:rFonts w:eastAsiaTheme="minorHAnsi" w:cs="Arial"/>
                <w:szCs w:val="22"/>
                <w:lang w:val="en-GB" w:eastAsia="en-US"/>
              </w:rPr>
            </w:pPr>
            <w:r w:rsidRPr="00D11CDB">
              <w:rPr>
                <w:rFonts w:eastAsiaTheme="minorHAnsi" w:cs="Arial"/>
                <w:szCs w:val="22"/>
                <w:lang w:val="en-GB" w:eastAsia="en-US"/>
              </w:rPr>
              <w:t>Reflects local conditions</w:t>
            </w:r>
          </w:p>
        </w:tc>
        <w:tc>
          <w:tcPr>
            <w:tcW w:w="2268" w:type="dxa"/>
            <w:tcBorders>
              <w:top w:val="single" w:sz="4" w:space="0" w:color="auto"/>
              <w:left w:val="single" w:sz="4" w:space="0" w:color="auto"/>
              <w:bottom w:val="single" w:sz="4" w:space="0" w:color="auto"/>
              <w:right w:val="single" w:sz="4" w:space="0" w:color="auto"/>
            </w:tcBorders>
            <w:vAlign w:val="center"/>
          </w:tcPr>
          <w:p w14:paraId="50EC340E" w14:textId="531FE39D" w:rsidR="00D11CDB" w:rsidRPr="00D11CDB" w:rsidRDefault="00FA4758" w:rsidP="00D11CDB">
            <w:pPr>
              <w:keepNext/>
              <w:spacing w:before="120" w:after="120"/>
              <w:jc w:val="left"/>
              <w:rPr>
                <w:rFonts w:eastAsiaTheme="minorHAnsi" w:cs="Arial"/>
                <w:szCs w:val="22"/>
                <w:lang w:val="en-GB" w:eastAsia="en-US"/>
              </w:rPr>
            </w:pPr>
            <w:r>
              <w:rPr>
                <w:rFonts w:eastAsiaTheme="minorHAnsi" w:cs="Arial"/>
                <w:szCs w:val="22"/>
                <w:lang w:val="en-GB" w:eastAsia="en-US"/>
              </w:rPr>
              <w:t>No</w:t>
            </w:r>
          </w:p>
        </w:tc>
        <w:tc>
          <w:tcPr>
            <w:tcW w:w="2268" w:type="dxa"/>
            <w:tcBorders>
              <w:top w:val="single" w:sz="4" w:space="0" w:color="auto"/>
              <w:left w:val="single" w:sz="4" w:space="0" w:color="auto"/>
              <w:bottom w:val="single" w:sz="4" w:space="0" w:color="auto"/>
              <w:right w:val="single" w:sz="4" w:space="0" w:color="auto"/>
            </w:tcBorders>
            <w:vAlign w:val="center"/>
          </w:tcPr>
          <w:p w14:paraId="1095ECCF" w14:textId="4D43B5C9" w:rsidR="00D11CDB" w:rsidRPr="00D11CDB" w:rsidRDefault="00FA4758" w:rsidP="00D11CDB">
            <w:pPr>
              <w:keepNext/>
              <w:spacing w:before="120" w:after="120"/>
              <w:jc w:val="left"/>
              <w:rPr>
                <w:rFonts w:eastAsiaTheme="minorHAnsi" w:cs="Arial"/>
                <w:szCs w:val="22"/>
                <w:lang w:val="en-GB" w:eastAsia="en-US"/>
              </w:rPr>
            </w:pPr>
            <w:r>
              <w:rPr>
                <w:rFonts w:eastAsiaTheme="minorHAnsi" w:cs="Arial"/>
                <w:szCs w:val="22"/>
                <w:lang w:val="en-GB" w:eastAsia="en-US"/>
              </w:rPr>
              <w:t xml:space="preserve">No </w:t>
            </w:r>
          </w:p>
        </w:tc>
        <w:tc>
          <w:tcPr>
            <w:tcW w:w="2268" w:type="dxa"/>
            <w:tcBorders>
              <w:top w:val="single" w:sz="4" w:space="0" w:color="auto"/>
              <w:left w:val="single" w:sz="4" w:space="0" w:color="auto"/>
              <w:bottom w:val="single" w:sz="4" w:space="0" w:color="auto"/>
              <w:right w:val="single" w:sz="4" w:space="0" w:color="auto"/>
            </w:tcBorders>
            <w:vAlign w:val="center"/>
          </w:tcPr>
          <w:p w14:paraId="62AA6E01" w14:textId="2B67FCBE" w:rsidR="00D11CDB" w:rsidRPr="00D11CDB" w:rsidRDefault="00FA4758" w:rsidP="00D11CDB">
            <w:pPr>
              <w:keepNext/>
              <w:spacing w:before="120" w:after="120"/>
              <w:jc w:val="left"/>
              <w:rPr>
                <w:rFonts w:eastAsiaTheme="minorHAnsi" w:cs="Arial"/>
                <w:szCs w:val="22"/>
                <w:lang w:val="en-GB" w:eastAsia="en-US"/>
              </w:rPr>
            </w:pPr>
            <w:r>
              <w:rPr>
                <w:rFonts w:eastAsiaTheme="minorHAnsi" w:cs="Arial"/>
                <w:szCs w:val="22"/>
                <w:lang w:val="en-GB" w:eastAsia="en-US"/>
              </w:rPr>
              <w:t>Yes</w:t>
            </w:r>
          </w:p>
        </w:tc>
      </w:tr>
      <w:tr w:rsidR="00D11CDB" w:rsidRPr="00D11CDB" w14:paraId="7CEF2F64" w14:textId="77777777" w:rsidTr="00D358E4">
        <w:tc>
          <w:tcPr>
            <w:tcW w:w="2211" w:type="dxa"/>
            <w:tcBorders>
              <w:top w:val="single" w:sz="4" w:space="0" w:color="auto"/>
              <w:left w:val="single" w:sz="4" w:space="0" w:color="auto"/>
              <w:bottom w:val="single" w:sz="4" w:space="0" w:color="auto"/>
              <w:right w:val="single" w:sz="4" w:space="0" w:color="auto"/>
            </w:tcBorders>
            <w:vAlign w:val="center"/>
            <w:hideMark/>
          </w:tcPr>
          <w:p w14:paraId="3D661170" w14:textId="77777777" w:rsidR="00D11CDB" w:rsidRPr="00D11CDB" w:rsidRDefault="00D11CDB" w:rsidP="00D11CDB">
            <w:pPr>
              <w:keepNext/>
              <w:spacing w:before="120" w:after="120"/>
              <w:jc w:val="left"/>
              <w:rPr>
                <w:rFonts w:eastAsiaTheme="minorHAnsi" w:cs="Arial"/>
                <w:b/>
                <w:szCs w:val="22"/>
                <w:lang w:val="en-GB" w:eastAsia="en-US"/>
              </w:rPr>
            </w:pPr>
            <w:r w:rsidRPr="00D11CDB">
              <w:rPr>
                <w:rFonts w:eastAsiaTheme="minorHAnsi" w:cs="Arial"/>
                <w:b/>
                <w:szCs w:val="22"/>
                <w:lang w:val="en-GB" w:eastAsia="en-US"/>
              </w:rPr>
              <w:t>Overall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B7C8F0" w14:textId="1600328D" w:rsidR="00D11CDB" w:rsidRPr="00D11CDB" w:rsidRDefault="003164E1" w:rsidP="00D11CDB">
            <w:pPr>
              <w:keepNext/>
              <w:spacing w:before="120" w:after="120"/>
              <w:jc w:val="left"/>
              <w:rPr>
                <w:rFonts w:eastAsiaTheme="minorHAnsi" w:cs="Arial"/>
                <w:b/>
                <w:szCs w:val="22"/>
                <w:lang w:val="en-GB" w:eastAsia="en-US"/>
              </w:rPr>
            </w:pPr>
            <w:r>
              <w:rPr>
                <w:rFonts w:eastAsiaTheme="minorHAnsi" w:cs="Arial"/>
                <w:b/>
                <w:szCs w:val="22"/>
                <w:lang w:val="en-GB" w:eastAsia="en-US"/>
              </w:rPr>
              <w:t>Moderate to high</w:t>
            </w:r>
            <w:r w:rsidR="00D11CDB" w:rsidRPr="00D11CDB">
              <w:rPr>
                <w:rFonts w:eastAsiaTheme="minorHAnsi" w:cs="Arial"/>
                <w:b/>
                <w:szCs w:val="22"/>
                <w:lang w:val="en-GB" w:eastAsia="en-US"/>
              </w:rPr>
              <w:t xml:space="preserve"> net cost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A44B19" w14:textId="7C93B995" w:rsidR="00D11CDB" w:rsidRPr="00D11CDB" w:rsidRDefault="000460A8" w:rsidP="003164E1">
            <w:pPr>
              <w:keepNext/>
              <w:spacing w:before="120" w:after="120"/>
              <w:jc w:val="left"/>
              <w:rPr>
                <w:rFonts w:eastAsiaTheme="minorHAnsi" w:cs="Arial"/>
                <w:b/>
                <w:szCs w:val="22"/>
                <w:lang w:val="en-GB" w:eastAsia="en-US"/>
              </w:rPr>
            </w:pPr>
            <w:r>
              <w:rPr>
                <w:rFonts w:eastAsiaTheme="minorHAnsi" w:cs="Arial"/>
                <w:b/>
                <w:szCs w:val="22"/>
                <w:lang w:val="en-GB" w:eastAsia="en-US"/>
              </w:rPr>
              <w:t xml:space="preserve">Moderate </w:t>
            </w:r>
            <w:r w:rsidR="00D11CDB" w:rsidRPr="00D11CDB">
              <w:rPr>
                <w:rFonts w:eastAsiaTheme="minorHAnsi" w:cs="Arial"/>
                <w:b/>
                <w:szCs w:val="22"/>
                <w:lang w:val="en-GB" w:eastAsia="en-US"/>
              </w:rPr>
              <w:t>net cost</w:t>
            </w:r>
          </w:p>
        </w:tc>
        <w:tc>
          <w:tcPr>
            <w:tcW w:w="2268" w:type="dxa"/>
            <w:tcBorders>
              <w:top w:val="single" w:sz="4" w:space="0" w:color="auto"/>
              <w:left w:val="single" w:sz="4" w:space="0" w:color="auto"/>
              <w:bottom w:val="single" w:sz="4" w:space="0" w:color="auto"/>
              <w:right w:val="single" w:sz="4" w:space="0" w:color="auto"/>
            </w:tcBorders>
            <w:vAlign w:val="center"/>
          </w:tcPr>
          <w:p w14:paraId="71E1C27D" w14:textId="53C3EC14" w:rsidR="00D11CDB" w:rsidRPr="00D11CDB" w:rsidRDefault="000460A8" w:rsidP="000460A8">
            <w:pPr>
              <w:keepNext/>
              <w:spacing w:before="120" w:after="120"/>
              <w:jc w:val="left"/>
              <w:rPr>
                <w:rFonts w:eastAsiaTheme="minorHAnsi" w:cs="Arial"/>
                <w:b/>
                <w:szCs w:val="22"/>
                <w:lang w:val="en-GB" w:eastAsia="en-US"/>
              </w:rPr>
            </w:pPr>
            <w:r>
              <w:rPr>
                <w:rFonts w:eastAsiaTheme="minorHAnsi" w:cs="Arial"/>
                <w:b/>
                <w:szCs w:val="22"/>
                <w:lang w:val="en-GB" w:eastAsia="en-US"/>
              </w:rPr>
              <w:t>Moderate</w:t>
            </w:r>
            <w:r w:rsidR="003164E1">
              <w:rPr>
                <w:rFonts w:eastAsiaTheme="minorHAnsi" w:cs="Arial"/>
                <w:b/>
                <w:szCs w:val="22"/>
                <w:lang w:val="en-GB" w:eastAsia="en-US"/>
              </w:rPr>
              <w:t xml:space="preserve"> </w:t>
            </w:r>
            <w:r w:rsidR="00D11CDB" w:rsidRPr="00D11CDB">
              <w:rPr>
                <w:rFonts w:eastAsiaTheme="minorHAnsi" w:cs="Arial"/>
                <w:b/>
                <w:szCs w:val="22"/>
                <w:lang w:val="en-GB" w:eastAsia="en-US"/>
              </w:rPr>
              <w:t>net cost</w:t>
            </w:r>
          </w:p>
        </w:tc>
      </w:tr>
    </w:tbl>
    <w:p w14:paraId="3A2F8597" w14:textId="77777777" w:rsidR="0026129E" w:rsidRDefault="0026129E" w:rsidP="005B6095">
      <w:pPr>
        <w:jc w:val="left"/>
        <w:rPr>
          <w:sz w:val="24"/>
        </w:rPr>
      </w:pPr>
    </w:p>
    <w:p w14:paraId="68CC9C0E" w14:textId="672F1DC6" w:rsidR="000460A8" w:rsidRDefault="000460A8" w:rsidP="001C78EE">
      <w:pPr>
        <w:rPr>
          <w:sz w:val="24"/>
        </w:rPr>
      </w:pPr>
      <w:r>
        <w:rPr>
          <w:sz w:val="24"/>
        </w:rPr>
        <w:lastRenderedPageBreak/>
        <w:t xml:space="preserve">Under </w:t>
      </w:r>
      <w:r w:rsidR="005C62A3">
        <w:rPr>
          <w:sz w:val="24"/>
        </w:rPr>
        <w:t>O</w:t>
      </w:r>
      <w:r>
        <w:rPr>
          <w:sz w:val="24"/>
        </w:rPr>
        <w:t>ption 1, there would be no additional compliance costs. This is due to the fact that this option involved maintaining the existing requirements for counterparty credit risk without change.</w:t>
      </w:r>
    </w:p>
    <w:p w14:paraId="08C84148" w14:textId="30755BBE" w:rsidR="000460A8" w:rsidRDefault="000460A8" w:rsidP="001C78EE">
      <w:pPr>
        <w:rPr>
          <w:sz w:val="24"/>
        </w:rPr>
      </w:pPr>
      <w:r>
        <w:rPr>
          <w:sz w:val="24"/>
        </w:rPr>
        <w:t xml:space="preserve">Both options 2 and 3 will result in industry incurring compliance costs. </w:t>
      </w:r>
      <w:r w:rsidR="00394EE3">
        <w:rPr>
          <w:sz w:val="24"/>
        </w:rPr>
        <w:t xml:space="preserve">For both </w:t>
      </w:r>
      <w:r w:rsidR="004C7050">
        <w:rPr>
          <w:sz w:val="24"/>
        </w:rPr>
        <w:t>o</w:t>
      </w:r>
      <w:r w:rsidR="00394EE3">
        <w:rPr>
          <w:sz w:val="24"/>
        </w:rPr>
        <w:t xml:space="preserve">ptions the costs will be moderate, although higher for Option 2, as under this option all ADIs would be required to implement the SA-CCR. Option 3 limits the number of ADIs to whom the SA-CCR would apply thereby resulting in lower overall costs. Both </w:t>
      </w:r>
      <w:r w:rsidR="00592892">
        <w:rPr>
          <w:sz w:val="24"/>
        </w:rPr>
        <w:t>o</w:t>
      </w:r>
      <w:r w:rsidR="00394EE3">
        <w:rPr>
          <w:sz w:val="24"/>
        </w:rPr>
        <w:t>ptions 2 and 3 are considered compliant with the Basel cou</w:t>
      </w:r>
      <w:r w:rsidR="009922E7">
        <w:rPr>
          <w:sz w:val="24"/>
        </w:rPr>
        <w:t>nterparty credit risk framework but Option 3 reflects Australian conditions while Option 2 would not take account of Australian conditions in implementing the framework.</w:t>
      </w:r>
    </w:p>
    <w:p w14:paraId="5B22CD63" w14:textId="37029C8A" w:rsidR="009922E7" w:rsidRDefault="009922E7" w:rsidP="001C78EE">
      <w:pPr>
        <w:rPr>
          <w:sz w:val="24"/>
        </w:rPr>
      </w:pPr>
      <w:r>
        <w:rPr>
          <w:sz w:val="24"/>
        </w:rPr>
        <w:t xml:space="preserve">Therefore, in APRA’s view, Option 3 achieves an appropriate balance in implementing the new Basel counterparty credit risk framework </w:t>
      </w:r>
      <w:r w:rsidR="00D864D4">
        <w:rPr>
          <w:sz w:val="24"/>
        </w:rPr>
        <w:t>while</w:t>
      </w:r>
      <w:r>
        <w:rPr>
          <w:sz w:val="24"/>
        </w:rPr>
        <w:t xml:space="preserve"> taking account</w:t>
      </w:r>
      <w:r w:rsidR="00D864D4">
        <w:rPr>
          <w:sz w:val="24"/>
        </w:rPr>
        <w:t>,</w:t>
      </w:r>
      <w:r>
        <w:rPr>
          <w:sz w:val="24"/>
        </w:rPr>
        <w:t xml:space="preserve"> with modifications</w:t>
      </w:r>
      <w:r w:rsidR="00D864D4">
        <w:rPr>
          <w:sz w:val="24"/>
        </w:rPr>
        <w:t>,</w:t>
      </w:r>
      <w:r>
        <w:rPr>
          <w:sz w:val="24"/>
        </w:rPr>
        <w:t xml:space="preserve"> </w:t>
      </w:r>
      <w:r w:rsidR="005A3EE9">
        <w:rPr>
          <w:sz w:val="24"/>
        </w:rPr>
        <w:t>of</w:t>
      </w:r>
      <w:r>
        <w:rPr>
          <w:sz w:val="24"/>
        </w:rPr>
        <w:t xml:space="preserve"> Australian conditions. On this basis, APRA will adopt Option 3.</w:t>
      </w:r>
    </w:p>
    <w:p w14:paraId="5AEBC2A1" w14:textId="63BA50A3" w:rsidR="00543CF8" w:rsidRDefault="00543CF8" w:rsidP="00543CF8">
      <w:pPr>
        <w:pStyle w:val="Heading2"/>
      </w:pPr>
      <w:r>
        <w:t>Question 7 – Implementation and review</w:t>
      </w:r>
    </w:p>
    <w:p w14:paraId="39526039" w14:textId="18CEB62A" w:rsidR="00207B6A" w:rsidRPr="00592892" w:rsidRDefault="0058533C" w:rsidP="00207B6A">
      <w:pPr>
        <w:rPr>
          <w:sz w:val="24"/>
        </w:rPr>
      </w:pPr>
      <w:r w:rsidRPr="00592892">
        <w:rPr>
          <w:sz w:val="24"/>
        </w:rPr>
        <w:t>APRA expects to release the final requirements, entailing various prudential and reporting standards before mid-2018, with effect from 1 July 2019.</w:t>
      </w:r>
    </w:p>
    <w:p w14:paraId="213C9224" w14:textId="69FA3E4B" w:rsidR="0058533C" w:rsidRPr="00592892" w:rsidRDefault="0058533C" w:rsidP="00207B6A">
      <w:pPr>
        <w:rPr>
          <w:sz w:val="24"/>
        </w:rPr>
      </w:pPr>
      <w:r w:rsidRPr="00592892">
        <w:rPr>
          <w:sz w:val="24"/>
        </w:rPr>
        <w:t>APRA’s prudential framework is regularly reviewed, including consideration of whether the requirements continue to reflect good practice, remain consistent with international standards and remain relevant and effective in facilitating sound risk management practices.</w:t>
      </w:r>
    </w:p>
    <w:sectPr w:rsidR="0058533C" w:rsidRPr="00592892" w:rsidSect="006972F3">
      <w:headerReference w:type="default" r:id="rId14"/>
      <w:footerReference w:type="default" r:id="rId15"/>
      <w:headerReference w:type="first" r:id="rId16"/>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E79E9" w14:textId="77777777" w:rsidR="005163C1" w:rsidRDefault="005163C1" w:rsidP="007A463E">
      <w:pPr>
        <w:spacing w:after="0"/>
      </w:pPr>
      <w:r>
        <w:separator/>
      </w:r>
    </w:p>
    <w:p w14:paraId="0FC78FE7" w14:textId="77777777" w:rsidR="005163C1" w:rsidRDefault="005163C1"/>
  </w:endnote>
  <w:endnote w:type="continuationSeparator" w:id="0">
    <w:p w14:paraId="6DE4A236" w14:textId="77777777" w:rsidR="005163C1" w:rsidRDefault="005163C1" w:rsidP="007A463E">
      <w:pPr>
        <w:spacing w:after="0"/>
      </w:pPr>
      <w:r>
        <w:continuationSeparator/>
      </w:r>
    </w:p>
    <w:p w14:paraId="772FD6FE" w14:textId="77777777" w:rsidR="005163C1" w:rsidRDefault="005163C1"/>
  </w:endnote>
  <w:endnote w:type="continuationNotice" w:id="1">
    <w:p w14:paraId="1F3A3FD9" w14:textId="77777777" w:rsidR="005163C1" w:rsidRDefault="005163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072261"/>
      <w:docPartObj>
        <w:docPartGallery w:val="Page Numbers (Bottom of Page)"/>
        <w:docPartUnique/>
      </w:docPartObj>
    </w:sdtPr>
    <w:sdtEndPr/>
    <w:sdtContent>
      <w:sdt>
        <w:sdtPr>
          <w:id w:val="860082579"/>
          <w:docPartObj>
            <w:docPartGallery w:val="Page Numbers (Top of Page)"/>
            <w:docPartUnique/>
          </w:docPartObj>
        </w:sdtPr>
        <w:sdtEndPr/>
        <w:sdtContent>
          <w:p w14:paraId="45234E96" w14:textId="39A1B118" w:rsidR="005163C1" w:rsidRDefault="005163C1">
            <w:pPr>
              <w:pStyle w:val="Footer"/>
            </w:pPr>
            <w:r>
              <w:rPr>
                <w:b/>
                <w:bCs/>
                <w:sz w:val="24"/>
              </w:rPr>
              <w:fldChar w:fldCharType="begin"/>
            </w:r>
            <w:r>
              <w:rPr>
                <w:b/>
                <w:bCs/>
              </w:rPr>
              <w:instrText xml:space="preserve"> PAGE </w:instrText>
            </w:r>
            <w:r>
              <w:rPr>
                <w:b/>
                <w:bCs/>
                <w:sz w:val="24"/>
              </w:rPr>
              <w:fldChar w:fldCharType="separate"/>
            </w:r>
            <w:r w:rsidR="003C4313">
              <w:rPr>
                <w:b/>
                <w:bCs/>
                <w:noProof/>
              </w:rPr>
              <w:t>2</w:t>
            </w:r>
            <w:r>
              <w:rPr>
                <w:b/>
                <w:bCs/>
                <w:sz w:val="24"/>
              </w:rPr>
              <w:fldChar w:fldCharType="end"/>
            </w:r>
          </w:p>
        </w:sdtContent>
      </w:sdt>
    </w:sdtContent>
  </w:sdt>
  <w:p w14:paraId="71A4037D" w14:textId="77777777" w:rsidR="005163C1" w:rsidRDefault="00516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53E07" w14:textId="77777777" w:rsidR="005163C1" w:rsidRDefault="005163C1" w:rsidP="007A463E">
      <w:pPr>
        <w:spacing w:after="0"/>
      </w:pPr>
      <w:r>
        <w:separator/>
      </w:r>
    </w:p>
    <w:p w14:paraId="2D396AF6" w14:textId="77777777" w:rsidR="005163C1" w:rsidRDefault="005163C1"/>
  </w:footnote>
  <w:footnote w:type="continuationSeparator" w:id="0">
    <w:p w14:paraId="54D323E5" w14:textId="77777777" w:rsidR="005163C1" w:rsidRDefault="005163C1" w:rsidP="007A463E">
      <w:pPr>
        <w:spacing w:after="0"/>
      </w:pPr>
      <w:r>
        <w:continuationSeparator/>
      </w:r>
    </w:p>
    <w:p w14:paraId="4314F5A9" w14:textId="77777777" w:rsidR="005163C1" w:rsidRDefault="005163C1"/>
  </w:footnote>
  <w:footnote w:type="continuationNotice" w:id="1">
    <w:p w14:paraId="14224C83" w14:textId="77777777" w:rsidR="005163C1" w:rsidRDefault="005163C1">
      <w:pPr>
        <w:spacing w:after="0"/>
      </w:pPr>
    </w:p>
  </w:footnote>
  <w:footnote w:id="2">
    <w:p w14:paraId="6A2B8E72" w14:textId="7275AA95" w:rsidR="005163C1" w:rsidRPr="000D793D" w:rsidRDefault="005163C1" w:rsidP="0035754C">
      <w:pPr>
        <w:pStyle w:val="FootnoteText"/>
        <w:spacing w:after="120"/>
        <w:rPr>
          <w:rFonts w:cs="Arial"/>
          <w:sz w:val="20"/>
          <w:szCs w:val="20"/>
        </w:rPr>
      </w:pPr>
      <w:r w:rsidRPr="00A83A91">
        <w:rPr>
          <w:rStyle w:val="FootnoteReference"/>
          <w:rFonts w:ascii="Times New Roman" w:hAnsi="Times New Roman"/>
          <w:sz w:val="20"/>
          <w:szCs w:val="20"/>
        </w:rPr>
        <w:footnoteRef/>
      </w:r>
      <w:r w:rsidRPr="00A83A91">
        <w:rPr>
          <w:rFonts w:ascii="Times New Roman" w:hAnsi="Times New Roman"/>
          <w:sz w:val="20"/>
          <w:szCs w:val="20"/>
        </w:rPr>
        <w:t xml:space="preserve"> </w:t>
      </w:r>
      <w:r w:rsidRPr="000D793D">
        <w:rPr>
          <w:rFonts w:cs="Arial"/>
          <w:i/>
          <w:szCs w:val="18"/>
        </w:rPr>
        <w:t>Australian Government Guide to Regulation</w:t>
      </w:r>
      <w:r w:rsidRPr="000D793D">
        <w:rPr>
          <w:rFonts w:cs="Arial"/>
          <w:szCs w:val="18"/>
        </w:rPr>
        <w:t>, March 2014</w:t>
      </w:r>
      <w:r>
        <w:rPr>
          <w:rFonts w:cs="Arial"/>
          <w:szCs w:val="18"/>
        </w:rPr>
        <w:t>.</w:t>
      </w:r>
    </w:p>
  </w:footnote>
  <w:footnote w:id="3">
    <w:p w14:paraId="592E8661" w14:textId="77777777" w:rsidR="00213797" w:rsidRPr="007C49C7" w:rsidRDefault="00213797" w:rsidP="00213797">
      <w:pPr>
        <w:pStyle w:val="FootnoteText"/>
      </w:pPr>
      <w:r>
        <w:rPr>
          <w:rStyle w:val="FootnoteReference"/>
        </w:rPr>
        <w:footnoteRef/>
      </w:r>
      <w:r>
        <w:t xml:space="preserve"> </w:t>
      </w:r>
      <w:r>
        <w:rPr>
          <w:i/>
        </w:rPr>
        <w:t>The standardised approach for measuring counterparty credit risk</w:t>
      </w:r>
      <w:r>
        <w:t xml:space="preserve">, Basel Committee (March 2014) </w:t>
      </w:r>
      <w:hyperlink r:id="rId1" w:history="1">
        <w:r w:rsidRPr="00B06AA8">
          <w:rPr>
            <w:rStyle w:val="Hyperlink"/>
            <w:sz w:val="18"/>
            <w:szCs w:val="18"/>
          </w:rPr>
          <w:t>http://www.bis.org/publ/bcbs279.htm</w:t>
        </w:r>
      </w:hyperlink>
      <w:r>
        <w:rPr>
          <w:szCs w:val="18"/>
        </w:rPr>
        <w:t>.</w:t>
      </w:r>
    </w:p>
  </w:footnote>
  <w:footnote w:id="4">
    <w:p w14:paraId="68E623BB" w14:textId="77777777" w:rsidR="00213797" w:rsidRPr="007C49C7" w:rsidRDefault="00213797" w:rsidP="00213797">
      <w:pPr>
        <w:pStyle w:val="FootnoteText"/>
      </w:pPr>
      <w:r>
        <w:rPr>
          <w:rStyle w:val="FootnoteReference"/>
        </w:rPr>
        <w:footnoteRef/>
      </w:r>
      <w:r>
        <w:t xml:space="preserve"> </w:t>
      </w:r>
      <w:r>
        <w:rPr>
          <w:i/>
        </w:rPr>
        <w:t>Capital requirements for bank exposures to central counterparties – final standard</w:t>
      </w:r>
      <w:r>
        <w:t xml:space="preserve">, Basel Committee (April 2014) </w:t>
      </w:r>
      <w:hyperlink r:id="rId2" w:history="1">
        <w:r w:rsidRPr="00B06AA8">
          <w:rPr>
            <w:rStyle w:val="Hyperlink"/>
            <w:sz w:val="18"/>
            <w:szCs w:val="18"/>
          </w:rPr>
          <w:t>http://www.bis.org/publ/bcbs282.htm</w:t>
        </w:r>
      </w:hyperlink>
      <w:r>
        <w:rPr>
          <w:szCs w:val="18"/>
        </w:rPr>
        <w:t>.</w:t>
      </w:r>
    </w:p>
  </w:footnote>
  <w:footnote w:id="5">
    <w:p w14:paraId="79A98DA8" w14:textId="1D1E5C2C" w:rsidR="005163C1" w:rsidRDefault="005163C1">
      <w:pPr>
        <w:pStyle w:val="FootnoteText"/>
      </w:pPr>
      <w:r>
        <w:rPr>
          <w:rStyle w:val="FootnoteReference"/>
        </w:rPr>
        <w:footnoteRef/>
      </w:r>
      <w:r>
        <w:t xml:space="preserve"> Refer to </w:t>
      </w:r>
      <w:hyperlink r:id="rId3" w:history="1">
        <w:r w:rsidRPr="00C94B9E">
          <w:rPr>
            <w:rStyle w:val="Hyperlink"/>
            <w:sz w:val="18"/>
          </w:rPr>
          <w:t>http://www.apra.gov.au/adi/Pages/September-2016-Consultation-counterparty-credit-risk.aspx</w:t>
        </w:r>
      </w:hyperlink>
      <w:r>
        <w:t>.</w:t>
      </w:r>
    </w:p>
  </w:footnote>
  <w:footnote w:id="6">
    <w:p w14:paraId="42718365" w14:textId="1D0F720C" w:rsidR="005163C1" w:rsidRDefault="005163C1">
      <w:pPr>
        <w:pStyle w:val="FootnoteText"/>
      </w:pPr>
      <w:r>
        <w:rPr>
          <w:rStyle w:val="FootnoteReference"/>
        </w:rPr>
        <w:footnoteRef/>
      </w:r>
      <w:r>
        <w:t xml:space="preserve"> Refer to </w:t>
      </w:r>
      <w:hyperlink r:id="rId4" w:history="1">
        <w:r w:rsidRPr="009E1C16">
          <w:rPr>
            <w:rStyle w:val="Hyperlink"/>
            <w:sz w:val="18"/>
          </w:rPr>
          <w:t>http://www.apra.gov.au/adi/PrudentialFramework/Pages/Consultation-counterparty-credit-risk-August-2017.aspx</w:t>
        </w:r>
      </w:hyperlink>
      <w:r>
        <w:t xml:space="preserve">.  </w:t>
      </w:r>
    </w:p>
  </w:footnote>
  <w:footnote w:id="7">
    <w:p w14:paraId="79D55394" w14:textId="4F5B7507" w:rsidR="00135BE0" w:rsidRDefault="00135BE0">
      <w:pPr>
        <w:pStyle w:val="FootnoteText"/>
      </w:pPr>
      <w:r>
        <w:rPr>
          <w:rStyle w:val="FootnoteReference"/>
        </w:rPr>
        <w:footnoteRef/>
      </w:r>
      <w:r>
        <w:t xml:space="preserve"> Discussion paper, </w:t>
      </w:r>
      <w:r w:rsidRPr="00135BE0">
        <w:rPr>
          <w:i/>
        </w:rPr>
        <w:t>Counterparty credit risk for ADIs</w:t>
      </w:r>
      <w:r>
        <w:t xml:space="preserve">, 3 August 2017, APRA. Refer to </w:t>
      </w:r>
      <w:hyperlink r:id="rId5" w:history="1">
        <w:r w:rsidRPr="00690938">
          <w:rPr>
            <w:rStyle w:val="Hyperlink"/>
            <w:sz w:val="18"/>
          </w:rPr>
          <w:t>http://www.apra.gov.au/adi/PrudentialFramework/Pages/Consultation-counterparty-credit-risk-August-2017.aspx</w:t>
        </w:r>
      </w:hyperlink>
      <w:r>
        <w:t>.</w:t>
      </w:r>
    </w:p>
    <w:p w14:paraId="67409391" w14:textId="77777777" w:rsidR="00135BE0" w:rsidRDefault="00135BE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ADDF" w14:textId="1EEA39EB" w:rsidR="005163C1" w:rsidRPr="00665727" w:rsidRDefault="005163C1"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6797A" w14:textId="5FF0D248" w:rsidR="005163C1" w:rsidRDefault="005163C1"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0963B9E"/>
    <w:multiLevelType w:val="hybridMultilevel"/>
    <w:tmpl w:val="D528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409B1"/>
    <w:multiLevelType w:val="multilevel"/>
    <w:tmpl w:val="0C09001F"/>
    <w:numStyleLink w:val="111111"/>
  </w:abstractNum>
  <w:abstractNum w:abstractNumId="9"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85E33"/>
    <w:multiLevelType w:val="hybridMultilevel"/>
    <w:tmpl w:val="4AB69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776594"/>
    <w:multiLevelType w:val="multilevel"/>
    <w:tmpl w:val="1E32E4D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7CC226F"/>
    <w:multiLevelType w:val="hybridMultilevel"/>
    <w:tmpl w:val="527CF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EE2A64"/>
    <w:multiLevelType w:val="hybridMultilevel"/>
    <w:tmpl w:val="D17AC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1"/>
  </w:num>
  <w:num w:numId="4">
    <w:abstractNumId w:val="7"/>
  </w:num>
  <w:num w:numId="5">
    <w:abstractNumId w:val="5"/>
  </w:num>
  <w:num w:numId="6">
    <w:abstractNumId w:val="12"/>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0"/>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8"/>
    <w:rsid w:val="00002A70"/>
    <w:rsid w:val="00003065"/>
    <w:rsid w:val="00005CEA"/>
    <w:rsid w:val="00011B0A"/>
    <w:rsid w:val="000158F8"/>
    <w:rsid w:val="0003275F"/>
    <w:rsid w:val="000408CA"/>
    <w:rsid w:val="000460A8"/>
    <w:rsid w:val="000467D3"/>
    <w:rsid w:val="00053F0B"/>
    <w:rsid w:val="00063BDC"/>
    <w:rsid w:val="00073281"/>
    <w:rsid w:val="00097A91"/>
    <w:rsid w:val="000A1A18"/>
    <w:rsid w:val="000A668B"/>
    <w:rsid w:val="000B5452"/>
    <w:rsid w:val="000C170D"/>
    <w:rsid w:val="000D09FA"/>
    <w:rsid w:val="000D2D92"/>
    <w:rsid w:val="000E1DDA"/>
    <w:rsid w:val="000F20CF"/>
    <w:rsid w:val="001132EE"/>
    <w:rsid w:val="00135BE0"/>
    <w:rsid w:val="001407B5"/>
    <w:rsid w:val="001502F1"/>
    <w:rsid w:val="0016777F"/>
    <w:rsid w:val="0017639F"/>
    <w:rsid w:val="00195083"/>
    <w:rsid w:val="001B2D90"/>
    <w:rsid w:val="001B4096"/>
    <w:rsid w:val="001B7A93"/>
    <w:rsid w:val="001C4012"/>
    <w:rsid w:val="001C78EE"/>
    <w:rsid w:val="001D3046"/>
    <w:rsid w:val="001D3B1C"/>
    <w:rsid w:val="001D505A"/>
    <w:rsid w:val="001D59AB"/>
    <w:rsid w:val="001D627C"/>
    <w:rsid w:val="001D7D3C"/>
    <w:rsid w:val="001E00D2"/>
    <w:rsid w:val="001F2237"/>
    <w:rsid w:val="001F2B16"/>
    <w:rsid w:val="0020289D"/>
    <w:rsid w:val="00202959"/>
    <w:rsid w:val="0020398A"/>
    <w:rsid w:val="002039E3"/>
    <w:rsid w:val="00207B6A"/>
    <w:rsid w:val="00210CEA"/>
    <w:rsid w:val="0021143E"/>
    <w:rsid w:val="00211C2D"/>
    <w:rsid w:val="00213797"/>
    <w:rsid w:val="002226E8"/>
    <w:rsid w:val="00222D9D"/>
    <w:rsid w:val="002403C8"/>
    <w:rsid w:val="00243D30"/>
    <w:rsid w:val="00257E33"/>
    <w:rsid w:val="0026129E"/>
    <w:rsid w:val="0026542C"/>
    <w:rsid w:val="00267EBC"/>
    <w:rsid w:val="00271ED5"/>
    <w:rsid w:val="002767C9"/>
    <w:rsid w:val="00294775"/>
    <w:rsid w:val="002A1411"/>
    <w:rsid w:val="002A1FAF"/>
    <w:rsid w:val="002A48CB"/>
    <w:rsid w:val="002A7592"/>
    <w:rsid w:val="002B0B89"/>
    <w:rsid w:val="002B6F5E"/>
    <w:rsid w:val="002C7245"/>
    <w:rsid w:val="002D2D98"/>
    <w:rsid w:val="002E6182"/>
    <w:rsid w:val="002F0157"/>
    <w:rsid w:val="002F5035"/>
    <w:rsid w:val="0030135A"/>
    <w:rsid w:val="003046C2"/>
    <w:rsid w:val="0030514B"/>
    <w:rsid w:val="003164E1"/>
    <w:rsid w:val="003253F5"/>
    <w:rsid w:val="00340359"/>
    <w:rsid w:val="00344A7E"/>
    <w:rsid w:val="0035092D"/>
    <w:rsid w:val="00353DE2"/>
    <w:rsid w:val="0035754C"/>
    <w:rsid w:val="00360B3A"/>
    <w:rsid w:val="00367A5D"/>
    <w:rsid w:val="003707EE"/>
    <w:rsid w:val="00373B0D"/>
    <w:rsid w:val="00373EEA"/>
    <w:rsid w:val="00393B73"/>
    <w:rsid w:val="00394EE3"/>
    <w:rsid w:val="00397FAD"/>
    <w:rsid w:val="003A069D"/>
    <w:rsid w:val="003A2774"/>
    <w:rsid w:val="003A6675"/>
    <w:rsid w:val="003C4313"/>
    <w:rsid w:val="003C6244"/>
    <w:rsid w:val="003C6CBE"/>
    <w:rsid w:val="003D27B5"/>
    <w:rsid w:val="003D6738"/>
    <w:rsid w:val="00411C1E"/>
    <w:rsid w:val="004139FA"/>
    <w:rsid w:val="0043440F"/>
    <w:rsid w:val="00435E24"/>
    <w:rsid w:val="00444BF0"/>
    <w:rsid w:val="00452429"/>
    <w:rsid w:val="004727C1"/>
    <w:rsid w:val="004821F3"/>
    <w:rsid w:val="004942BC"/>
    <w:rsid w:val="00494822"/>
    <w:rsid w:val="004A070C"/>
    <w:rsid w:val="004A5E3F"/>
    <w:rsid w:val="004B4492"/>
    <w:rsid w:val="004C2EC4"/>
    <w:rsid w:val="004C7050"/>
    <w:rsid w:val="004D7117"/>
    <w:rsid w:val="004E13AF"/>
    <w:rsid w:val="004E4CE9"/>
    <w:rsid w:val="004E4FE9"/>
    <w:rsid w:val="004E62BC"/>
    <w:rsid w:val="004F06EF"/>
    <w:rsid w:val="004F27CF"/>
    <w:rsid w:val="005163C1"/>
    <w:rsid w:val="00517D4D"/>
    <w:rsid w:val="00542628"/>
    <w:rsid w:val="00542698"/>
    <w:rsid w:val="00543CF8"/>
    <w:rsid w:val="00547263"/>
    <w:rsid w:val="00550F16"/>
    <w:rsid w:val="00552CA7"/>
    <w:rsid w:val="005530E4"/>
    <w:rsid w:val="00566068"/>
    <w:rsid w:val="00571F51"/>
    <w:rsid w:val="0058096C"/>
    <w:rsid w:val="0058305E"/>
    <w:rsid w:val="00584A8F"/>
    <w:rsid w:val="0058533C"/>
    <w:rsid w:val="00592892"/>
    <w:rsid w:val="0059327C"/>
    <w:rsid w:val="005950A0"/>
    <w:rsid w:val="00597EFE"/>
    <w:rsid w:val="005A2889"/>
    <w:rsid w:val="005A3EE9"/>
    <w:rsid w:val="005B5903"/>
    <w:rsid w:val="005B6095"/>
    <w:rsid w:val="005C0344"/>
    <w:rsid w:val="005C0FBA"/>
    <w:rsid w:val="005C2079"/>
    <w:rsid w:val="005C54A4"/>
    <w:rsid w:val="005C62A3"/>
    <w:rsid w:val="005E2B84"/>
    <w:rsid w:val="005E6AF8"/>
    <w:rsid w:val="005F63A5"/>
    <w:rsid w:val="00606F5A"/>
    <w:rsid w:val="0060742D"/>
    <w:rsid w:val="006128BA"/>
    <w:rsid w:val="00615AEF"/>
    <w:rsid w:val="00622374"/>
    <w:rsid w:val="00622E74"/>
    <w:rsid w:val="00627676"/>
    <w:rsid w:val="006352A2"/>
    <w:rsid w:val="00646C7A"/>
    <w:rsid w:val="006637BB"/>
    <w:rsid w:val="00665727"/>
    <w:rsid w:val="00665B1C"/>
    <w:rsid w:val="00677A36"/>
    <w:rsid w:val="00686723"/>
    <w:rsid w:val="0068743E"/>
    <w:rsid w:val="00691C8C"/>
    <w:rsid w:val="00694F79"/>
    <w:rsid w:val="006972F3"/>
    <w:rsid w:val="006A5169"/>
    <w:rsid w:val="006B742F"/>
    <w:rsid w:val="006C1429"/>
    <w:rsid w:val="006E4003"/>
    <w:rsid w:val="006F46D7"/>
    <w:rsid w:val="007236E2"/>
    <w:rsid w:val="00732805"/>
    <w:rsid w:val="007403DD"/>
    <w:rsid w:val="0074761E"/>
    <w:rsid w:val="0076066D"/>
    <w:rsid w:val="00767DB9"/>
    <w:rsid w:val="0077637B"/>
    <w:rsid w:val="00781FF4"/>
    <w:rsid w:val="00786B63"/>
    <w:rsid w:val="00790F06"/>
    <w:rsid w:val="007A2368"/>
    <w:rsid w:val="007A463E"/>
    <w:rsid w:val="007B767C"/>
    <w:rsid w:val="007C49C7"/>
    <w:rsid w:val="007D28AC"/>
    <w:rsid w:val="007E2E52"/>
    <w:rsid w:val="007E6359"/>
    <w:rsid w:val="00805A5E"/>
    <w:rsid w:val="00816255"/>
    <w:rsid w:val="008204C0"/>
    <w:rsid w:val="00834DEB"/>
    <w:rsid w:val="00837BA2"/>
    <w:rsid w:val="00856955"/>
    <w:rsid w:val="00857706"/>
    <w:rsid w:val="00863AEA"/>
    <w:rsid w:val="00870FFC"/>
    <w:rsid w:val="00872E1D"/>
    <w:rsid w:val="008A2222"/>
    <w:rsid w:val="008B5CEC"/>
    <w:rsid w:val="008B5DBD"/>
    <w:rsid w:val="008E7AD7"/>
    <w:rsid w:val="00907579"/>
    <w:rsid w:val="00907BA4"/>
    <w:rsid w:val="00910073"/>
    <w:rsid w:val="00921341"/>
    <w:rsid w:val="00922ADE"/>
    <w:rsid w:val="0092635A"/>
    <w:rsid w:val="009353B0"/>
    <w:rsid w:val="00940031"/>
    <w:rsid w:val="00950CBC"/>
    <w:rsid w:val="00966B0C"/>
    <w:rsid w:val="00970A4C"/>
    <w:rsid w:val="0098213D"/>
    <w:rsid w:val="00983285"/>
    <w:rsid w:val="009922E7"/>
    <w:rsid w:val="009C5862"/>
    <w:rsid w:val="009D040E"/>
    <w:rsid w:val="009D4343"/>
    <w:rsid w:val="009E2524"/>
    <w:rsid w:val="009F1036"/>
    <w:rsid w:val="009F210E"/>
    <w:rsid w:val="00A00652"/>
    <w:rsid w:val="00A06EE8"/>
    <w:rsid w:val="00A13FB2"/>
    <w:rsid w:val="00A15D54"/>
    <w:rsid w:val="00A17687"/>
    <w:rsid w:val="00A233E4"/>
    <w:rsid w:val="00A26A02"/>
    <w:rsid w:val="00A30827"/>
    <w:rsid w:val="00A37017"/>
    <w:rsid w:val="00A46E48"/>
    <w:rsid w:val="00A60F98"/>
    <w:rsid w:val="00A80F80"/>
    <w:rsid w:val="00A81865"/>
    <w:rsid w:val="00B13247"/>
    <w:rsid w:val="00B20CD1"/>
    <w:rsid w:val="00B21A37"/>
    <w:rsid w:val="00B50E79"/>
    <w:rsid w:val="00B86EF7"/>
    <w:rsid w:val="00BC5A41"/>
    <w:rsid w:val="00BD0E27"/>
    <w:rsid w:val="00BD263E"/>
    <w:rsid w:val="00BE5E5C"/>
    <w:rsid w:val="00C5285C"/>
    <w:rsid w:val="00C5499C"/>
    <w:rsid w:val="00C614C0"/>
    <w:rsid w:val="00C62913"/>
    <w:rsid w:val="00C64D6B"/>
    <w:rsid w:val="00C77A4D"/>
    <w:rsid w:val="00C97F58"/>
    <w:rsid w:val="00CA5993"/>
    <w:rsid w:val="00CB613D"/>
    <w:rsid w:val="00CC05EA"/>
    <w:rsid w:val="00CC201A"/>
    <w:rsid w:val="00CE1478"/>
    <w:rsid w:val="00CF1FC4"/>
    <w:rsid w:val="00CF6FC4"/>
    <w:rsid w:val="00D02242"/>
    <w:rsid w:val="00D079B4"/>
    <w:rsid w:val="00D11CDB"/>
    <w:rsid w:val="00D14049"/>
    <w:rsid w:val="00D1652D"/>
    <w:rsid w:val="00D30D1E"/>
    <w:rsid w:val="00D33946"/>
    <w:rsid w:val="00D358E4"/>
    <w:rsid w:val="00D43B4E"/>
    <w:rsid w:val="00D45945"/>
    <w:rsid w:val="00D854ED"/>
    <w:rsid w:val="00D864D4"/>
    <w:rsid w:val="00D95999"/>
    <w:rsid w:val="00DA348F"/>
    <w:rsid w:val="00DB2E48"/>
    <w:rsid w:val="00DB6A68"/>
    <w:rsid w:val="00DC0BD5"/>
    <w:rsid w:val="00DC7EF3"/>
    <w:rsid w:val="00DE0A59"/>
    <w:rsid w:val="00DE69CB"/>
    <w:rsid w:val="00DF150F"/>
    <w:rsid w:val="00DF60E4"/>
    <w:rsid w:val="00DF7363"/>
    <w:rsid w:val="00E04F7B"/>
    <w:rsid w:val="00E06446"/>
    <w:rsid w:val="00E10413"/>
    <w:rsid w:val="00E1225E"/>
    <w:rsid w:val="00E1430F"/>
    <w:rsid w:val="00E2500D"/>
    <w:rsid w:val="00E32CE9"/>
    <w:rsid w:val="00E36C9E"/>
    <w:rsid w:val="00E41DAE"/>
    <w:rsid w:val="00E448C7"/>
    <w:rsid w:val="00E52A7A"/>
    <w:rsid w:val="00E55A7E"/>
    <w:rsid w:val="00E604FC"/>
    <w:rsid w:val="00E63012"/>
    <w:rsid w:val="00E74999"/>
    <w:rsid w:val="00E8241C"/>
    <w:rsid w:val="00E8261B"/>
    <w:rsid w:val="00E83D82"/>
    <w:rsid w:val="00E96618"/>
    <w:rsid w:val="00E9783A"/>
    <w:rsid w:val="00EA0817"/>
    <w:rsid w:val="00ED3926"/>
    <w:rsid w:val="00ED48F3"/>
    <w:rsid w:val="00EF3B20"/>
    <w:rsid w:val="00EF496F"/>
    <w:rsid w:val="00EF5EE9"/>
    <w:rsid w:val="00EF6DBA"/>
    <w:rsid w:val="00F12FD3"/>
    <w:rsid w:val="00F21CF8"/>
    <w:rsid w:val="00F23D7B"/>
    <w:rsid w:val="00F34F34"/>
    <w:rsid w:val="00F401DE"/>
    <w:rsid w:val="00F410F6"/>
    <w:rsid w:val="00F54FA8"/>
    <w:rsid w:val="00F63833"/>
    <w:rsid w:val="00F6460D"/>
    <w:rsid w:val="00F66D5A"/>
    <w:rsid w:val="00F77F5D"/>
    <w:rsid w:val="00F865EB"/>
    <w:rsid w:val="00FA21D1"/>
    <w:rsid w:val="00FA261A"/>
    <w:rsid w:val="00FA2F99"/>
    <w:rsid w:val="00FA3C95"/>
    <w:rsid w:val="00FA4758"/>
    <w:rsid w:val="00FA54C3"/>
    <w:rsid w:val="00FA5CC6"/>
    <w:rsid w:val="00FA655C"/>
    <w:rsid w:val="00FB5C77"/>
    <w:rsid w:val="00FC52A3"/>
    <w:rsid w:val="00FC53B3"/>
    <w:rsid w:val="00FF5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2257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41"/>
    <w:pPr>
      <w:spacing w:after="240" w:line="240" w:lineRule="auto"/>
      <w:jc w:val="both"/>
    </w:pPr>
    <w:rPr>
      <w:rFonts w:ascii="Arial" w:eastAsia="Times New Roman" w:hAnsi="Arial"/>
      <w:szCs w:val="24"/>
      <w:lang w:eastAsia="en-AU"/>
    </w:rPr>
  </w:style>
  <w:style w:type="paragraph" w:styleId="Heading1">
    <w:name w:val="heading 1"/>
    <w:basedOn w:val="Normal"/>
    <w:next w:val="Normal"/>
    <w:link w:val="Heading1Char"/>
    <w:qFormat/>
    <w:rsid w:val="00BC5A41"/>
    <w:pPr>
      <w:spacing w:after="360"/>
      <w:outlineLvl w:val="0"/>
    </w:pPr>
    <w:rPr>
      <w:rFonts w:cs="Arial"/>
      <w:b/>
      <w:sz w:val="32"/>
    </w:rPr>
  </w:style>
  <w:style w:type="paragraph" w:styleId="Heading2">
    <w:name w:val="heading 2"/>
    <w:basedOn w:val="Normal"/>
    <w:next w:val="Normal"/>
    <w:link w:val="Heading2Char"/>
    <w:qFormat/>
    <w:rsid w:val="00BC5A41"/>
    <w:pPr>
      <w:keepNext/>
      <w:outlineLvl w:val="1"/>
    </w:pPr>
    <w:rPr>
      <w:rFonts w:cs="Arial"/>
      <w:b/>
      <w:bCs/>
      <w:iCs/>
      <w:sz w:val="28"/>
      <w:szCs w:val="28"/>
    </w:rPr>
  </w:style>
  <w:style w:type="paragraph" w:styleId="Heading3">
    <w:name w:val="heading 3"/>
    <w:basedOn w:val="Normal"/>
    <w:next w:val="Normal"/>
    <w:link w:val="Heading3Char"/>
    <w:qFormat/>
    <w:rsid w:val="00BC5A41"/>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BC5A41"/>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BC5A41"/>
    <w:pPr>
      <w:numPr>
        <w:ilvl w:val="4"/>
      </w:numPr>
      <w:outlineLvl w:val="4"/>
    </w:pPr>
    <w:rPr>
      <w:i/>
    </w:rPr>
  </w:style>
  <w:style w:type="paragraph" w:styleId="Heading6">
    <w:name w:val="heading 6"/>
    <w:basedOn w:val="Heading5"/>
    <w:next w:val="Normal"/>
    <w:link w:val="Heading6Char"/>
    <w:uiPriority w:val="9"/>
    <w:unhideWhenUsed/>
    <w:qFormat/>
    <w:rsid w:val="00BC5A41"/>
    <w:pPr>
      <w:numPr>
        <w:ilvl w:val="5"/>
      </w:numPr>
      <w:outlineLvl w:val="5"/>
    </w:pPr>
    <w:rPr>
      <w:b w:val="0"/>
    </w:rPr>
  </w:style>
  <w:style w:type="paragraph" w:styleId="Heading7">
    <w:name w:val="heading 7"/>
    <w:basedOn w:val="Heading6"/>
    <w:next w:val="Normal"/>
    <w:link w:val="Heading7Char"/>
    <w:uiPriority w:val="9"/>
    <w:unhideWhenUsed/>
    <w:rsid w:val="00BC5A41"/>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BC5A41"/>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BC5A41"/>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C5A41"/>
    <w:pPr>
      <w:spacing w:line="240" w:lineRule="auto"/>
    </w:pPr>
    <w:rPr>
      <w:rFonts w:ascii="Arial" w:eastAsia="Times New Roman" w:hAnsi="Arial"/>
    </w:rPr>
  </w:style>
  <w:style w:type="character" w:customStyle="1" w:styleId="Heading1Char">
    <w:name w:val="Heading 1 Char"/>
    <w:basedOn w:val="DefaultParagraphFont"/>
    <w:link w:val="Heading1"/>
    <w:rsid w:val="00BC5A41"/>
    <w:rPr>
      <w:rFonts w:ascii="Arial" w:eastAsia="Times New Roman" w:hAnsi="Arial" w:cs="Arial"/>
      <w:b/>
      <w:sz w:val="32"/>
      <w:szCs w:val="24"/>
      <w:lang w:eastAsia="en-AU"/>
    </w:rPr>
  </w:style>
  <w:style w:type="character" w:customStyle="1" w:styleId="Heading2Char">
    <w:name w:val="Heading 2 Char"/>
    <w:basedOn w:val="DefaultParagraphFont"/>
    <w:link w:val="Heading2"/>
    <w:rsid w:val="00BC5A41"/>
    <w:rPr>
      <w:rFonts w:ascii="Arial" w:eastAsia="Times New Roman" w:hAnsi="Arial" w:cs="Arial"/>
      <w:b/>
      <w:bCs/>
      <w:iCs/>
      <w:sz w:val="28"/>
      <w:szCs w:val="28"/>
      <w:lang w:eastAsia="en-AU"/>
    </w:rPr>
  </w:style>
  <w:style w:type="character" w:customStyle="1" w:styleId="Heading4Char">
    <w:name w:val="Heading 4 Char"/>
    <w:link w:val="Heading4"/>
    <w:uiPriority w:val="9"/>
    <w:rsid w:val="00BC5A41"/>
    <w:rPr>
      <w:rFonts w:ascii="Arial" w:eastAsia="Times New Roman" w:hAnsi="Arial" w:cs="Arial"/>
      <w:b/>
      <w:iCs/>
      <w:szCs w:val="26"/>
      <w:lang w:eastAsia="en-AU"/>
    </w:rPr>
  </w:style>
  <w:style w:type="paragraph" w:customStyle="1" w:styleId="Bullet">
    <w:name w:val="Bullet"/>
    <w:basedOn w:val="Normal"/>
    <w:link w:val="BulletChar"/>
    <w:rsid w:val="00BC5A41"/>
    <w:pPr>
      <w:numPr>
        <w:numId w:val="2"/>
      </w:numPr>
      <w:tabs>
        <w:tab w:val="left" w:pos="1935"/>
      </w:tabs>
      <w:spacing w:before="120"/>
    </w:pPr>
    <w:rPr>
      <w:sz w:val="24"/>
    </w:rPr>
  </w:style>
  <w:style w:type="character" w:customStyle="1" w:styleId="BulletChar">
    <w:name w:val="Bullet Char"/>
    <w:link w:val="Bullet"/>
    <w:rsid w:val="00BC5A41"/>
    <w:rPr>
      <w:rFonts w:ascii="Arial" w:eastAsia="Times New Roman" w:hAnsi="Arial"/>
      <w:sz w:val="24"/>
      <w:szCs w:val="24"/>
      <w:lang w:eastAsia="en-AU"/>
    </w:rPr>
  </w:style>
  <w:style w:type="paragraph" w:customStyle="1" w:styleId="Nonchapterheading">
    <w:name w:val="Non chapter heading"/>
    <w:basedOn w:val="Heading5"/>
    <w:link w:val="NonchapterheadingChar"/>
    <w:rsid w:val="00BC5A41"/>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BC5A41"/>
    <w:rPr>
      <w:rFonts w:ascii="Arial" w:eastAsia="Times New Roman" w:hAnsi="Arial" w:cs="Arial"/>
      <w:b/>
      <w:i/>
      <w:iCs w:val="0"/>
      <w:szCs w:val="26"/>
      <w:lang w:eastAsia="en-AU"/>
    </w:rPr>
  </w:style>
  <w:style w:type="character" w:customStyle="1" w:styleId="Heading5Char">
    <w:name w:val="Heading 5 Char"/>
    <w:link w:val="Heading5"/>
    <w:uiPriority w:val="9"/>
    <w:rsid w:val="00BC5A41"/>
    <w:rPr>
      <w:rFonts w:ascii="Arial" w:eastAsia="Times New Roman" w:hAnsi="Arial" w:cs="Arial"/>
      <w:b/>
      <w:i/>
      <w:iCs/>
      <w:szCs w:val="26"/>
      <w:lang w:eastAsia="en-AU"/>
    </w:rPr>
  </w:style>
  <w:style w:type="paragraph" w:customStyle="1" w:styleId="Non-numberedchapterheading">
    <w:name w:val="Non-numbered chapter heading"/>
    <w:basedOn w:val="Heading5"/>
    <w:link w:val="Non-numberedchapterheadingChar"/>
    <w:rsid w:val="00BC5A41"/>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BC5A41"/>
    <w:rPr>
      <w:rFonts w:ascii="Arial" w:eastAsia="Times New Roman" w:hAnsi="Arial" w:cs="Arial"/>
      <w:b/>
      <w:i/>
      <w:iCs w:val="0"/>
      <w:szCs w:val="26"/>
      <w:lang w:eastAsia="en-AU"/>
    </w:rPr>
  </w:style>
  <w:style w:type="character" w:customStyle="1" w:styleId="Heading3Char">
    <w:name w:val="Heading 3 Char"/>
    <w:basedOn w:val="DefaultParagraphFont"/>
    <w:link w:val="Heading3"/>
    <w:rsid w:val="00BC5A41"/>
    <w:rPr>
      <w:rFonts w:ascii="Arial" w:eastAsia="Times New Roman" w:hAnsi="Arial" w:cs="Arial"/>
      <w:b/>
      <w:bCs/>
      <w:i/>
      <w:sz w:val="24"/>
      <w:szCs w:val="26"/>
      <w:lang w:eastAsia="en-AU"/>
    </w:rPr>
  </w:style>
  <w:style w:type="character" w:customStyle="1" w:styleId="Heading6Char">
    <w:name w:val="Heading 6 Char"/>
    <w:link w:val="Heading6"/>
    <w:uiPriority w:val="9"/>
    <w:rsid w:val="00BC5A41"/>
    <w:rPr>
      <w:rFonts w:ascii="Arial" w:eastAsia="Times New Roman" w:hAnsi="Arial" w:cs="Arial"/>
      <w:i/>
      <w:iCs/>
      <w:szCs w:val="26"/>
      <w:lang w:eastAsia="en-AU"/>
    </w:rPr>
  </w:style>
  <w:style w:type="character" w:customStyle="1" w:styleId="Heading7Char">
    <w:name w:val="Heading 7 Char"/>
    <w:link w:val="Heading7"/>
    <w:uiPriority w:val="9"/>
    <w:rsid w:val="00BC5A41"/>
    <w:rPr>
      <w:rFonts w:ascii="Arial" w:eastAsia="Times New Roman" w:hAnsi="Arial" w:cs="Arial"/>
      <w:b/>
      <w:iCs/>
      <w:color w:val="404040"/>
      <w:lang w:eastAsia="en-AU"/>
    </w:rPr>
  </w:style>
  <w:style w:type="paragraph" w:styleId="TOC1">
    <w:name w:val="toc 1"/>
    <w:basedOn w:val="Normal"/>
    <w:next w:val="Normal"/>
    <w:autoRedefine/>
    <w:uiPriority w:val="39"/>
    <w:unhideWhenUsed/>
    <w:qFormat/>
    <w:rsid w:val="00BC5A41"/>
    <w:pPr>
      <w:tabs>
        <w:tab w:val="right" w:leader="dot" w:pos="9016"/>
      </w:tabs>
    </w:pPr>
    <w:rPr>
      <w:b/>
      <w:noProof/>
      <w:sz w:val="28"/>
    </w:rPr>
  </w:style>
  <w:style w:type="paragraph" w:styleId="TOC2">
    <w:name w:val="toc 2"/>
    <w:basedOn w:val="Normal"/>
    <w:next w:val="Normal"/>
    <w:autoRedefine/>
    <w:uiPriority w:val="39"/>
    <w:unhideWhenUsed/>
    <w:qFormat/>
    <w:rsid w:val="00BC5A41"/>
    <w:pPr>
      <w:ind w:left="220"/>
    </w:pPr>
    <w:rPr>
      <w:sz w:val="24"/>
    </w:rPr>
  </w:style>
  <w:style w:type="paragraph" w:styleId="TOC3">
    <w:name w:val="toc 3"/>
    <w:basedOn w:val="Normal"/>
    <w:next w:val="Normal"/>
    <w:autoRedefine/>
    <w:uiPriority w:val="39"/>
    <w:unhideWhenUsed/>
    <w:qFormat/>
    <w:rsid w:val="00BC5A41"/>
    <w:pPr>
      <w:ind w:left="440"/>
    </w:pPr>
  </w:style>
  <w:style w:type="paragraph" w:styleId="TOC4">
    <w:name w:val="toc 4"/>
    <w:basedOn w:val="Normal"/>
    <w:next w:val="Normal"/>
    <w:autoRedefine/>
    <w:uiPriority w:val="39"/>
    <w:unhideWhenUsed/>
    <w:rsid w:val="00BC5A41"/>
    <w:pPr>
      <w:ind w:left="660"/>
    </w:pPr>
  </w:style>
  <w:style w:type="paragraph" w:styleId="FootnoteText">
    <w:name w:val="footnote text"/>
    <w:basedOn w:val="Normal"/>
    <w:link w:val="FootnoteTextChar"/>
    <w:uiPriority w:val="99"/>
    <w:unhideWhenUsed/>
    <w:rsid w:val="00BC5A41"/>
    <w:rPr>
      <w:sz w:val="18"/>
    </w:rPr>
  </w:style>
  <w:style w:type="character" w:customStyle="1" w:styleId="FootnoteTextChar">
    <w:name w:val="Footnote Text Char"/>
    <w:link w:val="FootnoteText"/>
    <w:uiPriority w:val="99"/>
    <w:rsid w:val="00BC5A41"/>
    <w:rPr>
      <w:rFonts w:ascii="Arial" w:eastAsia="Times New Roman" w:hAnsi="Arial"/>
      <w:sz w:val="18"/>
      <w:szCs w:val="24"/>
      <w:lang w:eastAsia="en-AU"/>
    </w:rPr>
  </w:style>
  <w:style w:type="paragraph" w:styleId="Header">
    <w:name w:val="header"/>
    <w:basedOn w:val="Normal"/>
    <w:link w:val="HeaderChar"/>
    <w:unhideWhenUsed/>
    <w:rsid w:val="00BC5A41"/>
    <w:pPr>
      <w:tabs>
        <w:tab w:val="center" w:pos="4513"/>
        <w:tab w:val="right" w:pos="9026"/>
      </w:tabs>
    </w:pPr>
  </w:style>
  <w:style w:type="character" w:customStyle="1" w:styleId="HeaderChar">
    <w:name w:val="Header Char"/>
    <w:link w:val="Header"/>
    <w:rsid w:val="00BC5A41"/>
    <w:rPr>
      <w:rFonts w:ascii="Arial" w:eastAsia="Times New Roman" w:hAnsi="Arial"/>
      <w:szCs w:val="24"/>
      <w:lang w:eastAsia="en-AU"/>
    </w:rPr>
  </w:style>
  <w:style w:type="paragraph" w:styleId="Footer">
    <w:name w:val="footer"/>
    <w:basedOn w:val="Normal"/>
    <w:link w:val="FooterChar"/>
    <w:uiPriority w:val="99"/>
    <w:unhideWhenUsed/>
    <w:rsid w:val="00BC5A41"/>
    <w:pPr>
      <w:tabs>
        <w:tab w:val="center" w:pos="4513"/>
        <w:tab w:val="right" w:pos="9026"/>
      </w:tabs>
      <w:spacing w:after="0"/>
      <w:jc w:val="right"/>
    </w:pPr>
    <w:rPr>
      <w:sz w:val="18"/>
    </w:rPr>
  </w:style>
  <w:style w:type="character" w:customStyle="1" w:styleId="FooterChar">
    <w:name w:val="Footer Char"/>
    <w:link w:val="Footer"/>
    <w:uiPriority w:val="99"/>
    <w:rsid w:val="00BC5A41"/>
    <w:rPr>
      <w:rFonts w:ascii="Arial" w:eastAsia="Times New Roman" w:hAnsi="Arial"/>
      <w:sz w:val="18"/>
      <w:szCs w:val="24"/>
      <w:lang w:eastAsia="en-AU"/>
    </w:rPr>
  </w:style>
  <w:style w:type="character" w:styleId="FootnoteReference">
    <w:name w:val="footnote reference"/>
    <w:uiPriority w:val="99"/>
    <w:unhideWhenUsed/>
    <w:qFormat/>
    <w:rsid w:val="00BC5A41"/>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BC5A41"/>
    <w:pPr>
      <w:numPr>
        <w:ilvl w:val="1"/>
      </w:numPr>
    </w:pPr>
    <w:rPr>
      <w:rFonts w:eastAsiaTheme="majorEastAsia" w:cstheme="majorBidi"/>
      <w:i/>
      <w:iCs/>
      <w:spacing w:val="15"/>
    </w:rPr>
  </w:style>
  <w:style w:type="character" w:customStyle="1" w:styleId="SubtitleChar">
    <w:name w:val="Subtitle Char"/>
    <w:link w:val="Subtitle"/>
    <w:uiPriority w:val="11"/>
    <w:rsid w:val="00BC5A41"/>
    <w:rPr>
      <w:rFonts w:ascii="Arial" w:eastAsiaTheme="majorEastAsia" w:hAnsi="Arial" w:cstheme="majorBidi"/>
      <w:i/>
      <w:iCs/>
      <w:spacing w:val="15"/>
      <w:szCs w:val="24"/>
      <w:lang w:eastAsia="en-AU"/>
    </w:rPr>
  </w:style>
  <w:style w:type="character" w:styleId="Hyperlink">
    <w:name w:val="Hyperlink"/>
    <w:uiPriority w:val="99"/>
    <w:rsid w:val="00BC5A41"/>
    <w:rPr>
      <w:rFonts w:ascii="Arial" w:hAnsi="Arial"/>
      <w:color w:val="0000FF"/>
      <w:sz w:val="22"/>
      <w:u w:val="single"/>
    </w:rPr>
  </w:style>
  <w:style w:type="character" w:styleId="Strong">
    <w:name w:val="Strong"/>
    <w:uiPriority w:val="22"/>
    <w:rsid w:val="00BC5A41"/>
    <w:rPr>
      <w:rFonts w:ascii="Arial" w:hAnsi="Arial"/>
      <w:b/>
      <w:bCs/>
      <w:sz w:val="22"/>
    </w:rPr>
  </w:style>
  <w:style w:type="character" w:styleId="Emphasis">
    <w:name w:val="Emphasis"/>
    <w:uiPriority w:val="20"/>
    <w:rsid w:val="00BC5A41"/>
    <w:rPr>
      <w:rFonts w:ascii="Arial" w:hAnsi="Arial"/>
      <w:i/>
      <w:iCs/>
      <w:sz w:val="22"/>
    </w:rPr>
  </w:style>
  <w:style w:type="table" w:styleId="TableGrid">
    <w:name w:val="Table Grid"/>
    <w:basedOn w:val="TableNormal"/>
    <w:uiPriority w:val="59"/>
    <w:rsid w:val="00BC5A41"/>
    <w:pPr>
      <w:spacing w:line="240" w:lineRule="auto"/>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BC5A41"/>
    <w:pPr>
      <w:numPr>
        <w:numId w:val="12"/>
      </w:numPr>
    </w:pPr>
  </w:style>
  <w:style w:type="paragraph" w:styleId="ListParagraph">
    <w:name w:val="List Paragraph"/>
    <w:basedOn w:val="Normal"/>
    <w:uiPriority w:val="34"/>
    <w:rsid w:val="00BC5A41"/>
    <w:pPr>
      <w:ind w:left="720"/>
      <w:contextualSpacing/>
    </w:pPr>
  </w:style>
  <w:style w:type="paragraph" w:styleId="Quote">
    <w:name w:val="Quote"/>
    <w:basedOn w:val="Normal"/>
    <w:next w:val="Normal"/>
    <w:link w:val="QuoteChar"/>
    <w:uiPriority w:val="29"/>
    <w:qFormat/>
    <w:rsid w:val="00BC5A41"/>
    <w:rPr>
      <w:i/>
      <w:iCs/>
      <w:color w:val="000000"/>
    </w:rPr>
  </w:style>
  <w:style w:type="character" w:customStyle="1" w:styleId="QuoteChar">
    <w:name w:val="Quote Char"/>
    <w:link w:val="Quote"/>
    <w:uiPriority w:val="29"/>
    <w:rsid w:val="00BC5A41"/>
    <w:rPr>
      <w:rFonts w:ascii="Arial" w:eastAsia="Times New Roman" w:hAnsi="Arial"/>
      <w:i/>
      <w:iCs/>
      <w:color w:val="000000"/>
      <w:szCs w:val="24"/>
      <w:lang w:eastAsia="en-AU"/>
    </w:rPr>
  </w:style>
  <w:style w:type="paragraph" w:styleId="TOAHeading">
    <w:name w:val="toa heading"/>
    <w:basedOn w:val="Normal"/>
    <w:next w:val="Normal"/>
    <w:uiPriority w:val="99"/>
    <w:semiHidden/>
    <w:unhideWhenUsed/>
    <w:rsid w:val="00BC5A41"/>
    <w:pPr>
      <w:spacing w:before="120"/>
    </w:pPr>
    <w:rPr>
      <w:rFonts w:eastAsiaTheme="majorEastAsia" w:cstheme="majorBidi"/>
      <w:b/>
      <w:bCs/>
      <w:sz w:val="28"/>
    </w:rPr>
  </w:style>
  <w:style w:type="character" w:styleId="IntenseEmphasis">
    <w:name w:val="Intense Emphasis"/>
    <w:uiPriority w:val="21"/>
    <w:rsid w:val="00BC5A41"/>
    <w:rPr>
      <w:rFonts w:ascii="Trebuchet MS" w:hAnsi="Trebuchet MS"/>
      <w:b/>
      <w:bCs/>
      <w:i/>
      <w:iCs/>
      <w:color w:val="000000" w:themeColor="text1"/>
      <w:sz w:val="22"/>
    </w:rPr>
  </w:style>
  <w:style w:type="paragraph" w:styleId="ListBullet">
    <w:name w:val="List Bullet"/>
    <w:basedOn w:val="List"/>
    <w:uiPriority w:val="99"/>
    <w:unhideWhenUsed/>
    <w:rsid w:val="00BC5A41"/>
    <w:pPr>
      <w:numPr>
        <w:numId w:val="6"/>
      </w:numPr>
      <w:contextualSpacing w:val="0"/>
    </w:pPr>
  </w:style>
  <w:style w:type="paragraph" w:styleId="ListNumber2">
    <w:name w:val="List Number 2"/>
    <w:basedOn w:val="Normal"/>
    <w:uiPriority w:val="99"/>
    <w:unhideWhenUsed/>
    <w:rsid w:val="00BC5A41"/>
    <w:pPr>
      <w:numPr>
        <w:numId w:val="8"/>
      </w:numPr>
      <w:contextualSpacing/>
    </w:pPr>
  </w:style>
  <w:style w:type="paragraph" w:styleId="ListNumber3">
    <w:name w:val="List Number 3"/>
    <w:basedOn w:val="Normal"/>
    <w:link w:val="ListNumber3Char"/>
    <w:uiPriority w:val="99"/>
    <w:unhideWhenUsed/>
    <w:rsid w:val="00BC5A41"/>
    <w:pPr>
      <w:numPr>
        <w:numId w:val="9"/>
      </w:numPr>
      <w:contextualSpacing/>
    </w:pPr>
  </w:style>
  <w:style w:type="paragraph" w:styleId="ListNumber4">
    <w:name w:val="List Number 4"/>
    <w:basedOn w:val="Normal"/>
    <w:uiPriority w:val="99"/>
    <w:semiHidden/>
    <w:unhideWhenUsed/>
    <w:rsid w:val="00BC5A41"/>
    <w:pPr>
      <w:numPr>
        <w:numId w:val="10"/>
      </w:numPr>
      <w:contextualSpacing/>
    </w:pPr>
  </w:style>
  <w:style w:type="paragraph" w:styleId="ListNumber5">
    <w:name w:val="List Number 5"/>
    <w:basedOn w:val="Normal"/>
    <w:uiPriority w:val="99"/>
    <w:semiHidden/>
    <w:unhideWhenUsed/>
    <w:rsid w:val="00BC5A41"/>
    <w:pPr>
      <w:numPr>
        <w:numId w:val="11"/>
      </w:numPr>
      <w:contextualSpacing/>
    </w:pPr>
  </w:style>
  <w:style w:type="paragraph" w:styleId="ListNumber">
    <w:name w:val="List Number"/>
    <w:basedOn w:val="Normal"/>
    <w:uiPriority w:val="99"/>
    <w:unhideWhenUsed/>
    <w:rsid w:val="00BC5A41"/>
    <w:pPr>
      <w:numPr>
        <w:numId w:val="7"/>
      </w:numPr>
      <w:contextualSpacing/>
    </w:pPr>
  </w:style>
  <w:style w:type="paragraph" w:styleId="List">
    <w:name w:val="List"/>
    <w:basedOn w:val="Normal"/>
    <w:uiPriority w:val="99"/>
    <w:unhideWhenUsed/>
    <w:rsid w:val="00BC5A41"/>
    <w:pPr>
      <w:ind w:left="283" w:hanging="283"/>
      <w:contextualSpacing/>
    </w:pPr>
  </w:style>
  <w:style w:type="paragraph" w:styleId="List2">
    <w:name w:val="List 2"/>
    <w:basedOn w:val="Normal"/>
    <w:uiPriority w:val="99"/>
    <w:unhideWhenUsed/>
    <w:rsid w:val="00BC5A41"/>
    <w:pPr>
      <w:ind w:left="566" w:hanging="283"/>
      <w:contextualSpacing/>
    </w:pPr>
  </w:style>
  <w:style w:type="paragraph" w:styleId="List3">
    <w:name w:val="List 3"/>
    <w:basedOn w:val="Normal"/>
    <w:uiPriority w:val="99"/>
    <w:unhideWhenUsed/>
    <w:rsid w:val="00BC5A41"/>
    <w:pPr>
      <w:ind w:left="849" w:hanging="283"/>
      <w:contextualSpacing/>
    </w:pPr>
  </w:style>
  <w:style w:type="paragraph" w:styleId="List4">
    <w:name w:val="List 4"/>
    <w:basedOn w:val="Normal"/>
    <w:uiPriority w:val="99"/>
    <w:unhideWhenUsed/>
    <w:rsid w:val="00BC5A41"/>
    <w:pPr>
      <w:ind w:left="1132" w:hanging="283"/>
      <w:contextualSpacing/>
    </w:pPr>
  </w:style>
  <w:style w:type="numbering" w:styleId="111111">
    <w:name w:val="Outline List 2"/>
    <w:basedOn w:val="NoList"/>
    <w:uiPriority w:val="99"/>
    <w:semiHidden/>
    <w:unhideWhenUsed/>
    <w:rsid w:val="00BC5A41"/>
    <w:pPr>
      <w:numPr>
        <w:numId w:val="1"/>
      </w:numPr>
    </w:pPr>
  </w:style>
  <w:style w:type="character" w:customStyle="1" w:styleId="ListNumber3Char">
    <w:name w:val="List Number 3 Char"/>
    <w:basedOn w:val="DefaultParagraphFont"/>
    <w:link w:val="ListNumber3"/>
    <w:uiPriority w:val="99"/>
    <w:rsid w:val="00BC5A41"/>
    <w:rPr>
      <w:rFonts w:ascii="Arial" w:eastAsia="Times New Roman" w:hAnsi="Arial"/>
      <w:szCs w:val="24"/>
      <w:lang w:eastAsia="en-AU"/>
    </w:rPr>
  </w:style>
  <w:style w:type="character" w:customStyle="1" w:styleId="NumberedListChar">
    <w:name w:val="Numbered List Char"/>
    <w:basedOn w:val="ListNumber3Char"/>
    <w:link w:val="NumberedList"/>
    <w:rsid w:val="00BC5A41"/>
    <w:rPr>
      <w:rFonts w:ascii="Arial" w:eastAsia="Times New Roman" w:hAnsi="Arial"/>
      <w:szCs w:val="24"/>
      <w:lang w:eastAsia="en-AU"/>
    </w:rPr>
  </w:style>
  <w:style w:type="paragraph" w:styleId="BodyText">
    <w:name w:val="Body Text"/>
    <w:basedOn w:val="Normal"/>
    <w:link w:val="BodyTextChar"/>
    <w:uiPriority w:val="99"/>
    <w:semiHidden/>
    <w:unhideWhenUsed/>
    <w:rsid w:val="00BC5A41"/>
  </w:style>
  <w:style w:type="character" w:customStyle="1" w:styleId="BodyTextChar">
    <w:name w:val="Body Text Char"/>
    <w:basedOn w:val="DefaultParagraphFont"/>
    <w:link w:val="BodyText"/>
    <w:uiPriority w:val="99"/>
    <w:semiHidden/>
    <w:rsid w:val="00BC5A41"/>
    <w:rPr>
      <w:rFonts w:ascii="Arial" w:eastAsia="Times New Roman" w:hAnsi="Arial"/>
      <w:szCs w:val="24"/>
      <w:lang w:eastAsia="en-AU"/>
    </w:rPr>
  </w:style>
  <w:style w:type="character" w:customStyle="1" w:styleId="Heading8Char">
    <w:name w:val="Heading 8 Char"/>
    <w:basedOn w:val="DefaultParagraphFont"/>
    <w:link w:val="Heading8"/>
    <w:uiPriority w:val="9"/>
    <w:rsid w:val="00BC5A41"/>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BC5A41"/>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C5A41"/>
    <w:pPr>
      <w:spacing w:after="0"/>
      <w:outlineLvl w:val="9"/>
    </w:pPr>
    <w:rPr>
      <w:szCs w:val="28"/>
    </w:rPr>
  </w:style>
  <w:style w:type="paragraph" w:customStyle="1" w:styleId="TableColumnHeading">
    <w:name w:val="Table Column Heading"/>
    <w:basedOn w:val="Normal"/>
    <w:rsid w:val="00BC5A41"/>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BC5A41"/>
    <w:pPr>
      <w:keepNext/>
      <w:widowControl w:val="0"/>
      <w:spacing w:before="60" w:after="60"/>
    </w:pPr>
    <w:rPr>
      <w:rFonts w:cstheme="minorBidi"/>
      <w:b/>
      <w:sz w:val="20"/>
    </w:rPr>
  </w:style>
  <w:style w:type="paragraph" w:customStyle="1" w:styleId="TableRowHeading">
    <w:name w:val="Table Row Heading"/>
    <w:basedOn w:val="Normal"/>
    <w:rsid w:val="00BC5A41"/>
    <w:pPr>
      <w:keepNext/>
      <w:widowControl w:val="0"/>
      <w:spacing w:before="120"/>
    </w:pPr>
    <w:rPr>
      <w:b/>
      <w:i/>
      <w:sz w:val="20"/>
    </w:rPr>
  </w:style>
  <w:style w:type="table" w:customStyle="1" w:styleId="APRAWorkingPaperTable">
    <w:name w:val="APRA Working Paper Table"/>
    <w:basedOn w:val="TableNormal"/>
    <w:uiPriority w:val="99"/>
    <w:rsid w:val="00BC5A41"/>
    <w:pPr>
      <w:spacing w:after="0" w:line="240" w:lineRule="auto"/>
    </w:pPr>
    <w:rPr>
      <w:rFonts w:ascii="Arial" w:eastAsia="Times New Roman"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BC5A41"/>
    <w:pPr>
      <w:spacing w:after="0"/>
    </w:pPr>
    <w:rPr>
      <w:rFonts w:cs="Tahoma"/>
      <w:sz w:val="16"/>
      <w:szCs w:val="16"/>
    </w:rPr>
  </w:style>
  <w:style w:type="character" w:customStyle="1" w:styleId="BalloonTextChar">
    <w:name w:val="Balloon Text Char"/>
    <w:basedOn w:val="DefaultParagraphFont"/>
    <w:link w:val="BalloonText"/>
    <w:uiPriority w:val="99"/>
    <w:semiHidden/>
    <w:rsid w:val="00BC5A41"/>
    <w:rPr>
      <w:rFonts w:ascii="Arial" w:eastAsia="Times New Roman" w:hAnsi="Arial" w:cs="Tahoma"/>
      <w:sz w:val="16"/>
      <w:szCs w:val="16"/>
      <w:lang w:eastAsia="en-AU"/>
    </w:rPr>
  </w:style>
  <w:style w:type="character" w:styleId="FollowedHyperlink">
    <w:name w:val="FollowedHyperlink"/>
    <w:basedOn w:val="DefaultParagraphFont"/>
    <w:uiPriority w:val="99"/>
    <w:semiHidden/>
    <w:unhideWhenUsed/>
    <w:rsid w:val="00BC5A41"/>
    <w:rPr>
      <w:color w:val="800080" w:themeColor="followedHyperlink"/>
      <w:u w:val="single"/>
    </w:rPr>
  </w:style>
  <w:style w:type="paragraph" w:styleId="Title">
    <w:name w:val="Title"/>
    <w:basedOn w:val="Normal"/>
    <w:next w:val="Normal"/>
    <w:link w:val="TitleChar"/>
    <w:uiPriority w:val="10"/>
    <w:qFormat/>
    <w:rsid w:val="00BC5A41"/>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BC5A41"/>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BC5A41"/>
    <w:rPr>
      <w:i/>
      <w:iCs/>
      <w:color w:val="808080" w:themeColor="text1" w:themeTint="7F"/>
    </w:rPr>
  </w:style>
  <w:style w:type="character" w:styleId="PlaceholderText">
    <w:name w:val="Placeholder Text"/>
    <w:basedOn w:val="DefaultParagraphFont"/>
    <w:uiPriority w:val="99"/>
    <w:semiHidden/>
    <w:rsid w:val="00BC5A41"/>
    <w:rPr>
      <w:color w:val="808080"/>
    </w:rPr>
  </w:style>
  <w:style w:type="paragraph" w:customStyle="1" w:styleId="APRASignature">
    <w:name w:val="APRA Signature"/>
    <w:basedOn w:val="Normal"/>
    <w:link w:val="APRASignatureChar"/>
    <w:rsid w:val="00BC5A41"/>
    <w:pPr>
      <w:spacing w:after="0"/>
    </w:pPr>
    <w:rPr>
      <w:i/>
    </w:rPr>
  </w:style>
  <w:style w:type="character" w:customStyle="1" w:styleId="APRASignatureChar">
    <w:name w:val="APRA Signature Char"/>
    <w:basedOn w:val="DefaultParagraphFont"/>
    <w:link w:val="APRASignature"/>
    <w:rsid w:val="00BC5A41"/>
    <w:rPr>
      <w:rFonts w:ascii="Arial" w:eastAsia="Times New Roman" w:hAnsi="Arial"/>
      <w:i/>
      <w:szCs w:val="24"/>
      <w:lang w:eastAsia="en-AU"/>
    </w:rPr>
  </w:style>
  <w:style w:type="paragraph" w:styleId="BlockText">
    <w:name w:val="Block Text"/>
    <w:basedOn w:val="Normal"/>
    <w:uiPriority w:val="99"/>
    <w:semiHidden/>
    <w:unhideWhenUsed/>
    <w:rsid w:val="00BC5A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styleId="BookTitle">
    <w:name w:val="Book Title"/>
    <w:basedOn w:val="DefaultParagraphFont"/>
    <w:uiPriority w:val="33"/>
    <w:rsid w:val="00BC5A41"/>
    <w:rPr>
      <w:b/>
      <w:bCs/>
      <w:i/>
      <w:iCs/>
      <w:spacing w:val="5"/>
    </w:rPr>
  </w:style>
  <w:style w:type="paragraph" w:customStyle="1" w:styleId="Bullet10">
    <w:name w:val="Bullet 1"/>
    <w:basedOn w:val="Normal"/>
    <w:link w:val="Bullet1Char"/>
    <w:rsid w:val="00BC5A41"/>
    <w:pPr>
      <w:tabs>
        <w:tab w:val="left" w:pos="426"/>
      </w:tabs>
    </w:pPr>
    <w:rPr>
      <w:rFonts w:cs="Arial"/>
      <w:color w:val="000000"/>
      <w:szCs w:val="22"/>
    </w:rPr>
  </w:style>
  <w:style w:type="character" w:customStyle="1" w:styleId="Bullet1Char">
    <w:name w:val="Bullet 1 Char"/>
    <w:basedOn w:val="DefaultParagraphFont"/>
    <w:link w:val="Bullet10"/>
    <w:rsid w:val="00BC5A41"/>
    <w:rPr>
      <w:rFonts w:ascii="Arial" w:eastAsia="Times New Roman" w:hAnsi="Arial" w:cs="Arial"/>
      <w:color w:val="000000"/>
      <w:lang w:eastAsia="en-AU"/>
    </w:rPr>
  </w:style>
  <w:style w:type="paragraph" w:customStyle="1" w:styleId="BULLET1">
    <w:name w:val="BULLET 1"/>
    <w:basedOn w:val="Normal"/>
    <w:link w:val="BULLET1Char0"/>
    <w:qFormat/>
    <w:rsid w:val="00BC5A41"/>
    <w:pPr>
      <w:numPr>
        <w:numId w:val="3"/>
      </w:numPr>
    </w:pPr>
    <w:rPr>
      <w:rFonts w:eastAsiaTheme="minorEastAsia" w:cstheme="minorBidi"/>
      <w:szCs w:val="22"/>
    </w:rPr>
  </w:style>
  <w:style w:type="character" w:customStyle="1" w:styleId="BULLET1Char0">
    <w:name w:val="BULLET 1 Char"/>
    <w:basedOn w:val="DefaultParagraphFont"/>
    <w:link w:val="BULLET1"/>
    <w:rsid w:val="00BC5A41"/>
    <w:rPr>
      <w:rFonts w:ascii="Arial" w:eastAsiaTheme="minorEastAsia" w:hAnsi="Arial" w:cstheme="minorBidi"/>
      <w:lang w:eastAsia="en-AU"/>
    </w:rPr>
  </w:style>
  <w:style w:type="paragraph" w:customStyle="1" w:styleId="Bullet20">
    <w:name w:val="Bullet 2"/>
    <w:basedOn w:val="Normal"/>
    <w:link w:val="Bullet2Char"/>
    <w:rsid w:val="00BC5A41"/>
    <w:pPr>
      <w:spacing w:before="240"/>
    </w:pPr>
    <w:rPr>
      <w:rFonts w:cs="Arial"/>
      <w:color w:val="000000"/>
      <w:szCs w:val="22"/>
    </w:rPr>
  </w:style>
  <w:style w:type="character" w:customStyle="1" w:styleId="Bullet2Char">
    <w:name w:val="Bullet 2 Char"/>
    <w:basedOn w:val="DefaultParagraphFont"/>
    <w:link w:val="Bullet20"/>
    <w:rsid w:val="00BC5A41"/>
    <w:rPr>
      <w:rFonts w:ascii="Arial" w:eastAsia="Times New Roman" w:hAnsi="Arial" w:cs="Arial"/>
      <w:color w:val="000000"/>
      <w:lang w:eastAsia="en-AU"/>
    </w:rPr>
  </w:style>
  <w:style w:type="paragraph" w:customStyle="1" w:styleId="BULLET2">
    <w:name w:val="BULLET 2"/>
    <w:basedOn w:val="BULLET1"/>
    <w:link w:val="BULLET2Char0"/>
    <w:qFormat/>
    <w:rsid w:val="00BC5A41"/>
    <w:pPr>
      <w:numPr>
        <w:numId w:val="4"/>
      </w:numPr>
    </w:pPr>
  </w:style>
  <w:style w:type="character" w:customStyle="1" w:styleId="BULLET2Char0">
    <w:name w:val="BULLET 2 Char"/>
    <w:basedOn w:val="DefaultParagraphFont"/>
    <w:link w:val="BULLET2"/>
    <w:rsid w:val="00BC5A41"/>
    <w:rPr>
      <w:rFonts w:ascii="Arial" w:eastAsiaTheme="minorEastAsia" w:hAnsi="Arial" w:cstheme="minorBidi"/>
      <w:lang w:eastAsia="en-AU"/>
    </w:rPr>
  </w:style>
  <w:style w:type="paragraph" w:customStyle="1" w:styleId="Bullet30">
    <w:name w:val="Bullet 3"/>
    <w:basedOn w:val="Normal"/>
    <w:link w:val="Bullet3Char"/>
    <w:rsid w:val="00BC5A41"/>
    <w:rPr>
      <w:rFonts w:cs="Arial"/>
      <w:color w:val="000000"/>
    </w:rPr>
  </w:style>
  <w:style w:type="character" w:customStyle="1" w:styleId="Bullet3Char">
    <w:name w:val="Bullet 3 Char"/>
    <w:basedOn w:val="Bullet1Char"/>
    <w:link w:val="Bullet30"/>
    <w:rsid w:val="00BC5A41"/>
    <w:rPr>
      <w:rFonts w:ascii="Arial" w:eastAsia="Times New Roman" w:hAnsi="Arial" w:cs="Arial"/>
      <w:color w:val="000000"/>
      <w:szCs w:val="24"/>
      <w:lang w:eastAsia="en-AU"/>
    </w:rPr>
  </w:style>
  <w:style w:type="paragraph" w:customStyle="1" w:styleId="BULLET3">
    <w:name w:val="BULLET 3"/>
    <w:basedOn w:val="BULLET1"/>
    <w:link w:val="BULLET3Char0"/>
    <w:qFormat/>
    <w:rsid w:val="00BC5A41"/>
    <w:pPr>
      <w:numPr>
        <w:numId w:val="5"/>
      </w:numPr>
      <w:ind w:left="1208" w:hanging="357"/>
    </w:pPr>
  </w:style>
  <w:style w:type="character" w:customStyle="1" w:styleId="BULLET3Char0">
    <w:name w:val="BULLET 3 Char"/>
    <w:basedOn w:val="BULLET1Char0"/>
    <w:link w:val="BULLET3"/>
    <w:rsid w:val="00BC5A41"/>
    <w:rPr>
      <w:rFonts w:ascii="Arial" w:eastAsiaTheme="minorEastAsia" w:hAnsi="Arial" w:cstheme="minorBidi"/>
      <w:lang w:eastAsia="en-AU"/>
    </w:rPr>
  </w:style>
  <w:style w:type="table" w:styleId="ColorfulGrid">
    <w:name w:val="Colorful Grid"/>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5A41"/>
    <w:pPr>
      <w:spacing w:after="0" w:line="240" w:lineRule="auto"/>
    </w:pPr>
    <w:rPr>
      <w:rFonts w:ascii="Arial" w:eastAsia="Times New Roman"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5A41"/>
    <w:pPr>
      <w:spacing w:after="0" w:line="240" w:lineRule="auto"/>
    </w:pPr>
    <w:rPr>
      <w:rFonts w:ascii="Arial" w:eastAsia="Times New Roman"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C5A41"/>
    <w:rPr>
      <w:sz w:val="16"/>
      <w:szCs w:val="16"/>
    </w:rPr>
  </w:style>
  <w:style w:type="paragraph" w:styleId="CommentText">
    <w:name w:val="annotation text"/>
    <w:basedOn w:val="Normal"/>
    <w:link w:val="CommentTextChar"/>
    <w:uiPriority w:val="99"/>
    <w:semiHidden/>
    <w:unhideWhenUsed/>
    <w:rsid w:val="00BC5A41"/>
    <w:rPr>
      <w:sz w:val="20"/>
      <w:szCs w:val="20"/>
    </w:rPr>
  </w:style>
  <w:style w:type="character" w:customStyle="1" w:styleId="CommentTextChar">
    <w:name w:val="Comment Text Char"/>
    <w:basedOn w:val="DefaultParagraphFont"/>
    <w:link w:val="CommentText"/>
    <w:uiPriority w:val="99"/>
    <w:semiHidden/>
    <w:rsid w:val="00BC5A41"/>
    <w:rPr>
      <w:rFonts w:ascii="Arial" w:eastAsia="Times New Roman" w:hAnsi="Arial"/>
      <w:sz w:val="20"/>
      <w:szCs w:val="20"/>
      <w:lang w:eastAsia="en-AU"/>
    </w:rPr>
  </w:style>
  <w:style w:type="table" w:styleId="DarkList">
    <w:name w:val="Dark List"/>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5A41"/>
    <w:pPr>
      <w:spacing w:after="0" w:line="240" w:lineRule="auto"/>
    </w:pPr>
    <w:rPr>
      <w:rFonts w:ascii="Arial" w:eastAsia="Times New Roman"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BC5A41"/>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BC5A41"/>
    <w:pPr>
      <w:spacing w:after="0"/>
    </w:pPr>
    <w:rPr>
      <w:rFonts w:eastAsiaTheme="majorEastAsia" w:cstheme="majorBidi"/>
      <w:sz w:val="20"/>
      <w:szCs w:val="20"/>
    </w:rPr>
  </w:style>
  <w:style w:type="paragraph" w:customStyle="1" w:styleId="Footnotes">
    <w:name w:val="Footnotes"/>
    <w:basedOn w:val="FootnoteText"/>
    <w:link w:val="FootnotesChar"/>
    <w:qFormat/>
    <w:rsid w:val="00BC5A41"/>
    <w:pPr>
      <w:tabs>
        <w:tab w:val="left" w:pos="425"/>
      </w:tabs>
      <w:spacing w:after="120"/>
      <w:ind w:left="113" w:hanging="113"/>
    </w:pPr>
    <w:rPr>
      <w:rFonts w:eastAsiaTheme="minorEastAsia" w:cstheme="minorBidi"/>
      <w:szCs w:val="20"/>
    </w:rPr>
  </w:style>
  <w:style w:type="character" w:customStyle="1" w:styleId="FootnotesChar">
    <w:name w:val="Footnotes Char"/>
    <w:basedOn w:val="FootnoteTextChar"/>
    <w:link w:val="Footnotes"/>
    <w:rsid w:val="00BC5A41"/>
    <w:rPr>
      <w:rFonts w:ascii="Arial" w:eastAsiaTheme="minorEastAsia" w:hAnsi="Arial" w:cstheme="minorBidi"/>
      <w:sz w:val="18"/>
      <w:szCs w:val="20"/>
      <w:lang w:eastAsia="en-AU"/>
    </w:rPr>
  </w:style>
  <w:style w:type="table" w:styleId="GridTable1Light">
    <w:name w:val="Grid Table 1 Light"/>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5A41"/>
    <w:pPr>
      <w:spacing w:after="0" w:line="240" w:lineRule="auto"/>
    </w:pPr>
    <w:rPr>
      <w:rFonts w:ascii="Arial" w:eastAsia="Times New Roman"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5A41"/>
    <w:pPr>
      <w:spacing w:after="0" w:line="240" w:lineRule="auto"/>
    </w:pPr>
    <w:rPr>
      <w:rFonts w:ascii="Arial" w:eastAsia="Times New Roman"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5A41"/>
    <w:pPr>
      <w:spacing w:after="0" w:line="240" w:lineRule="auto"/>
    </w:pPr>
    <w:rPr>
      <w:rFonts w:ascii="Arial" w:eastAsia="Times New Roman"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5A41"/>
    <w:pPr>
      <w:spacing w:after="0" w:line="240" w:lineRule="auto"/>
    </w:pPr>
    <w:rPr>
      <w:rFonts w:ascii="Arial" w:eastAsia="Times New Roman"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5A41"/>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5A41"/>
    <w:pPr>
      <w:spacing w:after="0" w:line="240" w:lineRule="auto"/>
    </w:pPr>
    <w:rPr>
      <w:rFonts w:ascii="Arial" w:eastAsia="Times New Roman"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5A41"/>
    <w:pPr>
      <w:spacing w:after="0" w:line="240" w:lineRule="auto"/>
    </w:pPr>
    <w:rPr>
      <w:rFonts w:ascii="Arial" w:eastAsia="Times New Roman"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5A41"/>
    <w:pPr>
      <w:spacing w:after="0" w:line="240" w:lineRule="auto"/>
    </w:pPr>
    <w:rPr>
      <w:rFonts w:ascii="Arial" w:eastAsia="Times New Roman"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5A41"/>
    <w:pPr>
      <w:spacing w:after="0" w:line="240" w:lineRule="auto"/>
    </w:pPr>
    <w:rPr>
      <w:rFonts w:ascii="Arial" w:eastAsia="Times New Roman"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5A41"/>
    <w:pPr>
      <w:spacing w:after="0" w:line="240" w:lineRule="auto"/>
    </w:pPr>
    <w:rPr>
      <w:rFonts w:ascii="Arial" w:eastAsia="Times New Roman"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5A41"/>
    <w:pPr>
      <w:spacing w:after="0" w:line="240" w:lineRule="auto"/>
    </w:pPr>
    <w:rPr>
      <w:rFonts w:ascii="Arial" w:eastAsia="Times New Roman"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5A41"/>
    <w:pPr>
      <w:spacing w:after="0" w:line="240" w:lineRule="auto"/>
    </w:pPr>
    <w:rPr>
      <w:rFonts w:ascii="Arial" w:eastAsia="Times New Roman"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5A41"/>
    <w:pPr>
      <w:spacing w:after="0" w:line="240" w:lineRule="auto"/>
    </w:pPr>
    <w:rPr>
      <w:rFonts w:ascii="Arial" w:eastAsia="Times New Roman"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5A41"/>
    <w:pPr>
      <w:spacing w:after="0" w:line="240" w:lineRule="auto"/>
    </w:pPr>
    <w:rPr>
      <w:rFonts w:ascii="Arial" w:eastAsia="Times New Roman"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5A41"/>
    <w:pPr>
      <w:spacing w:after="0" w:line="240" w:lineRule="auto"/>
    </w:pPr>
    <w:rPr>
      <w:rFonts w:ascii="Arial" w:eastAsia="Times New Roman"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5A41"/>
    <w:pPr>
      <w:spacing w:after="0" w:line="240" w:lineRule="auto"/>
    </w:pPr>
    <w:rPr>
      <w:rFonts w:ascii="Arial" w:eastAsia="Times New Roman"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5A41"/>
    <w:pPr>
      <w:spacing w:after="0" w:line="240" w:lineRule="auto"/>
    </w:pPr>
    <w:rPr>
      <w:rFonts w:ascii="Arial" w:eastAsia="Times New Roman"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5A41"/>
    <w:pPr>
      <w:spacing w:after="0" w:line="240" w:lineRule="auto"/>
    </w:pPr>
    <w:rPr>
      <w:rFonts w:ascii="Arial" w:eastAsia="Times New Roman"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5A41"/>
    <w:pPr>
      <w:spacing w:after="0" w:line="240" w:lineRule="auto"/>
    </w:pPr>
    <w:rPr>
      <w:rFonts w:ascii="Arial" w:eastAsia="Times New Roman"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BC5A41"/>
    <w:pPr>
      <w:spacing w:after="0"/>
      <w:ind w:left="220" w:hanging="220"/>
    </w:pPr>
  </w:style>
  <w:style w:type="paragraph" w:styleId="IndexHeading">
    <w:name w:val="index heading"/>
    <w:basedOn w:val="Normal"/>
    <w:next w:val="Index1"/>
    <w:uiPriority w:val="99"/>
    <w:semiHidden/>
    <w:unhideWhenUsed/>
    <w:rsid w:val="00BC5A41"/>
    <w:rPr>
      <w:rFonts w:eastAsiaTheme="majorEastAsia" w:cstheme="majorBidi"/>
      <w:b/>
      <w:bCs/>
    </w:rPr>
  </w:style>
  <w:style w:type="paragraph" w:customStyle="1" w:styleId="LetterHeadingCAPS">
    <w:name w:val="Letter Heading CAPS"/>
    <w:basedOn w:val="Normal"/>
    <w:link w:val="LetterHeadingCAPSChar"/>
    <w:rsid w:val="00BC5A41"/>
    <w:rPr>
      <w:b/>
      <w:lang w:val="en-US"/>
    </w:rPr>
  </w:style>
  <w:style w:type="character" w:customStyle="1" w:styleId="LetterHeadingCAPSChar">
    <w:name w:val="Letter Heading CAPS Char"/>
    <w:basedOn w:val="DefaultParagraphFont"/>
    <w:link w:val="LetterHeadingCAPS"/>
    <w:rsid w:val="00BC5A41"/>
    <w:rPr>
      <w:rFonts w:ascii="Arial" w:eastAsia="Times New Roman" w:hAnsi="Arial"/>
      <w:b/>
      <w:szCs w:val="24"/>
      <w:lang w:val="en-US" w:eastAsia="en-AU"/>
    </w:rPr>
  </w:style>
  <w:style w:type="paragraph" w:customStyle="1" w:styleId="LetterCAPS">
    <w:name w:val="Letter CAPS"/>
    <w:basedOn w:val="LetterHeadingCAPS"/>
    <w:link w:val="LetterCAPSChar"/>
    <w:rsid w:val="00BC5A41"/>
  </w:style>
  <w:style w:type="character" w:customStyle="1" w:styleId="LetterCAPSChar">
    <w:name w:val="Letter CAPS Char"/>
    <w:basedOn w:val="LetterHeadingCAPSChar"/>
    <w:link w:val="LetterCAPS"/>
    <w:rsid w:val="00BC5A41"/>
    <w:rPr>
      <w:rFonts w:ascii="Arial" w:eastAsia="Times New Roman" w:hAnsi="Arial"/>
      <w:b/>
      <w:szCs w:val="24"/>
      <w:lang w:val="en-US" w:eastAsia="en-AU"/>
    </w:rPr>
  </w:style>
  <w:style w:type="paragraph" w:customStyle="1" w:styleId="LetterCAPSTitle">
    <w:name w:val="Letter CAPS Title"/>
    <w:basedOn w:val="Normal"/>
    <w:link w:val="LetterCAPSTitleChar"/>
    <w:qFormat/>
    <w:rsid w:val="00BC5A41"/>
    <w:rPr>
      <w:b/>
      <w:caps/>
      <w:szCs w:val="22"/>
    </w:rPr>
  </w:style>
  <w:style w:type="character" w:customStyle="1" w:styleId="LetterCAPSTitleChar">
    <w:name w:val="Letter CAPS Title Char"/>
    <w:basedOn w:val="DefaultParagraphFont"/>
    <w:link w:val="LetterCAPSTitle"/>
    <w:rsid w:val="00BC5A41"/>
    <w:rPr>
      <w:rFonts w:ascii="Arial" w:eastAsia="Times New Roman" w:hAnsi="Arial"/>
      <w:b/>
      <w:caps/>
      <w:lang w:eastAsia="en-AU"/>
    </w:rPr>
  </w:style>
  <w:style w:type="paragraph" w:customStyle="1" w:styleId="LetterTitleCAPS">
    <w:name w:val="Letter Title CAPS"/>
    <w:basedOn w:val="Title"/>
    <w:link w:val="LetterTitleCAPSChar"/>
    <w:autoRedefine/>
    <w:rsid w:val="00BC5A41"/>
  </w:style>
  <w:style w:type="character" w:customStyle="1" w:styleId="LetterTitleCAPSChar">
    <w:name w:val="Letter Title CAPS Char"/>
    <w:basedOn w:val="TitleChar"/>
    <w:link w:val="LetterTitleCAPS"/>
    <w:rsid w:val="00BC5A41"/>
    <w:rPr>
      <w:rFonts w:ascii="Arial" w:eastAsiaTheme="majorEastAsia" w:hAnsi="Arial" w:cstheme="majorBidi"/>
      <w:b/>
      <w:caps/>
      <w:spacing w:val="5"/>
      <w:kern w:val="28"/>
      <w:sz w:val="40"/>
      <w:szCs w:val="52"/>
      <w:lang w:eastAsia="en-AU"/>
    </w:rPr>
  </w:style>
  <w:style w:type="table" w:styleId="LightGrid">
    <w:name w:val="Light Grid"/>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5A41"/>
    <w:pPr>
      <w:spacing w:after="0" w:line="240" w:lineRule="auto"/>
    </w:pPr>
    <w:rPr>
      <w:rFonts w:ascii="Arial" w:eastAsia="Times New Roman"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5A41"/>
    <w:pPr>
      <w:spacing w:after="0" w:line="240" w:lineRule="auto"/>
    </w:pPr>
    <w:rPr>
      <w:rFonts w:ascii="Arial" w:eastAsia="Times New Roman"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5A41"/>
    <w:pPr>
      <w:spacing w:after="0" w:line="240" w:lineRule="auto"/>
    </w:pPr>
    <w:rPr>
      <w:rFonts w:ascii="Arial" w:eastAsia="Times New Roman"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5A41"/>
    <w:pPr>
      <w:spacing w:after="0" w:line="240" w:lineRule="auto"/>
    </w:pPr>
    <w:rPr>
      <w:rFonts w:ascii="Arial" w:eastAsia="Times New Roman"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5A41"/>
    <w:pPr>
      <w:spacing w:after="0" w:line="240" w:lineRule="auto"/>
    </w:pPr>
    <w:rPr>
      <w:rFonts w:ascii="Arial" w:eastAsia="Times New Roman"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5A41"/>
    <w:pPr>
      <w:spacing w:after="0" w:line="240" w:lineRule="auto"/>
    </w:pPr>
    <w:rPr>
      <w:rFonts w:ascii="Arial" w:eastAsia="Times New Roman"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5A41"/>
    <w:pPr>
      <w:spacing w:after="0" w:line="240" w:lineRule="auto"/>
    </w:pPr>
    <w:rPr>
      <w:rFonts w:ascii="Arial" w:eastAsia="Times New Roman"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5A41"/>
    <w:pPr>
      <w:spacing w:after="0" w:line="240" w:lineRule="auto"/>
    </w:pPr>
    <w:rPr>
      <w:rFonts w:ascii="Arial" w:eastAsia="Times New Roman"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5A41"/>
    <w:pPr>
      <w:spacing w:after="0" w:line="240" w:lineRule="auto"/>
    </w:pPr>
    <w:rPr>
      <w:rFonts w:ascii="Arial" w:eastAsia="Times New Roman"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5A41"/>
    <w:pPr>
      <w:spacing w:after="0" w:line="240" w:lineRule="auto"/>
    </w:pPr>
    <w:rPr>
      <w:rFonts w:ascii="Arial" w:eastAsia="Times New Roman"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5A41"/>
    <w:pPr>
      <w:spacing w:after="0" w:line="240" w:lineRule="auto"/>
    </w:pPr>
    <w:rPr>
      <w:rFonts w:ascii="Arial" w:eastAsia="Times New Roman"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5A41"/>
    <w:pPr>
      <w:spacing w:after="0" w:line="240" w:lineRule="auto"/>
    </w:pPr>
    <w:rPr>
      <w:rFonts w:ascii="Arial" w:eastAsia="Times New Roman"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5A41"/>
    <w:pPr>
      <w:spacing w:after="0" w:line="240" w:lineRule="auto"/>
    </w:pPr>
    <w:rPr>
      <w:rFonts w:ascii="Arial" w:eastAsia="Times New Roman"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5A41"/>
    <w:pPr>
      <w:spacing w:after="0" w:line="240" w:lineRule="auto"/>
    </w:pPr>
    <w:rPr>
      <w:rFonts w:ascii="Arial" w:eastAsia="Times New Roman"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5A41"/>
    <w:pPr>
      <w:spacing w:after="0" w:line="240" w:lineRule="auto"/>
    </w:pPr>
    <w:rPr>
      <w:rFonts w:ascii="Arial" w:eastAsia="Times New Roman"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BC5A41"/>
    <w:pPr>
      <w:spacing w:after="0" w:line="240" w:lineRule="auto"/>
    </w:pPr>
    <w:rPr>
      <w:rFonts w:ascii="Arial" w:eastAsia="Times New Roman"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5A41"/>
    <w:pPr>
      <w:spacing w:after="0" w:line="240" w:lineRule="auto"/>
    </w:pPr>
    <w:rPr>
      <w:rFonts w:ascii="Arial" w:eastAsia="Times New Roman"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BC5A41"/>
    <w:pPr>
      <w:spacing w:after="0" w:line="240" w:lineRule="auto"/>
    </w:pPr>
    <w:rPr>
      <w:rFonts w:ascii="Arial" w:eastAsia="Times New Roman"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5A41"/>
    <w:pPr>
      <w:spacing w:after="0" w:line="240" w:lineRule="auto"/>
    </w:pPr>
    <w:rPr>
      <w:rFonts w:ascii="Arial" w:eastAsia="Times New Roman"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5A41"/>
    <w:pPr>
      <w:spacing w:after="0" w:line="240" w:lineRule="auto"/>
    </w:pPr>
    <w:rPr>
      <w:rFonts w:ascii="Arial" w:eastAsia="Times New Roman"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5A41"/>
    <w:pPr>
      <w:spacing w:after="0" w:line="240" w:lineRule="auto"/>
    </w:pPr>
    <w:rPr>
      <w:rFonts w:ascii="Arial" w:eastAsia="Times New Roman"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5A41"/>
    <w:pPr>
      <w:spacing w:after="0" w:line="240" w:lineRule="auto"/>
    </w:pPr>
    <w:rPr>
      <w:rFonts w:ascii="Arial" w:eastAsia="Times New Roman"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5A41"/>
    <w:pPr>
      <w:spacing w:after="0" w:line="240" w:lineRule="auto"/>
    </w:pPr>
    <w:rPr>
      <w:rFonts w:ascii="Arial" w:eastAsia="Times New Roman"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5A41"/>
    <w:pPr>
      <w:spacing w:after="0" w:line="240" w:lineRule="auto"/>
    </w:pPr>
    <w:rPr>
      <w:rFonts w:ascii="Arial" w:eastAsia="Times New Roman"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5A41"/>
    <w:pPr>
      <w:spacing w:after="0" w:line="240" w:lineRule="auto"/>
    </w:pPr>
    <w:rPr>
      <w:rFonts w:ascii="Arial" w:eastAsia="Times New Roman"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5A41"/>
    <w:pPr>
      <w:spacing w:after="0" w:line="240" w:lineRule="auto"/>
    </w:pPr>
    <w:rPr>
      <w:rFonts w:ascii="Arial" w:eastAsia="Times New Roman"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C5A4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sz w:val="20"/>
      <w:szCs w:val="20"/>
      <w:lang w:eastAsia="en-AU"/>
    </w:rPr>
  </w:style>
  <w:style w:type="character" w:customStyle="1" w:styleId="MacroTextChar">
    <w:name w:val="Macro Text Char"/>
    <w:basedOn w:val="DefaultParagraphFont"/>
    <w:link w:val="MacroText"/>
    <w:uiPriority w:val="99"/>
    <w:semiHidden/>
    <w:rsid w:val="00BC5A41"/>
    <w:rPr>
      <w:rFonts w:ascii="Arial" w:eastAsia="Times New Roman" w:hAnsi="Arial"/>
      <w:sz w:val="20"/>
      <w:szCs w:val="20"/>
      <w:lang w:eastAsia="en-AU"/>
    </w:rPr>
  </w:style>
  <w:style w:type="table" w:styleId="MediumGrid1">
    <w:name w:val="Medium Grid 1"/>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5A41"/>
    <w:pPr>
      <w:spacing w:after="0" w:line="240" w:lineRule="auto"/>
    </w:pPr>
    <w:rPr>
      <w:rFonts w:ascii="Arial" w:eastAsia="Times New Roman"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5A41"/>
    <w:pPr>
      <w:spacing w:after="0" w:line="240" w:lineRule="auto"/>
    </w:pPr>
    <w:rPr>
      <w:rFonts w:ascii="Arial" w:eastAsia="Times New Roman"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5A41"/>
    <w:pPr>
      <w:spacing w:after="0" w:line="240" w:lineRule="auto"/>
    </w:pPr>
    <w:rPr>
      <w:rFonts w:ascii="Arial" w:eastAsia="Times New Roman"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5A41"/>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5A41"/>
    <w:pPr>
      <w:spacing w:after="0" w:line="240" w:lineRule="auto"/>
    </w:pPr>
    <w:rPr>
      <w:rFonts w:ascii="Arial" w:eastAsia="Times New Roman"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C5A41"/>
    <w:pPr>
      <w:spacing w:after="0" w:line="240" w:lineRule="auto"/>
    </w:pPr>
    <w:rPr>
      <w:rFonts w:ascii="Arial" w:eastAsia="Times New Roman"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C5A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BC5A41"/>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BC5A41"/>
    <w:rPr>
      <w:sz w:val="24"/>
    </w:rPr>
  </w:style>
  <w:style w:type="table" w:styleId="PlainTable1">
    <w:name w:val="Plain Table 1"/>
    <w:basedOn w:val="TableNormal"/>
    <w:uiPriority w:val="41"/>
    <w:rsid w:val="00BC5A41"/>
    <w:pPr>
      <w:spacing w:after="0" w:line="240" w:lineRule="auto"/>
    </w:pPr>
    <w:rPr>
      <w:rFonts w:ascii="Arial" w:eastAsia="Times New Roman"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5A41"/>
    <w:pPr>
      <w:spacing w:after="0" w:line="240" w:lineRule="auto"/>
    </w:pPr>
    <w:rPr>
      <w:rFonts w:ascii="Arial" w:eastAsia="Times New Roman"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5A41"/>
    <w:pPr>
      <w:spacing w:after="0" w:line="240" w:lineRule="auto"/>
    </w:pPr>
    <w:rPr>
      <w:rFonts w:ascii="Arial" w:eastAsia="Times New Roman"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5A41"/>
    <w:pPr>
      <w:spacing w:after="0" w:line="240" w:lineRule="auto"/>
    </w:pPr>
    <w:rPr>
      <w:rFonts w:ascii="Arial" w:eastAsia="Times New Roman"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5A41"/>
    <w:pPr>
      <w:spacing w:after="0" w:line="240" w:lineRule="auto"/>
    </w:pPr>
    <w:rPr>
      <w:rFonts w:ascii="Arial" w:eastAsia="Times New Roman"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C5A41"/>
    <w:pPr>
      <w:spacing w:after="0"/>
    </w:pPr>
    <w:rPr>
      <w:sz w:val="21"/>
      <w:szCs w:val="21"/>
    </w:rPr>
  </w:style>
  <w:style w:type="character" w:customStyle="1" w:styleId="PlainTextChar">
    <w:name w:val="Plain Text Char"/>
    <w:basedOn w:val="DefaultParagraphFont"/>
    <w:link w:val="PlainText"/>
    <w:uiPriority w:val="99"/>
    <w:semiHidden/>
    <w:rsid w:val="00BC5A41"/>
    <w:rPr>
      <w:rFonts w:ascii="Arial" w:eastAsia="Times New Roman" w:hAnsi="Arial"/>
      <w:sz w:val="21"/>
      <w:szCs w:val="21"/>
      <w:lang w:eastAsia="en-AU"/>
    </w:rPr>
  </w:style>
  <w:style w:type="paragraph" w:customStyle="1" w:styleId="SecurityClassification">
    <w:name w:val="Security Classification"/>
    <w:basedOn w:val="Normal"/>
    <w:link w:val="SecurityClassificationChar"/>
    <w:rsid w:val="00BC5A41"/>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BC5A41"/>
    <w:rPr>
      <w:rFonts w:ascii="Arial" w:eastAsia="Times New Roman" w:hAnsi="Arial" w:cs="Arial"/>
      <w:b/>
      <w:color w:val="FF0000"/>
      <w:sz w:val="24"/>
      <w:szCs w:val="24"/>
      <w:lang w:eastAsia="en-AU"/>
    </w:rPr>
  </w:style>
  <w:style w:type="table" w:styleId="Table3Deffects1">
    <w:name w:val="Table 3D effects 1"/>
    <w:basedOn w:val="TableNormal"/>
    <w:uiPriority w:val="99"/>
    <w:semiHidden/>
    <w:unhideWhenUsed/>
    <w:rsid w:val="00BC5A41"/>
    <w:pPr>
      <w:spacing w:after="240" w:line="240" w:lineRule="auto"/>
      <w:jc w:val="both"/>
    </w:pPr>
    <w:rPr>
      <w:rFonts w:ascii="Arial" w:eastAsia="Times New Roman"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5A41"/>
    <w:pPr>
      <w:spacing w:after="240" w:line="240" w:lineRule="auto"/>
      <w:jc w:val="both"/>
    </w:pPr>
    <w:rPr>
      <w:rFonts w:ascii="Arial" w:eastAsia="Times New Roman"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5A41"/>
    <w:pPr>
      <w:spacing w:after="240" w:line="240" w:lineRule="auto"/>
      <w:jc w:val="both"/>
    </w:pPr>
    <w:rPr>
      <w:rFonts w:ascii="Arial" w:eastAsia="Times New Roman"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5A41"/>
    <w:pPr>
      <w:spacing w:after="240" w:line="240" w:lineRule="auto"/>
      <w:jc w:val="both"/>
    </w:pPr>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5A41"/>
    <w:pPr>
      <w:spacing w:after="240" w:line="240" w:lineRule="auto"/>
      <w:jc w:val="both"/>
    </w:pPr>
    <w:rPr>
      <w:rFonts w:ascii="Arial" w:eastAsia="Times New Roma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5A41"/>
    <w:pPr>
      <w:spacing w:after="240" w:line="240" w:lineRule="auto"/>
      <w:jc w:val="both"/>
    </w:pPr>
    <w:rPr>
      <w:rFonts w:ascii="Arial" w:eastAsia="Times New Roman"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5A41"/>
    <w:pPr>
      <w:spacing w:after="240" w:line="240" w:lineRule="auto"/>
      <w:jc w:val="both"/>
    </w:pPr>
    <w:rPr>
      <w:rFonts w:ascii="Arial" w:eastAsia="Times New Roman"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5A41"/>
    <w:pPr>
      <w:spacing w:after="240" w:line="240" w:lineRule="auto"/>
      <w:jc w:val="both"/>
    </w:pPr>
    <w:rPr>
      <w:rFonts w:ascii="Arial" w:eastAsia="Times New Roman"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5A41"/>
    <w:pPr>
      <w:spacing w:after="240" w:line="240" w:lineRule="auto"/>
      <w:jc w:val="both"/>
    </w:pPr>
    <w:rPr>
      <w:rFonts w:ascii="Arial" w:eastAsia="Times New Roman"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5A41"/>
    <w:pPr>
      <w:spacing w:after="240" w:line="240" w:lineRule="auto"/>
      <w:jc w:val="both"/>
    </w:pPr>
    <w:rPr>
      <w:rFonts w:ascii="Arial" w:eastAsia="Times New Roman"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5A41"/>
    <w:pPr>
      <w:spacing w:after="240" w:line="240" w:lineRule="auto"/>
      <w:jc w:val="both"/>
    </w:pPr>
    <w:rPr>
      <w:rFonts w:ascii="Arial" w:eastAsia="Times New Roman"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5A41"/>
    <w:pPr>
      <w:spacing w:after="240" w:line="240" w:lineRule="auto"/>
      <w:jc w:val="both"/>
    </w:pPr>
    <w:rPr>
      <w:rFonts w:ascii="Arial" w:eastAsia="Times New Roman"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5A41"/>
    <w:pPr>
      <w:spacing w:after="240" w:line="240" w:lineRule="auto"/>
      <w:jc w:val="both"/>
    </w:pPr>
    <w:rPr>
      <w:rFonts w:ascii="Arial" w:eastAsia="Times New Roman"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5A41"/>
    <w:pPr>
      <w:spacing w:after="240" w:line="240" w:lineRule="auto"/>
      <w:jc w:val="both"/>
    </w:pPr>
    <w:rPr>
      <w:rFonts w:ascii="Arial" w:eastAsia="Times New Roma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5A41"/>
    <w:pPr>
      <w:spacing w:after="240" w:line="240" w:lineRule="auto"/>
      <w:jc w:val="both"/>
    </w:pPr>
    <w:rPr>
      <w:rFonts w:ascii="Arial" w:eastAsia="Times New Roman"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5A41"/>
    <w:pPr>
      <w:spacing w:after="240" w:line="240" w:lineRule="auto"/>
      <w:jc w:val="both"/>
    </w:pPr>
    <w:rPr>
      <w:rFonts w:ascii="Arial" w:eastAsia="Times New Roma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5A41"/>
    <w:pPr>
      <w:spacing w:after="240" w:line="240" w:lineRule="auto"/>
      <w:jc w:val="both"/>
    </w:pPr>
    <w:rPr>
      <w:rFonts w:ascii="Arial" w:eastAsia="Times New Roma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5A41"/>
    <w:pPr>
      <w:spacing w:after="240" w:line="240" w:lineRule="auto"/>
      <w:jc w:val="both"/>
    </w:pPr>
    <w:rPr>
      <w:rFonts w:ascii="Arial" w:eastAsia="Times New Roman"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5A41"/>
    <w:pPr>
      <w:spacing w:after="240" w:line="240" w:lineRule="auto"/>
      <w:jc w:val="both"/>
    </w:pPr>
    <w:rPr>
      <w:rFonts w:ascii="Arial" w:eastAsia="Times New Roman"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5A41"/>
    <w:pPr>
      <w:spacing w:after="240" w:line="240" w:lineRule="auto"/>
      <w:jc w:val="both"/>
    </w:pPr>
    <w:rPr>
      <w:rFonts w:ascii="Arial" w:eastAsia="Times New Roman"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C5A41"/>
    <w:pPr>
      <w:spacing w:after="0" w:line="240" w:lineRule="auto"/>
    </w:pPr>
    <w:rPr>
      <w:rFonts w:ascii="Arial" w:eastAsia="Times New Roman"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C5A41"/>
    <w:pPr>
      <w:spacing w:after="240" w:line="240" w:lineRule="auto"/>
      <w:jc w:val="both"/>
    </w:pPr>
    <w:rPr>
      <w:rFonts w:ascii="Arial" w:eastAsia="Times New Roma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5A41"/>
    <w:pPr>
      <w:spacing w:after="240" w:line="240" w:lineRule="auto"/>
      <w:jc w:val="both"/>
    </w:pPr>
    <w:rPr>
      <w:rFonts w:ascii="Arial" w:eastAsia="Times New Roman"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5A41"/>
    <w:pPr>
      <w:spacing w:after="240" w:line="240" w:lineRule="auto"/>
      <w:jc w:val="both"/>
    </w:pPr>
    <w:rPr>
      <w:rFonts w:ascii="Arial" w:eastAsia="Times New Roman"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5A41"/>
    <w:pPr>
      <w:spacing w:after="240" w:line="240" w:lineRule="auto"/>
      <w:jc w:val="both"/>
    </w:pPr>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5A41"/>
    <w:pPr>
      <w:spacing w:after="240" w:line="240" w:lineRule="auto"/>
      <w:jc w:val="both"/>
    </w:pPr>
    <w:rPr>
      <w:rFonts w:ascii="Arial" w:eastAsia="Times New Roman"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5A41"/>
    <w:pPr>
      <w:spacing w:after="240" w:line="240" w:lineRule="auto"/>
      <w:jc w:val="both"/>
    </w:pPr>
    <w:rPr>
      <w:rFonts w:ascii="Arial" w:eastAsia="Times New Roman"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C5A41"/>
    <w:pPr>
      <w:spacing w:after="240" w:line="240" w:lineRule="auto"/>
      <w:jc w:val="both"/>
    </w:pPr>
    <w:rPr>
      <w:rFonts w:ascii="Arial" w:eastAsia="Times New Roman"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5A41"/>
    <w:pPr>
      <w:spacing w:after="240" w:line="240" w:lineRule="auto"/>
      <w:jc w:val="both"/>
    </w:pPr>
    <w:rPr>
      <w:rFonts w:ascii="Arial" w:eastAsia="Times New Roman"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5A41"/>
    <w:pPr>
      <w:spacing w:after="240" w:line="240" w:lineRule="auto"/>
      <w:jc w:val="both"/>
    </w:pPr>
    <w:rPr>
      <w:rFonts w:ascii="Arial" w:eastAsia="Times New Roman"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5A41"/>
    <w:pPr>
      <w:spacing w:after="240" w:line="240" w:lineRule="auto"/>
      <w:jc w:val="both"/>
    </w:pPr>
    <w:rPr>
      <w:rFonts w:ascii="Arial" w:eastAsia="Times New Roman"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5A41"/>
    <w:pPr>
      <w:spacing w:after="240" w:line="240" w:lineRule="auto"/>
      <w:jc w:val="both"/>
    </w:pPr>
    <w:rPr>
      <w:rFonts w:ascii="Arial" w:eastAsia="Times New Roman"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BC5A41"/>
    <w:pPr>
      <w:spacing w:before="60" w:after="60"/>
    </w:pPr>
    <w:rPr>
      <w:rFonts w:cs="Arial"/>
    </w:rPr>
  </w:style>
  <w:style w:type="character" w:customStyle="1" w:styleId="TabletextChar">
    <w:name w:val="Table text Char"/>
    <w:basedOn w:val="DefaultParagraphFont"/>
    <w:link w:val="Tabletext"/>
    <w:rsid w:val="00BC5A41"/>
    <w:rPr>
      <w:rFonts w:ascii="Arial" w:eastAsia="Times New Roman" w:hAnsi="Arial" w:cs="Arial"/>
      <w:szCs w:val="24"/>
      <w:lang w:eastAsia="en-AU"/>
    </w:rPr>
  </w:style>
  <w:style w:type="table" w:styleId="TableTheme">
    <w:name w:val="Table Theme"/>
    <w:basedOn w:val="TableNormal"/>
    <w:uiPriority w:val="99"/>
    <w:semiHidden/>
    <w:unhideWhenUsed/>
    <w:rsid w:val="00BC5A41"/>
    <w:pPr>
      <w:spacing w:after="240" w:line="240" w:lineRule="auto"/>
      <w:jc w:val="both"/>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C5A41"/>
    <w:pPr>
      <w:spacing w:after="240" w:line="240" w:lineRule="auto"/>
      <w:jc w:val="both"/>
    </w:pPr>
    <w:rPr>
      <w:rFonts w:ascii="Arial" w:eastAsia="Times New Roman"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5A41"/>
    <w:pPr>
      <w:spacing w:after="240" w:line="240" w:lineRule="auto"/>
      <w:jc w:val="both"/>
    </w:pPr>
    <w:rPr>
      <w:rFonts w:ascii="Arial" w:eastAsia="Times New Roman"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5A41"/>
    <w:pPr>
      <w:spacing w:after="240" w:line="240" w:lineRule="auto"/>
      <w:jc w:val="both"/>
    </w:pPr>
    <w:rPr>
      <w:rFonts w:ascii="Arial" w:eastAsia="Times New Roman"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sid w:val="003C6244"/>
    <w:rPr>
      <w:b/>
      <w:bCs/>
    </w:rPr>
  </w:style>
  <w:style w:type="character" w:customStyle="1" w:styleId="CommentSubjectChar">
    <w:name w:val="Comment Subject Char"/>
    <w:basedOn w:val="CommentTextChar"/>
    <w:link w:val="CommentSubject"/>
    <w:uiPriority w:val="99"/>
    <w:semiHidden/>
    <w:rsid w:val="003C6244"/>
    <w:rPr>
      <w:rFonts w:ascii="Arial" w:eastAsia="Times New Roman" w:hAnsi="Arial"/>
      <w:b/>
      <w:bCs/>
      <w:sz w:val="20"/>
      <w:szCs w:val="20"/>
      <w:lang w:eastAsia="en-AU"/>
    </w:rPr>
  </w:style>
  <w:style w:type="table" w:customStyle="1" w:styleId="TableGrid10">
    <w:name w:val="Table Grid1"/>
    <w:basedOn w:val="TableNormal"/>
    <w:next w:val="TableGrid"/>
    <w:uiPriority w:val="59"/>
    <w:rsid w:val="002039E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1CDB"/>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adi/Pages/September-2016-Consultation-counterparty-credit-risk.aspx" TargetMode="External"/><Relationship Id="rId2" Type="http://schemas.openxmlformats.org/officeDocument/2006/relationships/hyperlink" Target="http://www.bis.org/publ/bcbs282.htm" TargetMode="External"/><Relationship Id="rId1" Type="http://schemas.openxmlformats.org/officeDocument/2006/relationships/hyperlink" Target="http://www.bis.org/publ/bcbs279.htm" TargetMode="External"/><Relationship Id="rId5" Type="http://schemas.openxmlformats.org/officeDocument/2006/relationships/hyperlink" Target="http://www.apra.gov.au/adi/PrudentialFramework/Pages/Consultation-counterparty-credit-risk-August-2017.aspx" TargetMode="External"/><Relationship Id="rId4" Type="http://schemas.openxmlformats.org/officeDocument/2006/relationships/hyperlink" Target="http://www.apra.gov.au/adi/PrudentialFramework/Pages/Consultation-counterparty-credit-risk-August-2017.aspx"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UNCLASSIFIED</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5JENXJJSCC7A-445999044-8119</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Regulation Impact Statement (RIS) for Banking (prudential standard) determination No. 1 and 2 of 2018</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Keywords xmlns="814d62cb-2db6-4c25-ab62-b9075facbc11">RIS; CCR; counterparty credit risk; SA-CCR; CEM; CVA</APRAKeywords>
    <APRAMeetingDate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_dlc_DocIdUrl xmlns="814d62cb-2db6-4c25-ab62-b9075facbc11">
      <Url>https://im/teams/LEGAL/_layouts/15/DocIdRedir.aspx?ID=5JENXJJSCC7A-445999044-8119</Url>
      <Description>5JENXJJSCC7A-445999044-8119</Description>
    </_dlc_DocIdUrl>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APRADate xmlns="814d62cb-2db6-4c25-ab62-b9075facbc11">2018-04-18T14:00:00+00:00</APRADat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m2df5fdf6d1643b4a596982762bb3d00 xmlns="814d62cb-2db6-4c25-ab62-b9075facbc11">
      <Terms xmlns="http://schemas.microsoft.com/office/infopath/2007/PartnerControls"/>
    </m2df5fdf6d1643b4a596982762bb3d00>
    <APRAApprovalDate xmlns="814d62cb-2db6-4c25-ab62-b9075facbc11" xsi:nil="true"/>
    <TaxCatchAll xmlns="814d62cb-2db6-4c25-ab62-b9075facbc11">
      <Value>24</Value>
      <Value>83</Value>
      <Value>10</Value>
      <Value>134</Value>
      <Value>435</Value>
      <Value>26</Value>
      <Value>93</Value>
      <Value>109</Value>
      <Value>158</Value>
      <Value>4</Value>
      <Value>19</Value>
      <Value>171</Value>
    </TaxCatchAll>
    <APRAActivityID xmlns="814d62cb-2db6-4c25-ab62-b9075facbc11" xsi:nil="true"/>
    <f284b4f8578a44cfae4f67a86df81119 xmlns="814d62cb-2db6-4c25-ab62-b9075facbc11">
      <Terms xmlns="http://schemas.microsoft.com/office/infopath/2007/PartnerControls"/>
    </f284b4f8578a44cfae4f67a86df8111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0C2B-08A1-43FF-9E9A-AF7D978495B8}">
  <ds:schemaRefs>
    <ds:schemaRef ds:uri="Microsoft.SharePoint.Taxonomy.ContentTypeSync"/>
  </ds:schemaRefs>
</ds:datastoreItem>
</file>

<file path=customXml/itemProps2.xml><?xml version="1.0" encoding="utf-8"?>
<ds:datastoreItem xmlns:ds="http://schemas.openxmlformats.org/officeDocument/2006/customXml" ds:itemID="{3B93F3DB-A33E-4BE4-9C16-A7768B045C14}">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961085-E31F-479E-B6F1-43525F91B4D4}">
  <ds:schemaRefs>
    <ds:schemaRef ds:uri="http://schemas.microsoft.com/sharepoint/v3/contenttype/form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E52DBE18-CE66-4303-B85A-AF8E82EE4324}">
  <ds:schemaRefs>
    <ds:schemaRef ds:uri="http://schemas.microsoft.com/sharepoint/events"/>
  </ds:schemaRefs>
</ds:datastoreItem>
</file>

<file path=customXml/itemProps6.xml><?xml version="1.0" encoding="utf-8"?>
<ds:datastoreItem xmlns:ds="http://schemas.openxmlformats.org/officeDocument/2006/customXml" ds:itemID="{B43879DA-6CE0-408B-BA9D-34D437B58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83A081-1711-49A6-8BAC-9CE0E05D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3485</Words>
  <Characters>19482</Characters>
  <Application>Microsoft Office Word</Application>
  <DocSecurity>0</DocSecurity>
  <Lines>367</Lines>
  <Paragraphs>153</Paragraphs>
  <ScaleCrop>false</ScaleCrop>
  <HeadingPairs>
    <vt:vector size="2" baseType="variant">
      <vt:variant>
        <vt:lpstr>Title</vt:lpstr>
      </vt:variant>
      <vt:variant>
        <vt:i4>1</vt:i4>
      </vt:variant>
    </vt:vector>
  </HeadingPairs>
  <TitlesOfParts>
    <vt:vector size="1" baseType="lpstr">
      <vt:lpstr>RIS Analysis CCR</vt:lpstr>
    </vt:vector>
  </TitlesOfParts>
  <Company/>
  <LinksUpToDate>false</LinksUpToDate>
  <CharactersWithSpaces>22814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 Banking (prudential standard) determination No. 1 and 2 of 2018</dc:title>
  <dc:subject/>
  <dc:creator/>
  <cp:keywords> [SEC=UNCLASSIFIED]</cp:keywords>
  <dc:description/>
  <cp:lastModifiedBy/>
  <cp:revision>1</cp:revision>
  <dcterms:created xsi:type="dcterms:W3CDTF">2018-04-26T23:54:00Z</dcterms:created>
  <dcterms:modified xsi:type="dcterms:W3CDTF">2018-04-26T23:54:00Z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RASupervisionActivity">
    <vt:lpwstr>205;#Information Management|d2df52ee-d4c1-44d8-8443-5d65cf3b864c</vt:lpwstr>
  </property>
  <property fmtid="{D5CDD505-2E9C-101B-9397-08002B2CF9AE}" pid="3" name="IsLocked">
    <vt:lpwstr>False</vt:lpwstr>
  </property>
  <property fmtid="{D5CDD505-2E9C-101B-9397-08002B2CF9AE}" pid="4" name="PM_Originator_Hash_SHA1">
    <vt:lpwstr>C3AD57350F36D8E1BD75F8F67CB06D435C9C43CA</vt:lpwstr>
  </property>
  <property fmtid="{D5CDD505-2E9C-101B-9397-08002B2CF9AE}" pid="5" name="ddd07bbf36a141a39f8147ea6432ba05">
    <vt:lpwstr/>
  </property>
  <property fmtid="{D5CDD505-2E9C-101B-9397-08002B2CF9AE}" pid="6" name="g0806d3060cc4942a58b2ecf989290ba">
    <vt:lpwstr/>
  </property>
  <property fmtid="{D5CDD505-2E9C-101B-9397-08002B2CF9AE}" pid="7" name="RecordPoint_RecordNumberSubmitted">
    <vt:lpwstr/>
  </property>
  <property fmtid="{D5CDD505-2E9C-101B-9397-08002B2CF9AE}" pid="8" name="c9dc5e9694ad43e9ab57934e17dde222">
    <vt:lpwstr/>
  </property>
  <property fmtid="{D5CDD505-2E9C-101B-9397-08002B2CF9AE}" pid="9"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10" name="APRALevelRole">
    <vt:lpwstr/>
  </property>
  <property fmtid="{D5CDD505-2E9C-101B-9397-08002B2CF9AE}" pid="11" name="i4e4d1b1941346c0a613fbc8252e9520">
    <vt:lpwstr>Information Management|d2df52ee-d4c1-44d8-8443-5d65cf3b864c</vt:lpwstr>
  </property>
  <property fmtid="{D5CDD505-2E9C-101B-9397-08002B2CF9AE}" pid="12" name="ContentTypeId">
    <vt:lpwstr>0x0101008CA7A4F8331B45C7B0D3158B4994D0CA0200577EC0F5A1FBFC498F9A8436B963F8A6</vt:lpwstr>
  </property>
  <property fmtid="{D5CDD505-2E9C-101B-9397-08002B2CF9AE}" pid="13" name="ebf877ba341346729918439749158528">
    <vt:lpwstr>Information Management|4ebe9949-eaea-4d98-b2ec-a2623261dd94</vt:lpwstr>
  </property>
  <property fmtid="{D5CDD505-2E9C-101B-9397-08002B2CF9AE}" pid="14" name="APRACourse">
    <vt:lpwstr/>
  </property>
  <property fmtid="{D5CDD505-2E9C-101B-9397-08002B2CF9AE}" pid="15" name="ad304c4a429d418787e029ef4ecab7ed">
    <vt:lpwstr/>
  </property>
  <property fmtid="{D5CDD505-2E9C-101B-9397-08002B2CF9AE}" pid="16" name="RecordPoint_WorkflowType">
    <vt:lpwstr>ActiveSubmitStub</vt:lpwstr>
  </property>
  <property fmtid="{D5CDD505-2E9C-101B-9397-08002B2CF9AE}" pid="17" name="APRAPeerGroup">
    <vt:lpwstr/>
  </property>
  <property fmtid="{D5CDD505-2E9C-101B-9397-08002B2CF9AE}" pid="18" name="PM_Hash_Salt_Prev">
    <vt:lpwstr>F5D6AC63443C83D978FEC9DF2BFAFC45</vt:lpwstr>
  </property>
  <property fmtid="{D5CDD505-2E9C-101B-9397-08002B2CF9AE}" pid="19" name="APRADocumentType">
    <vt:lpwstr>435;#Regulation impact statement|a6de7b22-aec6-40f3-a54e-dbfeb004713c</vt:lpwstr>
  </property>
  <property fmtid="{D5CDD505-2E9C-101B-9397-08002B2CF9AE}" pid="20" name="APRAPRSG">
    <vt:lpwstr/>
  </property>
  <property fmtid="{D5CDD505-2E9C-101B-9397-08002B2CF9AE}" pid="21" name="e9f9b252a1d44094afc69fee3338922d">
    <vt:lpwstr>Information Management|4ebe9949-eaea-4d98-b2ec-a2623261dd94</vt:lpwstr>
  </property>
  <property fmtid="{D5CDD505-2E9C-101B-9397-08002B2CF9AE}" pid="22" name="TemplateType">
    <vt:lpwstr>53;#Supervision|1638f264-1d52-43fa-a05a-bc1868789518;#63;# Common|581abdb2-5229-44e3-a466-25afa1c79db6;#65;# Administration|5b3593a6-d8cd-4d32-9c19-482d296db6d8</vt:lpwstr>
  </property>
  <property fmtid="{D5CDD505-2E9C-101B-9397-08002B2CF9AE}" pid="23" name="lf4d1daa69264fbd938fe6384736f7f1">
    <vt:lpwstr/>
  </property>
  <property fmtid="{D5CDD505-2E9C-101B-9397-08002B2CF9AE}" pid="24" name="RecordPoint_ActiveItemSiteId">
    <vt:lpwstr>{88691c01-5bbb-4215-adc0-66cb7065b0af}</vt:lpwstr>
  </property>
  <property fmtid="{D5CDD505-2E9C-101B-9397-08002B2CF9AE}" pid="25" name="PM_Qualifier">
    <vt:lpwstr/>
  </property>
  <property fmtid="{D5CDD505-2E9C-101B-9397-08002B2CF9AE}" pid="26" name="APRAReportingGroup">
    <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j541e6a9501142bb97c6330568fbf2b0">
    <vt:lpwstr/>
  </property>
  <property fmtid="{D5CDD505-2E9C-101B-9397-08002B2CF9AE}" pid="30" name="APRATemplateType">
    <vt:lpwstr>9;#Common|b6fb27ac-f757-4d62-bc99-778f68d8a9b3</vt:lpwstr>
  </property>
  <property fmtid="{D5CDD505-2E9C-101B-9397-08002B2CF9AE}" pid="31" name="a36af6dc7ce749ab93352c0683c22ca4">
    <vt:lpwstr/>
  </property>
  <property fmtid="{D5CDD505-2E9C-101B-9397-08002B2CF9AE}" pid="32" name="ic765c8e09034901a685bcb96e8e5b2b">
    <vt:lpwstr/>
  </property>
  <property fmtid="{D5CDD505-2E9C-101B-9397-08002B2CF9AE}" pid="33" name="RecordPoint_ActiveItemListId">
    <vt:lpwstr>{0e59e171-09d8-4401-800a-327154450cb3}</vt:lpwstr>
  </property>
  <property fmtid="{D5CDD505-2E9C-101B-9397-08002B2CF9AE}" pid="34" name="APRAYear">
    <vt:lpwstr>171;#2018|337d548e-be9a-4363-bbb3-ec2b7c3daa90</vt:lpwstr>
  </property>
  <property fmtid="{D5CDD505-2E9C-101B-9397-08002B2CF9AE}" pid="35" name="APRAIndustry">
    <vt:lpwstr/>
  </property>
  <property fmtid="{D5CDD505-2E9C-101B-9397-08002B2CF9AE}" pid="36" name="APRALegislation">
    <vt:lpwstr/>
  </property>
  <property fmtid="{D5CDD505-2E9C-101B-9397-08002B2CF9AE}" pid="37" name="be26b9c2e077432abbc3d3f8ac42f47e">
    <vt:lpwstr/>
  </property>
  <property fmtid="{D5CDD505-2E9C-101B-9397-08002B2CF9AE}" pid="38" name="RecordPoint_ActiveItemUniqueId">
    <vt:lpwstr>{98a4232e-3d8f-4e0f-a3b7-a6874bf13d7e}</vt:lpwstr>
  </property>
  <property fmtid="{D5CDD505-2E9C-101B-9397-08002B2CF9AE}" pid="39" name="RecordPoint_SubmissionCompleted">
    <vt:lpwstr/>
  </property>
  <property fmtid="{D5CDD505-2E9C-101B-9397-08002B2CF9AE}" pid="40" name="APRAIndustryThematicRisk">
    <vt:lpwstr/>
  </property>
  <property fmtid="{D5CDD505-2E9C-101B-9397-08002B2CF9AE}" pid="41" name="d08d6dad2c984a7fac728f38cd2b3368">
    <vt:lpwstr/>
  </property>
  <property fmtid="{D5CDD505-2E9C-101B-9397-08002B2CF9AE}" pid="42" name="PM_InsertionValue">
    <vt:lpwstr>UNCLASSIFIED</vt:lpwstr>
  </property>
  <property fmtid="{D5CDD505-2E9C-101B-9397-08002B2CF9AE}" pid="43" name="APRAExternalOrganisation">
    <vt:lpwstr/>
  </property>
  <property fmtid="{D5CDD505-2E9C-101B-9397-08002B2CF9AE}" pid="44" name="APRAPrecedentCategory">
    <vt:lpwstr/>
  </property>
  <property fmtid="{D5CDD505-2E9C-101B-9397-08002B2CF9AE}" pid="45" name="i203ac9837b842bb9bbae1464c65f93b">
    <vt:lpwstr/>
  </property>
  <property fmtid="{D5CDD505-2E9C-101B-9397-08002B2CF9AE}" pid="46" name="PM_SecurityClassification">
    <vt:lpwstr>UNCLASSIFIED</vt:lpwstr>
  </property>
  <property fmtid="{D5CDD505-2E9C-101B-9397-08002B2CF9AE}" pid="47" name="PM_Hash_Salt">
    <vt:lpwstr>4DC7B08F6E52BBB97071317C68B6D4B3</vt:lpwstr>
  </property>
  <property fmtid="{D5CDD505-2E9C-101B-9397-08002B2CF9AE}" pid="48" name="APRAIRTR">
    <vt:lpwstr/>
  </property>
  <property fmtid="{D5CDD505-2E9C-101B-9397-08002B2CF9AE}" pid="49" name="g79f489e6b284e6cb989fa35bf3ff610">
    <vt:lpwstr/>
  </property>
  <property fmtid="{D5CDD505-2E9C-101B-9397-08002B2CF9AE}" pid="50" name="APRAPeriod">
    <vt:lpwstr/>
  </property>
  <property fmtid="{D5CDD505-2E9C-101B-9397-08002B2CF9AE}" pid="51" name="d5d8f5da7f99487080ea022272b59a4b">
    <vt:lpwstr/>
  </property>
  <property fmtid="{D5CDD505-2E9C-101B-9397-08002B2CF9AE}" pid="52" name="m2136640b01a41e8b3f40586173f8fc5">
    <vt:lpwstr/>
  </property>
  <property fmtid="{D5CDD505-2E9C-101B-9397-08002B2CF9AE}" pid="53" name="c6391c2f59e44d999380d4c349e77dec">
    <vt:lpwstr/>
  </property>
  <property fmtid="{D5CDD505-2E9C-101B-9397-08002B2CF9AE}" pid="54" name="PM_Caveats_Count">
    <vt:lpwstr>0</vt:lpwstr>
  </property>
  <property fmtid="{D5CDD505-2E9C-101B-9397-08002B2CF9AE}" pid="55" name="APRAPrecedentSubCategory">
    <vt:lpwstr/>
  </property>
  <property fmtid="{D5CDD505-2E9C-101B-9397-08002B2CF9AE}" pid="56" name="RecordPoint_ActiveItemWebId">
    <vt:lpwstr>{75a71c27-8d66-4282-ae60-1bfc22a83be1}</vt:lpwstr>
  </property>
  <property fmtid="{D5CDD505-2E9C-101B-9397-08002B2CF9AE}" pid="57" name="ob5002137483482a8296d8b3ba6482b3">
    <vt:lpwstr/>
  </property>
  <property fmtid="{D5CDD505-2E9C-101B-9397-08002B2CF9AE}" pid="58" name="PM_DisplayValueSecClassificationWithQualifier">
    <vt:lpwstr>UNCLASSIFIED</vt:lpwstr>
  </property>
  <property fmtid="{D5CDD505-2E9C-101B-9397-08002B2CF9AE}" pid="59" name="PM_Hash_Version">
    <vt:lpwstr>2016.1</vt:lpwstr>
  </property>
  <property fmtid="{D5CDD505-2E9C-101B-9397-08002B2CF9AE}" pid="60" name="IT system type">
    <vt:lpwstr/>
  </property>
  <property fmtid="{D5CDD505-2E9C-101B-9397-08002B2CF9AE}" pid="61" name="PM_Hash_SHA1">
    <vt:lpwstr>B10840B0D87D08B5376ACF36CE78B033C52EED56</vt:lpwstr>
  </property>
  <property fmtid="{D5CDD505-2E9C-101B-9397-08002B2CF9AE}" pid="62" name="_dlc_DocIdItemGuid">
    <vt:lpwstr>98a4232e-3d8f-4e0f-a3b7-a6874bf13d7e</vt:lpwstr>
  </property>
  <property fmtid="{D5CDD505-2E9C-101B-9397-08002B2CF9AE}" pid="63" name="APRACategory">
    <vt:lpwstr/>
  </property>
  <property fmtid="{D5CDD505-2E9C-101B-9397-08002B2CF9AE}" pid="64" name="APRAStatus">
    <vt:lpwstr>19;#Final|84d6b2d0-8498-4d62-bf46-bab38babbe9e</vt:lpwstr>
  </property>
  <property fmtid="{D5CDD505-2E9C-101B-9397-08002B2CF9AE}" pid="65" name="nd319d6a8658476c9a69eb3486399f3a">
    <vt:lpwstr/>
  </property>
  <property fmtid="{D5CDD505-2E9C-101B-9397-08002B2CF9AE}" pid="66" name="PM_SecurityClassification_Prev">
    <vt:lpwstr>DLM-ONLY</vt:lpwstr>
  </property>
  <property fmtid="{D5CDD505-2E9C-101B-9397-08002B2CF9AE}" pid="67" name="PM_ProtectiveMarkingImage_Header">
    <vt:lpwstr>C:\Program Files (x86)\Common Files\janusNET Shared\janusSEAL\Images\DocumentSlashBlue.png</vt:lpwstr>
  </property>
  <property fmtid="{D5CDD505-2E9C-101B-9397-08002B2CF9AE}" pid="68" name="PM_Qualifier_Prev">
    <vt:lpwstr>For-Official-Use-Only</vt:lpwstr>
  </property>
  <property fmtid="{D5CDD505-2E9C-101B-9397-08002B2CF9AE}" pid="69" name="PM_ProtectiveMarkingValue_Header">
    <vt:lpwstr>UNCLASSIFIED</vt:lpwstr>
  </property>
  <property fmtid="{D5CDD505-2E9C-101B-9397-08002B2CF9AE}" pid="70" name="PM_ProtectiveMarkingValue_Footer">
    <vt:lpwstr>UNCLASSIFIED</vt:lpwstr>
  </property>
  <property fmtid="{D5CDD505-2E9C-101B-9397-08002B2CF9AE}" pid="71" name="PM_ProtectiveMarkingImage_Footer">
    <vt:lpwstr>C:\Program Files (x86)\Common Files\janusNET Shared\janusSEAL\Images\DocumentSlashBlue.png</vt:lpwstr>
  </property>
  <property fmtid="{D5CDD505-2E9C-101B-9397-08002B2CF9AE}" pid="72" name="PM_Namespace">
    <vt:lpwstr>gov.au</vt:lpwstr>
  </property>
  <property fmtid="{D5CDD505-2E9C-101B-9397-08002B2CF9AE}" pid="73" name="PM_Version">
    <vt:lpwstr>2012.3</vt:lpwstr>
  </property>
  <property fmtid="{D5CDD505-2E9C-101B-9397-08002B2CF9AE}" pid="74" name="PM_Originating_FileId">
    <vt:lpwstr>49F6BA6C7FD949479CA249F120180ACF</vt:lpwstr>
  </property>
  <property fmtid="{D5CDD505-2E9C-101B-9397-08002B2CF9AE}" pid="75" name="PM_OriginationTimeStamp">
    <vt:lpwstr>2018-04-26T23:54:35Z</vt:lpwstr>
  </property>
  <property fmtid="{D5CDD505-2E9C-101B-9397-08002B2CF9AE}" pid="76" name="RecordPoint_SubmissionDate">
    <vt:lpwstr/>
  </property>
  <property fmtid="{D5CDD505-2E9C-101B-9397-08002B2CF9AE}" pid="77" name="RecordPoint_ActiveItemMoved">
    <vt:lpwstr/>
  </property>
  <property fmtid="{D5CDD505-2E9C-101B-9397-08002B2CF9AE}" pid="78" name="RecordPoint_RecordFormat">
    <vt:lpwstr/>
  </property>
</Properties>
</file>