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D4E" w:rsidRPr="00795525" w:rsidRDefault="003E4D4E" w:rsidP="0020300C">
      <w:pPr>
        <w:rPr>
          <w:sz w:val="28"/>
        </w:rPr>
      </w:pPr>
    </w:p>
    <w:p w:rsidR="0048364F" w:rsidRPr="00795525" w:rsidRDefault="00193461" w:rsidP="0020300C">
      <w:pPr>
        <w:rPr>
          <w:sz w:val="28"/>
        </w:rPr>
      </w:pPr>
      <w:r w:rsidRPr="00795525">
        <w:rPr>
          <w:noProof/>
          <w:lang w:eastAsia="en-AU"/>
        </w:rPr>
        <w:drawing>
          <wp:inline distT="0" distB="0" distL="0" distR="0" wp14:anchorId="52A489AD" wp14:editId="0D429CDA">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48364F" w:rsidRPr="00795525" w:rsidRDefault="0048364F" w:rsidP="0048364F">
      <w:pPr>
        <w:rPr>
          <w:sz w:val="19"/>
        </w:rPr>
      </w:pPr>
    </w:p>
    <w:p w:rsidR="0048364F" w:rsidRPr="00795525" w:rsidRDefault="00A83ECF" w:rsidP="0048364F">
      <w:pPr>
        <w:pStyle w:val="ShortT"/>
      </w:pPr>
      <w:r w:rsidRPr="00795525">
        <w:t>Health Insurance Legislation Amendment (2018 Measures No.</w:t>
      </w:r>
      <w:r w:rsidR="00795525" w:rsidRPr="00795525">
        <w:t> </w:t>
      </w:r>
      <w:r w:rsidRPr="00795525">
        <w:t>1) Regulations</w:t>
      </w:r>
      <w:r w:rsidR="00795525" w:rsidRPr="00795525">
        <w:t> </w:t>
      </w:r>
      <w:r w:rsidRPr="00795525">
        <w:t>2018</w:t>
      </w:r>
    </w:p>
    <w:p w:rsidR="00C56995" w:rsidRPr="00795525" w:rsidRDefault="00C56995" w:rsidP="001C7D3D">
      <w:pPr>
        <w:pStyle w:val="SignCoverPageStart"/>
        <w:spacing w:before="240"/>
        <w:rPr>
          <w:szCs w:val="22"/>
        </w:rPr>
      </w:pPr>
      <w:r w:rsidRPr="00795525">
        <w:rPr>
          <w:szCs w:val="22"/>
        </w:rPr>
        <w:t>I, General the Honourable Sir Peter Cosgrove AK MC (Ret</w:t>
      </w:r>
      <w:r w:rsidR="00072E93" w:rsidRPr="00795525">
        <w:rPr>
          <w:szCs w:val="22"/>
        </w:rPr>
        <w:t>’</w:t>
      </w:r>
      <w:r w:rsidRPr="00795525">
        <w:rPr>
          <w:szCs w:val="22"/>
        </w:rPr>
        <w:t xml:space="preserve">d), </w:t>
      </w:r>
      <w:r w:rsidR="00795525" w:rsidRPr="00795525">
        <w:rPr>
          <w:szCs w:val="22"/>
        </w:rPr>
        <w:t>Governor</w:t>
      </w:r>
      <w:r w:rsidR="00795525">
        <w:rPr>
          <w:szCs w:val="22"/>
        </w:rPr>
        <w:noBreakHyphen/>
      </w:r>
      <w:r w:rsidR="00795525" w:rsidRPr="00795525">
        <w:rPr>
          <w:szCs w:val="22"/>
        </w:rPr>
        <w:t>General</w:t>
      </w:r>
      <w:r w:rsidRPr="00795525">
        <w:rPr>
          <w:szCs w:val="22"/>
        </w:rPr>
        <w:t xml:space="preserve"> of the Commonwealth of Australia, acting with the advice of the Federal Executive Council, make the following regulations.</w:t>
      </w:r>
    </w:p>
    <w:p w:rsidR="00C56995" w:rsidRPr="00795525" w:rsidRDefault="00C56995" w:rsidP="001C7D3D">
      <w:pPr>
        <w:keepNext/>
        <w:spacing w:before="720" w:line="240" w:lineRule="atLeast"/>
        <w:ind w:right="397"/>
        <w:jc w:val="both"/>
        <w:rPr>
          <w:szCs w:val="22"/>
        </w:rPr>
      </w:pPr>
      <w:r w:rsidRPr="00795525">
        <w:rPr>
          <w:szCs w:val="22"/>
        </w:rPr>
        <w:t xml:space="preserve">Dated </w:t>
      </w:r>
      <w:r w:rsidRPr="00795525">
        <w:rPr>
          <w:szCs w:val="22"/>
        </w:rPr>
        <w:fldChar w:fldCharType="begin"/>
      </w:r>
      <w:r w:rsidRPr="00795525">
        <w:rPr>
          <w:szCs w:val="22"/>
        </w:rPr>
        <w:instrText xml:space="preserve"> DOCPROPERTY  DateMade </w:instrText>
      </w:r>
      <w:r w:rsidRPr="00795525">
        <w:rPr>
          <w:szCs w:val="22"/>
        </w:rPr>
        <w:fldChar w:fldCharType="separate"/>
      </w:r>
      <w:r w:rsidR="003D2806">
        <w:rPr>
          <w:szCs w:val="22"/>
        </w:rPr>
        <w:t>19 April 2018</w:t>
      </w:r>
      <w:r w:rsidRPr="00795525">
        <w:rPr>
          <w:szCs w:val="22"/>
        </w:rPr>
        <w:fldChar w:fldCharType="end"/>
      </w:r>
    </w:p>
    <w:p w:rsidR="00C56995" w:rsidRPr="00795525" w:rsidRDefault="00C56995" w:rsidP="001C7D3D">
      <w:pPr>
        <w:keepNext/>
        <w:tabs>
          <w:tab w:val="left" w:pos="3402"/>
        </w:tabs>
        <w:spacing w:before="1080" w:line="300" w:lineRule="atLeast"/>
        <w:ind w:left="397" w:right="397"/>
        <w:jc w:val="right"/>
        <w:rPr>
          <w:szCs w:val="22"/>
        </w:rPr>
      </w:pPr>
      <w:r w:rsidRPr="00795525">
        <w:rPr>
          <w:szCs w:val="22"/>
        </w:rPr>
        <w:t>Peter Cosgrove</w:t>
      </w:r>
    </w:p>
    <w:p w:rsidR="00C56995" w:rsidRPr="00795525" w:rsidRDefault="00795525" w:rsidP="001C7D3D">
      <w:pPr>
        <w:keepNext/>
        <w:tabs>
          <w:tab w:val="left" w:pos="3402"/>
        </w:tabs>
        <w:spacing w:line="300" w:lineRule="atLeast"/>
        <w:ind w:left="397" w:right="397"/>
        <w:jc w:val="right"/>
        <w:rPr>
          <w:szCs w:val="22"/>
        </w:rPr>
      </w:pPr>
      <w:r w:rsidRPr="00795525">
        <w:rPr>
          <w:szCs w:val="22"/>
        </w:rPr>
        <w:t>Governor</w:t>
      </w:r>
      <w:r>
        <w:rPr>
          <w:szCs w:val="22"/>
        </w:rPr>
        <w:noBreakHyphen/>
      </w:r>
      <w:r w:rsidRPr="00795525">
        <w:rPr>
          <w:szCs w:val="22"/>
        </w:rPr>
        <w:t>General</w:t>
      </w:r>
    </w:p>
    <w:p w:rsidR="00C56995" w:rsidRPr="00795525" w:rsidRDefault="00C56995" w:rsidP="001C7D3D">
      <w:pPr>
        <w:keepNext/>
        <w:tabs>
          <w:tab w:val="left" w:pos="3402"/>
        </w:tabs>
        <w:spacing w:before="840" w:after="1080" w:line="300" w:lineRule="atLeast"/>
        <w:ind w:right="397"/>
        <w:rPr>
          <w:szCs w:val="22"/>
        </w:rPr>
      </w:pPr>
      <w:r w:rsidRPr="00795525">
        <w:rPr>
          <w:szCs w:val="22"/>
        </w:rPr>
        <w:t>By His Excellency</w:t>
      </w:r>
      <w:r w:rsidR="00072E93" w:rsidRPr="00795525">
        <w:rPr>
          <w:szCs w:val="22"/>
        </w:rPr>
        <w:t>’</w:t>
      </w:r>
      <w:r w:rsidRPr="00795525">
        <w:rPr>
          <w:szCs w:val="22"/>
        </w:rPr>
        <w:t>s Command</w:t>
      </w:r>
    </w:p>
    <w:p w:rsidR="00C56995" w:rsidRPr="00795525" w:rsidRDefault="00C56995" w:rsidP="001C7D3D">
      <w:pPr>
        <w:keepNext/>
        <w:tabs>
          <w:tab w:val="left" w:pos="3402"/>
        </w:tabs>
        <w:spacing w:before="480" w:line="300" w:lineRule="atLeast"/>
        <w:ind w:right="397"/>
        <w:rPr>
          <w:szCs w:val="22"/>
        </w:rPr>
      </w:pPr>
      <w:r w:rsidRPr="00795525">
        <w:rPr>
          <w:szCs w:val="22"/>
        </w:rPr>
        <w:t>Greg Hunt</w:t>
      </w:r>
    </w:p>
    <w:p w:rsidR="00C56995" w:rsidRPr="00795525" w:rsidRDefault="00C56995" w:rsidP="001C7D3D">
      <w:pPr>
        <w:pStyle w:val="SignCoverPageEnd"/>
        <w:rPr>
          <w:szCs w:val="22"/>
        </w:rPr>
      </w:pPr>
      <w:r w:rsidRPr="00795525">
        <w:rPr>
          <w:szCs w:val="22"/>
        </w:rPr>
        <w:t>Minister for Health</w:t>
      </w:r>
    </w:p>
    <w:p w:rsidR="00C56995" w:rsidRPr="00795525" w:rsidRDefault="00C56995" w:rsidP="001C7D3D"/>
    <w:p w:rsidR="00C56995" w:rsidRPr="00795525" w:rsidRDefault="00C56995" w:rsidP="001C7D3D"/>
    <w:p w:rsidR="00C56995" w:rsidRPr="00795525" w:rsidRDefault="00C56995" w:rsidP="001C7D3D"/>
    <w:p w:rsidR="00C56995" w:rsidRPr="00795525" w:rsidRDefault="00C56995" w:rsidP="00C56995"/>
    <w:p w:rsidR="0048364F" w:rsidRPr="00795525" w:rsidRDefault="0048364F" w:rsidP="0048364F">
      <w:pPr>
        <w:pStyle w:val="Header"/>
        <w:tabs>
          <w:tab w:val="clear" w:pos="4150"/>
          <w:tab w:val="clear" w:pos="8307"/>
        </w:tabs>
      </w:pPr>
      <w:r w:rsidRPr="00795525">
        <w:rPr>
          <w:rStyle w:val="CharAmSchNo"/>
        </w:rPr>
        <w:t xml:space="preserve"> </w:t>
      </w:r>
      <w:r w:rsidRPr="00795525">
        <w:rPr>
          <w:rStyle w:val="CharAmSchText"/>
        </w:rPr>
        <w:t xml:space="preserve"> </w:t>
      </w:r>
    </w:p>
    <w:p w:rsidR="0048364F" w:rsidRPr="00795525" w:rsidRDefault="0048364F" w:rsidP="0048364F">
      <w:pPr>
        <w:pStyle w:val="Header"/>
        <w:tabs>
          <w:tab w:val="clear" w:pos="4150"/>
          <w:tab w:val="clear" w:pos="8307"/>
        </w:tabs>
      </w:pPr>
      <w:r w:rsidRPr="00795525">
        <w:rPr>
          <w:rStyle w:val="CharAmPartNo"/>
        </w:rPr>
        <w:t xml:space="preserve"> </w:t>
      </w:r>
      <w:r w:rsidRPr="00795525">
        <w:rPr>
          <w:rStyle w:val="CharAmPartText"/>
        </w:rPr>
        <w:t xml:space="preserve"> </w:t>
      </w:r>
    </w:p>
    <w:p w:rsidR="0048364F" w:rsidRPr="00795525" w:rsidRDefault="0048364F" w:rsidP="0048364F">
      <w:pPr>
        <w:sectPr w:rsidR="0048364F" w:rsidRPr="00795525" w:rsidSect="002D6CB2">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rsidR="00220A0C" w:rsidRPr="00795525" w:rsidRDefault="0048364F" w:rsidP="001C7D3D">
      <w:pPr>
        <w:rPr>
          <w:sz w:val="36"/>
        </w:rPr>
      </w:pPr>
      <w:r w:rsidRPr="00795525">
        <w:rPr>
          <w:sz w:val="36"/>
        </w:rPr>
        <w:lastRenderedPageBreak/>
        <w:t>Contents</w:t>
      </w:r>
    </w:p>
    <w:p w:rsidR="0071338C" w:rsidRPr="00795525" w:rsidRDefault="0071338C">
      <w:pPr>
        <w:pStyle w:val="TOC5"/>
        <w:rPr>
          <w:rFonts w:asciiTheme="minorHAnsi" w:eastAsiaTheme="minorEastAsia" w:hAnsiTheme="minorHAnsi" w:cstheme="minorBidi"/>
          <w:noProof/>
          <w:kern w:val="0"/>
          <w:sz w:val="22"/>
          <w:szCs w:val="22"/>
        </w:rPr>
      </w:pPr>
      <w:r w:rsidRPr="00795525">
        <w:fldChar w:fldCharType="begin"/>
      </w:r>
      <w:r w:rsidRPr="00795525">
        <w:instrText xml:space="preserve"> TOC \o "1-9" </w:instrText>
      </w:r>
      <w:r w:rsidRPr="00795525">
        <w:fldChar w:fldCharType="separate"/>
      </w:r>
      <w:r w:rsidRPr="00795525">
        <w:rPr>
          <w:noProof/>
        </w:rPr>
        <w:t>1</w:t>
      </w:r>
      <w:r w:rsidRPr="00795525">
        <w:rPr>
          <w:noProof/>
        </w:rPr>
        <w:tab/>
        <w:t>Name</w:t>
      </w:r>
      <w:r w:rsidRPr="00795525">
        <w:rPr>
          <w:noProof/>
        </w:rPr>
        <w:tab/>
      </w:r>
      <w:r w:rsidRPr="00795525">
        <w:rPr>
          <w:noProof/>
        </w:rPr>
        <w:fldChar w:fldCharType="begin"/>
      </w:r>
      <w:r w:rsidRPr="00795525">
        <w:rPr>
          <w:noProof/>
        </w:rPr>
        <w:instrText xml:space="preserve"> PAGEREF _Toc509399313 \h </w:instrText>
      </w:r>
      <w:r w:rsidRPr="00795525">
        <w:rPr>
          <w:noProof/>
        </w:rPr>
      </w:r>
      <w:r w:rsidRPr="00795525">
        <w:rPr>
          <w:noProof/>
        </w:rPr>
        <w:fldChar w:fldCharType="separate"/>
      </w:r>
      <w:r w:rsidR="003D2806">
        <w:rPr>
          <w:noProof/>
        </w:rPr>
        <w:t>1</w:t>
      </w:r>
      <w:r w:rsidRPr="00795525">
        <w:rPr>
          <w:noProof/>
        </w:rPr>
        <w:fldChar w:fldCharType="end"/>
      </w:r>
    </w:p>
    <w:p w:rsidR="0071338C" w:rsidRPr="00795525" w:rsidRDefault="0071338C">
      <w:pPr>
        <w:pStyle w:val="TOC5"/>
        <w:rPr>
          <w:rFonts w:asciiTheme="minorHAnsi" w:eastAsiaTheme="minorEastAsia" w:hAnsiTheme="minorHAnsi" w:cstheme="minorBidi"/>
          <w:noProof/>
          <w:kern w:val="0"/>
          <w:sz w:val="22"/>
          <w:szCs w:val="22"/>
        </w:rPr>
      </w:pPr>
      <w:r w:rsidRPr="00795525">
        <w:rPr>
          <w:noProof/>
        </w:rPr>
        <w:t>2</w:t>
      </w:r>
      <w:r w:rsidRPr="00795525">
        <w:rPr>
          <w:noProof/>
        </w:rPr>
        <w:tab/>
        <w:t>Commencement</w:t>
      </w:r>
      <w:r w:rsidRPr="00795525">
        <w:rPr>
          <w:noProof/>
        </w:rPr>
        <w:tab/>
      </w:r>
      <w:r w:rsidRPr="00795525">
        <w:rPr>
          <w:noProof/>
        </w:rPr>
        <w:fldChar w:fldCharType="begin"/>
      </w:r>
      <w:r w:rsidRPr="00795525">
        <w:rPr>
          <w:noProof/>
        </w:rPr>
        <w:instrText xml:space="preserve"> PAGEREF _Toc509399314 \h </w:instrText>
      </w:r>
      <w:r w:rsidRPr="00795525">
        <w:rPr>
          <w:noProof/>
        </w:rPr>
      </w:r>
      <w:r w:rsidRPr="00795525">
        <w:rPr>
          <w:noProof/>
        </w:rPr>
        <w:fldChar w:fldCharType="separate"/>
      </w:r>
      <w:r w:rsidR="003D2806">
        <w:rPr>
          <w:noProof/>
        </w:rPr>
        <w:t>1</w:t>
      </w:r>
      <w:r w:rsidRPr="00795525">
        <w:rPr>
          <w:noProof/>
        </w:rPr>
        <w:fldChar w:fldCharType="end"/>
      </w:r>
    </w:p>
    <w:p w:rsidR="0071338C" w:rsidRPr="00795525" w:rsidRDefault="0071338C">
      <w:pPr>
        <w:pStyle w:val="TOC5"/>
        <w:rPr>
          <w:rFonts w:asciiTheme="minorHAnsi" w:eastAsiaTheme="minorEastAsia" w:hAnsiTheme="minorHAnsi" w:cstheme="minorBidi"/>
          <w:noProof/>
          <w:kern w:val="0"/>
          <w:sz w:val="22"/>
          <w:szCs w:val="22"/>
        </w:rPr>
      </w:pPr>
      <w:r w:rsidRPr="00795525">
        <w:rPr>
          <w:noProof/>
        </w:rPr>
        <w:t>3</w:t>
      </w:r>
      <w:r w:rsidRPr="00795525">
        <w:rPr>
          <w:noProof/>
        </w:rPr>
        <w:tab/>
        <w:t>Authority</w:t>
      </w:r>
      <w:r w:rsidRPr="00795525">
        <w:rPr>
          <w:noProof/>
        </w:rPr>
        <w:tab/>
      </w:r>
      <w:r w:rsidRPr="00795525">
        <w:rPr>
          <w:noProof/>
        </w:rPr>
        <w:fldChar w:fldCharType="begin"/>
      </w:r>
      <w:r w:rsidRPr="00795525">
        <w:rPr>
          <w:noProof/>
        </w:rPr>
        <w:instrText xml:space="preserve"> PAGEREF _Toc509399315 \h </w:instrText>
      </w:r>
      <w:r w:rsidRPr="00795525">
        <w:rPr>
          <w:noProof/>
        </w:rPr>
      </w:r>
      <w:r w:rsidRPr="00795525">
        <w:rPr>
          <w:noProof/>
        </w:rPr>
        <w:fldChar w:fldCharType="separate"/>
      </w:r>
      <w:r w:rsidR="003D2806">
        <w:rPr>
          <w:noProof/>
        </w:rPr>
        <w:t>1</w:t>
      </w:r>
      <w:r w:rsidRPr="00795525">
        <w:rPr>
          <w:noProof/>
        </w:rPr>
        <w:fldChar w:fldCharType="end"/>
      </w:r>
    </w:p>
    <w:p w:rsidR="0071338C" w:rsidRPr="00795525" w:rsidRDefault="0071338C">
      <w:pPr>
        <w:pStyle w:val="TOC5"/>
        <w:rPr>
          <w:rFonts w:asciiTheme="minorHAnsi" w:eastAsiaTheme="minorEastAsia" w:hAnsiTheme="minorHAnsi" w:cstheme="minorBidi"/>
          <w:noProof/>
          <w:kern w:val="0"/>
          <w:sz w:val="22"/>
          <w:szCs w:val="22"/>
        </w:rPr>
      </w:pPr>
      <w:r w:rsidRPr="00795525">
        <w:rPr>
          <w:noProof/>
        </w:rPr>
        <w:t>4</w:t>
      </w:r>
      <w:r w:rsidRPr="00795525">
        <w:rPr>
          <w:noProof/>
        </w:rPr>
        <w:tab/>
        <w:t>Schedules</w:t>
      </w:r>
      <w:r w:rsidRPr="00795525">
        <w:rPr>
          <w:noProof/>
        </w:rPr>
        <w:tab/>
      </w:r>
      <w:r w:rsidRPr="00795525">
        <w:rPr>
          <w:noProof/>
        </w:rPr>
        <w:fldChar w:fldCharType="begin"/>
      </w:r>
      <w:r w:rsidRPr="00795525">
        <w:rPr>
          <w:noProof/>
        </w:rPr>
        <w:instrText xml:space="preserve"> PAGEREF _Toc509399316 \h </w:instrText>
      </w:r>
      <w:r w:rsidRPr="00795525">
        <w:rPr>
          <w:noProof/>
        </w:rPr>
      </w:r>
      <w:r w:rsidRPr="00795525">
        <w:rPr>
          <w:noProof/>
        </w:rPr>
        <w:fldChar w:fldCharType="separate"/>
      </w:r>
      <w:r w:rsidR="003D2806">
        <w:rPr>
          <w:noProof/>
        </w:rPr>
        <w:t>1</w:t>
      </w:r>
      <w:r w:rsidRPr="00795525">
        <w:rPr>
          <w:noProof/>
        </w:rPr>
        <w:fldChar w:fldCharType="end"/>
      </w:r>
    </w:p>
    <w:p w:rsidR="0071338C" w:rsidRPr="00795525" w:rsidRDefault="0071338C">
      <w:pPr>
        <w:pStyle w:val="TOC6"/>
        <w:rPr>
          <w:rFonts w:asciiTheme="minorHAnsi" w:eastAsiaTheme="minorEastAsia" w:hAnsiTheme="minorHAnsi" w:cstheme="minorBidi"/>
          <w:b w:val="0"/>
          <w:noProof/>
          <w:kern w:val="0"/>
          <w:sz w:val="22"/>
          <w:szCs w:val="22"/>
        </w:rPr>
      </w:pPr>
      <w:r w:rsidRPr="00795525">
        <w:rPr>
          <w:noProof/>
        </w:rPr>
        <w:t>Schedule</w:t>
      </w:r>
      <w:r w:rsidR="00795525" w:rsidRPr="00795525">
        <w:rPr>
          <w:noProof/>
        </w:rPr>
        <w:t> </w:t>
      </w:r>
      <w:r w:rsidRPr="00795525">
        <w:rPr>
          <w:noProof/>
        </w:rPr>
        <w:t>1—Amendments</w:t>
      </w:r>
      <w:r w:rsidRPr="00795525">
        <w:rPr>
          <w:b w:val="0"/>
          <w:noProof/>
          <w:sz w:val="18"/>
        </w:rPr>
        <w:tab/>
      </w:r>
      <w:r w:rsidRPr="00795525">
        <w:rPr>
          <w:b w:val="0"/>
          <w:noProof/>
          <w:sz w:val="18"/>
        </w:rPr>
        <w:fldChar w:fldCharType="begin"/>
      </w:r>
      <w:r w:rsidRPr="00795525">
        <w:rPr>
          <w:b w:val="0"/>
          <w:noProof/>
          <w:sz w:val="18"/>
        </w:rPr>
        <w:instrText xml:space="preserve"> PAGEREF _Toc509399317 \h </w:instrText>
      </w:r>
      <w:r w:rsidRPr="00795525">
        <w:rPr>
          <w:b w:val="0"/>
          <w:noProof/>
          <w:sz w:val="18"/>
        </w:rPr>
      </w:r>
      <w:r w:rsidRPr="00795525">
        <w:rPr>
          <w:b w:val="0"/>
          <w:noProof/>
          <w:sz w:val="18"/>
        </w:rPr>
        <w:fldChar w:fldCharType="separate"/>
      </w:r>
      <w:r w:rsidR="003D2806">
        <w:rPr>
          <w:b w:val="0"/>
          <w:noProof/>
          <w:sz w:val="18"/>
        </w:rPr>
        <w:t>2</w:t>
      </w:r>
      <w:r w:rsidRPr="00795525">
        <w:rPr>
          <w:b w:val="0"/>
          <w:noProof/>
          <w:sz w:val="18"/>
        </w:rPr>
        <w:fldChar w:fldCharType="end"/>
      </w:r>
    </w:p>
    <w:p w:rsidR="0071338C" w:rsidRPr="00795525" w:rsidRDefault="0071338C">
      <w:pPr>
        <w:pStyle w:val="TOC9"/>
        <w:rPr>
          <w:rFonts w:asciiTheme="minorHAnsi" w:eastAsiaTheme="minorEastAsia" w:hAnsiTheme="minorHAnsi" w:cstheme="minorBidi"/>
          <w:i w:val="0"/>
          <w:noProof/>
          <w:kern w:val="0"/>
          <w:sz w:val="22"/>
          <w:szCs w:val="22"/>
        </w:rPr>
      </w:pPr>
      <w:r w:rsidRPr="00795525">
        <w:rPr>
          <w:noProof/>
        </w:rPr>
        <w:t>Health Insurance (Diagnostic Imaging Services Table) Regulations</w:t>
      </w:r>
      <w:r w:rsidR="00795525" w:rsidRPr="00795525">
        <w:rPr>
          <w:noProof/>
        </w:rPr>
        <w:t> </w:t>
      </w:r>
      <w:r w:rsidRPr="00795525">
        <w:rPr>
          <w:noProof/>
        </w:rPr>
        <w:t>2017</w:t>
      </w:r>
      <w:r w:rsidRPr="00795525">
        <w:rPr>
          <w:i w:val="0"/>
          <w:noProof/>
          <w:sz w:val="18"/>
        </w:rPr>
        <w:tab/>
      </w:r>
      <w:r w:rsidRPr="00795525">
        <w:rPr>
          <w:i w:val="0"/>
          <w:noProof/>
          <w:sz w:val="18"/>
        </w:rPr>
        <w:fldChar w:fldCharType="begin"/>
      </w:r>
      <w:r w:rsidRPr="00795525">
        <w:rPr>
          <w:i w:val="0"/>
          <w:noProof/>
          <w:sz w:val="18"/>
        </w:rPr>
        <w:instrText xml:space="preserve"> PAGEREF _Toc509399318 \h </w:instrText>
      </w:r>
      <w:r w:rsidRPr="00795525">
        <w:rPr>
          <w:i w:val="0"/>
          <w:noProof/>
          <w:sz w:val="18"/>
        </w:rPr>
      </w:r>
      <w:r w:rsidRPr="00795525">
        <w:rPr>
          <w:i w:val="0"/>
          <w:noProof/>
          <w:sz w:val="18"/>
        </w:rPr>
        <w:fldChar w:fldCharType="separate"/>
      </w:r>
      <w:r w:rsidR="003D2806">
        <w:rPr>
          <w:i w:val="0"/>
          <w:noProof/>
          <w:sz w:val="18"/>
        </w:rPr>
        <w:t>2</w:t>
      </w:r>
      <w:r w:rsidRPr="00795525">
        <w:rPr>
          <w:i w:val="0"/>
          <w:noProof/>
          <w:sz w:val="18"/>
        </w:rPr>
        <w:fldChar w:fldCharType="end"/>
      </w:r>
    </w:p>
    <w:p w:rsidR="0071338C" w:rsidRPr="00795525" w:rsidRDefault="0071338C">
      <w:pPr>
        <w:pStyle w:val="TOC9"/>
        <w:rPr>
          <w:rFonts w:asciiTheme="minorHAnsi" w:eastAsiaTheme="minorEastAsia" w:hAnsiTheme="minorHAnsi" w:cstheme="minorBidi"/>
          <w:i w:val="0"/>
          <w:noProof/>
          <w:kern w:val="0"/>
          <w:sz w:val="22"/>
          <w:szCs w:val="22"/>
        </w:rPr>
      </w:pPr>
      <w:r w:rsidRPr="00795525">
        <w:rPr>
          <w:noProof/>
        </w:rPr>
        <w:t>Health Insurance (General Medical Services Table) Regulations</w:t>
      </w:r>
      <w:r w:rsidR="00795525" w:rsidRPr="00795525">
        <w:rPr>
          <w:noProof/>
        </w:rPr>
        <w:t> </w:t>
      </w:r>
      <w:r w:rsidRPr="00795525">
        <w:rPr>
          <w:noProof/>
        </w:rPr>
        <w:t>2017</w:t>
      </w:r>
      <w:r w:rsidRPr="00795525">
        <w:rPr>
          <w:i w:val="0"/>
          <w:noProof/>
          <w:sz w:val="18"/>
        </w:rPr>
        <w:tab/>
      </w:r>
      <w:r w:rsidRPr="00795525">
        <w:rPr>
          <w:i w:val="0"/>
          <w:noProof/>
          <w:sz w:val="18"/>
        </w:rPr>
        <w:fldChar w:fldCharType="begin"/>
      </w:r>
      <w:r w:rsidRPr="00795525">
        <w:rPr>
          <w:i w:val="0"/>
          <w:noProof/>
          <w:sz w:val="18"/>
        </w:rPr>
        <w:instrText xml:space="preserve"> PAGEREF _Toc509399321 \h </w:instrText>
      </w:r>
      <w:r w:rsidRPr="00795525">
        <w:rPr>
          <w:i w:val="0"/>
          <w:noProof/>
          <w:sz w:val="18"/>
        </w:rPr>
      </w:r>
      <w:r w:rsidRPr="00795525">
        <w:rPr>
          <w:i w:val="0"/>
          <w:noProof/>
          <w:sz w:val="18"/>
        </w:rPr>
        <w:fldChar w:fldCharType="separate"/>
      </w:r>
      <w:r w:rsidR="003D2806">
        <w:rPr>
          <w:i w:val="0"/>
          <w:noProof/>
          <w:sz w:val="18"/>
        </w:rPr>
        <w:t>6</w:t>
      </w:r>
      <w:r w:rsidRPr="00795525">
        <w:rPr>
          <w:i w:val="0"/>
          <w:noProof/>
          <w:sz w:val="18"/>
        </w:rPr>
        <w:fldChar w:fldCharType="end"/>
      </w:r>
    </w:p>
    <w:p w:rsidR="0071338C" w:rsidRPr="00795525" w:rsidRDefault="0071338C">
      <w:pPr>
        <w:pStyle w:val="TOC9"/>
        <w:rPr>
          <w:rFonts w:asciiTheme="minorHAnsi" w:eastAsiaTheme="minorEastAsia" w:hAnsiTheme="minorHAnsi" w:cstheme="minorBidi"/>
          <w:i w:val="0"/>
          <w:noProof/>
          <w:kern w:val="0"/>
          <w:sz w:val="22"/>
          <w:szCs w:val="22"/>
        </w:rPr>
      </w:pPr>
      <w:r w:rsidRPr="00795525">
        <w:rPr>
          <w:noProof/>
        </w:rPr>
        <w:t>Health Insurance Regulations</w:t>
      </w:r>
      <w:r w:rsidR="00795525" w:rsidRPr="00795525">
        <w:rPr>
          <w:noProof/>
        </w:rPr>
        <w:t> </w:t>
      </w:r>
      <w:r w:rsidRPr="00795525">
        <w:rPr>
          <w:noProof/>
        </w:rPr>
        <w:t>1975</w:t>
      </w:r>
      <w:r w:rsidRPr="00795525">
        <w:rPr>
          <w:i w:val="0"/>
          <w:noProof/>
          <w:sz w:val="18"/>
        </w:rPr>
        <w:tab/>
      </w:r>
      <w:r w:rsidRPr="00795525">
        <w:rPr>
          <w:i w:val="0"/>
          <w:noProof/>
          <w:sz w:val="18"/>
        </w:rPr>
        <w:fldChar w:fldCharType="begin"/>
      </w:r>
      <w:r w:rsidRPr="00795525">
        <w:rPr>
          <w:i w:val="0"/>
          <w:noProof/>
          <w:sz w:val="18"/>
        </w:rPr>
        <w:instrText xml:space="preserve"> PAGEREF _Toc509399322 \h </w:instrText>
      </w:r>
      <w:r w:rsidRPr="00795525">
        <w:rPr>
          <w:i w:val="0"/>
          <w:noProof/>
          <w:sz w:val="18"/>
        </w:rPr>
      </w:r>
      <w:r w:rsidRPr="00795525">
        <w:rPr>
          <w:i w:val="0"/>
          <w:noProof/>
          <w:sz w:val="18"/>
        </w:rPr>
        <w:fldChar w:fldCharType="separate"/>
      </w:r>
      <w:r w:rsidR="003D2806">
        <w:rPr>
          <w:i w:val="0"/>
          <w:noProof/>
          <w:sz w:val="18"/>
        </w:rPr>
        <w:t>9</w:t>
      </w:r>
      <w:r w:rsidRPr="00795525">
        <w:rPr>
          <w:i w:val="0"/>
          <w:noProof/>
          <w:sz w:val="18"/>
        </w:rPr>
        <w:fldChar w:fldCharType="end"/>
      </w:r>
    </w:p>
    <w:p w:rsidR="0048364F" w:rsidRPr="00795525" w:rsidRDefault="0071338C" w:rsidP="0048364F">
      <w:r w:rsidRPr="00795525">
        <w:fldChar w:fldCharType="end"/>
      </w:r>
    </w:p>
    <w:p w:rsidR="0048364F" w:rsidRPr="00795525" w:rsidRDefault="0048364F" w:rsidP="0048364F">
      <w:pPr>
        <w:sectPr w:rsidR="0048364F" w:rsidRPr="00795525" w:rsidSect="002D6CB2">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p>
    <w:p w:rsidR="0048364F" w:rsidRPr="00795525" w:rsidRDefault="0048364F" w:rsidP="0048364F">
      <w:pPr>
        <w:pStyle w:val="ActHead5"/>
      </w:pPr>
      <w:bookmarkStart w:id="0" w:name="_Toc509399313"/>
      <w:r w:rsidRPr="00795525">
        <w:rPr>
          <w:rStyle w:val="CharSectno"/>
        </w:rPr>
        <w:lastRenderedPageBreak/>
        <w:t>1</w:t>
      </w:r>
      <w:r w:rsidRPr="00795525">
        <w:t xml:space="preserve">  </w:t>
      </w:r>
      <w:r w:rsidR="004F676E" w:rsidRPr="00795525">
        <w:t>Name</w:t>
      </w:r>
      <w:bookmarkEnd w:id="0"/>
    </w:p>
    <w:p w:rsidR="0048364F" w:rsidRPr="00795525" w:rsidRDefault="0048364F" w:rsidP="0048364F">
      <w:pPr>
        <w:pStyle w:val="subsection"/>
      </w:pPr>
      <w:r w:rsidRPr="00795525">
        <w:tab/>
      </w:r>
      <w:r w:rsidRPr="00795525">
        <w:tab/>
      </w:r>
      <w:r w:rsidR="00A83ECF" w:rsidRPr="00795525">
        <w:t>This instrument is</w:t>
      </w:r>
      <w:r w:rsidRPr="00795525">
        <w:t xml:space="preserve"> the </w:t>
      </w:r>
      <w:r w:rsidR="00414ADE" w:rsidRPr="00795525">
        <w:rPr>
          <w:i/>
        </w:rPr>
        <w:fldChar w:fldCharType="begin"/>
      </w:r>
      <w:r w:rsidR="00414ADE" w:rsidRPr="00795525">
        <w:rPr>
          <w:i/>
        </w:rPr>
        <w:instrText xml:space="preserve"> STYLEREF  ShortT </w:instrText>
      </w:r>
      <w:r w:rsidR="00414ADE" w:rsidRPr="00795525">
        <w:rPr>
          <w:i/>
        </w:rPr>
        <w:fldChar w:fldCharType="separate"/>
      </w:r>
      <w:r w:rsidR="003D2806">
        <w:rPr>
          <w:i/>
          <w:noProof/>
        </w:rPr>
        <w:t>Health Insurance Legislation Amendment (2018 Measures No. 1) Regulations 2018</w:t>
      </w:r>
      <w:r w:rsidR="00414ADE" w:rsidRPr="00795525">
        <w:rPr>
          <w:i/>
        </w:rPr>
        <w:fldChar w:fldCharType="end"/>
      </w:r>
      <w:r w:rsidRPr="00795525">
        <w:t>.</w:t>
      </w:r>
    </w:p>
    <w:p w:rsidR="004F676E" w:rsidRPr="00795525" w:rsidRDefault="0048364F" w:rsidP="005452CC">
      <w:pPr>
        <w:pStyle w:val="ActHead5"/>
      </w:pPr>
      <w:bookmarkStart w:id="1" w:name="_Toc509399314"/>
      <w:r w:rsidRPr="00795525">
        <w:rPr>
          <w:rStyle w:val="CharSectno"/>
        </w:rPr>
        <w:t>2</w:t>
      </w:r>
      <w:r w:rsidRPr="00795525">
        <w:t xml:space="preserve">  Commencement</w:t>
      </w:r>
      <w:bookmarkEnd w:id="1"/>
    </w:p>
    <w:p w:rsidR="00AB6108" w:rsidRPr="00795525" w:rsidRDefault="00AB6108" w:rsidP="001C7D3D">
      <w:pPr>
        <w:pStyle w:val="subsection"/>
      </w:pPr>
      <w:bookmarkStart w:id="2" w:name="_GoBack"/>
      <w:r w:rsidRPr="00795525">
        <w:tab/>
        <w:t>(1)</w:t>
      </w:r>
      <w:r w:rsidRPr="00795525">
        <w:tab/>
        <w:t>Each provision of this instrument specified in column 1 of the table commences, or is taken to have commenced, in accordance with column 2 of the table. Any other statement in column 2 has effect according to its terms.</w:t>
      </w:r>
      <w:bookmarkEnd w:id="2"/>
    </w:p>
    <w:p w:rsidR="00AB6108" w:rsidRPr="00795525" w:rsidRDefault="00AB6108" w:rsidP="001C7D3D">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AB6108" w:rsidRPr="00795525" w:rsidTr="00072E93">
        <w:trPr>
          <w:tblHeader/>
        </w:trPr>
        <w:tc>
          <w:tcPr>
            <w:tcW w:w="8364" w:type="dxa"/>
            <w:gridSpan w:val="3"/>
            <w:tcBorders>
              <w:top w:val="single" w:sz="12" w:space="0" w:color="auto"/>
              <w:bottom w:val="single" w:sz="6" w:space="0" w:color="auto"/>
            </w:tcBorders>
            <w:shd w:val="clear" w:color="auto" w:fill="auto"/>
            <w:hideMark/>
          </w:tcPr>
          <w:p w:rsidR="00AB6108" w:rsidRPr="00795525" w:rsidRDefault="00AB6108" w:rsidP="00072E93">
            <w:pPr>
              <w:pStyle w:val="TableHeading"/>
            </w:pPr>
            <w:r w:rsidRPr="00795525">
              <w:t>Commencement information</w:t>
            </w:r>
          </w:p>
        </w:tc>
      </w:tr>
      <w:tr w:rsidR="00AB6108" w:rsidRPr="00795525" w:rsidTr="00072E93">
        <w:trPr>
          <w:tblHeader/>
        </w:trPr>
        <w:tc>
          <w:tcPr>
            <w:tcW w:w="2127" w:type="dxa"/>
            <w:tcBorders>
              <w:top w:val="single" w:sz="6" w:space="0" w:color="auto"/>
              <w:bottom w:val="single" w:sz="6" w:space="0" w:color="auto"/>
            </w:tcBorders>
            <w:shd w:val="clear" w:color="auto" w:fill="auto"/>
            <w:hideMark/>
          </w:tcPr>
          <w:p w:rsidR="00AB6108" w:rsidRPr="00795525" w:rsidRDefault="00AB6108" w:rsidP="00072E93">
            <w:pPr>
              <w:pStyle w:val="TableHeading"/>
            </w:pPr>
            <w:r w:rsidRPr="00795525">
              <w:t>Column 1</w:t>
            </w:r>
          </w:p>
        </w:tc>
        <w:tc>
          <w:tcPr>
            <w:tcW w:w="4394" w:type="dxa"/>
            <w:tcBorders>
              <w:top w:val="single" w:sz="6" w:space="0" w:color="auto"/>
              <w:bottom w:val="single" w:sz="6" w:space="0" w:color="auto"/>
            </w:tcBorders>
            <w:shd w:val="clear" w:color="auto" w:fill="auto"/>
            <w:hideMark/>
          </w:tcPr>
          <w:p w:rsidR="00AB6108" w:rsidRPr="00795525" w:rsidRDefault="00AB6108" w:rsidP="00072E93">
            <w:pPr>
              <w:pStyle w:val="TableHeading"/>
            </w:pPr>
            <w:r w:rsidRPr="00795525">
              <w:t>Column 2</w:t>
            </w:r>
          </w:p>
        </w:tc>
        <w:tc>
          <w:tcPr>
            <w:tcW w:w="1843" w:type="dxa"/>
            <w:tcBorders>
              <w:top w:val="single" w:sz="6" w:space="0" w:color="auto"/>
              <w:bottom w:val="single" w:sz="6" w:space="0" w:color="auto"/>
            </w:tcBorders>
            <w:shd w:val="clear" w:color="auto" w:fill="auto"/>
            <w:hideMark/>
          </w:tcPr>
          <w:p w:rsidR="00AB6108" w:rsidRPr="00795525" w:rsidRDefault="00AB6108" w:rsidP="00072E93">
            <w:pPr>
              <w:pStyle w:val="TableHeading"/>
            </w:pPr>
            <w:r w:rsidRPr="00795525">
              <w:t>Column 3</w:t>
            </w:r>
          </w:p>
        </w:tc>
      </w:tr>
      <w:tr w:rsidR="00AB6108" w:rsidRPr="00795525" w:rsidTr="00072E93">
        <w:trPr>
          <w:tblHeader/>
        </w:trPr>
        <w:tc>
          <w:tcPr>
            <w:tcW w:w="2127" w:type="dxa"/>
            <w:tcBorders>
              <w:top w:val="single" w:sz="6" w:space="0" w:color="auto"/>
              <w:bottom w:val="single" w:sz="12" w:space="0" w:color="auto"/>
            </w:tcBorders>
            <w:shd w:val="clear" w:color="auto" w:fill="auto"/>
            <w:hideMark/>
          </w:tcPr>
          <w:p w:rsidR="00AB6108" w:rsidRPr="00795525" w:rsidRDefault="00AB6108" w:rsidP="00072E93">
            <w:pPr>
              <w:pStyle w:val="TableHeading"/>
            </w:pPr>
            <w:r w:rsidRPr="00795525">
              <w:t>Provisions</w:t>
            </w:r>
          </w:p>
        </w:tc>
        <w:tc>
          <w:tcPr>
            <w:tcW w:w="4394" w:type="dxa"/>
            <w:tcBorders>
              <w:top w:val="single" w:sz="6" w:space="0" w:color="auto"/>
              <w:bottom w:val="single" w:sz="12" w:space="0" w:color="auto"/>
            </w:tcBorders>
            <w:shd w:val="clear" w:color="auto" w:fill="auto"/>
            <w:hideMark/>
          </w:tcPr>
          <w:p w:rsidR="00AB6108" w:rsidRPr="00795525" w:rsidRDefault="00AB6108" w:rsidP="00072E93">
            <w:pPr>
              <w:pStyle w:val="TableHeading"/>
            </w:pPr>
            <w:r w:rsidRPr="00795525">
              <w:t>Commencement</w:t>
            </w:r>
          </w:p>
        </w:tc>
        <w:tc>
          <w:tcPr>
            <w:tcW w:w="1843" w:type="dxa"/>
            <w:tcBorders>
              <w:top w:val="single" w:sz="6" w:space="0" w:color="auto"/>
              <w:bottom w:val="single" w:sz="12" w:space="0" w:color="auto"/>
            </w:tcBorders>
            <w:shd w:val="clear" w:color="auto" w:fill="auto"/>
            <w:hideMark/>
          </w:tcPr>
          <w:p w:rsidR="00AB6108" w:rsidRPr="00795525" w:rsidRDefault="00AB6108" w:rsidP="00072E93">
            <w:pPr>
              <w:pStyle w:val="TableHeading"/>
            </w:pPr>
            <w:r w:rsidRPr="00795525">
              <w:t>Date/Details</w:t>
            </w:r>
          </w:p>
        </w:tc>
      </w:tr>
      <w:tr w:rsidR="00AB6108" w:rsidRPr="00795525" w:rsidTr="00072E93">
        <w:tc>
          <w:tcPr>
            <w:tcW w:w="2127" w:type="dxa"/>
            <w:tcBorders>
              <w:top w:val="single" w:sz="12" w:space="0" w:color="auto"/>
              <w:bottom w:val="single" w:sz="12" w:space="0" w:color="auto"/>
            </w:tcBorders>
            <w:shd w:val="clear" w:color="auto" w:fill="auto"/>
            <w:hideMark/>
          </w:tcPr>
          <w:p w:rsidR="00AB6108" w:rsidRPr="00795525" w:rsidRDefault="00AB6108" w:rsidP="001C7D3D">
            <w:pPr>
              <w:pStyle w:val="Tabletext"/>
            </w:pPr>
            <w:r w:rsidRPr="00795525">
              <w:t>1.  The whole of this instrument</w:t>
            </w:r>
          </w:p>
        </w:tc>
        <w:tc>
          <w:tcPr>
            <w:tcW w:w="4394" w:type="dxa"/>
            <w:tcBorders>
              <w:top w:val="single" w:sz="12" w:space="0" w:color="auto"/>
              <w:bottom w:val="single" w:sz="12" w:space="0" w:color="auto"/>
            </w:tcBorders>
            <w:shd w:val="clear" w:color="auto" w:fill="auto"/>
            <w:hideMark/>
          </w:tcPr>
          <w:p w:rsidR="00AB6108" w:rsidRPr="00795525" w:rsidRDefault="00AB6108" w:rsidP="001C7D3D">
            <w:pPr>
              <w:pStyle w:val="Tabletext"/>
            </w:pPr>
            <w:r w:rsidRPr="00795525">
              <w:t>1</w:t>
            </w:r>
            <w:r w:rsidR="00795525" w:rsidRPr="00795525">
              <w:t> </w:t>
            </w:r>
            <w:r w:rsidRPr="00795525">
              <w:t>May 2018.</w:t>
            </w:r>
          </w:p>
        </w:tc>
        <w:tc>
          <w:tcPr>
            <w:tcW w:w="1843" w:type="dxa"/>
            <w:tcBorders>
              <w:top w:val="single" w:sz="12" w:space="0" w:color="auto"/>
              <w:bottom w:val="single" w:sz="12" w:space="0" w:color="auto"/>
            </w:tcBorders>
            <w:shd w:val="clear" w:color="auto" w:fill="auto"/>
          </w:tcPr>
          <w:p w:rsidR="00AB6108" w:rsidRPr="00795525" w:rsidRDefault="00AB6108" w:rsidP="001C7D3D">
            <w:pPr>
              <w:pStyle w:val="Tabletext"/>
            </w:pPr>
            <w:r w:rsidRPr="00795525">
              <w:t>1</w:t>
            </w:r>
            <w:r w:rsidR="00795525" w:rsidRPr="00795525">
              <w:t> </w:t>
            </w:r>
            <w:r w:rsidRPr="00795525">
              <w:t>May 2018</w:t>
            </w:r>
          </w:p>
        </w:tc>
      </w:tr>
    </w:tbl>
    <w:p w:rsidR="00AB6108" w:rsidRPr="00795525" w:rsidRDefault="00AB6108" w:rsidP="001C7D3D">
      <w:pPr>
        <w:pStyle w:val="notetext"/>
      </w:pPr>
      <w:r w:rsidRPr="00795525">
        <w:rPr>
          <w:snapToGrid w:val="0"/>
          <w:lang w:eastAsia="en-US"/>
        </w:rPr>
        <w:t>Note:</w:t>
      </w:r>
      <w:r w:rsidRPr="00795525">
        <w:rPr>
          <w:snapToGrid w:val="0"/>
          <w:lang w:eastAsia="en-US"/>
        </w:rPr>
        <w:tab/>
        <w:t xml:space="preserve">This table relates only to the provisions of this </w:t>
      </w:r>
      <w:r w:rsidRPr="00795525">
        <w:t xml:space="preserve">instrument </w:t>
      </w:r>
      <w:r w:rsidRPr="00795525">
        <w:rPr>
          <w:snapToGrid w:val="0"/>
          <w:lang w:eastAsia="en-US"/>
        </w:rPr>
        <w:t xml:space="preserve">as originally made. It will not be amended to deal with any later amendments of this </w:t>
      </w:r>
      <w:r w:rsidRPr="00795525">
        <w:t>instrument</w:t>
      </w:r>
      <w:r w:rsidRPr="00795525">
        <w:rPr>
          <w:snapToGrid w:val="0"/>
          <w:lang w:eastAsia="en-US"/>
        </w:rPr>
        <w:t>.</w:t>
      </w:r>
    </w:p>
    <w:p w:rsidR="00AB6108" w:rsidRPr="00795525" w:rsidRDefault="00AB6108" w:rsidP="001C7D3D">
      <w:pPr>
        <w:pStyle w:val="subsection"/>
      </w:pPr>
      <w:r w:rsidRPr="00795525">
        <w:tab/>
        <w:t>(2)</w:t>
      </w:r>
      <w:r w:rsidRPr="00795525">
        <w:tab/>
        <w:t>Any information in column 3 of the table is not part of this instrument. Information may be inserted in this column, or information in it may be edited, in any published version of this instrument.</w:t>
      </w:r>
    </w:p>
    <w:p w:rsidR="00BF6650" w:rsidRPr="00795525" w:rsidRDefault="00BF6650" w:rsidP="00BF6650">
      <w:pPr>
        <w:pStyle w:val="ActHead5"/>
      </w:pPr>
      <w:bookmarkStart w:id="3" w:name="_Toc509399315"/>
      <w:r w:rsidRPr="00795525">
        <w:rPr>
          <w:rStyle w:val="CharSectno"/>
        </w:rPr>
        <w:t>3</w:t>
      </w:r>
      <w:r w:rsidRPr="00795525">
        <w:t xml:space="preserve">  Authority</w:t>
      </w:r>
      <w:bookmarkEnd w:id="3"/>
    </w:p>
    <w:p w:rsidR="00BF6650" w:rsidRPr="00795525" w:rsidRDefault="00BF6650" w:rsidP="00BF6650">
      <w:pPr>
        <w:pStyle w:val="subsection"/>
      </w:pPr>
      <w:r w:rsidRPr="00795525">
        <w:tab/>
      </w:r>
      <w:r w:rsidRPr="00795525">
        <w:tab/>
      </w:r>
      <w:r w:rsidR="00A83ECF" w:rsidRPr="00795525">
        <w:t>This instrument is</w:t>
      </w:r>
      <w:r w:rsidRPr="00795525">
        <w:t xml:space="preserve"> made under the</w:t>
      </w:r>
      <w:r w:rsidR="00AB6108" w:rsidRPr="00795525">
        <w:t xml:space="preserve"> </w:t>
      </w:r>
      <w:r w:rsidR="00AB6108" w:rsidRPr="00795525">
        <w:rPr>
          <w:i/>
        </w:rPr>
        <w:t>Health Insurance Act 1973</w:t>
      </w:r>
      <w:r w:rsidR="00546FA3" w:rsidRPr="00795525">
        <w:rPr>
          <w:i/>
        </w:rPr>
        <w:t>.</w:t>
      </w:r>
    </w:p>
    <w:p w:rsidR="00557C7A" w:rsidRPr="00795525" w:rsidRDefault="00BF6650" w:rsidP="00557C7A">
      <w:pPr>
        <w:pStyle w:val="ActHead5"/>
      </w:pPr>
      <w:bookmarkStart w:id="4" w:name="_Toc509399316"/>
      <w:r w:rsidRPr="00795525">
        <w:rPr>
          <w:rStyle w:val="CharSectno"/>
        </w:rPr>
        <w:t>4</w:t>
      </w:r>
      <w:r w:rsidR="00557C7A" w:rsidRPr="00795525">
        <w:t xml:space="preserve">  </w:t>
      </w:r>
      <w:r w:rsidR="00083F48" w:rsidRPr="00795525">
        <w:t>Schedules</w:t>
      </w:r>
      <w:bookmarkEnd w:id="4"/>
    </w:p>
    <w:p w:rsidR="00557C7A" w:rsidRPr="00795525" w:rsidRDefault="00557C7A" w:rsidP="00557C7A">
      <w:pPr>
        <w:pStyle w:val="subsection"/>
      </w:pPr>
      <w:r w:rsidRPr="00795525">
        <w:tab/>
      </w:r>
      <w:r w:rsidRPr="00795525">
        <w:tab/>
      </w:r>
      <w:r w:rsidR="00083F48" w:rsidRPr="00795525">
        <w:t xml:space="preserve">Each </w:t>
      </w:r>
      <w:r w:rsidR="00160BD7" w:rsidRPr="00795525">
        <w:t>instrument</w:t>
      </w:r>
      <w:r w:rsidR="00083F48" w:rsidRPr="00795525">
        <w:t xml:space="preserve"> that is specified in a Schedule to </w:t>
      </w:r>
      <w:r w:rsidR="00A83ECF" w:rsidRPr="00795525">
        <w:t>this instrument</w:t>
      </w:r>
      <w:r w:rsidR="00083F48" w:rsidRPr="00795525">
        <w:t xml:space="preserve"> is amended or repealed as set out in the applicable items in the Schedule concerned, and any other item in a Schedule to </w:t>
      </w:r>
      <w:r w:rsidR="00A83ECF" w:rsidRPr="00795525">
        <w:t>this instrument</w:t>
      </w:r>
      <w:r w:rsidR="00083F48" w:rsidRPr="00795525">
        <w:t xml:space="preserve"> has effect according to its terms.</w:t>
      </w:r>
    </w:p>
    <w:p w:rsidR="0048364F" w:rsidRPr="00795525" w:rsidRDefault="0048364F" w:rsidP="009C5989">
      <w:pPr>
        <w:pStyle w:val="ActHead6"/>
        <w:pageBreakBefore/>
      </w:pPr>
      <w:bookmarkStart w:id="5" w:name="_Toc509399317"/>
      <w:bookmarkStart w:id="6" w:name="opcAmSched"/>
      <w:bookmarkStart w:id="7" w:name="opcCurrentFind"/>
      <w:r w:rsidRPr="00795525">
        <w:rPr>
          <w:rStyle w:val="CharAmSchNo"/>
        </w:rPr>
        <w:t>Schedule</w:t>
      </w:r>
      <w:r w:rsidR="00795525" w:rsidRPr="00795525">
        <w:rPr>
          <w:rStyle w:val="CharAmSchNo"/>
        </w:rPr>
        <w:t> </w:t>
      </w:r>
      <w:r w:rsidRPr="00795525">
        <w:rPr>
          <w:rStyle w:val="CharAmSchNo"/>
        </w:rPr>
        <w:t>1</w:t>
      </w:r>
      <w:r w:rsidRPr="00795525">
        <w:t>—</w:t>
      </w:r>
      <w:r w:rsidR="00460499" w:rsidRPr="00795525">
        <w:rPr>
          <w:rStyle w:val="CharAmSchText"/>
        </w:rPr>
        <w:t>Amendments</w:t>
      </w:r>
      <w:bookmarkEnd w:id="5"/>
    </w:p>
    <w:bookmarkEnd w:id="6"/>
    <w:bookmarkEnd w:id="7"/>
    <w:p w:rsidR="0004044E" w:rsidRPr="00795525" w:rsidRDefault="0004044E" w:rsidP="0004044E">
      <w:pPr>
        <w:pStyle w:val="Header"/>
      </w:pPr>
      <w:r w:rsidRPr="00795525">
        <w:rPr>
          <w:rStyle w:val="CharAmPartNo"/>
        </w:rPr>
        <w:t xml:space="preserve"> </w:t>
      </w:r>
      <w:r w:rsidRPr="00795525">
        <w:rPr>
          <w:rStyle w:val="CharAmPartText"/>
        </w:rPr>
        <w:t xml:space="preserve"> </w:t>
      </w:r>
    </w:p>
    <w:p w:rsidR="007216F5" w:rsidRPr="00795525" w:rsidRDefault="007216F5" w:rsidP="00EA0D36">
      <w:pPr>
        <w:pStyle w:val="ActHead9"/>
      </w:pPr>
      <w:bookmarkStart w:id="8" w:name="_Toc509399318"/>
      <w:r w:rsidRPr="00795525">
        <w:t>Health Insurance (Diagnostic Imaging Services Table) Regulations</w:t>
      </w:r>
      <w:r w:rsidR="00795525" w:rsidRPr="00795525">
        <w:t> </w:t>
      </w:r>
      <w:r w:rsidRPr="00795525">
        <w:t>2017</w:t>
      </w:r>
      <w:bookmarkEnd w:id="8"/>
    </w:p>
    <w:p w:rsidR="001C7D3D" w:rsidRPr="00795525" w:rsidRDefault="007320A4" w:rsidP="001C7D3D">
      <w:pPr>
        <w:pStyle w:val="ItemHead"/>
      </w:pPr>
      <w:r w:rsidRPr="00795525">
        <w:t>1</w:t>
      </w:r>
      <w:r w:rsidR="001C7D3D" w:rsidRPr="00795525">
        <w:t xml:space="preserve">  Subclause</w:t>
      </w:r>
      <w:r w:rsidR="00795525" w:rsidRPr="00795525">
        <w:t> </w:t>
      </w:r>
      <w:r w:rsidR="001C7D3D" w:rsidRPr="00795525">
        <w:t>2.4.2(1) of Schedule</w:t>
      </w:r>
      <w:r w:rsidR="00795525" w:rsidRPr="00795525">
        <w:t> </w:t>
      </w:r>
      <w:r w:rsidR="001C7D3D" w:rsidRPr="00795525">
        <w:t>1</w:t>
      </w:r>
    </w:p>
    <w:p w:rsidR="001C7D3D" w:rsidRPr="00795525" w:rsidRDefault="001C7D3D" w:rsidP="001C7D3D">
      <w:pPr>
        <w:pStyle w:val="Item"/>
      </w:pPr>
      <w:r w:rsidRPr="00795525">
        <w:t xml:space="preserve">Omit </w:t>
      </w:r>
      <w:r w:rsidR="00072E93" w:rsidRPr="00795525">
        <w:t>“</w:t>
      </w:r>
      <w:r w:rsidRPr="00795525">
        <w:t>61646</w:t>
      </w:r>
      <w:r w:rsidR="00072E93" w:rsidRPr="00795525">
        <w:t>”</w:t>
      </w:r>
      <w:r w:rsidRPr="00795525">
        <w:t xml:space="preserve">, substitute </w:t>
      </w:r>
      <w:r w:rsidR="00072E93" w:rsidRPr="00795525">
        <w:t>“</w:t>
      </w:r>
      <w:r w:rsidRPr="00795525">
        <w:t>61647</w:t>
      </w:r>
      <w:r w:rsidR="00072E93" w:rsidRPr="00795525">
        <w:t>”</w:t>
      </w:r>
      <w:r w:rsidRPr="00795525">
        <w:t>.</w:t>
      </w:r>
    </w:p>
    <w:p w:rsidR="00CB4D60" w:rsidRPr="00795525" w:rsidRDefault="007320A4" w:rsidP="00CB4D60">
      <w:pPr>
        <w:pStyle w:val="ItemHead"/>
      </w:pPr>
      <w:r w:rsidRPr="00795525">
        <w:t>2</w:t>
      </w:r>
      <w:r w:rsidR="00CB4D60" w:rsidRPr="00795525">
        <w:t xml:space="preserve">  Schedule</w:t>
      </w:r>
      <w:r w:rsidR="00795525" w:rsidRPr="00795525">
        <w:t> </w:t>
      </w:r>
      <w:r w:rsidR="00CB4D60" w:rsidRPr="00795525">
        <w:t>1 (item</w:t>
      </w:r>
      <w:r w:rsidR="00795525" w:rsidRPr="00795525">
        <w:t> </w:t>
      </w:r>
      <w:r w:rsidR="00CB4D60" w:rsidRPr="00795525">
        <w:t>61369)</w:t>
      </w:r>
    </w:p>
    <w:p w:rsidR="00CB4D60" w:rsidRPr="00795525" w:rsidRDefault="00CB4D60" w:rsidP="00CB4D60">
      <w:pPr>
        <w:pStyle w:val="Item"/>
      </w:pPr>
      <w:r w:rsidRPr="00795525">
        <w:t>Repeal the item, substitute:</w:t>
      </w:r>
    </w:p>
    <w:p w:rsidR="00CB4D60" w:rsidRPr="00795525" w:rsidRDefault="00CB4D60" w:rsidP="00CB4D60">
      <w:pPr>
        <w:pStyle w:val="Tabletext"/>
      </w:pPr>
    </w:p>
    <w:tbl>
      <w:tblPr>
        <w:tblW w:w="5000" w:type="pct"/>
        <w:tblCellMar>
          <w:left w:w="31" w:type="dxa"/>
          <w:right w:w="31" w:type="dxa"/>
        </w:tblCellMar>
        <w:tblLook w:val="04A0" w:firstRow="1" w:lastRow="0" w:firstColumn="1" w:lastColumn="0" w:noHBand="0" w:noVBand="1"/>
      </w:tblPr>
      <w:tblGrid>
        <w:gridCol w:w="789"/>
        <w:gridCol w:w="6484"/>
        <w:gridCol w:w="1102"/>
      </w:tblGrid>
      <w:tr w:rsidR="00CB4D60" w:rsidRPr="00795525" w:rsidTr="00C87911">
        <w:tc>
          <w:tcPr>
            <w:tcW w:w="471" w:type="pct"/>
            <w:shd w:val="clear" w:color="auto" w:fill="auto"/>
            <w:hideMark/>
          </w:tcPr>
          <w:p w:rsidR="00CB4D60" w:rsidRPr="00795525" w:rsidRDefault="00CB4D60" w:rsidP="00C87911">
            <w:pPr>
              <w:pStyle w:val="Tabletext"/>
            </w:pPr>
            <w:r w:rsidRPr="00795525">
              <w:t>61369</w:t>
            </w:r>
          </w:p>
        </w:tc>
        <w:tc>
          <w:tcPr>
            <w:tcW w:w="3871" w:type="pct"/>
            <w:shd w:val="clear" w:color="auto" w:fill="auto"/>
            <w:hideMark/>
          </w:tcPr>
          <w:p w:rsidR="00CB4D60" w:rsidRPr="00795525" w:rsidRDefault="00CB4D60" w:rsidP="00C87911">
            <w:pPr>
              <w:pStyle w:val="Tabletext"/>
            </w:pPr>
            <w:r w:rsidRPr="00795525">
              <w:t>Indium</w:t>
            </w:r>
            <w:r w:rsidR="00795525">
              <w:noBreakHyphen/>
            </w:r>
            <w:r w:rsidRPr="00795525">
              <w:t>labelled octreotide study (including single photon emission tomography when undertaken), if:</w:t>
            </w:r>
          </w:p>
          <w:p w:rsidR="00CB4D60" w:rsidRPr="00795525" w:rsidRDefault="00CB4D60" w:rsidP="00C87911">
            <w:pPr>
              <w:pStyle w:val="Tablea"/>
            </w:pPr>
            <w:r w:rsidRPr="00795525">
              <w:t>(a) a gastro</w:t>
            </w:r>
            <w:r w:rsidR="00795525">
              <w:noBreakHyphen/>
            </w:r>
            <w:r w:rsidRPr="00795525">
              <w:t>entero</w:t>
            </w:r>
            <w:r w:rsidR="00795525">
              <w:noBreakHyphen/>
            </w:r>
            <w:r w:rsidRPr="00795525">
              <w:t>pancreatic endocrine tumour is suspected on the basis of biochemical evidence with negative or equivocal conventional imaging; or</w:t>
            </w:r>
          </w:p>
          <w:p w:rsidR="00CB4D60" w:rsidRPr="00795525" w:rsidRDefault="00CB4D60" w:rsidP="00C87911">
            <w:pPr>
              <w:pStyle w:val="Tablea"/>
            </w:pPr>
            <w:r w:rsidRPr="00795525">
              <w:t>(b) both:</w:t>
            </w:r>
          </w:p>
          <w:p w:rsidR="00CB4D60" w:rsidRPr="00795525" w:rsidRDefault="00CB4D60" w:rsidP="00C87911">
            <w:pPr>
              <w:pStyle w:val="Tablei"/>
            </w:pPr>
            <w:r w:rsidRPr="00795525">
              <w:t>(i) a surgically amenable gastro</w:t>
            </w:r>
            <w:r w:rsidR="00795525">
              <w:noBreakHyphen/>
            </w:r>
            <w:r w:rsidRPr="00795525">
              <w:t>entero</w:t>
            </w:r>
            <w:r w:rsidR="00795525">
              <w:noBreakHyphen/>
            </w:r>
            <w:r w:rsidRPr="00795525">
              <w:t>pancreatic endocrine tumour has been identified on the basis of conventional techniques; and</w:t>
            </w:r>
          </w:p>
          <w:p w:rsidR="00CB4D60" w:rsidRPr="00795525" w:rsidRDefault="00CB4D60" w:rsidP="00C87911">
            <w:pPr>
              <w:pStyle w:val="Tablei"/>
            </w:pPr>
            <w:r w:rsidRPr="00795525">
              <w:t>(ii) the study is to exclude additional disease sites</w:t>
            </w:r>
          </w:p>
          <w:p w:rsidR="00CB4D60" w:rsidRPr="00795525" w:rsidRDefault="00CB4D60" w:rsidP="00C87911">
            <w:pPr>
              <w:pStyle w:val="Tabletext"/>
            </w:pPr>
            <w:r w:rsidRPr="00795525">
              <w:t>(R) (K)</w:t>
            </w:r>
          </w:p>
        </w:tc>
        <w:tc>
          <w:tcPr>
            <w:tcW w:w="658" w:type="pct"/>
            <w:shd w:val="clear" w:color="auto" w:fill="auto"/>
            <w:hideMark/>
          </w:tcPr>
          <w:p w:rsidR="00CB4D60" w:rsidRPr="00795525" w:rsidRDefault="00CB4D60" w:rsidP="00C87911">
            <w:pPr>
              <w:pStyle w:val="Tabletext"/>
              <w:tabs>
                <w:tab w:val="decimal" w:pos="440"/>
              </w:tabs>
              <w:jc w:val="right"/>
            </w:pPr>
            <w:r w:rsidRPr="00795525">
              <w:rPr>
                <w:snapToGrid w:val="0"/>
              </w:rPr>
              <w:t>2,015.75</w:t>
            </w:r>
          </w:p>
        </w:tc>
      </w:tr>
    </w:tbl>
    <w:p w:rsidR="001C7D3D" w:rsidRPr="00795525" w:rsidRDefault="007320A4" w:rsidP="001C7D3D">
      <w:pPr>
        <w:pStyle w:val="ItemHead"/>
      </w:pPr>
      <w:r w:rsidRPr="00795525">
        <w:t>3</w:t>
      </w:r>
      <w:r w:rsidR="001C7D3D" w:rsidRPr="00795525">
        <w:t xml:space="preserve">  Schedule</w:t>
      </w:r>
      <w:r w:rsidR="00795525" w:rsidRPr="00795525">
        <w:t> </w:t>
      </w:r>
      <w:r w:rsidR="001C7D3D" w:rsidRPr="00795525">
        <w:t>1 (</w:t>
      </w:r>
      <w:r w:rsidR="00CF7480" w:rsidRPr="00795525">
        <w:t>after item</w:t>
      </w:r>
      <w:r w:rsidR="00795525" w:rsidRPr="00795525">
        <w:t> </w:t>
      </w:r>
      <w:r w:rsidR="00CF7480" w:rsidRPr="00795525">
        <w:t>61646</w:t>
      </w:r>
      <w:r w:rsidR="001C7D3D" w:rsidRPr="00795525">
        <w:t>)</w:t>
      </w:r>
    </w:p>
    <w:p w:rsidR="001C7D3D" w:rsidRPr="00795525" w:rsidRDefault="00BD19F9" w:rsidP="001C7D3D">
      <w:pPr>
        <w:pStyle w:val="Item"/>
      </w:pPr>
      <w:r w:rsidRPr="00795525">
        <w:t>Insert</w:t>
      </w:r>
      <w:r w:rsidR="001C7D3D" w:rsidRPr="00795525">
        <w:t>:</w:t>
      </w:r>
    </w:p>
    <w:p w:rsidR="001C7D3D" w:rsidRPr="00795525" w:rsidRDefault="001C7D3D" w:rsidP="001C7D3D">
      <w:pPr>
        <w:pStyle w:val="Tabletext"/>
      </w:pPr>
    </w:p>
    <w:tbl>
      <w:tblPr>
        <w:tblW w:w="5000" w:type="pct"/>
        <w:tblCellMar>
          <w:left w:w="31" w:type="dxa"/>
          <w:right w:w="31" w:type="dxa"/>
        </w:tblCellMar>
        <w:tblLook w:val="0000" w:firstRow="0" w:lastRow="0" w:firstColumn="0" w:lastColumn="0" w:noHBand="0" w:noVBand="0"/>
      </w:tblPr>
      <w:tblGrid>
        <w:gridCol w:w="789"/>
        <w:gridCol w:w="6484"/>
        <w:gridCol w:w="1102"/>
      </w:tblGrid>
      <w:tr w:rsidR="001C7D3D" w:rsidRPr="00795525" w:rsidTr="00072E93">
        <w:tc>
          <w:tcPr>
            <w:tcW w:w="471" w:type="pct"/>
            <w:shd w:val="clear" w:color="auto" w:fill="auto"/>
          </w:tcPr>
          <w:p w:rsidR="001C7D3D" w:rsidRPr="00795525" w:rsidRDefault="001C7D3D" w:rsidP="001C7D3D">
            <w:pPr>
              <w:pStyle w:val="Tabletext"/>
            </w:pPr>
            <w:r w:rsidRPr="00795525">
              <w:t>61647</w:t>
            </w:r>
          </w:p>
        </w:tc>
        <w:tc>
          <w:tcPr>
            <w:tcW w:w="3871" w:type="pct"/>
            <w:shd w:val="clear" w:color="auto" w:fill="auto"/>
          </w:tcPr>
          <w:p w:rsidR="001C7D3D" w:rsidRPr="00795525" w:rsidRDefault="001C7D3D" w:rsidP="001C7D3D">
            <w:pPr>
              <w:pStyle w:val="Tabletext"/>
            </w:pPr>
            <w:r w:rsidRPr="00795525">
              <w:t xml:space="preserve">Whole body </w:t>
            </w:r>
            <w:r w:rsidRPr="00795525">
              <w:rPr>
                <w:vertAlign w:val="superscript"/>
              </w:rPr>
              <w:t>68</w:t>
            </w:r>
            <w:r w:rsidRPr="00795525">
              <w:t>Ga</w:t>
            </w:r>
            <w:r w:rsidR="00795525">
              <w:noBreakHyphen/>
            </w:r>
            <w:r w:rsidRPr="00795525">
              <w:t>DOTA</w:t>
            </w:r>
            <w:r w:rsidR="00795525">
              <w:noBreakHyphen/>
            </w:r>
            <w:r w:rsidRPr="00795525">
              <w:t>peptide PET study (including any associated computed tomography scans for anatomic localisation and attenuation correction), if:</w:t>
            </w:r>
          </w:p>
          <w:p w:rsidR="001C7D3D" w:rsidRPr="00795525" w:rsidRDefault="001C7D3D" w:rsidP="001C7D3D">
            <w:pPr>
              <w:pStyle w:val="Tablea"/>
            </w:pPr>
            <w:r w:rsidRPr="00795525">
              <w:t>(a) a gastro</w:t>
            </w:r>
            <w:r w:rsidR="00795525">
              <w:noBreakHyphen/>
            </w:r>
            <w:r w:rsidRPr="00795525">
              <w:t>entero</w:t>
            </w:r>
            <w:r w:rsidR="00795525">
              <w:noBreakHyphen/>
            </w:r>
            <w:r w:rsidRPr="00795525">
              <w:t>pancreatic neuroendocrine tumour is suspected on the basis of biochemical evidence with negative or equivocal conventional imaging; or</w:t>
            </w:r>
          </w:p>
          <w:p w:rsidR="006A5ECA" w:rsidRPr="00795525" w:rsidRDefault="001C7D3D" w:rsidP="001C7D3D">
            <w:pPr>
              <w:pStyle w:val="Tablea"/>
            </w:pPr>
            <w:r w:rsidRPr="00795525">
              <w:t xml:space="preserve">(b) </w:t>
            </w:r>
            <w:r w:rsidR="006A5ECA" w:rsidRPr="00795525">
              <w:t>both:</w:t>
            </w:r>
          </w:p>
          <w:p w:rsidR="006A5ECA" w:rsidRPr="00795525" w:rsidRDefault="006A5ECA" w:rsidP="006A5ECA">
            <w:pPr>
              <w:pStyle w:val="Tablei"/>
            </w:pPr>
            <w:r w:rsidRPr="00795525">
              <w:t xml:space="preserve">(i) </w:t>
            </w:r>
            <w:r w:rsidR="001C7D3D" w:rsidRPr="00795525">
              <w:t>a surgically amenable gastro</w:t>
            </w:r>
            <w:r w:rsidR="00795525">
              <w:noBreakHyphen/>
            </w:r>
            <w:r w:rsidR="001C7D3D" w:rsidRPr="00795525">
              <w:t>entero</w:t>
            </w:r>
            <w:r w:rsidR="00795525">
              <w:noBreakHyphen/>
            </w:r>
            <w:r w:rsidR="001C7D3D" w:rsidRPr="00795525">
              <w:t>pancreatic neuroendocrine tumour has been identified on the basis of conventional techniques</w:t>
            </w:r>
            <w:r w:rsidRPr="00795525">
              <w:t>; and</w:t>
            </w:r>
          </w:p>
          <w:p w:rsidR="001C7D3D" w:rsidRPr="00795525" w:rsidRDefault="006A5ECA" w:rsidP="006A5ECA">
            <w:pPr>
              <w:pStyle w:val="Tablei"/>
            </w:pPr>
            <w:r w:rsidRPr="00795525">
              <w:t xml:space="preserve">(ii) the study is </w:t>
            </w:r>
            <w:r w:rsidR="001C7D3D" w:rsidRPr="00795525">
              <w:t>for excluding additional disease sites</w:t>
            </w:r>
          </w:p>
          <w:p w:rsidR="001C7D3D" w:rsidRPr="00795525" w:rsidRDefault="001C7D3D" w:rsidP="00C32388">
            <w:pPr>
              <w:pStyle w:val="Tabletext"/>
            </w:pPr>
            <w:r w:rsidRPr="00795525">
              <w:t>(R)</w:t>
            </w:r>
          </w:p>
        </w:tc>
        <w:tc>
          <w:tcPr>
            <w:tcW w:w="658" w:type="pct"/>
            <w:shd w:val="clear" w:color="auto" w:fill="auto"/>
          </w:tcPr>
          <w:p w:rsidR="001C7D3D" w:rsidRPr="00795525" w:rsidRDefault="001C7D3D" w:rsidP="001C7D3D">
            <w:pPr>
              <w:pStyle w:val="Tabletext"/>
              <w:tabs>
                <w:tab w:val="decimal" w:pos="440"/>
              </w:tabs>
              <w:jc w:val="right"/>
            </w:pPr>
            <w:r w:rsidRPr="00795525">
              <w:t>1</w:t>
            </w:r>
            <w:r w:rsidR="006A3CB1" w:rsidRPr="00795525">
              <w:t>,</w:t>
            </w:r>
            <w:r w:rsidRPr="00795525">
              <w:t>053.00</w:t>
            </w:r>
          </w:p>
        </w:tc>
      </w:tr>
    </w:tbl>
    <w:p w:rsidR="00DD56CE" w:rsidRPr="00795525" w:rsidRDefault="007320A4" w:rsidP="00DD56CE">
      <w:pPr>
        <w:pStyle w:val="ItemHead"/>
      </w:pPr>
      <w:r w:rsidRPr="00795525">
        <w:t>4</w:t>
      </w:r>
      <w:r w:rsidR="00DD56CE" w:rsidRPr="00795525">
        <w:t xml:space="preserve">  Schedule</w:t>
      </w:r>
      <w:r w:rsidR="00795525" w:rsidRPr="00795525">
        <w:t> </w:t>
      </w:r>
      <w:r w:rsidR="00DD56CE" w:rsidRPr="00795525">
        <w:t>1 (item</w:t>
      </w:r>
      <w:r w:rsidR="00795525" w:rsidRPr="00795525">
        <w:t> </w:t>
      </w:r>
      <w:r w:rsidR="00DD56CE" w:rsidRPr="00795525">
        <w:t>61671)</w:t>
      </w:r>
    </w:p>
    <w:p w:rsidR="00CB4D60" w:rsidRPr="00795525" w:rsidRDefault="00CB4D60" w:rsidP="00CB4D60">
      <w:pPr>
        <w:pStyle w:val="Item"/>
      </w:pPr>
      <w:r w:rsidRPr="00795525">
        <w:t>Repeal the item, substitute:</w:t>
      </w:r>
    </w:p>
    <w:p w:rsidR="00CB4D60" w:rsidRPr="00795525" w:rsidRDefault="00CB4D60" w:rsidP="00CB4D60">
      <w:pPr>
        <w:pStyle w:val="Tabletext"/>
      </w:pPr>
    </w:p>
    <w:tbl>
      <w:tblPr>
        <w:tblW w:w="5000" w:type="pct"/>
        <w:tblCellMar>
          <w:left w:w="31" w:type="dxa"/>
          <w:right w:w="31" w:type="dxa"/>
        </w:tblCellMar>
        <w:tblLook w:val="0000" w:firstRow="0" w:lastRow="0" w:firstColumn="0" w:lastColumn="0" w:noHBand="0" w:noVBand="0"/>
      </w:tblPr>
      <w:tblGrid>
        <w:gridCol w:w="789"/>
        <w:gridCol w:w="6484"/>
        <w:gridCol w:w="1102"/>
      </w:tblGrid>
      <w:tr w:rsidR="00CB4D60" w:rsidRPr="00795525" w:rsidTr="00CB4D60">
        <w:tc>
          <w:tcPr>
            <w:tcW w:w="471" w:type="pct"/>
            <w:shd w:val="clear" w:color="auto" w:fill="auto"/>
          </w:tcPr>
          <w:p w:rsidR="00CB4D60" w:rsidRPr="00795525" w:rsidRDefault="00CB4D60" w:rsidP="00C87911">
            <w:pPr>
              <w:pStyle w:val="Tabletext"/>
            </w:pPr>
            <w:r w:rsidRPr="00795525">
              <w:t>61671</w:t>
            </w:r>
          </w:p>
        </w:tc>
        <w:tc>
          <w:tcPr>
            <w:tcW w:w="3871" w:type="pct"/>
            <w:shd w:val="clear" w:color="auto" w:fill="auto"/>
          </w:tcPr>
          <w:p w:rsidR="00CB4D60" w:rsidRPr="00795525" w:rsidRDefault="00CB4D60" w:rsidP="00C87911">
            <w:pPr>
              <w:pStyle w:val="Tabletext"/>
            </w:pPr>
            <w:r w:rsidRPr="00795525">
              <w:t>Indium</w:t>
            </w:r>
            <w:r w:rsidR="00795525">
              <w:noBreakHyphen/>
            </w:r>
            <w:r w:rsidRPr="00795525">
              <w:t>labelled octreotide study (including single photon emission tomography when undertaken), if:</w:t>
            </w:r>
          </w:p>
          <w:p w:rsidR="00CB4D60" w:rsidRPr="00795525" w:rsidRDefault="00CB4D60" w:rsidP="00C87911">
            <w:pPr>
              <w:pStyle w:val="Tablea"/>
            </w:pPr>
            <w:r w:rsidRPr="00795525">
              <w:t>(a) a gastro</w:t>
            </w:r>
            <w:r w:rsidR="00795525">
              <w:noBreakHyphen/>
            </w:r>
            <w:r w:rsidRPr="00795525">
              <w:t>entero</w:t>
            </w:r>
            <w:r w:rsidR="00795525">
              <w:noBreakHyphen/>
            </w:r>
            <w:r w:rsidRPr="00795525">
              <w:t>pancreatic endocrine tumour is suspected on the basis of biochemical evidence with negative or equivocal conventional imaging; or</w:t>
            </w:r>
          </w:p>
          <w:p w:rsidR="00CB4D60" w:rsidRPr="00795525" w:rsidRDefault="00CB4D60" w:rsidP="00C87911">
            <w:pPr>
              <w:pStyle w:val="Tablea"/>
            </w:pPr>
            <w:r w:rsidRPr="00795525">
              <w:t>(b) both:</w:t>
            </w:r>
          </w:p>
          <w:p w:rsidR="00CB4D60" w:rsidRPr="00795525" w:rsidRDefault="00CB4D60" w:rsidP="00CB4D60">
            <w:pPr>
              <w:pStyle w:val="Tablei"/>
            </w:pPr>
            <w:r w:rsidRPr="00795525">
              <w:t>(i) a surgically amenable gastro</w:t>
            </w:r>
            <w:r w:rsidR="00795525">
              <w:noBreakHyphen/>
            </w:r>
            <w:r w:rsidRPr="00795525">
              <w:t>entero</w:t>
            </w:r>
            <w:r w:rsidR="00795525">
              <w:noBreakHyphen/>
            </w:r>
            <w:r w:rsidRPr="00795525">
              <w:t>pancreatic endocrine tumour has been identified on the basis of conventional techniques; and</w:t>
            </w:r>
          </w:p>
          <w:p w:rsidR="00CB4D60" w:rsidRPr="00795525" w:rsidRDefault="00CB4D60" w:rsidP="00CB4D60">
            <w:pPr>
              <w:pStyle w:val="Tablei"/>
            </w:pPr>
            <w:r w:rsidRPr="00795525">
              <w:t>(ii) the study is to exclude additional disease sites</w:t>
            </w:r>
          </w:p>
          <w:p w:rsidR="00CB4D60" w:rsidRPr="00795525" w:rsidRDefault="00CB4D60" w:rsidP="00CB4D60">
            <w:pPr>
              <w:pStyle w:val="Tabletext"/>
            </w:pPr>
            <w:r w:rsidRPr="00795525">
              <w:t>(R) (NK)</w:t>
            </w:r>
          </w:p>
        </w:tc>
        <w:tc>
          <w:tcPr>
            <w:tcW w:w="658" w:type="pct"/>
            <w:shd w:val="clear" w:color="auto" w:fill="auto"/>
          </w:tcPr>
          <w:p w:rsidR="00CB4D60" w:rsidRPr="00795525" w:rsidRDefault="00CB4D60" w:rsidP="00C87911">
            <w:pPr>
              <w:pStyle w:val="Tabletext"/>
              <w:tabs>
                <w:tab w:val="decimal" w:pos="440"/>
              </w:tabs>
              <w:jc w:val="right"/>
            </w:pPr>
            <w:r w:rsidRPr="00795525">
              <w:t>1,007.90</w:t>
            </w:r>
          </w:p>
        </w:tc>
      </w:tr>
    </w:tbl>
    <w:p w:rsidR="00627F82" w:rsidRPr="00795525" w:rsidRDefault="007320A4" w:rsidP="00627F82">
      <w:pPr>
        <w:pStyle w:val="ItemHead"/>
      </w:pPr>
      <w:r w:rsidRPr="00795525">
        <w:t>5</w:t>
      </w:r>
      <w:r w:rsidR="00627F82" w:rsidRPr="00795525">
        <w:t xml:space="preserve">  Subclause</w:t>
      </w:r>
      <w:r w:rsidR="00795525" w:rsidRPr="00795525">
        <w:t> </w:t>
      </w:r>
      <w:r w:rsidR="00627F82" w:rsidRPr="00795525">
        <w:t>2.5.1(1) of Schedule</w:t>
      </w:r>
      <w:r w:rsidR="00795525" w:rsidRPr="00795525">
        <w:t> </w:t>
      </w:r>
      <w:r w:rsidR="00627F82" w:rsidRPr="00795525">
        <w:t>1</w:t>
      </w:r>
    </w:p>
    <w:p w:rsidR="008E64C3" w:rsidRPr="00795525" w:rsidRDefault="008E64C3" w:rsidP="008E64C3">
      <w:pPr>
        <w:pStyle w:val="Item"/>
      </w:pPr>
      <w:r w:rsidRPr="00795525">
        <w:t>Omit “Items</w:t>
      </w:r>
      <w:r w:rsidR="00795525" w:rsidRPr="00795525">
        <w:t> </w:t>
      </w:r>
      <w:r w:rsidRPr="00795525">
        <w:t>63001 to 63467, 63487 to 63490, 63470 to 63486 and 63740 to 63747”, substitute “The items in Subgroups 1 to 21”.</w:t>
      </w:r>
    </w:p>
    <w:p w:rsidR="004C459B" w:rsidRPr="00795525" w:rsidRDefault="007320A4" w:rsidP="004C459B">
      <w:pPr>
        <w:pStyle w:val="ItemHead"/>
      </w:pPr>
      <w:r w:rsidRPr="00795525">
        <w:t>6</w:t>
      </w:r>
      <w:r w:rsidR="004C459B" w:rsidRPr="00795525">
        <w:t xml:space="preserve">  Subclause</w:t>
      </w:r>
      <w:r w:rsidR="00795525" w:rsidRPr="00795525">
        <w:t> </w:t>
      </w:r>
      <w:r w:rsidR="004C459B" w:rsidRPr="00795525">
        <w:t>2.5</w:t>
      </w:r>
      <w:r w:rsidR="00E0261D" w:rsidRPr="00795525">
        <w:t>.1</w:t>
      </w:r>
      <w:r w:rsidR="004C459B" w:rsidRPr="00795525">
        <w:t>(2) of Schedule</w:t>
      </w:r>
      <w:r w:rsidR="00795525" w:rsidRPr="00795525">
        <w:t> </w:t>
      </w:r>
      <w:r w:rsidR="004C459B" w:rsidRPr="00795525">
        <w:t>1</w:t>
      </w:r>
    </w:p>
    <w:p w:rsidR="00831D7C" w:rsidRPr="00795525" w:rsidRDefault="00831D7C" w:rsidP="00831D7C">
      <w:pPr>
        <w:pStyle w:val="Item"/>
      </w:pPr>
      <w:r w:rsidRPr="00795525">
        <w:t>Omit “Items</w:t>
      </w:r>
      <w:r w:rsidR="00795525" w:rsidRPr="00795525">
        <w:t> </w:t>
      </w:r>
      <w:r w:rsidRPr="00795525">
        <w:t>63457, 63458, 63464 to 63467, 63487 to 63490, 63470 to 63484 and 63740 to 63747”, substitute “Items</w:t>
      </w:r>
      <w:r w:rsidR="00795525" w:rsidRPr="00795525">
        <w:t> </w:t>
      </w:r>
      <w:r w:rsidRPr="00795525">
        <w:t>63395 to 63398</w:t>
      </w:r>
      <w:r w:rsidR="00E40B0A" w:rsidRPr="00795525">
        <w:t xml:space="preserve"> and</w:t>
      </w:r>
      <w:r w:rsidRPr="00795525">
        <w:t xml:space="preserve"> the items in Subgroups 19</w:t>
      </w:r>
      <w:r w:rsidR="00E40B0A" w:rsidRPr="00795525">
        <w:t>, 20 and 21</w:t>
      </w:r>
      <w:r w:rsidRPr="00795525">
        <w:t xml:space="preserve"> (other than item</w:t>
      </w:r>
      <w:r w:rsidR="000B289A" w:rsidRPr="00795525">
        <w:t>s</w:t>
      </w:r>
      <w:r w:rsidR="00795525" w:rsidRPr="00795525">
        <w:t> </w:t>
      </w:r>
      <w:r w:rsidRPr="00795525">
        <w:t>63455</w:t>
      </w:r>
      <w:r w:rsidR="000B289A" w:rsidRPr="00795525">
        <w:t xml:space="preserve"> and 63461</w:t>
      </w:r>
      <w:r w:rsidRPr="00795525">
        <w:t>)”.</w:t>
      </w:r>
    </w:p>
    <w:p w:rsidR="008E64C3" w:rsidRPr="00795525" w:rsidRDefault="007320A4" w:rsidP="008E64C3">
      <w:pPr>
        <w:pStyle w:val="ItemHead"/>
      </w:pPr>
      <w:r w:rsidRPr="00795525">
        <w:t>7</w:t>
      </w:r>
      <w:r w:rsidR="00E0261D" w:rsidRPr="00795525">
        <w:t xml:space="preserve">  Subclause</w:t>
      </w:r>
      <w:r w:rsidR="00795525" w:rsidRPr="00795525">
        <w:t> </w:t>
      </w:r>
      <w:r w:rsidR="00E0261D" w:rsidRPr="00795525">
        <w:t>2.5.1</w:t>
      </w:r>
      <w:r w:rsidR="008E64C3" w:rsidRPr="00795525">
        <w:t>(</w:t>
      </w:r>
      <w:r w:rsidR="004C459B" w:rsidRPr="00795525">
        <w:t>3</w:t>
      </w:r>
      <w:r w:rsidR="008E64C3" w:rsidRPr="00795525">
        <w:t>) of Schedule</w:t>
      </w:r>
      <w:r w:rsidR="00795525" w:rsidRPr="00795525">
        <w:t> </w:t>
      </w:r>
      <w:r w:rsidR="008E64C3" w:rsidRPr="00795525">
        <w:t>1</w:t>
      </w:r>
    </w:p>
    <w:p w:rsidR="008E64C3" w:rsidRPr="00795525" w:rsidRDefault="008E64C3" w:rsidP="008E64C3">
      <w:pPr>
        <w:pStyle w:val="Item"/>
      </w:pPr>
      <w:r w:rsidRPr="00795525">
        <w:t>Omit “</w:t>
      </w:r>
      <w:r w:rsidR="004C459B" w:rsidRPr="00795525">
        <w:t>Items</w:t>
      </w:r>
      <w:r w:rsidR="00795525" w:rsidRPr="00795525">
        <w:t> </w:t>
      </w:r>
      <w:r w:rsidR="004C459B" w:rsidRPr="00795525">
        <w:t>63491 to 63497</w:t>
      </w:r>
      <w:r w:rsidRPr="00795525">
        <w:t>”, substitute “The items in Subgroup 22”.</w:t>
      </w:r>
    </w:p>
    <w:p w:rsidR="00DB4888" w:rsidRPr="00795525" w:rsidRDefault="007320A4" w:rsidP="00DB4888">
      <w:pPr>
        <w:pStyle w:val="ItemHead"/>
      </w:pPr>
      <w:r w:rsidRPr="00795525">
        <w:t>8</w:t>
      </w:r>
      <w:r w:rsidR="00DB4888" w:rsidRPr="00795525">
        <w:t xml:space="preserve">  Subclause</w:t>
      </w:r>
      <w:r w:rsidR="00795525" w:rsidRPr="00795525">
        <w:t> </w:t>
      </w:r>
      <w:r w:rsidR="00DB4888" w:rsidRPr="00795525">
        <w:t>2.5.1(4) of Schedule</w:t>
      </w:r>
      <w:r w:rsidR="00795525" w:rsidRPr="00795525">
        <w:t> </w:t>
      </w:r>
      <w:r w:rsidR="00DB4888" w:rsidRPr="00795525">
        <w:t>1</w:t>
      </w:r>
    </w:p>
    <w:p w:rsidR="008E64C3" w:rsidRPr="00795525" w:rsidRDefault="008E64C3" w:rsidP="00DB4888">
      <w:pPr>
        <w:pStyle w:val="Item"/>
      </w:pPr>
      <w:r w:rsidRPr="00795525">
        <w:t>Omit “Items</w:t>
      </w:r>
      <w:r w:rsidR="00795525" w:rsidRPr="00795525">
        <w:t> </w:t>
      </w:r>
      <w:r w:rsidRPr="00795525">
        <w:t>63507 to 63561”, substitute “</w:t>
      </w:r>
      <w:r w:rsidR="004C459B" w:rsidRPr="00795525">
        <w:t>T</w:t>
      </w:r>
      <w:r w:rsidRPr="00795525">
        <w:t>he items in Subgroups 33 and 34”.</w:t>
      </w:r>
    </w:p>
    <w:p w:rsidR="00DB3E3E" w:rsidRPr="00795525" w:rsidRDefault="007320A4" w:rsidP="00DB3E3E">
      <w:pPr>
        <w:pStyle w:val="ItemHead"/>
      </w:pPr>
      <w:r w:rsidRPr="00795525">
        <w:t>9</w:t>
      </w:r>
      <w:r w:rsidR="00DB3E3E" w:rsidRPr="00795525">
        <w:t xml:space="preserve">  </w:t>
      </w:r>
      <w:r w:rsidR="00FC655D" w:rsidRPr="00795525">
        <w:t>Clause</w:t>
      </w:r>
      <w:r w:rsidR="00795525" w:rsidRPr="00795525">
        <w:t> </w:t>
      </w:r>
      <w:r w:rsidR="00DB3E3E" w:rsidRPr="00795525">
        <w:t>2.5.4</w:t>
      </w:r>
      <w:r w:rsidR="00B44B12" w:rsidRPr="00795525">
        <w:t xml:space="preserve"> of Schedule</w:t>
      </w:r>
      <w:r w:rsidR="00795525" w:rsidRPr="00795525">
        <w:t> </w:t>
      </w:r>
      <w:r w:rsidR="00B44B12" w:rsidRPr="00795525">
        <w:t>1</w:t>
      </w:r>
    </w:p>
    <w:p w:rsidR="0004632F" w:rsidRPr="00795525" w:rsidRDefault="0004632F" w:rsidP="0004632F">
      <w:pPr>
        <w:pStyle w:val="Item"/>
      </w:pPr>
      <w:r w:rsidRPr="00795525">
        <w:t xml:space="preserve">Repeal the </w:t>
      </w:r>
      <w:r w:rsidR="00FC655D" w:rsidRPr="00795525">
        <w:t>clause</w:t>
      </w:r>
      <w:r w:rsidRPr="00795525">
        <w:t>, substitute:</w:t>
      </w:r>
    </w:p>
    <w:p w:rsidR="0001560C" w:rsidRPr="00795525" w:rsidRDefault="0001560C" w:rsidP="0001560C">
      <w:pPr>
        <w:pStyle w:val="ActHead5"/>
      </w:pPr>
      <w:bookmarkStart w:id="9" w:name="_Toc509399319"/>
      <w:r w:rsidRPr="00795525">
        <w:rPr>
          <w:rStyle w:val="CharSectno"/>
        </w:rPr>
        <w:t>2.5.4</w:t>
      </w:r>
      <w:r w:rsidRPr="00795525">
        <w:t xml:space="preserve">  MRI and MRA services—eligible provider</w:t>
      </w:r>
      <w:bookmarkEnd w:id="9"/>
    </w:p>
    <w:p w:rsidR="0001560C" w:rsidRPr="00795525" w:rsidRDefault="0001560C" w:rsidP="0001560C">
      <w:pPr>
        <w:pStyle w:val="subsection"/>
        <w:rPr>
          <w:b/>
        </w:rPr>
      </w:pPr>
      <w:r w:rsidRPr="00795525">
        <w:tab/>
      </w:r>
      <w:r w:rsidRPr="00795525">
        <w:tab/>
        <w:t xml:space="preserve">A person mentioned in column 2 of an item of the following table is an </w:t>
      </w:r>
      <w:r w:rsidRPr="00795525">
        <w:rPr>
          <w:b/>
          <w:i/>
        </w:rPr>
        <w:t>eligible provider</w:t>
      </w:r>
      <w:r w:rsidRPr="00795525">
        <w:t xml:space="preserve"> for an MRI or MRA service mentioned in column 1 of the item.</w:t>
      </w:r>
    </w:p>
    <w:p w:rsidR="0004632F" w:rsidRPr="00795525" w:rsidRDefault="0004632F" w:rsidP="0004632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533"/>
        <w:gridCol w:w="5066"/>
      </w:tblGrid>
      <w:tr w:rsidR="0004632F" w:rsidRPr="00795525" w:rsidTr="00F057A4">
        <w:trPr>
          <w:tblHeader/>
        </w:trPr>
        <w:tc>
          <w:tcPr>
            <w:tcW w:w="8313" w:type="dxa"/>
            <w:gridSpan w:val="3"/>
            <w:tcBorders>
              <w:top w:val="single" w:sz="12" w:space="0" w:color="auto"/>
              <w:bottom w:val="single" w:sz="6" w:space="0" w:color="auto"/>
            </w:tcBorders>
            <w:shd w:val="clear" w:color="auto" w:fill="auto"/>
          </w:tcPr>
          <w:p w:rsidR="0004632F" w:rsidRPr="00795525" w:rsidRDefault="0004632F" w:rsidP="00072E93">
            <w:pPr>
              <w:pStyle w:val="TableHeading"/>
            </w:pPr>
            <w:r w:rsidRPr="00795525">
              <w:t>Eligible providers</w:t>
            </w:r>
          </w:p>
        </w:tc>
      </w:tr>
      <w:tr w:rsidR="0004632F" w:rsidRPr="00795525" w:rsidTr="00F057A4">
        <w:trPr>
          <w:tblHeader/>
        </w:trPr>
        <w:tc>
          <w:tcPr>
            <w:tcW w:w="714" w:type="dxa"/>
            <w:tcBorders>
              <w:top w:val="single" w:sz="6" w:space="0" w:color="auto"/>
              <w:bottom w:val="single" w:sz="12" w:space="0" w:color="auto"/>
            </w:tcBorders>
            <w:shd w:val="clear" w:color="auto" w:fill="auto"/>
          </w:tcPr>
          <w:p w:rsidR="0004632F" w:rsidRPr="00795525" w:rsidRDefault="0004632F" w:rsidP="00072E93">
            <w:pPr>
              <w:pStyle w:val="TableHeading"/>
            </w:pPr>
            <w:r w:rsidRPr="00795525">
              <w:t>Item</w:t>
            </w:r>
          </w:p>
        </w:tc>
        <w:tc>
          <w:tcPr>
            <w:tcW w:w="2533" w:type="dxa"/>
            <w:tcBorders>
              <w:top w:val="single" w:sz="6" w:space="0" w:color="auto"/>
              <w:bottom w:val="single" w:sz="12" w:space="0" w:color="auto"/>
            </w:tcBorders>
            <w:shd w:val="clear" w:color="auto" w:fill="auto"/>
          </w:tcPr>
          <w:p w:rsidR="0001560C" w:rsidRPr="00795525" w:rsidRDefault="0001560C" w:rsidP="00072E93">
            <w:pPr>
              <w:pStyle w:val="TableHeading"/>
            </w:pPr>
            <w:r w:rsidRPr="00795525">
              <w:t>Column 1</w:t>
            </w:r>
          </w:p>
          <w:p w:rsidR="0004632F" w:rsidRPr="00795525" w:rsidRDefault="0001560C" w:rsidP="00072E93">
            <w:pPr>
              <w:pStyle w:val="TableHeading"/>
            </w:pPr>
            <w:r w:rsidRPr="00795525">
              <w:t>MRA or MRA service</w:t>
            </w:r>
          </w:p>
        </w:tc>
        <w:tc>
          <w:tcPr>
            <w:tcW w:w="5066" w:type="dxa"/>
            <w:tcBorders>
              <w:top w:val="single" w:sz="6" w:space="0" w:color="auto"/>
              <w:bottom w:val="single" w:sz="12" w:space="0" w:color="auto"/>
            </w:tcBorders>
            <w:shd w:val="clear" w:color="auto" w:fill="auto"/>
          </w:tcPr>
          <w:p w:rsidR="0004632F" w:rsidRPr="00795525" w:rsidRDefault="0001560C" w:rsidP="00072E93">
            <w:pPr>
              <w:pStyle w:val="TableHeading"/>
            </w:pPr>
            <w:r w:rsidRPr="00795525">
              <w:t>Column 2</w:t>
            </w:r>
          </w:p>
          <w:p w:rsidR="0001560C" w:rsidRPr="00795525" w:rsidRDefault="0001560C" w:rsidP="00072E93">
            <w:pPr>
              <w:pStyle w:val="TableHeading"/>
            </w:pPr>
            <w:r w:rsidRPr="00795525">
              <w:t>Person</w:t>
            </w:r>
          </w:p>
        </w:tc>
      </w:tr>
      <w:tr w:rsidR="0004632F" w:rsidRPr="00795525" w:rsidTr="00F057A4">
        <w:tc>
          <w:tcPr>
            <w:tcW w:w="714" w:type="dxa"/>
            <w:tcBorders>
              <w:top w:val="single" w:sz="12" w:space="0" w:color="auto"/>
              <w:bottom w:val="single" w:sz="2" w:space="0" w:color="auto"/>
            </w:tcBorders>
            <w:shd w:val="clear" w:color="auto" w:fill="auto"/>
          </w:tcPr>
          <w:p w:rsidR="0004632F" w:rsidRPr="00795525" w:rsidRDefault="0004632F" w:rsidP="0004632F">
            <w:pPr>
              <w:pStyle w:val="Tabletext"/>
            </w:pPr>
            <w:r w:rsidRPr="00795525">
              <w:t>1</w:t>
            </w:r>
          </w:p>
        </w:tc>
        <w:tc>
          <w:tcPr>
            <w:tcW w:w="2533" w:type="dxa"/>
            <w:tcBorders>
              <w:top w:val="single" w:sz="12" w:space="0" w:color="auto"/>
              <w:bottom w:val="single" w:sz="2" w:space="0" w:color="auto"/>
            </w:tcBorders>
            <w:shd w:val="clear" w:color="auto" w:fill="auto"/>
          </w:tcPr>
          <w:p w:rsidR="0004632F" w:rsidRPr="00795525" w:rsidRDefault="0001560C" w:rsidP="00255348">
            <w:pPr>
              <w:pStyle w:val="Tabletext"/>
            </w:pPr>
            <w:r w:rsidRPr="00795525">
              <w:t>A</w:t>
            </w:r>
            <w:r w:rsidR="0004632F" w:rsidRPr="00795525">
              <w:t xml:space="preserve"> service to which</w:t>
            </w:r>
            <w:r w:rsidRPr="00795525">
              <w:t xml:space="preserve"> </w:t>
            </w:r>
            <w:r w:rsidR="00255348" w:rsidRPr="00795525">
              <w:t xml:space="preserve">none of </w:t>
            </w:r>
            <w:r w:rsidRPr="00795525">
              <w:t>items</w:t>
            </w:r>
            <w:r w:rsidR="00795525" w:rsidRPr="00795525">
              <w:t> </w:t>
            </w:r>
            <w:r w:rsidRPr="00795525">
              <w:t>63395 to 63398 apply</w:t>
            </w:r>
          </w:p>
        </w:tc>
        <w:tc>
          <w:tcPr>
            <w:tcW w:w="5066" w:type="dxa"/>
            <w:tcBorders>
              <w:top w:val="single" w:sz="12" w:space="0" w:color="auto"/>
              <w:bottom w:val="single" w:sz="2" w:space="0" w:color="auto"/>
            </w:tcBorders>
            <w:shd w:val="clear" w:color="auto" w:fill="auto"/>
          </w:tcPr>
          <w:p w:rsidR="00254212" w:rsidRPr="00795525" w:rsidRDefault="00254212" w:rsidP="0004632F">
            <w:pPr>
              <w:pStyle w:val="Tabletext"/>
            </w:pPr>
            <w:r w:rsidRPr="00795525">
              <w:t>A person who:</w:t>
            </w:r>
          </w:p>
          <w:p w:rsidR="00254212" w:rsidRPr="00795525" w:rsidRDefault="00254212" w:rsidP="00254212">
            <w:pPr>
              <w:pStyle w:val="Tablea"/>
            </w:pPr>
            <w:r w:rsidRPr="00795525">
              <w:t>(a) is a</w:t>
            </w:r>
            <w:r w:rsidR="0001560C" w:rsidRPr="00795525">
              <w:t xml:space="preserve"> specialist in diagnostic radiolog</w:t>
            </w:r>
            <w:r w:rsidRPr="00795525">
              <w:t>y; and</w:t>
            </w:r>
          </w:p>
          <w:p w:rsidR="0004632F" w:rsidRPr="00795525" w:rsidRDefault="00254212" w:rsidP="00254212">
            <w:pPr>
              <w:pStyle w:val="Tablea"/>
            </w:pPr>
            <w:r w:rsidRPr="00795525">
              <w:t xml:space="preserve">(b) </w:t>
            </w:r>
            <w:r w:rsidR="0001560C" w:rsidRPr="00795525">
              <w:t>satisfies the Chief Executive Medicare that the specialist is a participant in the Royal Australian and New Zealand College of Radiologists</w:t>
            </w:r>
            <w:r w:rsidR="00072E93" w:rsidRPr="00795525">
              <w:t>’</w:t>
            </w:r>
            <w:r w:rsidR="0001560C" w:rsidRPr="00795525">
              <w:t xml:space="preserve"> Quality and Accreditation Program</w:t>
            </w:r>
          </w:p>
        </w:tc>
      </w:tr>
      <w:tr w:rsidR="0001560C" w:rsidRPr="00795525" w:rsidTr="00F057A4">
        <w:tc>
          <w:tcPr>
            <w:tcW w:w="714" w:type="dxa"/>
            <w:tcBorders>
              <w:top w:val="single" w:sz="2" w:space="0" w:color="auto"/>
              <w:bottom w:val="single" w:sz="12" w:space="0" w:color="auto"/>
            </w:tcBorders>
            <w:shd w:val="clear" w:color="auto" w:fill="auto"/>
          </w:tcPr>
          <w:p w:rsidR="0001560C" w:rsidRPr="00795525" w:rsidRDefault="00F057A4" w:rsidP="001C7D3D">
            <w:pPr>
              <w:pStyle w:val="Tabletext"/>
            </w:pPr>
            <w:r w:rsidRPr="00795525">
              <w:t>2</w:t>
            </w:r>
          </w:p>
        </w:tc>
        <w:tc>
          <w:tcPr>
            <w:tcW w:w="2533" w:type="dxa"/>
            <w:tcBorders>
              <w:top w:val="single" w:sz="2" w:space="0" w:color="auto"/>
              <w:bottom w:val="single" w:sz="12" w:space="0" w:color="auto"/>
            </w:tcBorders>
            <w:shd w:val="clear" w:color="auto" w:fill="auto"/>
          </w:tcPr>
          <w:p w:rsidR="0001560C" w:rsidRPr="00795525" w:rsidRDefault="0001560C" w:rsidP="0001560C">
            <w:pPr>
              <w:pStyle w:val="Tabletext"/>
            </w:pPr>
            <w:r w:rsidRPr="00795525">
              <w:t xml:space="preserve">A service to which </w:t>
            </w:r>
            <w:r w:rsidR="00255348" w:rsidRPr="00795525">
              <w:t xml:space="preserve">any of </w:t>
            </w:r>
            <w:r w:rsidRPr="00795525">
              <w:t>items</w:t>
            </w:r>
            <w:r w:rsidR="00795525" w:rsidRPr="00795525">
              <w:t> </w:t>
            </w:r>
            <w:r w:rsidRPr="00795525">
              <w:t>63395 to 63398 apply</w:t>
            </w:r>
          </w:p>
        </w:tc>
        <w:tc>
          <w:tcPr>
            <w:tcW w:w="5066" w:type="dxa"/>
            <w:tcBorders>
              <w:top w:val="single" w:sz="2" w:space="0" w:color="auto"/>
              <w:bottom w:val="single" w:sz="12" w:space="0" w:color="auto"/>
            </w:tcBorders>
            <w:shd w:val="clear" w:color="auto" w:fill="auto"/>
          </w:tcPr>
          <w:p w:rsidR="00254212" w:rsidRPr="00795525" w:rsidRDefault="00254212" w:rsidP="0001560C">
            <w:pPr>
              <w:pStyle w:val="Tabletext"/>
            </w:pPr>
            <w:r w:rsidRPr="00795525">
              <w:t>A person who is:</w:t>
            </w:r>
          </w:p>
          <w:p w:rsidR="00F057A4" w:rsidRPr="00795525" w:rsidRDefault="00254212" w:rsidP="00F057A4">
            <w:pPr>
              <w:pStyle w:val="Tablea"/>
            </w:pPr>
            <w:r w:rsidRPr="00795525">
              <w:t xml:space="preserve">(a) a </w:t>
            </w:r>
            <w:r w:rsidR="00F057A4" w:rsidRPr="00795525">
              <w:t>specialist in diagnostic radiology</w:t>
            </w:r>
            <w:r w:rsidRPr="00795525">
              <w:t xml:space="preserve"> or </w:t>
            </w:r>
            <w:r w:rsidR="00F057A4" w:rsidRPr="00795525">
              <w:t xml:space="preserve">a </w:t>
            </w:r>
            <w:r w:rsidR="0001560C" w:rsidRPr="00795525">
              <w:t>consultant physician</w:t>
            </w:r>
            <w:r w:rsidR="00F057A4" w:rsidRPr="00795525">
              <w:t>;</w:t>
            </w:r>
            <w:r w:rsidRPr="00795525">
              <w:t xml:space="preserve"> and</w:t>
            </w:r>
          </w:p>
          <w:p w:rsidR="0001560C" w:rsidRPr="00795525" w:rsidRDefault="00254212" w:rsidP="00254212">
            <w:pPr>
              <w:pStyle w:val="Tablea"/>
            </w:pPr>
            <w:r w:rsidRPr="00795525">
              <w:t xml:space="preserve">(b) </w:t>
            </w:r>
            <w:r w:rsidR="0001560C" w:rsidRPr="00795525">
              <w:t>recognised by the Conjoint Committee for Certification in Cardia</w:t>
            </w:r>
            <w:r w:rsidR="001C7D3D" w:rsidRPr="00795525">
              <w:t>c</w:t>
            </w:r>
            <w:r w:rsidR="0001560C" w:rsidRPr="00795525">
              <w:t xml:space="preserve"> MRI</w:t>
            </w:r>
          </w:p>
        </w:tc>
      </w:tr>
    </w:tbl>
    <w:p w:rsidR="009906A8" w:rsidRPr="00795525" w:rsidRDefault="007320A4" w:rsidP="0007143A">
      <w:pPr>
        <w:pStyle w:val="ItemHead"/>
      </w:pPr>
      <w:r w:rsidRPr="00795525">
        <w:t>10</w:t>
      </w:r>
      <w:r w:rsidR="009906A8" w:rsidRPr="00795525">
        <w:t xml:space="preserve">  Clause</w:t>
      </w:r>
      <w:r w:rsidR="00795525" w:rsidRPr="00795525">
        <w:t> </w:t>
      </w:r>
      <w:r w:rsidR="009906A8" w:rsidRPr="00795525">
        <w:t>2.5.9 of Schedule</w:t>
      </w:r>
      <w:r w:rsidR="00795525" w:rsidRPr="00795525">
        <w:t> </w:t>
      </w:r>
      <w:r w:rsidR="009906A8" w:rsidRPr="00795525">
        <w:t>1</w:t>
      </w:r>
    </w:p>
    <w:p w:rsidR="009906A8" w:rsidRPr="00795525" w:rsidRDefault="009906A8" w:rsidP="009906A8">
      <w:pPr>
        <w:pStyle w:val="Item"/>
      </w:pPr>
      <w:r w:rsidRPr="00795525">
        <w:t>Repeal the clause, substitute:</w:t>
      </w:r>
    </w:p>
    <w:p w:rsidR="009906A8" w:rsidRPr="00795525" w:rsidRDefault="009906A8" w:rsidP="009906A8">
      <w:pPr>
        <w:pStyle w:val="ActHead5"/>
      </w:pPr>
      <w:bookmarkStart w:id="10" w:name="_Toc509399320"/>
      <w:r w:rsidRPr="00795525">
        <w:rPr>
          <w:rStyle w:val="CharSectno"/>
        </w:rPr>
        <w:t>2.5.9</w:t>
      </w:r>
      <w:r w:rsidRPr="00795525">
        <w:t xml:space="preserve">  MRI or MRA services—</w:t>
      </w:r>
      <w:r w:rsidR="00804D39" w:rsidRPr="00795525">
        <w:t xml:space="preserve">application of items to </w:t>
      </w:r>
      <w:r w:rsidRPr="00795525">
        <w:t xml:space="preserve">related services </w:t>
      </w:r>
      <w:r w:rsidR="00804D39" w:rsidRPr="00795525">
        <w:t xml:space="preserve">provided </w:t>
      </w:r>
      <w:r w:rsidRPr="00795525">
        <w:t xml:space="preserve">in </w:t>
      </w:r>
      <w:r w:rsidR="00627F82" w:rsidRPr="00795525">
        <w:t>same period</w:t>
      </w:r>
      <w:bookmarkEnd w:id="10"/>
    </w:p>
    <w:p w:rsidR="00E8110D" w:rsidRPr="00795525" w:rsidRDefault="009906A8" w:rsidP="00E8110D">
      <w:pPr>
        <w:pStyle w:val="subsection"/>
      </w:pPr>
      <w:r w:rsidRPr="00795525">
        <w:tab/>
      </w:r>
      <w:r w:rsidRPr="00795525">
        <w:tab/>
        <w:t>An MRI or MRA item</w:t>
      </w:r>
      <w:r w:rsidR="00E8110D" w:rsidRPr="00795525">
        <w:t xml:space="preserve"> does not apply to a service provided to a person if:</w:t>
      </w:r>
    </w:p>
    <w:p w:rsidR="00E8110D" w:rsidRPr="00795525" w:rsidRDefault="00E8110D" w:rsidP="00E8110D">
      <w:pPr>
        <w:pStyle w:val="paragraph"/>
      </w:pPr>
      <w:r w:rsidRPr="00795525">
        <w:tab/>
        <w:t>(a)</w:t>
      </w:r>
      <w:r w:rsidRPr="00795525">
        <w:tab/>
        <w:t xml:space="preserve">the MRI or MRA item is specified in column 1 of an item (the </w:t>
      </w:r>
      <w:r w:rsidRPr="00795525">
        <w:rPr>
          <w:b/>
          <w:i/>
        </w:rPr>
        <w:t>table item</w:t>
      </w:r>
      <w:r w:rsidRPr="00795525">
        <w:t>) of the following table; and</w:t>
      </w:r>
    </w:p>
    <w:p w:rsidR="00E8110D" w:rsidRPr="00795525" w:rsidRDefault="00E8110D" w:rsidP="00E8110D">
      <w:pPr>
        <w:pStyle w:val="paragraph"/>
      </w:pPr>
      <w:r w:rsidRPr="00795525">
        <w:tab/>
        <w:t>(b)</w:t>
      </w:r>
      <w:r w:rsidRPr="00795525">
        <w:tab/>
        <w:t xml:space="preserve">during the period (the </w:t>
      </w:r>
      <w:r w:rsidRPr="00795525">
        <w:rPr>
          <w:b/>
          <w:i/>
        </w:rPr>
        <w:t>limitation period</w:t>
      </w:r>
      <w:r w:rsidRPr="00795525">
        <w:t>):</w:t>
      </w:r>
    </w:p>
    <w:p w:rsidR="00E8110D" w:rsidRPr="00795525" w:rsidRDefault="00E8110D" w:rsidP="00E8110D">
      <w:pPr>
        <w:pStyle w:val="paragraphsub"/>
      </w:pPr>
      <w:r w:rsidRPr="00795525">
        <w:tab/>
        <w:t>(i)</w:t>
      </w:r>
      <w:r w:rsidRPr="00795525">
        <w:tab/>
        <w:t>specified in column 2 of the table item; and</w:t>
      </w:r>
    </w:p>
    <w:p w:rsidR="00E8110D" w:rsidRPr="00795525" w:rsidRDefault="00E8110D" w:rsidP="00E8110D">
      <w:pPr>
        <w:pStyle w:val="paragraphsub"/>
      </w:pPr>
      <w:r w:rsidRPr="00795525">
        <w:tab/>
        <w:t>(ii)</w:t>
      </w:r>
      <w:r w:rsidRPr="00795525">
        <w:tab/>
        <w:t>ending immediately before the service is provided;</w:t>
      </w:r>
    </w:p>
    <w:p w:rsidR="00E8110D" w:rsidRPr="00795525" w:rsidRDefault="00E8110D" w:rsidP="00E8110D">
      <w:pPr>
        <w:pStyle w:val="paragraph"/>
      </w:pPr>
      <w:r w:rsidRPr="00795525">
        <w:tab/>
      </w:r>
      <w:r w:rsidRPr="00795525">
        <w:tab/>
        <w:t xml:space="preserve">the person was provided with one or more services (the </w:t>
      </w:r>
      <w:r w:rsidRPr="00795525">
        <w:rPr>
          <w:b/>
          <w:i/>
        </w:rPr>
        <w:t>earlier services</w:t>
      </w:r>
      <w:r w:rsidRPr="00795525">
        <w:t xml:space="preserve">) to which </w:t>
      </w:r>
      <w:r w:rsidR="00F53334" w:rsidRPr="00795525">
        <w:t xml:space="preserve">any of </w:t>
      </w:r>
      <w:r w:rsidRPr="00795525">
        <w:t>the MRI or MRA items mentioned in the table item applied; and</w:t>
      </w:r>
    </w:p>
    <w:p w:rsidR="00E8110D" w:rsidRPr="00795525" w:rsidRDefault="00E8110D" w:rsidP="00E8110D">
      <w:pPr>
        <w:pStyle w:val="paragraph"/>
      </w:pPr>
      <w:r w:rsidRPr="00795525">
        <w:tab/>
        <w:t>(c)</w:t>
      </w:r>
      <w:r w:rsidRPr="00795525">
        <w:tab/>
        <w:t xml:space="preserve">the number of earlier services provided to the person in the limitation period was equal to the maximum number specified in column 3 of the </w:t>
      </w:r>
      <w:r w:rsidR="00CF42C9" w:rsidRPr="00795525">
        <w:t xml:space="preserve">table </w:t>
      </w:r>
      <w:r w:rsidRPr="00795525">
        <w:t>item.</w:t>
      </w:r>
    </w:p>
    <w:p w:rsidR="009906A8" w:rsidRPr="00795525" w:rsidRDefault="009906A8" w:rsidP="009906A8">
      <w:pPr>
        <w:pStyle w:val="Tabletext"/>
      </w:pPr>
    </w:p>
    <w:tbl>
      <w:tblPr>
        <w:tblW w:w="5000" w:type="pct"/>
        <w:tblBorders>
          <w:top w:val="single" w:sz="4" w:space="0" w:color="auto"/>
          <w:bottom w:val="single" w:sz="2" w:space="0" w:color="auto"/>
          <w:insideH w:val="single" w:sz="2" w:space="0" w:color="auto"/>
        </w:tblBorders>
        <w:tblLook w:val="04A0" w:firstRow="1" w:lastRow="0" w:firstColumn="1" w:lastColumn="0" w:noHBand="0" w:noVBand="1"/>
      </w:tblPr>
      <w:tblGrid>
        <w:gridCol w:w="1002"/>
        <w:gridCol w:w="3679"/>
        <w:gridCol w:w="1924"/>
        <w:gridCol w:w="1924"/>
      </w:tblGrid>
      <w:tr w:rsidR="009906A8" w:rsidRPr="00795525" w:rsidTr="00627F82">
        <w:trPr>
          <w:tblHeader/>
        </w:trPr>
        <w:tc>
          <w:tcPr>
            <w:tcW w:w="5000" w:type="pct"/>
            <w:gridSpan w:val="4"/>
            <w:tcBorders>
              <w:top w:val="single" w:sz="12" w:space="0" w:color="auto"/>
              <w:bottom w:val="single" w:sz="6" w:space="0" w:color="auto"/>
            </w:tcBorders>
            <w:shd w:val="clear" w:color="auto" w:fill="auto"/>
          </w:tcPr>
          <w:p w:rsidR="009906A8" w:rsidRPr="00795525" w:rsidRDefault="009906A8" w:rsidP="009906A8">
            <w:pPr>
              <w:pStyle w:val="TableHeading"/>
            </w:pPr>
            <w:r w:rsidRPr="00795525">
              <w:t>Related services</w:t>
            </w:r>
          </w:p>
        </w:tc>
      </w:tr>
      <w:tr w:rsidR="009906A8" w:rsidRPr="00795525" w:rsidTr="00627F82">
        <w:trPr>
          <w:tblHeader/>
        </w:trPr>
        <w:tc>
          <w:tcPr>
            <w:tcW w:w="587" w:type="pct"/>
            <w:tcBorders>
              <w:top w:val="single" w:sz="6" w:space="0" w:color="auto"/>
              <w:bottom w:val="single" w:sz="12" w:space="0" w:color="auto"/>
            </w:tcBorders>
            <w:shd w:val="clear" w:color="auto" w:fill="auto"/>
            <w:hideMark/>
          </w:tcPr>
          <w:p w:rsidR="009906A8" w:rsidRPr="00795525" w:rsidRDefault="009906A8" w:rsidP="00694FE0">
            <w:pPr>
              <w:pStyle w:val="TableHeading"/>
            </w:pPr>
            <w:r w:rsidRPr="00795525">
              <w:t>Item</w:t>
            </w:r>
          </w:p>
        </w:tc>
        <w:tc>
          <w:tcPr>
            <w:tcW w:w="2157" w:type="pct"/>
            <w:tcBorders>
              <w:top w:val="single" w:sz="6" w:space="0" w:color="auto"/>
              <w:bottom w:val="single" w:sz="12" w:space="0" w:color="auto"/>
            </w:tcBorders>
            <w:shd w:val="clear" w:color="auto" w:fill="auto"/>
            <w:hideMark/>
          </w:tcPr>
          <w:p w:rsidR="009906A8" w:rsidRPr="00795525" w:rsidRDefault="009906A8" w:rsidP="00694FE0">
            <w:pPr>
              <w:pStyle w:val="TableHeading"/>
            </w:pPr>
            <w:r w:rsidRPr="00795525">
              <w:t>Column 1</w:t>
            </w:r>
          </w:p>
          <w:p w:rsidR="009906A8" w:rsidRPr="00795525" w:rsidRDefault="009906A8" w:rsidP="00694FE0">
            <w:pPr>
              <w:pStyle w:val="TableHeading"/>
            </w:pPr>
            <w:r w:rsidRPr="00795525">
              <w:t>MRI or MRA items</w:t>
            </w:r>
          </w:p>
        </w:tc>
        <w:tc>
          <w:tcPr>
            <w:tcW w:w="1128" w:type="pct"/>
            <w:tcBorders>
              <w:top w:val="single" w:sz="6" w:space="0" w:color="auto"/>
              <w:bottom w:val="single" w:sz="12" w:space="0" w:color="auto"/>
            </w:tcBorders>
            <w:shd w:val="clear" w:color="auto" w:fill="auto"/>
          </w:tcPr>
          <w:p w:rsidR="009906A8" w:rsidRPr="00795525" w:rsidRDefault="009906A8" w:rsidP="00694FE0">
            <w:pPr>
              <w:pStyle w:val="TableHeading"/>
            </w:pPr>
            <w:r w:rsidRPr="00795525">
              <w:t>Column 2</w:t>
            </w:r>
          </w:p>
          <w:p w:rsidR="009906A8" w:rsidRPr="00795525" w:rsidRDefault="009906A8" w:rsidP="00694FE0">
            <w:pPr>
              <w:pStyle w:val="TableHeading"/>
            </w:pPr>
            <w:r w:rsidRPr="00795525">
              <w:t>Limitation period</w:t>
            </w:r>
          </w:p>
        </w:tc>
        <w:tc>
          <w:tcPr>
            <w:tcW w:w="1128" w:type="pct"/>
            <w:tcBorders>
              <w:top w:val="single" w:sz="6" w:space="0" w:color="auto"/>
              <w:bottom w:val="single" w:sz="12" w:space="0" w:color="auto"/>
            </w:tcBorders>
            <w:shd w:val="clear" w:color="auto" w:fill="auto"/>
          </w:tcPr>
          <w:p w:rsidR="009906A8" w:rsidRPr="00795525" w:rsidRDefault="009906A8" w:rsidP="00863BD2">
            <w:pPr>
              <w:pStyle w:val="TableHeading"/>
            </w:pPr>
            <w:r w:rsidRPr="00795525">
              <w:t>Column 3</w:t>
            </w:r>
          </w:p>
          <w:p w:rsidR="009906A8" w:rsidRPr="00795525" w:rsidRDefault="009906A8" w:rsidP="00863BD2">
            <w:pPr>
              <w:pStyle w:val="TableHeading"/>
            </w:pPr>
            <w:r w:rsidRPr="00795525">
              <w:t>Maximum number of services</w:t>
            </w:r>
          </w:p>
        </w:tc>
      </w:tr>
      <w:tr w:rsidR="009906A8" w:rsidRPr="00795525" w:rsidTr="00627F82">
        <w:tc>
          <w:tcPr>
            <w:tcW w:w="587" w:type="pct"/>
            <w:tcBorders>
              <w:top w:val="single" w:sz="12" w:space="0" w:color="auto"/>
            </w:tcBorders>
            <w:shd w:val="clear" w:color="auto" w:fill="auto"/>
            <w:hideMark/>
          </w:tcPr>
          <w:p w:rsidR="009906A8" w:rsidRPr="00795525" w:rsidRDefault="008A3891" w:rsidP="009906A8">
            <w:pPr>
              <w:pStyle w:val="Tabletext"/>
            </w:pPr>
            <w:r w:rsidRPr="00795525">
              <w:t>1</w:t>
            </w:r>
          </w:p>
        </w:tc>
        <w:tc>
          <w:tcPr>
            <w:tcW w:w="2157" w:type="pct"/>
            <w:tcBorders>
              <w:top w:val="single" w:sz="12" w:space="0" w:color="auto"/>
            </w:tcBorders>
            <w:shd w:val="clear" w:color="auto" w:fill="auto"/>
            <w:hideMark/>
          </w:tcPr>
          <w:p w:rsidR="009906A8" w:rsidRPr="00795525" w:rsidRDefault="009906A8" w:rsidP="009906A8">
            <w:pPr>
              <w:pStyle w:val="Tabletext"/>
            </w:pPr>
            <w:r w:rsidRPr="00795525">
              <w:t>63040 to 63085</w:t>
            </w:r>
          </w:p>
        </w:tc>
        <w:tc>
          <w:tcPr>
            <w:tcW w:w="1128" w:type="pct"/>
            <w:tcBorders>
              <w:top w:val="single" w:sz="12" w:space="0" w:color="auto"/>
            </w:tcBorders>
            <w:shd w:val="clear" w:color="auto" w:fill="auto"/>
          </w:tcPr>
          <w:p w:rsidR="009906A8" w:rsidRPr="00795525" w:rsidRDefault="009906A8" w:rsidP="00863BD2">
            <w:pPr>
              <w:pStyle w:val="Tabletext"/>
            </w:pPr>
            <w:r w:rsidRPr="00795525">
              <w:t>12 months</w:t>
            </w:r>
          </w:p>
        </w:tc>
        <w:tc>
          <w:tcPr>
            <w:tcW w:w="1128" w:type="pct"/>
            <w:tcBorders>
              <w:top w:val="single" w:sz="12" w:space="0" w:color="auto"/>
            </w:tcBorders>
            <w:shd w:val="clear" w:color="auto" w:fill="auto"/>
          </w:tcPr>
          <w:p w:rsidR="009906A8" w:rsidRPr="00795525" w:rsidRDefault="009906A8" w:rsidP="00863BD2">
            <w:pPr>
              <w:pStyle w:val="Tabletext"/>
            </w:pPr>
            <w:r w:rsidRPr="00795525">
              <w:t>3</w:t>
            </w:r>
          </w:p>
        </w:tc>
      </w:tr>
      <w:tr w:rsidR="009906A8" w:rsidRPr="00795525" w:rsidTr="00627F82">
        <w:tc>
          <w:tcPr>
            <w:tcW w:w="587" w:type="pct"/>
            <w:shd w:val="clear" w:color="auto" w:fill="auto"/>
            <w:hideMark/>
          </w:tcPr>
          <w:p w:rsidR="009906A8" w:rsidRPr="00795525" w:rsidRDefault="008A3891" w:rsidP="009906A8">
            <w:pPr>
              <w:pStyle w:val="Tabletext"/>
            </w:pPr>
            <w:r w:rsidRPr="00795525">
              <w:t>2</w:t>
            </w:r>
          </w:p>
        </w:tc>
        <w:tc>
          <w:tcPr>
            <w:tcW w:w="2157" w:type="pct"/>
            <w:shd w:val="clear" w:color="auto" w:fill="auto"/>
            <w:hideMark/>
          </w:tcPr>
          <w:p w:rsidR="009906A8" w:rsidRPr="00795525" w:rsidRDefault="009906A8" w:rsidP="009906A8">
            <w:pPr>
              <w:pStyle w:val="Tabletext"/>
            </w:pPr>
            <w:r w:rsidRPr="00795525">
              <w:t>63101 and 63104</w:t>
            </w:r>
          </w:p>
        </w:tc>
        <w:tc>
          <w:tcPr>
            <w:tcW w:w="1128" w:type="pct"/>
            <w:shd w:val="clear" w:color="auto" w:fill="auto"/>
          </w:tcPr>
          <w:p w:rsidR="009906A8" w:rsidRPr="00795525" w:rsidRDefault="009906A8" w:rsidP="00863BD2">
            <w:pPr>
              <w:pStyle w:val="Tabletext"/>
            </w:pPr>
            <w:r w:rsidRPr="00795525">
              <w:t>12 months</w:t>
            </w:r>
          </w:p>
        </w:tc>
        <w:tc>
          <w:tcPr>
            <w:tcW w:w="1128" w:type="pct"/>
            <w:shd w:val="clear" w:color="auto" w:fill="auto"/>
          </w:tcPr>
          <w:p w:rsidR="009906A8" w:rsidRPr="00795525" w:rsidRDefault="009906A8" w:rsidP="00863BD2">
            <w:pPr>
              <w:pStyle w:val="Tabletext"/>
            </w:pPr>
            <w:r w:rsidRPr="00795525">
              <w:t>3</w:t>
            </w:r>
          </w:p>
        </w:tc>
      </w:tr>
      <w:tr w:rsidR="009906A8" w:rsidRPr="00795525" w:rsidTr="00627F82">
        <w:tc>
          <w:tcPr>
            <w:tcW w:w="587" w:type="pct"/>
            <w:shd w:val="clear" w:color="auto" w:fill="auto"/>
            <w:hideMark/>
          </w:tcPr>
          <w:p w:rsidR="009906A8" w:rsidRPr="00795525" w:rsidRDefault="008A3891" w:rsidP="009906A8">
            <w:pPr>
              <w:pStyle w:val="Tabletext"/>
            </w:pPr>
            <w:r w:rsidRPr="00795525">
              <w:t>3</w:t>
            </w:r>
          </w:p>
        </w:tc>
        <w:tc>
          <w:tcPr>
            <w:tcW w:w="2157" w:type="pct"/>
            <w:shd w:val="clear" w:color="auto" w:fill="auto"/>
            <w:hideMark/>
          </w:tcPr>
          <w:p w:rsidR="009906A8" w:rsidRPr="00795525" w:rsidRDefault="009906A8" w:rsidP="009906A8">
            <w:pPr>
              <w:pStyle w:val="Tabletext"/>
            </w:pPr>
            <w:r w:rsidRPr="00795525">
              <w:t>63125 to 63136</w:t>
            </w:r>
          </w:p>
        </w:tc>
        <w:tc>
          <w:tcPr>
            <w:tcW w:w="1128" w:type="pct"/>
            <w:shd w:val="clear" w:color="auto" w:fill="auto"/>
          </w:tcPr>
          <w:p w:rsidR="009906A8" w:rsidRPr="00795525" w:rsidRDefault="009906A8" w:rsidP="00863BD2">
            <w:pPr>
              <w:pStyle w:val="Tabletext"/>
            </w:pPr>
            <w:r w:rsidRPr="00795525">
              <w:t>12 months</w:t>
            </w:r>
          </w:p>
        </w:tc>
        <w:tc>
          <w:tcPr>
            <w:tcW w:w="1128" w:type="pct"/>
            <w:shd w:val="clear" w:color="auto" w:fill="auto"/>
          </w:tcPr>
          <w:p w:rsidR="009906A8" w:rsidRPr="00795525" w:rsidRDefault="009906A8" w:rsidP="00863BD2">
            <w:pPr>
              <w:pStyle w:val="Tabletext"/>
            </w:pPr>
            <w:r w:rsidRPr="00795525">
              <w:t>3</w:t>
            </w:r>
          </w:p>
        </w:tc>
      </w:tr>
      <w:tr w:rsidR="009906A8" w:rsidRPr="00795525" w:rsidTr="00627F82">
        <w:tc>
          <w:tcPr>
            <w:tcW w:w="587" w:type="pct"/>
            <w:shd w:val="clear" w:color="auto" w:fill="auto"/>
            <w:hideMark/>
          </w:tcPr>
          <w:p w:rsidR="009906A8" w:rsidRPr="00795525" w:rsidRDefault="008A3891" w:rsidP="009906A8">
            <w:pPr>
              <w:pStyle w:val="Tabletext"/>
            </w:pPr>
            <w:r w:rsidRPr="00795525">
              <w:t>4</w:t>
            </w:r>
          </w:p>
        </w:tc>
        <w:tc>
          <w:tcPr>
            <w:tcW w:w="2157" w:type="pct"/>
            <w:shd w:val="clear" w:color="auto" w:fill="auto"/>
            <w:hideMark/>
          </w:tcPr>
          <w:p w:rsidR="009906A8" w:rsidRPr="00795525" w:rsidRDefault="009906A8" w:rsidP="009906A8">
            <w:pPr>
              <w:pStyle w:val="Tabletext"/>
            </w:pPr>
            <w:r w:rsidRPr="00795525">
              <w:t>63161 to 63194</w:t>
            </w:r>
          </w:p>
        </w:tc>
        <w:tc>
          <w:tcPr>
            <w:tcW w:w="1128" w:type="pct"/>
            <w:shd w:val="clear" w:color="auto" w:fill="auto"/>
          </w:tcPr>
          <w:p w:rsidR="009906A8" w:rsidRPr="00795525" w:rsidRDefault="009906A8" w:rsidP="00863BD2">
            <w:pPr>
              <w:pStyle w:val="Tabletext"/>
            </w:pPr>
            <w:r w:rsidRPr="00795525">
              <w:t>12 months</w:t>
            </w:r>
          </w:p>
        </w:tc>
        <w:tc>
          <w:tcPr>
            <w:tcW w:w="1128" w:type="pct"/>
            <w:shd w:val="clear" w:color="auto" w:fill="auto"/>
          </w:tcPr>
          <w:p w:rsidR="009906A8" w:rsidRPr="00795525" w:rsidRDefault="009906A8" w:rsidP="00863BD2">
            <w:pPr>
              <w:pStyle w:val="Tabletext"/>
            </w:pPr>
            <w:r w:rsidRPr="00795525">
              <w:t>3</w:t>
            </w:r>
          </w:p>
        </w:tc>
      </w:tr>
      <w:tr w:rsidR="009906A8" w:rsidRPr="00795525" w:rsidTr="00627F82">
        <w:tc>
          <w:tcPr>
            <w:tcW w:w="587" w:type="pct"/>
            <w:shd w:val="clear" w:color="auto" w:fill="auto"/>
            <w:hideMark/>
          </w:tcPr>
          <w:p w:rsidR="009906A8" w:rsidRPr="00795525" w:rsidRDefault="008A3891" w:rsidP="009906A8">
            <w:pPr>
              <w:pStyle w:val="Tabletext"/>
            </w:pPr>
            <w:r w:rsidRPr="00795525">
              <w:t>5</w:t>
            </w:r>
          </w:p>
        </w:tc>
        <w:tc>
          <w:tcPr>
            <w:tcW w:w="2157" w:type="pct"/>
            <w:shd w:val="clear" w:color="auto" w:fill="auto"/>
            <w:hideMark/>
          </w:tcPr>
          <w:p w:rsidR="009906A8" w:rsidRPr="00795525" w:rsidRDefault="009906A8" w:rsidP="009906A8">
            <w:pPr>
              <w:pStyle w:val="Tabletext"/>
            </w:pPr>
            <w:r w:rsidRPr="00795525">
              <w:t>63219 to 63265</w:t>
            </w:r>
          </w:p>
        </w:tc>
        <w:tc>
          <w:tcPr>
            <w:tcW w:w="1128" w:type="pct"/>
            <w:shd w:val="clear" w:color="auto" w:fill="auto"/>
          </w:tcPr>
          <w:p w:rsidR="009906A8" w:rsidRPr="00795525" w:rsidRDefault="009906A8" w:rsidP="00863BD2">
            <w:pPr>
              <w:pStyle w:val="Tabletext"/>
            </w:pPr>
            <w:r w:rsidRPr="00795525">
              <w:t>12 months</w:t>
            </w:r>
          </w:p>
        </w:tc>
        <w:tc>
          <w:tcPr>
            <w:tcW w:w="1128" w:type="pct"/>
            <w:shd w:val="clear" w:color="auto" w:fill="auto"/>
          </w:tcPr>
          <w:p w:rsidR="009906A8" w:rsidRPr="00795525" w:rsidRDefault="009906A8" w:rsidP="00863BD2">
            <w:pPr>
              <w:pStyle w:val="Tabletext"/>
            </w:pPr>
            <w:r w:rsidRPr="00795525">
              <w:t>3</w:t>
            </w:r>
          </w:p>
        </w:tc>
      </w:tr>
      <w:tr w:rsidR="009906A8" w:rsidRPr="00795525" w:rsidTr="00627F82">
        <w:tc>
          <w:tcPr>
            <w:tcW w:w="587" w:type="pct"/>
            <w:shd w:val="clear" w:color="auto" w:fill="auto"/>
            <w:hideMark/>
          </w:tcPr>
          <w:p w:rsidR="009906A8" w:rsidRPr="00795525" w:rsidRDefault="008A3891" w:rsidP="009906A8">
            <w:pPr>
              <w:pStyle w:val="Tabletext"/>
            </w:pPr>
            <w:r w:rsidRPr="00795525">
              <w:t>6</w:t>
            </w:r>
          </w:p>
        </w:tc>
        <w:tc>
          <w:tcPr>
            <w:tcW w:w="2157" w:type="pct"/>
            <w:shd w:val="clear" w:color="auto" w:fill="auto"/>
            <w:hideMark/>
          </w:tcPr>
          <w:p w:rsidR="009906A8" w:rsidRPr="00795525" w:rsidRDefault="009906A8" w:rsidP="009906A8">
            <w:pPr>
              <w:pStyle w:val="Tabletext"/>
            </w:pPr>
            <w:r w:rsidRPr="00795525">
              <w:t>63271 to 63285</w:t>
            </w:r>
          </w:p>
        </w:tc>
        <w:tc>
          <w:tcPr>
            <w:tcW w:w="1128" w:type="pct"/>
            <w:shd w:val="clear" w:color="auto" w:fill="auto"/>
          </w:tcPr>
          <w:p w:rsidR="009906A8" w:rsidRPr="00795525" w:rsidRDefault="009906A8" w:rsidP="00863BD2">
            <w:pPr>
              <w:pStyle w:val="Tabletext"/>
            </w:pPr>
            <w:r w:rsidRPr="00795525">
              <w:t>12 months</w:t>
            </w:r>
          </w:p>
        </w:tc>
        <w:tc>
          <w:tcPr>
            <w:tcW w:w="1128" w:type="pct"/>
            <w:shd w:val="clear" w:color="auto" w:fill="auto"/>
          </w:tcPr>
          <w:p w:rsidR="009906A8" w:rsidRPr="00795525" w:rsidRDefault="009906A8" w:rsidP="00863BD2">
            <w:pPr>
              <w:pStyle w:val="Tabletext"/>
            </w:pPr>
            <w:r w:rsidRPr="00795525">
              <w:t>3</w:t>
            </w:r>
          </w:p>
        </w:tc>
      </w:tr>
      <w:tr w:rsidR="009906A8" w:rsidRPr="00795525" w:rsidTr="00627F82">
        <w:tc>
          <w:tcPr>
            <w:tcW w:w="587" w:type="pct"/>
            <w:shd w:val="clear" w:color="auto" w:fill="auto"/>
            <w:hideMark/>
          </w:tcPr>
          <w:p w:rsidR="009906A8" w:rsidRPr="00795525" w:rsidRDefault="008A3891" w:rsidP="009906A8">
            <w:pPr>
              <w:pStyle w:val="Tabletext"/>
            </w:pPr>
            <w:r w:rsidRPr="00795525">
              <w:t>7</w:t>
            </w:r>
          </w:p>
        </w:tc>
        <w:tc>
          <w:tcPr>
            <w:tcW w:w="2157" w:type="pct"/>
            <w:shd w:val="clear" w:color="auto" w:fill="auto"/>
            <w:hideMark/>
          </w:tcPr>
          <w:p w:rsidR="009906A8" w:rsidRPr="00795525" w:rsidRDefault="009906A8" w:rsidP="009906A8">
            <w:pPr>
              <w:pStyle w:val="Tabletext"/>
            </w:pPr>
            <w:r w:rsidRPr="00795525">
              <w:t>63322 to 63348</w:t>
            </w:r>
          </w:p>
        </w:tc>
        <w:tc>
          <w:tcPr>
            <w:tcW w:w="1128" w:type="pct"/>
            <w:shd w:val="clear" w:color="auto" w:fill="auto"/>
          </w:tcPr>
          <w:p w:rsidR="009906A8" w:rsidRPr="00795525" w:rsidRDefault="009906A8" w:rsidP="00863BD2">
            <w:pPr>
              <w:pStyle w:val="Tabletext"/>
            </w:pPr>
            <w:r w:rsidRPr="00795525">
              <w:t>12 months</w:t>
            </w:r>
          </w:p>
        </w:tc>
        <w:tc>
          <w:tcPr>
            <w:tcW w:w="1128" w:type="pct"/>
            <w:shd w:val="clear" w:color="auto" w:fill="auto"/>
          </w:tcPr>
          <w:p w:rsidR="009906A8" w:rsidRPr="00795525" w:rsidRDefault="009906A8" w:rsidP="00863BD2">
            <w:pPr>
              <w:pStyle w:val="Tabletext"/>
            </w:pPr>
            <w:r w:rsidRPr="00795525">
              <w:t>3</w:t>
            </w:r>
          </w:p>
        </w:tc>
      </w:tr>
      <w:tr w:rsidR="009906A8" w:rsidRPr="00795525" w:rsidTr="00627F82">
        <w:tc>
          <w:tcPr>
            <w:tcW w:w="587" w:type="pct"/>
            <w:shd w:val="clear" w:color="auto" w:fill="auto"/>
            <w:hideMark/>
          </w:tcPr>
          <w:p w:rsidR="009906A8" w:rsidRPr="00795525" w:rsidRDefault="008A3891" w:rsidP="009906A8">
            <w:pPr>
              <w:pStyle w:val="Tabletext"/>
            </w:pPr>
            <w:r w:rsidRPr="00795525">
              <w:t>8</w:t>
            </w:r>
          </w:p>
        </w:tc>
        <w:tc>
          <w:tcPr>
            <w:tcW w:w="2157" w:type="pct"/>
            <w:shd w:val="clear" w:color="auto" w:fill="auto"/>
            <w:hideMark/>
          </w:tcPr>
          <w:p w:rsidR="009906A8" w:rsidRPr="00795525" w:rsidRDefault="009906A8" w:rsidP="009906A8">
            <w:pPr>
              <w:pStyle w:val="Tabletext"/>
            </w:pPr>
            <w:r w:rsidRPr="00795525">
              <w:t>63361 and 63364</w:t>
            </w:r>
          </w:p>
        </w:tc>
        <w:tc>
          <w:tcPr>
            <w:tcW w:w="1128" w:type="pct"/>
            <w:shd w:val="clear" w:color="auto" w:fill="auto"/>
          </w:tcPr>
          <w:p w:rsidR="009906A8" w:rsidRPr="00795525" w:rsidRDefault="009906A8" w:rsidP="00863BD2">
            <w:pPr>
              <w:pStyle w:val="Tabletext"/>
            </w:pPr>
            <w:r w:rsidRPr="00795525">
              <w:t>12 months</w:t>
            </w:r>
          </w:p>
        </w:tc>
        <w:tc>
          <w:tcPr>
            <w:tcW w:w="1128" w:type="pct"/>
            <w:shd w:val="clear" w:color="auto" w:fill="auto"/>
          </w:tcPr>
          <w:p w:rsidR="009906A8" w:rsidRPr="00795525" w:rsidRDefault="009906A8" w:rsidP="00863BD2">
            <w:pPr>
              <w:pStyle w:val="Tabletext"/>
            </w:pPr>
            <w:r w:rsidRPr="00795525">
              <w:t>2</w:t>
            </w:r>
          </w:p>
        </w:tc>
      </w:tr>
      <w:tr w:rsidR="009906A8" w:rsidRPr="00795525" w:rsidTr="00627F82">
        <w:tc>
          <w:tcPr>
            <w:tcW w:w="587" w:type="pct"/>
            <w:shd w:val="clear" w:color="auto" w:fill="auto"/>
            <w:hideMark/>
          </w:tcPr>
          <w:p w:rsidR="009906A8" w:rsidRPr="00795525" w:rsidRDefault="008A3891" w:rsidP="009906A8">
            <w:pPr>
              <w:pStyle w:val="Tabletext"/>
            </w:pPr>
            <w:r w:rsidRPr="00795525">
              <w:t>9</w:t>
            </w:r>
          </w:p>
        </w:tc>
        <w:tc>
          <w:tcPr>
            <w:tcW w:w="2157" w:type="pct"/>
            <w:shd w:val="clear" w:color="auto" w:fill="auto"/>
            <w:hideMark/>
          </w:tcPr>
          <w:p w:rsidR="009906A8" w:rsidRPr="00795525" w:rsidRDefault="009906A8" w:rsidP="009906A8">
            <w:pPr>
              <w:pStyle w:val="Tabletext"/>
            </w:pPr>
            <w:r w:rsidRPr="00795525">
              <w:t>63385 to 63394</w:t>
            </w:r>
          </w:p>
        </w:tc>
        <w:tc>
          <w:tcPr>
            <w:tcW w:w="1128" w:type="pct"/>
            <w:shd w:val="clear" w:color="auto" w:fill="auto"/>
          </w:tcPr>
          <w:p w:rsidR="009906A8" w:rsidRPr="00795525" w:rsidRDefault="009906A8" w:rsidP="00863BD2">
            <w:pPr>
              <w:pStyle w:val="Tabletext"/>
            </w:pPr>
            <w:r w:rsidRPr="00795525">
              <w:t>12 months</w:t>
            </w:r>
          </w:p>
        </w:tc>
        <w:tc>
          <w:tcPr>
            <w:tcW w:w="1128" w:type="pct"/>
            <w:shd w:val="clear" w:color="auto" w:fill="auto"/>
          </w:tcPr>
          <w:p w:rsidR="009906A8" w:rsidRPr="00795525" w:rsidRDefault="009906A8" w:rsidP="00863BD2">
            <w:pPr>
              <w:pStyle w:val="Tabletext"/>
            </w:pPr>
            <w:r w:rsidRPr="00795525">
              <w:t>2</w:t>
            </w:r>
          </w:p>
        </w:tc>
      </w:tr>
      <w:tr w:rsidR="009906A8" w:rsidRPr="00795525" w:rsidTr="00627F82">
        <w:tc>
          <w:tcPr>
            <w:tcW w:w="587" w:type="pct"/>
            <w:shd w:val="clear" w:color="auto" w:fill="auto"/>
            <w:hideMark/>
          </w:tcPr>
          <w:p w:rsidR="009906A8" w:rsidRPr="00795525" w:rsidRDefault="008A3891" w:rsidP="009906A8">
            <w:pPr>
              <w:pStyle w:val="Tabletext"/>
            </w:pPr>
            <w:r w:rsidRPr="00795525">
              <w:t>10</w:t>
            </w:r>
          </w:p>
        </w:tc>
        <w:tc>
          <w:tcPr>
            <w:tcW w:w="2157" w:type="pct"/>
            <w:shd w:val="clear" w:color="auto" w:fill="auto"/>
            <w:hideMark/>
          </w:tcPr>
          <w:p w:rsidR="009906A8" w:rsidRPr="00795525" w:rsidRDefault="009906A8" w:rsidP="00627F82">
            <w:pPr>
              <w:pStyle w:val="Tabletext"/>
            </w:pPr>
            <w:r w:rsidRPr="00795525">
              <w:t xml:space="preserve">63395 </w:t>
            </w:r>
            <w:r w:rsidR="00627F82" w:rsidRPr="00795525">
              <w:t>and</w:t>
            </w:r>
            <w:r w:rsidRPr="00795525">
              <w:t xml:space="preserve"> 63396</w:t>
            </w:r>
          </w:p>
        </w:tc>
        <w:tc>
          <w:tcPr>
            <w:tcW w:w="1128" w:type="pct"/>
            <w:shd w:val="clear" w:color="auto" w:fill="auto"/>
          </w:tcPr>
          <w:p w:rsidR="009906A8" w:rsidRPr="00795525" w:rsidRDefault="009906A8" w:rsidP="00863BD2">
            <w:pPr>
              <w:pStyle w:val="Tabletext"/>
            </w:pPr>
            <w:r w:rsidRPr="00795525">
              <w:t>12 months</w:t>
            </w:r>
          </w:p>
        </w:tc>
        <w:tc>
          <w:tcPr>
            <w:tcW w:w="1128" w:type="pct"/>
            <w:shd w:val="clear" w:color="auto" w:fill="auto"/>
          </w:tcPr>
          <w:p w:rsidR="009906A8" w:rsidRPr="00795525" w:rsidRDefault="009906A8" w:rsidP="00863BD2">
            <w:pPr>
              <w:pStyle w:val="Tabletext"/>
            </w:pPr>
            <w:r w:rsidRPr="00795525">
              <w:t>1</w:t>
            </w:r>
          </w:p>
        </w:tc>
      </w:tr>
      <w:tr w:rsidR="00627F82" w:rsidRPr="00795525" w:rsidTr="00627F82">
        <w:tc>
          <w:tcPr>
            <w:tcW w:w="587" w:type="pct"/>
            <w:shd w:val="clear" w:color="auto" w:fill="auto"/>
            <w:hideMark/>
          </w:tcPr>
          <w:p w:rsidR="00627F82" w:rsidRPr="00795525" w:rsidRDefault="008A3891" w:rsidP="00627F82">
            <w:pPr>
              <w:pStyle w:val="Tabletext"/>
            </w:pPr>
            <w:r w:rsidRPr="00795525">
              <w:t>11</w:t>
            </w:r>
          </w:p>
        </w:tc>
        <w:tc>
          <w:tcPr>
            <w:tcW w:w="2157" w:type="pct"/>
            <w:shd w:val="clear" w:color="auto" w:fill="auto"/>
            <w:hideMark/>
          </w:tcPr>
          <w:p w:rsidR="00627F82" w:rsidRPr="00795525" w:rsidRDefault="00627F82" w:rsidP="00627F82">
            <w:pPr>
              <w:pStyle w:val="Tabletext"/>
            </w:pPr>
            <w:r w:rsidRPr="00795525">
              <w:t>63397 and 63398</w:t>
            </w:r>
          </w:p>
        </w:tc>
        <w:tc>
          <w:tcPr>
            <w:tcW w:w="1128" w:type="pct"/>
            <w:shd w:val="clear" w:color="auto" w:fill="auto"/>
          </w:tcPr>
          <w:p w:rsidR="00627F82" w:rsidRPr="00795525" w:rsidRDefault="00627F82" w:rsidP="00863BD2">
            <w:pPr>
              <w:pStyle w:val="Tabletext"/>
            </w:pPr>
            <w:r w:rsidRPr="00795525">
              <w:t>36 months</w:t>
            </w:r>
          </w:p>
        </w:tc>
        <w:tc>
          <w:tcPr>
            <w:tcW w:w="1128" w:type="pct"/>
            <w:shd w:val="clear" w:color="auto" w:fill="auto"/>
          </w:tcPr>
          <w:p w:rsidR="00627F82" w:rsidRPr="00795525" w:rsidRDefault="00627F82" w:rsidP="00863BD2">
            <w:pPr>
              <w:pStyle w:val="Tabletext"/>
            </w:pPr>
            <w:r w:rsidRPr="00795525">
              <w:t>1</w:t>
            </w:r>
          </w:p>
        </w:tc>
      </w:tr>
      <w:tr w:rsidR="009906A8" w:rsidRPr="00795525" w:rsidTr="00627F82">
        <w:tc>
          <w:tcPr>
            <w:tcW w:w="587" w:type="pct"/>
            <w:shd w:val="clear" w:color="auto" w:fill="auto"/>
            <w:hideMark/>
          </w:tcPr>
          <w:p w:rsidR="009906A8" w:rsidRPr="00795525" w:rsidRDefault="008A3891" w:rsidP="00627F82">
            <w:pPr>
              <w:pStyle w:val="Tabletext"/>
            </w:pPr>
            <w:r w:rsidRPr="00795525">
              <w:t>12</w:t>
            </w:r>
          </w:p>
        </w:tc>
        <w:tc>
          <w:tcPr>
            <w:tcW w:w="2157" w:type="pct"/>
            <w:shd w:val="clear" w:color="auto" w:fill="auto"/>
            <w:hideMark/>
          </w:tcPr>
          <w:p w:rsidR="009906A8" w:rsidRPr="00795525" w:rsidRDefault="009906A8" w:rsidP="009906A8">
            <w:pPr>
              <w:pStyle w:val="Tabletext"/>
            </w:pPr>
            <w:r w:rsidRPr="00795525">
              <w:t>63401 to 63408</w:t>
            </w:r>
          </w:p>
        </w:tc>
        <w:tc>
          <w:tcPr>
            <w:tcW w:w="1128" w:type="pct"/>
            <w:shd w:val="clear" w:color="auto" w:fill="auto"/>
          </w:tcPr>
          <w:p w:rsidR="009906A8" w:rsidRPr="00795525" w:rsidRDefault="009906A8" w:rsidP="00863BD2">
            <w:pPr>
              <w:pStyle w:val="Tabletext"/>
            </w:pPr>
            <w:r w:rsidRPr="00795525">
              <w:t>12 months</w:t>
            </w:r>
          </w:p>
        </w:tc>
        <w:tc>
          <w:tcPr>
            <w:tcW w:w="1128" w:type="pct"/>
            <w:shd w:val="clear" w:color="auto" w:fill="auto"/>
          </w:tcPr>
          <w:p w:rsidR="009906A8" w:rsidRPr="00795525" w:rsidRDefault="009906A8" w:rsidP="00863BD2">
            <w:pPr>
              <w:pStyle w:val="Tabletext"/>
            </w:pPr>
            <w:r w:rsidRPr="00795525">
              <w:t>3</w:t>
            </w:r>
          </w:p>
        </w:tc>
      </w:tr>
      <w:tr w:rsidR="009906A8" w:rsidRPr="00795525" w:rsidTr="00627F82">
        <w:tc>
          <w:tcPr>
            <w:tcW w:w="587" w:type="pct"/>
            <w:shd w:val="clear" w:color="auto" w:fill="auto"/>
            <w:hideMark/>
          </w:tcPr>
          <w:p w:rsidR="009906A8" w:rsidRPr="00795525" w:rsidRDefault="008A3891" w:rsidP="009906A8">
            <w:pPr>
              <w:pStyle w:val="Tabletext"/>
            </w:pPr>
            <w:r w:rsidRPr="00795525">
              <w:t>13</w:t>
            </w:r>
          </w:p>
        </w:tc>
        <w:tc>
          <w:tcPr>
            <w:tcW w:w="2157" w:type="pct"/>
            <w:shd w:val="clear" w:color="auto" w:fill="auto"/>
            <w:hideMark/>
          </w:tcPr>
          <w:p w:rsidR="009906A8" w:rsidRPr="00795525" w:rsidRDefault="009906A8" w:rsidP="009906A8">
            <w:pPr>
              <w:pStyle w:val="Tabletext"/>
            </w:pPr>
            <w:r w:rsidRPr="00795525">
              <w:t>63416 and 63419</w:t>
            </w:r>
          </w:p>
        </w:tc>
        <w:tc>
          <w:tcPr>
            <w:tcW w:w="1128" w:type="pct"/>
            <w:shd w:val="clear" w:color="auto" w:fill="auto"/>
          </w:tcPr>
          <w:p w:rsidR="009906A8" w:rsidRPr="00795525" w:rsidRDefault="009906A8" w:rsidP="00863BD2">
            <w:pPr>
              <w:pStyle w:val="Tabletext"/>
            </w:pPr>
            <w:r w:rsidRPr="00795525">
              <w:t>12 months</w:t>
            </w:r>
          </w:p>
        </w:tc>
        <w:tc>
          <w:tcPr>
            <w:tcW w:w="1128" w:type="pct"/>
            <w:shd w:val="clear" w:color="auto" w:fill="auto"/>
          </w:tcPr>
          <w:p w:rsidR="009906A8" w:rsidRPr="00795525" w:rsidRDefault="009906A8" w:rsidP="00863BD2">
            <w:pPr>
              <w:pStyle w:val="Tabletext"/>
            </w:pPr>
            <w:r w:rsidRPr="00795525">
              <w:t>1</w:t>
            </w:r>
          </w:p>
        </w:tc>
      </w:tr>
      <w:tr w:rsidR="009906A8" w:rsidRPr="00795525" w:rsidTr="00627F82">
        <w:tc>
          <w:tcPr>
            <w:tcW w:w="587" w:type="pct"/>
            <w:shd w:val="clear" w:color="auto" w:fill="auto"/>
            <w:hideMark/>
          </w:tcPr>
          <w:p w:rsidR="009906A8" w:rsidRPr="00795525" w:rsidRDefault="008A3891" w:rsidP="009906A8">
            <w:pPr>
              <w:pStyle w:val="Tabletext"/>
            </w:pPr>
            <w:r w:rsidRPr="00795525">
              <w:t>14</w:t>
            </w:r>
          </w:p>
        </w:tc>
        <w:tc>
          <w:tcPr>
            <w:tcW w:w="2157" w:type="pct"/>
            <w:shd w:val="clear" w:color="auto" w:fill="auto"/>
            <w:hideMark/>
          </w:tcPr>
          <w:p w:rsidR="009906A8" w:rsidRPr="00795525" w:rsidRDefault="009906A8" w:rsidP="009906A8">
            <w:pPr>
              <w:pStyle w:val="Tabletext"/>
            </w:pPr>
            <w:r w:rsidRPr="00795525">
              <w:t>63425 to 63433</w:t>
            </w:r>
          </w:p>
        </w:tc>
        <w:tc>
          <w:tcPr>
            <w:tcW w:w="1128" w:type="pct"/>
            <w:shd w:val="clear" w:color="auto" w:fill="auto"/>
          </w:tcPr>
          <w:p w:rsidR="009906A8" w:rsidRPr="00795525" w:rsidRDefault="009906A8" w:rsidP="00863BD2">
            <w:pPr>
              <w:pStyle w:val="Tabletext"/>
            </w:pPr>
            <w:r w:rsidRPr="00795525">
              <w:t>12 months</w:t>
            </w:r>
          </w:p>
        </w:tc>
        <w:tc>
          <w:tcPr>
            <w:tcW w:w="1128" w:type="pct"/>
            <w:shd w:val="clear" w:color="auto" w:fill="auto"/>
          </w:tcPr>
          <w:p w:rsidR="009906A8" w:rsidRPr="00795525" w:rsidRDefault="009906A8" w:rsidP="00863BD2">
            <w:pPr>
              <w:pStyle w:val="Tabletext"/>
            </w:pPr>
            <w:r w:rsidRPr="00795525">
              <w:t>2</w:t>
            </w:r>
          </w:p>
        </w:tc>
      </w:tr>
      <w:tr w:rsidR="009906A8" w:rsidRPr="00795525" w:rsidTr="00627F82">
        <w:tc>
          <w:tcPr>
            <w:tcW w:w="587" w:type="pct"/>
            <w:shd w:val="clear" w:color="auto" w:fill="auto"/>
            <w:hideMark/>
          </w:tcPr>
          <w:p w:rsidR="009906A8" w:rsidRPr="00795525" w:rsidRDefault="008A3891" w:rsidP="009906A8">
            <w:pPr>
              <w:pStyle w:val="Tabletext"/>
            </w:pPr>
            <w:r w:rsidRPr="00795525">
              <w:t>15</w:t>
            </w:r>
          </w:p>
        </w:tc>
        <w:tc>
          <w:tcPr>
            <w:tcW w:w="2157" w:type="pct"/>
            <w:shd w:val="clear" w:color="auto" w:fill="auto"/>
            <w:hideMark/>
          </w:tcPr>
          <w:p w:rsidR="009906A8" w:rsidRPr="00795525" w:rsidRDefault="009906A8" w:rsidP="009906A8">
            <w:pPr>
              <w:pStyle w:val="Tabletext"/>
            </w:pPr>
            <w:r w:rsidRPr="00795525">
              <w:t>63455 to 63467</w:t>
            </w:r>
          </w:p>
        </w:tc>
        <w:tc>
          <w:tcPr>
            <w:tcW w:w="1128" w:type="pct"/>
            <w:shd w:val="clear" w:color="auto" w:fill="auto"/>
          </w:tcPr>
          <w:p w:rsidR="009906A8" w:rsidRPr="00795525" w:rsidRDefault="009906A8" w:rsidP="00863BD2">
            <w:pPr>
              <w:pStyle w:val="Tabletext"/>
            </w:pPr>
            <w:r w:rsidRPr="00795525">
              <w:t>12 months</w:t>
            </w:r>
          </w:p>
        </w:tc>
        <w:tc>
          <w:tcPr>
            <w:tcW w:w="1128" w:type="pct"/>
            <w:shd w:val="clear" w:color="auto" w:fill="auto"/>
          </w:tcPr>
          <w:p w:rsidR="009906A8" w:rsidRPr="00795525" w:rsidRDefault="009906A8" w:rsidP="00863BD2">
            <w:pPr>
              <w:pStyle w:val="Tabletext"/>
            </w:pPr>
            <w:r w:rsidRPr="00795525">
              <w:t>1</w:t>
            </w:r>
          </w:p>
        </w:tc>
      </w:tr>
      <w:tr w:rsidR="00627F82" w:rsidRPr="00795525" w:rsidTr="00627F82">
        <w:tc>
          <w:tcPr>
            <w:tcW w:w="587" w:type="pct"/>
            <w:shd w:val="clear" w:color="auto" w:fill="auto"/>
          </w:tcPr>
          <w:p w:rsidR="00627F82" w:rsidRPr="00795525" w:rsidRDefault="008A3891" w:rsidP="009906A8">
            <w:pPr>
              <w:pStyle w:val="Tabletext"/>
            </w:pPr>
            <w:r w:rsidRPr="00795525">
              <w:t>16</w:t>
            </w:r>
          </w:p>
        </w:tc>
        <w:tc>
          <w:tcPr>
            <w:tcW w:w="2157" w:type="pct"/>
            <w:shd w:val="clear" w:color="auto" w:fill="auto"/>
          </w:tcPr>
          <w:p w:rsidR="00627F82" w:rsidRPr="00795525" w:rsidRDefault="00627F82" w:rsidP="009906A8">
            <w:pPr>
              <w:pStyle w:val="Tabletext"/>
            </w:pPr>
            <w:r w:rsidRPr="00795525">
              <w:t>63547 and 63548</w:t>
            </w:r>
          </w:p>
        </w:tc>
        <w:tc>
          <w:tcPr>
            <w:tcW w:w="1128" w:type="pct"/>
            <w:shd w:val="clear" w:color="auto" w:fill="auto"/>
          </w:tcPr>
          <w:p w:rsidR="00627F82" w:rsidRPr="00795525" w:rsidRDefault="00627F82" w:rsidP="00863BD2">
            <w:pPr>
              <w:pStyle w:val="Tabletext"/>
            </w:pPr>
            <w:r w:rsidRPr="00795525">
              <w:t>patient’s lifetime</w:t>
            </w:r>
          </w:p>
        </w:tc>
        <w:tc>
          <w:tcPr>
            <w:tcW w:w="1128" w:type="pct"/>
            <w:shd w:val="clear" w:color="auto" w:fill="auto"/>
          </w:tcPr>
          <w:p w:rsidR="00627F82" w:rsidRPr="00795525" w:rsidRDefault="00627F82" w:rsidP="00863BD2">
            <w:pPr>
              <w:pStyle w:val="Tabletext"/>
            </w:pPr>
            <w:r w:rsidRPr="00795525">
              <w:t>1</w:t>
            </w:r>
          </w:p>
        </w:tc>
      </w:tr>
      <w:tr w:rsidR="009906A8" w:rsidRPr="00795525" w:rsidTr="00627F82">
        <w:tc>
          <w:tcPr>
            <w:tcW w:w="587" w:type="pct"/>
            <w:tcBorders>
              <w:bottom w:val="single" w:sz="2" w:space="0" w:color="auto"/>
            </w:tcBorders>
            <w:shd w:val="clear" w:color="auto" w:fill="auto"/>
            <w:hideMark/>
          </w:tcPr>
          <w:p w:rsidR="009906A8" w:rsidRPr="00795525" w:rsidRDefault="008A3891" w:rsidP="009906A8">
            <w:pPr>
              <w:pStyle w:val="Tabletext"/>
            </w:pPr>
            <w:r w:rsidRPr="00795525">
              <w:t>17</w:t>
            </w:r>
          </w:p>
        </w:tc>
        <w:tc>
          <w:tcPr>
            <w:tcW w:w="2157" w:type="pct"/>
            <w:tcBorders>
              <w:bottom w:val="single" w:sz="2" w:space="0" w:color="auto"/>
            </w:tcBorders>
            <w:shd w:val="clear" w:color="auto" w:fill="auto"/>
            <w:hideMark/>
          </w:tcPr>
          <w:p w:rsidR="009906A8" w:rsidRPr="00795525" w:rsidRDefault="009906A8" w:rsidP="009906A8">
            <w:pPr>
              <w:pStyle w:val="Tabletext"/>
            </w:pPr>
            <w:r w:rsidRPr="00795525">
              <w:t>63482 and 63486</w:t>
            </w:r>
          </w:p>
        </w:tc>
        <w:tc>
          <w:tcPr>
            <w:tcW w:w="1128" w:type="pct"/>
            <w:tcBorders>
              <w:bottom w:val="single" w:sz="2" w:space="0" w:color="auto"/>
            </w:tcBorders>
            <w:shd w:val="clear" w:color="auto" w:fill="auto"/>
          </w:tcPr>
          <w:p w:rsidR="009906A8" w:rsidRPr="00795525" w:rsidRDefault="009906A8" w:rsidP="00863BD2">
            <w:pPr>
              <w:pStyle w:val="Tabletext"/>
            </w:pPr>
            <w:r w:rsidRPr="00795525">
              <w:t>12 months</w:t>
            </w:r>
          </w:p>
        </w:tc>
        <w:tc>
          <w:tcPr>
            <w:tcW w:w="1128" w:type="pct"/>
            <w:tcBorders>
              <w:bottom w:val="single" w:sz="2" w:space="0" w:color="auto"/>
            </w:tcBorders>
            <w:shd w:val="clear" w:color="auto" w:fill="auto"/>
          </w:tcPr>
          <w:p w:rsidR="009906A8" w:rsidRPr="00795525" w:rsidRDefault="009906A8" w:rsidP="00863BD2">
            <w:pPr>
              <w:pStyle w:val="Tabletext"/>
            </w:pPr>
            <w:r w:rsidRPr="00795525">
              <w:t>3</w:t>
            </w:r>
          </w:p>
        </w:tc>
      </w:tr>
      <w:tr w:rsidR="009906A8" w:rsidRPr="00795525" w:rsidTr="00627F82">
        <w:tc>
          <w:tcPr>
            <w:tcW w:w="587" w:type="pct"/>
            <w:tcBorders>
              <w:top w:val="single" w:sz="2" w:space="0" w:color="auto"/>
              <w:bottom w:val="single" w:sz="12" w:space="0" w:color="auto"/>
            </w:tcBorders>
            <w:shd w:val="clear" w:color="auto" w:fill="auto"/>
            <w:hideMark/>
          </w:tcPr>
          <w:p w:rsidR="009906A8" w:rsidRPr="00795525" w:rsidRDefault="008A3891" w:rsidP="009906A8">
            <w:pPr>
              <w:pStyle w:val="Tabletext"/>
            </w:pPr>
            <w:r w:rsidRPr="00795525">
              <w:t>18</w:t>
            </w:r>
          </w:p>
        </w:tc>
        <w:tc>
          <w:tcPr>
            <w:tcW w:w="2157" w:type="pct"/>
            <w:tcBorders>
              <w:top w:val="single" w:sz="2" w:space="0" w:color="auto"/>
              <w:bottom w:val="single" w:sz="12" w:space="0" w:color="auto"/>
            </w:tcBorders>
            <w:shd w:val="clear" w:color="auto" w:fill="auto"/>
            <w:hideMark/>
          </w:tcPr>
          <w:p w:rsidR="009906A8" w:rsidRPr="00795525" w:rsidRDefault="009906A8" w:rsidP="009906A8">
            <w:pPr>
              <w:pStyle w:val="Tabletext"/>
            </w:pPr>
            <w:r w:rsidRPr="00795525">
              <w:t xml:space="preserve">63507 to </w:t>
            </w:r>
            <w:r w:rsidR="00404E2F" w:rsidRPr="00795525">
              <w:t xml:space="preserve">63523 and 63551 to </w:t>
            </w:r>
            <w:r w:rsidRPr="00795525">
              <w:t>63561</w:t>
            </w:r>
          </w:p>
        </w:tc>
        <w:tc>
          <w:tcPr>
            <w:tcW w:w="1128" w:type="pct"/>
            <w:tcBorders>
              <w:top w:val="single" w:sz="2" w:space="0" w:color="auto"/>
              <w:bottom w:val="single" w:sz="12" w:space="0" w:color="auto"/>
            </w:tcBorders>
            <w:shd w:val="clear" w:color="auto" w:fill="auto"/>
          </w:tcPr>
          <w:p w:rsidR="009906A8" w:rsidRPr="00795525" w:rsidRDefault="009906A8" w:rsidP="00863BD2">
            <w:pPr>
              <w:pStyle w:val="Tabletext"/>
            </w:pPr>
            <w:r w:rsidRPr="00795525">
              <w:t>12 months</w:t>
            </w:r>
          </w:p>
        </w:tc>
        <w:tc>
          <w:tcPr>
            <w:tcW w:w="1128" w:type="pct"/>
            <w:tcBorders>
              <w:top w:val="single" w:sz="2" w:space="0" w:color="auto"/>
              <w:bottom w:val="single" w:sz="12" w:space="0" w:color="auto"/>
            </w:tcBorders>
            <w:shd w:val="clear" w:color="auto" w:fill="auto"/>
          </w:tcPr>
          <w:p w:rsidR="009906A8" w:rsidRPr="00795525" w:rsidRDefault="009906A8" w:rsidP="00863BD2">
            <w:pPr>
              <w:pStyle w:val="Tabletext"/>
            </w:pPr>
            <w:r w:rsidRPr="00795525">
              <w:t>3</w:t>
            </w:r>
          </w:p>
        </w:tc>
      </w:tr>
    </w:tbl>
    <w:p w:rsidR="0007143A" w:rsidRPr="00795525" w:rsidRDefault="007320A4" w:rsidP="0007143A">
      <w:pPr>
        <w:pStyle w:val="ItemHead"/>
      </w:pPr>
      <w:r w:rsidRPr="00795525">
        <w:t>11</w:t>
      </w:r>
      <w:r w:rsidR="00BC7CA9" w:rsidRPr="00795525">
        <w:t xml:space="preserve">  </w:t>
      </w:r>
      <w:r w:rsidR="00B44B12" w:rsidRPr="00795525">
        <w:t>Schedule</w:t>
      </w:r>
      <w:r w:rsidR="00795525" w:rsidRPr="00795525">
        <w:t> </w:t>
      </w:r>
      <w:r w:rsidR="00B44B12" w:rsidRPr="00795525">
        <w:t>1 (a</w:t>
      </w:r>
      <w:r w:rsidR="00BC7CA9" w:rsidRPr="00795525">
        <w:t xml:space="preserve">t the end of Subgroup 14 of Group </w:t>
      </w:r>
      <w:r w:rsidR="00EC32D8" w:rsidRPr="00795525">
        <w:t>I5</w:t>
      </w:r>
      <w:r w:rsidR="00B44B12" w:rsidRPr="00795525">
        <w:t>)</w:t>
      </w:r>
    </w:p>
    <w:p w:rsidR="00BC7CA9" w:rsidRPr="00795525" w:rsidRDefault="00BC7CA9" w:rsidP="00BC7CA9">
      <w:pPr>
        <w:pStyle w:val="Item"/>
      </w:pPr>
      <w:r w:rsidRPr="00795525">
        <w:t>Add:</w:t>
      </w:r>
    </w:p>
    <w:p w:rsidR="00B44B12" w:rsidRPr="00795525" w:rsidRDefault="00B44B12" w:rsidP="00B44B12">
      <w:pPr>
        <w:pStyle w:val="Tabletext"/>
      </w:pPr>
    </w:p>
    <w:tbl>
      <w:tblPr>
        <w:tblW w:w="5000" w:type="pct"/>
        <w:tblBorders>
          <w:top w:val="single" w:sz="4" w:space="0" w:color="auto"/>
          <w:bottom w:val="single" w:sz="2" w:space="0" w:color="auto"/>
          <w:insideH w:val="single" w:sz="2" w:space="0" w:color="auto"/>
        </w:tblBorders>
        <w:tblCellMar>
          <w:left w:w="31" w:type="dxa"/>
          <w:right w:w="31" w:type="dxa"/>
        </w:tblCellMar>
        <w:tblLook w:val="0000" w:firstRow="0" w:lastRow="0" w:firstColumn="0" w:lastColumn="0" w:noHBand="0" w:noVBand="0"/>
      </w:tblPr>
      <w:tblGrid>
        <w:gridCol w:w="837"/>
        <w:gridCol w:w="6533"/>
        <w:gridCol w:w="1005"/>
      </w:tblGrid>
      <w:tr w:rsidR="00BC7CA9" w:rsidRPr="00795525" w:rsidTr="00072E93">
        <w:tc>
          <w:tcPr>
            <w:tcW w:w="500" w:type="pct"/>
            <w:tcBorders>
              <w:top w:val="nil"/>
            </w:tcBorders>
            <w:shd w:val="clear" w:color="auto" w:fill="auto"/>
          </w:tcPr>
          <w:p w:rsidR="00BC7CA9" w:rsidRPr="00795525" w:rsidRDefault="00BC7CA9" w:rsidP="001C7D3D">
            <w:pPr>
              <w:pStyle w:val="Tabletext"/>
            </w:pPr>
            <w:r w:rsidRPr="00795525">
              <w:t>63395</w:t>
            </w:r>
          </w:p>
        </w:tc>
        <w:tc>
          <w:tcPr>
            <w:tcW w:w="3900" w:type="pct"/>
            <w:tcBorders>
              <w:top w:val="nil"/>
            </w:tcBorders>
            <w:shd w:val="clear" w:color="auto" w:fill="auto"/>
          </w:tcPr>
          <w:p w:rsidR="00BA5F14" w:rsidRPr="00795525" w:rsidRDefault="00BA5F14" w:rsidP="00BA5F14">
            <w:pPr>
              <w:pStyle w:val="Tabletext"/>
            </w:pPr>
            <w:r w:rsidRPr="00795525">
              <w:t>MRI—scan of cardiovascular system for assessment of myocardial structure and function involving:</w:t>
            </w:r>
          </w:p>
          <w:p w:rsidR="00BA5F14" w:rsidRPr="00795525" w:rsidRDefault="00BA5F14" w:rsidP="00BA5F14">
            <w:pPr>
              <w:pStyle w:val="Tablea"/>
            </w:pPr>
            <w:r w:rsidRPr="00795525">
              <w:t>(a) dedicated right ventricular views; and</w:t>
            </w:r>
          </w:p>
          <w:p w:rsidR="00BA5F14" w:rsidRPr="00795525" w:rsidRDefault="00BA5F14" w:rsidP="00BA5F14">
            <w:pPr>
              <w:pStyle w:val="Tablea"/>
            </w:pPr>
            <w:r w:rsidRPr="00795525">
              <w:t>(b) 3D volumetric assessment of the right ventricle; and</w:t>
            </w:r>
          </w:p>
          <w:p w:rsidR="00BA5F14" w:rsidRPr="00795525" w:rsidRDefault="00BA5F14" w:rsidP="00BA5F14">
            <w:pPr>
              <w:pStyle w:val="Tablea"/>
            </w:pPr>
            <w:r w:rsidRPr="00795525">
              <w:t>(c) reporting of end</w:t>
            </w:r>
            <w:r w:rsidR="00795525">
              <w:noBreakHyphen/>
            </w:r>
            <w:r w:rsidRPr="00795525">
              <w:t>diastolic and end</w:t>
            </w:r>
            <w:r w:rsidR="00795525">
              <w:noBreakHyphen/>
            </w:r>
            <w:r w:rsidRPr="00795525">
              <w:t>systolic volumes, ejection fraction and BSA</w:t>
            </w:r>
            <w:r w:rsidR="00795525">
              <w:noBreakHyphen/>
            </w:r>
            <w:r w:rsidRPr="00795525">
              <w:t>indexed values;</w:t>
            </w:r>
          </w:p>
          <w:p w:rsidR="00BA5F14" w:rsidRPr="00795525" w:rsidRDefault="00BA5F14" w:rsidP="00BA5F14">
            <w:pPr>
              <w:pStyle w:val="Tabletext"/>
            </w:pPr>
            <w:r w:rsidRPr="00795525">
              <w:t>if the request for the scan indicates that:</w:t>
            </w:r>
          </w:p>
          <w:p w:rsidR="00BA5F14" w:rsidRPr="00795525" w:rsidRDefault="00BA5F14" w:rsidP="00BA5F14">
            <w:pPr>
              <w:pStyle w:val="Tablea"/>
            </w:pPr>
            <w:r w:rsidRPr="00795525">
              <w:t>(d) the patient presented with symptoms consistent with arrhythmogenic right ventricular cardiomyopathy (ARVC); or</w:t>
            </w:r>
          </w:p>
          <w:p w:rsidR="00BA5F14" w:rsidRPr="00795525" w:rsidRDefault="00BA5F14" w:rsidP="00BA5F14">
            <w:pPr>
              <w:pStyle w:val="Tablea"/>
            </w:pPr>
            <w:r w:rsidRPr="00795525">
              <w:t>(e) investigative findings in relation to the p</w:t>
            </w:r>
            <w:r w:rsidR="00072E93" w:rsidRPr="00795525">
              <w:t>atient are consistent with ARVC</w:t>
            </w:r>
          </w:p>
          <w:p w:rsidR="00BC7CA9" w:rsidRPr="00795525" w:rsidRDefault="00BC7CA9" w:rsidP="00955FEF">
            <w:pPr>
              <w:pStyle w:val="Tabletext"/>
            </w:pPr>
            <w:r w:rsidRPr="00795525">
              <w:t>(R) (K) (Anaes.) (Contrast)</w:t>
            </w:r>
          </w:p>
        </w:tc>
        <w:tc>
          <w:tcPr>
            <w:tcW w:w="600" w:type="pct"/>
            <w:tcBorders>
              <w:top w:val="nil"/>
            </w:tcBorders>
            <w:shd w:val="clear" w:color="auto" w:fill="auto"/>
          </w:tcPr>
          <w:p w:rsidR="00BC7CA9" w:rsidRPr="00795525" w:rsidRDefault="00BC7CA9" w:rsidP="001C7D3D">
            <w:pPr>
              <w:pStyle w:val="Tabletext"/>
              <w:tabs>
                <w:tab w:val="decimal" w:pos="400"/>
              </w:tabs>
              <w:jc w:val="right"/>
            </w:pPr>
            <w:r w:rsidRPr="00795525">
              <w:t>855.20</w:t>
            </w:r>
          </w:p>
        </w:tc>
      </w:tr>
      <w:tr w:rsidR="00BC7CA9" w:rsidRPr="00795525" w:rsidTr="00072E93">
        <w:tc>
          <w:tcPr>
            <w:tcW w:w="500" w:type="pct"/>
            <w:shd w:val="clear" w:color="auto" w:fill="auto"/>
          </w:tcPr>
          <w:p w:rsidR="00BC7CA9" w:rsidRPr="00795525" w:rsidRDefault="00BC7CA9" w:rsidP="001C7D3D">
            <w:pPr>
              <w:pStyle w:val="Tabletext"/>
            </w:pPr>
            <w:r w:rsidRPr="00795525">
              <w:t>63396</w:t>
            </w:r>
          </w:p>
        </w:tc>
        <w:tc>
          <w:tcPr>
            <w:tcW w:w="3900" w:type="pct"/>
            <w:shd w:val="clear" w:color="auto" w:fill="auto"/>
          </w:tcPr>
          <w:p w:rsidR="00BA5F14" w:rsidRPr="00795525" w:rsidRDefault="00BA5F14" w:rsidP="00BA5F14">
            <w:pPr>
              <w:pStyle w:val="Tabletext"/>
            </w:pPr>
            <w:r w:rsidRPr="00795525">
              <w:t>MRI—scan of cardiovascular system for assessment of myocardial structure and function involving:</w:t>
            </w:r>
          </w:p>
          <w:p w:rsidR="00BA5F14" w:rsidRPr="00795525" w:rsidRDefault="00BA5F14" w:rsidP="00BA5F14">
            <w:pPr>
              <w:pStyle w:val="Tablea"/>
            </w:pPr>
            <w:r w:rsidRPr="00795525">
              <w:t>(a) dedicated right ventricular views; and</w:t>
            </w:r>
          </w:p>
          <w:p w:rsidR="00BA5F14" w:rsidRPr="00795525" w:rsidRDefault="00BA5F14" w:rsidP="00BA5F14">
            <w:pPr>
              <w:pStyle w:val="Tablea"/>
            </w:pPr>
            <w:r w:rsidRPr="00795525">
              <w:t>(b) 3D volumetric assessment of the right ventricle; and</w:t>
            </w:r>
          </w:p>
          <w:p w:rsidR="00BA5F14" w:rsidRPr="00795525" w:rsidRDefault="00BA5F14" w:rsidP="00BA5F14">
            <w:pPr>
              <w:pStyle w:val="Tablea"/>
            </w:pPr>
            <w:r w:rsidRPr="00795525">
              <w:t>(c) reporting of end</w:t>
            </w:r>
            <w:r w:rsidR="00795525">
              <w:noBreakHyphen/>
            </w:r>
            <w:r w:rsidRPr="00795525">
              <w:t>diastolic and end</w:t>
            </w:r>
            <w:r w:rsidR="00795525">
              <w:noBreakHyphen/>
            </w:r>
            <w:r w:rsidRPr="00795525">
              <w:t>systolic volumes, ejection fraction and BSA</w:t>
            </w:r>
            <w:r w:rsidR="00795525">
              <w:noBreakHyphen/>
            </w:r>
            <w:r w:rsidRPr="00795525">
              <w:t>indexed values;</w:t>
            </w:r>
          </w:p>
          <w:p w:rsidR="00BA5F14" w:rsidRPr="00795525" w:rsidRDefault="00BA5F14" w:rsidP="00BA5F14">
            <w:pPr>
              <w:pStyle w:val="Tabletext"/>
            </w:pPr>
            <w:r w:rsidRPr="00795525">
              <w:t>if the request for the scan indicates that:</w:t>
            </w:r>
          </w:p>
          <w:p w:rsidR="00BA5F14" w:rsidRPr="00795525" w:rsidRDefault="00BA5F14" w:rsidP="00BA5F14">
            <w:pPr>
              <w:pStyle w:val="Tablea"/>
            </w:pPr>
            <w:r w:rsidRPr="00795525">
              <w:t>(d) the patient presented with symptoms consistent with arrhythmogenic right ventricular cardiomyopathy (ARVC); or</w:t>
            </w:r>
          </w:p>
          <w:p w:rsidR="00BA5F14" w:rsidRPr="00795525" w:rsidRDefault="00BA5F14" w:rsidP="00BA5F14">
            <w:pPr>
              <w:pStyle w:val="Tablea"/>
            </w:pPr>
            <w:r w:rsidRPr="00795525">
              <w:t>(e) investigative findings in relation to the p</w:t>
            </w:r>
            <w:r w:rsidR="00072E93" w:rsidRPr="00795525">
              <w:t>atient are consistent with ARVC</w:t>
            </w:r>
          </w:p>
          <w:p w:rsidR="00BC7CA9" w:rsidRPr="00795525" w:rsidRDefault="006D6D3E" w:rsidP="00955FEF">
            <w:pPr>
              <w:pStyle w:val="Tabletext"/>
            </w:pPr>
            <w:r w:rsidRPr="00795525">
              <w:t>(R) (</w:t>
            </w:r>
            <w:r w:rsidR="00955FEF" w:rsidRPr="00795525">
              <w:t>N</w:t>
            </w:r>
            <w:r w:rsidRPr="00795525">
              <w:t>K) (Anaes.) (Contrast)</w:t>
            </w:r>
          </w:p>
        </w:tc>
        <w:tc>
          <w:tcPr>
            <w:tcW w:w="600" w:type="pct"/>
            <w:shd w:val="clear" w:color="auto" w:fill="auto"/>
          </w:tcPr>
          <w:p w:rsidR="00BC7CA9" w:rsidRPr="00795525" w:rsidRDefault="00BC7CA9" w:rsidP="001C7D3D">
            <w:pPr>
              <w:pStyle w:val="Tabletext"/>
              <w:tabs>
                <w:tab w:val="decimal" w:pos="400"/>
              </w:tabs>
              <w:jc w:val="right"/>
            </w:pPr>
            <w:r w:rsidRPr="00795525">
              <w:t>427.60</w:t>
            </w:r>
          </w:p>
        </w:tc>
      </w:tr>
      <w:tr w:rsidR="00BC7CA9" w:rsidRPr="00795525" w:rsidTr="00072E93">
        <w:tc>
          <w:tcPr>
            <w:tcW w:w="500" w:type="pct"/>
            <w:tcBorders>
              <w:bottom w:val="single" w:sz="2" w:space="0" w:color="auto"/>
            </w:tcBorders>
            <w:shd w:val="clear" w:color="auto" w:fill="auto"/>
          </w:tcPr>
          <w:p w:rsidR="00BC7CA9" w:rsidRPr="00795525" w:rsidRDefault="00BC7CA9" w:rsidP="001C7D3D">
            <w:pPr>
              <w:pStyle w:val="Tabletext"/>
            </w:pPr>
            <w:r w:rsidRPr="00795525">
              <w:t>63397</w:t>
            </w:r>
          </w:p>
        </w:tc>
        <w:tc>
          <w:tcPr>
            <w:tcW w:w="3900" w:type="pct"/>
            <w:tcBorders>
              <w:bottom w:val="single" w:sz="2" w:space="0" w:color="auto"/>
            </w:tcBorders>
            <w:shd w:val="clear" w:color="auto" w:fill="auto"/>
          </w:tcPr>
          <w:p w:rsidR="00BA5F14" w:rsidRPr="00795525" w:rsidRDefault="00BA5F14" w:rsidP="00BA5F14">
            <w:pPr>
              <w:pStyle w:val="Tabletext"/>
            </w:pPr>
            <w:r w:rsidRPr="00795525">
              <w:t>MRI—scan of cardiovascular system for assessment of myocardial structure and function involving:</w:t>
            </w:r>
          </w:p>
          <w:p w:rsidR="00BA5F14" w:rsidRPr="00795525" w:rsidRDefault="00BA5F14" w:rsidP="00BA5F14">
            <w:pPr>
              <w:pStyle w:val="Tablea"/>
            </w:pPr>
            <w:r w:rsidRPr="00795525">
              <w:t>(a) dedicated right ventricular views; and</w:t>
            </w:r>
          </w:p>
          <w:p w:rsidR="00BA5F14" w:rsidRPr="00795525" w:rsidRDefault="00BA5F14" w:rsidP="00BA5F14">
            <w:pPr>
              <w:pStyle w:val="Tablea"/>
            </w:pPr>
            <w:r w:rsidRPr="00795525">
              <w:t>(b) 3D volumetric assessment of the right ventricle; and</w:t>
            </w:r>
          </w:p>
          <w:p w:rsidR="00BA5F14" w:rsidRPr="00795525" w:rsidRDefault="00BA5F14" w:rsidP="00BA5F14">
            <w:pPr>
              <w:pStyle w:val="Tablea"/>
            </w:pPr>
            <w:r w:rsidRPr="00795525">
              <w:t>(c) reporting of end</w:t>
            </w:r>
            <w:r w:rsidR="00795525">
              <w:noBreakHyphen/>
            </w:r>
            <w:r w:rsidRPr="00795525">
              <w:t>diastolic and end</w:t>
            </w:r>
            <w:r w:rsidR="00795525">
              <w:noBreakHyphen/>
            </w:r>
            <w:r w:rsidRPr="00795525">
              <w:t>systolic volumes, ejection fraction and BSA</w:t>
            </w:r>
            <w:r w:rsidR="00795525">
              <w:noBreakHyphen/>
            </w:r>
            <w:r w:rsidRPr="00795525">
              <w:t>indexed values;</w:t>
            </w:r>
          </w:p>
          <w:p w:rsidR="00BA5F14" w:rsidRPr="00795525" w:rsidRDefault="00BA5F14" w:rsidP="00BA5F14">
            <w:pPr>
              <w:pStyle w:val="Tabletext"/>
            </w:pPr>
            <w:r w:rsidRPr="00795525">
              <w:t>if the request for the scan indicates that the patient:</w:t>
            </w:r>
          </w:p>
          <w:p w:rsidR="00BA5F14" w:rsidRPr="00795525" w:rsidRDefault="00BA5F14" w:rsidP="00BA5F14">
            <w:pPr>
              <w:pStyle w:val="Tablea"/>
            </w:pPr>
            <w:r w:rsidRPr="00795525">
              <w:t>(d) is asymptomatic; and</w:t>
            </w:r>
          </w:p>
          <w:p w:rsidR="00BA5F14" w:rsidRPr="00795525" w:rsidRDefault="00BA5F14" w:rsidP="00BA5F14">
            <w:pPr>
              <w:pStyle w:val="Tablea"/>
            </w:pPr>
            <w:r w:rsidRPr="00795525">
              <w:t>(e) has one or more first degree relatives diagnosed with confirmed arrhythmogenic right ventricular cardiomy</w:t>
            </w:r>
            <w:r w:rsidR="00072E93" w:rsidRPr="00795525">
              <w:t>opathy (ARVC)</w:t>
            </w:r>
          </w:p>
          <w:p w:rsidR="006D6D3E" w:rsidRPr="00795525" w:rsidRDefault="006D6D3E" w:rsidP="00955FEF">
            <w:pPr>
              <w:pStyle w:val="Tabletext"/>
            </w:pPr>
            <w:r w:rsidRPr="00795525">
              <w:t>(R) (K) (Anaes.) (Contrast)</w:t>
            </w:r>
          </w:p>
        </w:tc>
        <w:tc>
          <w:tcPr>
            <w:tcW w:w="600" w:type="pct"/>
            <w:tcBorders>
              <w:bottom w:val="single" w:sz="2" w:space="0" w:color="auto"/>
            </w:tcBorders>
            <w:shd w:val="clear" w:color="auto" w:fill="auto"/>
          </w:tcPr>
          <w:p w:rsidR="00BC7CA9" w:rsidRPr="00795525" w:rsidRDefault="00BC7CA9" w:rsidP="001C7D3D">
            <w:pPr>
              <w:pStyle w:val="Tabletext"/>
              <w:tabs>
                <w:tab w:val="decimal" w:pos="400"/>
              </w:tabs>
              <w:jc w:val="right"/>
            </w:pPr>
            <w:r w:rsidRPr="00795525">
              <w:t>855.20</w:t>
            </w:r>
          </w:p>
        </w:tc>
      </w:tr>
      <w:tr w:rsidR="00BC7CA9" w:rsidRPr="00795525" w:rsidTr="00072E93">
        <w:tc>
          <w:tcPr>
            <w:tcW w:w="500" w:type="pct"/>
            <w:tcBorders>
              <w:top w:val="single" w:sz="2" w:space="0" w:color="auto"/>
              <w:bottom w:val="nil"/>
            </w:tcBorders>
            <w:shd w:val="clear" w:color="auto" w:fill="auto"/>
          </w:tcPr>
          <w:p w:rsidR="00BC7CA9" w:rsidRPr="00795525" w:rsidRDefault="00BC7CA9" w:rsidP="001C7D3D">
            <w:pPr>
              <w:pStyle w:val="Tabletext"/>
            </w:pPr>
            <w:r w:rsidRPr="00795525">
              <w:t>63398</w:t>
            </w:r>
          </w:p>
        </w:tc>
        <w:tc>
          <w:tcPr>
            <w:tcW w:w="3900" w:type="pct"/>
            <w:tcBorders>
              <w:top w:val="single" w:sz="2" w:space="0" w:color="auto"/>
              <w:bottom w:val="nil"/>
            </w:tcBorders>
            <w:shd w:val="clear" w:color="auto" w:fill="auto"/>
          </w:tcPr>
          <w:p w:rsidR="00BA5F14" w:rsidRPr="00795525" w:rsidRDefault="00255348" w:rsidP="00BA5F14">
            <w:pPr>
              <w:pStyle w:val="Tabletext"/>
            </w:pPr>
            <w:r w:rsidRPr="00795525">
              <w:t xml:space="preserve">MRI—scan of </w:t>
            </w:r>
            <w:r w:rsidR="00BA5F14" w:rsidRPr="00795525">
              <w:t>cardiovascular system for assessment of myocardial structure and function involving:</w:t>
            </w:r>
          </w:p>
          <w:p w:rsidR="00BA5F14" w:rsidRPr="00795525" w:rsidRDefault="00BA5F14" w:rsidP="00BA5F14">
            <w:pPr>
              <w:pStyle w:val="Tablea"/>
            </w:pPr>
            <w:r w:rsidRPr="00795525">
              <w:t>(a) dedicated right ventricular views; and</w:t>
            </w:r>
          </w:p>
          <w:p w:rsidR="00BA5F14" w:rsidRPr="00795525" w:rsidRDefault="00BA5F14" w:rsidP="00BA5F14">
            <w:pPr>
              <w:pStyle w:val="Tablea"/>
            </w:pPr>
            <w:r w:rsidRPr="00795525">
              <w:t>(b) 3D volumetric assessment of the right ventricle; and</w:t>
            </w:r>
          </w:p>
          <w:p w:rsidR="00BA5F14" w:rsidRPr="00795525" w:rsidRDefault="00BA5F14" w:rsidP="00BA5F14">
            <w:pPr>
              <w:pStyle w:val="Tablea"/>
            </w:pPr>
            <w:r w:rsidRPr="00795525">
              <w:t>(c) reporting of end</w:t>
            </w:r>
            <w:r w:rsidR="00795525">
              <w:noBreakHyphen/>
            </w:r>
            <w:r w:rsidRPr="00795525">
              <w:t>diastolic and end</w:t>
            </w:r>
            <w:r w:rsidR="00795525">
              <w:noBreakHyphen/>
            </w:r>
            <w:r w:rsidRPr="00795525">
              <w:t>systolic volumes, ejection fraction and BSA</w:t>
            </w:r>
            <w:r w:rsidR="00795525">
              <w:noBreakHyphen/>
            </w:r>
            <w:r w:rsidRPr="00795525">
              <w:t>indexed values;</w:t>
            </w:r>
          </w:p>
          <w:p w:rsidR="00BA5F14" w:rsidRPr="00795525" w:rsidRDefault="00BA5F14" w:rsidP="00BA5F14">
            <w:pPr>
              <w:pStyle w:val="Tabletext"/>
            </w:pPr>
            <w:r w:rsidRPr="00795525">
              <w:t>if the request for the scan indicates that the patient:</w:t>
            </w:r>
          </w:p>
          <w:p w:rsidR="00BA5F14" w:rsidRPr="00795525" w:rsidRDefault="00BA5F14" w:rsidP="00BA5F14">
            <w:pPr>
              <w:pStyle w:val="Tablea"/>
            </w:pPr>
            <w:r w:rsidRPr="00795525">
              <w:t>(d) is asymptomatic; and</w:t>
            </w:r>
          </w:p>
          <w:p w:rsidR="00BA5F14" w:rsidRPr="00795525" w:rsidRDefault="00BA5F14" w:rsidP="00BA5F14">
            <w:pPr>
              <w:pStyle w:val="Tablea"/>
            </w:pPr>
            <w:r w:rsidRPr="00795525">
              <w:t>(e) has one or more first degree relatives diagnosed with confirmed arrhythmogenic right ve</w:t>
            </w:r>
            <w:r w:rsidR="00072E93" w:rsidRPr="00795525">
              <w:t>ntricular cardiomyopathy (ARVC)</w:t>
            </w:r>
          </w:p>
          <w:p w:rsidR="00BC7CA9" w:rsidRPr="00795525" w:rsidRDefault="006D6D3E" w:rsidP="00955FEF">
            <w:pPr>
              <w:pStyle w:val="Tabletext"/>
            </w:pPr>
            <w:r w:rsidRPr="00795525">
              <w:t>(R) (NK) (Anaes.) (Contrast)</w:t>
            </w:r>
          </w:p>
        </w:tc>
        <w:tc>
          <w:tcPr>
            <w:tcW w:w="600" w:type="pct"/>
            <w:tcBorders>
              <w:top w:val="single" w:sz="2" w:space="0" w:color="auto"/>
              <w:bottom w:val="nil"/>
            </w:tcBorders>
            <w:shd w:val="clear" w:color="auto" w:fill="auto"/>
          </w:tcPr>
          <w:p w:rsidR="00BC7CA9" w:rsidRPr="00795525" w:rsidRDefault="00BC7CA9" w:rsidP="001C7D3D">
            <w:pPr>
              <w:pStyle w:val="Tabletext"/>
              <w:tabs>
                <w:tab w:val="decimal" w:pos="400"/>
              </w:tabs>
              <w:jc w:val="right"/>
            </w:pPr>
            <w:r w:rsidRPr="00795525">
              <w:t>427.60</w:t>
            </w:r>
          </w:p>
        </w:tc>
      </w:tr>
    </w:tbl>
    <w:p w:rsidR="00691D9F" w:rsidRPr="00795525" w:rsidRDefault="007320A4" w:rsidP="00691D9F">
      <w:pPr>
        <w:pStyle w:val="ItemHead"/>
      </w:pPr>
      <w:r w:rsidRPr="00795525">
        <w:t>12</w:t>
      </w:r>
      <w:r w:rsidR="00691D9F" w:rsidRPr="00795525">
        <w:t xml:space="preserve">  </w:t>
      </w:r>
      <w:r w:rsidR="00B44B12" w:rsidRPr="00795525">
        <w:t>Schedule</w:t>
      </w:r>
      <w:r w:rsidR="00795525" w:rsidRPr="00795525">
        <w:t> </w:t>
      </w:r>
      <w:r w:rsidR="00B44B12" w:rsidRPr="00795525">
        <w:t>1 (a</w:t>
      </w:r>
      <w:r w:rsidR="00691D9F" w:rsidRPr="00795525">
        <w:t>t the end of Subgroup 19 of Group I5</w:t>
      </w:r>
      <w:r w:rsidR="00B44B12" w:rsidRPr="00795525">
        <w:t>)</w:t>
      </w:r>
    </w:p>
    <w:p w:rsidR="00691D9F" w:rsidRPr="00795525" w:rsidRDefault="00691D9F" w:rsidP="00691D9F">
      <w:pPr>
        <w:pStyle w:val="Item"/>
      </w:pPr>
      <w:r w:rsidRPr="00795525">
        <w:t>Add:</w:t>
      </w:r>
    </w:p>
    <w:p w:rsidR="00B44B12" w:rsidRPr="00795525" w:rsidRDefault="00B44B12" w:rsidP="00B44B12">
      <w:pPr>
        <w:pStyle w:val="Tabletext"/>
      </w:pPr>
    </w:p>
    <w:tbl>
      <w:tblPr>
        <w:tblW w:w="5000" w:type="pct"/>
        <w:tblBorders>
          <w:top w:val="single" w:sz="4" w:space="0" w:color="auto"/>
          <w:bottom w:val="single" w:sz="2" w:space="0" w:color="auto"/>
          <w:insideH w:val="single" w:sz="2" w:space="0" w:color="auto"/>
        </w:tblBorders>
        <w:tblCellMar>
          <w:left w:w="31" w:type="dxa"/>
          <w:right w:w="31" w:type="dxa"/>
        </w:tblCellMar>
        <w:tblLook w:val="0000" w:firstRow="0" w:lastRow="0" w:firstColumn="0" w:lastColumn="0" w:noHBand="0" w:noVBand="0"/>
      </w:tblPr>
      <w:tblGrid>
        <w:gridCol w:w="837"/>
        <w:gridCol w:w="6533"/>
        <w:gridCol w:w="1005"/>
      </w:tblGrid>
      <w:tr w:rsidR="00691D9F" w:rsidRPr="00795525" w:rsidTr="00072E93">
        <w:tc>
          <w:tcPr>
            <w:tcW w:w="500" w:type="pct"/>
            <w:tcBorders>
              <w:top w:val="nil"/>
              <w:bottom w:val="single" w:sz="2" w:space="0" w:color="auto"/>
            </w:tcBorders>
            <w:shd w:val="clear" w:color="auto" w:fill="auto"/>
          </w:tcPr>
          <w:p w:rsidR="00691D9F" w:rsidRPr="00795525" w:rsidRDefault="00691D9F" w:rsidP="00691D9F">
            <w:pPr>
              <w:pStyle w:val="Tabletext"/>
            </w:pPr>
            <w:r w:rsidRPr="00795525">
              <w:t>63547</w:t>
            </w:r>
          </w:p>
        </w:tc>
        <w:tc>
          <w:tcPr>
            <w:tcW w:w="3900" w:type="pct"/>
            <w:tcBorders>
              <w:top w:val="nil"/>
              <w:bottom w:val="single" w:sz="2" w:space="0" w:color="auto"/>
            </w:tcBorders>
            <w:shd w:val="clear" w:color="auto" w:fill="auto"/>
          </w:tcPr>
          <w:p w:rsidR="00691D9F" w:rsidRPr="00795525" w:rsidRDefault="00691D9F" w:rsidP="00691D9F">
            <w:pPr>
              <w:pStyle w:val="Tabletext"/>
            </w:pPr>
            <w:r w:rsidRPr="00795525">
              <w:t>MRI—scan of both breasts for the detection of cancer, if:</w:t>
            </w:r>
          </w:p>
          <w:p w:rsidR="00691D9F" w:rsidRPr="00795525" w:rsidRDefault="00691D9F" w:rsidP="00691D9F">
            <w:pPr>
              <w:pStyle w:val="Tablea"/>
            </w:pPr>
            <w:r w:rsidRPr="00795525">
              <w:t>(a) a dedicated breast coil is used; and</w:t>
            </w:r>
          </w:p>
          <w:p w:rsidR="00691D9F" w:rsidRPr="00795525" w:rsidRDefault="00691D9F" w:rsidP="00691D9F">
            <w:pPr>
              <w:pStyle w:val="Tablea"/>
            </w:pPr>
            <w:r w:rsidRPr="00795525">
              <w:t>(b) the request for scan identifies that:</w:t>
            </w:r>
          </w:p>
          <w:p w:rsidR="00691D9F" w:rsidRPr="00795525" w:rsidRDefault="00691D9F" w:rsidP="00691D9F">
            <w:pPr>
              <w:pStyle w:val="Tablei"/>
            </w:pPr>
            <w:r w:rsidRPr="00795525">
              <w:t>(i) the patient has a breast implant in situ; and</w:t>
            </w:r>
          </w:p>
          <w:p w:rsidR="00691D9F" w:rsidRPr="00795525" w:rsidRDefault="00691D9F" w:rsidP="00691D9F">
            <w:pPr>
              <w:pStyle w:val="Tablei"/>
            </w:pPr>
            <w:r w:rsidRPr="00795525">
              <w:t>(ii) anaplastic large cell lymphoma has been diagnosed</w:t>
            </w:r>
          </w:p>
          <w:p w:rsidR="00691D9F" w:rsidRPr="00795525" w:rsidRDefault="00691D9F" w:rsidP="006D6D3E">
            <w:pPr>
              <w:pStyle w:val="Tabletext"/>
            </w:pPr>
            <w:r w:rsidRPr="00795525">
              <w:t>(R) (K) (Anaes.)</w:t>
            </w:r>
            <w:r w:rsidR="00F07971" w:rsidRPr="00795525">
              <w:t xml:space="preserve"> (Contrast)</w:t>
            </w:r>
          </w:p>
        </w:tc>
        <w:tc>
          <w:tcPr>
            <w:tcW w:w="600" w:type="pct"/>
            <w:tcBorders>
              <w:top w:val="nil"/>
              <w:bottom w:val="single" w:sz="2" w:space="0" w:color="auto"/>
            </w:tcBorders>
            <w:shd w:val="clear" w:color="auto" w:fill="auto"/>
          </w:tcPr>
          <w:p w:rsidR="00691D9F" w:rsidRPr="00795525" w:rsidRDefault="00691D9F" w:rsidP="001C7D3D">
            <w:pPr>
              <w:pStyle w:val="Tabletext"/>
              <w:tabs>
                <w:tab w:val="decimal" w:pos="400"/>
              </w:tabs>
              <w:jc w:val="right"/>
            </w:pPr>
            <w:r w:rsidRPr="00795525">
              <w:t>690.00</w:t>
            </w:r>
          </w:p>
        </w:tc>
      </w:tr>
      <w:tr w:rsidR="00691D9F" w:rsidRPr="00795525" w:rsidTr="00072E93">
        <w:tc>
          <w:tcPr>
            <w:tcW w:w="500" w:type="pct"/>
            <w:tcBorders>
              <w:top w:val="single" w:sz="2" w:space="0" w:color="auto"/>
              <w:bottom w:val="nil"/>
            </w:tcBorders>
            <w:shd w:val="clear" w:color="auto" w:fill="auto"/>
          </w:tcPr>
          <w:p w:rsidR="00691D9F" w:rsidRPr="00795525" w:rsidRDefault="00691D9F" w:rsidP="00691D9F">
            <w:pPr>
              <w:pStyle w:val="Tabletext"/>
            </w:pPr>
            <w:r w:rsidRPr="00795525">
              <w:t>63548</w:t>
            </w:r>
          </w:p>
        </w:tc>
        <w:tc>
          <w:tcPr>
            <w:tcW w:w="3900" w:type="pct"/>
            <w:tcBorders>
              <w:top w:val="single" w:sz="2" w:space="0" w:color="auto"/>
              <w:bottom w:val="nil"/>
            </w:tcBorders>
            <w:shd w:val="clear" w:color="auto" w:fill="auto"/>
          </w:tcPr>
          <w:p w:rsidR="00691D9F" w:rsidRPr="00795525" w:rsidRDefault="00691D9F" w:rsidP="001C7D3D">
            <w:pPr>
              <w:pStyle w:val="Tabletext"/>
            </w:pPr>
            <w:r w:rsidRPr="00795525">
              <w:t>MRI—scan of both breasts for the detection of cancer, if:</w:t>
            </w:r>
          </w:p>
          <w:p w:rsidR="00691D9F" w:rsidRPr="00795525" w:rsidRDefault="00691D9F" w:rsidP="001C7D3D">
            <w:pPr>
              <w:pStyle w:val="Tablea"/>
            </w:pPr>
            <w:r w:rsidRPr="00795525">
              <w:t>(a) a dedicated breast coil is used; and</w:t>
            </w:r>
          </w:p>
          <w:p w:rsidR="00691D9F" w:rsidRPr="00795525" w:rsidRDefault="00691D9F" w:rsidP="001C7D3D">
            <w:pPr>
              <w:pStyle w:val="Tablea"/>
            </w:pPr>
            <w:r w:rsidRPr="00795525">
              <w:t>(b) the request for scan identifies that:</w:t>
            </w:r>
          </w:p>
          <w:p w:rsidR="00691D9F" w:rsidRPr="00795525" w:rsidRDefault="00691D9F" w:rsidP="001C7D3D">
            <w:pPr>
              <w:pStyle w:val="Tablei"/>
            </w:pPr>
            <w:r w:rsidRPr="00795525">
              <w:t>(i) the patient has a breast implant in situ; and</w:t>
            </w:r>
          </w:p>
          <w:p w:rsidR="00691D9F" w:rsidRPr="00795525" w:rsidRDefault="00691D9F" w:rsidP="001C7D3D">
            <w:pPr>
              <w:pStyle w:val="Tablei"/>
            </w:pPr>
            <w:r w:rsidRPr="00795525">
              <w:t>(ii) anaplastic large cell lymphoma has been diagnosed</w:t>
            </w:r>
          </w:p>
          <w:p w:rsidR="00691D9F" w:rsidRPr="00795525" w:rsidRDefault="00955FEF" w:rsidP="00955FEF">
            <w:pPr>
              <w:pStyle w:val="Tabletext"/>
            </w:pPr>
            <w:r w:rsidRPr="00795525">
              <w:t>(R) (NK) (Anaes.)</w:t>
            </w:r>
            <w:r w:rsidR="00F07971" w:rsidRPr="00795525">
              <w:t xml:space="preserve"> (Contrast)</w:t>
            </w:r>
          </w:p>
        </w:tc>
        <w:tc>
          <w:tcPr>
            <w:tcW w:w="600" w:type="pct"/>
            <w:tcBorders>
              <w:top w:val="single" w:sz="2" w:space="0" w:color="auto"/>
              <w:bottom w:val="nil"/>
            </w:tcBorders>
            <w:shd w:val="clear" w:color="auto" w:fill="auto"/>
          </w:tcPr>
          <w:p w:rsidR="00691D9F" w:rsidRPr="00795525" w:rsidRDefault="00691D9F" w:rsidP="001C7D3D">
            <w:pPr>
              <w:pStyle w:val="Tabletext"/>
              <w:tabs>
                <w:tab w:val="decimal" w:pos="400"/>
              </w:tabs>
              <w:jc w:val="right"/>
            </w:pPr>
            <w:r w:rsidRPr="00795525">
              <w:t>345.00</w:t>
            </w:r>
          </w:p>
        </w:tc>
      </w:tr>
    </w:tbl>
    <w:p w:rsidR="003D0D67" w:rsidRPr="00795525" w:rsidRDefault="007320A4" w:rsidP="003D0D67">
      <w:pPr>
        <w:pStyle w:val="ItemHead"/>
      </w:pPr>
      <w:r w:rsidRPr="00795525">
        <w:t>13</w:t>
      </w:r>
      <w:r w:rsidR="003D0D67" w:rsidRPr="00795525">
        <w:t xml:space="preserve">  Clause</w:t>
      </w:r>
      <w:r w:rsidR="00795525" w:rsidRPr="00795525">
        <w:t> </w:t>
      </w:r>
      <w:r w:rsidR="003D0D67" w:rsidRPr="00795525">
        <w:t>3.1 of Schedule</w:t>
      </w:r>
      <w:r w:rsidR="00795525" w:rsidRPr="00795525">
        <w:t> </w:t>
      </w:r>
      <w:r w:rsidR="003D0D67" w:rsidRPr="00795525">
        <w:t xml:space="preserve">1 (definition of </w:t>
      </w:r>
      <w:r w:rsidR="003D0D67" w:rsidRPr="00795525">
        <w:rPr>
          <w:i/>
        </w:rPr>
        <w:t>scan</w:t>
      </w:r>
      <w:r w:rsidR="003D0D67" w:rsidRPr="00795525">
        <w:t>)</w:t>
      </w:r>
    </w:p>
    <w:p w:rsidR="003D0D67" w:rsidRPr="00795525" w:rsidRDefault="003D0D67" w:rsidP="003D0D67">
      <w:pPr>
        <w:pStyle w:val="Item"/>
      </w:pPr>
      <w:r w:rsidRPr="00795525">
        <w:t>Omit “63567”, substitute “63561 and 63740 to 63747”.</w:t>
      </w:r>
    </w:p>
    <w:p w:rsidR="0084172C" w:rsidRPr="00795525" w:rsidRDefault="007216F5" w:rsidP="00EA0D36">
      <w:pPr>
        <w:pStyle w:val="ActHead9"/>
      </w:pPr>
      <w:bookmarkStart w:id="11" w:name="_Toc509399321"/>
      <w:r w:rsidRPr="00795525">
        <w:t>Health Insurance (General Medical Services Table) Regulations</w:t>
      </w:r>
      <w:r w:rsidR="00795525" w:rsidRPr="00795525">
        <w:t> </w:t>
      </w:r>
      <w:r w:rsidRPr="00795525">
        <w:t>2017</w:t>
      </w:r>
      <w:bookmarkEnd w:id="11"/>
    </w:p>
    <w:p w:rsidR="00F026BC" w:rsidRPr="00795525" w:rsidRDefault="007320A4" w:rsidP="00A0768A">
      <w:pPr>
        <w:pStyle w:val="ItemHead"/>
      </w:pPr>
      <w:r w:rsidRPr="00795525">
        <w:t>14</w:t>
      </w:r>
      <w:r w:rsidR="00F026BC" w:rsidRPr="00795525">
        <w:t xml:space="preserve">  Subclause</w:t>
      </w:r>
      <w:r w:rsidR="00795525" w:rsidRPr="00795525">
        <w:t> </w:t>
      </w:r>
      <w:r w:rsidR="00F026BC" w:rsidRPr="00795525">
        <w:t>1.2.5(1) of Schedule</w:t>
      </w:r>
      <w:r w:rsidR="00795525" w:rsidRPr="00795525">
        <w:t> </w:t>
      </w:r>
      <w:r w:rsidR="00F026BC" w:rsidRPr="00795525">
        <w:t>1</w:t>
      </w:r>
    </w:p>
    <w:p w:rsidR="00F026BC" w:rsidRPr="00795525" w:rsidRDefault="00F026BC" w:rsidP="00F026BC">
      <w:pPr>
        <w:pStyle w:val="Item"/>
      </w:pPr>
      <w:r w:rsidRPr="00795525">
        <w:t>After “11724,”, insert “11728,”.</w:t>
      </w:r>
    </w:p>
    <w:p w:rsidR="00A0768A" w:rsidRPr="00795525" w:rsidRDefault="007320A4" w:rsidP="00A0768A">
      <w:pPr>
        <w:pStyle w:val="ItemHead"/>
      </w:pPr>
      <w:r w:rsidRPr="00795525">
        <w:t>15</w:t>
      </w:r>
      <w:r w:rsidR="00A0768A" w:rsidRPr="00795525">
        <w:t xml:space="preserve">  Schedule</w:t>
      </w:r>
      <w:r w:rsidR="00795525" w:rsidRPr="00795525">
        <w:t> </w:t>
      </w:r>
      <w:r w:rsidR="00A0768A" w:rsidRPr="00795525">
        <w:t>1 (at the end of Subgroup 6 of Group D1)</w:t>
      </w:r>
    </w:p>
    <w:p w:rsidR="00A0768A" w:rsidRPr="00795525" w:rsidRDefault="00A0768A" w:rsidP="00A0768A">
      <w:pPr>
        <w:pStyle w:val="Item"/>
      </w:pPr>
      <w:r w:rsidRPr="00795525">
        <w:t>Add:</w:t>
      </w:r>
    </w:p>
    <w:p w:rsidR="00A0768A" w:rsidRPr="00795525" w:rsidRDefault="00A0768A" w:rsidP="00A0768A">
      <w:pPr>
        <w:pStyle w:val="Tabletext"/>
      </w:pPr>
    </w:p>
    <w:tbl>
      <w:tblPr>
        <w:tblW w:w="5000" w:type="pct"/>
        <w:tblCellMar>
          <w:left w:w="107" w:type="dxa"/>
          <w:right w:w="107" w:type="dxa"/>
        </w:tblCellMar>
        <w:tblLook w:val="04A0" w:firstRow="1" w:lastRow="0" w:firstColumn="1" w:lastColumn="0" w:noHBand="0" w:noVBand="1"/>
      </w:tblPr>
      <w:tblGrid>
        <w:gridCol w:w="898"/>
        <w:gridCol w:w="6012"/>
        <w:gridCol w:w="1617"/>
      </w:tblGrid>
      <w:tr w:rsidR="00A0768A" w:rsidRPr="00795525" w:rsidTr="00641FD8">
        <w:tc>
          <w:tcPr>
            <w:tcW w:w="527" w:type="pct"/>
            <w:shd w:val="clear" w:color="auto" w:fill="auto"/>
            <w:hideMark/>
          </w:tcPr>
          <w:p w:rsidR="00A0768A" w:rsidRPr="00795525" w:rsidRDefault="00A0768A" w:rsidP="00641FD8">
            <w:pPr>
              <w:pStyle w:val="Tabletext"/>
              <w:rPr>
                <w:snapToGrid w:val="0"/>
              </w:rPr>
            </w:pPr>
            <w:r w:rsidRPr="00795525">
              <w:rPr>
                <w:snapToGrid w:val="0"/>
              </w:rPr>
              <w:t>11728</w:t>
            </w:r>
          </w:p>
        </w:tc>
        <w:tc>
          <w:tcPr>
            <w:tcW w:w="3525" w:type="pct"/>
            <w:shd w:val="clear" w:color="auto" w:fill="auto"/>
            <w:hideMark/>
          </w:tcPr>
          <w:p w:rsidR="00955FEF" w:rsidRPr="00795525" w:rsidRDefault="00A0768A" w:rsidP="00FB3F66">
            <w:pPr>
              <w:pStyle w:val="Tabletext"/>
            </w:pPr>
            <w:r w:rsidRPr="00795525">
              <w:t>Implant</w:t>
            </w:r>
            <w:r w:rsidR="00955FEF" w:rsidRPr="00795525">
              <w:t>ed loop recording</w:t>
            </w:r>
            <w:r w:rsidRPr="00795525">
              <w:t xml:space="preserve"> for </w:t>
            </w:r>
            <w:r w:rsidR="00955FEF" w:rsidRPr="00795525">
              <w:t xml:space="preserve">the </w:t>
            </w:r>
            <w:r w:rsidRPr="00795525">
              <w:t>investigation of atrial fibrillation</w:t>
            </w:r>
            <w:r w:rsidR="00FB3F66" w:rsidRPr="00795525">
              <w:t xml:space="preserve"> if</w:t>
            </w:r>
            <w:r w:rsidRPr="00795525">
              <w:t xml:space="preserve"> the </w:t>
            </w:r>
            <w:r w:rsidR="00830748" w:rsidRPr="00795525">
              <w:t xml:space="preserve">patient to whom the service is provided </w:t>
            </w:r>
            <w:r w:rsidRPr="00795525">
              <w:t>has been diagnosed as having had</w:t>
            </w:r>
            <w:r w:rsidR="00D26A3D" w:rsidRPr="00795525">
              <w:t xml:space="preserve"> </w:t>
            </w:r>
            <w:r w:rsidR="00F026BC" w:rsidRPr="00795525">
              <w:t xml:space="preserve">an </w:t>
            </w:r>
            <w:r w:rsidRPr="00795525">
              <w:t>embolic stroke of undetermined source</w:t>
            </w:r>
            <w:r w:rsidR="00FB3F66" w:rsidRPr="00795525">
              <w:t xml:space="preserve">, including </w:t>
            </w:r>
            <w:r w:rsidR="00955FEF" w:rsidRPr="00795525">
              <w:t>reprogramming when required, retrieval of stored data, analysis, interpretation and report</w:t>
            </w:r>
            <w:r w:rsidR="00FB3F66" w:rsidRPr="00795525">
              <w:t xml:space="preserve">, other than </w:t>
            </w:r>
            <w:r w:rsidR="00955FEF" w:rsidRPr="00795525">
              <w:t>a service to which item</w:t>
            </w:r>
            <w:r w:rsidR="00795525" w:rsidRPr="00795525">
              <w:t> </w:t>
            </w:r>
            <w:r w:rsidR="00955FEF" w:rsidRPr="00795525">
              <w:t>38288 applies</w:t>
            </w:r>
          </w:p>
          <w:p w:rsidR="00F95A81" w:rsidRPr="00795525" w:rsidRDefault="00F95A81" w:rsidP="00830748">
            <w:pPr>
              <w:pStyle w:val="Tabletext"/>
            </w:pPr>
            <w:r w:rsidRPr="00795525">
              <w:t>For any particular patient—applica</w:t>
            </w:r>
            <w:r w:rsidR="00830748" w:rsidRPr="00795525">
              <w:t xml:space="preserve">ble </w:t>
            </w:r>
            <w:r w:rsidRPr="00795525">
              <w:t>not more than 4 times in any 12 months</w:t>
            </w:r>
          </w:p>
        </w:tc>
        <w:tc>
          <w:tcPr>
            <w:tcW w:w="948" w:type="pct"/>
            <w:shd w:val="clear" w:color="auto" w:fill="auto"/>
            <w:hideMark/>
          </w:tcPr>
          <w:p w:rsidR="00A0768A" w:rsidRPr="00795525" w:rsidRDefault="00A0768A" w:rsidP="00641FD8">
            <w:pPr>
              <w:pStyle w:val="Tabletext"/>
              <w:jc w:val="right"/>
            </w:pPr>
            <w:r w:rsidRPr="00795525">
              <w:t>34.75</w:t>
            </w:r>
          </w:p>
        </w:tc>
      </w:tr>
    </w:tbl>
    <w:p w:rsidR="00E60916" w:rsidRPr="00795525" w:rsidRDefault="007320A4" w:rsidP="00E60916">
      <w:pPr>
        <w:pStyle w:val="ItemHead"/>
      </w:pPr>
      <w:r w:rsidRPr="00795525">
        <w:t>16</w:t>
      </w:r>
      <w:r w:rsidR="00E60916" w:rsidRPr="00795525">
        <w:t xml:space="preserve">  Schedule</w:t>
      </w:r>
      <w:r w:rsidR="00795525" w:rsidRPr="00795525">
        <w:t> </w:t>
      </w:r>
      <w:r w:rsidR="00E60916" w:rsidRPr="00795525">
        <w:t>1 (item</w:t>
      </w:r>
      <w:r w:rsidR="00795525" w:rsidRPr="00795525">
        <w:t> </w:t>
      </w:r>
      <w:r w:rsidR="00E60916" w:rsidRPr="00795525">
        <w:t xml:space="preserve">15565, column headed </w:t>
      </w:r>
      <w:r w:rsidR="008841AC" w:rsidRPr="00795525">
        <w:t>“</w:t>
      </w:r>
      <w:r w:rsidR="00E60916" w:rsidRPr="00795525">
        <w:t>Description</w:t>
      </w:r>
      <w:r w:rsidR="008841AC" w:rsidRPr="00795525">
        <w:t>”</w:t>
      </w:r>
      <w:r w:rsidR="00E60916" w:rsidRPr="00795525">
        <w:t xml:space="preserve">, </w:t>
      </w:r>
      <w:r w:rsidR="00795525" w:rsidRPr="00795525">
        <w:t>subparagraphs (</w:t>
      </w:r>
      <w:r w:rsidR="00E60916" w:rsidRPr="00795525">
        <w:t>b)(iii) and (iv))</w:t>
      </w:r>
    </w:p>
    <w:p w:rsidR="00E60916" w:rsidRPr="00795525" w:rsidRDefault="00E60916" w:rsidP="00E60916">
      <w:pPr>
        <w:pStyle w:val="Item"/>
      </w:pPr>
      <w:r w:rsidRPr="00795525">
        <w:t>Repeal the subparagraphs, substitute:</w:t>
      </w:r>
    </w:p>
    <w:p w:rsidR="00E60916" w:rsidRPr="00795525" w:rsidRDefault="00E60916" w:rsidP="000745C0">
      <w:pPr>
        <w:pStyle w:val="Tablei"/>
      </w:pPr>
      <w:r w:rsidRPr="00795525">
        <w:t>(iii) validating the accuracy of the derived IMRT dosimetry plan; and</w:t>
      </w:r>
    </w:p>
    <w:p w:rsidR="005239D8" w:rsidRPr="00795525" w:rsidRDefault="007320A4" w:rsidP="005239D8">
      <w:pPr>
        <w:pStyle w:val="ItemHead"/>
      </w:pPr>
      <w:r w:rsidRPr="00795525">
        <w:t>17</w:t>
      </w:r>
      <w:r w:rsidR="005239D8" w:rsidRPr="00795525">
        <w:t xml:space="preserve">  Schedule</w:t>
      </w:r>
      <w:r w:rsidR="00795525" w:rsidRPr="00795525">
        <w:t> </w:t>
      </w:r>
      <w:r w:rsidR="005239D8" w:rsidRPr="00795525">
        <w:t>1 (items</w:t>
      </w:r>
      <w:r w:rsidR="00795525" w:rsidRPr="00795525">
        <w:t> </w:t>
      </w:r>
      <w:r w:rsidR="005239D8" w:rsidRPr="00795525">
        <w:t>30481</w:t>
      </w:r>
      <w:r w:rsidR="008A3891" w:rsidRPr="00795525">
        <w:t xml:space="preserve"> to</w:t>
      </w:r>
      <w:r w:rsidR="005239D8" w:rsidRPr="00795525">
        <w:t xml:space="preserve"> 30483)</w:t>
      </w:r>
    </w:p>
    <w:p w:rsidR="005239D8" w:rsidRPr="00795525" w:rsidRDefault="005239D8" w:rsidP="005239D8">
      <w:pPr>
        <w:pStyle w:val="Item"/>
      </w:pPr>
      <w:r w:rsidRPr="00795525">
        <w:t>Repeal the items, substitute:</w:t>
      </w:r>
    </w:p>
    <w:p w:rsidR="005239D8" w:rsidRPr="00795525" w:rsidRDefault="005239D8" w:rsidP="005239D8">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899"/>
        <w:gridCol w:w="6296"/>
        <w:gridCol w:w="1332"/>
      </w:tblGrid>
      <w:tr w:rsidR="005239D8" w:rsidRPr="00795525" w:rsidTr="00641FD8">
        <w:tc>
          <w:tcPr>
            <w:tcW w:w="527" w:type="pct"/>
            <w:tcBorders>
              <w:top w:val="nil"/>
            </w:tcBorders>
            <w:shd w:val="clear" w:color="auto" w:fill="auto"/>
            <w:hideMark/>
          </w:tcPr>
          <w:p w:rsidR="005239D8" w:rsidRPr="00795525" w:rsidRDefault="005239D8" w:rsidP="00641FD8">
            <w:pPr>
              <w:pStyle w:val="Tabletext"/>
              <w:rPr>
                <w:snapToGrid w:val="0"/>
              </w:rPr>
            </w:pPr>
            <w:r w:rsidRPr="00795525">
              <w:rPr>
                <w:snapToGrid w:val="0"/>
              </w:rPr>
              <w:t>30481</w:t>
            </w:r>
          </w:p>
        </w:tc>
        <w:tc>
          <w:tcPr>
            <w:tcW w:w="3692" w:type="pct"/>
            <w:tcBorders>
              <w:top w:val="nil"/>
            </w:tcBorders>
            <w:shd w:val="clear" w:color="auto" w:fill="auto"/>
            <w:hideMark/>
          </w:tcPr>
          <w:p w:rsidR="005239D8" w:rsidRPr="00795525" w:rsidRDefault="005239D8" w:rsidP="00641FD8">
            <w:pPr>
              <w:pStyle w:val="Tabletext"/>
              <w:rPr>
                <w:snapToGrid w:val="0"/>
              </w:rPr>
            </w:pPr>
            <w:r w:rsidRPr="00795525">
              <w:rPr>
                <w:snapToGrid w:val="0"/>
              </w:rPr>
              <w:t>Percutaneous gastrostomy (initial procedure):</w:t>
            </w:r>
          </w:p>
          <w:p w:rsidR="005239D8" w:rsidRPr="00795525" w:rsidRDefault="005239D8" w:rsidP="00641FD8">
            <w:pPr>
              <w:pStyle w:val="Tablea"/>
              <w:rPr>
                <w:snapToGrid w:val="0"/>
              </w:rPr>
            </w:pPr>
            <w:r w:rsidRPr="00795525">
              <w:rPr>
                <w:snapToGrid w:val="0"/>
              </w:rPr>
              <w:t>(a) including any associated imaging services; and</w:t>
            </w:r>
          </w:p>
          <w:p w:rsidR="005239D8" w:rsidRPr="00795525" w:rsidRDefault="005239D8" w:rsidP="00641FD8">
            <w:pPr>
              <w:pStyle w:val="Tablea"/>
              <w:rPr>
                <w:snapToGrid w:val="0"/>
              </w:rPr>
            </w:pPr>
            <w:r w:rsidRPr="00795525">
              <w:rPr>
                <w:snapToGrid w:val="0"/>
              </w:rPr>
              <w:t>(b) excluding</w:t>
            </w:r>
            <w:r w:rsidRPr="00795525">
              <w:t xml:space="preserve"> the insertion of a device for the purpose of facilitating weight loss</w:t>
            </w:r>
          </w:p>
          <w:p w:rsidR="005239D8" w:rsidRPr="00795525" w:rsidRDefault="005239D8" w:rsidP="00641FD8">
            <w:pPr>
              <w:pStyle w:val="Tablea"/>
              <w:rPr>
                <w:snapToGrid w:val="0"/>
              </w:rPr>
            </w:pPr>
            <w:r w:rsidRPr="00795525">
              <w:rPr>
                <w:snapToGrid w:val="0"/>
              </w:rPr>
              <w:t>(Anaes.)</w:t>
            </w:r>
          </w:p>
        </w:tc>
        <w:tc>
          <w:tcPr>
            <w:tcW w:w="781" w:type="pct"/>
            <w:tcBorders>
              <w:top w:val="nil"/>
            </w:tcBorders>
            <w:shd w:val="clear" w:color="auto" w:fill="auto"/>
            <w:hideMark/>
          </w:tcPr>
          <w:p w:rsidR="005239D8" w:rsidRPr="00795525" w:rsidRDefault="005239D8" w:rsidP="00641FD8">
            <w:pPr>
              <w:pStyle w:val="Tabletext"/>
              <w:jc w:val="right"/>
            </w:pPr>
            <w:r w:rsidRPr="00795525">
              <w:t>357.00</w:t>
            </w:r>
          </w:p>
        </w:tc>
      </w:tr>
      <w:tr w:rsidR="005239D8" w:rsidRPr="00795525" w:rsidTr="00641FD8">
        <w:tc>
          <w:tcPr>
            <w:tcW w:w="527" w:type="pct"/>
            <w:tcBorders>
              <w:bottom w:val="single" w:sz="2" w:space="0" w:color="auto"/>
            </w:tcBorders>
            <w:shd w:val="clear" w:color="auto" w:fill="auto"/>
            <w:hideMark/>
          </w:tcPr>
          <w:p w:rsidR="005239D8" w:rsidRPr="00795525" w:rsidRDefault="005239D8" w:rsidP="00641FD8">
            <w:pPr>
              <w:pStyle w:val="Tabletext"/>
              <w:rPr>
                <w:snapToGrid w:val="0"/>
              </w:rPr>
            </w:pPr>
            <w:r w:rsidRPr="00795525">
              <w:rPr>
                <w:snapToGrid w:val="0"/>
              </w:rPr>
              <w:t>30482</w:t>
            </w:r>
          </w:p>
        </w:tc>
        <w:tc>
          <w:tcPr>
            <w:tcW w:w="3692" w:type="pct"/>
            <w:tcBorders>
              <w:bottom w:val="single" w:sz="2" w:space="0" w:color="auto"/>
            </w:tcBorders>
            <w:shd w:val="clear" w:color="auto" w:fill="auto"/>
            <w:hideMark/>
          </w:tcPr>
          <w:p w:rsidR="005239D8" w:rsidRPr="00795525" w:rsidRDefault="005239D8" w:rsidP="00641FD8">
            <w:pPr>
              <w:pStyle w:val="Tabletext"/>
              <w:rPr>
                <w:snapToGrid w:val="0"/>
              </w:rPr>
            </w:pPr>
            <w:r w:rsidRPr="00795525">
              <w:rPr>
                <w:snapToGrid w:val="0"/>
              </w:rPr>
              <w:t>Percutaneous gastrostomy (repeat procedure):</w:t>
            </w:r>
          </w:p>
          <w:p w:rsidR="005239D8" w:rsidRPr="00795525" w:rsidRDefault="005239D8" w:rsidP="00641FD8">
            <w:pPr>
              <w:pStyle w:val="Tablea"/>
              <w:rPr>
                <w:snapToGrid w:val="0"/>
              </w:rPr>
            </w:pPr>
            <w:r w:rsidRPr="00795525">
              <w:rPr>
                <w:snapToGrid w:val="0"/>
              </w:rPr>
              <w:t>(a) including any associated imaging services; and</w:t>
            </w:r>
          </w:p>
          <w:p w:rsidR="005239D8" w:rsidRPr="00795525" w:rsidRDefault="005239D8" w:rsidP="00641FD8">
            <w:pPr>
              <w:pStyle w:val="Tablea"/>
              <w:rPr>
                <w:snapToGrid w:val="0"/>
              </w:rPr>
            </w:pPr>
            <w:r w:rsidRPr="00795525">
              <w:rPr>
                <w:snapToGrid w:val="0"/>
              </w:rPr>
              <w:t xml:space="preserve">(b) </w:t>
            </w:r>
            <w:r w:rsidRPr="00795525">
              <w:t>excluding the insertion of a device for the purpose of facilitating weight loss</w:t>
            </w:r>
          </w:p>
          <w:p w:rsidR="005239D8" w:rsidRPr="00795525" w:rsidRDefault="005239D8" w:rsidP="00641FD8">
            <w:pPr>
              <w:pStyle w:val="Tabletext"/>
              <w:rPr>
                <w:snapToGrid w:val="0"/>
              </w:rPr>
            </w:pPr>
            <w:r w:rsidRPr="00795525">
              <w:rPr>
                <w:snapToGrid w:val="0"/>
              </w:rPr>
              <w:t>(Anaes.)</w:t>
            </w:r>
          </w:p>
        </w:tc>
        <w:tc>
          <w:tcPr>
            <w:tcW w:w="781" w:type="pct"/>
            <w:tcBorders>
              <w:bottom w:val="single" w:sz="2" w:space="0" w:color="auto"/>
            </w:tcBorders>
            <w:shd w:val="clear" w:color="auto" w:fill="auto"/>
            <w:hideMark/>
          </w:tcPr>
          <w:p w:rsidR="005239D8" w:rsidRPr="00795525" w:rsidRDefault="005239D8" w:rsidP="00641FD8">
            <w:pPr>
              <w:pStyle w:val="Tabletext"/>
              <w:jc w:val="right"/>
            </w:pPr>
            <w:r w:rsidRPr="00795525">
              <w:t>253.85</w:t>
            </w:r>
          </w:p>
        </w:tc>
      </w:tr>
      <w:tr w:rsidR="005239D8" w:rsidRPr="00795525" w:rsidTr="00641FD8">
        <w:tc>
          <w:tcPr>
            <w:tcW w:w="527" w:type="pct"/>
            <w:tcBorders>
              <w:top w:val="single" w:sz="2" w:space="0" w:color="auto"/>
              <w:bottom w:val="nil"/>
            </w:tcBorders>
            <w:shd w:val="clear" w:color="auto" w:fill="auto"/>
            <w:hideMark/>
          </w:tcPr>
          <w:p w:rsidR="005239D8" w:rsidRPr="00795525" w:rsidRDefault="005239D8" w:rsidP="00641FD8">
            <w:pPr>
              <w:pStyle w:val="Tabletext"/>
              <w:rPr>
                <w:snapToGrid w:val="0"/>
              </w:rPr>
            </w:pPr>
            <w:r w:rsidRPr="00795525">
              <w:rPr>
                <w:snapToGrid w:val="0"/>
              </w:rPr>
              <w:t>30483</w:t>
            </w:r>
          </w:p>
        </w:tc>
        <w:tc>
          <w:tcPr>
            <w:tcW w:w="3692" w:type="pct"/>
            <w:tcBorders>
              <w:top w:val="single" w:sz="2" w:space="0" w:color="auto"/>
              <w:bottom w:val="nil"/>
            </w:tcBorders>
            <w:shd w:val="clear" w:color="auto" w:fill="auto"/>
            <w:hideMark/>
          </w:tcPr>
          <w:p w:rsidR="005239D8" w:rsidRPr="00795525" w:rsidRDefault="005239D8" w:rsidP="00641FD8">
            <w:pPr>
              <w:pStyle w:val="Tabletext"/>
            </w:pPr>
            <w:r w:rsidRPr="00795525">
              <w:t>Gastrostomy button, caecostomy antegrade enema device (chait etc.) or stomal indwelling device:</w:t>
            </w:r>
          </w:p>
          <w:p w:rsidR="005239D8" w:rsidRPr="00795525" w:rsidRDefault="005239D8" w:rsidP="00641FD8">
            <w:pPr>
              <w:pStyle w:val="Tablea"/>
            </w:pPr>
            <w:r w:rsidRPr="00795525">
              <w:t>(a) non</w:t>
            </w:r>
            <w:r w:rsidR="00795525">
              <w:noBreakHyphen/>
            </w:r>
            <w:r w:rsidRPr="00795525">
              <w:t>endoscopic insertion of; or</w:t>
            </w:r>
          </w:p>
          <w:p w:rsidR="005239D8" w:rsidRPr="00795525" w:rsidRDefault="005239D8" w:rsidP="00641FD8">
            <w:pPr>
              <w:pStyle w:val="Tablea"/>
            </w:pPr>
            <w:r w:rsidRPr="00795525">
              <w:t>(b) non</w:t>
            </w:r>
            <w:r w:rsidR="00795525">
              <w:noBreakHyphen/>
            </w:r>
            <w:r w:rsidRPr="00795525">
              <w:t>endoscopic replacement of;</w:t>
            </w:r>
          </w:p>
          <w:p w:rsidR="005239D8" w:rsidRPr="00795525" w:rsidRDefault="005239D8" w:rsidP="00ED45D5">
            <w:pPr>
              <w:pStyle w:val="Tabletext"/>
              <w:rPr>
                <w:snapToGrid w:val="0"/>
              </w:rPr>
            </w:pPr>
            <w:r w:rsidRPr="00795525">
              <w:rPr>
                <w:rFonts w:eastAsia="Calibri"/>
              </w:rPr>
              <w:t xml:space="preserve">on a person 10 years of age or over, excluding </w:t>
            </w:r>
            <w:r w:rsidRPr="00795525">
              <w:t>the insertion of a device for the purpose of facilitating weight loss</w:t>
            </w:r>
            <w:r w:rsidR="00ED45D5" w:rsidRPr="00795525">
              <w:t xml:space="preserve"> </w:t>
            </w:r>
            <w:r w:rsidRPr="00795525">
              <w:t>(Anaes.)</w:t>
            </w:r>
          </w:p>
        </w:tc>
        <w:tc>
          <w:tcPr>
            <w:tcW w:w="781" w:type="pct"/>
            <w:tcBorders>
              <w:top w:val="single" w:sz="2" w:space="0" w:color="auto"/>
              <w:bottom w:val="nil"/>
            </w:tcBorders>
            <w:shd w:val="clear" w:color="auto" w:fill="auto"/>
            <w:hideMark/>
          </w:tcPr>
          <w:p w:rsidR="005239D8" w:rsidRPr="00795525" w:rsidRDefault="005239D8" w:rsidP="00641FD8">
            <w:pPr>
              <w:pStyle w:val="Tabletext"/>
              <w:jc w:val="right"/>
            </w:pPr>
            <w:r w:rsidRPr="00795525">
              <w:t>177.05</w:t>
            </w:r>
          </w:p>
        </w:tc>
      </w:tr>
    </w:tbl>
    <w:p w:rsidR="008F2234" w:rsidRPr="00795525" w:rsidRDefault="007320A4" w:rsidP="00E059A4">
      <w:pPr>
        <w:pStyle w:val="ItemHead"/>
      </w:pPr>
      <w:r w:rsidRPr="00795525">
        <w:t>18</w:t>
      </w:r>
      <w:r w:rsidR="008F2234" w:rsidRPr="00795525">
        <w:t xml:space="preserve">  Schedule</w:t>
      </w:r>
      <w:r w:rsidR="00795525" w:rsidRPr="00795525">
        <w:t> </w:t>
      </w:r>
      <w:r w:rsidR="008F2234" w:rsidRPr="00795525">
        <w:t>1 (items</w:t>
      </w:r>
      <w:r w:rsidR="00795525" w:rsidRPr="00795525">
        <w:t> </w:t>
      </w:r>
      <w:r w:rsidR="008F2234" w:rsidRPr="00795525">
        <w:t>32520</w:t>
      </w:r>
      <w:r w:rsidR="008A3891" w:rsidRPr="00795525">
        <w:t xml:space="preserve"> to</w:t>
      </w:r>
      <w:r w:rsidR="0014597A" w:rsidRPr="00795525">
        <w:t xml:space="preserve"> 32526</w:t>
      </w:r>
      <w:r w:rsidR="008F2234" w:rsidRPr="00795525">
        <w:t>)</w:t>
      </w:r>
    </w:p>
    <w:p w:rsidR="007207D0" w:rsidRPr="00795525" w:rsidRDefault="007207D0" w:rsidP="007207D0">
      <w:pPr>
        <w:pStyle w:val="Item"/>
      </w:pPr>
      <w:r w:rsidRPr="00795525">
        <w:t>Repeal the items, substitute:</w:t>
      </w:r>
    </w:p>
    <w:p w:rsidR="009E537F" w:rsidRPr="00795525" w:rsidRDefault="009E537F" w:rsidP="009E537F">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899"/>
        <w:gridCol w:w="6296"/>
        <w:gridCol w:w="1332"/>
      </w:tblGrid>
      <w:tr w:rsidR="007207D0" w:rsidRPr="00795525" w:rsidTr="006A3CB1">
        <w:tc>
          <w:tcPr>
            <w:tcW w:w="527" w:type="pct"/>
            <w:tcBorders>
              <w:top w:val="nil"/>
            </w:tcBorders>
            <w:shd w:val="clear" w:color="auto" w:fill="auto"/>
            <w:hideMark/>
          </w:tcPr>
          <w:p w:rsidR="007207D0" w:rsidRPr="00795525" w:rsidRDefault="007207D0" w:rsidP="002A6899">
            <w:pPr>
              <w:pStyle w:val="Tabletext"/>
            </w:pPr>
            <w:r w:rsidRPr="00795525">
              <w:t>32520</w:t>
            </w:r>
          </w:p>
        </w:tc>
        <w:tc>
          <w:tcPr>
            <w:tcW w:w="3692" w:type="pct"/>
            <w:tcBorders>
              <w:top w:val="nil"/>
            </w:tcBorders>
            <w:shd w:val="clear" w:color="auto" w:fill="auto"/>
            <w:hideMark/>
          </w:tcPr>
          <w:p w:rsidR="007207D0" w:rsidRPr="00795525" w:rsidRDefault="007207D0" w:rsidP="007207D0">
            <w:pPr>
              <w:pStyle w:val="Tabletext"/>
            </w:pPr>
            <w:r w:rsidRPr="00795525">
              <w:t>Varicose veins, abolition of venous reflux by occlusion of a primary or recurrent great (long) or small (short) saphenous vein of one leg (and major tributaries of saphenous veins as necessary), using a laser probe introduced by an endovenous catheter, if it is documented by duplex ultrasound that the great or small saphenous vein (whichever is to be treated) demonstrates reflux of 0.5 seconds or longer:</w:t>
            </w:r>
          </w:p>
          <w:p w:rsidR="007207D0" w:rsidRPr="00795525" w:rsidRDefault="007207D0" w:rsidP="007207D0">
            <w:pPr>
              <w:pStyle w:val="Tablea"/>
            </w:pPr>
            <w:r w:rsidRPr="00795525">
              <w:t>(a) including all preparation and immediate clinical aftercare (including excision or injection of either tributaries or incompetent perforating veins, or both); and</w:t>
            </w:r>
          </w:p>
          <w:p w:rsidR="007207D0" w:rsidRPr="00795525" w:rsidRDefault="007207D0" w:rsidP="007207D0">
            <w:pPr>
              <w:pStyle w:val="Tablea"/>
            </w:pPr>
            <w:r w:rsidRPr="00795525">
              <w:t>(b) not including radiofrequency diathermy, radiofrequency ablation or cyanoacrylate embolisation; and</w:t>
            </w:r>
          </w:p>
          <w:p w:rsidR="007207D0" w:rsidRPr="00795525" w:rsidRDefault="007207D0" w:rsidP="007207D0">
            <w:pPr>
              <w:pStyle w:val="Tablea"/>
            </w:pPr>
            <w:r w:rsidRPr="00795525">
              <w:t>(c) not provided on the same occasion as a service described in any of items</w:t>
            </w:r>
            <w:r w:rsidR="00795525" w:rsidRPr="00795525">
              <w:t> </w:t>
            </w:r>
            <w:r w:rsidRPr="00795525">
              <w:t>32500, 32501, 32504</w:t>
            </w:r>
            <w:r w:rsidR="00681A16" w:rsidRPr="00795525">
              <w:t xml:space="preserve"> and</w:t>
            </w:r>
            <w:r w:rsidRPr="00795525">
              <w:t xml:space="preserve"> 32507</w:t>
            </w:r>
          </w:p>
          <w:p w:rsidR="007207D0" w:rsidRPr="00795525" w:rsidRDefault="007207D0" w:rsidP="007207D0">
            <w:pPr>
              <w:pStyle w:val="Tabletext"/>
            </w:pPr>
            <w:r w:rsidRPr="00795525">
              <w:t>(Anaes.)</w:t>
            </w:r>
          </w:p>
        </w:tc>
        <w:tc>
          <w:tcPr>
            <w:tcW w:w="781" w:type="pct"/>
            <w:tcBorders>
              <w:top w:val="nil"/>
            </w:tcBorders>
            <w:shd w:val="clear" w:color="auto" w:fill="auto"/>
            <w:hideMark/>
          </w:tcPr>
          <w:p w:rsidR="007207D0" w:rsidRPr="00795525" w:rsidRDefault="007207D0" w:rsidP="002A6899">
            <w:pPr>
              <w:pStyle w:val="Tabletext"/>
              <w:jc w:val="right"/>
            </w:pPr>
            <w:r w:rsidRPr="00795525">
              <w:t>533.60</w:t>
            </w:r>
          </w:p>
        </w:tc>
      </w:tr>
      <w:tr w:rsidR="007207D0" w:rsidRPr="00795525" w:rsidTr="006A3CB1">
        <w:tc>
          <w:tcPr>
            <w:tcW w:w="527" w:type="pct"/>
            <w:shd w:val="clear" w:color="auto" w:fill="auto"/>
            <w:hideMark/>
          </w:tcPr>
          <w:p w:rsidR="007207D0" w:rsidRPr="00795525" w:rsidRDefault="007207D0" w:rsidP="002A6899">
            <w:pPr>
              <w:pStyle w:val="Tabletext"/>
            </w:pPr>
            <w:bookmarkStart w:id="12" w:name="CU_109657689"/>
            <w:bookmarkEnd w:id="12"/>
            <w:r w:rsidRPr="00795525">
              <w:t>32522</w:t>
            </w:r>
          </w:p>
        </w:tc>
        <w:tc>
          <w:tcPr>
            <w:tcW w:w="3692" w:type="pct"/>
            <w:shd w:val="clear" w:color="auto" w:fill="auto"/>
            <w:hideMark/>
          </w:tcPr>
          <w:p w:rsidR="007207D0" w:rsidRPr="00795525" w:rsidRDefault="007207D0" w:rsidP="007207D0">
            <w:pPr>
              <w:pStyle w:val="Tabletext"/>
            </w:pPr>
            <w:r w:rsidRPr="00795525">
              <w:t>Varicose veins, abolition of venous reflux by occlusion of a primary or recurrent great (long) and small (short) saphenous vein of one leg (and major tributaries of saphenous veins as necessary), using a laser probe introduced</w:t>
            </w:r>
            <w:r w:rsidR="009E537F" w:rsidRPr="00795525">
              <w:t xml:space="preserve"> by an endovenous catheter, if</w:t>
            </w:r>
            <w:r w:rsidRPr="00795525">
              <w:t xml:space="preserve"> it is documented by duplex ultrasound that the great and small saphenous veins demonstrate reflux of 0.5 seconds or longer:</w:t>
            </w:r>
          </w:p>
          <w:p w:rsidR="007207D0" w:rsidRPr="00795525" w:rsidRDefault="007207D0" w:rsidP="007207D0">
            <w:pPr>
              <w:pStyle w:val="Tablea"/>
            </w:pPr>
            <w:r w:rsidRPr="00795525">
              <w:t>(a) including all preparation and immediate clinical aftercare (including excision or injection of either tributaries or incompetent perforating veins, or both); and</w:t>
            </w:r>
          </w:p>
          <w:p w:rsidR="009E537F" w:rsidRPr="00795525" w:rsidRDefault="009E537F" w:rsidP="009E537F">
            <w:pPr>
              <w:pStyle w:val="Tablea"/>
            </w:pPr>
            <w:r w:rsidRPr="00795525">
              <w:t>(b) not including radiofrequency diathermy, radiofrequency ablation or cyanoacrylate embolisation; and</w:t>
            </w:r>
          </w:p>
          <w:p w:rsidR="007207D0" w:rsidRPr="00795525" w:rsidRDefault="007207D0" w:rsidP="007207D0">
            <w:pPr>
              <w:pStyle w:val="Tablea"/>
            </w:pPr>
            <w:r w:rsidRPr="00795525">
              <w:t>(c) not provided on the same occasion as a service described in any of items</w:t>
            </w:r>
            <w:r w:rsidR="00795525" w:rsidRPr="00795525">
              <w:t> </w:t>
            </w:r>
            <w:r w:rsidR="00681A16" w:rsidRPr="00795525">
              <w:t>32500, 32501, 32504 and</w:t>
            </w:r>
            <w:r w:rsidRPr="00795525">
              <w:t xml:space="preserve"> 32507</w:t>
            </w:r>
          </w:p>
          <w:p w:rsidR="007207D0" w:rsidRPr="00795525" w:rsidRDefault="007207D0" w:rsidP="007207D0">
            <w:pPr>
              <w:pStyle w:val="Tabletext"/>
            </w:pPr>
            <w:r w:rsidRPr="00795525">
              <w:t>(Anaes.)</w:t>
            </w:r>
          </w:p>
        </w:tc>
        <w:tc>
          <w:tcPr>
            <w:tcW w:w="781" w:type="pct"/>
            <w:shd w:val="clear" w:color="auto" w:fill="auto"/>
            <w:hideMark/>
          </w:tcPr>
          <w:p w:rsidR="007207D0" w:rsidRPr="00795525" w:rsidRDefault="007207D0" w:rsidP="002A6899">
            <w:pPr>
              <w:pStyle w:val="Tabletext"/>
              <w:jc w:val="right"/>
            </w:pPr>
            <w:r w:rsidRPr="00795525">
              <w:t>793.30</w:t>
            </w:r>
          </w:p>
        </w:tc>
      </w:tr>
      <w:tr w:rsidR="007207D0" w:rsidRPr="00795525" w:rsidTr="006A3CB1">
        <w:tc>
          <w:tcPr>
            <w:tcW w:w="527" w:type="pct"/>
            <w:shd w:val="clear" w:color="auto" w:fill="auto"/>
            <w:hideMark/>
          </w:tcPr>
          <w:p w:rsidR="007207D0" w:rsidRPr="00795525" w:rsidRDefault="007207D0" w:rsidP="002A6899">
            <w:pPr>
              <w:pStyle w:val="Tabletext"/>
            </w:pPr>
            <w:bookmarkStart w:id="13" w:name="CU_110653847"/>
            <w:bookmarkEnd w:id="13"/>
            <w:r w:rsidRPr="00795525">
              <w:t>32523</w:t>
            </w:r>
          </w:p>
        </w:tc>
        <w:tc>
          <w:tcPr>
            <w:tcW w:w="3692" w:type="pct"/>
            <w:shd w:val="clear" w:color="auto" w:fill="auto"/>
            <w:hideMark/>
          </w:tcPr>
          <w:p w:rsidR="007207D0" w:rsidRPr="00795525" w:rsidRDefault="007207D0" w:rsidP="007207D0">
            <w:pPr>
              <w:pStyle w:val="Tabletext"/>
            </w:pPr>
            <w:r w:rsidRPr="00795525">
              <w:t xml:space="preserve">Varicose veins, abolition of venous reflux by occlusion of a primary or recurrent great (long) or small (short) saphenous vein of one leg (and major tributaries of saphenous veins as necessary), using a radiofrequency catheter introduced by an endovenous catheter, </w:t>
            </w:r>
            <w:r w:rsidR="009E537F" w:rsidRPr="00795525">
              <w:t>if</w:t>
            </w:r>
            <w:r w:rsidRPr="00795525">
              <w:t xml:space="preserve"> it is documented by duplex ultrasound that the great or small saphenous vein (whichever is to be treated) demonstrates reflux of 0.5 seconds or longer:</w:t>
            </w:r>
          </w:p>
          <w:p w:rsidR="007207D0" w:rsidRPr="00795525" w:rsidRDefault="007207D0" w:rsidP="007207D0">
            <w:pPr>
              <w:pStyle w:val="Tablea"/>
            </w:pPr>
            <w:r w:rsidRPr="00795525">
              <w:t>(a) including all preparation and immediate clinical aftercare (including excision or injection of either tributaries or incompetent perforating veins, or both); and</w:t>
            </w:r>
          </w:p>
          <w:p w:rsidR="007207D0" w:rsidRPr="00795525" w:rsidRDefault="007207D0" w:rsidP="007207D0">
            <w:pPr>
              <w:pStyle w:val="Tablea"/>
            </w:pPr>
            <w:r w:rsidRPr="00795525">
              <w:t>(b) not including endovenous laser therapy</w:t>
            </w:r>
            <w:r w:rsidR="009E537F" w:rsidRPr="00795525">
              <w:t xml:space="preserve"> or cyanoacrylate embolisation</w:t>
            </w:r>
            <w:r w:rsidRPr="00795525">
              <w:t>; and</w:t>
            </w:r>
          </w:p>
          <w:p w:rsidR="007207D0" w:rsidRPr="00795525" w:rsidRDefault="007207D0" w:rsidP="007207D0">
            <w:pPr>
              <w:pStyle w:val="Tablea"/>
            </w:pPr>
            <w:r w:rsidRPr="00795525">
              <w:t>(c) not provided on the same occasion as a service described in any of items</w:t>
            </w:r>
            <w:r w:rsidR="00795525" w:rsidRPr="00795525">
              <w:t> </w:t>
            </w:r>
            <w:r w:rsidRPr="00795525">
              <w:t>32500, 32501, 32504</w:t>
            </w:r>
            <w:r w:rsidR="00681A16" w:rsidRPr="00795525">
              <w:t xml:space="preserve"> and</w:t>
            </w:r>
            <w:r w:rsidRPr="00795525">
              <w:t xml:space="preserve"> 32507</w:t>
            </w:r>
          </w:p>
          <w:p w:rsidR="007207D0" w:rsidRPr="00795525" w:rsidRDefault="007207D0" w:rsidP="007207D0">
            <w:pPr>
              <w:pStyle w:val="Tabletext"/>
            </w:pPr>
            <w:r w:rsidRPr="00795525">
              <w:t>(Anaes.)</w:t>
            </w:r>
          </w:p>
        </w:tc>
        <w:tc>
          <w:tcPr>
            <w:tcW w:w="781" w:type="pct"/>
            <w:shd w:val="clear" w:color="auto" w:fill="auto"/>
            <w:hideMark/>
          </w:tcPr>
          <w:p w:rsidR="007207D0" w:rsidRPr="00795525" w:rsidRDefault="007207D0" w:rsidP="002A6899">
            <w:pPr>
              <w:pStyle w:val="Tabletext"/>
              <w:jc w:val="right"/>
            </w:pPr>
            <w:r w:rsidRPr="00795525">
              <w:t>533.60</w:t>
            </w:r>
          </w:p>
        </w:tc>
      </w:tr>
      <w:tr w:rsidR="007207D0" w:rsidRPr="00795525" w:rsidTr="006A3CB1">
        <w:tc>
          <w:tcPr>
            <w:tcW w:w="527" w:type="pct"/>
            <w:shd w:val="clear" w:color="auto" w:fill="auto"/>
            <w:hideMark/>
          </w:tcPr>
          <w:p w:rsidR="007207D0" w:rsidRPr="00795525" w:rsidRDefault="007207D0" w:rsidP="002A6899">
            <w:pPr>
              <w:pStyle w:val="Tabletext"/>
            </w:pPr>
            <w:r w:rsidRPr="00795525">
              <w:t>32526</w:t>
            </w:r>
          </w:p>
        </w:tc>
        <w:tc>
          <w:tcPr>
            <w:tcW w:w="3692" w:type="pct"/>
            <w:shd w:val="clear" w:color="auto" w:fill="auto"/>
            <w:hideMark/>
          </w:tcPr>
          <w:p w:rsidR="007207D0" w:rsidRPr="00795525" w:rsidRDefault="007207D0" w:rsidP="007207D0">
            <w:pPr>
              <w:pStyle w:val="Tabletext"/>
            </w:pPr>
            <w:r w:rsidRPr="00795525">
              <w:t xml:space="preserve">Varicose veins, abolition of venous reflux by occlusion of a primary or recurrent great (long) and small (short) saphenous vein of one leg (and major tributaries of saphenous veins as necessary), using a radiofrequency catheter introduced by an endovenous catheter, </w:t>
            </w:r>
            <w:r w:rsidR="009E537F" w:rsidRPr="00795525">
              <w:t>if</w:t>
            </w:r>
            <w:r w:rsidRPr="00795525">
              <w:t xml:space="preserve"> it is documented by duplex ultrasound that the great and small saphenous veins demonstrate reflux of 0.5 seconds or longer:</w:t>
            </w:r>
          </w:p>
          <w:p w:rsidR="007207D0" w:rsidRPr="00795525" w:rsidRDefault="007207D0" w:rsidP="007207D0">
            <w:pPr>
              <w:pStyle w:val="Tablea"/>
            </w:pPr>
            <w:r w:rsidRPr="00795525">
              <w:t>(a) including all preparation and immediate clinical aftercare (including excision or injection of either tributaries or incompetent perforating veins, or both); and</w:t>
            </w:r>
          </w:p>
          <w:p w:rsidR="007207D0" w:rsidRPr="00795525" w:rsidRDefault="007207D0" w:rsidP="007207D0">
            <w:pPr>
              <w:pStyle w:val="Tablea"/>
            </w:pPr>
            <w:r w:rsidRPr="00795525">
              <w:t>(b) not including endovenous laser therapy</w:t>
            </w:r>
            <w:r w:rsidR="009E537F" w:rsidRPr="00795525">
              <w:t xml:space="preserve"> or cyanoacrylate embolisation</w:t>
            </w:r>
            <w:r w:rsidRPr="00795525">
              <w:t>; and</w:t>
            </w:r>
          </w:p>
          <w:p w:rsidR="007207D0" w:rsidRPr="00795525" w:rsidRDefault="007207D0" w:rsidP="007207D0">
            <w:pPr>
              <w:pStyle w:val="Tablea"/>
            </w:pPr>
            <w:r w:rsidRPr="00795525">
              <w:t>(c) not provided on the same occasion as a service described in any of items</w:t>
            </w:r>
            <w:r w:rsidR="00795525" w:rsidRPr="00795525">
              <w:t> </w:t>
            </w:r>
            <w:r w:rsidR="00681A16" w:rsidRPr="00795525">
              <w:t>32500, 32501, 32504 and</w:t>
            </w:r>
            <w:r w:rsidRPr="00795525">
              <w:t xml:space="preserve"> 32507</w:t>
            </w:r>
          </w:p>
          <w:p w:rsidR="007207D0" w:rsidRPr="00795525" w:rsidRDefault="007207D0" w:rsidP="007207D0">
            <w:pPr>
              <w:pStyle w:val="Tabletext"/>
            </w:pPr>
            <w:r w:rsidRPr="00795525">
              <w:t>(Anaes.)</w:t>
            </w:r>
          </w:p>
        </w:tc>
        <w:tc>
          <w:tcPr>
            <w:tcW w:w="781" w:type="pct"/>
            <w:shd w:val="clear" w:color="auto" w:fill="auto"/>
            <w:hideMark/>
          </w:tcPr>
          <w:p w:rsidR="007207D0" w:rsidRPr="00795525" w:rsidRDefault="007207D0" w:rsidP="002A6899">
            <w:pPr>
              <w:pStyle w:val="Tabletext"/>
              <w:jc w:val="right"/>
            </w:pPr>
            <w:r w:rsidRPr="00795525">
              <w:t>793.30</w:t>
            </w:r>
          </w:p>
        </w:tc>
      </w:tr>
      <w:tr w:rsidR="006A3CB1" w:rsidRPr="00795525" w:rsidTr="006A3CB1">
        <w:tc>
          <w:tcPr>
            <w:tcW w:w="527" w:type="pct"/>
            <w:tcBorders>
              <w:bottom w:val="single" w:sz="2" w:space="0" w:color="auto"/>
            </w:tcBorders>
            <w:shd w:val="clear" w:color="auto" w:fill="auto"/>
            <w:hideMark/>
          </w:tcPr>
          <w:p w:rsidR="006A3CB1" w:rsidRPr="00795525" w:rsidRDefault="006A3CB1" w:rsidP="00253954">
            <w:pPr>
              <w:pStyle w:val="Tabletext"/>
            </w:pPr>
            <w:r w:rsidRPr="00795525">
              <w:t>32528</w:t>
            </w:r>
          </w:p>
        </w:tc>
        <w:tc>
          <w:tcPr>
            <w:tcW w:w="3692" w:type="pct"/>
            <w:tcBorders>
              <w:bottom w:val="single" w:sz="2" w:space="0" w:color="auto"/>
            </w:tcBorders>
            <w:shd w:val="clear" w:color="auto" w:fill="auto"/>
            <w:hideMark/>
          </w:tcPr>
          <w:p w:rsidR="006A3CB1" w:rsidRPr="00795525" w:rsidRDefault="006A3CB1" w:rsidP="006A3CB1">
            <w:pPr>
              <w:pStyle w:val="Tabletext"/>
            </w:pPr>
            <w:r w:rsidRPr="00795525">
              <w:t>Varicose veins, abolition of venous reflux by occlusion of a primary or recurrent great (long) or small (short) saphenous vein of one leg (and major tributaries of saphenous veins as necessary), using cyanoacrylate adhesive, if it is documented by duplex ultrasound that the great or small saphenous vein (whichever is to be treated) demonstrates reflux of 0.5 seconds or longer:</w:t>
            </w:r>
          </w:p>
          <w:p w:rsidR="006A3CB1" w:rsidRPr="00795525" w:rsidRDefault="006A3CB1" w:rsidP="006A3CB1">
            <w:pPr>
              <w:pStyle w:val="Tablea"/>
            </w:pPr>
            <w:r w:rsidRPr="00795525">
              <w:t>(a) including all preparation and immediate clinical aftercare (including excision or injection of either tributaries or incompetent perforating veins, or both); and</w:t>
            </w:r>
          </w:p>
          <w:p w:rsidR="006A3CB1" w:rsidRPr="00795525" w:rsidRDefault="006A3CB1" w:rsidP="006A3CB1">
            <w:pPr>
              <w:pStyle w:val="Tablea"/>
            </w:pPr>
            <w:r w:rsidRPr="00795525">
              <w:t>(b) not including radiofrequency diathermy, radiofrequency ablation or endovenous laser therapy; and</w:t>
            </w:r>
          </w:p>
          <w:p w:rsidR="006A3CB1" w:rsidRPr="00795525" w:rsidRDefault="006A3CB1" w:rsidP="006A3CB1">
            <w:pPr>
              <w:pStyle w:val="Tablea"/>
            </w:pPr>
            <w:r w:rsidRPr="00795525">
              <w:t>(c) not provided on the same occasion as a service described in any of items</w:t>
            </w:r>
            <w:r w:rsidR="00795525" w:rsidRPr="00795525">
              <w:t> </w:t>
            </w:r>
            <w:r w:rsidRPr="00795525">
              <w:t>32500, 32501, 32504 and 32507</w:t>
            </w:r>
          </w:p>
          <w:p w:rsidR="006A3CB1" w:rsidRPr="00795525" w:rsidRDefault="006A3CB1" w:rsidP="006A3CB1">
            <w:pPr>
              <w:pStyle w:val="Tabletext"/>
            </w:pPr>
            <w:r w:rsidRPr="00795525">
              <w:t>(Anaes.)</w:t>
            </w:r>
          </w:p>
        </w:tc>
        <w:tc>
          <w:tcPr>
            <w:tcW w:w="781" w:type="pct"/>
            <w:tcBorders>
              <w:bottom w:val="single" w:sz="2" w:space="0" w:color="auto"/>
            </w:tcBorders>
            <w:shd w:val="clear" w:color="auto" w:fill="auto"/>
            <w:hideMark/>
          </w:tcPr>
          <w:p w:rsidR="006A3CB1" w:rsidRPr="00795525" w:rsidRDefault="006A3CB1" w:rsidP="00253954">
            <w:pPr>
              <w:pStyle w:val="Tabletext"/>
              <w:jc w:val="right"/>
            </w:pPr>
            <w:r w:rsidRPr="00795525">
              <w:t>533.60</w:t>
            </w:r>
          </w:p>
        </w:tc>
      </w:tr>
      <w:tr w:rsidR="006A3CB1" w:rsidRPr="00795525" w:rsidTr="006A3CB1">
        <w:tc>
          <w:tcPr>
            <w:tcW w:w="527" w:type="pct"/>
            <w:tcBorders>
              <w:top w:val="single" w:sz="2" w:space="0" w:color="auto"/>
              <w:bottom w:val="nil"/>
            </w:tcBorders>
            <w:shd w:val="clear" w:color="auto" w:fill="auto"/>
            <w:hideMark/>
          </w:tcPr>
          <w:p w:rsidR="006A3CB1" w:rsidRPr="00795525" w:rsidRDefault="006A3CB1" w:rsidP="00253954">
            <w:pPr>
              <w:pStyle w:val="Tabletext"/>
            </w:pPr>
            <w:r w:rsidRPr="00795525">
              <w:t>32529</w:t>
            </w:r>
          </w:p>
        </w:tc>
        <w:tc>
          <w:tcPr>
            <w:tcW w:w="3692" w:type="pct"/>
            <w:tcBorders>
              <w:top w:val="single" w:sz="2" w:space="0" w:color="auto"/>
              <w:bottom w:val="nil"/>
            </w:tcBorders>
            <w:shd w:val="clear" w:color="auto" w:fill="auto"/>
            <w:hideMark/>
          </w:tcPr>
          <w:p w:rsidR="006A3CB1" w:rsidRPr="00795525" w:rsidRDefault="006A3CB1" w:rsidP="006A3CB1">
            <w:pPr>
              <w:pStyle w:val="Tabletext"/>
            </w:pPr>
            <w:r w:rsidRPr="00795525">
              <w:t>Varicose veins, abolition of venous reflux by occlusion of a primary or recurrent great (long) and small (short) saphenous vein of one leg (and major tributaries of saphenous veins as necessary), using cyanoacrylate adhesive, if it is documented by duplex ultrasound that the great and small saphenous veins demonstrate reflux of 0.5 seconds or longer:</w:t>
            </w:r>
          </w:p>
          <w:p w:rsidR="006A3CB1" w:rsidRPr="00795525" w:rsidRDefault="006A3CB1" w:rsidP="006A3CB1">
            <w:pPr>
              <w:pStyle w:val="Tablea"/>
            </w:pPr>
            <w:r w:rsidRPr="00795525">
              <w:t>(a) including all preparation and immediate clinical aftercare (including excision or injection of either tributaries or incompetent perforating veins, or both); and</w:t>
            </w:r>
          </w:p>
          <w:p w:rsidR="006A3CB1" w:rsidRPr="00795525" w:rsidRDefault="006A3CB1" w:rsidP="006A3CB1">
            <w:pPr>
              <w:pStyle w:val="Tablea"/>
            </w:pPr>
            <w:r w:rsidRPr="00795525">
              <w:t>(b) not including radiofrequency diathermy, radiofrequency ablation or endovenous laser therapy; and</w:t>
            </w:r>
          </w:p>
          <w:p w:rsidR="006A3CB1" w:rsidRPr="00795525" w:rsidRDefault="006A3CB1" w:rsidP="006A3CB1">
            <w:pPr>
              <w:pStyle w:val="Tablea"/>
            </w:pPr>
            <w:r w:rsidRPr="00795525">
              <w:t>(c) not provided on the same occasion as a service described in any of items</w:t>
            </w:r>
            <w:r w:rsidR="00795525" w:rsidRPr="00795525">
              <w:t> </w:t>
            </w:r>
            <w:r w:rsidRPr="00795525">
              <w:t>32500, 32501, 32504 and 32507</w:t>
            </w:r>
          </w:p>
          <w:p w:rsidR="006A3CB1" w:rsidRPr="00795525" w:rsidRDefault="006A3CB1" w:rsidP="006A3CB1">
            <w:pPr>
              <w:pStyle w:val="Tabletext"/>
            </w:pPr>
            <w:r w:rsidRPr="00795525">
              <w:t>(Anaes.)</w:t>
            </w:r>
          </w:p>
        </w:tc>
        <w:tc>
          <w:tcPr>
            <w:tcW w:w="781" w:type="pct"/>
            <w:tcBorders>
              <w:top w:val="single" w:sz="2" w:space="0" w:color="auto"/>
              <w:bottom w:val="nil"/>
            </w:tcBorders>
            <w:shd w:val="clear" w:color="auto" w:fill="auto"/>
            <w:hideMark/>
          </w:tcPr>
          <w:p w:rsidR="006A3CB1" w:rsidRPr="00795525" w:rsidRDefault="006A3CB1" w:rsidP="00253954">
            <w:pPr>
              <w:pStyle w:val="Tabletext"/>
              <w:jc w:val="right"/>
            </w:pPr>
            <w:r w:rsidRPr="00795525">
              <w:t>793.30</w:t>
            </w:r>
          </w:p>
        </w:tc>
      </w:tr>
    </w:tbl>
    <w:p w:rsidR="0014597A" w:rsidRPr="00795525" w:rsidRDefault="007320A4" w:rsidP="0014597A">
      <w:pPr>
        <w:pStyle w:val="ItemHead"/>
      </w:pPr>
      <w:r w:rsidRPr="00795525">
        <w:t>19</w:t>
      </w:r>
      <w:r w:rsidR="0014597A" w:rsidRPr="00795525">
        <w:t xml:space="preserve">  Schedule</w:t>
      </w:r>
      <w:r w:rsidR="00795525" w:rsidRPr="00795525">
        <w:t> </w:t>
      </w:r>
      <w:r w:rsidR="0014597A" w:rsidRPr="00795525">
        <w:t>1 (item</w:t>
      </w:r>
      <w:r w:rsidR="00795525" w:rsidRPr="00795525">
        <w:t> </w:t>
      </w:r>
      <w:r w:rsidR="0014597A" w:rsidRPr="00795525">
        <w:t>34103, column headed “Description”)</w:t>
      </w:r>
    </w:p>
    <w:p w:rsidR="0014597A" w:rsidRPr="00795525" w:rsidRDefault="0014597A" w:rsidP="0014597A">
      <w:pPr>
        <w:pStyle w:val="Item"/>
      </w:pPr>
      <w:r w:rsidRPr="00795525">
        <w:t>Omit “or 32526”, substitute “, 32526, 32528 or 32529”.</w:t>
      </w:r>
    </w:p>
    <w:p w:rsidR="00AF0FBC" w:rsidRPr="00795525" w:rsidRDefault="007320A4" w:rsidP="00AF0FBC">
      <w:pPr>
        <w:pStyle w:val="ItemHead"/>
      </w:pPr>
      <w:r w:rsidRPr="00795525">
        <w:t>20</w:t>
      </w:r>
      <w:r w:rsidR="00AF0FBC" w:rsidRPr="00795525">
        <w:t xml:space="preserve">  </w:t>
      </w:r>
      <w:r w:rsidR="00B44B12" w:rsidRPr="00795525">
        <w:t>Schedule</w:t>
      </w:r>
      <w:r w:rsidR="00795525" w:rsidRPr="00795525">
        <w:t> </w:t>
      </w:r>
      <w:r w:rsidR="00B44B12" w:rsidRPr="00795525">
        <w:t>1 (a</w:t>
      </w:r>
      <w:r w:rsidR="00AF0FBC" w:rsidRPr="00795525">
        <w:t>fter item</w:t>
      </w:r>
      <w:r w:rsidR="00795525" w:rsidRPr="00795525">
        <w:t> </w:t>
      </w:r>
      <w:r w:rsidR="00AF0FBC" w:rsidRPr="00795525">
        <w:t>38287</w:t>
      </w:r>
      <w:r w:rsidR="00B44B12" w:rsidRPr="00795525">
        <w:t>)</w:t>
      </w:r>
    </w:p>
    <w:p w:rsidR="00AF0FBC" w:rsidRPr="00795525" w:rsidRDefault="00AF0FBC" w:rsidP="00AF0FBC">
      <w:pPr>
        <w:pStyle w:val="Item"/>
      </w:pPr>
      <w:r w:rsidRPr="00795525">
        <w:t>Insert:</w:t>
      </w:r>
    </w:p>
    <w:p w:rsidR="00B72F76" w:rsidRPr="00795525" w:rsidRDefault="00B72F76" w:rsidP="00B72F76">
      <w:pPr>
        <w:pStyle w:val="Tabletext"/>
      </w:pPr>
    </w:p>
    <w:tbl>
      <w:tblPr>
        <w:tblW w:w="5000" w:type="pct"/>
        <w:tblCellMar>
          <w:left w:w="107" w:type="dxa"/>
          <w:right w:w="107" w:type="dxa"/>
        </w:tblCellMar>
        <w:tblLook w:val="04A0" w:firstRow="1" w:lastRow="0" w:firstColumn="1" w:lastColumn="0" w:noHBand="0" w:noVBand="1"/>
      </w:tblPr>
      <w:tblGrid>
        <w:gridCol w:w="899"/>
        <w:gridCol w:w="6296"/>
        <w:gridCol w:w="1332"/>
      </w:tblGrid>
      <w:tr w:rsidR="00AF0FBC" w:rsidRPr="00795525" w:rsidTr="00072E93">
        <w:tc>
          <w:tcPr>
            <w:tcW w:w="527" w:type="pct"/>
            <w:shd w:val="clear" w:color="auto" w:fill="auto"/>
            <w:hideMark/>
          </w:tcPr>
          <w:p w:rsidR="00AF0FBC" w:rsidRPr="00795525" w:rsidRDefault="00AF0FBC" w:rsidP="00AF0FBC">
            <w:pPr>
              <w:pStyle w:val="Tabletext"/>
              <w:rPr>
                <w:snapToGrid w:val="0"/>
              </w:rPr>
            </w:pPr>
            <w:r w:rsidRPr="00795525">
              <w:rPr>
                <w:snapToGrid w:val="0"/>
              </w:rPr>
              <w:t>38288</w:t>
            </w:r>
          </w:p>
        </w:tc>
        <w:tc>
          <w:tcPr>
            <w:tcW w:w="3692" w:type="pct"/>
            <w:shd w:val="clear" w:color="auto" w:fill="auto"/>
            <w:hideMark/>
          </w:tcPr>
          <w:p w:rsidR="00AF0FBC" w:rsidRPr="00795525" w:rsidRDefault="00AF0FBC" w:rsidP="00AF0FBC">
            <w:pPr>
              <w:pStyle w:val="Tabletext"/>
            </w:pPr>
            <w:r w:rsidRPr="00795525">
              <w:t>Implantable loop recorder, insertion of</w:t>
            </w:r>
            <w:r w:rsidR="00ED45D5" w:rsidRPr="00795525">
              <w:t>,</w:t>
            </w:r>
            <w:r w:rsidR="00B72F76" w:rsidRPr="00795525">
              <w:t xml:space="preserve"> </w:t>
            </w:r>
            <w:r w:rsidRPr="00795525">
              <w:t>for diagnosis of atrial fibrillation, if:</w:t>
            </w:r>
          </w:p>
          <w:p w:rsidR="00AF0FBC" w:rsidRPr="00795525" w:rsidRDefault="00AF0FBC" w:rsidP="00D26A3D">
            <w:pPr>
              <w:pStyle w:val="Tablea"/>
            </w:pPr>
            <w:r w:rsidRPr="00795525">
              <w:t xml:space="preserve">(a) the patient </w:t>
            </w:r>
            <w:r w:rsidR="00ED45D5" w:rsidRPr="00795525">
              <w:t xml:space="preserve">to whom the service is provided </w:t>
            </w:r>
            <w:r w:rsidRPr="00795525">
              <w:t xml:space="preserve">has </w:t>
            </w:r>
            <w:r w:rsidR="00F026BC" w:rsidRPr="00795525">
              <w:t>been diagnosed as having had</w:t>
            </w:r>
            <w:r w:rsidR="00D26A3D" w:rsidRPr="00795525">
              <w:t xml:space="preserve"> </w:t>
            </w:r>
            <w:r w:rsidR="00F026BC" w:rsidRPr="00795525">
              <w:t xml:space="preserve">an </w:t>
            </w:r>
            <w:r w:rsidRPr="00795525">
              <w:t>embolic stroke of undetermined source; and</w:t>
            </w:r>
          </w:p>
          <w:p w:rsidR="00B72F76" w:rsidRPr="00795525" w:rsidRDefault="00B72F76" w:rsidP="00B72F76">
            <w:pPr>
              <w:pStyle w:val="Tablea"/>
            </w:pPr>
            <w:r w:rsidRPr="00795525">
              <w:t>(b) the bas</w:t>
            </w:r>
            <w:r w:rsidR="00A21F51" w:rsidRPr="00795525">
              <w:t>e</w:t>
            </w:r>
            <w:r w:rsidRPr="00795525">
              <w:t>s of the diagnosis included the following:</w:t>
            </w:r>
          </w:p>
          <w:p w:rsidR="00B72F76" w:rsidRPr="00795525" w:rsidRDefault="00B72F76" w:rsidP="00B72F76">
            <w:pPr>
              <w:pStyle w:val="Tablei"/>
            </w:pPr>
            <w:r w:rsidRPr="00795525">
              <w:t xml:space="preserve">(i) </w:t>
            </w:r>
            <w:r w:rsidR="00AF0FBC" w:rsidRPr="00795525">
              <w:t>the medical history</w:t>
            </w:r>
            <w:r w:rsidR="00ED45D5" w:rsidRPr="00795525">
              <w:t xml:space="preserve"> of the patient</w:t>
            </w:r>
            <w:r w:rsidRPr="00795525">
              <w:t>;</w:t>
            </w:r>
          </w:p>
          <w:p w:rsidR="00B72F76" w:rsidRPr="00795525" w:rsidRDefault="00B72F76" w:rsidP="00B72F76">
            <w:pPr>
              <w:pStyle w:val="Tablei"/>
            </w:pPr>
            <w:r w:rsidRPr="00795525">
              <w:t xml:space="preserve">(ii) </w:t>
            </w:r>
            <w:r w:rsidR="00AF0FBC" w:rsidRPr="00795525">
              <w:t>physical examination</w:t>
            </w:r>
            <w:r w:rsidRPr="00795525">
              <w:t>;</w:t>
            </w:r>
          </w:p>
          <w:p w:rsidR="00B72F76" w:rsidRPr="00795525" w:rsidRDefault="00B72F76" w:rsidP="00B72F76">
            <w:pPr>
              <w:pStyle w:val="Tablei"/>
            </w:pPr>
            <w:r w:rsidRPr="00795525">
              <w:t xml:space="preserve">(iii) </w:t>
            </w:r>
            <w:r w:rsidR="00AF0FBC" w:rsidRPr="00795525">
              <w:t>brain and carotid imaging</w:t>
            </w:r>
            <w:r w:rsidRPr="00795525">
              <w:t>;</w:t>
            </w:r>
          </w:p>
          <w:p w:rsidR="00B72F76" w:rsidRPr="00795525" w:rsidRDefault="00B72F76" w:rsidP="00B72F76">
            <w:pPr>
              <w:pStyle w:val="Tablei"/>
            </w:pPr>
            <w:r w:rsidRPr="00795525">
              <w:t xml:space="preserve">(iv) </w:t>
            </w:r>
            <w:r w:rsidR="00AF0FBC" w:rsidRPr="00795525">
              <w:t>cardiac imaging</w:t>
            </w:r>
            <w:r w:rsidRPr="00795525">
              <w:t>;</w:t>
            </w:r>
          </w:p>
          <w:p w:rsidR="00AF0FBC" w:rsidRPr="00795525" w:rsidRDefault="00B72F76" w:rsidP="00B72F76">
            <w:pPr>
              <w:pStyle w:val="Tablei"/>
            </w:pPr>
            <w:r w:rsidRPr="00795525">
              <w:t xml:space="preserve">(v) </w:t>
            </w:r>
            <w:r w:rsidR="00AF0FBC" w:rsidRPr="00795525">
              <w:t>surface ECG testing including 24</w:t>
            </w:r>
            <w:r w:rsidR="00795525">
              <w:noBreakHyphen/>
            </w:r>
            <w:r w:rsidR="00AF0FBC" w:rsidRPr="00795525">
              <w:t>hour Holter monitoring; and</w:t>
            </w:r>
          </w:p>
          <w:p w:rsidR="00AF0FBC" w:rsidRPr="00795525" w:rsidRDefault="00AF0FBC" w:rsidP="00AF0FBC">
            <w:pPr>
              <w:pStyle w:val="Tablea"/>
            </w:pPr>
            <w:r w:rsidRPr="00795525">
              <w:t>(</w:t>
            </w:r>
            <w:r w:rsidR="008A3891" w:rsidRPr="00795525">
              <w:t>c</w:t>
            </w:r>
            <w:r w:rsidRPr="00795525">
              <w:t>) atrial fibrillation is suspected; and</w:t>
            </w:r>
          </w:p>
          <w:p w:rsidR="00B72F76" w:rsidRPr="00795525" w:rsidRDefault="008A3891" w:rsidP="00AF0FBC">
            <w:pPr>
              <w:pStyle w:val="Tablea"/>
            </w:pPr>
            <w:r w:rsidRPr="00795525">
              <w:t>(d</w:t>
            </w:r>
            <w:r w:rsidR="00AF0FBC" w:rsidRPr="00795525">
              <w:t>) the patient</w:t>
            </w:r>
            <w:r w:rsidR="00B72F76" w:rsidRPr="00795525">
              <w:t>:</w:t>
            </w:r>
          </w:p>
          <w:p w:rsidR="00AF0FBC" w:rsidRPr="00795525" w:rsidRDefault="00B72F76" w:rsidP="00B72F76">
            <w:pPr>
              <w:pStyle w:val="Tablei"/>
            </w:pPr>
            <w:r w:rsidRPr="00795525">
              <w:t xml:space="preserve">(i) </w:t>
            </w:r>
            <w:r w:rsidR="00AF0FBC" w:rsidRPr="00795525">
              <w:t>does not have a permanent indication for oral anticoagulants; or</w:t>
            </w:r>
          </w:p>
          <w:p w:rsidR="00AF0FBC" w:rsidRPr="00795525" w:rsidRDefault="00B72F76" w:rsidP="009C2B74">
            <w:pPr>
              <w:pStyle w:val="Tablei"/>
            </w:pPr>
            <w:r w:rsidRPr="00795525">
              <w:t xml:space="preserve">(ii) </w:t>
            </w:r>
            <w:r w:rsidR="00AF0FBC" w:rsidRPr="00795525">
              <w:t>does not have a permanent oral anticoagulants contraindication</w:t>
            </w:r>
            <w:r w:rsidR="00ED45D5" w:rsidRPr="00795525">
              <w:t>;</w:t>
            </w:r>
          </w:p>
          <w:p w:rsidR="00AF0FBC" w:rsidRPr="00795525" w:rsidRDefault="00ED45D5" w:rsidP="00D26A3D">
            <w:pPr>
              <w:pStyle w:val="Tabletext"/>
              <w:rPr>
                <w:snapToGrid w:val="0"/>
              </w:rPr>
            </w:pPr>
            <w:r w:rsidRPr="00795525">
              <w:t xml:space="preserve">including initial programming and testing </w:t>
            </w:r>
            <w:r w:rsidR="00AF0FBC" w:rsidRPr="00795525">
              <w:t>(Anaes.)</w:t>
            </w:r>
          </w:p>
        </w:tc>
        <w:tc>
          <w:tcPr>
            <w:tcW w:w="781" w:type="pct"/>
            <w:shd w:val="clear" w:color="auto" w:fill="auto"/>
            <w:hideMark/>
          </w:tcPr>
          <w:p w:rsidR="00AF0FBC" w:rsidRPr="00795525" w:rsidRDefault="00AF0FBC" w:rsidP="001C7D3D">
            <w:pPr>
              <w:pStyle w:val="Tabletext"/>
              <w:jc w:val="right"/>
            </w:pPr>
            <w:r w:rsidRPr="00795525">
              <w:t>192.90</w:t>
            </w:r>
          </w:p>
        </w:tc>
      </w:tr>
    </w:tbl>
    <w:p w:rsidR="005239D8" w:rsidRPr="00795525" w:rsidRDefault="007320A4" w:rsidP="005239D8">
      <w:pPr>
        <w:pStyle w:val="ItemHead"/>
      </w:pPr>
      <w:r w:rsidRPr="00795525">
        <w:t>21</w:t>
      </w:r>
      <w:r w:rsidR="005239D8" w:rsidRPr="00795525">
        <w:t xml:space="preserve">  Schedule</w:t>
      </w:r>
      <w:r w:rsidR="00795525" w:rsidRPr="00795525">
        <w:t> </w:t>
      </w:r>
      <w:r w:rsidR="005239D8" w:rsidRPr="00795525">
        <w:t>1 (after item</w:t>
      </w:r>
      <w:r w:rsidR="00795525" w:rsidRPr="00795525">
        <w:t> </w:t>
      </w:r>
      <w:r w:rsidR="005239D8" w:rsidRPr="00795525">
        <w:t>42651)</w:t>
      </w:r>
    </w:p>
    <w:p w:rsidR="005239D8" w:rsidRPr="00795525" w:rsidRDefault="005239D8" w:rsidP="005239D8">
      <w:pPr>
        <w:pStyle w:val="Item"/>
      </w:pPr>
      <w:r w:rsidRPr="00795525">
        <w:t>Insert:</w:t>
      </w:r>
    </w:p>
    <w:p w:rsidR="005239D8" w:rsidRPr="00795525" w:rsidRDefault="005239D8" w:rsidP="005239D8">
      <w:pPr>
        <w:pStyle w:val="Tabletext"/>
      </w:pPr>
    </w:p>
    <w:tbl>
      <w:tblPr>
        <w:tblW w:w="5000" w:type="pct"/>
        <w:tblCellMar>
          <w:left w:w="107" w:type="dxa"/>
          <w:right w:w="107" w:type="dxa"/>
        </w:tblCellMar>
        <w:tblLook w:val="04A0" w:firstRow="1" w:lastRow="0" w:firstColumn="1" w:lastColumn="0" w:noHBand="0" w:noVBand="1"/>
      </w:tblPr>
      <w:tblGrid>
        <w:gridCol w:w="899"/>
        <w:gridCol w:w="6296"/>
        <w:gridCol w:w="1332"/>
      </w:tblGrid>
      <w:tr w:rsidR="005239D8" w:rsidRPr="00795525" w:rsidTr="00641FD8">
        <w:tc>
          <w:tcPr>
            <w:tcW w:w="527" w:type="pct"/>
            <w:shd w:val="clear" w:color="auto" w:fill="auto"/>
            <w:hideMark/>
          </w:tcPr>
          <w:p w:rsidR="005239D8" w:rsidRPr="00795525" w:rsidRDefault="005239D8" w:rsidP="00641FD8">
            <w:pPr>
              <w:pStyle w:val="Tabletext"/>
              <w:rPr>
                <w:snapToGrid w:val="0"/>
              </w:rPr>
            </w:pPr>
            <w:r w:rsidRPr="00795525">
              <w:rPr>
                <w:snapToGrid w:val="0"/>
              </w:rPr>
              <w:t>42652</w:t>
            </w:r>
          </w:p>
        </w:tc>
        <w:tc>
          <w:tcPr>
            <w:tcW w:w="3692" w:type="pct"/>
            <w:shd w:val="clear" w:color="auto" w:fill="auto"/>
            <w:hideMark/>
          </w:tcPr>
          <w:p w:rsidR="005239D8" w:rsidRPr="00795525" w:rsidRDefault="005239D8" w:rsidP="009360EB">
            <w:pPr>
              <w:pStyle w:val="Tabletext"/>
            </w:pPr>
            <w:r w:rsidRPr="00795525">
              <w:t>Corneal collagen cross linking, on a person with a corneal ectatic disorde</w:t>
            </w:r>
            <w:r w:rsidR="009360EB" w:rsidRPr="00795525">
              <w:t>r, with evidence of progression—p</w:t>
            </w:r>
            <w:r w:rsidRPr="00795525">
              <w:t>er eye (Anaes.)</w:t>
            </w:r>
          </w:p>
        </w:tc>
        <w:tc>
          <w:tcPr>
            <w:tcW w:w="781" w:type="pct"/>
            <w:shd w:val="clear" w:color="auto" w:fill="auto"/>
            <w:hideMark/>
          </w:tcPr>
          <w:p w:rsidR="005239D8" w:rsidRPr="00795525" w:rsidRDefault="005239D8" w:rsidP="00641FD8">
            <w:pPr>
              <w:pStyle w:val="Tabletext"/>
              <w:jc w:val="right"/>
            </w:pPr>
            <w:r w:rsidRPr="00795525">
              <w:t>1</w:t>
            </w:r>
            <w:r w:rsidR="006A3CB1" w:rsidRPr="00795525">
              <w:t>,</w:t>
            </w:r>
            <w:r w:rsidRPr="00795525">
              <w:t>200.00</w:t>
            </w:r>
          </w:p>
        </w:tc>
      </w:tr>
    </w:tbl>
    <w:p w:rsidR="00B44B12" w:rsidRPr="00795525" w:rsidRDefault="00C32388" w:rsidP="00C32388">
      <w:pPr>
        <w:pStyle w:val="ActHead9"/>
      </w:pPr>
      <w:bookmarkStart w:id="14" w:name="_Toc509399322"/>
      <w:r w:rsidRPr="00795525">
        <w:t>Health Insurance Regulations</w:t>
      </w:r>
      <w:r w:rsidR="00795525" w:rsidRPr="00795525">
        <w:t> </w:t>
      </w:r>
      <w:r w:rsidRPr="00795525">
        <w:t>1975</w:t>
      </w:r>
      <w:bookmarkEnd w:id="14"/>
    </w:p>
    <w:p w:rsidR="003E4D4E" w:rsidRPr="00795525" w:rsidRDefault="007320A4" w:rsidP="003E4D4E">
      <w:pPr>
        <w:pStyle w:val="ItemHead"/>
      </w:pPr>
      <w:r w:rsidRPr="00795525">
        <w:t>22</w:t>
      </w:r>
      <w:r w:rsidR="003E4D4E" w:rsidRPr="00795525">
        <w:t xml:space="preserve">  Sub</w:t>
      </w:r>
      <w:r w:rsidR="009F50AF" w:rsidRPr="00795525">
        <w:t>regulation</w:t>
      </w:r>
      <w:r w:rsidR="00795525" w:rsidRPr="00795525">
        <w:t> </w:t>
      </w:r>
      <w:r w:rsidR="003E4D4E" w:rsidRPr="00795525">
        <w:t>20C(1) (table item</w:t>
      </w:r>
      <w:r w:rsidR="00795525" w:rsidRPr="00795525">
        <w:t> </w:t>
      </w:r>
      <w:r w:rsidR="003E4D4E" w:rsidRPr="00795525">
        <w:t>12, column 2)</w:t>
      </w:r>
    </w:p>
    <w:p w:rsidR="003E4D4E" w:rsidRPr="00795525" w:rsidRDefault="003E4D4E" w:rsidP="003E4D4E">
      <w:pPr>
        <w:pStyle w:val="Item"/>
      </w:pPr>
      <w:r w:rsidRPr="00795525">
        <w:t>Omit “61646”, substitute “61647”.</w:t>
      </w:r>
    </w:p>
    <w:p w:rsidR="00C32388" w:rsidRPr="00795525" w:rsidRDefault="007320A4" w:rsidP="00C32388">
      <w:pPr>
        <w:pStyle w:val="ItemHead"/>
      </w:pPr>
      <w:r w:rsidRPr="00795525">
        <w:t>23</w:t>
      </w:r>
      <w:r w:rsidR="00C32388" w:rsidRPr="00795525">
        <w:t xml:space="preserve">  Sub</w:t>
      </w:r>
      <w:r w:rsidR="009F50AF" w:rsidRPr="00795525">
        <w:t>regulation</w:t>
      </w:r>
      <w:r w:rsidR="00795525" w:rsidRPr="00795525">
        <w:t> </w:t>
      </w:r>
      <w:r w:rsidR="00C32388" w:rsidRPr="00795525">
        <w:t>20C(1) (table item</w:t>
      </w:r>
      <w:r w:rsidR="003E4D4E" w:rsidRPr="00795525">
        <w:t>s</w:t>
      </w:r>
      <w:r w:rsidR="00795525" w:rsidRPr="00795525">
        <w:t> </w:t>
      </w:r>
      <w:r w:rsidR="00C32388" w:rsidRPr="00795525">
        <w:t>1</w:t>
      </w:r>
      <w:r w:rsidR="003E4D4E" w:rsidRPr="00795525">
        <w:t xml:space="preserve">3 </w:t>
      </w:r>
      <w:r w:rsidR="00C32388" w:rsidRPr="00795525">
        <w:t>and 1</w:t>
      </w:r>
      <w:r w:rsidR="003E4D4E" w:rsidRPr="00795525">
        <w:t>4</w:t>
      </w:r>
      <w:r w:rsidR="00C32388" w:rsidRPr="00795525">
        <w:t>, column 3)</w:t>
      </w:r>
    </w:p>
    <w:p w:rsidR="00C32388" w:rsidRPr="00795525" w:rsidRDefault="00C32388" w:rsidP="00C32388">
      <w:pPr>
        <w:pStyle w:val="Item"/>
      </w:pPr>
      <w:r w:rsidRPr="00795525">
        <w:t>Omit “61646”, substitute “61647”.</w:t>
      </w:r>
    </w:p>
    <w:sectPr w:rsidR="00C32388" w:rsidRPr="00795525" w:rsidSect="002D6CB2">
      <w:headerReference w:type="even" r:id="rId20"/>
      <w:headerReference w:type="default" r:id="rId21"/>
      <w:footerReference w:type="even" r:id="rId22"/>
      <w:footerReference w:type="default" r:id="rId23"/>
      <w:headerReference w:type="first" r:id="rId24"/>
      <w:footerReference w:type="first" r:id="rId25"/>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954" w:rsidRDefault="00253954" w:rsidP="0048364F">
      <w:pPr>
        <w:spacing w:line="240" w:lineRule="auto"/>
      </w:pPr>
      <w:r>
        <w:separator/>
      </w:r>
    </w:p>
  </w:endnote>
  <w:endnote w:type="continuationSeparator" w:id="0">
    <w:p w:rsidR="00253954" w:rsidRDefault="00253954"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954" w:rsidRPr="002D6CB2" w:rsidRDefault="002D6CB2" w:rsidP="002D6CB2">
    <w:pPr>
      <w:pStyle w:val="Footer"/>
      <w:tabs>
        <w:tab w:val="clear" w:pos="4153"/>
        <w:tab w:val="clear" w:pos="8306"/>
        <w:tab w:val="center" w:pos="4150"/>
        <w:tab w:val="right" w:pos="8307"/>
      </w:tabs>
      <w:spacing w:before="120"/>
      <w:rPr>
        <w:i/>
        <w:sz w:val="18"/>
      </w:rPr>
    </w:pPr>
    <w:r w:rsidRPr="002D6CB2">
      <w:rPr>
        <w:i/>
        <w:sz w:val="18"/>
      </w:rPr>
      <w:t>OPC63054 -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954" w:rsidRDefault="00253954" w:rsidP="00E97334"/>
  <w:p w:rsidR="00253954" w:rsidRPr="002D6CB2" w:rsidRDefault="002D6CB2" w:rsidP="002D6CB2">
    <w:pPr>
      <w:rPr>
        <w:rFonts w:cs="Times New Roman"/>
        <w:i/>
        <w:sz w:val="18"/>
      </w:rPr>
    </w:pPr>
    <w:r w:rsidRPr="002D6CB2">
      <w:rPr>
        <w:rFonts w:cs="Times New Roman"/>
        <w:i/>
        <w:sz w:val="18"/>
      </w:rPr>
      <w:t>OPC63054 -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954" w:rsidRPr="002D6CB2" w:rsidRDefault="002D6CB2" w:rsidP="002D6CB2">
    <w:pPr>
      <w:pStyle w:val="Footer"/>
      <w:tabs>
        <w:tab w:val="clear" w:pos="4153"/>
        <w:tab w:val="clear" w:pos="8306"/>
        <w:tab w:val="center" w:pos="4150"/>
        <w:tab w:val="right" w:pos="8307"/>
      </w:tabs>
      <w:spacing w:before="120"/>
      <w:rPr>
        <w:i/>
        <w:sz w:val="18"/>
      </w:rPr>
    </w:pPr>
    <w:r w:rsidRPr="002D6CB2">
      <w:rPr>
        <w:i/>
        <w:sz w:val="18"/>
      </w:rPr>
      <w:t>OPC63054 - 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954" w:rsidRPr="00E33C1C" w:rsidRDefault="00253954"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253954" w:rsidTr="00795525">
      <w:tc>
        <w:tcPr>
          <w:tcW w:w="709" w:type="dxa"/>
          <w:tcBorders>
            <w:top w:val="nil"/>
            <w:left w:val="nil"/>
            <w:bottom w:val="nil"/>
            <w:right w:val="nil"/>
          </w:tcBorders>
        </w:tcPr>
        <w:p w:rsidR="00253954" w:rsidRDefault="00253954" w:rsidP="001C7D3D">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B4A50">
            <w:rPr>
              <w:i/>
              <w:noProof/>
              <w:sz w:val="18"/>
            </w:rPr>
            <w:t>ix</w:t>
          </w:r>
          <w:r w:rsidRPr="00ED79B6">
            <w:rPr>
              <w:i/>
              <w:sz w:val="18"/>
            </w:rPr>
            <w:fldChar w:fldCharType="end"/>
          </w:r>
        </w:p>
      </w:tc>
      <w:tc>
        <w:tcPr>
          <w:tcW w:w="6379" w:type="dxa"/>
          <w:tcBorders>
            <w:top w:val="nil"/>
            <w:left w:val="nil"/>
            <w:bottom w:val="nil"/>
            <w:right w:val="nil"/>
          </w:tcBorders>
        </w:tcPr>
        <w:p w:rsidR="00253954" w:rsidRDefault="00253954" w:rsidP="001C7D3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D2806">
            <w:rPr>
              <w:i/>
              <w:sz w:val="18"/>
            </w:rPr>
            <w:t>Health Insurance Legislation Amendment (2018 Measures No. 1) Regulations 2018</w:t>
          </w:r>
          <w:r w:rsidRPr="007A1328">
            <w:rPr>
              <w:i/>
              <w:sz w:val="18"/>
            </w:rPr>
            <w:fldChar w:fldCharType="end"/>
          </w:r>
        </w:p>
      </w:tc>
      <w:tc>
        <w:tcPr>
          <w:tcW w:w="1384" w:type="dxa"/>
          <w:tcBorders>
            <w:top w:val="nil"/>
            <w:left w:val="nil"/>
            <w:bottom w:val="nil"/>
            <w:right w:val="nil"/>
          </w:tcBorders>
        </w:tcPr>
        <w:p w:rsidR="00253954" w:rsidRDefault="00253954" w:rsidP="001C7D3D">
          <w:pPr>
            <w:spacing w:line="0" w:lineRule="atLeast"/>
            <w:jc w:val="right"/>
            <w:rPr>
              <w:sz w:val="18"/>
            </w:rPr>
          </w:pPr>
        </w:p>
      </w:tc>
    </w:tr>
  </w:tbl>
  <w:p w:rsidR="00253954" w:rsidRPr="002D6CB2" w:rsidRDefault="002D6CB2" w:rsidP="002D6CB2">
    <w:pPr>
      <w:rPr>
        <w:rFonts w:cs="Times New Roman"/>
        <w:i/>
        <w:sz w:val="18"/>
      </w:rPr>
    </w:pPr>
    <w:r w:rsidRPr="002D6CB2">
      <w:rPr>
        <w:rFonts w:cs="Times New Roman"/>
        <w:i/>
        <w:sz w:val="18"/>
      </w:rPr>
      <w:t>OPC63054 -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954" w:rsidRPr="00E33C1C" w:rsidRDefault="00253954"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253954" w:rsidTr="00795525">
      <w:tc>
        <w:tcPr>
          <w:tcW w:w="1383" w:type="dxa"/>
          <w:tcBorders>
            <w:top w:val="nil"/>
            <w:left w:val="nil"/>
            <w:bottom w:val="nil"/>
            <w:right w:val="nil"/>
          </w:tcBorders>
        </w:tcPr>
        <w:p w:rsidR="00253954" w:rsidRDefault="00253954" w:rsidP="001C7D3D">
          <w:pPr>
            <w:spacing w:line="0" w:lineRule="atLeast"/>
            <w:rPr>
              <w:sz w:val="18"/>
            </w:rPr>
          </w:pPr>
        </w:p>
      </w:tc>
      <w:tc>
        <w:tcPr>
          <w:tcW w:w="6379" w:type="dxa"/>
          <w:tcBorders>
            <w:top w:val="nil"/>
            <w:left w:val="nil"/>
            <w:bottom w:val="nil"/>
            <w:right w:val="nil"/>
          </w:tcBorders>
        </w:tcPr>
        <w:p w:rsidR="00253954" w:rsidRDefault="00253954" w:rsidP="001C7D3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D2806">
            <w:rPr>
              <w:i/>
              <w:sz w:val="18"/>
            </w:rPr>
            <w:t>Health Insurance Legislation Amendment (2018 Measures No. 1) Regulations 2018</w:t>
          </w:r>
          <w:r w:rsidRPr="007A1328">
            <w:rPr>
              <w:i/>
              <w:sz w:val="18"/>
            </w:rPr>
            <w:fldChar w:fldCharType="end"/>
          </w:r>
        </w:p>
      </w:tc>
      <w:tc>
        <w:tcPr>
          <w:tcW w:w="710" w:type="dxa"/>
          <w:tcBorders>
            <w:top w:val="nil"/>
            <w:left w:val="nil"/>
            <w:bottom w:val="nil"/>
            <w:right w:val="nil"/>
          </w:tcBorders>
        </w:tcPr>
        <w:p w:rsidR="00253954" w:rsidRDefault="00253954" w:rsidP="001C7D3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40E01">
            <w:rPr>
              <w:i/>
              <w:noProof/>
              <w:sz w:val="18"/>
            </w:rPr>
            <w:t>i</w:t>
          </w:r>
          <w:r w:rsidRPr="00ED79B6">
            <w:rPr>
              <w:i/>
              <w:sz w:val="18"/>
            </w:rPr>
            <w:fldChar w:fldCharType="end"/>
          </w:r>
        </w:p>
      </w:tc>
    </w:tr>
  </w:tbl>
  <w:p w:rsidR="00253954" w:rsidRPr="002D6CB2" w:rsidRDefault="002D6CB2" w:rsidP="002D6CB2">
    <w:pPr>
      <w:rPr>
        <w:rFonts w:cs="Times New Roman"/>
        <w:i/>
        <w:sz w:val="18"/>
      </w:rPr>
    </w:pPr>
    <w:r w:rsidRPr="002D6CB2">
      <w:rPr>
        <w:rFonts w:cs="Times New Roman"/>
        <w:i/>
        <w:sz w:val="18"/>
      </w:rPr>
      <w:t>OPC63054 -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954" w:rsidRPr="00E33C1C" w:rsidRDefault="00253954"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253954" w:rsidTr="00795525">
      <w:tc>
        <w:tcPr>
          <w:tcW w:w="709" w:type="dxa"/>
          <w:tcBorders>
            <w:top w:val="nil"/>
            <w:left w:val="nil"/>
            <w:bottom w:val="nil"/>
            <w:right w:val="nil"/>
          </w:tcBorders>
        </w:tcPr>
        <w:p w:rsidR="00253954" w:rsidRDefault="00253954" w:rsidP="001C7D3D">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41709">
            <w:rPr>
              <w:i/>
              <w:noProof/>
              <w:sz w:val="18"/>
            </w:rPr>
            <w:t>8</w:t>
          </w:r>
          <w:r w:rsidRPr="00ED79B6">
            <w:rPr>
              <w:i/>
              <w:sz w:val="18"/>
            </w:rPr>
            <w:fldChar w:fldCharType="end"/>
          </w:r>
        </w:p>
      </w:tc>
      <w:tc>
        <w:tcPr>
          <w:tcW w:w="6379" w:type="dxa"/>
          <w:tcBorders>
            <w:top w:val="nil"/>
            <w:left w:val="nil"/>
            <w:bottom w:val="nil"/>
            <w:right w:val="nil"/>
          </w:tcBorders>
        </w:tcPr>
        <w:p w:rsidR="00253954" w:rsidRDefault="00253954" w:rsidP="001C7D3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D2806">
            <w:rPr>
              <w:i/>
              <w:sz w:val="18"/>
            </w:rPr>
            <w:t>Health Insurance Legislation Amendment (2018 Measures No. 1) Regulations 2018</w:t>
          </w:r>
          <w:r w:rsidRPr="007A1328">
            <w:rPr>
              <w:i/>
              <w:sz w:val="18"/>
            </w:rPr>
            <w:fldChar w:fldCharType="end"/>
          </w:r>
        </w:p>
      </w:tc>
      <w:tc>
        <w:tcPr>
          <w:tcW w:w="1384" w:type="dxa"/>
          <w:tcBorders>
            <w:top w:val="nil"/>
            <w:left w:val="nil"/>
            <w:bottom w:val="nil"/>
            <w:right w:val="nil"/>
          </w:tcBorders>
        </w:tcPr>
        <w:p w:rsidR="00253954" w:rsidRDefault="00253954" w:rsidP="001C7D3D">
          <w:pPr>
            <w:spacing w:line="0" w:lineRule="atLeast"/>
            <w:jc w:val="right"/>
            <w:rPr>
              <w:sz w:val="18"/>
            </w:rPr>
          </w:pPr>
        </w:p>
      </w:tc>
    </w:tr>
  </w:tbl>
  <w:p w:rsidR="00253954" w:rsidRPr="002D6CB2" w:rsidRDefault="002D6CB2" w:rsidP="002D6CB2">
    <w:pPr>
      <w:rPr>
        <w:rFonts w:cs="Times New Roman"/>
        <w:i/>
        <w:sz w:val="18"/>
      </w:rPr>
    </w:pPr>
    <w:r w:rsidRPr="002D6CB2">
      <w:rPr>
        <w:rFonts w:cs="Times New Roman"/>
        <w:i/>
        <w:sz w:val="18"/>
      </w:rPr>
      <w:t>OPC63054 -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954" w:rsidRPr="00E33C1C" w:rsidRDefault="00253954"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253954" w:rsidTr="001C7D3D">
      <w:tc>
        <w:tcPr>
          <w:tcW w:w="1384" w:type="dxa"/>
          <w:tcBorders>
            <w:top w:val="nil"/>
            <w:left w:val="nil"/>
            <w:bottom w:val="nil"/>
            <w:right w:val="nil"/>
          </w:tcBorders>
        </w:tcPr>
        <w:p w:rsidR="00253954" w:rsidRDefault="00253954" w:rsidP="001C7D3D">
          <w:pPr>
            <w:spacing w:line="0" w:lineRule="atLeast"/>
            <w:rPr>
              <w:sz w:val="18"/>
            </w:rPr>
          </w:pPr>
        </w:p>
      </w:tc>
      <w:tc>
        <w:tcPr>
          <w:tcW w:w="6379" w:type="dxa"/>
          <w:tcBorders>
            <w:top w:val="nil"/>
            <w:left w:val="nil"/>
            <w:bottom w:val="nil"/>
            <w:right w:val="nil"/>
          </w:tcBorders>
        </w:tcPr>
        <w:p w:rsidR="00253954" w:rsidRDefault="00253954" w:rsidP="001C7D3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D2806">
            <w:rPr>
              <w:i/>
              <w:sz w:val="18"/>
            </w:rPr>
            <w:t>Health Insurance Legislation Amendment (2018 Measures No. 1) Regulations 2018</w:t>
          </w:r>
          <w:r w:rsidRPr="007A1328">
            <w:rPr>
              <w:i/>
              <w:sz w:val="18"/>
            </w:rPr>
            <w:fldChar w:fldCharType="end"/>
          </w:r>
        </w:p>
      </w:tc>
      <w:tc>
        <w:tcPr>
          <w:tcW w:w="709" w:type="dxa"/>
          <w:tcBorders>
            <w:top w:val="nil"/>
            <w:left w:val="nil"/>
            <w:bottom w:val="nil"/>
            <w:right w:val="nil"/>
          </w:tcBorders>
        </w:tcPr>
        <w:p w:rsidR="00253954" w:rsidRDefault="00253954" w:rsidP="001C7D3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40E01">
            <w:rPr>
              <w:i/>
              <w:noProof/>
              <w:sz w:val="18"/>
            </w:rPr>
            <w:t>1</w:t>
          </w:r>
          <w:r w:rsidRPr="00ED79B6">
            <w:rPr>
              <w:i/>
              <w:sz w:val="18"/>
            </w:rPr>
            <w:fldChar w:fldCharType="end"/>
          </w:r>
        </w:p>
      </w:tc>
    </w:tr>
  </w:tbl>
  <w:p w:rsidR="00253954" w:rsidRPr="002D6CB2" w:rsidRDefault="002D6CB2" w:rsidP="002D6CB2">
    <w:pPr>
      <w:rPr>
        <w:rFonts w:cs="Times New Roman"/>
        <w:i/>
        <w:sz w:val="18"/>
      </w:rPr>
    </w:pPr>
    <w:r w:rsidRPr="002D6CB2">
      <w:rPr>
        <w:rFonts w:cs="Times New Roman"/>
        <w:i/>
        <w:sz w:val="18"/>
      </w:rPr>
      <w:t>OPC63054 -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954" w:rsidRPr="00E33C1C" w:rsidRDefault="00253954"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253954" w:rsidTr="007A6863">
      <w:tc>
        <w:tcPr>
          <w:tcW w:w="1384" w:type="dxa"/>
          <w:tcBorders>
            <w:top w:val="nil"/>
            <w:left w:val="nil"/>
            <w:bottom w:val="nil"/>
            <w:right w:val="nil"/>
          </w:tcBorders>
        </w:tcPr>
        <w:p w:rsidR="00253954" w:rsidRDefault="00253954" w:rsidP="001C7D3D">
          <w:pPr>
            <w:spacing w:line="0" w:lineRule="atLeast"/>
            <w:rPr>
              <w:sz w:val="18"/>
            </w:rPr>
          </w:pPr>
        </w:p>
      </w:tc>
      <w:tc>
        <w:tcPr>
          <w:tcW w:w="6379" w:type="dxa"/>
          <w:tcBorders>
            <w:top w:val="nil"/>
            <w:left w:val="nil"/>
            <w:bottom w:val="nil"/>
            <w:right w:val="nil"/>
          </w:tcBorders>
        </w:tcPr>
        <w:p w:rsidR="00253954" w:rsidRDefault="00253954" w:rsidP="001C7D3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D2806">
            <w:rPr>
              <w:i/>
              <w:sz w:val="18"/>
            </w:rPr>
            <w:t>Health Insurance Legislation Amendment (2018 Measures No. 1) Regulations 2018</w:t>
          </w:r>
          <w:r w:rsidRPr="007A1328">
            <w:rPr>
              <w:i/>
              <w:sz w:val="18"/>
            </w:rPr>
            <w:fldChar w:fldCharType="end"/>
          </w:r>
        </w:p>
      </w:tc>
      <w:tc>
        <w:tcPr>
          <w:tcW w:w="709" w:type="dxa"/>
          <w:tcBorders>
            <w:top w:val="nil"/>
            <w:left w:val="nil"/>
            <w:bottom w:val="nil"/>
            <w:right w:val="nil"/>
          </w:tcBorders>
        </w:tcPr>
        <w:p w:rsidR="00253954" w:rsidRDefault="00253954" w:rsidP="001C7D3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B4A50">
            <w:rPr>
              <w:i/>
              <w:noProof/>
              <w:sz w:val="18"/>
            </w:rPr>
            <w:t>9</w:t>
          </w:r>
          <w:r w:rsidRPr="00ED79B6">
            <w:rPr>
              <w:i/>
              <w:sz w:val="18"/>
            </w:rPr>
            <w:fldChar w:fldCharType="end"/>
          </w:r>
        </w:p>
      </w:tc>
    </w:tr>
  </w:tbl>
  <w:p w:rsidR="00253954" w:rsidRPr="002D6CB2" w:rsidRDefault="002D6CB2" w:rsidP="002D6CB2">
    <w:pPr>
      <w:rPr>
        <w:rFonts w:cs="Times New Roman"/>
        <w:i/>
        <w:sz w:val="18"/>
      </w:rPr>
    </w:pPr>
    <w:r w:rsidRPr="002D6CB2">
      <w:rPr>
        <w:rFonts w:cs="Times New Roman"/>
        <w:i/>
        <w:sz w:val="18"/>
      </w:rPr>
      <w:t>OPC63054 - 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954" w:rsidRDefault="00253954" w:rsidP="0048364F">
      <w:pPr>
        <w:spacing w:line="240" w:lineRule="auto"/>
      </w:pPr>
      <w:r>
        <w:separator/>
      </w:r>
    </w:p>
  </w:footnote>
  <w:footnote w:type="continuationSeparator" w:id="0">
    <w:p w:rsidR="00253954" w:rsidRDefault="00253954"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954" w:rsidRPr="005F1388" w:rsidRDefault="00253954" w:rsidP="0048364F">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954" w:rsidRPr="005F1388" w:rsidRDefault="00253954"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954" w:rsidRPr="005F1388" w:rsidRDefault="00253954"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954" w:rsidRPr="00ED79B6" w:rsidRDefault="00253954" w:rsidP="00220A0C">
    <w:pPr>
      <w:pBdr>
        <w:bottom w:val="single" w:sz="6" w:space="1" w:color="auto"/>
      </w:pBdr>
      <w:spacing w:before="10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954" w:rsidRPr="00ED79B6" w:rsidRDefault="00253954" w:rsidP="00220A0C">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954" w:rsidRPr="00ED79B6" w:rsidRDefault="00253954"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954" w:rsidRPr="00A961C4" w:rsidRDefault="00253954" w:rsidP="0048364F">
    <w:pPr>
      <w:rPr>
        <w:b/>
        <w:sz w:val="20"/>
      </w:rPr>
    </w:pPr>
    <w:r>
      <w:rPr>
        <w:b/>
        <w:sz w:val="20"/>
      </w:rPr>
      <w:fldChar w:fldCharType="begin"/>
    </w:r>
    <w:r>
      <w:rPr>
        <w:b/>
        <w:sz w:val="20"/>
      </w:rPr>
      <w:instrText xml:space="preserve"> STYLEREF CharAmSchNo </w:instrText>
    </w:r>
    <w:r w:rsidR="00D41709">
      <w:rPr>
        <w:b/>
        <w:sz w:val="20"/>
      </w:rPr>
      <w:fldChar w:fldCharType="separate"/>
    </w:r>
    <w:r w:rsidR="00D41709">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D41709">
      <w:rPr>
        <w:sz w:val="20"/>
      </w:rPr>
      <w:fldChar w:fldCharType="separate"/>
    </w:r>
    <w:r w:rsidR="00D41709">
      <w:rPr>
        <w:noProof/>
        <w:sz w:val="20"/>
      </w:rPr>
      <w:t>Amendments</w:t>
    </w:r>
    <w:r>
      <w:rPr>
        <w:sz w:val="20"/>
      </w:rPr>
      <w:fldChar w:fldCharType="end"/>
    </w:r>
  </w:p>
  <w:p w:rsidR="00253954" w:rsidRPr="00A961C4" w:rsidRDefault="00253954"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253954" w:rsidRPr="00A961C4" w:rsidRDefault="00253954" w:rsidP="007F48ED">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954" w:rsidRPr="00A961C4" w:rsidRDefault="00253954"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rsidR="00253954" w:rsidRPr="00A961C4" w:rsidRDefault="00253954"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253954" w:rsidRPr="00A961C4" w:rsidRDefault="00253954" w:rsidP="007F48ED">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954" w:rsidRPr="00A961C4" w:rsidRDefault="00253954"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152A248"/>
    <w:lvl w:ilvl="0">
      <w:start w:val="1"/>
      <w:numFmt w:val="decimal"/>
      <w:lvlText w:val="%1."/>
      <w:lvlJc w:val="left"/>
      <w:pPr>
        <w:tabs>
          <w:tab w:val="num" w:pos="1492"/>
        </w:tabs>
        <w:ind w:left="1492" w:hanging="360"/>
      </w:pPr>
    </w:lvl>
  </w:abstractNum>
  <w:abstractNum w:abstractNumId="1">
    <w:nsid w:val="FFFFFF7D"/>
    <w:multiLevelType w:val="singleLevel"/>
    <w:tmpl w:val="FDC89DC0"/>
    <w:lvl w:ilvl="0">
      <w:start w:val="1"/>
      <w:numFmt w:val="decimal"/>
      <w:lvlText w:val="%1."/>
      <w:lvlJc w:val="left"/>
      <w:pPr>
        <w:tabs>
          <w:tab w:val="num" w:pos="1209"/>
        </w:tabs>
        <w:ind w:left="1209" w:hanging="360"/>
      </w:pPr>
    </w:lvl>
  </w:abstractNum>
  <w:abstractNum w:abstractNumId="2">
    <w:nsid w:val="FFFFFF7E"/>
    <w:multiLevelType w:val="singleLevel"/>
    <w:tmpl w:val="23DC1340"/>
    <w:lvl w:ilvl="0">
      <w:start w:val="1"/>
      <w:numFmt w:val="decimal"/>
      <w:lvlText w:val="%1."/>
      <w:lvlJc w:val="left"/>
      <w:pPr>
        <w:tabs>
          <w:tab w:val="num" w:pos="926"/>
        </w:tabs>
        <w:ind w:left="926" w:hanging="360"/>
      </w:pPr>
    </w:lvl>
  </w:abstractNum>
  <w:abstractNum w:abstractNumId="3">
    <w:nsid w:val="FFFFFF7F"/>
    <w:multiLevelType w:val="singleLevel"/>
    <w:tmpl w:val="00CE5486"/>
    <w:lvl w:ilvl="0">
      <w:start w:val="1"/>
      <w:numFmt w:val="decimal"/>
      <w:lvlText w:val="%1."/>
      <w:lvlJc w:val="left"/>
      <w:pPr>
        <w:tabs>
          <w:tab w:val="num" w:pos="643"/>
        </w:tabs>
        <w:ind w:left="643" w:hanging="360"/>
      </w:pPr>
    </w:lvl>
  </w:abstractNum>
  <w:abstractNum w:abstractNumId="4">
    <w:nsid w:val="FFFFFF80"/>
    <w:multiLevelType w:val="singleLevel"/>
    <w:tmpl w:val="3C90DE2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2E4862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1A0D8F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8AA2B2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512C7D6"/>
    <w:lvl w:ilvl="0">
      <w:start w:val="1"/>
      <w:numFmt w:val="decimal"/>
      <w:lvlText w:val="%1."/>
      <w:lvlJc w:val="left"/>
      <w:pPr>
        <w:tabs>
          <w:tab w:val="num" w:pos="360"/>
        </w:tabs>
        <w:ind w:left="360" w:hanging="360"/>
      </w:pPr>
    </w:lvl>
  </w:abstractNum>
  <w:abstractNum w:abstractNumId="9">
    <w:nsid w:val="FFFFFF89"/>
    <w:multiLevelType w:val="singleLevel"/>
    <w:tmpl w:val="4E102A2C"/>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ECF"/>
    <w:rsid w:val="00000263"/>
    <w:rsid w:val="000113BC"/>
    <w:rsid w:val="000136AF"/>
    <w:rsid w:val="0001560C"/>
    <w:rsid w:val="000261ED"/>
    <w:rsid w:val="0004044E"/>
    <w:rsid w:val="0004632F"/>
    <w:rsid w:val="0005120E"/>
    <w:rsid w:val="00054577"/>
    <w:rsid w:val="00057A8D"/>
    <w:rsid w:val="000614BF"/>
    <w:rsid w:val="0007143A"/>
    <w:rsid w:val="0007169C"/>
    <w:rsid w:val="00072E93"/>
    <w:rsid w:val="000745C0"/>
    <w:rsid w:val="00077593"/>
    <w:rsid w:val="0008082B"/>
    <w:rsid w:val="00083F48"/>
    <w:rsid w:val="000927A8"/>
    <w:rsid w:val="000A202A"/>
    <w:rsid w:val="000A7DF9"/>
    <w:rsid w:val="000B289A"/>
    <w:rsid w:val="000D05EF"/>
    <w:rsid w:val="000D5485"/>
    <w:rsid w:val="000F21C1"/>
    <w:rsid w:val="000F320E"/>
    <w:rsid w:val="00105D72"/>
    <w:rsid w:val="0010745C"/>
    <w:rsid w:val="00112A08"/>
    <w:rsid w:val="00117277"/>
    <w:rsid w:val="0014597A"/>
    <w:rsid w:val="00160BD7"/>
    <w:rsid w:val="001643C9"/>
    <w:rsid w:val="00165568"/>
    <w:rsid w:val="00166082"/>
    <w:rsid w:val="00166C2F"/>
    <w:rsid w:val="001716C9"/>
    <w:rsid w:val="00171BDF"/>
    <w:rsid w:val="00184261"/>
    <w:rsid w:val="00192904"/>
    <w:rsid w:val="00193461"/>
    <w:rsid w:val="001939E1"/>
    <w:rsid w:val="00195382"/>
    <w:rsid w:val="001A1621"/>
    <w:rsid w:val="001A3B9F"/>
    <w:rsid w:val="001A65C0"/>
    <w:rsid w:val="001B6456"/>
    <w:rsid w:val="001B7A5D"/>
    <w:rsid w:val="001C69C4"/>
    <w:rsid w:val="001C7D3D"/>
    <w:rsid w:val="001E0A8D"/>
    <w:rsid w:val="001E3590"/>
    <w:rsid w:val="001E7407"/>
    <w:rsid w:val="00201D27"/>
    <w:rsid w:val="0020300C"/>
    <w:rsid w:val="00220A0C"/>
    <w:rsid w:val="00223E4A"/>
    <w:rsid w:val="002302EA"/>
    <w:rsid w:val="00240749"/>
    <w:rsid w:val="002468D7"/>
    <w:rsid w:val="00253954"/>
    <w:rsid w:val="00254212"/>
    <w:rsid w:val="00255348"/>
    <w:rsid w:val="00285CDD"/>
    <w:rsid w:val="00291167"/>
    <w:rsid w:val="00297ECB"/>
    <w:rsid w:val="002A6899"/>
    <w:rsid w:val="002C152A"/>
    <w:rsid w:val="002D043A"/>
    <w:rsid w:val="002D6CB2"/>
    <w:rsid w:val="0031713F"/>
    <w:rsid w:val="00321913"/>
    <w:rsid w:val="00322E10"/>
    <w:rsid w:val="00324EE6"/>
    <w:rsid w:val="003264AC"/>
    <w:rsid w:val="003316DC"/>
    <w:rsid w:val="003321D5"/>
    <w:rsid w:val="00332E0D"/>
    <w:rsid w:val="003339E3"/>
    <w:rsid w:val="003415D3"/>
    <w:rsid w:val="00346335"/>
    <w:rsid w:val="00352B0F"/>
    <w:rsid w:val="003561B0"/>
    <w:rsid w:val="00367960"/>
    <w:rsid w:val="00373D67"/>
    <w:rsid w:val="003A15AC"/>
    <w:rsid w:val="003A56EB"/>
    <w:rsid w:val="003B0627"/>
    <w:rsid w:val="003C5F2B"/>
    <w:rsid w:val="003D0BFE"/>
    <w:rsid w:val="003D0D67"/>
    <w:rsid w:val="003D2806"/>
    <w:rsid w:val="003D5700"/>
    <w:rsid w:val="003E4D4E"/>
    <w:rsid w:val="003F0F5A"/>
    <w:rsid w:val="00400A30"/>
    <w:rsid w:val="004022CA"/>
    <w:rsid w:val="00404E2F"/>
    <w:rsid w:val="004116CD"/>
    <w:rsid w:val="004134A7"/>
    <w:rsid w:val="00414ADE"/>
    <w:rsid w:val="00424CA9"/>
    <w:rsid w:val="004257BB"/>
    <w:rsid w:val="004261D9"/>
    <w:rsid w:val="0043129F"/>
    <w:rsid w:val="00433CF8"/>
    <w:rsid w:val="0044291A"/>
    <w:rsid w:val="0044373E"/>
    <w:rsid w:val="00460499"/>
    <w:rsid w:val="00460D9C"/>
    <w:rsid w:val="00474835"/>
    <w:rsid w:val="00476133"/>
    <w:rsid w:val="004819C7"/>
    <w:rsid w:val="0048364F"/>
    <w:rsid w:val="00490F2E"/>
    <w:rsid w:val="00496DB3"/>
    <w:rsid w:val="00496F97"/>
    <w:rsid w:val="004A1257"/>
    <w:rsid w:val="004A53EA"/>
    <w:rsid w:val="004B4A50"/>
    <w:rsid w:val="004C3699"/>
    <w:rsid w:val="004C459B"/>
    <w:rsid w:val="004D0F3E"/>
    <w:rsid w:val="004D11CB"/>
    <w:rsid w:val="004E5FFA"/>
    <w:rsid w:val="004F1FAC"/>
    <w:rsid w:val="004F676E"/>
    <w:rsid w:val="00516B8D"/>
    <w:rsid w:val="005239D8"/>
    <w:rsid w:val="0052686F"/>
    <w:rsid w:val="0052756C"/>
    <w:rsid w:val="00530230"/>
    <w:rsid w:val="00530CC9"/>
    <w:rsid w:val="00537FBC"/>
    <w:rsid w:val="00541D73"/>
    <w:rsid w:val="00543469"/>
    <w:rsid w:val="00543E31"/>
    <w:rsid w:val="005452CC"/>
    <w:rsid w:val="00546FA3"/>
    <w:rsid w:val="00554243"/>
    <w:rsid w:val="00557C7A"/>
    <w:rsid w:val="00562A58"/>
    <w:rsid w:val="00566390"/>
    <w:rsid w:val="00581211"/>
    <w:rsid w:val="00582C23"/>
    <w:rsid w:val="00584811"/>
    <w:rsid w:val="005919D2"/>
    <w:rsid w:val="00593AA6"/>
    <w:rsid w:val="00594161"/>
    <w:rsid w:val="00594749"/>
    <w:rsid w:val="005A482B"/>
    <w:rsid w:val="005B4067"/>
    <w:rsid w:val="005C36E0"/>
    <w:rsid w:val="005C3F41"/>
    <w:rsid w:val="005C7C29"/>
    <w:rsid w:val="005D168D"/>
    <w:rsid w:val="005D5EA1"/>
    <w:rsid w:val="005D6FF7"/>
    <w:rsid w:val="005E61D3"/>
    <w:rsid w:val="005F7738"/>
    <w:rsid w:val="00600219"/>
    <w:rsid w:val="006043D4"/>
    <w:rsid w:val="0060545B"/>
    <w:rsid w:val="00613EAD"/>
    <w:rsid w:val="006158AC"/>
    <w:rsid w:val="00627F82"/>
    <w:rsid w:val="00640402"/>
    <w:rsid w:val="00640F78"/>
    <w:rsid w:val="00641FD8"/>
    <w:rsid w:val="00646E7B"/>
    <w:rsid w:val="00655327"/>
    <w:rsid w:val="00655D6A"/>
    <w:rsid w:val="00656DE9"/>
    <w:rsid w:val="00677CC2"/>
    <w:rsid w:val="00681A16"/>
    <w:rsid w:val="00685F42"/>
    <w:rsid w:val="006866A1"/>
    <w:rsid w:val="006909C1"/>
    <w:rsid w:val="00691D9F"/>
    <w:rsid w:val="0069207B"/>
    <w:rsid w:val="00694FE0"/>
    <w:rsid w:val="006A2203"/>
    <w:rsid w:val="006A266E"/>
    <w:rsid w:val="006A3CB1"/>
    <w:rsid w:val="006A4309"/>
    <w:rsid w:val="006A5166"/>
    <w:rsid w:val="006A5ECA"/>
    <w:rsid w:val="006B0E55"/>
    <w:rsid w:val="006B7006"/>
    <w:rsid w:val="006C7F8C"/>
    <w:rsid w:val="006D6D3E"/>
    <w:rsid w:val="006D7AB9"/>
    <w:rsid w:val="00700B2C"/>
    <w:rsid w:val="00713084"/>
    <w:rsid w:val="0071338C"/>
    <w:rsid w:val="007207D0"/>
    <w:rsid w:val="00720FC2"/>
    <w:rsid w:val="007216F5"/>
    <w:rsid w:val="00731E00"/>
    <w:rsid w:val="007320A4"/>
    <w:rsid w:val="00732E9D"/>
    <w:rsid w:val="0073491A"/>
    <w:rsid w:val="00740E01"/>
    <w:rsid w:val="007440B7"/>
    <w:rsid w:val="00747993"/>
    <w:rsid w:val="007634AD"/>
    <w:rsid w:val="007715C9"/>
    <w:rsid w:val="00774EDD"/>
    <w:rsid w:val="007757EC"/>
    <w:rsid w:val="00795525"/>
    <w:rsid w:val="007A115D"/>
    <w:rsid w:val="007A35E6"/>
    <w:rsid w:val="007A6863"/>
    <w:rsid w:val="007C0C1B"/>
    <w:rsid w:val="007D45C1"/>
    <w:rsid w:val="007E6CE7"/>
    <w:rsid w:val="007E7D4A"/>
    <w:rsid w:val="007F48ED"/>
    <w:rsid w:val="007F7947"/>
    <w:rsid w:val="00804D39"/>
    <w:rsid w:val="00812F45"/>
    <w:rsid w:val="00830748"/>
    <w:rsid w:val="00831D7C"/>
    <w:rsid w:val="0084172C"/>
    <w:rsid w:val="00856A31"/>
    <w:rsid w:val="00863BD2"/>
    <w:rsid w:val="00871B0A"/>
    <w:rsid w:val="008754D0"/>
    <w:rsid w:val="00875CD8"/>
    <w:rsid w:val="00877D48"/>
    <w:rsid w:val="0088345B"/>
    <w:rsid w:val="008841AC"/>
    <w:rsid w:val="008A16A5"/>
    <w:rsid w:val="008A3891"/>
    <w:rsid w:val="008C2B5D"/>
    <w:rsid w:val="008D0EE0"/>
    <w:rsid w:val="008D5B99"/>
    <w:rsid w:val="008D7A27"/>
    <w:rsid w:val="008E1BAA"/>
    <w:rsid w:val="008E4702"/>
    <w:rsid w:val="008E64C3"/>
    <w:rsid w:val="008E69AA"/>
    <w:rsid w:val="008F0137"/>
    <w:rsid w:val="008F2234"/>
    <w:rsid w:val="008F4F1C"/>
    <w:rsid w:val="008F698C"/>
    <w:rsid w:val="00922764"/>
    <w:rsid w:val="00930512"/>
    <w:rsid w:val="00932377"/>
    <w:rsid w:val="009360EB"/>
    <w:rsid w:val="00943102"/>
    <w:rsid w:val="0094523D"/>
    <w:rsid w:val="009559E6"/>
    <w:rsid w:val="00955FEF"/>
    <w:rsid w:val="00976A63"/>
    <w:rsid w:val="00983419"/>
    <w:rsid w:val="009906A8"/>
    <w:rsid w:val="00993371"/>
    <w:rsid w:val="009B7016"/>
    <w:rsid w:val="009C2A2D"/>
    <w:rsid w:val="009C2B74"/>
    <w:rsid w:val="009C3431"/>
    <w:rsid w:val="009C5989"/>
    <w:rsid w:val="009D08DA"/>
    <w:rsid w:val="009E537F"/>
    <w:rsid w:val="009E6360"/>
    <w:rsid w:val="009E69EB"/>
    <w:rsid w:val="009F50AF"/>
    <w:rsid w:val="00A06860"/>
    <w:rsid w:val="00A0768A"/>
    <w:rsid w:val="00A136F5"/>
    <w:rsid w:val="00A21F51"/>
    <w:rsid w:val="00A231E2"/>
    <w:rsid w:val="00A2550D"/>
    <w:rsid w:val="00A25CD4"/>
    <w:rsid w:val="00A4169B"/>
    <w:rsid w:val="00A445F2"/>
    <w:rsid w:val="00A50D55"/>
    <w:rsid w:val="00A5165B"/>
    <w:rsid w:val="00A52FDA"/>
    <w:rsid w:val="00A64912"/>
    <w:rsid w:val="00A70A74"/>
    <w:rsid w:val="00A83ECF"/>
    <w:rsid w:val="00AA0343"/>
    <w:rsid w:val="00AA2A5C"/>
    <w:rsid w:val="00AB6108"/>
    <w:rsid w:val="00AB763C"/>
    <w:rsid w:val="00AB78E9"/>
    <w:rsid w:val="00AD3467"/>
    <w:rsid w:val="00AD5641"/>
    <w:rsid w:val="00AE0F9B"/>
    <w:rsid w:val="00AF0FBC"/>
    <w:rsid w:val="00AF55FF"/>
    <w:rsid w:val="00B032D8"/>
    <w:rsid w:val="00B33B3C"/>
    <w:rsid w:val="00B40D74"/>
    <w:rsid w:val="00B44B12"/>
    <w:rsid w:val="00B4645C"/>
    <w:rsid w:val="00B52663"/>
    <w:rsid w:val="00B56DCB"/>
    <w:rsid w:val="00B60286"/>
    <w:rsid w:val="00B72F76"/>
    <w:rsid w:val="00B770D2"/>
    <w:rsid w:val="00BA47A3"/>
    <w:rsid w:val="00BA5026"/>
    <w:rsid w:val="00BA5F14"/>
    <w:rsid w:val="00BB6E79"/>
    <w:rsid w:val="00BC7CA9"/>
    <w:rsid w:val="00BD19F9"/>
    <w:rsid w:val="00BE3753"/>
    <w:rsid w:val="00BE3B31"/>
    <w:rsid w:val="00BE719A"/>
    <w:rsid w:val="00BE720A"/>
    <w:rsid w:val="00BF6650"/>
    <w:rsid w:val="00C067E5"/>
    <w:rsid w:val="00C12B9D"/>
    <w:rsid w:val="00C164CA"/>
    <w:rsid w:val="00C32388"/>
    <w:rsid w:val="00C42BF8"/>
    <w:rsid w:val="00C460AE"/>
    <w:rsid w:val="00C47B27"/>
    <w:rsid w:val="00C47CD1"/>
    <w:rsid w:val="00C50043"/>
    <w:rsid w:val="00C50A0F"/>
    <w:rsid w:val="00C56995"/>
    <w:rsid w:val="00C700F7"/>
    <w:rsid w:val="00C7573B"/>
    <w:rsid w:val="00C76CF3"/>
    <w:rsid w:val="00C87911"/>
    <w:rsid w:val="00C9575A"/>
    <w:rsid w:val="00CA7844"/>
    <w:rsid w:val="00CB4D60"/>
    <w:rsid w:val="00CB58EF"/>
    <w:rsid w:val="00CD40C0"/>
    <w:rsid w:val="00CE36F6"/>
    <w:rsid w:val="00CE7D64"/>
    <w:rsid w:val="00CF0BB2"/>
    <w:rsid w:val="00CF42C9"/>
    <w:rsid w:val="00CF7480"/>
    <w:rsid w:val="00D13441"/>
    <w:rsid w:val="00D243A3"/>
    <w:rsid w:val="00D26A3D"/>
    <w:rsid w:val="00D3200B"/>
    <w:rsid w:val="00D33440"/>
    <w:rsid w:val="00D33547"/>
    <w:rsid w:val="00D41709"/>
    <w:rsid w:val="00D52EFE"/>
    <w:rsid w:val="00D56A0D"/>
    <w:rsid w:val="00D63EF6"/>
    <w:rsid w:val="00D66518"/>
    <w:rsid w:val="00D70DFB"/>
    <w:rsid w:val="00D71EEA"/>
    <w:rsid w:val="00D735CD"/>
    <w:rsid w:val="00D766DF"/>
    <w:rsid w:val="00D95891"/>
    <w:rsid w:val="00DA64B0"/>
    <w:rsid w:val="00DB3E3E"/>
    <w:rsid w:val="00DB4888"/>
    <w:rsid w:val="00DB5CB4"/>
    <w:rsid w:val="00DD56CE"/>
    <w:rsid w:val="00DE149E"/>
    <w:rsid w:val="00E0261D"/>
    <w:rsid w:val="00E05704"/>
    <w:rsid w:val="00E059A4"/>
    <w:rsid w:val="00E12F1A"/>
    <w:rsid w:val="00E21CFB"/>
    <w:rsid w:val="00E22935"/>
    <w:rsid w:val="00E273FF"/>
    <w:rsid w:val="00E31838"/>
    <w:rsid w:val="00E40B0A"/>
    <w:rsid w:val="00E54292"/>
    <w:rsid w:val="00E60191"/>
    <w:rsid w:val="00E60916"/>
    <w:rsid w:val="00E6643D"/>
    <w:rsid w:val="00E74DC7"/>
    <w:rsid w:val="00E8110D"/>
    <w:rsid w:val="00E8208B"/>
    <w:rsid w:val="00E87699"/>
    <w:rsid w:val="00E92E27"/>
    <w:rsid w:val="00E9586B"/>
    <w:rsid w:val="00E97334"/>
    <w:rsid w:val="00EA0D36"/>
    <w:rsid w:val="00EC32D8"/>
    <w:rsid w:val="00ED45D5"/>
    <w:rsid w:val="00ED4928"/>
    <w:rsid w:val="00EE6190"/>
    <w:rsid w:val="00EF2E3A"/>
    <w:rsid w:val="00EF6402"/>
    <w:rsid w:val="00F025DF"/>
    <w:rsid w:val="00F026BC"/>
    <w:rsid w:val="00F047E2"/>
    <w:rsid w:val="00F04D57"/>
    <w:rsid w:val="00F057A4"/>
    <w:rsid w:val="00F078DC"/>
    <w:rsid w:val="00F07971"/>
    <w:rsid w:val="00F13E86"/>
    <w:rsid w:val="00F32FCB"/>
    <w:rsid w:val="00F34B13"/>
    <w:rsid w:val="00F52FF9"/>
    <w:rsid w:val="00F53334"/>
    <w:rsid w:val="00F64327"/>
    <w:rsid w:val="00F6709F"/>
    <w:rsid w:val="00F677A9"/>
    <w:rsid w:val="00F732EA"/>
    <w:rsid w:val="00F84CF5"/>
    <w:rsid w:val="00F8612E"/>
    <w:rsid w:val="00F931AB"/>
    <w:rsid w:val="00F93773"/>
    <w:rsid w:val="00F95A81"/>
    <w:rsid w:val="00FA420B"/>
    <w:rsid w:val="00FB3F66"/>
    <w:rsid w:val="00FC655D"/>
    <w:rsid w:val="00FE0781"/>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95525"/>
    <w:pPr>
      <w:spacing w:line="260" w:lineRule="atLeast"/>
    </w:pPr>
    <w:rPr>
      <w:sz w:val="22"/>
    </w:rPr>
  </w:style>
  <w:style w:type="paragraph" w:styleId="Heading1">
    <w:name w:val="heading 1"/>
    <w:basedOn w:val="Normal"/>
    <w:next w:val="Normal"/>
    <w:link w:val="Heading1Char"/>
    <w:uiPriority w:val="9"/>
    <w:qFormat/>
    <w:rsid w:val="0079552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9552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9552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9552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9552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9552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9552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95525"/>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795525"/>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795525"/>
  </w:style>
  <w:style w:type="paragraph" w:customStyle="1" w:styleId="OPCParaBase">
    <w:name w:val="OPCParaBase"/>
    <w:qFormat/>
    <w:rsid w:val="00795525"/>
    <w:pPr>
      <w:spacing w:line="260" w:lineRule="atLeast"/>
    </w:pPr>
    <w:rPr>
      <w:rFonts w:eastAsia="Times New Roman" w:cs="Times New Roman"/>
      <w:sz w:val="22"/>
      <w:lang w:eastAsia="en-AU"/>
    </w:rPr>
  </w:style>
  <w:style w:type="paragraph" w:customStyle="1" w:styleId="ShortT">
    <w:name w:val="ShortT"/>
    <w:basedOn w:val="OPCParaBase"/>
    <w:next w:val="Normal"/>
    <w:qFormat/>
    <w:rsid w:val="00795525"/>
    <w:pPr>
      <w:spacing w:line="240" w:lineRule="auto"/>
    </w:pPr>
    <w:rPr>
      <w:b/>
      <w:sz w:val="40"/>
    </w:rPr>
  </w:style>
  <w:style w:type="paragraph" w:customStyle="1" w:styleId="ActHead1">
    <w:name w:val="ActHead 1"/>
    <w:aliases w:val="c"/>
    <w:basedOn w:val="OPCParaBase"/>
    <w:next w:val="Normal"/>
    <w:qFormat/>
    <w:rsid w:val="0079552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9552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9552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9552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79552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9552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9552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9552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95525"/>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795525"/>
  </w:style>
  <w:style w:type="paragraph" w:customStyle="1" w:styleId="Blocks">
    <w:name w:val="Blocks"/>
    <w:aliases w:val="bb"/>
    <w:basedOn w:val="OPCParaBase"/>
    <w:qFormat/>
    <w:rsid w:val="00795525"/>
    <w:pPr>
      <w:spacing w:line="240" w:lineRule="auto"/>
    </w:pPr>
    <w:rPr>
      <w:sz w:val="24"/>
    </w:rPr>
  </w:style>
  <w:style w:type="paragraph" w:customStyle="1" w:styleId="BoxText">
    <w:name w:val="BoxText"/>
    <w:aliases w:val="bt"/>
    <w:basedOn w:val="OPCParaBase"/>
    <w:qFormat/>
    <w:rsid w:val="0079552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95525"/>
    <w:rPr>
      <w:b/>
    </w:rPr>
  </w:style>
  <w:style w:type="paragraph" w:customStyle="1" w:styleId="BoxHeadItalic">
    <w:name w:val="BoxHeadItalic"/>
    <w:aliases w:val="bhi"/>
    <w:basedOn w:val="BoxText"/>
    <w:next w:val="BoxStep"/>
    <w:qFormat/>
    <w:rsid w:val="00795525"/>
    <w:rPr>
      <w:i/>
    </w:rPr>
  </w:style>
  <w:style w:type="paragraph" w:customStyle="1" w:styleId="BoxList">
    <w:name w:val="BoxList"/>
    <w:aliases w:val="bl"/>
    <w:basedOn w:val="BoxText"/>
    <w:qFormat/>
    <w:rsid w:val="00795525"/>
    <w:pPr>
      <w:ind w:left="1559" w:hanging="425"/>
    </w:pPr>
  </w:style>
  <w:style w:type="paragraph" w:customStyle="1" w:styleId="BoxNote">
    <w:name w:val="BoxNote"/>
    <w:aliases w:val="bn"/>
    <w:basedOn w:val="BoxText"/>
    <w:qFormat/>
    <w:rsid w:val="00795525"/>
    <w:pPr>
      <w:tabs>
        <w:tab w:val="left" w:pos="1985"/>
      </w:tabs>
      <w:spacing w:before="122" w:line="198" w:lineRule="exact"/>
      <w:ind w:left="2948" w:hanging="1814"/>
    </w:pPr>
    <w:rPr>
      <w:sz w:val="18"/>
    </w:rPr>
  </w:style>
  <w:style w:type="paragraph" w:customStyle="1" w:styleId="BoxPara">
    <w:name w:val="BoxPara"/>
    <w:aliases w:val="bp"/>
    <w:basedOn w:val="BoxText"/>
    <w:qFormat/>
    <w:rsid w:val="00795525"/>
    <w:pPr>
      <w:tabs>
        <w:tab w:val="right" w:pos="2268"/>
      </w:tabs>
      <w:ind w:left="2552" w:hanging="1418"/>
    </w:pPr>
  </w:style>
  <w:style w:type="paragraph" w:customStyle="1" w:styleId="BoxStep">
    <w:name w:val="BoxStep"/>
    <w:aliases w:val="bs"/>
    <w:basedOn w:val="BoxText"/>
    <w:qFormat/>
    <w:rsid w:val="00795525"/>
    <w:pPr>
      <w:ind w:left="1985" w:hanging="851"/>
    </w:pPr>
  </w:style>
  <w:style w:type="character" w:customStyle="1" w:styleId="CharAmPartNo">
    <w:name w:val="CharAmPartNo"/>
    <w:basedOn w:val="OPCCharBase"/>
    <w:qFormat/>
    <w:rsid w:val="00795525"/>
  </w:style>
  <w:style w:type="character" w:customStyle="1" w:styleId="CharAmPartText">
    <w:name w:val="CharAmPartText"/>
    <w:basedOn w:val="OPCCharBase"/>
    <w:qFormat/>
    <w:rsid w:val="00795525"/>
  </w:style>
  <w:style w:type="character" w:customStyle="1" w:styleId="CharAmSchNo">
    <w:name w:val="CharAmSchNo"/>
    <w:basedOn w:val="OPCCharBase"/>
    <w:qFormat/>
    <w:rsid w:val="00795525"/>
  </w:style>
  <w:style w:type="character" w:customStyle="1" w:styleId="CharAmSchText">
    <w:name w:val="CharAmSchText"/>
    <w:basedOn w:val="OPCCharBase"/>
    <w:qFormat/>
    <w:rsid w:val="00795525"/>
  </w:style>
  <w:style w:type="character" w:customStyle="1" w:styleId="CharBoldItalic">
    <w:name w:val="CharBoldItalic"/>
    <w:basedOn w:val="OPCCharBase"/>
    <w:uiPriority w:val="1"/>
    <w:qFormat/>
    <w:rsid w:val="00795525"/>
    <w:rPr>
      <w:b/>
      <w:i/>
    </w:rPr>
  </w:style>
  <w:style w:type="character" w:customStyle="1" w:styleId="CharChapNo">
    <w:name w:val="CharChapNo"/>
    <w:basedOn w:val="OPCCharBase"/>
    <w:uiPriority w:val="1"/>
    <w:qFormat/>
    <w:rsid w:val="00795525"/>
  </w:style>
  <w:style w:type="character" w:customStyle="1" w:styleId="CharChapText">
    <w:name w:val="CharChapText"/>
    <w:basedOn w:val="OPCCharBase"/>
    <w:uiPriority w:val="1"/>
    <w:qFormat/>
    <w:rsid w:val="00795525"/>
  </w:style>
  <w:style w:type="character" w:customStyle="1" w:styleId="CharDivNo">
    <w:name w:val="CharDivNo"/>
    <w:basedOn w:val="OPCCharBase"/>
    <w:uiPriority w:val="1"/>
    <w:qFormat/>
    <w:rsid w:val="00795525"/>
  </w:style>
  <w:style w:type="character" w:customStyle="1" w:styleId="CharDivText">
    <w:name w:val="CharDivText"/>
    <w:basedOn w:val="OPCCharBase"/>
    <w:uiPriority w:val="1"/>
    <w:qFormat/>
    <w:rsid w:val="00795525"/>
  </w:style>
  <w:style w:type="character" w:customStyle="1" w:styleId="CharItalic">
    <w:name w:val="CharItalic"/>
    <w:basedOn w:val="OPCCharBase"/>
    <w:uiPriority w:val="1"/>
    <w:qFormat/>
    <w:rsid w:val="00795525"/>
    <w:rPr>
      <w:i/>
    </w:rPr>
  </w:style>
  <w:style w:type="character" w:customStyle="1" w:styleId="CharPartNo">
    <w:name w:val="CharPartNo"/>
    <w:basedOn w:val="OPCCharBase"/>
    <w:uiPriority w:val="1"/>
    <w:qFormat/>
    <w:rsid w:val="00795525"/>
  </w:style>
  <w:style w:type="character" w:customStyle="1" w:styleId="CharPartText">
    <w:name w:val="CharPartText"/>
    <w:basedOn w:val="OPCCharBase"/>
    <w:uiPriority w:val="1"/>
    <w:qFormat/>
    <w:rsid w:val="00795525"/>
  </w:style>
  <w:style w:type="character" w:customStyle="1" w:styleId="CharSectno">
    <w:name w:val="CharSectno"/>
    <w:basedOn w:val="OPCCharBase"/>
    <w:qFormat/>
    <w:rsid w:val="00795525"/>
  </w:style>
  <w:style w:type="character" w:customStyle="1" w:styleId="CharSubdNo">
    <w:name w:val="CharSubdNo"/>
    <w:basedOn w:val="OPCCharBase"/>
    <w:uiPriority w:val="1"/>
    <w:qFormat/>
    <w:rsid w:val="00795525"/>
  </w:style>
  <w:style w:type="character" w:customStyle="1" w:styleId="CharSubdText">
    <w:name w:val="CharSubdText"/>
    <w:basedOn w:val="OPCCharBase"/>
    <w:uiPriority w:val="1"/>
    <w:qFormat/>
    <w:rsid w:val="00795525"/>
  </w:style>
  <w:style w:type="paragraph" w:customStyle="1" w:styleId="CTA--">
    <w:name w:val="CTA --"/>
    <w:basedOn w:val="OPCParaBase"/>
    <w:next w:val="Normal"/>
    <w:rsid w:val="00795525"/>
    <w:pPr>
      <w:spacing w:before="60" w:line="240" w:lineRule="atLeast"/>
      <w:ind w:left="142" w:hanging="142"/>
    </w:pPr>
    <w:rPr>
      <w:sz w:val="20"/>
    </w:rPr>
  </w:style>
  <w:style w:type="paragraph" w:customStyle="1" w:styleId="CTA-">
    <w:name w:val="CTA -"/>
    <w:basedOn w:val="OPCParaBase"/>
    <w:rsid w:val="00795525"/>
    <w:pPr>
      <w:spacing w:before="60" w:line="240" w:lineRule="atLeast"/>
      <w:ind w:left="85" w:hanging="85"/>
    </w:pPr>
    <w:rPr>
      <w:sz w:val="20"/>
    </w:rPr>
  </w:style>
  <w:style w:type="paragraph" w:customStyle="1" w:styleId="CTA---">
    <w:name w:val="CTA ---"/>
    <w:basedOn w:val="OPCParaBase"/>
    <w:next w:val="Normal"/>
    <w:rsid w:val="00795525"/>
    <w:pPr>
      <w:spacing w:before="60" w:line="240" w:lineRule="atLeast"/>
      <w:ind w:left="198" w:hanging="198"/>
    </w:pPr>
    <w:rPr>
      <w:sz w:val="20"/>
    </w:rPr>
  </w:style>
  <w:style w:type="paragraph" w:customStyle="1" w:styleId="CTA----">
    <w:name w:val="CTA ----"/>
    <w:basedOn w:val="OPCParaBase"/>
    <w:next w:val="Normal"/>
    <w:rsid w:val="00795525"/>
    <w:pPr>
      <w:spacing w:before="60" w:line="240" w:lineRule="atLeast"/>
      <w:ind w:left="255" w:hanging="255"/>
    </w:pPr>
    <w:rPr>
      <w:sz w:val="20"/>
    </w:rPr>
  </w:style>
  <w:style w:type="paragraph" w:customStyle="1" w:styleId="CTA1a">
    <w:name w:val="CTA 1(a)"/>
    <w:basedOn w:val="OPCParaBase"/>
    <w:rsid w:val="00795525"/>
    <w:pPr>
      <w:tabs>
        <w:tab w:val="right" w:pos="414"/>
      </w:tabs>
      <w:spacing w:before="40" w:line="240" w:lineRule="atLeast"/>
      <w:ind w:left="675" w:hanging="675"/>
    </w:pPr>
    <w:rPr>
      <w:sz w:val="20"/>
    </w:rPr>
  </w:style>
  <w:style w:type="paragraph" w:customStyle="1" w:styleId="CTA1ai">
    <w:name w:val="CTA 1(a)(i)"/>
    <w:basedOn w:val="OPCParaBase"/>
    <w:rsid w:val="00795525"/>
    <w:pPr>
      <w:tabs>
        <w:tab w:val="right" w:pos="1004"/>
      </w:tabs>
      <w:spacing w:before="40" w:line="240" w:lineRule="atLeast"/>
      <w:ind w:left="1253" w:hanging="1253"/>
    </w:pPr>
    <w:rPr>
      <w:sz w:val="20"/>
    </w:rPr>
  </w:style>
  <w:style w:type="paragraph" w:customStyle="1" w:styleId="CTA2a">
    <w:name w:val="CTA 2(a)"/>
    <w:basedOn w:val="OPCParaBase"/>
    <w:rsid w:val="00795525"/>
    <w:pPr>
      <w:tabs>
        <w:tab w:val="right" w:pos="482"/>
      </w:tabs>
      <w:spacing w:before="40" w:line="240" w:lineRule="atLeast"/>
      <w:ind w:left="748" w:hanging="748"/>
    </w:pPr>
    <w:rPr>
      <w:sz w:val="20"/>
    </w:rPr>
  </w:style>
  <w:style w:type="paragraph" w:customStyle="1" w:styleId="CTA2ai">
    <w:name w:val="CTA 2(a)(i)"/>
    <w:basedOn w:val="OPCParaBase"/>
    <w:rsid w:val="00795525"/>
    <w:pPr>
      <w:tabs>
        <w:tab w:val="right" w:pos="1089"/>
      </w:tabs>
      <w:spacing w:before="40" w:line="240" w:lineRule="atLeast"/>
      <w:ind w:left="1327" w:hanging="1327"/>
    </w:pPr>
    <w:rPr>
      <w:sz w:val="20"/>
    </w:rPr>
  </w:style>
  <w:style w:type="paragraph" w:customStyle="1" w:styleId="CTA3a">
    <w:name w:val="CTA 3(a)"/>
    <w:basedOn w:val="OPCParaBase"/>
    <w:rsid w:val="00795525"/>
    <w:pPr>
      <w:tabs>
        <w:tab w:val="right" w:pos="556"/>
      </w:tabs>
      <w:spacing w:before="40" w:line="240" w:lineRule="atLeast"/>
      <w:ind w:left="805" w:hanging="805"/>
    </w:pPr>
    <w:rPr>
      <w:sz w:val="20"/>
    </w:rPr>
  </w:style>
  <w:style w:type="paragraph" w:customStyle="1" w:styleId="CTA3ai">
    <w:name w:val="CTA 3(a)(i)"/>
    <w:basedOn w:val="OPCParaBase"/>
    <w:rsid w:val="00795525"/>
    <w:pPr>
      <w:tabs>
        <w:tab w:val="right" w:pos="1140"/>
      </w:tabs>
      <w:spacing w:before="40" w:line="240" w:lineRule="atLeast"/>
      <w:ind w:left="1361" w:hanging="1361"/>
    </w:pPr>
    <w:rPr>
      <w:sz w:val="20"/>
    </w:rPr>
  </w:style>
  <w:style w:type="paragraph" w:customStyle="1" w:styleId="CTA4a">
    <w:name w:val="CTA 4(a)"/>
    <w:basedOn w:val="OPCParaBase"/>
    <w:rsid w:val="00795525"/>
    <w:pPr>
      <w:tabs>
        <w:tab w:val="right" w:pos="624"/>
      </w:tabs>
      <w:spacing w:before="40" w:line="240" w:lineRule="atLeast"/>
      <w:ind w:left="873" w:hanging="873"/>
    </w:pPr>
    <w:rPr>
      <w:sz w:val="20"/>
    </w:rPr>
  </w:style>
  <w:style w:type="paragraph" w:customStyle="1" w:styleId="CTA4ai">
    <w:name w:val="CTA 4(a)(i)"/>
    <w:basedOn w:val="OPCParaBase"/>
    <w:rsid w:val="00795525"/>
    <w:pPr>
      <w:tabs>
        <w:tab w:val="right" w:pos="1213"/>
      </w:tabs>
      <w:spacing w:before="40" w:line="240" w:lineRule="atLeast"/>
      <w:ind w:left="1452" w:hanging="1452"/>
    </w:pPr>
    <w:rPr>
      <w:sz w:val="20"/>
    </w:rPr>
  </w:style>
  <w:style w:type="paragraph" w:customStyle="1" w:styleId="CTACAPS">
    <w:name w:val="CTA CAPS"/>
    <w:basedOn w:val="OPCParaBase"/>
    <w:rsid w:val="00795525"/>
    <w:pPr>
      <w:spacing w:before="60" w:line="240" w:lineRule="atLeast"/>
    </w:pPr>
    <w:rPr>
      <w:sz w:val="20"/>
    </w:rPr>
  </w:style>
  <w:style w:type="paragraph" w:customStyle="1" w:styleId="CTAright">
    <w:name w:val="CTA right"/>
    <w:basedOn w:val="OPCParaBase"/>
    <w:rsid w:val="00795525"/>
    <w:pPr>
      <w:spacing w:before="60" w:line="240" w:lineRule="auto"/>
      <w:jc w:val="right"/>
    </w:pPr>
    <w:rPr>
      <w:sz w:val="20"/>
    </w:rPr>
  </w:style>
  <w:style w:type="paragraph" w:customStyle="1" w:styleId="subsection">
    <w:name w:val="subsection"/>
    <w:aliases w:val="ss,Subsection"/>
    <w:basedOn w:val="OPCParaBase"/>
    <w:link w:val="subsectionChar"/>
    <w:rsid w:val="00795525"/>
    <w:pPr>
      <w:tabs>
        <w:tab w:val="right" w:pos="1021"/>
      </w:tabs>
      <w:spacing w:before="180" w:line="240" w:lineRule="auto"/>
      <w:ind w:left="1134" w:hanging="1134"/>
    </w:pPr>
  </w:style>
  <w:style w:type="paragraph" w:customStyle="1" w:styleId="Definition">
    <w:name w:val="Definition"/>
    <w:aliases w:val="dd"/>
    <w:basedOn w:val="OPCParaBase"/>
    <w:rsid w:val="00795525"/>
    <w:pPr>
      <w:spacing w:before="180" w:line="240" w:lineRule="auto"/>
      <w:ind w:left="1134"/>
    </w:pPr>
  </w:style>
  <w:style w:type="paragraph" w:customStyle="1" w:styleId="ETAsubitem">
    <w:name w:val="ETA(subitem)"/>
    <w:basedOn w:val="OPCParaBase"/>
    <w:rsid w:val="00795525"/>
    <w:pPr>
      <w:tabs>
        <w:tab w:val="right" w:pos="340"/>
      </w:tabs>
      <w:spacing w:before="60" w:line="240" w:lineRule="auto"/>
      <w:ind w:left="454" w:hanging="454"/>
    </w:pPr>
    <w:rPr>
      <w:sz w:val="20"/>
    </w:rPr>
  </w:style>
  <w:style w:type="paragraph" w:customStyle="1" w:styleId="ETApara">
    <w:name w:val="ETA(para)"/>
    <w:basedOn w:val="OPCParaBase"/>
    <w:rsid w:val="00795525"/>
    <w:pPr>
      <w:tabs>
        <w:tab w:val="right" w:pos="754"/>
      </w:tabs>
      <w:spacing w:before="60" w:line="240" w:lineRule="auto"/>
      <w:ind w:left="828" w:hanging="828"/>
    </w:pPr>
    <w:rPr>
      <w:sz w:val="20"/>
    </w:rPr>
  </w:style>
  <w:style w:type="paragraph" w:customStyle="1" w:styleId="ETAsubpara">
    <w:name w:val="ETA(subpara)"/>
    <w:basedOn w:val="OPCParaBase"/>
    <w:rsid w:val="00795525"/>
    <w:pPr>
      <w:tabs>
        <w:tab w:val="right" w:pos="1083"/>
      </w:tabs>
      <w:spacing w:before="60" w:line="240" w:lineRule="auto"/>
      <w:ind w:left="1191" w:hanging="1191"/>
    </w:pPr>
    <w:rPr>
      <w:sz w:val="20"/>
    </w:rPr>
  </w:style>
  <w:style w:type="paragraph" w:customStyle="1" w:styleId="ETAsub-subpara">
    <w:name w:val="ETA(sub-subpara)"/>
    <w:basedOn w:val="OPCParaBase"/>
    <w:rsid w:val="00795525"/>
    <w:pPr>
      <w:tabs>
        <w:tab w:val="right" w:pos="1412"/>
      </w:tabs>
      <w:spacing w:before="60" w:line="240" w:lineRule="auto"/>
      <w:ind w:left="1525" w:hanging="1525"/>
    </w:pPr>
    <w:rPr>
      <w:sz w:val="20"/>
    </w:rPr>
  </w:style>
  <w:style w:type="paragraph" w:customStyle="1" w:styleId="Formula">
    <w:name w:val="Formula"/>
    <w:basedOn w:val="OPCParaBase"/>
    <w:rsid w:val="00795525"/>
    <w:pPr>
      <w:spacing w:line="240" w:lineRule="auto"/>
      <w:ind w:left="1134"/>
    </w:pPr>
    <w:rPr>
      <w:sz w:val="20"/>
    </w:rPr>
  </w:style>
  <w:style w:type="paragraph" w:styleId="Header">
    <w:name w:val="header"/>
    <w:basedOn w:val="OPCParaBase"/>
    <w:link w:val="HeaderChar"/>
    <w:unhideWhenUsed/>
    <w:rsid w:val="00795525"/>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795525"/>
    <w:rPr>
      <w:rFonts w:eastAsia="Times New Roman" w:cs="Times New Roman"/>
      <w:sz w:val="16"/>
      <w:lang w:eastAsia="en-AU"/>
    </w:rPr>
  </w:style>
  <w:style w:type="paragraph" w:customStyle="1" w:styleId="House">
    <w:name w:val="House"/>
    <w:basedOn w:val="OPCParaBase"/>
    <w:rsid w:val="00795525"/>
    <w:pPr>
      <w:spacing w:line="240" w:lineRule="auto"/>
    </w:pPr>
    <w:rPr>
      <w:sz w:val="28"/>
    </w:rPr>
  </w:style>
  <w:style w:type="paragraph" w:customStyle="1" w:styleId="Item">
    <w:name w:val="Item"/>
    <w:aliases w:val="i"/>
    <w:basedOn w:val="OPCParaBase"/>
    <w:next w:val="ItemHead"/>
    <w:rsid w:val="00795525"/>
    <w:pPr>
      <w:keepLines/>
      <w:spacing w:before="80" w:line="240" w:lineRule="auto"/>
      <w:ind w:left="709"/>
    </w:pPr>
  </w:style>
  <w:style w:type="paragraph" w:customStyle="1" w:styleId="ItemHead">
    <w:name w:val="ItemHead"/>
    <w:aliases w:val="ih"/>
    <w:basedOn w:val="OPCParaBase"/>
    <w:next w:val="Item"/>
    <w:rsid w:val="0079552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795525"/>
    <w:pPr>
      <w:spacing w:line="240" w:lineRule="auto"/>
    </w:pPr>
    <w:rPr>
      <w:b/>
      <w:sz w:val="32"/>
    </w:rPr>
  </w:style>
  <w:style w:type="paragraph" w:customStyle="1" w:styleId="notedraft">
    <w:name w:val="note(draft)"/>
    <w:aliases w:val="nd"/>
    <w:basedOn w:val="OPCParaBase"/>
    <w:rsid w:val="00795525"/>
    <w:pPr>
      <w:spacing w:before="240" w:line="240" w:lineRule="auto"/>
      <w:ind w:left="284" w:hanging="284"/>
    </w:pPr>
    <w:rPr>
      <w:i/>
      <w:sz w:val="24"/>
    </w:rPr>
  </w:style>
  <w:style w:type="paragraph" w:customStyle="1" w:styleId="notemargin">
    <w:name w:val="note(margin)"/>
    <w:aliases w:val="nm"/>
    <w:basedOn w:val="OPCParaBase"/>
    <w:rsid w:val="00795525"/>
    <w:pPr>
      <w:tabs>
        <w:tab w:val="left" w:pos="709"/>
      </w:tabs>
      <w:spacing w:before="122" w:line="198" w:lineRule="exact"/>
      <w:ind w:left="709" w:hanging="709"/>
    </w:pPr>
    <w:rPr>
      <w:sz w:val="18"/>
    </w:rPr>
  </w:style>
  <w:style w:type="paragraph" w:customStyle="1" w:styleId="noteToPara">
    <w:name w:val="noteToPara"/>
    <w:aliases w:val="ntp"/>
    <w:basedOn w:val="OPCParaBase"/>
    <w:rsid w:val="00795525"/>
    <w:pPr>
      <w:spacing w:before="122" w:line="198" w:lineRule="exact"/>
      <w:ind w:left="2353" w:hanging="709"/>
    </w:pPr>
    <w:rPr>
      <w:sz w:val="18"/>
    </w:rPr>
  </w:style>
  <w:style w:type="paragraph" w:customStyle="1" w:styleId="noteParlAmend">
    <w:name w:val="note(ParlAmend)"/>
    <w:aliases w:val="npp"/>
    <w:basedOn w:val="OPCParaBase"/>
    <w:next w:val="ParlAmend"/>
    <w:rsid w:val="00795525"/>
    <w:pPr>
      <w:spacing w:line="240" w:lineRule="auto"/>
      <w:jc w:val="right"/>
    </w:pPr>
    <w:rPr>
      <w:rFonts w:ascii="Arial" w:hAnsi="Arial"/>
      <w:b/>
      <w:i/>
    </w:rPr>
  </w:style>
  <w:style w:type="paragraph" w:customStyle="1" w:styleId="Page1">
    <w:name w:val="Page1"/>
    <w:basedOn w:val="OPCParaBase"/>
    <w:rsid w:val="00795525"/>
    <w:pPr>
      <w:spacing w:before="5600" w:line="240" w:lineRule="auto"/>
    </w:pPr>
    <w:rPr>
      <w:b/>
      <w:sz w:val="32"/>
    </w:rPr>
  </w:style>
  <w:style w:type="paragraph" w:customStyle="1" w:styleId="PageBreak">
    <w:name w:val="PageBreak"/>
    <w:aliases w:val="pb"/>
    <w:basedOn w:val="OPCParaBase"/>
    <w:rsid w:val="00795525"/>
    <w:pPr>
      <w:spacing w:line="240" w:lineRule="auto"/>
    </w:pPr>
    <w:rPr>
      <w:sz w:val="20"/>
    </w:rPr>
  </w:style>
  <w:style w:type="paragraph" w:customStyle="1" w:styleId="paragraphsub">
    <w:name w:val="paragraph(sub)"/>
    <w:aliases w:val="aa"/>
    <w:basedOn w:val="OPCParaBase"/>
    <w:rsid w:val="00795525"/>
    <w:pPr>
      <w:tabs>
        <w:tab w:val="right" w:pos="1985"/>
      </w:tabs>
      <w:spacing w:before="40" w:line="240" w:lineRule="auto"/>
      <w:ind w:left="2098" w:hanging="2098"/>
    </w:pPr>
  </w:style>
  <w:style w:type="paragraph" w:customStyle="1" w:styleId="paragraphsub-sub">
    <w:name w:val="paragraph(sub-sub)"/>
    <w:aliases w:val="aaa"/>
    <w:basedOn w:val="OPCParaBase"/>
    <w:rsid w:val="00795525"/>
    <w:pPr>
      <w:tabs>
        <w:tab w:val="right" w:pos="2722"/>
      </w:tabs>
      <w:spacing w:before="40" w:line="240" w:lineRule="auto"/>
      <w:ind w:left="2835" w:hanging="2835"/>
    </w:pPr>
  </w:style>
  <w:style w:type="paragraph" w:customStyle="1" w:styleId="paragraph">
    <w:name w:val="paragraph"/>
    <w:aliases w:val="a"/>
    <w:basedOn w:val="OPCParaBase"/>
    <w:rsid w:val="00795525"/>
    <w:pPr>
      <w:tabs>
        <w:tab w:val="right" w:pos="1531"/>
      </w:tabs>
      <w:spacing w:before="40" w:line="240" w:lineRule="auto"/>
      <w:ind w:left="1644" w:hanging="1644"/>
    </w:pPr>
  </w:style>
  <w:style w:type="paragraph" w:customStyle="1" w:styleId="ParlAmend">
    <w:name w:val="ParlAmend"/>
    <w:aliases w:val="pp"/>
    <w:basedOn w:val="OPCParaBase"/>
    <w:rsid w:val="00795525"/>
    <w:pPr>
      <w:spacing w:before="240" w:line="240" w:lineRule="atLeast"/>
      <w:ind w:hanging="567"/>
    </w:pPr>
    <w:rPr>
      <w:sz w:val="24"/>
    </w:rPr>
  </w:style>
  <w:style w:type="paragraph" w:customStyle="1" w:styleId="Penalty">
    <w:name w:val="Penalty"/>
    <w:basedOn w:val="OPCParaBase"/>
    <w:rsid w:val="00795525"/>
    <w:pPr>
      <w:tabs>
        <w:tab w:val="left" w:pos="2977"/>
      </w:tabs>
      <w:spacing w:before="180" w:line="240" w:lineRule="auto"/>
      <w:ind w:left="1985" w:hanging="851"/>
    </w:pPr>
  </w:style>
  <w:style w:type="paragraph" w:customStyle="1" w:styleId="Portfolio">
    <w:name w:val="Portfolio"/>
    <w:basedOn w:val="OPCParaBase"/>
    <w:rsid w:val="00795525"/>
    <w:pPr>
      <w:spacing w:line="240" w:lineRule="auto"/>
    </w:pPr>
    <w:rPr>
      <w:i/>
      <w:sz w:val="20"/>
    </w:rPr>
  </w:style>
  <w:style w:type="paragraph" w:customStyle="1" w:styleId="Preamble">
    <w:name w:val="Preamble"/>
    <w:basedOn w:val="OPCParaBase"/>
    <w:next w:val="Normal"/>
    <w:rsid w:val="0079552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95525"/>
    <w:pPr>
      <w:spacing w:line="240" w:lineRule="auto"/>
    </w:pPr>
    <w:rPr>
      <w:i/>
      <w:sz w:val="20"/>
    </w:rPr>
  </w:style>
  <w:style w:type="paragraph" w:customStyle="1" w:styleId="Session">
    <w:name w:val="Session"/>
    <w:basedOn w:val="OPCParaBase"/>
    <w:rsid w:val="00795525"/>
    <w:pPr>
      <w:spacing w:line="240" w:lineRule="auto"/>
    </w:pPr>
    <w:rPr>
      <w:sz w:val="28"/>
    </w:rPr>
  </w:style>
  <w:style w:type="paragraph" w:customStyle="1" w:styleId="Sponsor">
    <w:name w:val="Sponsor"/>
    <w:basedOn w:val="OPCParaBase"/>
    <w:rsid w:val="00795525"/>
    <w:pPr>
      <w:spacing w:line="240" w:lineRule="auto"/>
    </w:pPr>
    <w:rPr>
      <w:i/>
    </w:rPr>
  </w:style>
  <w:style w:type="paragraph" w:customStyle="1" w:styleId="Subitem">
    <w:name w:val="Subitem"/>
    <w:aliases w:val="iss"/>
    <w:basedOn w:val="OPCParaBase"/>
    <w:rsid w:val="00795525"/>
    <w:pPr>
      <w:spacing w:before="180" w:line="240" w:lineRule="auto"/>
      <w:ind w:left="709" w:hanging="709"/>
    </w:pPr>
  </w:style>
  <w:style w:type="paragraph" w:customStyle="1" w:styleId="SubitemHead">
    <w:name w:val="SubitemHead"/>
    <w:aliases w:val="issh"/>
    <w:basedOn w:val="OPCParaBase"/>
    <w:rsid w:val="0079552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95525"/>
    <w:pPr>
      <w:spacing w:before="40" w:line="240" w:lineRule="auto"/>
      <w:ind w:left="1134"/>
    </w:pPr>
  </w:style>
  <w:style w:type="paragraph" w:customStyle="1" w:styleId="SubsectionHead">
    <w:name w:val="SubsectionHead"/>
    <w:aliases w:val="ssh"/>
    <w:basedOn w:val="OPCParaBase"/>
    <w:next w:val="subsection"/>
    <w:rsid w:val="00795525"/>
    <w:pPr>
      <w:keepNext/>
      <w:keepLines/>
      <w:spacing w:before="240" w:line="240" w:lineRule="auto"/>
      <w:ind w:left="1134"/>
    </w:pPr>
    <w:rPr>
      <w:i/>
    </w:rPr>
  </w:style>
  <w:style w:type="paragraph" w:customStyle="1" w:styleId="Tablea">
    <w:name w:val="Table(a)"/>
    <w:aliases w:val="ta"/>
    <w:basedOn w:val="OPCParaBase"/>
    <w:rsid w:val="00795525"/>
    <w:pPr>
      <w:spacing w:before="60" w:line="240" w:lineRule="auto"/>
      <w:ind w:left="284" w:hanging="284"/>
    </w:pPr>
    <w:rPr>
      <w:sz w:val="20"/>
    </w:rPr>
  </w:style>
  <w:style w:type="paragraph" w:customStyle="1" w:styleId="TableAA">
    <w:name w:val="Table(AA)"/>
    <w:aliases w:val="taaa"/>
    <w:basedOn w:val="OPCParaBase"/>
    <w:rsid w:val="0079552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79552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795525"/>
    <w:pPr>
      <w:spacing w:before="60" w:line="240" w:lineRule="atLeast"/>
    </w:pPr>
    <w:rPr>
      <w:sz w:val="20"/>
    </w:rPr>
  </w:style>
  <w:style w:type="paragraph" w:customStyle="1" w:styleId="TLPBoxTextnote">
    <w:name w:val="TLPBoxText(note"/>
    <w:aliases w:val="right)"/>
    <w:basedOn w:val="OPCParaBase"/>
    <w:rsid w:val="0079552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95525"/>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95525"/>
    <w:pPr>
      <w:spacing w:before="122" w:line="198" w:lineRule="exact"/>
      <w:ind w:left="1985" w:hanging="851"/>
      <w:jc w:val="right"/>
    </w:pPr>
    <w:rPr>
      <w:sz w:val="18"/>
    </w:rPr>
  </w:style>
  <w:style w:type="paragraph" w:customStyle="1" w:styleId="TLPTableBullet">
    <w:name w:val="TLPTableBullet"/>
    <w:aliases w:val="ttb"/>
    <w:basedOn w:val="OPCParaBase"/>
    <w:rsid w:val="00795525"/>
    <w:pPr>
      <w:spacing w:line="240" w:lineRule="exact"/>
      <w:ind w:left="284" w:hanging="284"/>
    </w:pPr>
    <w:rPr>
      <w:sz w:val="20"/>
    </w:rPr>
  </w:style>
  <w:style w:type="paragraph" w:styleId="TOC1">
    <w:name w:val="toc 1"/>
    <w:basedOn w:val="Normal"/>
    <w:next w:val="Normal"/>
    <w:uiPriority w:val="39"/>
    <w:unhideWhenUsed/>
    <w:rsid w:val="00795525"/>
    <w:pPr>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795525"/>
    <w:pPr>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semiHidden/>
    <w:unhideWhenUsed/>
    <w:rsid w:val="00795525"/>
    <w:pPr>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OPCParaBase"/>
    <w:next w:val="Normal"/>
    <w:uiPriority w:val="39"/>
    <w:semiHidden/>
    <w:unhideWhenUsed/>
    <w:rsid w:val="00795525"/>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795525"/>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795525"/>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795525"/>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795525"/>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795525"/>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795525"/>
    <w:pPr>
      <w:keepLines/>
      <w:spacing w:before="240" w:after="120" w:line="240" w:lineRule="auto"/>
      <w:ind w:left="794"/>
    </w:pPr>
    <w:rPr>
      <w:b/>
      <w:kern w:val="28"/>
      <w:sz w:val="20"/>
    </w:rPr>
  </w:style>
  <w:style w:type="paragraph" w:customStyle="1" w:styleId="TofSectsHeading">
    <w:name w:val="TofSects(Heading)"/>
    <w:basedOn w:val="OPCParaBase"/>
    <w:rsid w:val="00795525"/>
    <w:pPr>
      <w:spacing w:before="240" w:after="120" w:line="240" w:lineRule="auto"/>
    </w:pPr>
    <w:rPr>
      <w:b/>
      <w:sz w:val="24"/>
    </w:rPr>
  </w:style>
  <w:style w:type="paragraph" w:customStyle="1" w:styleId="TofSectsSection">
    <w:name w:val="TofSects(Section)"/>
    <w:basedOn w:val="OPCParaBase"/>
    <w:rsid w:val="00795525"/>
    <w:pPr>
      <w:keepLines/>
      <w:spacing w:before="40" w:line="240" w:lineRule="auto"/>
      <w:ind w:left="1588" w:hanging="794"/>
    </w:pPr>
    <w:rPr>
      <w:kern w:val="28"/>
      <w:sz w:val="18"/>
    </w:rPr>
  </w:style>
  <w:style w:type="paragraph" w:customStyle="1" w:styleId="TofSectsSubdiv">
    <w:name w:val="TofSects(Subdiv)"/>
    <w:basedOn w:val="OPCParaBase"/>
    <w:rsid w:val="00795525"/>
    <w:pPr>
      <w:keepLines/>
      <w:spacing w:before="80" w:line="240" w:lineRule="auto"/>
      <w:ind w:left="1588" w:hanging="794"/>
    </w:pPr>
    <w:rPr>
      <w:kern w:val="28"/>
    </w:rPr>
  </w:style>
  <w:style w:type="paragraph" w:customStyle="1" w:styleId="WRStyle">
    <w:name w:val="WR Style"/>
    <w:aliases w:val="WR"/>
    <w:basedOn w:val="OPCParaBase"/>
    <w:rsid w:val="00795525"/>
    <w:pPr>
      <w:spacing w:before="240" w:line="240" w:lineRule="auto"/>
      <w:ind w:left="284" w:hanging="284"/>
    </w:pPr>
    <w:rPr>
      <w:b/>
      <w:i/>
      <w:kern w:val="28"/>
      <w:sz w:val="24"/>
    </w:rPr>
  </w:style>
  <w:style w:type="paragraph" w:customStyle="1" w:styleId="notepara">
    <w:name w:val="note(para)"/>
    <w:aliases w:val="na"/>
    <w:basedOn w:val="OPCParaBase"/>
    <w:rsid w:val="00795525"/>
    <w:pPr>
      <w:spacing w:before="40" w:line="198" w:lineRule="exact"/>
      <w:ind w:left="2354" w:hanging="369"/>
    </w:pPr>
    <w:rPr>
      <w:sz w:val="18"/>
    </w:rPr>
  </w:style>
  <w:style w:type="paragraph" w:styleId="Footer">
    <w:name w:val="footer"/>
    <w:link w:val="FooterChar"/>
    <w:rsid w:val="00795525"/>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95525"/>
    <w:rPr>
      <w:rFonts w:eastAsia="Times New Roman" w:cs="Times New Roman"/>
      <w:sz w:val="22"/>
      <w:szCs w:val="24"/>
      <w:lang w:eastAsia="en-AU"/>
    </w:rPr>
  </w:style>
  <w:style w:type="character" w:styleId="LineNumber">
    <w:name w:val="line number"/>
    <w:basedOn w:val="OPCCharBase"/>
    <w:uiPriority w:val="99"/>
    <w:semiHidden/>
    <w:unhideWhenUsed/>
    <w:rsid w:val="00795525"/>
    <w:rPr>
      <w:sz w:val="16"/>
    </w:rPr>
  </w:style>
  <w:style w:type="table" w:customStyle="1" w:styleId="CFlag">
    <w:name w:val="CFlag"/>
    <w:basedOn w:val="TableNormal"/>
    <w:uiPriority w:val="99"/>
    <w:rsid w:val="00795525"/>
    <w:rPr>
      <w:rFonts w:eastAsia="Times New Roman" w:cs="Times New Roman"/>
      <w:lang w:eastAsia="en-AU"/>
    </w:rPr>
    <w:tblPr/>
  </w:style>
  <w:style w:type="paragraph" w:styleId="BalloonText">
    <w:name w:val="Balloon Text"/>
    <w:basedOn w:val="Normal"/>
    <w:link w:val="BalloonTextChar"/>
    <w:uiPriority w:val="99"/>
    <w:semiHidden/>
    <w:unhideWhenUsed/>
    <w:rsid w:val="0079552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525"/>
    <w:rPr>
      <w:rFonts w:ascii="Tahoma" w:hAnsi="Tahoma" w:cs="Tahoma"/>
      <w:sz w:val="16"/>
      <w:szCs w:val="16"/>
    </w:rPr>
  </w:style>
  <w:style w:type="table" w:styleId="TableGrid">
    <w:name w:val="Table Grid"/>
    <w:basedOn w:val="TableNormal"/>
    <w:uiPriority w:val="59"/>
    <w:rsid w:val="007955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795525"/>
    <w:rPr>
      <w:b/>
      <w:sz w:val="28"/>
      <w:szCs w:val="32"/>
    </w:rPr>
  </w:style>
  <w:style w:type="paragraph" w:customStyle="1" w:styleId="LegislationMadeUnder">
    <w:name w:val="LegislationMadeUnder"/>
    <w:basedOn w:val="OPCParaBase"/>
    <w:next w:val="Normal"/>
    <w:rsid w:val="00795525"/>
    <w:rPr>
      <w:i/>
      <w:sz w:val="32"/>
      <w:szCs w:val="32"/>
    </w:rPr>
  </w:style>
  <w:style w:type="paragraph" w:customStyle="1" w:styleId="SignCoverPageEnd">
    <w:name w:val="SignCoverPageEnd"/>
    <w:basedOn w:val="OPCParaBase"/>
    <w:next w:val="Normal"/>
    <w:rsid w:val="00795525"/>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795525"/>
    <w:pPr>
      <w:pBdr>
        <w:top w:val="single" w:sz="4" w:space="1" w:color="auto"/>
      </w:pBdr>
      <w:spacing w:before="360"/>
      <w:ind w:right="397"/>
      <w:jc w:val="both"/>
    </w:pPr>
  </w:style>
  <w:style w:type="paragraph" w:customStyle="1" w:styleId="NotesHeading1">
    <w:name w:val="NotesHeading 1"/>
    <w:basedOn w:val="OPCParaBase"/>
    <w:next w:val="Normal"/>
    <w:rsid w:val="00795525"/>
    <w:rPr>
      <w:b/>
      <w:sz w:val="28"/>
      <w:szCs w:val="28"/>
    </w:rPr>
  </w:style>
  <w:style w:type="paragraph" w:customStyle="1" w:styleId="NotesHeading2">
    <w:name w:val="NotesHeading 2"/>
    <w:basedOn w:val="OPCParaBase"/>
    <w:next w:val="Normal"/>
    <w:rsid w:val="00795525"/>
    <w:rPr>
      <w:b/>
      <w:sz w:val="28"/>
      <w:szCs w:val="28"/>
    </w:rPr>
  </w:style>
  <w:style w:type="paragraph" w:customStyle="1" w:styleId="ENotesText">
    <w:name w:val="ENotesText"/>
    <w:aliases w:val="Ent"/>
    <w:basedOn w:val="OPCParaBase"/>
    <w:next w:val="Normal"/>
    <w:rsid w:val="00795525"/>
    <w:pPr>
      <w:spacing w:before="120"/>
    </w:pPr>
  </w:style>
  <w:style w:type="paragraph" w:customStyle="1" w:styleId="CompiledActNo">
    <w:name w:val="CompiledActNo"/>
    <w:basedOn w:val="OPCParaBase"/>
    <w:next w:val="Normal"/>
    <w:rsid w:val="00795525"/>
    <w:rPr>
      <w:b/>
      <w:sz w:val="24"/>
      <w:szCs w:val="24"/>
    </w:rPr>
  </w:style>
  <w:style w:type="paragraph" w:customStyle="1" w:styleId="CompiledMadeUnder">
    <w:name w:val="CompiledMadeUnder"/>
    <w:basedOn w:val="OPCParaBase"/>
    <w:next w:val="Normal"/>
    <w:rsid w:val="00795525"/>
    <w:rPr>
      <w:i/>
      <w:sz w:val="24"/>
      <w:szCs w:val="24"/>
    </w:rPr>
  </w:style>
  <w:style w:type="paragraph" w:customStyle="1" w:styleId="Paragraphsub-sub-sub">
    <w:name w:val="Paragraph(sub-sub-sub)"/>
    <w:aliases w:val="aaaa"/>
    <w:basedOn w:val="OPCParaBase"/>
    <w:rsid w:val="00795525"/>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79552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9552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9552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95525"/>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795525"/>
    <w:pPr>
      <w:spacing w:before="60" w:line="240" w:lineRule="auto"/>
    </w:pPr>
    <w:rPr>
      <w:rFonts w:cs="Arial"/>
      <w:sz w:val="20"/>
      <w:szCs w:val="22"/>
    </w:rPr>
  </w:style>
  <w:style w:type="paragraph" w:customStyle="1" w:styleId="NoteToSubpara">
    <w:name w:val="NoteToSubpara"/>
    <w:aliases w:val="nts"/>
    <w:basedOn w:val="OPCParaBase"/>
    <w:rsid w:val="00795525"/>
    <w:pPr>
      <w:spacing w:before="40" w:line="198" w:lineRule="exact"/>
      <w:ind w:left="2835" w:hanging="709"/>
    </w:pPr>
    <w:rPr>
      <w:sz w:val="18"/>
    </w:rPr>
  </w:style>
  <w:style w:type="paragraph" w:customStyle="1" w:styleId="ENoteTableHeading">
    <w:name w:val="ENoteTableHeading"/>
    <w:aliases w:val="enth"/>
    <w:basedOn w:val="OPCParaBase"/>
    <w:rsid w:val="00795525"/>
    <w:pPr>
      <w:keepNext/>
      <w:spacing w:before="60" w:line="240" w:lineRule="atLeast"/>
    </w:pPr>
    <w:rPr>
      <w:rFonts w:ascii="Arial" w:hAnsi="Arial"/>
      <w:b/>
      <w:sz w:val="16"/>
    </w:rPr>
  </w:style>
  <w:style w:type="paragraph" w:customStyle="1" w:styleId="ENoteTTi">
    <w:name w:val="ENoteTTi"/>
    <w:aliases w:val="entti"/>
    <w:basedOn w:val="OPCParaBase"/>
    <w:rsid w:val="00795525"/>
    <w:pPr>
      <w:keepNext/>
      <w:spacing w:before="60" w:line="240" w:lineRule="atLeast"/>
      <w:ind w:left="170"/>
    </w:pPr>
    <w:rPr>
      <w:sz w:val="16"/>
    </w:rPr>
  </w:style>
  <w:style w:type="paragraph" w:customStyle="1" w:styleId="ENotesHeading1">
    <w:name w:val="ENotesHeading 1"/>
    <w:aliases w:val="Enh1"/>
    <w:basedOn w:val="OPCParaBase"/>
    <w:next w:val="Normal"/>
    <w:rsid w:val="00795525"/>
    <w:pPr>
      <w:spacing w:before="120"/>
      <w:outlineLvl w:val="1"/>
    </w:pPr>
    <w:rPr>
      <w:b/>
      <w:sz w:val="28"/>
      <w:szCs w:val="28"/>
    </w:rPr>
  </w:style>
  <w:style w:type="paragraph" w:customStyle="1" w:styleId="ENotesHeading2">
    <w:name w:val="ENotesHeading 2"/>
    <w:aliases w:val="Enh2"/>
    <w:basedOn w:val="OPCParaBase"/>
    <w:next w:val="Normal"/>
    <w:rsid w:val="00795525"/>
    <w:pPr>
      <w:spacing w:before="120" w:after="120"/>
      <w:outlineLvl w:val="2"/>
    </w:pPr>
    <w:rPr>
      <w:b/>
      <w:sz w:val="24"/>
      <w:szCs w:val="28"/>
    </w:rPr>
  </w:style>
  <w:style w:type="paragraph" w:customStyle="1" w:styleId="ENoteTTIndentHeading">
    <w:name w:val="ENoteTTIndentHeading"/>
    <w:aliases w:val="enTTHi"/>
    <w:basedOn w:val="OPCParaBase"/>
    <w:rsid w:val="0079552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95525"/>
    <w:pPr>
      <w:spacing w:before="60" w:line="240" w:lineRule="atLeast"/>
    </w:pPr>
    <w:rPr>
      <w:sz w:val="16"/>
    </w:rPr>
  </w:style>
  <w:style w:type="paragraph" w:customStyle="1" w:styleId="MadeunderText">
    <w:name w:val="MadeunderText"/>
    <w:basedOn w:val="OPCParaBase"/>
    <w:next w:val="CompiledMadeUnder"/>
    <w:rsid w:val="00795525"/>
    <w:pPr>
      <w:spacing w:before="240"/>
    </w:pPr>
    <w:rPr>
      <w:sz w:val="24"/>
      <w:szCs w:val="24"/>
    </w:rPr>
  </w:style>
  <w:style w:type="paragraph" w:customStyle="1" w:styleId="ENotesHeading3">
    <w:name w:val="ENotesHeading 3"/>
    <w:aliases w:val="Enh3"/>
    <w:basedOn w:val="OPCParaBase"/>
    <w:next w:val="Normal"/>
    <w:rsid w:val="00795525"/>
    <w:pPr>
      <w:keepNext/>
      <w:spacing w:before="120" w:line="240" w:lineRule="auto"/>
      <w:outlineLvl w:val="4"/>
    </w:pPr>
    <w:rPr>
      <w:b/>
      <w:szCs w:val="24"/>
    </w:rPr>
  </w:style>
  <w:style w:type="character" w:customStyle="1" w:styleId="CharSubPartTextCASA">
    <w:name w:val="CharSubPartText(CASA)"/>
    <w:basedOn w:val="OPCCharBase"/>
    <w:uiPriority w:val="1"/>
    <w:rsid w:val="00795525"/>
  </w:style>
  <w:style w:type="character" w:customStyle="1" w:styleId="CharSubPartNoCASA">
    <w:name w:val="CharSubPartNo(CASA)"/>
    <w:basedOn w:val="OPCCharBase"/>
    <w:uiPriority w:val="1"/>
    <w:rsid w:val="00795525"/>
  </w:style>
  <w:style w:type="paragraph" w:customStyle="1" w:styleId="ENoteTTIndentHeadingSub">
    <w:name w:val="ENoteTTIndentHeadingSub"/>
    <w:aliases w:val="enTTHis"/>
    <w:basedOn w:val="OPCParaBase"/>
    <w:rsid w:val="00795525"/>
    <w:pPr>
      <w:keepNext/>
      <w:spacing w:before="60" w:line="240" w:lineRule="atLeast"/>
      <w:ind w:left="340"/>
    </w:pPr>
    <w:rPr>
      <w:b/>
      <w:sz w:val="16"/>
    </w:rPr>
  </w:style>
  <w:style w:type="paragraph" w:customStyle="1" w:styleId="ENoteTTiSub">
    <w:name w:val="ENoteTTiSub"/>
    <w:aliases w:val="enttis"/>
    <w:basedOn w:val="OPCParaBase"/>
    <w:rsid w:val="00795525"/>
    <w:pPr>
      <w:keepNext/>
      <w:spacing w:before="60" w:line="240" w:lineRule="atLeast"/>
      <w:ind w:left="340"/>
    </w:pPr>
    <w:rPr>
      <w:sz w:val="16"/>
    </w:rPr>
  </w:style>
  <w:style w:type="paragraph" w:customStyle="1" w:styleId="SubDivisionMigration">
    <w:name w:val="SubDivisionMigration"/>
    <w:aliases w:val="sdm"/>
    <w:basedOn w:val="OPCParaBase"/>
    <w:rsid w:val="0079552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95525"/>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795525"/>
    <w:pPr>
      <w:spacing w:before="122" w:line="240" w:lineRule="auto"/>
      <w:ind w:left="1985" w:hanging="851"/>
    </w:pPr>
    <w:rPr>
      <w:sz w:val="18"/>
    </w:rPr>
  </w:style>
  <w:style w:type="paragraph" w:customStyle="1" w:styleId="FreeForm">
    <w:name w:val="FreeForm"/>
    <w:rsid w:val="00554243"/>
    <w:rPr>
      <w:rFonts w:ascii="Arial" w:hAnsi="Arial"/>
      <w:sz w:val="22"/>
    </w:rPr>
  </w:style>
  <w:style w:type="paragraph" w:customStyle="1" w:styleId="SOText">
    <w:name w:val="SO Text"/>
    <w:aliases w:val="sot"/>
    <w:link w:val="SOTextChar"/>
    <w:rsid w:val="0079552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795525"/>
    <w:rPr>
      <w:sz w:val="22"/>
    </w:rPr>
  </w:style>
  <w:style w:type="paragraph" w:customStyle="1" w:styleId="SOTextNote">
    <w:name w:val="SO TextNote"/>
    <w:aliases w:val="sont"/>
    <w:basedOn w:val="SOText"/>
    <w:qFormat/>
    <w:rsid w:val="00795525"/>
    <w:pPr>
      <w:spacing w:before="122" w:line="198" w:lineRule="exact"/>
      <w:ind w:left="1843" w:hanging="709"/>
    </w:pPr>
    <w:rPr>
      <w:sz w:val="18"/>
    </w:rPr>
  </w:style>
  <w:style w:type="paragraph" w:customStyle="1" w:styleId="SOPara">
    <w:name w:val="SO Para"/>
    <w:aliases w:val="soa"/>
    <w:basedOn w:val="SOText"/>
    <w:link w:val="SOParaChar"/>
    <w:qFormat/>
    <w:rsid w:val="00795525"/>
    <w:pPr>
      <w:tabs>
        <w:tab w:val="right" w:pos="1786"/>
      </w:tabs>
      <w:spacing w:before="40"/>
      <w:ind w:left="2070" w:hanging="936"/>
    </w:pPr>
  </w:style>
  <w:style w:type="character" w:customStyle="1" w:styleId="SOParaChar">
    <w:name w:val="SO Para Char"/>
    <w:aliases w:val="soa Char"/>
    <w:basedOn w:val="DefaultParagraphFont"/>
    <w:link w:val="SOPara"/>
    <w:rsid w:val="00795525"/>
    <w:rPr>
      <w:sz w:val="22"/>
    </w:rPr>
  </w:style>
  <w:style w:type="paragraph" w:customStyle="1" w:styleId="FileName">
    <w:name w:val="FileName"/>
    <w:basedOn w:val="Normal"/>
    <w:rsid w:val="00795525"/>
  </w:style>
  <w:style w:type="paragraph" w:customStyle="1" w:styleId="TableHeading">
    <w:name w:val="TableHeading"/>
    <w:aliases w:val="th"/>
    <w:basedOn w:val="OPCParaBase"/>
    <w:next w:val="Tabletext"/>
    <w:rsid w:val="00795525"/>
    <w:pPr>
      <w:keepNext/>
      <w:spacing w:before="60" w:line="240" w:lineRule="atLeast"/>
    </w:pPr>
    <w:rPr>
      <w:b/>
      <w:sz w:val="20"/>
    </w:rPr>
  </w:style>
  <w:style w:type="paragraph" w:customStyle="1" w:styleId="SOHeadBold">
    <w:name w:val="SO HeadBold"/>
    <w:aliases w:val="sohb"/>
    <w:basedOn w:val="SOText"/>
    <w:next w:val="SOText"/>
    <w:link w:val="SOHeadBoldChar"/>
    <w:qFormat/>
    <w:rsid w:val="00795525"/>
    <w:rPr>
      <w:b/>
    </w:rPr>
  </w:style>
  <w:style w:type="character" w:customStyle="1" w:styleId="SOHeadBoldChar">
    <w:name w:val="SO HeadBold Char"/>
    <w:aliases w:val="sohb Char"/>
    <w:basedOn w:val="DefaultParagraphFont"/>
    <w:link w:val="SOHeadBold"/>
    <w:rsid w:val="00795525"/>
    <w:rPr>
      <w:b/>
      <w:sz w:val="22"/>
    </w:rPr>
  </w:style>
  <w:style w:type="paragraph" w:customStyle="1" w:styleId="SOHeadItalic">
    <w:name w:val="SO HeadItalic"/>
    <w:aliases w:val="sohi"/>
    <w:basedOn w:val="SOText"/>
    <w:next w:val="SOText"/>
    <w:link w:val="SOHeadItalicChar"/>
    <w:qFormat/>
    <w:rsid w:val="00795525"/>
    <w:rPr>
      <w:i/>
    </w:rPr>
  </w:style>
  <w:style w:type="character" w:customStyle="1" w:styleId="SOHeadItalicChar">
    <w:name w:val="SO HeadItalic Char"/>
    <w:aliases w:val="sohi Char"/>
    <w:basedOn w:val="DefaultParagraphFont"/>
    <w:link w:val="SOHeadItalic"/>
    <w:rsid w:val="00795525"/>
    <w:rPr>
      <w:i/>
      <w:sz w:val="22"/>
    </w:rPr>
  </w:style>
  <w:style w:type="paragraph" w:customStyle="1" w:styleId="SOBullet">
    <w:name w:val="SO Bullet"/>
    <w:aliases w:val="sotb"/>
    <w:basedOn w:val="SOText"/>
    <w:link w:val="SOBulletChar"/>
    <w:qFormat/>
    <w:rsid w:val="00795525"/>
    <w:pPr>
      <w:ind w:left="1559" w:hanging="425"/>
    </w:pPr>
  </w:style>
  <w:style w:type="character" w:customStyle="1" w:styleId="SOBulletChar">
    <w:name w:val="SO Bullet Char"/>
    <w:aliases w:val="sotb Char"/>
    <w:basedOn w:val="DefaultParagraphFont"/>
    <w:link w:val="SOBullet"/>
    <w:rsid w:val="00795525"/>
    <w:rPr>
      <w:sz w:val="22"/>
    </w:rPr>
  </w:style>
  <w:style w:type="paragraph" w:customStyle="1" w:styleId="SOBulletNote">
    <w:name w:val="SO BulletNote"/>
    <w:aliases w:val="sonb"/>
    <w:basedOn w:val="SOTextNote"/>
    <w:link w:val="SOBulletNoteChar"/>
    <w:qFormat/>
    <w:rsid w:val="00795525"/>
    <w:pPr>
      <w:tabs>
        <w:tab w:val="left" w:pos="1560"/>
      </w:tabs>
      <w:ind w:left="2268" w:hanging="1134"/>
    </w:pPr>
  </w:style>
  <w:style w:type="character" w:customStyle="1" w:styleId="SOBulletNoteChar">
    <w:name w:val="SO BulletNote Char"/>
    <w:aliases w:val="sonb Char"/>
    <w:basedOn w:val="DefaultParagraphFont"/>
    <w:link w:val="SOBulletNote"/>
    <w:rsid w:val="00795525"/>
    <w:rPr>
      <w:sz w:val="18"/>
    </w:rPr>
  </w:style>
  <w:style w:type="paragraph" w:customStyle="1" w:styleId="SOText2">
    <w:name w:val="SO Text2"/>
    <w:aliases w:val="sot2"/>
    <w:basedOn w:val="Normal"/>
    <w:next w:val="SOText"/>
    <w:link w:val="SOText2Char"/>
    <w:rsid w:val="00795525"/>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795525"/>
    <w:rPr>
      <w:sz w:val="22"/>
    </w:rPr>
  </w:style>
  <w:style w:type="paragraph" w:customStyle="1" w:styleId="SubPartCASA">
    <w:name w:val="SubPart(CASA)"/>
    <w:aliases w:val="csp"/>
    <w:basedOn w:val="OPCParaBase"/>
    <w:next w:val="ActHead3"/>
    <w:rsid w:val="00795525"/>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795525"/>
    <w:rPr>
      <w:rFonts w:eastAsia="Times New Roman" w:cs="Times New Roman"/>
      <w:sz w:val="22"/>
      <w:lang w:eastAsia="en-AU"/>
    </w:rPr>
  </w:style>
  <w:style w:type="character" w:customStyle="1" w:styleId="notetextChar">
    <w:name w:val="note(text) Char"/>
    <w:aliases w:val="n Char"/>
    <w:basedOn w:val="DefaultParagraphFont"/>
    <w:link w:val="notetext"/>
    <w:rsid w:val="00795525"/>
    <w:rPr>
      <w:rFonts w:eastAsia="Times New Roman" w:cs="Times New Roman"/>
      <w:sz w:val="18"/>
      <w:lang w:eastAsia="en-AU"/>
    </w:rPr>
  </w:style>
  <w:style w:type="character" w:customStyle="1" w:styleId="Heading1Char">
    <w:name w:val="Heading 1 Char"/>
    <w:basedOn w:val="DefaultParagraphFont"/>
    <w:link w:val="Heading1"/>
    <w:uiPriority w:val="9"/>
    <w:rsid w:val="0079552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9552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95525"/>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795525"/>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795525"/>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795525"/>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795525"/>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79552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95525"/>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95525"/>
    <w:pPr>
      <w:spacing w:line="260" w:lineRule="atLeast"/>
    </w:pPr>
    <w:rPr>
      <w:sz w:val="22"/>
    </w:rPr>
  </w:style>
  <w:style w:type="paragraph" w:styleId="Heading1">
    <w:name w:val="heading 1"/>
    <w:basedOn w:val="Normal"/>
    <w:next w:val="Normal"/>
    <w:link w:val="Heading1Char"/>
    <w:uiPriority w:val="9"/>
    <w:qFormat/>
    <w:rsid w:val="0079552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9552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9552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9552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9552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9552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9552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95525"/>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795525"/>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795525"/>
  </w:style>
  <w:style w:type="paragraph" w:customStyle="1" w:styleId="OPCParaBase">
    <w:name w:val="OPCParaBase"/>
    <w:qFormat/>
    <w:rsid w:val="00795525"/>
    <w:pPr>
      <w:spacing w:line="260" w:lineRule="atLeast"/>
    </w:pPr>
    <w:rPr>
      <w:rFonts w:eastAsia="Times New Roman" w:cs="Times New Roman"/>
      <w:sz w:val="22"/>
      <w:lang w:eastAsia="en-AU"/>
    </w:rPr>
  </w:style>
  <w:style w:type="paragraph" w:customStyle="1" w:styleId="ShortT">
    <w:name w:val="ShortT"/>
    <w:basedOn w:val="OPCParaBase"/>
    <w:next w:val="Normal"/>
    <w:qFormat/>
    <w:rsid w:val="00795525"/>
    <w:pPr>
      <w:spacing w:line="240" w:lineRule="auto"/>
    </w:pPr>
    <w:rPr>
      <w:b/>
      <w:sz w:val="40"/>
    </w:rPr>
  </w:style>
  <w:style w:type="paragraph" w:customStyle="1" w:styleId="ActHead1">
    <w:name w:val="ActHead 1"/>
    <w:aliases w:val="c"/>
    <w:basedOn w:val="OPCParaBase"/>
    <w:next w:val="Normal"/>
    <w:qFormat/>
    <w:rsid w:val="0079552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9552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9552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9552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79552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9552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9552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9552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95525"/>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795525"/>
  </w:style>
  <w:style w:type="paragraph" w:customStyle="1" w:styleId="Blocks">
    <w:name w:val="Blocks"/>
    <w:aliases w:val="bb"/>
    <w:basedOn w:val="OPCParaBase"/>
    <w:qFormat/>
    <w:rsid w:val="00795525"/>
    <w:pPr>
      <w:spacing w:line="240" w:lineRule="auto"/>
    </w:pPr>
    <w:rPr>
      <w:sz w:val="24"/>
    </w:rPr>
  </w:style>
  <w:style w:type="paragraph" w:customStyle="1" w:styleId="BoxText">
    <w:name w:val="BoxText"/>
    <w:aliases w:val="bt"/>
    <w:basedOn w:val="OPCParaBase"/>
    <w:qFormat/>
    <w:rsid w:val="0079552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95525"/>
    <w:rPr>
      <w:b/>
    </w:rPr>
  </w:style>
  <w:style w:type="paragraph" w:customStyle="1" w:styleId="BoxHeadItalic">
    <w:name w:val="BoxHeadItalic"/>
    <w:aliases w:val="bhi"/>
    <w:basedOn w:val="BoxText"/>
    <w:next w:val="BoxStep"/>
    <w:qFormat/>
    <w:rsid w:val="00795525"/>
    <w:rPr>
      <w:i/>
    </w:rPr>
  </w:style>
  <w:style w:type="paragraph" w:customStyle="1" w:styleId="BoxList">
    <w:name w:val="BoxList"/>
    <w:aliases w:val="bl"/>
    <w:basedOn w:val="BoxText"/>
    <w:qFormat/>
    <w:rsid w:val="00795525"/>
    <w:pPr>
      <w:ind w:left="1559" w:hanging="425"/>
    </w:pPr>
  </w:style>
  <w:style w:type="paragraph" w:customStyle="1" w:styleId="BoxNote">
    <w:name w:val="BoxNote"/>
    <w:aliases w:val="bn"/>
    <w:basedOn w:val="BoxText"/>
    <w:qFormat/>
    <w:rsid w:val="00795525"/>
    <w:pPr>
      <w:tabs>
        <w:tab w:val="left" w:pos="1985"/>
      </w:tabs>
      <w:spacing w:before="122" w:line="198" w:lineRule="exact"/>
      <w:ind w:left="2948" w:hanging="1814"/>
    </w:pPr>
    <w:rPr>
      <w:sz w:val="18"/>
    </w:rPr>
  </w:style>
  <w:style w:type="paragraph" w:customStyle="1" w:styleId="BoxPara">
    <w:name w:val="BoxPara"/>
    <w:aliases w:val="bp"/>
    <w:basedOn w:val="BoxText"/>
    <w:qFormat/>
    <w:rsid w:val="00795525"/>
    <w:pPr>
      <w:tabs>
        <w:tab w:val="right" w:pos="2268"/>
      </w:tabs>
      <w:ind w:left="2552" w:hanging="1418"/>
    </w:pPr>
  </w:style>
  <w:style w:type="paragraph" w:customStyle="1" w:styleId="BoxStep">
    <w:name w:val="BoxStep"/>
    <w:aliases w:val="bs"/>
    <w:basedOn w:val="BoxText"/>
    <w:qFormat/>
    <w:rsid w:val="00795525"/>
    <w:pPr>
      <w:ind w:left="1985" w:hanging="851"/>
    </w:pPr>
  </w:style>
  <w:style w:type="character" w:customStyle="1" w:styleId="CharAmPartNo">
    <w:name w:val="CharAmPartNo"/>
    <w:basedOn w:val="OPCCharBase"/>
    <w:qFormat/>
    <w:rsid w:val="00795525"/>
  </w:style>
  <w:style w:type="character" w:customStyle="1" w:styleId="CharAmPartText">
    <w:name w:val="CharAmPartText"/>
    <w:basedOn w:val="OPCCharBase"/>
    <w:qFormat/>
    <w:rsid w:val="00795525"/>
  </w:style>
  <w:style w:type="character" w:customStyle="1" w:styleId="CharAmSchNo">
    <w:name w:val="CharAmSchNo"/>
    <w:basedOn w:val="OPCCharBase"/>
    <w:qFormat/>
    <w:rsid w:val="00795525"/>
  </w:style>
  <w:style w:type="character" w:customStyle="1" w:styleId="CharAmSchText">
    <w:name w:val="CharAmSchText"/>
    <w:basedOn w:val="OPCCharBase"/>
    <w:qFormat/>
    <w:rsid w:val="00795525"/>
  </w:style>
  <w:style w:type="character" w:customStyle="1" w:styleId="CharBoldItalic">
    <w:name w:val="CharBoldItalic"/>
    <w:basedOn w:val="OPCCharBase"/>
    <w:uiPriority w:val="1"/>
    <w:qFormat/>
    <w:rsid w:val="00795525"/>
    <w:rPr>
      <w:b/>
      <w:i/>
    </w:rPr>
  </w:style>
  <w:style w:type="character" w:customStyle="1" w:styleId="CharChapNo">
    <w:name w:val="CharChapNo"/>
    <w:basedOn w:val="OPCCharBase"/>
    <w:uiPriority w:val="1"/>
    <w:qFormat/>
    <w:rsid w:val="00795525"/>
  </w:style>
  <w:style w:type="character" w:customStyle="1" w:styleId="CharChapText">
    <w:name w:val="CharChapText"/>
    <w:basedOn w:val="OPCCharBase"/>
    <w:uiPriority w:val="1"/>
    <w:qFormat/>
    <w:rsid w:val="00795525"/>
  </w:style>
  <w:style w:type="character" w:customStyle="1" w:styleId="CharDivNo">
    <w:name w:val="CharDivNo"/>
    <w:basedOn w:val="OPCCharBase"/>
    <w:uiPriority w:val="1"/>
    <w:qFormat/>
    <w:rsid w:val="00795525"/>
  </w:style>
  <w:style w:type="character" w:customStyle="1" w:styleId="CharDivText">
    <w:name w:val="CharDivText"/>
    <w:basedOn w:val="OPCCharBase"/>
    <w:uiPriority w:val="1"/>
    <w:qFormat/>
    <w:rsid w:val="00795525"/>
  </w:style>
  <w:style w:type="character" w:customStyle="1" w:styleId="CharItalic">
    <w:name w:val="CharItalic"/>
    <w:basedOn w:val="OPCCharBase"/>
    <w:uiPriority w:val="1"/>
    <w:qFormat/>
    <w:rsid w:val="00795525"/>
    <w:rPr>
      <w:i/>
    </w:rPr>
  </w:style>
  <w:style w:type="character" w:customStyle="1" w:styleId="CharPartNo">
    <w:name w:val="CharPartNo"/>
    <w:basedOn w:val="OPCCharBase"/>
    <w:uiPriority w:val="1"/>
    <w:qFormat/>
    <w:rsid w:val="00795525"/>
  </w:style>
  <w:style w:type="character" w:customStyle="1" w:styleId="CharPartText">
    <w:name w:val="CharPartText"/>
    <w:basedOn w:val="OPCCharBase"/>
    <w:uiPriority w:val="1"/>
    <w:qFormat/>
    <w:rsid w:val="00795525"/>
  </w:style>
  <w:style w:type="character" w:customStyle="1" w:styleId="CharSectno">
    <w:name w:val="CharSectno"/>
    <w:basedOn w:val="OPCCharBase"/>
    <w:qFormat/>
    <w:rsid w:val="00795525"/>
  </w:style>
  <w:style w:type="character" w:customStyle="1" w:styleId="CharSubdNo">
    <w:name w:val="CharSubdNo"/>
    <w:basedOn w:val="OPCCharBase"/>
    <w:uiPriority w:val="1"/>
    <w:qFormat/>
    <w:rsid w:val="00795525"/>
  </w:style>
  <w:style w:type="character" w:customStyle="1" w:styleId="CharSubdText">
    <w:name w:val="CharSubdText"/>
    <w:basedOn w:val="OPCCharBase"/>
    <w:uiPriority w:val="1"/>
    <w:qFormat/>
    <w:rsid w:val="00795525"/>
  </w:style>
  <w:style w:type="paragraph" w:customStyle="1" w:styleId="CTA--">
    <w:name w:val="CTA --"/>
    <w:basedOn w:val="OPCParaBase"/>
    <w:next w:val="Normal"/>
    <w:rsid w:val="00795525"/>
    <w:pPr>
      <w:spacing w:before="60" w:line="240" w:lineRule="atLeast"/>
      <w:ind w:left="142" w:hanging="142"/>
    </w:pPr>
    <w:rPr>
      <w:sz w:val="20"/>
    </w:rPr>
  </w:style>
  <w:style w:type="paragraph" w:customStyle="1" w:styleId="CTA-">
    <w:name w:val="CTA -"/>
    <w:basedOn w:val="OPCParaBase"/>
    <w:rsid w:val="00795525"/>
    <w:pPr>
      <w:spacing w:before="60" w:line="240" w:lineRule="atLeast"/>
      <w:ind w:left="85" w:hanging="85"/>
    </w:pPr>
    <w:rPr>
      <w:sz w:val="20"/>
    </w:rPr>
  </w:style>
  <w:style w:type="paragraph" w:customStyle="1" w:styleId="CTA---">
    <w:name w:val="CTA ---"/>
    <w:basedOn w:val="OPCParaBase"/>
    <w:next w:val="Normal"/>
    <w:rsid w:val="00795525"/>
    <w:pPr>
      <w:spacing w:before="60" w:line="240" w:lineRule="atLeast"/>
      <w:ind w:left="198" w:hanging="198"/>
    </w:pPr>
    <w:rPr>
      <w:sz w:val="20"/>
    </w:rPr>
  </w:style>
  <w:style w:type="paragraph" w:customStyle="1" w:styleId="CTA----">
    <w:name w:val="CTA ----"/>
    <w:basedOn w:val="OPCParaBase"/>
    <w:next w:val="Normal"/>
    <w:rsid w:val="00795525"/>
    <w:pPr>
      <w:spacing w:before="60" w:line="240" w:lineRule="atLeast"/>
      <w:ind w:left="255" w:hanging="255"/>
    </w:pPr>
    <w:rPr>
      <w:sz w:val="20"/>
    </w:rPr>
  </w:style>
  <w:style w:type="paragraph" w:customStyle="1" w:styleId="CTA1a">
    <w:name w:val="CTA 1(a)"/>
    <w:basedOn w:val="OPCParaBase"/>
    <w:rsid w:val="00795525"/>
    <w:pPr>
      <w:tabs>
        <w:tab w:val="right" w:pos="414"/>
      </w:tabs>
      <w:spacing w:before="40" w:line="240" w:lineRule="atLeast"/>
      <w:ind w:left="675" w:hanging="675"/>
    </w:pPr>
    <w:rPr>
      <w:sz w:val="20"/>
    </w:rPr>
  </w:style>
  <w:style w:type="paragraph" w:customStyle="1" w:styleId="CTA1ai">
    <w:name w:val="CTA 1(a)(i)"/>
    <w:basedOn w:val="OPCParaBase"/>
    <w:rsid w:val="00795525"/>
    <w:pPr>
      <w:tabs>
        <w:tab w:val="right" w:pos="1004"/>
      </w:tabs>
      <w:spacing w:before="40" w:line="240" w:lineRule="atLeast"/>
      <w:ind w:left="1253" w:hanging="1253"/>
    </w:pPr>
    <w:rPr>
      <w:sz w:val="20"/>
    </w:rPr>
  </w:style>
  <w:style w:type="paragraph" w:customStyle="1" w:styleId="CTA2a">
    <w:name w:val="CTA 2(a)"/>
    <w:basedOn w:val="OPCParaBase"/>
    <w:rsid w:val="00795525"/>
    <w:pPr>
      <w:tabs>
        <w:tab w:val="right" w:pos="482"/>
      </w:tabs>
      <w:spacing w:before="40" w:line="240" w:lineRule="atLeast"/>
      <w:ind w:left="748" w:hanging="748"/>
    </w:pPr>
    <w:rPr>
      <w:sz w:val="20"/>
    </w:rPr>
  </w:style>
  <w:style w:type="paragraph" w:customStyle="1" w:styleId="CTA2ai">
    <w:name w:val="CTA 2(a)(i)"/>
    <w:basedOn w:val="OPCParaBase"/>
    <w:rsid w:val="00795525"/>
    <w:pPr>
      <w:tabs>
        <w:tab w:val="right" w:pos="1089"/>
      </w:tabs>
      <w:spacing w:before="40" w:line="240" w:lineRule="atLeast"/>
      <w:ind w:left="1327" w:hanging="1327"/>
    </w:pPr>
    <w:rPr>
      <w:sz w:val="20"/>
    </w:rPr>
  </w:style>
  <w:style w:type="paragraph" w:customStyle="1" w:styleId="CTA3a">
    <w:name w:val="CTA 3(a)"/>
    <w:basedOn w:val="OPCParaBase"/>
    <w:rsid w:val="00795525"/>
    <w:pPr>
      <w:tabs>
        <w:tab w:val="right" w:pos="556"/>
      </w:tabs>
      <w:spacing w:before="40" w:line="240" w:lineRule="atLeast"/>
      <w:ind w:left="805" w:hanging="805"/>
    </w:pPr>
    <w:rPr>
      <w:sz w:val="20"/>
    </w:rPr>
  </w:style>
  <w:style w:type="paragraph" w:customStyle="1" w:styleId="CTA3ai">
    <w:name w:val="CTA 3(a)(i)"/>
    <w:basedOn w:val="OPCParaBase"/>
    <w:rsid w:val="00795525"/>
    <w:pPr>
      <w:tabs>
        <w:tab w:val="right" w:pos="1140"/>
      </w:tabs>
      <w:spacing w:before="40" w:line="240" w:lineRule="atLeast"/>
      <w:ind w:left="1361" w:hanging="1361"/>
    </w:pPr>
    <w:rPr>
      <w:sz w:val="20"/>
    </w:rPr>
  </w:style>
  <w:style w:type="paragraph" w:customStyle="1" w:styleId="CTA4a">
    <w:name w:val="CTA 4(a)"/>
    <w:basedOn w:val="OPCParaBase"/>
    <w:rsid w:val="00795525"/>
    <w:pPr>
      <w:tabs>
        <w:tab w:val="right" w:pos="624"/>
      </w:tabs>
      <w:spacing w:before="40" w:line="240" w:lineRule="atLeast"/>
      <w:ind w:left="873" w:hanging="873"/>
    </w:pPr>
    <w:rPr>
      <w:sz w:val="20"/>
    </w:rPr>
  </w:style>
  <w:style w:type="paragraph" w:customStyle="1" w:styleId="CTA4ai">
    <w:name w:val="CTA 4(a)(i)"/>
    <w:basedOn w:val="OPCParaBase"/>
    <w:rsid w:val="00795525"/>
    <w:pPr>
      <w:tabs>
        <w:tab w:val="right" w:pos="1213"/>
      </w:tabs>
      <w:spacing w:before="40" w:line="240" w:lineRule="atLeast"/>
      <w:ind w:left="1452" w:hanging="1452"/>
    </w:pPr>
    <w:rPr>
      <w:sz w:val="20"/>
    </w:rPr>
  </w:style>
  <w:style w:type="paragraph" w:customStyle="1" w:styleId="CTACAPS">
    <w:name w:val="CTA CAPS"/>
    <w:basedOn w:val="OPCParaBase"/>
    <w:rsid w:val="00795525"/>
    <w:pPr>
      <w:spacing w:before="60" w:line="240" w:lineRule="atLeast"/>
    </w:pPr>
    <w:rPr>
      <w:sz w:val="20"/>
    </w:rPr>
  </w:style>
  <w:style w:type="paragraph" w:customStyle="1" w:styleId="CTAright">
    <w:name w:val="CTA right"/>
    <w:basedOn w:val="OPCParaBase"/>
    <w:rsid w:val="00795525"/>
    <w:pPr>
      <w:spacing w:before="60" w:line="240" w:lineRule="auto"/>
      <w:jc w:val="right"/>
    </w:pPr>
    <w:rPr>
      <w:sz w:val="20"/>
    </w:rPr>
  </w:style>
  <w:style w:type="paragraph" w:customStyle="1" w:styleId="subsection">
    <w:name w:val="subsection"/>
    <w:aliases w:val="ss,Subsection"/>
    <w:basedOn w:val="OPCParaBase"/>
    <w:link w:val="subsectionChar"/>
    <w:rsid w:val="00795525"/>
    <w:pPr>
      <w:tabs>
        <w:tab w:val="right" w:pos="1021"/>
      </w:tabs>
      <w:spacing w:before="180" w:line="240" w:lineRule="auto"/>
      <w:ind w:left="1134" w:hanging="1134"/>
    </w:pPr>
  </w:style>
  <w:style w:type="paragraph" w:customStyle="1" w:styleId="Definition">
    <w:name w:val="Definition"/>
    <w:aliases w:val="dd"/>
    <w:basedOn w:val="OPCParaBase"/>
    <w:rsid w:val="00795525"/>
    <w:pPr>
      <w:spacing w:before="180" w:line="240" w:lineRule="auto"/>
      <w:ind w:left="1134"/>
    </w:pPr>
  </w:style>
  <w:style w:type="paragraph" w:customStyle="1" w:styleId="ETAsubitem">
    <w:name w:val="ETA(subitem)"/>
    <w:basedOn w:val="OPCParaBase"/>
    <w:rsid w:val="00795525"/>
    <w:pPr>
      <w:tabs>
        <w:tab w:val="right" w:pos="340"/>
      </w:tabs>
      <w:spacing w:before="60" w:line="240" w:lineRule="auto"/>
      <w:ind w:left="454" w:hanging="454"/>
    </w:pPr>
    <w:rPr>
      <w:sz w:val="20"/>
    </w:rPr>
  </w:style>
  <w:style w:type="paragraph" w:customStyle="1" w:styleId="ETApara">
    <w:name w:val="ETA(para)"/>
    <w:basedOn w:val="OPCParaBase"/>
    <w:rsid w:val="00795525"/>
    <w:pPr>
      <w:tabs>
        <w:tab w:val="right" w:pos="754"/>
      </w:tabs>
      <w:spacing w:before="60" w:line="240" w:lineRule="auto"/>
      <w:ind w:left="828" w:hanging="828"/>
    </w:pPr>
    <w:rPr>
      <w:sz w:val="20"/>
    </w:rPr>
  </w:style>
  <w:style w:type="paragraph" w:customStyle="1" w:styleId="ETAsubpara">
    <w:name w:val="ETA(subpara)"/>
    <w:basedOn w:val="OPCParaBase"/>
    <w:rsid w:val="00795525"/>
    <w:pPr>
      <w:tabs>
        <w:tab w:val="right" w:pos="1083"/>
      </w:tabs>
      <w:spacing w:before="60" w:line="240" w:lineRule="auto"/>
      <w:ind w:left="1191" w:hanging="1191"/>
    </w:pPr>
    <w:rPr>
      <w:sz w:val="20"/>
    </w:rPr>
  </w:style>
  <w:style w:type="paragraph" w:customStyle="1" w:styleId="ETAsub-subpara">
    <w:name w:val="ETA(sub-subpara)"/>
    <w:basedOn w:val="OPCParaBase"/>
    <w:rsid w:val="00795525"/>
    <w:pPr>
      <w:tabs>
        <w:tab w:val="right" w:pos="1412"/>
      </w:tabs>
      <w:spacing w:before="60" w:line="240" w:lineRule="auto"/>
      <w:ind w:left="1525" w:hanging="1525"/>
    </w:pPr>
    <w:rPr>
      <w:sz w:val="20"/>
    </w:rPr>
  </w:style>
  <w:style w:type="paragraph" w:customStyle="1" w:styleId="Formula">
    <w:name w:val="Formula"/>
    <w:basedOn w:val="OPCParaBase"/>
    <w:rsid w:val="00795525"/>
    <w:pPr>
      <w:spacing w:line="240" w:lineRule="auto"/>
      <w:ind w:left="1134"/>
    </w:pPr>
    <w:rPr>
      <w:sz w:val="20"/>
    </w:rPr>
  </w:style>
  <w:style w:type="paragraph" w:styleId="Header">
    <w:name w:val="header"/>
    <w:basedOn w:val="OPCParaBase"/>
    <w:link w:val="HeaderChar"/>
    <w:unhideWhenUsed/>
    <w:rsid w:val="00795525"/>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795525"/>
    <w:rPr>
      <w:rFonts w:eastAsia="Times New Roman" w:cs="Times New Roman"/>
      <w:sz w:val="16"/>
      <w:lang w:eastAsia="en-AU"/>
    </w:rPr>
  </w:style>
  <w:style w:type="paragraph" w:customStyle="1" w:styleId="House">
    <w:name w:val="House"/>
    <w:basedOn w:val="OPCParaBase"/>
    <w:rsid w:val="00795525"/>
    <w:pPr>
      <w:spacing w:line="240" w:lineRule="auto"/>
    </w:pPr>
    <w:rPr>
      <w:sz w:val="28"/>
    </w:rPr>
  </w:style>
  <w:style w:type="paragraph" w:customStyle="1" w:styleId="Item">
    <w:name w:val="Item"/>
    <w:aliases w:val="i"/>
    <w:basedOn w:val="OPCParaBase"/>
    <w:next w:val="ItemHead"/>
    <w:rsid w:val="00795525"/>
    <w:pPr>
      <w:keepLines/>
      <w:spacing w:before="80" w:line="240" w:lineRule="auto"/>
      <w:ind w:left="709"/>
    </w:pPr>
  </w:style>
  <w:style w:type="paragraph" w:customStyle="1" w:styleId="ItemHead">
    <w:name w:val="ItemHead"/>
    <w:aliases w:val="ih"/>
    <w:basedOn w:val="OPCParaBase"/>
    <w:next w:val="Item"/>
    <w:rsid w:val="0079552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795525"/>
    <w:pPr>
      <w:spacing w:line="240" w:lineRule="auto"/>
    </w:pPr>
    <w:rPr>
      <w:b/>
      <w:sz w:val="32"/>
    </w:rPr>
  </w:style>
  <w:style w:type="paragraph" w:customStyle="1" w:styleId="notedraft">
    <w:name w:val="note(draft)"/>
    <w:aliases w:val="nd"/>
    <w:basedOn w:val="OPCParaBase"/>
    <w:rsid w:val="00795525"/>
    <w:pPr>
      <w:spacing w:before="240" w:line="240" w:lineRule="auto"/>
      <w:ind w:left="284" w:hanging="284"/>
    </w:pPr>
    <w:rPr>
      <w:i/>
      <w:sz w:val="24"/>
    </w:rPr>
  </w:style>
  <w:style w:type="paragraph" w:customStyle="1" w:styleId="notemargin">
    <w:name w:val="note(margin)"/>
    <w:aliases w:val="nm"/>
    <w:basedOn w:val="OPCParaBase"/>
    <w:rsid w:val="00795525"/>
    <w:pPr>
      <w:tabs>
        <w:tab w:val="left" w:pos="709"/>
      </w:tabs>
      <w:spacing w:before="122" w:line="198" w:lineRule="exact"/>
      <w:ind w:left="709" w:hanging="709"/>
    </w:pPr>
    <w:rPr>
      <w:sz w:val="18"/>
    </w:rPr>
  </w:style>
  <w:style w:type="paragraph" w:customStyle="1" w:styleId="noteToPara">
    <w:name w:val="noteToPara"/>
    <w:aliases w:val="ntp"/>
    <w:basedOn w:val="OPCParaBase"/>
    <w:rsid w:val="00795525"/>
    <w:pPr>
      <w:spacing w:before="122" w:line="198" w:lineRule="exact"/>
      <w:ind w:left="2353" w:hanging="709"/>
    </w:pPr>
    <w:rPr>
      <w:sz w:val="18"/>
    </w:rPr>
  </w:style>
  <w:style w:type="paragraph" w:customStyle="1" w:styleId="noteParlAmend">
    <w:name w:val="note(ParlAmend)"/>
    <w:aliases w:val="npp"/>
    <w:basedOn w:val="OPCParaBase"/>
    <w:next w:val="ParlAmend"/>
    <w:rsid w:val="00795525"/>
    <w:pPr>
      <w:spacing w:line="240" w:lineRule="auto"/>
      <w:jc w:val="right"/>
    </w:pPr>
    <w:rPr>
      <w:rFonts w:ascii="Arial" w:hAnsi="Arial"/>
      <w:b/>
      <w:i/>
    </w:rPr>
  </w:style>
  <w:style w:type="paragraph" w:customStyle="1" w:styleId="Page1">
    <w:name w:val="Page1"/>
    <w:basedOn w:val="OPCParaBase"/>
    <w:rsid w:val="00795525"/>
    <w:pPr>
      <w:spacing w:before="5600" w:line="240" w:lineRule="auto"/>
    </w:pPr>
    <w:rPr>
      <w:b/>
      <w:sz w:val="32"/>
    </w:rPr>
  </w:style>
  <w:style w:type="paragraph" w:customStyle="1" w:styleId="PageBreak">
    <w:name w:val="PageBreak"/>
    <w:aliases w:val="pb"/>
    <w:basedOn w:val="OPCParaBase"/>
    <w:rsid w:val="00795525"/>
    <w:pPr>
      <w:spacing w:line="240" w:lineRule="auto"/>
    </w:pPr>
    <w:rPr>
      <w:sz w:val="20"/>
    </w:rPr>
  </w:style>
  <w:style w:type="paragraph" w:customStyle="1" w:styleId="paragraphsub">
    <w:name w:val="paragraph(sub)"/>
    <w:aliases w:val="aa"/>
    <w:basedOn w:val="OPCParaBase"/>
    <w:rsid w:val="00795525"/>
    <w:pPr>
      <w:tabs>
        <w:tab w:val="right" w:pos="1985"/>
      </w:tabs>
      <w:spacing w:before="40" w:line="240" w:lineRule="auto"/>
      <w:ind w:left="2098" w:hanging="2098"/>
    </w:pPr>
  </w:style>
  <w:style w:type="paragraph" w:customStyle="1" w:styleId="paragraphsub-sub">
    <w:name w:val="paragraph(sub-sub)"/>
    <w:aliases w:val="aaa"/>
    <w:basedOn w:val="OPCParaBase"/>
    <w:rsid w:val="00795525"/>
    <w:pPr>
      <w:tabs>
        <w:tab w:val="right" w:pos="2722"/>
      </w:tabs>
      <w:spacing w:before="40" w:line="240" w:lineRule="auto"/>
      <w:ind w:left="2835" w:hanging="2835"/>
    </w:pPr>
  </w:style>
  <w:style w:type="paragraph" w:customStyle="1" w:styleId="paragraph">
    <w:name w:val="paragraph"/>
    <w:aliases w:val="a"/>
    <w:basedOn w:val="OPCParaBase"/>
    <w:rsid w:val="00795525"/>
    <w:pPr>
      <w:tabs>
        <w:tab w:val="right" w:pos="1531"/>
      </w:tabs>
      <w:spacing w:before="40" w:line="240" w:lineRule="auto"/>
      <w:ind w:left="1644" w:hanging="1644"/>
    </w:pPr>
  </w:style>
  <w:style w:type="paragraph" w:customStyle="1" w:styleId="ParlAmend">
    <w:name w:val="ParlAmend"/>
    <w:aliases w:val="pp"/>
    <w:basedOn w:val="OPCParaBase"/>
    <w:rsid w:val="00795525"/>
    <w:pPr>
      <w:spacing w:before="240" w:line="240" w:lineRule="atLeast"/>
      <w:ind w:hanging="567"/>
    </w:pPr>
    <w:rPr>
      <w:sz w:val="24"/>
    </w:rPr>
  </w:style>
  <w:style w:type="paragraph" w:customStyle="1" w:styleId="Penalty">
    <w:name w:val="Penalty"/>
    <w:basedOn w:val="OPCParaBase"/>
    <w:rsid w:val="00795525"/>
    <w:pPr>
      <w:tabs>
        <w:tab w:val="left" w:pos="2977"/>
      </w:tabs>
      <w:spacing w:before="180" w:line="240" w:lineRule="auto"/>
      <w:ind w:left="1985" w:hanging="851"/>
    </w:pPr>
  </w:style>
  <w:style w:type="paragraph" w:customStyle="1" w:styleId="Portfolio">
    <w:name w:val="Portfolio"/>
    <w:basedOn w:val="OPCParaBase"/>
    <w:rsid w:val="00795525"/>
    <w:pPr>
      <w:spacing w:line="240" w:lineRule="auto"/>
    </w:pPr>
    <w:rPr>
      <w:i/>
      <w:sz w:val="20"/>
    </w:rPr>
  </w:style>
  <w:style w:type="paragraph" w:customStyle="1" w:styleId="Preamble">
    <w:name w:val="Preamble"/>
    <w:basedOn w:val="OPCParaBase"/>
    <w:next w:val="Normal"/>
    <w:rsid w:val="0079552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95525"/>
    <w:pPr>
      <w:spacing w:line="240" w:lineRule="auto"/>
    </w:pPr>
    <w:rPr>
      <w:i/>
      <w:sz w:val="20"/>
    </w:rPr>
  </w:style>
  <w:style w:type="paragraph" w:customStyle="1" w:styleId="Session">
    <w:name w:val="Session"/>
    <w:basedOn w:val="OPCParaBase"/>
    <w:rsid w:val="00795525"/>
    <w:pPr>
      <w:spacing w:line="240" w:lineRule="auto"/>
    </w:pPr>
    <w:rPr>
      <w:sz w:val="28"/>
    </w:rPr>
  </w:style>
  <w:style w:type="paragraph" w:customStyle="1" w:styleId="Sponsor">
    <w:name w:val="Sponsor"/>
    <w:basedOn w:val="OPCParaBase"/>
    <w:rsid w:val="00795525"/>
    <w:pPr>
      <w:spacing w:line="240" w:lineRule="auto"/>
    </w:pPr>
    <w:rPr>
      <w:i/>
    </w:rPr>
  </w:style>
  <w:style w:type="paragraph" w:customStyle="1" w:styleId="Subitem">
    <w:name w:val="Subitem"/>
    <w:aliases w:val="iss"/>
    <w:basedOn w:val="OPCParaBase"/>
    <w:rsid w:val="00795525"/>
    <w:pPr>
      <w:spacing w:before="180" w:line="240" w:lineRule="auto"/>
      <w:ind w:left="709" w:hanging="709"/>
    </w:pPr>
  </w:style>
  <w:style w:type="paragraph" w:customStyle="1" w:styleId="SubitemHead">
    <w:name w:val="SubitemHead"/>
    <w:aliases w:val="issh"/>
    <w:basedOn w:val="OPCParaBase"/>
    <w:rsid w:val="0079552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95525"/>
    <w:pPr>
      <w:spacing w:before="40" w:line="240" w:lineRule="auto"/>
      <w:ind w:left="1134"/>
    </w:pPr>
  </w:style>
  <w:style w:type="paragraph" w:customStyle="1" w:styleId="SubsectionHead">
    <w:name w:val="SubsectionHead"/>
    <w:aliases w:val="ssh"/>
    <w:basedOn w:val="OPCParaBase"/>
    <w:next w:val="subsection"/>
    <w:rsid w:val="00795525"/>
    <w:pPr>
      <w:keepNext/>
      <w:keepLines/>
      <w:spacing w:before="240" w:line="240" w:lineRule="auto"/>
      <w:ind w:left="1134"/>
    </w:pPr>
    <w:rPr>
      <w:i/>
    </w:rPr>
  </w:style>
  <w:style w:type="paragraph" w:customStyle="1" w:styleId="Tablea">
    <w:name w:val="Table(a)"/>
    <w:aliases w:val="ta"/>
    <w:basedOn w:val="OPCParaBase"/>
    <w:rsid w:val="00795525"/>
    <w:pPr>
      <w:spacing w:before="60" w:line="240" w:lineRule="auto"/>
      <w:ind w:left="284" w:hanging="284"/>
    </w:pPr>
    <w:rPr>
      <w:sz w:val="20"/>
    </w:rPr>
  </w:style>
  <w:style w:type="paragraph" w:customStyle="1" w:styleId="TableAA">
    <w:name w:val="Table(AA)"/>
    <w:aliases w:val="taaa"/>
    <w:basedOn w:val="OPCParaBase"/>
    <w:rsid w:val="0079552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79552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795525"/>
    <w:pPr>
      <w:spacing w:before="60" w:line="240" w:lineRule="atLeast"/>
    </w:pPr>
    <w:rPr>
      <w:sz w:val="20"/>
    </w:rPr>
  </w:style>
  <w:style w:type="paragraph" w:customStyle="1" w:styleId="TLPBoxTextnote">
    <w:name w:val="TLPBoxText(note"/>
    <w:aliases w:val="right)"/>
    <w:basedOn w:val="OPCParaBase"/>
    <w:rsid w:val="0079552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95525"/>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95525"/>
    <w:pPr>
      <w:spacing w:before="122" w:line="198" w:lineRule="exact"/>
      <w:ind w:left="1985" w:hanging="851"/>
      <w:jc w:val="right"/>
    </w:pPr>
    <w:rPr>
      <w:sz w:val="18"/>
    </w:rPr>
  </w:style>
  <w:style w:type="paragraph" w:customStyle="1" w:styleId="TLPTableBullet">
    <w:name w:val="TLPTableBullet"/>
    <w:aliases w:val="ttb"/>
    <w:basedOn w:val="OPCParaBase"/>
    <w:rsid w:val="00795525"/>
    <w:pPr>
      <w:spacing w:line="240" w:lineRule="exact"/>
      <w:ind w:left="284" w:hanging="284"/>
    </w:pPr>
    <w:rPr>
      <w:sz w:val="20"/>
    </w:rPr>
  </w:style>
  <w:style w:type="paragraph" w:styleId="TOC1">
    <w:name w:val="toc 1"/>
    <w:basedOn w:val="Normal"/>
    <w:next w:val="Normal"/>
    <w:uiPriority w:val="39"/>
    <w:unhideWhenUsed/>
    <w:rsid w:val="00795525"/>
    <w:pPr>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795525"/>
    <w:pPr>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semiHidden/>
    <w:unhideWhenUsed/>
    <w:rsid w:val="00795525"/>
    <w:pPr>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OPCParaBase"/>
    <w:next w:val="Normal"/>
    <w:uiPriority w:val="39"/>
    <w:semiHidden/>
    <w:unhideWhenUsed/>
    <w:rsid w:val="00795525"/>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795525"/>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795525"/>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795525"/>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795525"/>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795525"/>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795525"/>
    <w:pPr>
      <w:keepLines/>
      <w:spacing w:before="240" w:after="120" w:line="240" w:lineRule="auto"/>
      <w:ind w:left="794"/>
    </w:pPr>
    <w:rPr>
      <w:b/>
      <w:kern w:val="28"/>
      <w:sz w:val="20"/>
    </w:rPr>
  </w:style>
  <w:style w:type="paragraph" w:customStyle="1" w:styleId="TofSectsHeading">
    <w:name w:val="TofSects(Heading)"/>
    <w:basedOn w:val="OPCParaBase"/>
    <w:rsid w:val="00795525"/>
    <w:pPr>
      <w:spacing w:before="240" w:after="120" w:line="240" w:lineRule="auto"/>
    </w:pPr>
    <w:rPr>
      <w:b/>
      <w:sz w:val="24"/>
    </w:rPr>
  </w:style>
  <w:style w:type="paragraph" w:customStyle="1" w:styleId="TofSectsSection">
    <w:name w:val="TofSects(Section)"/>
    <w:basedOn w:val="OPCParaBase"/>
    <w:rsid w:val="00795525"/>
    <w:pPr>
      <w:keepLines/>
      <w:spacing w:before="40" w:line="240" w:lineRule="auto"/>
      <w:ind w:left="1588" w:hanging="794"/>
    </w:pPr>
    <w:rPr>
      <w:kern w:val="28"/>
      <w:sz w:val="18"/>
    </w:rPr>
  </w:style>
  <w:style w:type="paragraph" w:customStyle="1" w:styleId="TofSectsSubdiv">
    <w:name w:val="TofSects(Subdiv)"/>
    <w:basedOn w:val="OPCParaBase"/>
    <w:rsid w:val="00795525"/>
    <w:pPr>
      <w:keepLines/>
      <w:spacing w:before="80" w:line="240" w:lineRule="auto"/>
      <w:ind w:left="1588" w:hanging="794"/>
    </w:pPr>
    <w:rPr>
      <w:kern w:val="28"/>
    </w:rPr>
  </w:style>
  <w:style w:type="paragraph" w:customStyle="1" w:styleId="WRStyle">
    <w:name w:val="WR Style"/>
    <w:aliases w:val="WR"/>
    <w:basedOn w:val="OPCParaBase"/>
    <w:rsid w:val="00795525"/>
    <w:pPr>
      <w:spacing w:before="240" w:line="240" w:lineRule="auto"/>
      <w:ind w:left="284" w:hanging="284"/>
    </w:pPr>
    <w:rPr>
      <w:b/>
      <w:i/>
      <w:kern w:val="28"/>
      <w:sz w:val="24"/>
    </w:rPr>
  </w:style>
  <w:style w:type="paragraph" w:customStyle="1" w:styleId="notepara">
    <w:name w:val="note(para)"/>
    <w:aliases w:val="na"/>
    <w:basedOn w:val="OPCParaBase"/>
    <w:rsid w:val="00795525"/>
    <w:pPr>
      <w:spacing w:before="40" w:line="198" w:lineRule="exact"/>
      <w:ind w:left="2354" w:hanging="369"/>
    </w:pPr>
    <w:rPr>
      <w:sz w:val="18"/>
    </w:rPr>
  </w:style>
  <w:style w:type="paragraph" w:styleId="Footer">
    <w:name w:val="footer"/>
    <w:link w:val="FooterChar"/>
    <w:rsid w:val="00795525"/>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95525"/>
    <w:rPr>
      <w:rFonts w:eastAsia="Times New Roman" w:cs="Times New Roman"/>
      <w:sz w:val="22"/>
      <w:szCs w:val="24"/>
      <w:lang w:eastAsia="en-AU"/>
    </w:rPr>
  </w:style>
  <w:style w:type="character" w:styleId="LineNumber">
    <w:name w:val="line number"/>
    <w:basedOn w:val="OPCCharBase"/>
    <w:uiPriority w:val="99"/>
    <w:semiHidden/>
    <w:unhideWhenUsed/>
    <w:rsid w:val="00795525"/>
    <w:rPr>
      <w:sz w:val="16"/>
    </w:rPr>
  </w:style>
  <w:style w:type="table" w:customStyle="1" w:styleId="CFlag">
    <w:name w:val="CFlag"/>
    <w:basedOn w:val="TableNormal"/>
    <w:uiPriority w:val="99"/>
    <w:rsid w:val="00795525"/>
    <w:rPr>
      <w:rFonts w:eastAsia="Times New Roman" w:cs="Times New Roman"/>
      <w:lang w:eastAsia="en-AU"/>
    </w:rPr>
    <w:tblPr/>
  </w:style>
  <w:style w:type="paragraph" w:styleId="BalloonText">
    <w:name w:val="Balloon Text"/>
    <w:basedOn w:val="Normal"/>
    <w:link w:val="BalloonTextChar"/>
    <w:uiPriority w:val="99"/>
    <w:semiHidden/>
    <w:unhideWhenUsed/>
    <w:rsid w:val="0079552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525"/>
    <w:rPr>
      <w:rFonts w:ascii="Tahoma" w:hAnsi="Tahoma" w:cs="Tahoma"/>
      <w:sz w:val="16"/>
      <w:szCs w:val="16"/>
    </w:rPr>
  </w:style>
  <w:style w:type="table" w:styleId="TableGrid">
    <w:name w:val="Table Grid"/>
    <w:basedOn w:val="TableNormal"/>
    <w:uiPriority w:val="59"/>
    <w:rsid w:val="007955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795525"/>
    <w:rPr>
      <w:b/>
      <w:sz w:val="28"/>
      <w:szCs w:val="32"/>
    </w:rPr>
  </w:style>
  <w:style w:type="paragraph" w:customStyle="1" w:styleId="LegislationMadeUnder">
    <w:name w:val="LegislationMadeUnder"/>
    <w:basedOn w:val="OPCParaBase"/>
    <w:next w:val="Normal"/>
    <w:rsid w:val="00795525"/>
    <w:rPr>
      <w:i/>
      <w:sz w:val="32"/>
      <w:szCs w:val="32"/>
    </w:rPr>
  </w:style>
  <w:style w:type="paragraph" w:customStyle="1" w:styleId="SignCoverPageEnd">
    <w:name w:val="SignCoverPageEnd"/>
    <w:basedOn w:val="OPCParaBase"/>
    <w:next w:val="Normal"/>
    <w:rsid w:val="00795525"/>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795525"/>
    <w:pPr>
      <w:pBdr>
        <w:top w:val="single" w:sz="4" w:space="1" w:color="auto"/>
      </w:pBdr>
      <w:spacing w:before="360"/>
      <w:ind w:right="397"/>
      <w:jc w:val="both"/>
    </w:pPr>
  </w:style>
  <w:style w:type="paragraph" w:customStyle="1" w:styleId="NotesHeading1">
    <w:name w:val="NotesHeading 1"/>
    <w:basedOn w:val="OPCParaBase"/>
    <w:next w:val="Normal"/>
    <w:rsid w:val="00795525"/>
    <w:rPr>
      <w:b/>
      <w:sz w:val="28"/>
      <w:szCs w:val="28"/>
    </w:rPr>
  </w:style>
  <w:style w:type="paragraph" w:customStyle="1" w:styleId="NotesHeading2">
    <w:name w:val="NotesHeading 2"/>
    <w:basedOn w:val="OPCParaBase"/>
    <w:next w:val="Normal"/>
    <w:rsid w:val="00795525"/>
    <w:rPr>
      <w:b/>
      <w:sz w:val="28"/>
      <w:szCs w:val="28"/>
    </w:rPr>
  </w:style>
  <w:style w:type="paragraph" w:customStyle="1" w:styleId="ENotesText">
    <w:name w:val="ENotesText"/>
    <w:aliases w:val="Ent"/>
    <w:basedOn w:val="OPCParaBase"/>
    <w:next w:val="Normal"/>
    <w:rsid w:val="00795525"/>
    <w:pPr>
      <w:spacing w:before="120"/>
    </w:pPr>
  </w:style>
  <w:style w:type="paragraph" w:customStyle="1" w:styleId="CompiledActNo">
    <w:name w:val="CompiledActNo"/>
    <w:basedOn w:val="OPCParaBase"/>
    <w:next w:val="Normal"/>
    <w:rsid w:val="00795525"/>
    <w:rPr>
      <w:b/>
      <w:sz w:val="24"/>
      <w:szCs w:val="24"/>
    </w:rPr>
  </w:style>
  <w:style w:type="paragraph" w:customStyle="1" w:styleId="CompiledMadeUnder">
    <w:name w:val="CompiledMadeUnder"/>
    <w:basedOn w:val="OPCParaBase"/>
    <w:next w:val="Normal"/>
    <w:rsid w:val="00795525"/>
    <w:rPr>
      <w:i/>
      <w:sz w:val="24"/>
      <w:szCs w:val="24"/>
    </w:rPr>
  </w:style>
  <w:style w:type="paragraph" w:customStyle="1" w:styleId="Paragraphsub-sub-sub">
    <w:name w:val="Paragraph(sub-sub-sub)"/>
    <w:aliases w:val="aaaa"/>
    <w:basedOn w:val="OPCParaBase"/>
    <w:rsid w:val="00795525"/>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79552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9552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9552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95525"/>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795525"/>
    <w:pPr>
      <w:spacing w:before="60" w:line="240" w:lineRule="auto"/>
    </w:pPr>
    <w:rPr>
      <w:rFonts w:cs="Arial"/>
      <w:sz w:val="20"/>
      <w:szCs w:val="22"/>
    </w:rPr>
  </w:style>
  <w:style w:type="paragraph" w:customStyle="1" w:styleId="NoteToSubpara">
    <w:name w:val="NoteToSubpara"/>
    <w:aliases w:val="nts"/>
    <w:basedOn w:val="OPCParaBase"/>
    <w:rsid w:val="00795525"/>
    <w:pPr>
      <w:spacing w:before="40" w:line="198" w:lineRule="exact"/>
      <w:ind w:left="2835" w:hanging="709"/>
    </w:pPr>
    <w:rPr>
      <w:sz w:val="18"/>
    </w:rPr>
  </w:style>
  <w:style w:type="paragraph" w:customStyle="1" w:styleId="ENoteTableHeading">
    <w:name w:val="ENoteTableHeading"/>
    <w:aliases w:val="enth"/>
    <w:basedOn w:val="OPCParaBase"/>
    <w:rsid w:val="00795525"/>
    <w:pPr>
      <w:keepNext/>
      <w:spacing w:before="60" w:line="240" w:lineRule="atLeast"/>
    </w:pPr>
    <w:rPr>
      <w:rFonts w:ascii="Arial" w:hAnsi="Arial"/>
      <w:b/>
      <w:sz w:val="16"/>
    </w:rPr>
  </w:style>
  <w:style w:type="paragraph" w:customStyle="1" w:styleId="ENoteTTi">
    <w:name w:val="ENoteTTi"/>
    <w:aliases w:val="entti"/>
    <w:basedOn w:val="OPCParaBase"/>
    <w:rsid w:val="00795525"/>
    <w:pPr>
      <w:keepNext/>
      <w:spacing w:before="60" w:line="240" w:lineRule="atLeast"/>
      <w:ind w:left="170"/>
    </w:pPr>
    <w:rPr>
      <w:sz w:val="16"/>
    </w:rPr>
  </w:style>
  <w:style w:type="paragraph" w:customStyle="1" w:styleId="ENotesHeading1">
    <w:name w:val="ENotesHeading 1"/>
    <w:aliases w:val="Enh1"/>
    <w:basedOn w:val="OPCParaBase"/>
    <w:next w:val="Normal"/>
    <w:rsid w:val="00795525"/>
    <w:pPr>
      <w:spacing w:before="120"/>
      <w:outlineLvl w:val="1"/>
    </w:pPr>
    <w:rPr>
      <w:b/>
      <w:sz w:val="28"/>
      <w:szCs w:val="28"/>
    </w:rPr>
  </w:style>
  <w:style w:type="paragraph" w:customStyle="1" w:styleId="ENotesHeading2">
    <w:name w:val="ENotesHeading 2"/>
    <w:aliases w:val="Enh2"/>
    <w:basedOn w:val="OPCParaBase"/>
    <w:next w:val="Normal"/>
    <w:rsid w:val="00795525"/>
    <w:pPr>
      <w:spacing w:before="120" w:after="120"/>
      <w:outlineLvl w:val="2"/>
    </w:pPr>
    <w:rPr>
      <w:b/>
      <w:sz w:val="24"/>
      <w:szCs w:val="28"/>
    </w:rPr>
  </w:style>
  <w:style w:type="paragraph" w:customStyle="1" w:styleId="ENoteTTIndentHeading">
    <w:name w:val="ENoteTTIndentHeading"/>
    <w:aliases w:val="enTTHi"/>
    <w:basedOn w:val="OPCParaBase"/>
    <w:rsid w:val="0079552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95525"/>
    <w:pPr>
      <w:spacing w:before="60" w:line="240" w:lineRule="atLeast"/>
    </w:pPr>
    <w:rPr>
      <w:sz w:val="16"/>
    </w:rPr>
  </w:style>
  <w:style w:type="paragraph" w:customStyle="1" w:styleId="MadeunderText">
    <w:name w:val="MadeunderText"/>
    <w:basedOn w:val="OPCParaBase"/>
    <w:next w:val="CompiledMadeUnder"/>
    <w:rsid w:val="00795525"/>
    <w:pPr>
      <w:spacing w:before="240"/>
    </w:pPr>
    <w:rPr>
      <w:sz w:val="24"/>
      <w:szCs w:val="24"/>
    </w:rPr>
  </w:style>
  <w:style w:type="paragraph" w:customStyle="1" w:styleId="ENotesHeading3">
    <w:name w:val="ENotesHeading 3"/>
    <w:aliases w:val="Enh3"/>
    <w:basedOn w:val="OPCParaBase"/>
    <w:next w:val="Normal"/>
    <w:rsid w:val="00795525"/>
    <w:pPr>
      <w:keepNext/>
      <w:spacing w:before="120" w:line="240" w:lineRule="auto"/>
      <w:outlineLvl w:val="4"/>
    </w:pPr>
    <w:rPr>
      <w:b/>
      <w:szCs w:val="24"/>
    </w:rPr>
  </w:style>
  <w:style w:type="character" w:customStyle="1" w:styleId="CharSubPartTextCASA">
    <w:name w:val="CharSubPartText(CASA)"/>
    <w:basedOn w:val="OPCCharBase"/>
    <w:uiPriority w:val="1"/>
    <w:rsid w:val="00795525"/>
  </w:style>
  <w:style w:type="character" w:customStyle="1" w:styleId="CharSubPartNoCASA">
    <w:name w:val="CharSubPartNo(CASA)"/>
    <w:basedOn w:val="OPCCharBase"/>
    <w:uiPriority w:val="1"/>
    <w:rsid w:val="00795525"/>
  </w:style>
  <w:style w:type="paragraph" w:customStyle="1" w:styleId="ENoteTTIndentHeadingSub">
    <w:name w:val="ENoteTTIndentHeadingSub"/>
    <w:aliases w:val="enTTHis"/>
    <w:basedOn w:val="OPCParaBase"/>
    <w:rsid w:val="00795525"/>
    <w:pPr>
      <w:keepNext/>
      <w:spacing w:before="60" w:line="240" w:lineRule="atLeast"/>
      <w:ind w:left="340"/>
    </w:pPr>
    <w:rPr>
      <w:b/>
      <w:sz w:val="16"/>
    </w:rPr>
  </w:style>
  <w:style w:type="paragraph" w:customStyle="1" w:styleId="ENoteTTiSub">
    <w:name w:val="ENoteTTiSub"/>
    <w:aliases w:val="enttis"/>
    <w:basedOn w:val="OPCParaBase"/>
    <w:rsid w:val="00795525"/>
    <w:pPr>
      <w:keepNext/>
      <w:spacing w:before="60" w:line="240" w:lineRule="atLeast"/>
      <w:ind w:left="340"/>
    </w:pPr>
    <w:rPr>
      <w:sz w:val="16"/>
    </w:rPr>
  </w:style>
  <w:style w:type="paragraph" w:customStyle="1" w:styleId="SubDivisionMigration">
    <w:name w:val="SubDivisionMigration"/>
    <w:aliases w:val="sdm"/>
    <w:basedOn w:val="OPCParaBase"/>
    <w:rsid w:val="0079552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95525"/>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795525"/>
    <w:pPr>
      <w:spacing w:before="122" w:line="240" w:lineRule="auto"/>
      <w:ind w:left="1985" w:hanging="851"/>
    </w:pPr>
    <w:rPr>
      <w:sz w:val="18"/>
    </w:rPr>
  </w:style>
  <w:style w:type="paragraph" w:customStyle="1" w:styleId="FreeForm">
    <w:name w:val="FreeForm"/>
    <w:rsid w:val="00554243"/>
    <w:rPr>
      <w:rFonts w:ascii="Arial" w:hAnsi="Arial"/>
      <w:sz w:val="22"/>
    </w:rPr>
  </w:style>
  <w:style w:type="paragraph" w:customStyle="1" w:styleId="SOText">
    <w:name w:val="SO Text"/>
    <w:aliases w:val="sot"/>
    <w:link w:val="SOTextChar"/>
    <w:rsid w:val="0079552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795525"/>
    <w:rPr>
      <w:sz w:val="22"/>
    </w:rPr>
  </w:style>
  <w:style w:type="paragraph" w:customStyle="1" w:styleId="SOTextNote">
    <w:name w:val="SO TextNote"/>
    <w:aliases w:val="sont"/>
    <w:basedOn w:val="SOText"/>
    <w:qFormat/>
    <w:rsid w:val="00795525"/>
    <w:pPr>
      <w:spacing w:before="122" w:line="198" w:lineRule="exact"/>
      <w:ind w:left="1843" w:hanging="709"/>
    </w:pPr>
    <w:rPr>
      <w:sz w:val="18"/>
    </w:rPr>
  </w:style>
  <w:style w:type="paragraph" w:customStyle="1" w:styleId="SOPara">
    <w:name w:val="SO Para"/>
    <w:aliases w:val="soa"/>
    <w:basedOn w:val="SOText"/>
    <w:link w:val="SOParaChar"/>
    <w:qFormat/>
    <w:rsid w:val="00795525"/>
    <w:pPr>
      <w:tabs>
        <w:tab w:val="right" w:pos="1786"/>
      </w:tabs>
      <w:spacing w:before="40"/>
      <w:ind w:left="2070" w:hanging="936"/>
    </w:pPr>
  </w:style>
  <w:style w:type="character" w:customStyle="1" w:styleId="SOParaChar">
    <w:name w:val="SO Para Char"/>
    <w:aliases w:val="soa Char"/>
    <w:basedOn w:val="DefaultParagraphFont"/>
    <w:link w:val="SOPara"/>
    <w:rsid w:val="00795525"/>
    <w:rPr>
      <w:sz w:val="22"/>
    </w:rPr>
  </w:style>
  <w:style w:type="paragraph" w:customStyle="1" w:styleId="FileName">
    <w:name w:val="FileName"/>
    <w:basedOn w:val="Normal"/>
    <w:rsid w:val="00795525"/>
  </w:style>
  <w:style w:type="paragraph" w:customStyle="1" w:styleId="TableHeading">
    <w:name w:val="TableHeading"/>
    <w:aliases w:val="th"/>
    <w:basedOn w:val="OPCParaBase"/>
    <w:next w:val="Tabletext"/>
    <w:rsid w:val="00795525"/>
    <w:pPr>
      <w:keepNext/>
      <w:spacing w:before="60" w:line="240" w:lineRule="atLeast"/>
    </w:pPr>
    <w:rPr>
      <w:b/>
      <w:sz w:val="20"/>
    </w:rPr>
  </w:style>
  <w:style w:type="paragraph" w:customStyle="1" w:styleId="SOHeadBold">
    <w:name w:val="SO HeadBold"/>
    <w:aliases w:val="sohb"/>
    <w:basedOn w:val="SOText"/>
    <w:next w:val="SOText"/>
    <w:link w:val="SOHeadBoldChar"/>
    <w:qFormat/>
    <w:rsid w:val="00795525"/>
    <w:rPr>
      <w:b/>
    </w:rPr>
  </w:style>
  <w:style w:type="character" w:customStyle="1" w:styleId="SOHeadBoldChar">
    <w:name w:val="SO HeadBold Char"/>
    <w:aliases w:val="sohb Char"/>
    <w:basedOn w:val="DefaultParagraphFont"/>
    <w:link w:val="SOHeadBold"/>
    <w:rsid w:val="00795525"/>
    <w:rPr>
      <w:b/>
      <w:sz w:val="22"/>
    </w:rPr>
  </w:style>
  <w:style w:type="paragraph" w:customStyle="1" w:styleId="SOHeadItalic">
    <w:name w:val="SO HeadItalic"/>
    <w:aliases w:val="sohi"/>
    <w:basedOn w:val="SOText"/>
    <w:next w:val="SOText"/>
    <w:link w:val="SOHeadItalicChar"/>
    <w:qFormat/>
    <w:rsid w:val="00795525"/>
    <w:rPr>
      <w:i/>
    </w:rPr>
  </w:style>
  <w:style w:type="character" w:customStyle="1" w:styleId="SOHeadItalicChar">
    <w:name w:val="SO HeadItalic Char"/>
    <w:aliases w:val="sohi Char"/>
    <w:basedOn w:val="DefaultParagraphFont"/>
    <w:link w:val="SOHeadItalic"/>
    <w:rsid w:val="00795525"/>
    <w:rPr>
      <w:i/>
      <w:sz w:val="22"/>
    </w:rPr>
  </w:style>
  <w:style w:type="paragraph" w:customStyle="1" w:styleId="SOBullet">
    <w:name w:val="SO Bullet"/>
    <w:aliases w:val="sotb"/>
    <w:basedOn w:val="SOText"/>
    <w:link w:val="SOBulletChar"/>
    <w:qFormat/>
    <w:rsid w:val="00795525"/>
    <w:pPr>
      <w:ind w:left="1559" w:hanging="425"/>
    </w:pPr>
  </w:style>
  <w:style w:type="character" w:customStyle="1" w:styleId="SOBulletChar">
    <w:name w:val="SO Bullet Char"/>
    <w:aliases w:val="sotb Char"/>
    <w:basedOn w:val="DefaultParagraphFont"/>
    <w:link w:val="SOBullet"/>
    <w:rsid w:val="00795525"/>
    <w:rPr>
      <w:sz w:val="22"/>
    </w:rPr>
  </w:style>
  <w:style w:type="paragraph" w:customStyle="1" w:styleId="SOBulletNote">
    <w:name w:val="SO BulletNote"/>
    <w:aliases w:val="sonb"/>
    <w:basedOn w:val="SOTextNote"/>
    <w:link w:val="SOBulletNoteChar"/>
    <w:qFormat/>
    <w:rsid w:val="00795525"/>
    <w:pPr>
      <w:tabs>
        <w:tab w:val="left" w:pos="1560"/>
      </w:tabs>
      <w:ind w:left="2268" w:hanging="1134"/>
    </w:pPr>
  </w:style>
  <w:style w:type="character" w:customStyle="1" w:styleId="SOBulletNoteChar">
    <w:name w:val="SO BulletNote Char"/>
    <w:aliases w:val="sonb Char"/>
    <w:basedOn w:val="DefaultParagraphFont"/>
    <w:link w:val="SOBulletNote"/>
    <w:rsid w:val="00795525"/>
    <w:rPr>
      <w:sz w:val="18"/>
    </w:rPr>
  </w:style>
  <w:style w:type="paragraph" w:customStyle="1" w:styleId="SOText2">
    <w:name w:val="SO Text2"/>
    <w:aliases w:val="sot2"/>
    <w:basedOn w:val="Normal"/>
    <w:next w:val="SOText"/>
    <w:link w:val="SOText2Char"/>
    <w:rsid w:val="00795525"/>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795525"/>
    <w:rPr>
      <w:sz w:val="22"/>
    </w:rPr>
  </w:style>
  <w:style w:type="paragraph" w:customStyle="1" w:styleId="SubPartCASA">
    <w:name w:val="SubPart(CASA)"/>
    <w:aliases w:val="csp"/>
    <w:basedOn w:val="OPCParaBase"/>
    <w:next w:val="ActHead3"/>
    <w:rsid w:val="00795525"/>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795525"/>
    <w:rPr>
      <w:rFonts w:eastAsia="Times New Roman" w:cs="Times New Roman"/>
      <w:sz w:val="22"/>
      <w:lang w:eastAsia="en-AU"/>
    </w:rPr>
  </w:style>
  <w:style w:type="character" w:customStyle="1" w:styleId="notetextChar">
    <w:name w:val="note(text) Char"/>
    <w:aliases w:val="n Char"/>
    <w:basedOn w:val="DefaultParagraphFont"/>
    <w:link w:val="notetext"/>
    <w:rsid w:val="00795525"/>
    <w:rPr>
      <w:rFonts w:eastAsia="Times New Roman" w:cs="Times New Roman"/>
      <w:sz w:val="18"/>
      <w:lang w:eastAsia="en-AU"/>
    </w:rPr>
  </w:style>
  <w:style w:type="character" w:customStyle="1" w:styleId="Heading1Char">
    <w:name w:val="Heading 1 Char"/>
    <w:basedOn w:val="DefaultParagraphFont"/>
    <w:link w:val="Heading1"/>
    <w:uiPriority w:val="9"/>
    <w:rsid w:val="0079552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9552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95525"/>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795525"/>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795525"/>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795525"/>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795525"/>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79552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95525"/>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Inst_Amd.dotx</Template>
  <TotalTime>0</TotalTime>
  <Pages>13</Pages>
  <Words>2681</Words>
  <Characters>14484</Characters>
  <Application>Microsoft Office Word</Application>
  <DocSecurity>0</DocSecurity>
  <PresentationFormat/>
  <Lines>504</Lines>
  <Paragraphs>356</Paragraphs>
  <ScaleCrop>false</ScaleCrop>
  <HeadingPairs>
    <vt:vector size="2" baseType="variant">
      <vt:variant>
        <vt:lpstr>Title</vt:lpstr>
      </vt:variant>
      <vt:variant>
        <vt:i4>1</vt:i4>
      </vt:variant>
    </vt:vector>
  </HeadingPairs>
  <TitlesOfParts>
    <vt:vector size="1" baseType="lpstr">
      <vt:lpstr>Health Insurance Legislation Amendment (2018 Measures No. 1) Regulations 2018</vt:lpstr>
    </vt:vector>
  </TitlesOfParts>
  <Manager/>
  <Company/>
  <LinksUpToDate>false</LinksUpToDate>
  <CharactersWithSpaces>16850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2018-03-19T05:28:00Z</cp:lastPrinted>
  <dcterms:created xsi:type="dcterms:W3CDTF">2018-04-13T03:26:00Z</dcterms:created>
  <dcterms:modified xsi:type="dcterms:W3CDTF">2018-04-13T03:26:00Z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2018</vt:lpwstr>
  </property>
  <property fmtid="{D5CDD505-2E9C-101B-9397-08002B2CF9AE}" pid="3" name="ShortT">
    <vt:lpwstr>Health Insurance Legislation Amendment (2018 Measures No. 1) Regulations 2018</vt:lpwstr>
  </property>
  <property fmtid="{D5CDD505-2E9C-101B-9397-08002B2CF9AE}" pid="4" name="Class">
    <vt:lpwstr>Regulations</vt:lpwstr>
  </property>
  <property fmtid="{D5CDD505-2E9C-101B-9397-08002B2CF9AE}" pid="5" name="Type">
    <vt:lpwstr>SLI</vt:lpwstr>
  </property>
  <property fmtid="{D5CDD505-2E9C-101B-9397-08002B2CF9AE}" pid="6" name="DocType">
    <vt:lpwstr>AMD</vt:lpwstr>
  </property>
  <property fmtid="{D5CDD505-2E9C-101B-9397-08002B2CF9AE}" pid="7" name="Exco">
    <vt:lpwstr>Yes</vt:lpwstr>
  </property>
  <property fmtid="{D5CDD505-2E9C-101B-9397-08002B2CF9AE}" pid="8" name="Authority">
    <vt:lpwstr/>
  </property>
  <property fmtid="{D5CDD505-2E9C-101B-9397-08002B2CF9AE}" pid="9" name="DateMade">
    <vt:lpwstr>19 April 2018</vt:lpwstr>
  </property>
  <property fmtid="{D5CDD505-2E9C-101B-9397-08002B2CF9AE}" pid="10" name="ID">
    <vt:lpwstr>OPC63054</vt:lpwstr>
  </property>
  <property fmtid="{D5CDD505-2E9C-101B-9397-08002B2CF9AE}" pid="11" name="Classification">
    <vt:lpwstr> </vt:lpwstr>
  </property>
  <property fmtid="{D5CDD505-2E9C-101B-9397-08002B2CF9AE}" pid="12" name="DLM">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A</vt:lpwstr>
  </property>
  <property fmtid="{D5CDD505-2E9C-101B-9397-08002B2CF9AE}" pid="16" name="CounterSign">
    <vt:lpwstr/>
  </property>
  <property fmtid="{D5CDD505-2E9C-101B-9397-08002B2CF9AE}" pid="17" name="ExcoDate">
    <vt:lpwstr>19 April 2018</vt:lpwstr>
  </property>
</Properties>
</file>