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40488" w14:textId="77777777" w:rsidR="005D4310" w:rsidRDefault="005D4310" w:rsidP="00623B80">
      <w:pPr>
        <w:pStyle w:val="ChartMainHeading"/>
        <w:tabs>
          <w:tab w:val="left" w:pos="8505"/>
        </w:tabs>
        <w:spacing w:after="240"/>
        <w:rPr>
          <w:caps w:val="0"/>
        </w:rPr>
      </w:pPr>
      <w:r>
        <w:rPr>
          <w:caps w:val="0"/>
        </w:rPr>
        <w:t>EXPLANATORY STATEMENT</w:t>
      </w:r>
    </w:p>
    <w:p w14:paraId="4EC3599C" w14:textId="7BD71A60" w:rsidR="00B44D5D" w:rsidRDefault="00B44D5D" w:rsidP="00623B80">
      <w:pPr>
        <w:pStyle w:val="ChartMainHeading"/>
        <w:tabs>
          <w:tab w:val="left" w:pos="8505"/>
        </w:tabs>
        <w:spacing w:after="240"/>
      </w:pPr>
      <w:r>
        <w:t>Federal Financial</w:t>
      </w:r>
      <w:r w:rsidR="00EA71A6">
        <w:t xml:space="preserve"> Relations (National Health Ref</w:t>
      </w:r>
      <w:r>
        <w:t>o</w:t>
      </w:r>
      <w:r w:rsidR="00EA71A6">
        <w:t>R</w:t>
      </w:r>
      <w:r>
        <w:t>m Payments) Determination 2015-16</w:t>
      </w:r>
    </w:p>
    <w:p w14:paraId="3903C07C" w14:textId="66F18B3D" w:rsidR="001C5BE0" w:rsidRDefault="00A25C9E" w:rsidP="00623B80">
      <w:pPr>
        <w:tabs>
          <w:tab w:val="left" w:pos="8505"/>
        </w:tabs>
        <w:spacing w:before="100" w:beforeAutospacing="1" w:after="100" w:afterAutospacing="1"/>
      </w:pPr>
      <w:r>
        <w:t xml:space="preserve">Under the </w:t>
      </w:r>
      <w:r w:rsidR="00623B80" w:rsidRPr="00984749">
        <w:rPr>
          <w:i/>
        </w:rPr>
        <w:t>Intergovernmental Agreement on Federal Financial Relations</w:t>
      </w:r>
      <w:r w:rsidR="00623B80" w:rsidRPr="00623B80">
        <w:t xml:space="preserve"> (the IGA)</w:t>
      </w:r>
      <w:r w:rsidR="00623B80">
        <w:t xml:space="preserve"> and the </w:t>
      </w:r>
      <w:r w:rsidR="00623B80" w:rsidRPr="00984749">
        <w:rPr>
          <w:i/>
        </w:rPr>
        <w:t>Federal Financial Relations Act 2009</w:t>
      </w:r>
      <w:r w:rsidR="00623B80">
        <w:t xml:space="preserve"> (the Act),</w:t>
      </w:r>
      <w:r>
        <w:t xml:space="preserve"> </w:t>
      </w:r>
      <w:r w:rsidR="00B22D03">
        <w:t>t</w:t>
      </w:r>
      <w:r w:rsidR="001C5BE0">
        <w:t xml:space="preserve">he Commonwealth provides </w:t>
      </w:r>
      <w:r w:rsidR="00183255">
        <w:t>National H</w:t>
      </w:r>
      <w:bookmarkStart w:id="0" w:name="_GoBack"/>
      <w:bookmarkEnd w:id="0"/>
      <w:r w:rsidR="00183255">
        <w:t xml:space="preserve">ealth Reform payments </w:t>
      </w:r>
      <w:r w:rsidR="001C5BE0">
        <w:t xml:space="preserve">to the States and Territories as a financial contribution to support State and Territory service delivery in the area of healthcare.  </w:t>
      </w:r>
    </w:p>
    <w:p w14:paraId="5FFC2ECF" w14:textId="53900B95" w:rsidR="001C5BE0" w:rsidRDefault="001C5BE0" w:rsidP="00623B80">
      <w:pPr>
        <w:tabs>
          <w:tab w:val="left" w:pos="8505"/>
        </w:tabs>
        <w:spacing w:before="100" w:beforeAutospacing="1" w:after="100" w:afterAutospacing="1"/>
      </w:pPr>
      <w:r>
        <w:t xml:space="preserve">The </w:t>
      </w:r>
      <w:r w:rsidR="0003226E" w:rsidRPr="00720F11">
        <w:t>Act</w:t>
      </w:r>
      <w:r>
        <w:t xml:space="preserve"> provides for the Minister to determine for each financial year</w:t>
      </w:r>
      <w:r w:rsidR="00184DD1">
        <w:t>,</w:t>
      </w:r>
      <w:r>
        <w:t xml:space="preserve"> the </w:t>
      </w:r>
      <w:r w:rsidR="009A4D1B">
        <w:t xml:space="preserve">total amount and the </w:t>
      </w:r>
      <w:r>
        <w:t xml:space="preserve">manner in which </w:t>
      </w:r>
      <w:r w:rsidR="00183255">
        <w:t xml:space="preserve">National Health Reform payments </w:t>
      </w:r>
      <w:r>
        <w:t>are distributed between the States and Territories.</w:t>
      </w:r>
      <w:r w:rsidR="00720F11">
        <w:t xml:space="preserve">  </w:t>
      </w:r>
      <w:r w:rsidR="00720F11" w:rsidRPr="00720F11">
        <w:t>The Act</w:t>
      </w:r>
      <w:r w:rsidR="00720F11">
        <w:t xml:space="preserve"> also</w:t>
      </w:r>
      <w:r w:rsidR="00720F11" w:rsidRPr="00720F11">
        <w:t xml:space="preserve"> requires </w:t>
      </w:r>
      <w:r w:rsidR="00720F11">
        <w:t xml:space="preserve">the Minister </w:t>
      </w:r>
      <w:r w:rsidR="00720F11" w:rsidRPr="00720F11">
        <w:t>have regard to the IGA</w:t>
      </w:r>
      <w:r w:rsidR="002E3E30">
        <w:t xml:space="preserve"> and the National Health Reform Agreement</w:t>
      </w:r>
      <w:r w:rsidR="00720F11" w:rsidRPr="00720F11">
        <w:t xml:space="preserve"> when making a determination for </w:t>
      </w:r>
      <w:r w:rsidR="00183255">
        <w:t>National Health Reform payments</w:t>
      </w:r>
      <w:r w:rsidR="00720F11" w:rsidRPr="00720F11">
        <w:t xml:space="preserve">.  </w:t>
      </w:r>
    </w:p>
    <w:p w14:paraId="689CAC44" w14:textId="29AC1F94" w:rsidR="001C5BE0" w:rsidRDefault="001C5BE0" w:rsidP="00623B80">
      <w:pPr>
        <w:pStyle w:val="bullet0"/>
        <w:tabs>
          <w:tab w:val="left" w:pos="8505"/>
        </w:tabs>
      </w:pPr>
      <w:r>
        <w:t xml:space="preserve">Advance payments in respect of </w:t>
      </w:r>
      <w:r w:rsidR="00183255">
        <w:t xml:space="preserve">National Health Reform </w:t>
      </w:r>
      <w:r>
        <w:t xml:space="preserve">are provided throughout the financial year based on estimates of each </w:t>
      </w:r>
      <w:r w:rsidR="001A0225">
        <w:t>jurisdiction</w:t>
      </w:r>
      <w:r w:rsidR="00002026">
        <w:t>s</w:t>
      </w:r>
      <w:r w:rsidR="001A0225">
        <w:t>’</w:t>
      </w:r>
      <w:r w:rsidR="00002026">
        <w:t xml:space="preserve"> </w:t>
      </w:r>
      <w:r>
        <w:t xml:space="preserve">anticipated entitlement.  Any </w:t>
      </w:r>
      <w:r w:rsidR="009C17A3">
        <w:t xml:space="preserve">adjustment </w:t>
      </w:r>
      <w:r>
        <w:t>between the advances paid to a ju</w:t>
      </w:r>
      <w:r w:rsidR="001E4004">
        <w:t>risdiction and the jurisdiction</w:t>
      </w:r>
      <w:r w:rsidR="001A0225">
        <w:t>’</w:t>
      </w:r>
      <w:r w:rsidR="001E4004">
        <w:t>s</w:t>
      </w:r>
      <w:r>
        <w:t xml:space="preserve"> determined entitlement </w:t>
      </w:r>
      <w:r w:rsidR="009A4D1B">
        <w:t>is</w:t>
      </w:r>
      <w:r>
        <w:t xml:space="preserve"> </w:t>
      </w:r>
      <w:r w:rsidR="009C17A3">
        <w:t>mad</w:t>
      </w:r>
      <w:r>
        <w:t xml:space="preserve">e in the first practicable payment </w:t>
      </w:r>
      <w:r w:rsidR="00984749">
        <w:t>after the determination is made</w:t>
      </w:r>
      <w:r>
        <w:t xml:space="preserve">.   </w:t>
      </w:r>
    </w:p>
    <w:p w14:paraId="5D898A36" w14:textId="62E98248" w:rsidR="001C5BE0" w:rsidRDefault="009C17A3" w:rsidP="00623B80">
      <w:pPr>
        <w:tabs>
          <w:tab w:val="left" w:pos="8505"/>
        </w:tabs>
        <w:spacing w:before="100" w:beforeAutospacing="1" w:after="100" w:afterAutospacing="1"/>
      </w:pPr>
      <w:bookmarkStart w:id="1" w:name="OLE_LINK5"/>
      <w:bookmarkStart w:id="2" w:name="OLE_LINK6"/>
      <w:bookmarkStart w:id="3" w:name="OLE_LINK17"/>
      <w:bookmarkEnd w:id="1"/>
      <w:bookmarkEnd w:id="2"/>
      <w:r>
        <w:t>T</w:t>
      </w:r>
      <w:r w:rsidR="001E4004">
        <w:t>his D</w:t>
      </w:r>
      <w:r w:rsidR="001C5BE0">
        <w:t xml:space="preserve">etermination in respect of </w:t>
      </w:r>
      <w:r w:rsidR="00C91ACF">
        <w:t xml:space="preserve">National </w:t>
      </w:r>
      <w:r w:rsidR="00183255">
        <w:t>Health Reform payments</w:t>
      </w:r>
      <w:r w:rsidR="00C91ACF">
        <w:t xml:space="preserve"> </w:t>
      </w:r>
      <w:r w:rsidR="00B22D03">
        <w:t>is a legislative instrument</w:t>
      </w:r>
      <w:r w:rsidR="001C5BE0">
        <w:t xml:space="preserve"> and will be registered on the Federal Register of Legislative Instruments</w:t>
      </w:r>
      <w:bookmarkEnd w:id="3"/>
      <w:r w:rsidR="001C5BE0">
        <w:t>.</w:t>
      </w:r>
    </w:p>
    <w:p w14:paraId="00882DD6" w14:textId="33964581" w:rsidR="00140B2A" w:rsidRDefault="00140B2A" w:rsidP="00623B80">
      <w:pPr>
        <w:pStyle w:val="bullet0"/>
        <w:tabs>
          <w:tab w:val="left" w:pos="8505"/>
        </w:tabs>
      </w:pPr>
      <w:r>
        <w:t xml:space="preserve">This </w:t>
      </w:r>
      <w:r w:rsidR="00B22D03">
        <w:t>D</w:t>
      </w:r>
      <w:r>
        <w:t>etermination is in accordance with Part 3</w:t>
      </w:r>
      <w:r w:rsidR="00183255">
        <w:t>A</w:t>
      </w:r>
      <w:r>
        <w:t xml:space="preserve"> of the Act, which provides for the </w:t>
      </w:r>
      <w:r w:rsidR="001A0225">
        <w:t>Minister,</w:t>
      </w:r>
      <w:r>
        <w:t xml:space="preserve"> by legislative instrument, to dete</w:t>
      </w:r>
      <w:r w:rsidR="00183255">
        <w:t>rmine the total amounts payable</w:t>
      </w:r>
      <w:r>
        <w:t>, the manner in which these total amounts are indexed</w:t>
      </w:r>
      <w:r w:rsidR="009C17A3">
        <w:t>,</w:t>
      </w:r>
      <w:r>
        <w:t xml:space="preserve"> and the manner in which these amounts are divided between the States</w:t>
      </w:r>
      <w:r w:rsidR="001E4004">
        <w:t xml:space="preserve"> and Territories</w:t>
      </w:r>
      <w:r>
        <w:t>.</w:t>
      </w:r>
    </w:p>
    <w:p w14:paraId="6ACB673F" w14:textId="77777777" w:rsidR="00CD3B7E" w:rsidRDefault="007647EE" w:rsidP="00CD3B7E">
      <w:pPr>
        <w:tabs>
          <w:tab w:val="left" w:pos="8505"/>
        </w:tabs>
        <w:spacing w:before="100" w:beforeAutospacing="1" w:after="100" w:afterAutospacing="1"/>
      </w:pPr>
      <w:r>
        <w:t xml:space="preserve">In accordance with the functions of the Administrator of the National Health Funding Pool under paragraph 238(1)(a) of the </w:t>
      </w:r>
      <w:r>
        <w:rPr>
          <w:i/>
        </w:rPr>
        <w:t>National Health Reform Act 2011</w:t>
      </w:r>
      <w:r>
        <w:t xml:space="preserve">, the Administrator </w:t>
      </w:r>
      <w:r w:rsidR="00E4064D">
        <w:t xml:space="preserve">has </w:t>
      </w:r>
      <w:r>
        <w:t xml:space="preserve">calculated and advised the amounts required to be paid by the Commonwealth into each State Pool Account of the National Health Funding Pool under the National Health Reform Agreement. </w:t>
      </w:r>
      <w:r w:rsidR="00C53AEE" w:rsidRPr="00C53AEE">
        <w:t>The Administrator of the National Health Funding Pool also received updated activity data related to public hospital services delivered in 2014-15.  This has resulted in additional Commonwealth payments to New South Wales and Queensland totalling $31.6 million. An adjustment has been included in the 2015</w:t>
      </w:r>
      <w:r w:rsidR="00984749">
        <w:noBreakHyphen/>
      </w:r>
      <w:r w:rsidR="00C53AEE" w:rsidRPr="00C53AEE">
        <w:t>16 entitlement to reflect the updated activity and resulting increase in Commonwealth funding.</w:t>
      </w:r>
      <w:r w:rsidR="00CD3B7E">
        <w:t xml:space="preserve"> </w:t>
      </w:r>
    </w:p>
    <w:p w14:paraId="788C7FD1" w14:textId="799885EE" w:rsidR="00E4064D" w:rsidRDefault="00CD3B7E" w:rsidP="00610249">
      <w:pPr>
        <w:pStyle w:val="bullet0"/>
        <w:tabs>
          <w:tab w:val="left" w:pos="8505"/>
        </w:tabs>
      </w:pPr>
      <w:r>
        <w:t>In 2017 the</w:t>
      </w:r>
      <w:r w:rsidR="009B1192">
        <w:t xml:space="preserve"> </w:t>
      </w:r>
      <w:r w:rsidR="00984749" w:rsidRPr="00FD5E05">
        <w:t>Commonwealth Minister for Health directed</w:t>
      </w:r>
      <w:r w:rsidR="00984749">
        <w:t xml:space="preserve"> the </w:t>
      </w:r>
      <w:r w:rsidR="009B1192">
        <w:t>IHPA</w:t>
      </w:r>
      <w:r w:rsidR="00463FC5">
        <w:t xml:space="preserve"> </w:t>
      </w:r>
      <w:r w:rsidR="00E4064D">
        <w:t xml:space="preserve">to </w:t>
      </w:r>
      <w:r w:rsidR="00463FC5">
        <w:t xml:space="preserve">review </w:t>
      </w:r>
      <w:r w:rsidR="009B1192">
        <w:t>a number of changes to the classification, counting and scope of non-admitted activity in 2015-16.</w:t>
      </w:r>
      <w:r w:rsidR="00E4064D">
        <w:t xml:space="preserve"> In particular, the IHPA was directed to </w:t>
      </w:r>
      <w:r w:rsidR="00E4064D" w:rsidRPr="00E4064D">
        <w:t>take steps to ensure that changes introduced to classification systems or costing methodologies across all activity based funding service categories are effectively back-cast, and to ensure that the introduction of changes in the non-admitted service category do not have a unintended impact on the calculation of efficient growth for the 2015-16 financial year.</w:t>
      </w:r>
    </w:p>
    <w:p w14:paraId="0BFEAFE2" w14:textId="477030F6" w:rsidR="00C53AEE" w:rsidRDefault="00866662" w:rsidP="00CD3B7E">
      <w:pPr>
        <w:pStyle w:val="bullet0"/>
        <w:tabs>
          <w:tab w:val="left" w:pos="8505"/>
        </w:tabs>
      </w:pPr>
      <w:r>
        <w:t xml:space="preserve">In response to the Commonwealth Minister for Health’s direction the IHPA issued a statement </w:t>
      </w:r>
      <w:r w:rsidR="00D1300C" w:rsidRPr="00D1300C">
        <w:t>acknowledging errors and issues affecting the growth calculation in the 2015-16 financial year</w:t>
      </w:r>
      <w:r>
        <w:t>.</w:t>
      </w:r>
      <w:r w:rsidR="00CD3B7E">
        <w:t xml:space="preserve"> </w:t>
      </w:r>
    </w:p>
    <w:p w14:paraId="68483219" w14:textId="1C63DC8B" w:rsidR="00541C22" w:rsidRPr="004B68AC" w:rsidRDefault="00541C22" w:rsidP="00623B80">
      <w:pPr>
        <w:pStyle w:val="NumberedParagraph"/>
        <w:numPr>
          <w:ilvl w:val="0"/>
          <w:numId w:val="0"/>
        </w:numPr>
        <w:tabs>
          <w:tab w:val="left" w:pos="8505"/>
        </w:tabs>
      </w:pPr>
      <w:r>
        <w:t>Having regard to</w:t>
      </w:r>
      <w:r w:rsidRPr="004B68AC">
        <w:t xml:space="preserve"> the Administrator’s advice and </w:t>
      </w:r>
      <w:r>
        <w:t>the IHPA statement on matters relevant to the amounts required to be paid to the States under the</w:t>
      </w:r>
      <w:r w:rsidRPr="00A35BE8">
        <w:t xml:space="preserve"> National Health Reform Agreement</w:t>
      </w:r>
      <w:r>
        <w:t xml:space="preserve">, </w:t>
      </w:r>
      <w:r w:rsidRPr="004B68AC">
        <w:t xml:space="preserve">in accordance with subsection 15A(1) of the FFR Act, the amounts specified in Table </w:t>
      </w:r>
      <w:r w:rsidR="00CD3B7E">
        <w:t>1</w:t>
      </w:r>
      <w:r w:rsidRPr="004B68AC">
        <w:t xml:space="preserve"> are to be paid for the 201</w:t>
      </w:r>
      <w:r>
        <w:t>5</w:t>
      </w:r>
      <w:r w:rsidRPr="004B68AC">
        <w:t>-1</w:t>
      </w:r>
      <w:r>
        <w:t>6</w:t>
      </w:r>
      <w:r w:rsidRPr="004B68AC">
        <w:t xml:space="preserve"> financial year to the States specified in that table.</w:t>
      </w:r>
    </w:p>
    <w:p w14:paraId="13309A49" w14:textId="77777777" w:rsidR="00532B35" w:rsidRDefault="00532B35" w:rsidP="00532B35">
      <w:pPr>
        <w:pStyle w:val="Heading3"/>
        <w:spacing w:after="0"/>
      </w:pPr>
      <w:r w:rsidRPr="005E1B08">
        <w:lastRenderedPageBreak/>
        <w:t xml:space="preserve">Table </w:t>
      </w:r>
      <w:r>
        <w:t>1</w:t>
      </w:r>
      <w:r w:rsidRPr="005E1B08">
        <w:t xml:space="preserve">: National health reform </w:t>
      </w:r>
      <w:r>
        <w:t>payments</w:t>
      </w:r>
      <w:r w:rsidRPr="005E1B08">
        <w:t>, 201</w:t>
      </w:r>
      <w:r>
        <w:t>5</w:t>
      </w:r>
      <w:r w:rsidRPr="005E1B08">
        <w:t>-1</w:t>
      </w:r>
      <w:r>
        <w:t>6</w:t>
      </w:r>
    </w:p>
    <w:tbl>
      <w:tblPr>
        <w:tblW w:w="8931" w:type="dxa"/>
        <w:tblInd w:w="108" w:type="dxa"/>
        <w:tblLook w:val="04A0" w:firstRow="1" w:lastRow="0" w:firstColumn="1" w:lastColumn="0" w:noHBand="0" w:noVBand="1"/>
      </w:tblPr>
      <w:tblGrid>
        <w:gridCol w:w="1462"/>
        <w:gridCol w:w="277"/>
        <w:gridCol w:w="2090"/>
        <w:gridCol w:w="1133"/>
        <w:gridCol w:w="330"/>
        <w:gridCol w:w="271"/>
        <w:gridCol w:w="3368"/>
      </w:tblGrid>
      <w:tr w:rsidR="00532B35" w:rsidRPr="00044D17" w14:paraId="10A1D5E9" w14:textId="77777777" w:rsidTr="007208DB">
        <w:trPr>
          <w:trHeight w:val="309"/>
        </w:trPr>
        <w:tc>
          <w:tcPr>
            <w:tcW w:w="1462" w:type="dxa"/>
            <w:tcBorders>
              <w:top w:val="nil"/>
              <w:left w:val="nil"/>
              <w:bottom w:val="nil"/>
              <w:right w:val="nil"/>
            </w:tcBorders>
            <w:shd w:val="clear" w:color="auto" w:fill="auto"/>
            <w:noWrap/>
            <w:vAlign w:val="bottom"/>
            <w:hideMark/>
          </w:tcPr>
          <w:p w14:paraId="4A9BB10B" w14:textId="77777777" w:rsidR="00532B35" w:rsidRPr="00044D17" w:rsidRDefault="00532B35" w:rsidP="007208DB">
            <w:pPr>
              <w:keepNext/>
              <w:tabs>
                <w:tab w:val="left" w:pos="8505"/>
              </w:tabs>
              <w:spacing w:after="0"/>
              <w:rPr>
                <w:color w:val="000000"/>
                <w:sz w:val="22"/>
                <w:szCs w:val="22"/>
              </w:rPr>
            </w:pPr>
          </w:p>
        </w:tc>
        <w:tc>
          <w:tcPr>
            <w:tcW w:w="277" w:type="dxa"/>
            <w:tcBorders>
              <w:top w:val="nil"/>
              <w:left w:val="nil"/>
              <w:bottom w:val="nil"/>
              <w:right w:val="nil"/>
            </w:tcBorders>
            <w:shd w:val="clear" w:color="auto" w:fill="auto"/>
            <w:noWrap/>
            <w:vAlign w:val="bottom"/>
            <w:hideMark/>
          </w:tcPr>
          <w:p w14:paraId="51E3DA9F" w14:textId="77777777" w:rsidR="00532B35" w:rsidRPr="00044D17" w:rsidRDefault="00532B35" w:rsidP="007208DB">
            <w:pPr>
              <w:keepNext/>
              <w:tabs>
                <w:tab w:val="left" w:pos="8505"/>
              </w:tabs>
              <w:spacing w:after="0"/>
              <w:rPr>
                <w:color w:val="000000"/>
                <w:sz w:val="22"/>
                <w:szCs w:val="22"/>
              </w:rPr>
            </w:pPr>
          </w:p>
        </w:tc>
        <w:tc>
          <w:tcPr>
            <w:tcW w:w="2090" w:type="dxa"/>
            <w:tcBorders>
              <w:top w:val="nil"/>
              <w:left w:val="nil"/>
              <w:bottom w:val="nil"/>
              <w:right w:val="nil"/>
            </w:tcBorders>
            <w:shd w:val="clear" w:color="auto" w:fill="auto"/>
            <w:noWrap/>
            <w:vAlign w:val="bottom"/>
            <w:hideMark/>
          </w:tcPr>
          <w:p w14:paraId="2D46E79F" w14:textId="77777777" w:rsidR="00532B35" w:rsidRPr="00044D17" w:rsidRDefault="00532B35" w:rsidP="007208DB">
            <w:pPr>
              <w:keepNext/>
              <w:tabs>
                <w:tab w:val="left" w:pos="8505"/>
              </w:tabs>
              <w:spacing w:after="0"/>
              <w:rPr>
                <w:color w:val="000000"/>
                <w:sz w:val="22"/>
                <w:szCs w:val="22"/>
              </w:rPr>
            </w:pPr>
          </w:p>
        </w:tc>
        <w:tc>
          <w:tcPr>
            <w:tcW w:w="1463" w:type="dxa"/>
            <w:gridSpan w:val="2"/>
            <w:tcBorders>
              <w:top w:val="nil"/>
              <w:left w:val="nil"/>
              <w:bottom w:val="nil"/>
              <w:right w:val="nil"/>
            </w:tcBorders>
            <w:shd w:val="clear" w:color="auto" w:fill="auto"/>
            <w:noWrap/>
            <w:vAlign w:val="bottom"/>
            <w:hideMark/>
          </w:tcPr>
          <w:p w14:paraId="14307AC8" w14:textId="77777777" w:rsidR="00532B35" w:rsidRPr="00044D17" w:rsidRDefault="00532B35" w:rsidP="007208DB">
            <w:pPr>
              <w:keepNext/>
              <w:tabs>
                <w:tab w:val="left" w:pos="8505"/>
              </w:tabs>
              <w:spacing w:after="0"/>
              <w:rPr>
                <w:color w:val="000000"/>
                <w:sz w:val="22"/>
                <w:szCs w:val="22"/>
              </w:rPr>
            </w:pPr>
          </w:p>
        </w:tc>
        <w:tc>
          <w:tcPr>
            <w:tcW w:w="271" w:type="dxa"/>
            <w:tcBorders>
              <w:top w:val="nil"/>
              <w:left w:val="nil"/>
              <w:bottom w:val="nil"/>
              <w:right w:val="nil"/>
            </w:tcBorders>
            <w:shd w:val="clear" w:color="auto" w:fill="auto"/>
            <w:noWrap/>
            <w:vAlign w:val="bottom"/>
            <w:hideMark/>
          </w:tcPr>
          <w:p w14:paraId="22E31117"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bottom"/>
            <w:hideMark/>
          </w:tcPr>
          <w:p w14:paraId="7C136F4D" w14:textId="77777777" w:rsidR="00532B35" w:rsidRPr="00044D17" w:rsidRDefault="00532B35" w:rsidP="007208DB">
            <w:pPr>
              <w:keepNext/>
              <w:tabs>
                <w:tab w:val="left" w:pos="8505"/>
              </w:tabs>
              <w:spacing w:after="0"/>
              <w:rPr>
                <w:color w:val="000000"/>
                <w:sz w:val="22"/>
                <w:szCs w:val="22"/>
              </w:rPr>
            </w:pPr>
          </w:p>
        </w:tc>
      </w:tr>
      <w:tr w:rsidR="00532B35" w:rsidRPr="00044D17" w14:paraId="747980BD" w14:textId="77777777" w:rsidTr="007208DB">
        <w:trPr>
          <w:trHeight w:val="252"/>
        </w:trPr>
        <w:tc>
          <w:tcPr>
            <w:tcW w:w="1462" w:type="dxa"/>
            <w:tcBorders>
              <w:top w:val="single" w:sz="4" w:space="0" w:color="auto"/>
              <w:left w:val="nil"/>
              <w:bottom w:val="single" w:sz="4" w:space="0" w:color="auto"/>
              <w:right w:val="nil"/>
            </w:tcBorders>
            <w:shd w:val="clear" w:color="auto" w:fill="auto"/>
            <w:noWrap/>
            <w:vAlign w:val="center"/>
            <w:hideMark/>
          </w:tcPr>
          <w:p w14:paraId="2B980591" w14:textId="77777777" w:rsidR="00532B35" w:rsidRPr="00044D17" w:rsidRDefault="00532B35" w:rsidP="007208DB">
            <w:pPr>
              <w:keepNext/>
              <w:tabs>
                <w:tab w:val="left" w:pos="8505"/>
              </w:tabs>
              <w:spacing w:after="0"/>
              <w:rPr>
                <w:b/>
                <w:bCs/>
                <w:color w:val="000000"/>
                <w:sz w:val="22"/>
                <w:szCs w:val="22"/>
              </w:rPr>
            </w:pPr>
            <w:r w:rsidRPr="00044D17">
              <w:rPr>
                <w:b/>
                <w:bCs/>
                <w:color w:val="000000"/>
                <w:sz w:val="22"/>
                <w:szCs w:val="22"/>
              </w:rPr>
              <w:t>State</w:t>
            </w:r>
          </w:p>
        </w:tc>
        <w:tc>
          <w:tcPr>
            <w:tcW w:w="277" w:type="dxa"/>
            <w:tcBorders>
              <w:top w:val="single" w:sz="4" w:space="0" w:color="auto"/>
              <w:left w:val="nil"/>
              <w:bottom w:val="single" w:sz="4" w:space="0" w:color="auto"/>
              <w:right w:val="nil"/>
            </w:tcBorders>
            <w:shd w:val="clear" w:color="auto" w:fill="auto"/>
            <w:noWrap/>
            <w:vAlign w:val="center"/>
            <w:hideMark/>
          </w:tcPr>
          <w:p w14:paraId="021A4ED1" w14:textId="77777777" w:rsidR="00532B35" w:rsidRPr="00044D17" w:rsidRDefault="00532B35" w:rsidP="007208DB">
            <w:pPr>
              <w:keepNext/>
              <w:tabs>
                <w:tab w:val="left" w:pos="8505"/>
              </w:tabs>
              <w:spacing w:after="0"/>
              <w:rPr>
                <w:b/>
                <w:bCs/>
                <w:color w:val="000000"/>
                <w:sz w:val="22"/>
                <w:szCs w:val="22"/>
              </w:rPr>
            </w:pPr>
            <w:r w:rsidRPr="00044D17">
              <w:rPr>
                <w:b/>
                <w:bCs/>
                <w:color w:val="000000"/>
                <w:sz w:val="22"/>
                <w:szCs w:val="22"/>
              </w:rPr>
              <w:t> </w:t>
            </w:r>
          </w:p>
        </w:tc>
        <w:tc>
          <w:tcPr>
            <w:tcW w:w="2090" w:type="dxa"/>
            <w:tcBorders>
              <w:top w:val="single" w:sz="4" w:space="0" w:color="auto"/>
              <w:left w:val="nil"/>
              <w:bottom w:val="single" w:sz="4" w:space="0" w:color="auto"/>
              <w:right w:val="nil"/>
            </w:tcBorders>
            <w:shd w:val="clear" w:color="auto" w:fill="auto"/>
            <w:noWrap/>
            <w:vAlign w:val="center"/>
            <w:hideMark/>
          </w:tcPr>
          <w:p w14:paraId="464E51D0" w14:textId="77777777" w:rsidR="00532B35" w:rsidRPr="00044D17" w:rsidRDefault="00532B35" w:rsidP="007208DB">
            <w:pPr>
              <w:keepNext/>
              <w:tabs>
                <w:tab w:val="left" w:pos="8505"/>
              </w:tabs>
              <w:spacing w:after="0"/>
              <w:rPr>
                <w:b/>
                <w:bCs/>
                <w:color w:val="000000"/>
                <w:sz w:val="22"/>
                <w:szCs w:val="22"/>
              </w:rPr>
            </w:pPr>
            <w:r w:rsidRPr="00044D17">
              <w:rPr>
                <w:b/>
                <w:bCs/>
                <w:color w:val="000000"/>
                <w:sz w:val="22"/>
                <w:szCs w:val="22"/>
              </w:rPr>
              <w:t> </w:t>
            </w:r>
          </w:p>
        </w:tc>
        <w:tc>
          <w:tcPr>
            <w:tcW w:w="5102" w:type="dxa"/>
            <w:gridSpan w:val="4"/>
            <w:tcBorders>
              <w:top w:val="single" w:sz="4" w:space="0" w:color="auto"/>
              <w:left w:val="nil"/>
              <w:bottom w:val="single" w:sz="4" w:space="0" w:color="auto"/>
              <w:right w:val="nil"/>
            </w:tcBorders>
            <w:shd w:val="clear" w:color="auto" w:fill="auto"/>
            <w:noWrap/>
            <w:vAlign w:val="center"/>
            <w:hideMark/>
          </w:tcPr>
          <w:p w14:paraId="45A560A5" w14:textId="22ACC9E6" w:rsidR="00532B35" w:rsidRPr="00044D17" w:rsidRDefault="00532B35" w:rsidP="00F4484D">
            <w:pPr>
              <w:keepNext/>
              <w:tabs>
                <w:tab w:val="left" w:pos="8505"/>
              </w:tabs>
              <w:spacing w:after="0"/>
              <w:jc w:val="right"/>
              <w:rPr>
                <w:b/>
                <w:bCs/>
                <w:color w:val="000000"/>
                <w:sz w:val="22"/>
                <w:szCs w:val="22"/>
              </w:rPr>
            </w:pPr>
            <w:r w:rsidRPr="00C53AEE">
              <w:rPr>
                <w:b/>
                <w:bCs/>
                <w:color w:val="000000"/>
                <w:sz w:val="22"/>
                <w:szCs w:val="22"/>
              </w:rPr>
              <w:t>National health reform payments</w:t>
            </w:r>
          </w:p>
        </w:tc>
      </w:tr>
      <w:tr w:rsidR="00532B35" w:rsidRPr="00044D17" w14:paraId="1B0C2194" w14:textId="77777777" w:rsidTr="007208DB">
        <w:trPr>
          <w:trHeight w:val="413"/>
        </w:trPr>
        <w:tc>
          <w:tcPr>
            <w:tcW w:w="4962" w:type="dxa"/>
            <w:gridSpan w:val="4"/>
            <w:tcBorders>
              <w:top w:val="single" w:sz="4" w:space="0" w:color="auto"/>
              <w:left w:val="nil"/>
              <w:bottom w:val="nil"/>
              <w:right w:val="nil"/>
            </w:tcBorders>
            <w:shd w:val="clear" w:color="auto" w:fill="auto"/>
            <w:noWrap/>
            <w:vAlign w:val="center"/>
            <w:hideMark/>
          </w:tcPr>
          <w:p w14:paraId="744CDAF4"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New South Wales</w:t>
            </w:r>
            <w:r>
              <w:rPr>
                <w:color w:val="000000"/>
                <w:sz w:val="22"/>
                <w:szCs w:val="22"/>
              </w:rPr>
              <w:t xml:space="preserve"> </w:t>
            </w:r>
          </w:p>
        </w:tc>
        <w:tc>
          <w:tcPr>
            <w:tcW w:w="330" w:type="dxa"/>
            <w:tcBorders>
              <w:top w:val="nil"/>
              <w:left w:val="nil"/>
              <w:bottom w:val="nil"/>
              <w:right w:val="nil"/>
            </w:tcBorders>
            <w:shd w:val="clear" w:color="auto" w:fill="auto"/>
            <w:noWrap/>
            <w:vAlign w:val="center"/>
            <w:hideMark/>
          </w:tcPr>
          <w:p w14:paraId="4378AC11" w14:textId="77777777" w:rsidR="00532B35" w:rsidRPr="00044D17" w:rsidRDefault="00532B35" w:rsidP="007208DB">
            <w:pPr>
              <w:keepNext/>
              <w:tabs>
                <w:tab w:val="left" w:pos="8505"/>
              </w:tabs>
              <w:spacing w:after="0"/>
              <w:rPr>
                <w:color w:val="000000"/>
                <w:sz w:val="22"/>
                <w:szCs w:val="22"/>
              </w:rPr>
            </w:pPr>
          </w:p>
        </w:tc>
        <w:tc>
          <w:tcPr>
            <w:tcW w:w="3639" w:type="dxa"/>
            <w:gridSpan w:val="2"/>
            <w:tcBorders>
              <w:top w:val="nil"/>
              <w:left w:val="nil"/>
              <w:bottom w:val="nil"/>
              <w:right w:val="nil"/>
            </w:tcBorders>
            <w:shd w:val="clear" w:color="auto" w:fill="auto"/>
            <w:noWrap/>
            <w:vAlign w:val="center"/>
            <w:hideMark/>
          </w:tcPr>
          <w:p w14:paraId="076DD189" w14:textId="09CAC1D4"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xml:space="preserve">              </w:t>
            </w:r>
            <w:r w:rsidR="00F4484D">
              <w:rPr>
                <w:color w:val="000000"/>
              </w:rPr>
              <w:t>$</w:t>
            </w:r>
            <w:r>
              <w:rPr>
                <w:color w:val="000000"/>
              </w:rPr>
              <w:t xml:space="preserve">5,349,009,853.05 </w:t>
            </w:r>
          </w:p>
        </w:tc>
      </w:tr>
      <w:tr w:rsidR="00532B35" w:rsidRPr="00044D17" w14:paraId="5AE7A35D"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3B70F612"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Victoria</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779CD911"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57405AC9" w14:textId="57BDA274"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4,244,207,872.46 </w:t>
            </w:r>
          </w:p>
        </w:tc>
      </w:tr>
      <w:tr w:rsidR="00532B35" w:rsidRPr="00044D17" w14:paraId="5FE12F68"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03731888"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Queensland</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7180C28A"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73B41D9E" w14:textId="3089DF1B"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3,707,009,810.39 </w:t>
            </w:r>
          </w:p>
        </w:tc>
      </w:tr>
      <w:tr w:rsidR="00532B35" w:rsidRPr="00044D17" w14:paraId="1B656535"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5CE4901B"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Western Australia</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47794828"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12D1F309" w14:textId="55876DF1"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xml:space="preserve">              </w:t>
            </w:r>
            <w:r w:rsidR="00F4484D">
              <w:rPr>
                <w:color w:val="000000"/>
              </w:rPr>
              <w:t>$</w:t>
            </w:r>
            <w:r>
              <w:rPr>
                <w:color w:val="000000"/>
              </w:rPr>
              <w:t xml:space="preserve">1,951,756,566.17 </w:t>
            </w:r>
          </w:p>
        </w:tc>
      </w:tr>
      <w:tr w:rsidR="00532B35" w:rsidRPr="00044D17" w14:paraId="0A838B9C"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1BE859EE"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South Australia</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3BCEB15D"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03771594" w14:textId="1D24B607"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xml:space="preserve">              </w:t>
            </w:r>
            <w:r w:rsidR="00F4484D">
              <w:rPr>
                <w:color w:val="000000"/>
              </w:rPr>
              <w:t>$</w:t>
            </w:r>
            <w:r>
              <w:rPr>
                <w:color w:val="000000"/>
              </w:rPr>
              <w:t xml:space="preserve">1,239,264,249.03 </w:t>
            </w:r>
          </w:p>
        </w:tc>
      </w:tr>
      <w:tr w:rsidR="00532B35" w:rsidRPr="00044D17" w14:paraId="1261BE71"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738FA607"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Tasmania</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68E149E2"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25DC6029" w14:textId="255F346A"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366,292,568.83 </w:t>
            </w:r>
          </w:p>
        </w:tc>
      </w:tr>
      <w:tr w:rsidR="00532B35" w:rsidRPr="00044D17" w14:paraId="2F8E3225"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4AD3BBB5"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Australian Capital Territory</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37D4F39C"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nil"/>
              <w:right w:val="nil"/>
            </w:tcBorders>
            <w:shd w:val="clear" w:color="auto" w:fill="auto"/>
            <w:noWrap/>
            <w:vAlign w:val="center"/>
            <w:hideMark/>
          </w:tcPr>
          <w:p w14:paraId="7F926DE0" w14:textId="224F8816"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340,685,421.23 </w:t>
            </w:r>
          </w:p>
        </w:tc>
      </w:tr>
      <w:tr w:rsidR="00532B35" w:rsidRPr="00044D17" w14:paraId="407B95CB" w14:textId="77777777" w:rsidTr="007208DB">
        <w:trPr>
          <w:trHeight w:val="413"/>
        </w:trPr>
        <w:tc>
          <w:tcPr>
            <w:tcW w:w="5292" w:type="dxa"/>
            <w:gridSpan w:val="5"/>
            <w:tcBorders>
              <w:top w:val="nil"/>
              <w:left w:val="nil"/>
              <w:bottom w:val="nil"/>
              <w:right w:val="nil"/>
            </w:tcBorders>
            <w:shd w:val="clear" w:color="auto" w:fill="auto"/>
            <w:noWrap/>
            <w:vAlign w:val="center"/>
            <w:hideMark/>
          </w:tcPr>
          <w:p w14:paraId="7D26945F"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Northern Territory</w:t>
            </w:r>
            <w:r>
              <w:rPr>
                <w:color w:val="000000"/>
                <w:sz w:val="22"/>
                <w:szCs w:val="22"/>
              </w:rPr>
              <w:t xml:space="preserve"> </w:t>
            </w:r>
          </w:p>
        </w:tc>
        <w:tc>
          <w:tcPr>
            <w:tcW w:w="271" w:type="dxa"/>
            <w:tcBorders>
              <w:top w:val="nil"/>
              <w:left w:val="nil"/>
              <w:bottom w:val="nil"/>
              <w:right w:val="nil"/>
            </w:tcBorders>
            <w:shd w:val="clear" w:color="auto" w:fill="auto"/>
            <w:noWrap/>
            <w:vAlign w:val="center"/>
            <w:hideMark/>
          </w:tcPr>
          <w:p w14:paraId="4C170609" w14:textId="77777777" w:rsidR="00532B35" w:rsidRPr="00044D17" w:rsidRDefault="00532B35" w:rsidP="007208DB">
            <w:pPr>
              <w:keepNext/>
              <w:tabs>
                <w:tab w:val="left" w:pos="8505"/>
              </w:tabs>
              <w:spacing w:after="0"/>
              <w:rPr>
                <w:color w:val="000000"/>
                <w:sz w:val="22"/>
                <w:szCs w:val="22"/>
              </w:rPr>
            </w:pPr>
          </w:p>
        </w:tc>
        <w:tc>
          <w:tcPr>
            <w:tcW w:w="3368" w:type="dxa"/>
            <w:tcBorders>
              <w:top w:val="nil"/>
              <w:left w:val="nil"/>
              <w:bottom w:val="single" w:sz="4" w:space="0" w:color="auto"/>
              <w:right w:val="nil"/>
            </w:tcBorders>
            <w:shd w:val="clear" w:color="auto" w:fill="auto"/>
            <w:noWrap/>
            <w:vAlign w:val="center"/>
            <w:hideMark/>
          </w:tcPr>
          <w:p w14:paraId="2A4F54F9" w14:textId="14A2C049"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204,317,501.10 </w:t>
            </w:r>
          </w:p>
        </w:tc>
      </w:tr>
      <w:tr w:rsidR="00532B35" w:rsidRPr="00044D17" w14:paraId="207B1529" w14:textId="77777777" w:rsidTr="007208DB">
        <w:trPr>
          <w:trHeight w:val="205"/>
        </w:trPr>
        <w:tc>
          <w:tcPr>
            <w:tcW w:w="5292" w:type="dxa"/>
            <w:gridSpan w:val="5"/>
            <w:tcBorders>
              <w:top w:val="nil"/>
              <w:left w:val="nil"/>
              <w:bottom w:val="single" w:sz="4" w:space="0" w:color="auto"/>
              <w:right w:val="nil"/>
            </w:tcBorders>
            <w:shd w:val="clear" w:color="auto" w:fill="auto"/>
            <w:noWrap/>
            <w:vAlign w:val="center"/>
            <w:hideMark/>
          </w:tcPr>
          <w:p w14:paraId="602E7592" w14:textId="77777777" w:rsidR="00532B35" w:rsidRPr="00044D17" w:rsidRDefault="00532B35" w:rsidP="007208DB">
            <w:pPr>
              <w:keepNext/>
              <w:tabs>
                <w:tab w:val="left" w:pos="8505"/>
              </w:tabs>
              <w:spacing w:after="0"/>
              <w:rPr>
                <w:b/>
                <w:bCs/>
                <w:color w:val="000000"/>
                <w:sz w:val="22"/>
                <w:szCs w:val="22"/>
              </w:rPr>
            </w:pPr>
            <w:r w:rsidRPr="00044D17">
              <w:rPr>
                <w:b/>
                <w:bCs/>
                <w:color w:val="000000"/>
                <w:sz w:val="22"/>
                <w:szCs w:val="22"/>
              </w:rPr>
              <w:t>Total</w:t>
            </w:r>
            <w:r>
              <w:rPr>
                <w:b/>
                <w:bCs/>
                <w:color w:val="000000"/>
                <w:sz w:val="22"/>
                <w:szCs w:val="22"/>
              </w:rPr>
              <w:t xml:space="preserve"> </w:t>
            </w:r>
          </w:p>
        </w:tc>
        <w:tc>
          <w:tcPr>
            <w:tcW w:w="271" w:type="dxa"/>
            <w:tcBorders>
              <w:top w:val="nil"/>
              <w:left w:val="nil"/>
              <w:bottom w:val="single" w:sz="4" w:space="0" w:color="auto"/>
              <w:right w:val="nil"/>
            </w:tcBorders>
            <w:shd w:val="clear" w:color="auto" w:fill="auto"/>
            <w:noWrap/>
            <w:vAlign w:val="center"/>
            <w:hideMark/>
          </w:tcPr>
          <w:p w14:paraId="7161404C" w14:textId="77777777" w:rsidR="00532B35" w:rsidRPr="00044D17" w:rsidRDefault="00532B35" w:rsidP="007208DB">
            <w:pPr>
              <w:keepNext/>
              <w:tabs>
                <w:tab w:val="left" w:pos="8505"/>
              </w:tabs>
              <w:spacing w:after="0"/>
              <w:rPr>
                <w:color w:val="000000"/>
                <w:sz w:val="22"/>
                <w:szCs w:val="22"/>
              </w:rPr>
            </w:pPr>
            <w:r w:rsidRPr="00044D17">
              <w:rPr>
                <w:color w:val="000000"/>
                <w:sz w:val="22"/>
                <w:szCs w:val="22"/>
              </w:rPr>
              <w:t> </w:t>
            </w:r>
          </w:p>
        </w:tc>
        <w:tc>
          <w:tcPr>
            <w:tcW w:w="3368" w:type="dxa"/>
            <w:tcBorders>
              <w:top w:val="nil"/>
              <w:left w:val="nil"/>
              <w:bottom w:val="single" w:sz="4" w:space="0" w:color="auto"/>
              <w:right w:val="nil"/>
            </w:tcBorders>
            <w:shd w:val="clear" w:color="auto" w:fill="auto"/>
            <w:noWrap/>
            <w:vAlign w:val="center"/>
            <w:hideMark/>
          </w:tcPr>
          <w:p w14:paraId="3AEC90C8" w14:textId="42B76AAA" w:rsidR="00532B35" w:rsidRPr="00044D17" w:rsidRDefault="00532B35" w:rsidP="007208DB">
            <w:pPr>
              <w:keepNext/>
              <w:tabs>
                <w:tab w:val="left" w:pos="8505"/>
              </w:tabs>
              <w:spacing w:after="0"/>
              <w:ind w:firstLineChars="200" w:firstLine="480"/>
              <w:jc w:val="right"/>
              <w:rPr>
                <w:color w:val="000000"/>
                <w:sz w:val="22"/>
                <w:szCs w:val="22"/>
              </w:rPr>
            </w:pPr>
            <w:r>
              <w:rPr>
                <w:color w:val="000000"/>
              </w:rPr>
              <w:t>           </w:t>
            </w:r>
            <w:r w:rsidR="00F4484D">
              <w:rPr>
                <w:color w:val="000000"/>
              </w:rPr>
              <w:t>$</w:t>
            </w:r>
            <w:r>
              <w:rPr>
                <w:color w:val="000000"/>
              </w:rPr>
              <w:t xml:space="preserve">17,402,543,842.27 </w:t>
            </w:r>
          </w:p>
        </w:tc>
      </w:tr>
    </w:tbl>
    <w:p w14:paraId="2525CE41" w14:textId="76561137" w:rsidR="00106A46" w:rsidRDefault="00106A46" w:rsidP="00623B80">
      <w:pPr>
        <w:tabs>
          <w:tab w:val="left" w:pos="8505"/>
        </w:tabs>
        <w:spacing w:before="100" w:beforeAutospacing="1" w:after="100" w:afterAutospacing="1"/>
        <w:rPr>
          <w:b/>
        </w:rPr>
      </w:pPr>
      <w:r w:rsidRPr="00106A46">
        <w:rPr>
          <w:b/>
        </w:rPr>
        <w:t>Consultation</w:t>
      </w:r>
    </w:p>
    <w:p w14:paraId="366657C2" w14:textId="4689C594" w:rsidR="00106A46" w:rsidRDefault="00106A46" w:rsidP="00623B80">
      <w:pPr>
        <w:tabs>
          <w:tab w:val="left" w:pos="8505"/>
        </w:tabs>
      </w:pPr>
      <w:r w:rsidRPr="00E970EA">
        <w:t xml:space="preserve">The IGA </w:t>
      </w:r>
      <w:r w:rsidR="00183255">
        <w:t xml:space="preserve">and National Health Reform Agreement </w:t>
      </w:r>
      <w:r w:rsidRPr="00E970EA">
        <w:t>w</w:t>
      </w:r>
      <w:r w:rsidR="00183255">
        <w:t>ere</w:t>
      </w:r>
      <w:r w:rsidRPr="00E970EA">
        <w:t xml:space="preserve"> subject to extensive consultation with the States</w:t>
      </w:r>
      <w:r w:rsidR="001E4004">
        <w:t xml:space="preserve"> and Territories</w:t>
      </w:r>
      <w:r w:rsidRPr="00E970EA">
        <w:t xml:space="preserve"> and w</w:t>
      </w:r>
      <w:r w:rsidR="00183255">
        <w:t>ere</w:t>
      </w:r>
      <w:r w:rsidRPr="00E970EA">
        <w:t xml:space="preserve"> signed by all jurisdictions.  </w:t>
      </w:r>
      <w:r w:rsidR="00183255">
        <w:t>Both agreements are</w:t>
      </w:r>
      <w:r w:rsidRPr="00E970EA">
        <w:t xml:space="preserve"> </w:t>
      </w:r>
      <w:r w:rsidR="00D43114" w:rsidRPr="00E970EA">
        <w:t>publicly</w:t>
      </w:r>
      <w:r w:rsidRPr="00E970EA">
        <w:t xml:space="preserve"> available on the website for the Council </w:t>
      </w:r>
      <w:r w:rsidR="00984749">
        <w:t>on</w:t>
      </w:r>
      <w:r w:rsidRPr="00E970EA">
        <w:t xml:space="preserve"> Federal Financial Relations.  Consultation with the States </w:t>
      </w:r>
      <w:r w:rsidR="001E4004">
        <w:t>and Territories</w:t>
      </w:r>
      <w:r w:rsidR="001E4004" w:rsidRPr="00E970EA">
        <w:t xml:space="preserve"> </w:t>
      </w:r>
      <w:r w:rsidRPr="00E970EA">
        <w:t xml:space="preserve">on </w:t>
      </w:r>
      <w:r w:rsidR="00183255">
        <w:t>National Health Reform funding</w:t>
      </w:r>
      <w:r w:rsidRPr="00E970EA">
        <w:t xml:space="preserve"> also occurs regularly, principally through meetings between Heads of Treasuries.</w:t>
      </w:r>
    </w:p>
    <w:p w14:paraId="590FBFAA" w14:textId="77777777" w:rsidR="007513FE" w:rsidRPr="00E009A6" w:rsidRDefault="007513FE" w:rsidP="00623B80">
      <w:pPr>
        <w:tabs>
          <w:tab w:val="left" w:pos="8505"/>
        </w:tabs>
        <w:spacing w:before="100" w:beforeAutospacing="1" w:after="100" w:afterAutospacing="1"/>
        <w:rPr>
          <w:b/>
        </w:rPr>
      </w:pPr>
      <w:r w:rsidRPr="00E009A6">
        <w:rPr>
          <w:b/>
        </w:rPr>
        <w:t>Commencement</w:t>
      </w:r>
    </w:p>
    <w:p w14:paraId="4C38CFC6" w14:textId="3AB89700" w:rsidR="00CE1015" w:rsidRDefault="001E4004" w:rsidP="00623B80">
      <w:pPr>
        <w:tabs>
          <w:tab w:val="left" w:pos="2880"/>
          <w:tab w:val="left" w:pos="8505"/>
          <w:tab w:val="right" w:pos="8640"/>
        </w:tabs>
        <w:spacing w:after="0"/>
        <w:rPr>
          <w:snapToGrid w:val="0"/>
          <w:lang w:eastAsia="en-US"/>
        </w:rPr>
      </w:pPr>
      <w:r>
        <w:rPr>
          <w:snapToGrid w:val="0"/>
          <w:lang w:eastAsia="en-US"/>
        </w:rPr>
        <w:t>This</w:t>
      </w:r>
      <w:r w:rsidR="00CE1015">
        <w:rPr>
          <w:snapToGrid w:val="0"/>
          <w:lang w:eastAsia="en-US"/>
        </w:rPr>
        <w:t xml:space="preserve"> </w:t>
      </w:r>
      <w:r w:rsidR="0003226E">
        <w:rPr>
          <w:snapToGrid w:val="0"/>
          <w:lang w:eastAsia="en-US"/>
        </w:rPr>
        <w:t>D</w:t>
      </w:r>
      <w:r w:rsidR="00CE1015">
        <w:rPr>
          <w:snapToGrid w:val="0"/>
          <w:lang w:eastAsia="en-US"/>
        </w:rPr>
        <w:t>etermination commences</w:t>
      </w:r>
      <w:r w:rsidR="00CE1015" w:rsidRPr="001E6B5B">
        <w:rPr>
          <w:snapToGrid w:val="0"/>
          <w:lang w:eastAsia="en-US"/>
        </w:rPr>
        <w:t xml:space="preserve"> on </w:t>
      </w:r>
      <w:r w:rsidR="00CE1015">
        <w:rPr>
          <w:snapToGrid w:val="0"/>
          <w:lang w:eastAsia="en-US"/>
        </w:rPr>
        <w:t xml:space="preserve">the day </w:t>
      </w:r>
      <w:r w:rsidR="007513FE">
        <w:rPr>
          <w:snapToGrid w:val="0"/>
          <w:lang w:eastAsia="en-US"/>
        </w:rPr>
        <w:t xml:space="preserve">it </w:t>
      </w:r>
      <w:r w:rsidR="00984749">
        <w:rPr>
          <w:snapToGrid w:val="0"/>
          <w:lang w:eastAsia="en-US"/>
        </w:rPr>
        <w:t>is</w:t>
      </w:r>
      <w:r w:rsidR="007513FE">
        <w:rPr>
          <w:snapToGrid w:val="0"/>
          <w:lang w:eastAsia="en-US"/>
        </w:rPr>
        <w:t xml:space="preserve"> made</w:t>
      </w:r>
      <w:r w:rsidR="00CE1015" w:rsidRPr="001E6B5B">
        <w:rPr>
          <w:snapToGrid w:val="0"/>
          <w:lang w:eastAsia="en-US"/>
        </w:rPr>
        <w:t>.</w:t>
      </w:r>
    </w:p>
    <w:p w14:paraId="7F36BDAF" w14:textId="77777777" w:rsidR="000069CF" w:rsidRDefault="000069CF" w:rsidP="000069CF">
      <w:pPr>
        <w:spacing w:before="100" w:beforeAutospacing="1" w:after="100" w:afterAutospacing="1"/>
        <w:rPr>
          <w:b/>
        </w:rPr>
      </w:pPr>
      <w:r>
        <w:rPr>
          <w:b/>
        </w:rPr>
        <w:t>Disallowance of the legislative instrument</w:t>
      </w:r>
    </w:p>
    <w:p w14:paraId="79719C8D" w14:textId="51AAB4E8" w:rsidR="000069CF" w:rsidRPr="000069CF" w:rsidRDefault="000069CF" w:rsidP="00623B80">
      <w:pPr>
        <w:tabs>
          <w:tab w:val="left" w:pos="2880"/>
          <w:tab w:val="left" w:pos="8505"/>
          <w:tab w:val="right" w:pos="8640"/>
        </w:tabs>
        <w:spacing w:after="0"/>
        <w:rPr>
          <w:i/>
        </w:rPr>
      </w:pPr>
      <w:r>
        <w:t xml:space="preserve">This Determination is exempt from disallowance in accordance with subsection 15A(2) of the </w:t>
      </w:r>
      <w:r w:rsidRPr="000069CF">
        <w:rPr>
          <w:i/>
        </w:rPr>
        <w:t>Federal Financial Relations Act 2009</w:t>
      </w:r>
      <w:r>
        <w:rPr>
          <w:i/>
        </w:rPr>
        <w:t xml:space="preserve"> </w:t>
      </w:r>
      <w:r>
        <w:t xml:space="preserve">and paragraph 44(2)(a) of the </w:t>
      </w:r>
      <w:r w:rsidRPr="000069CF">
        <w:rPr>
          <w:i/>
        </w:rPr>
        <w:t>Legislation Act 2003</w:t>
      </w:r>
      <w:r>
        <w:rPr>
          <w:i/>
        </w:rPr>
        <w:t>.</w:t>
      </w:r>
    </w:p>
    <w:p w14:paraId="6F0C31AD" w14:textId="6E0DEAA5" w:rsidR="00F15D1B" w:rsidRDefault="00F15D1B" w:rsidP="00623B80">
      <w:pPr>
        <w:tabs>
          <w:tab w:val="left" w:pos="2880"/>
          <w:tab w:val="left" w:pos="8505"/>
          <w:tab w:val="right" w:pos="8640"/>
        </w:tabs>
        <w:spacing w:after="0"/>
        <w:rPr>
          <w:snapToGrid w:val="0"/>
          <w:lang w:eastAsia="en-US"/>
        </w:rPr>
      </w:pPr>
    </w:p>
    <w:p w14:paraId="2A6DAAB4" w14:textId="77777777" w:rsidR="007061BF" w:rsidRPr="00D56A5F" w:rsidRDefault="007061BF" w:rsidP="00623B80">
      <w:pPr>
        <w:pStyle w:val="Heading2"/>
        <w:tabs>
          <w:tab w:val="left" w:pos="8505"/>
        </w:tabs>
        <w:jc w:val="center"/>
        <w:rPr>
          <w:u w:val="single"/>
        </w:rPr>
      </w:pPr>
      <w:r w:rsidRPr="00D56A5F">
        <w:rPr>
          <w:u w:val="single"/>
        </w:rPr>
        <w:t>Statement of Compatibility with Human Rights</w:t>
      </w:r>
    </w:p>
    <w:p w14:paraId="4C3A8CB0" w14:textId="77777777" w:rsidR="007061BF" w:rsidRPr="001E4004" w:rsidRDefault="007061BF" w:rsidP="00623B80">
      <w:pPr>
        <w:tabs>
          <w:tab w:val="left" w:pos="8505"/>
        </w:tabs>
        <w:jc w:val="center"/>
      </w:pPr>
      <w:r w:rsidRPr="00E4438C">
        <w:rPr>
          <w:i/>
        </w:rPr>
        <w:t xml:space="preserve">Prepared in accordance with Part 3 of the </w:t>
      </w:r>
      <w:r w:rsidRPr="001E4004">
        <w:t>Human Rights (Parliamentary Scrutiny) Act 2011</w:t>
      </w:r>
    </w:p>
    <w:p w14:paraId="7D3418D8" w14:textId="77777777" w:rsidR="007061BF" w:rsidRDefault="007061BF" w:rsidP="00623B80">
      <w:pPr>
        <w:tabs>
          <w:tab w:val="left" w:pos="8505"/>
        </w:tabs>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2AA1FA9" w14:textId="77777777" w:rsidR="007061BF" w:rsidRPr="00D56A5F" w:rsidRDefault="007061BF" w:rsidP="00623B80">
      <w:pPr>
        <w:tabs>
          <w:tab w:val="left" w:pos="8505"/>
        </w:tabs>
        <w:rPr>
          <w:b/>
        </w:rPr>
      </w:pPr>
      <w:r w:rsidRPr="00D56A5F">
        <w:rPr>
          <w:b/>
        </w:rPr>
        <w:t>Overview of the Legislative Instrument</w:t>
      </w:r>
    </w:p>
    <w:p w14:paraId="638D86B6" w14:textId="1BDD980E" w:rsidR="007061BF" w:rsidRDefault="007061BF" w:rsidP="00623B80">
      <w:pPr>
        <w:tabs>
          <w:tab w:val="left" w:pos="8505"/>
        </w:tabs>
      </w:pPr>
      <w:r>
        <w:t>In accordance with</w:t>
      </w:r>
      <w:r w:rsidRPr="00D21E0C">
        <w:t xml:space="preserve"> the </w:t>
      </w:r>
      <w:r w:rsidR="00610249" w:rsidRPr="00610249">
        <w:t>IGA</w:t>
      </w:r>
      <w:r>
        <w:rPr>
          <w:i/>
        </w:rPr>
        <w:t xml:space="preserve"> </w:t>
      </w:r>
      <w:r>
        <w:t xml:space="preserve">and the </w:t>
      </w:r>
      <w:r w:rsidR="00610249" w:rsidRPr="00610249">
        <w:t>Act</w:t>
      </w:r>
      <w:r w:rsidRPr="00610249">
        <w:t>,</w:t>
      </w:r>
      <w:r w:rsidRPr="00D21E0C">
        <w:t xml:space="preserve"> the Commonwealth provides </w:t>
      </w:r>
      <w:r>
        <w:t>Nation</w:t>
      </w:r>
      <w:r w:rsidR="001E4004">
        <w:t>al</w:t>
      </w:r>
      <w:r>
        <w:t xml:space="preserve"> Health Reform payments</w:t>
      </w:r>
      <w:r w:rsidRPr="00D21E0C">
        <w:t xml:space="preserve"> to the States and Territories as a financial contribution </w:t>
      </w:r>
      <w:r w:rsidR="00110D6D" w:rsidRPr="00110D6D">
        <w:t>for the purpose of expenditure in accordance with the N</w:t>
      </w:r>
      <w:r w:rsidR="00110D6D">
        <w:t>ational Health Reform Agreement</w:t>
      </w:r>
      <w:r w:rsidRPr="00D21E0C">
        <w:t>.</w:t>
      </w:r>
      <w:r>
        <w:t xml:space="preserve">  </w:t>
      </w:r>
    </w:p>
    <w:p w14:paraId="4775D8AC" w14:textId="2C30DE0F" w:rsidR="007061BF" w:rsidRDefault="007061BF" w:rsidP="00623B80">
      <w:pPr>
        <w:tabs>
          <w:tab w:val="left" w:pos="8505"/>
        </w:tabs>
      </w:pPr>
      <w:r w:rsidRPr="008A24B8">
        <w:t xml:space="preserve">This </w:t>
      </w:r>
      <w:r>
        <w:t>Legislative Instrument d</w:t>
      </w:r>
      <w:r w:rsidRPr="008A24B8">
        <w:t>etermin</w:t>
      </w:r>
      <w:r>
        <w:t xml:space="preserve">es </w:t>
      </w:r>
      <w:r w:rsidRPr="008A24B8">
        <w:t xml:space="preserve">the total amounts payable </w:t>
      </w:r>
      <w:r>
        <w:t>in respect of</w:t>
      </w:r>
      <w:r w:rsidRPr="008A24B8">
        <w:t xml:space="preserve"> </w:t>
      </w:r>
      <w:r>
        <w:t>National Health Reform funding for 201</w:t>
      </w:r>
      <w:r w:rsidR="00061AF9">
        <w:t>5</w:t>
      </w:r>
      <w:r>
        <w:noBreakHyphen/>
        <w:t>1</w:t>
      </w:r>
      <w:r w:rsidR="00061AF9">
        <w:t>6</w:t>
      </w:r>
      <w:r w:rsidR="001E4004">
        <w:t>,</w:t>
      </w:r>
      <w:r w:rsidR="00110D6D">
        <w:t xml:space="preserve"> </w:t>
      </w:r>
      <w:r w:rsidRPr="008A24B8">
        <w:t>and the manner in which these amounts are divided between the States</w:t>
      </w:r>
      <w:r>
        <w:t xml:space="preserve"> and Territories</w:t>
      </w:r>
      <w:r w:rsidRPr="008A24B8">
        <w:t>.</w:t>
      </w:r>
      <w:r w:rsidR="00110D6D">
        <w:t xml:space="preserve"> </w:t>
      </w:r>
    </w:p>
    <w:p w14:paraId="0F060F2F" w14:textId="77777777" w:rsidR="007061BF" w:rsidRPr="00D56A5F" w:rsidRDefault="007061BF" w:rsidP="00494D78">
      <w:pPr>
        <w:keepNext/>
        <w:tabs>
          <w:tab w:val="left" w:pos="8505"/>
        </w:tabs>
        <w:rPr>
          <w:b/>
        </w:rPr>
      </w:pPr>
      <w:r w:rsidRPr="00D56A5F">
        <w:rPr>
          <w:b/>
        </w:rPr>
        <w:lastRenderedPageBreak/>
        <w:t>Human rights implications</w:t>
      </w:r>
    </w:p>
    <w:p w14:paraId="7B65C2F6" w14:textId="538E0568" w:rsidR="00BE5345" w:rsidRDefault="00610249" w:rsidP="00623B80">
      <w:pPr>
        <w:pStyle w:val="Bullet"/>
        <w:numPr>
          <w:ilvl w:val="0"/>
          <w:numId w:val="0"/>
        </w:numPr>
        <w:tabs>
          <w:tab w:val="left" w:pos="8505"/>
        </w:tabs>
      </w:pPr>
      <w:r>
        <w:t>T</w:t>
      </w:r>
      <w:r w:rsidR="00BE5345" w:rsidRPr="00BE5345">
        <w:t>his instrument provides for payments to be made to States and Territories to facilitate the provision of public health services, supporting individuals’ rights to the highest attainable standard of physical and mental health (art 12(1), ICESCR; art 24, CRC and art 25, CRPD). The services funded in this instrument also support individuals with disabilities right to habilitation and rehabilitation (art 26, CRPD) and the right of children with disabilities to health care (art 23, CRC and art 7, CRPD).</w:t>
      </w:r>
    </w:p>
    <w:p w14:paraId="3219500E" w14:textId="376CD061" w:rsidR="007061BF" w:rsidRDefault="00110D6D" w:rsidP="00623B80">
      <w:pPr>
        <w:pStyle w:val="Bullet"/>
        <w:numPr>
          <w:ilvl w:val="0"/>
          <w:numId w:val="0"/>
        </w:numPr>
        <w:tabs>
          <w:tab w:val="left" w:pos="8505"/>
        </w:tabs>
      </w:pPr>
      <w:r>
        <w:t>State</w:t>
      </w:r>
      <w:r w:rsidR="001E4004">
        <w:t>s and Territories’</w:t>
      </w:r>
      <w:r>
        <w:t xml:space="preserve"> entitlements to N</w:t>
      </w:r>
      <w:r w:rsidR="007061BF">
        <w:t xml:space="preserve">ational </w:t>
      </w:r>
      <w:r w:rsidR="00D1300C">
        <w:t>Health Reform funding</w:t>
      </w:r>
      <w:r>
        <w:t xml:space="preserve"> </w:t>
      </w:r>
      <w:r w:rsidR="007061BF" w:rsidRPr="00A25C60">
        <w:t xml:space="preserve">increased by </w:t>
      </w:r>
      <w:r w:rsidR="00A25C60">
        <w:t>$1,611 million from 2014-15 to 2015-16</w:t>
      </w:r>
      <w:r w:rsidR="007061BF">
        <w:t>.</w:t>
      </w:r>
      <w:r w:rsidR="007061BF" w:rsidRPr="00D272DB">
        <w:t xml:space="preserve"> </w:t>
      </w:r>
    </w:p>
    <w:p w14:paraId="0DA4370E" w14:textId="77777777" w:rsidR="007061BF" w:rsidRPr="000F7985" w:rsidRDefault="007061BF" w:rsidP="00623B80">
      <w:pPr>
        <w:pStyle w:val="Bullet"/>
        <w:numPr>
          <w:ilvl w:val="0"/>
          <w:numId w:val="0"/>
        </w:numPr>
        <w:tabs>
          <w:tab w:val="left" w:pos="8505"/>
        </w:tabs>
      </w:pPr>
      <w:r w:rsidRPr="000F7985">
        <w:rPr>
          <w:b/>
        </w:rPr>
        <w:t>Conclusion</w:t>
      </w:r>
    </w:p>
    <w:p w14:paraId="6FE0D3C6" w14:textId="0B847F09" w:rsidR="007061BF" w:rsidRDefault="007061BF" w:rsidP="00623B80">
      <w:pPr>
        <w:tabs>
          <w:tab w:val="left" w:pos="8505"/>
        </w:tabs>
        <w:rPr>
          <w:snapToGrid w:val="0"/>
          <w:lang w:eastAsia="en-US"/>
        </w:rPr>
      </w:pPr>
      <w:r>
        <w:t xml:space="preserve">This Legislative Instrument is compatible with human rights as it does not </w:t>
      </w:r>
      <w:r w:rsidR="001E4004">
        <w:t>adversely engage any</w:t>
      </w:r>
      <w:r>
        <w:t xml:space="preserve"> human rights issues.</w:t>
      </w:r>
    </w:p>
    <w:p w14:paraId="2F01AB1B" w14:textId="77777777" w:rsidR="00F15D1B" w:rsidRDefault="00F15D1B" w:rsidP="00623B80">
      <w:pPr>
        <w:tabs>
          <w:tab w:val="left" w:pos="2880"/>
          <w:tab w:val="left" w:pos="8505"/>
          <w:tab w:val="right" w:pos="8640"/>
        </w:tabs>
        <w:spacing w:after="0"/>
        <w:rPr>
          <w:snapToGrid w:val="0"/>
          <w:lang w:eastAsia="en-US"/>
        </w:rPr>
      </w:pPr>
    </w:p>
    <w:sectPr w:rsidR="00F15D1B">
      <w:headerReference w:type="even" r:id="rId14"/>
      <w:headerReference w:type="default" r:id="rId15"/>
      <w:footerReference w:type="even" r:id="rId16"/>
      <w:footerReference w:type="default" r:id="rId17"/>
      <w:headerReference w:type="first" r:id="rId18"/>
      <w:footerReference w:type="first" r:id="rId19"/>
      <w:pgSz w:w="11907" w:h="16840" w:code="9"/>
      <w:pgMar w:top="993" w:right="1134" w:bottom="709" w:left="1134" w:header="425"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14E86" w14:textId="77777777" w:rsidR="000060CB" w:rsidRDefault="000060CB">
      <w:r>
        <w:separator/>
      </w:r>
    </w:p>
  </w:endnote>
  <w:endnote w:type="continuationSeparator" w:id="0">
    <w:p w14:paraId="69592530" w14:textId="77777777" w:rsidR="000060CB" w:rsidRDefault="000060CB">
      <w:r>
        <w:continuationSeparator/>
      </w:r>
    </w:p>
  </w:endnote>
  <w:endnote w:type="continuationNotice" w:id="1">
    <w:p w14:paraId="0EE5CF3C" w14:textId="77777777" w:rsidR="000060CB" w:rsidRDefault="00006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E4D54" w14:textId="77777777" w:rsidR="00FA4B64" w:rsidRDefault="00FA4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2C7D" w14:textId="77777777" w:rsidR="000060CB" w:rsidRDefault="000060CB">
    <w:pPr>
      <w:tabs>
        <w:tab w:val="center" w:pos="4820"/>
      </w:tabs>
      <w:spacing w:before="120" w:after="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060B8" w14:textId="77777777" w:rsidR="00FA4B64" w:rsidRDefault="00FA4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54117" w14:textId="77777777" w:rsidR="000060CB" w:rsidRDefault="000060CB">
      <w:r>
        <w:separator/>
      </w:r>
    </w:p>
  </w:footnote>
  <w:footnote w:type="continuationSeparator" w:id="0">
    <w:p w14:paraId="45E111CE" w14:textId="77777777" w:rsidR="000060CB" w:rsidRDefault="000060CB">
      <w:r>
        <w:continuationSeparator/>
      </w:r>
    </w:p>
  </w:footnote>
  <w:footnote w:type="continuationNotice" w:id="1">
    <w:p w14:paraId="2DE6B79F" w14:textId="77777777" w:rsidR="000060CB" w:rsidRDefault="000060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5B67A" w14:textId="77777777" w:rsidR="00FA4B64" w:rsidRDefault="00FA4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BFB66" w14:textId="09BF4D37" w:rsidR="000060CB" w:rsidRPr="00B22D03" w:rsidRDefault="000060CB">
    <w:pPr>
      <w:tabs>
        <w:tab w:val="center" w:pos="4820"/>
      </w:tabs>
      <w:jc w:val="center"/>
    </w:pPr>
    <w:r w:rsidRPr="00B22D03">
      <w:fldChar w:fldCharType="begin"/>
    </w:r>
    <w:r w:rsidRPr="00B22D03">
      <w:instrText>PAGE</w:instrText>
    </w:r>
    <w:r w:rsidRPr="00B22D03">
      <w:fldChar w:fldCharType="separate"/>
    </w:r>
    <w:r w:rsidR="00EA71A6">
      <w:rPr>
        <w:noProof/>
      </w:rPr>
      <w:t>3</w:t>
    </w:r>
    <w:r w:rsidRPr="00B22D0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FF6B6" w14:textId="3EBAF20B" w:rsidR="000060CB" w:rsidRDefault="000060CB">
    <w:pPr>
      <w:tabs>
        <w:tab w:val="center" w:pos="482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14067"/>
    <w:multiLevelType w:val="multilevel"/>
    <w:tmpl w:val="B1A8176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E4F234F"/>
    <w:multiLevelType w:val="multilevel"/>
    <w:tmpl w:val="B1A8176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4972423"/>
    <w:multiLevelType w:val="singleLevel"/>
    <w:tmpl w:val="15F47EFA"/>
    <w:name w:val="StandardBulletedList"/>
    <w:lvl w:ilvl="0">
      <w:start w:val="1"/>
      <w:numFmt w:val="decimal"/>
      <w:pStyle w:val="NumberedParagraph"/>
      <w:lvlText w:val="%1."/>
      <w:lvlJc w:val="left"/>
      <w:pPr>
        <w:tabs>
          <w:tab w:val="num" w:pos="567"/>
        </w:tabs>
        <w:ind w:left="0" w:firstLine="0"/>
      </w:pPr>
      <w:rPr>
        <w:rFonts w:hint="default"/>
      </w:rPr>
    </w:lvl>
  </w:abstractNum>
  <w:abstractNum w:abstractNumId="3">
    <w:nsid w:val="76C37598"/>
    <w:multiLevelType w:val="multilevel"/>
    <w:tmpl w:val="A4D037C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ECB2329-B439-4416-BE41-71267663CE4A}"/>
    <w:docVar w:name="dgnword-eventsink" w:val="203164032"/>
  </w:docVars>
  <w:rsids>
    <w:rsidRoot w:val="00A70F32"/>
    <w:rsid w:val="00000613"/>
    <w:rsid w:val="000016C9"/>
    <w:rsid w:val="00002026"/>
    <w:rsid w:val="00003F43"/>
    <w:rsid w:val="000060CB"/>
    <w:rsid w:val="000069CF"/>
    <w:rsid w:val="0001073F"/>
    <w:rsid w:val="0001514D"/>
    <w:rsid w:val="00023786"/>
    <w:rsid w:val="0003226E"/>
    <w:rsid w:val="000338E8"/>
    <w:rsid w:val="00047EE3"/>
    <w:rsid w:val="00050F69"/>
    <w:rsid w:val="000529BC"/>
    <w:rsid w:val="00053776"/>
    <w:rsid w:val="00055112"/>
    <w:rsid w:val="00061567"/>
    <w:rsid w:val="00061AF9"/>
    <w:rsid w:val="00062293"/>
    <w:rsid w:val="00063C4D"/>
    <w:rsid w:val="000730FB"/>
    <w:rsid w:val="00073615"/>
    <w:rsid w:val="00094316"/>
    <w:rsid w:val="000A174D"/>
    <w:rsid w:val="000A1CB1"/>
    <w:rsid w:val="000A7A4E"/>
    <w:rsid w:val="000B0A05"/>
    <w:rsid w:val="000B0D7F"/>
    <w:rsid w:val="000B5563"/>
    <w:rsid w:val="000B5F91"/>
    <w:rsid w:val="000E2FC1"/>
    <w:rsid w:val="000E4E1E"/>
    <w:rsid w:val="000F50A5"/>
    <w:rsid w:val="00100D6D"/>
    <w:rsid w:val="00106A46"/>
    <w:rsid w:val="0010773D"/>
    <w:rsid w:val="00110715"/>
    <w:rsid w:val="00110D6D"/>
    <w:rsid w:val="00112A3B"/>
    <w:rsid w:val="00113819"/>
    <w:rsid w:val="00117356"/>
    <w:rsid w:val="00122FF6"/>
    <w:rsid w:val="00125DE7"/>
    <w:rsid w:val="00127409"/>
    <w:rsid w:val="0013701D"/>
    <w:rsid w:val="00140B2A"/>
    <w:rsid w:val="00150A0C"/>
    <w:rsid w:val="001614D0"/>
    <w:rsid w:val="00165C0D"/>
    <w:rsid w:val="00183255"/>
    <w:rsid w:val="00184DD1"/>
    <w:rsid w:val="001918BD"/>
    <w:rsid w:val="00193EF3"/>
    <w:rsid w:val="001A0225"/>
    <w:rsid w:val="001C5BE0"/>
    <w:rsid w:val="001D113D"/>
    <w:rsid w:val="001D4723"/>
    <w:rsid w:val="001D49C2"/>
    <w:rsid w:val="001D7592"/>
    <w:rsid w:val="001E1229"/>
    <w:rsid w:val="001E4004"/>
    <w:rsid w:val="001E4934"/>
    <w:rsid w:val="001E6B5B"/>
    <w:rsid w:val="001F098E"/>
    <w:rsid w:val="001F3271"/>
    <w:rsid w:val="001F4C96"/>
    <w:rsid w:val="001F617D"/>
    <w:rsid w:val="002001A3"/>
    <w:rsid w:val="002050D9"/>
    <w:rsid w:val="00221399"/>
    <w:rsid w:val="00222309"/>
    <w:rsid w:val="00223E53"/>
    <w:rsid w:val="0022745A"/>
    <w:rsid w:val="002321C3"/>
    <w:rsid w:val="002361C0"/>
    <w:rsid w:val="00243317"/>
    <w:rsid w:val="00251859"/>
    <w:rsid w:val="00251B26"/>
    <w:rsid w:val="00262A48"/>
    <w:rsid w:val="00265167"/>
    <w:rsid w:val="00265C0F"/>
    <w:rsid w:val="00266985"/>
    <w:rsid w:val="002817DD"/>
    <w:rsid w:val="002C4272"/>
    <w:rsid w:val="002E3E30"/>
    <w:rsid w:val="002E59D6"/>
    <w:rsid w:val="002F1ABD"/>
    <w:rsid w:val="002F2D34"/>
    <w:rsid w:val="003025CA"/>
    <w:rsid w:val="00306581"/>
    <w:rsid w:val="00313F22"/>
    <w:rsid w:val="00322AEA"/>
    <w:rsid w:val="00350299"/>
    <w:rsid w:val="00355C8E"/>
    <w:rsid w:val="00360216"/>
    <w:rsid w:val="0038056B"/>
    <w:rsid w:val="00386D9F"/>
    <w:rsid w:val="003972C0"/>
    <w:rsid w:val="003A36D3"/>
    <w:rsid w:val="003A3E24"/>
    <w:rsid w:val="003F645E"/>
    <w:rsid w:val="003F7F79"/>
    <w:rsid w:val="00400D6B"/>
    <w:rsid w:val="00412508"/>
    <w:rsid w:val="00431549"/>
    <w:rsid w:val="00436636"/>
    <w:rsid w:val="0044519C"/>
    <w:rsid w:val="004505C9"/>
    <w:rsid w:val="0046089D"/>
    <w:rsid w:val="0046283D"/>
    <w:rsid w:val="00463FC5"/>
    <w:rsid w:val="00467DFB"/>
    <w:rsid w:val="00472901"/>
    <w:rsid w:val="004745EE"/>
    <w:rsid w:val="004806F8"/>
    <w:rsid w:val="00482118"/>
    <w:rsid w:val="00494D78"/>
    <w:rsid w:val="004A5198"/>
    <w:rsid w:val="004A6BBE"/>
    <w:rsid w:val="004C2C37"/>
    <w:rsid w:val="004C5A39"/>
    <w:rsid w:val="004C5EE3"/>
    <w:rsid w:val="004E39B8"/>
    <w:rsid w:val="004F47A5"/>
    <w:rsid w:val="004F4887"/>
    <w:rsid w:val="00501C39"/>
    <w:rsid w:val="0050719C"/>
    <w:rsid w:val="005071E0"/>
    <w:rsid w:val="0050763E"/>
    <w:rsid w:val="00532B35"/>
    <w:rsid w:val="00541C22"/>
    <w:rsid w:val="00543034"/>
    <w:rsid w:val="00544A4C"/>
    <w:rsid w:val="00546947"/>
    <w:rsid w:val="00550804"/>
    <w:rsid w:val="0055454B"/>
    <w:rsid w:val="00560517"/>
    <w:rsid w:val="0057548F"/>
    <w:rsid w:val="00594288"/>
    <w:rsid w:val="005A0210"/>
    <w:rsid w:val="005A4AD3"/>
    <w:rsid w:val="005A6880"/>
    <w:rsid w:val="005B6E12"/>
    <w:rsid w:val="005C0B1B"/>
    <w:rsid w:val="005D005D"/>
    <w:rsid w:val="005D4310"/>
    <w:rsid w:val="005D447A"/>
    <w:rsid w:val="005E6313"/>
    <w:rsid w:val="005F79EA"/>
    <w:rsid w:val="006009A0"/>
    <w:rsid w:val="00605F85"/>
    <w:rsid w:val="00606E28"/>
    <w:rsid w:val="00610249"/>
    <w:rsid w:val="00623B80"/>
    <w:rsid w:val="0062564A"/>
    <w:rsid w:val="00627AE2"/>
    <w:rsid w:val="00651767"/>
    <w:rsid w:val="006557ED"/>
    <w:rsid w:val="00661629"/>
    <w:rsid w:val="0066318F"/>
    <w:rsid w:val="0066549B"/>
    <w:rsid w:val="0066748B"/>
    <w:rsid w:val="00670997"/>
    <w:rsid w:val="0068488A"/>
    <w:rsid w:val="00687295"/>
    <w:rsid w:val="006914AB"/>
    <w:rsid w:val="006928D8"/>
    <w:rsid w:val="0069472D"/>
    <w:rsid w:val="006A2DF8"/>
    <w:rsid w:val="006B04D6"/>
    <w:rsid w:val="006D11C0"/>
    <w:rsid w:val="007061BF"/>
    <w:rsid w:val="00706646"/>
    <w:rsid w:val="00720F11"/>
    <w:rsid w:val="0072596E"/>
    <w:rsid w:val="007513FE"/>
    <w:rsid w:val="00754895"/>
    <w:rsid w:val="00761538"/>
    <w:rsid w:val="00763CD0"/>
    <w:rsid w:val="007647EE"/>
    <w:rsid w:val="0077657C"/>
    <w:rsid w:val="00783637"/>
    <w:rsid w:val="00784487"/>
    <w:rsid w:val="0078701A"/>
    <w:rsid w:val="00790A90"/>
    <w:rsid w:val="007950A0"/>
    <w:rsid w:val="007966C8"/>
    <w:rsid w:val="007977B8"/>
    <w:rsid w:val="007B2BCD"/>
    <w:rsid w:val="007D5834"/>
    <w:rsid w:val="007E204C"/>
    <w:rsid w:val="007E4BEB"/>
    <w:rsid w:val="007F14A1"/>
    <w:rsid w:val="00800D78"/>
    <w:rsid w:val="00815FC1"/>
    <w:rsid w:val="008169B5"/>
    <w:rsid w:val="008204BD"/>
    <w:rsid w:val="00820CAE"/>
    <w:rsid w:val="00823BB5"/>
    <w:rsid w:val="008240A5"/>
    <w:rsid w:val="00824A8B"/>
    <w:rsid w:val="00850F1E"/>
    <w:rsid w:val="00856F44"/>
    <w:rsid w:val="008577D2"/>
    <w:rsid w:val="0086300A"/>
    <w:rsid w:val="008654A7"/>
    <w:rsid w:val="00866662"/>
    <w:rsid w:val="00866958"/>
    <w:rsid w:val="00876DE8"/>
    <w:rsid w:val="008854F2"/>
    <w:rsid w:val="0089094D"/>
    <w:rsid w:val="008A5A25"/>
    <w:rsid w:val="008F39E7"/>
    <w:rsid w:val="00903ABC"/>
    <w:rsid w:val="00912382"/>
    <w:rsid w:val="00921DA2"/>
    <w:rsid w:val="00956334"/>
    <w:rsid w:val="009614FE"/>
    <w:rsid w:val="00964C63"/>
    <w:rsid w:val="00984749"/>
    <w:rsid w:val="00990556"/>
    <w:rsid w:val="009973C9"/>
    <w:rsid w:val="009A323E"/>
    <w:rsid w:val="009A4D1B"/>
    <w:rsid w:val="009B1192"/>
    <w:rsid w:val="009C17A3"/>
    <w:rsid w:val="009C4522"/>
    <w:rsid w:val="009D4B98"/>
    <w:rsid w:val="009E66A2"/>
    <w:rsid w:val="009F22C0"/>
    <w:rsid w:val="009F5CAE"/>
    <w:rsid w:val="00A24B13"/>
    <w:rsid w:val="00A25C60"/>
    <w:rsid w:val="00A25C9E"/>
    <w:rsid w:val="00A35EED"/>
    <w:rsid w:val="00A6002E"/>
    <w:rsid w:val="00A70F32"/>
    <w:rsid w:val="00A710A9"/>
    <w:rsid w:val="00A72686"/>
    <w:rsid w:val="00A7664E"/>
    <w:rsid w:val="00A86510"/>
    <w:rsid w:val="00A879EE"/>
    <w:rsid w:val="00A94C44"/>
    <w:rsid w:val="00AA74A9"/>
    <w:rsid w:val="00AC1215"/>
    <w:rsid w:val="00B11B53"/>
    <w:rsid w:val="00B15C8D"/>
    <w:rsid w:val="00B2069A"/>
    <w:rsid w:val="00B217CD"/>
    <w:rsid w:val="00B22D03"/>
    <w:rsid w:val="00B2416C"/>
    <w:rsid w:val="00B267AC"/>
    <w:rsid w:val="00B32715"/>
    <w:rsid w:val="00B44D5D"/>
    <w:rsid w:val="00B46FCD"/>
    <w:rsid w:val="00B64EF4"/>
    <w:rsid w:val="00B80310"/>
    <w:rsid w:val="00B844D5"/>
    <w:rsid w:val="00B87FF7"/>
    <w:rsid w:val="00BB5943"/>
    <w:rsid w:val="00BB5F4B"/>
    <w:rsid w:val="00BB67DB"/>
    <w:rsid w:val="00BC4B49"/>
    <w:rsid w:val="00BD6896"/>
    <w:rsid w:val="00BE5345"/>
    <w:rsid w:val="00BE7EAB"/>
    <w:rsid w:val="00C30FEA"/>
    <w:rsid w:val="00C50A8D"/>
    <w:rsid w:val="00C53AEE"/>
    <w:rsid w:val="00C631E7"/>
    <w:rsid w:val="00C64728"/>
    <w:rsid w:val="00C6748E"/>
    <w:rsid w:val="00C77554"/>
    <w:rsid w:val="00C808B8"/>
    <w:rsid w:val="00C81AE5"/>
    <w:rsid w:val="00C81C8C"/>
    <w:rsid w:val="00C91ACF"/>
    <w:rsid w:val="00CA2071"/>
    <w:rsid w:val="00CA40E5"/>
    <w:rsid w:val="00CB0204"/>
    <w:rsid w:val="00CB7354"/>
    <w:rsid w:val="00CC1C8B"/>
    <w:rsid w:val="00CC5AB4"/>
    <w:rsid w:val="00CD3551"/>
    <w:rsid w:val="00CD3B7E"/>
    <w:rsid w:val="00CD46D2"/>
    <w:rsid w:val="00CE1015"/>
    <w:rsid w:val="00CE5673"/>
    <w:rsid w:val="00CE696A"/>
    <w:rsid w:val="00CF422A"/>
    <w:rsid w:val="00CF791D"/>
    <w:rsid w:val="00D1300C"/>
    <w:rsid w:val="00D34156"/>
    <w:rsid w:val="00D377BB"/>
    <w:rsid w:val="00D42D7B"/>
    <w:rsid w:val="00D43114"/>
    <w:rsid w:val="00D45491"/>
    <w:rsid w:val="00D51751"/>
    <w:rsid w:val="00D52F4B"/>
    <w:rsid w:val="00D54DF2"/>
    <w:rsid w:val="00D56FB3"/>
    <w:rsid w:val="00D6488A"/>
    <w:rsid w:val="00D66655"/>
    <w:rsid w:val="00D7313C"/>
    <w:rsid w:val="00D73184"/>
    <w:rsid w:val="00D800D6"/>
    <w:rsid w:val="00D90CE5"/>
    <w:rsid w:val="00D95DD0"/>
    <w:rsid w:val="00DA0A28"/>
    <w:rsid w:val="00DB73DA"/>
    <w:rsid w:val="00DC1102"/>
    <w:rsid w:val="00DE3EA4"/>
    <w:rsid w:val="00DF2B3B"/>
    <w:rsid w:val="00DF38CE"/>
    <w:rsid w:val="00DF4976"/>
    <w:rsid w:val="00E009A6"/>
    <w:rsid w:val="00E10CAD"/>
    <w:rsid w:val="00E11D20"/>
    <w:rsid w:val="00E162A3"/>
    <w:rsid w:val="00E20626"/>
    <w:rsid w:val="00E25042"/>
    <w:rsid w:val="00E265C5"/>
    <w:rsid w:val="00E4064D"/>
    <w:rsid w:val="00E448C7"/>
    <w:rsid w:val="00E601A5"/>
    <w:rsid w:val="00E72033"/>
    <w:rsid w:val="00E73446"/>
    <w:rsid w:val="00E77D81"/>
    <w:rsid w:val="00E813B6"/>
    <w:rsid w:val="00E83E31"/>
    <w:rsid w:val="00E87B44"/>
    <w:rsid w:val="00E918CE"/>
    <w:rsid w:val="00E94278"/>
    <w:rsid w:val="00E942CC"/>
    <w:rsid w:val="00E94C39"/>
    <w:rsid w:val="00E9615B"/>
    <w:rsid w:val="00EA254E"/>
    <w:rsid w:val="00EA71A6"/>
    <w:rsid w:val="00EB14C3"/>
    <w:rsid w:val="00EB59C6"/>
    <w:rsid w:val="00EB7758"/>
    <w:rsid w:val="00EC6DB1"/>
    <w:rsid w:val="00EE5EFA"/>
    <w:rsid w:val="00EE639D"/>
    <w:rsid w:val="00EE755E"/>
    <w:rsid w:val="00EF0551"/>
    <w:rsid w:val="00EF6362"/>
    <w:rsid w:val="00EF722F"/>
    <w:rsid w:val="00F03945"/>
    <w:rsid w:val="00F1081F"/>
    <w:rsid w:val="00F15D1B"/>
    <w:rsid w:val="00F23828"/>
    <w:rsid w:val="00F4267F"/>
    <w:rsid w:val="00F4484D"/>
    <w:rsid w:val="00F510E1"/>
    <w:rsid w:val="00F71BCE"/>
    <w:rsid w:val="00F75E7F"/>
    <w:rsid w:val="00F80C58"/>
    <w:rsid w:val="00F85A6C"/>
    <w:rsid w:val="00F85F97"/>
    <w:rsid w:val="00F9109C"/>
    <w:rsid w:val="00FA36EE"/>
    <w:rsid w:val="00FA4B64"/>
    <w:rsid w:val="00FC09E7"/>
    <w:rsid w:val="00FC2F5C"/>
    <w:rsid w:val="00FC373C"/>
    <w:rsid w:val="00FC7179"/>
    <w:rsid w:val="00FD1659"/>
    <w:rsid w:val="00FD1822"/>
    <w:rsid w:val="00FD2453"/>
    <w:rsid w:val="00FD5E05"/>
    <w:rsid w:val="00FE3B1F"/>
    <w:rsid w:val="00FE4150"/>
    <w:rsid w:val="00FE4827"/>
    <w:rsid w:val="00FF050C"/>
    <w:rsid w:val="00FF5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9B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pPr>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ind w:left="567" w:hanging="567"/>
      <w:jc w:val="center"/>
      <w:outlineLvl w:val="4"/>
    </w:pPr>
    <w:rPr>
      <w:rFonts w:ascii="Times" w:hAnsi="Times"/>
      <w:b/>
    </w:rPr>
  </w:style>
  <w:style w:type="paragraph" w:styleId="Heading6">
    <w:name w:val="heading 6"/>
    <w:basedOn w:val="Normal"/>
    <w:next w:val="Normal"/>
    <w:qFormat/>
    <w:pPr>
      <w:keepNext/>
      <w:spacing w:after="0"/>
      <w:ind w:left="284" w:right="1535" w:hanging="284"/>
      <w:outlineLvl w:val="5"/>
    </w:pPr>
    <w:rPr>
      <w:lang w:val="en-US"/>
    </w:rPr>
  </w:style>
  <w:style w:type="paragraph" w:styleId="Heading7">
    <w:name w:val="heading 7"/>
    <w:basedOn w:val="Normal"/>
    <w:next w:val="Normal"/>
    <w:qFormat/>
    <w:pPr>
      <w:keepNext/>
      <w:ind w:right="1535"/>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pPr>
      <w:spacing w:after="0"/>
    </w:pPr>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after="0"/>
      <w:outlineLvl w:val="9"/>
    </w:pPr>
    <w:rPr>
      <w:rFonts w:ascii="Helvetica" w:hAnsi="Helvetica"/>
      <w:b w:val="0"/>
      <w:caps w:val="0"/>
      <w:spacing w:val="30"/>
      <w:sz w:val="22"/>
    </w:rPr>
  </w:style>
  <w:style w:type="paragraph" w:styleId="BodyText2">
    <w:name w:val="Body Text 2"/>
    <w:basedOn w:val="Normal"/>
    <w:pPr>
      <w:spacing w:after="0"/>
      <w:ind w:right="1535"/>
      <w:jc w:val="both"/>
    </w:pPr>
    <w:rPr>
      <w:sz w:val="20"/>
      <w:lang w:val="en-US"/>
    </w:rPr>
  </w:style>
  <w:style w:type="paragraph" w:styleId="BodyText3">
    <w:name w:val="Body Text 3"/>
    <w:basedOn w:val="Normal"/>
    <w:pPr>
      <w:spacing w:after="0"/>
      <w:jc w:val="both"/>
    </w:pPr>
    <w:rPr>
      <w:sz w:val="20"/>
      <w:lang w:val="en-US"/>
    </w:rPr>
  </w:style>
  <w:style w:type="paragraph" w:styleId="BodyText">
    <w:name w:val="Body Text"/>
    <w:basedOn w:val="Normal"/>
    <w:pPr>
      <w:spacing w:after="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A74A9"/>
    <w:rPr>
      <w:rFonts w:ascii="Tahoma" w:hAnsi="Tahoma" w:cs="Tahoma"/>
      <w:sz w:val="16"/>
      <w:szCs w:val="16"/>
    </w:rPr>
  </w:style>
  <w:style w:type="paragraph" w:customStyle="1" w:styleId="Bullet">
    <w:name w:val="Bullet"/>
    <w:basedOn w:val="Normal"/>
    <w:link w:val="BulletChar"/>
    <w:rsid w:val="00482118"/>
    <w:pPr>
      <w:numPr>
        <w:numId w:val="1"/>
      </w:numPr>
    </w:pPr>
  </w:style>
  <w:style w:type="paragraph" w:customStyle="1" w:styleId="Dash">
    <w:name w:val="Dash"/>
    <w:basedOn w:val="Normal"/>
    <w:rsid w:val="00482118"/>
    <w:pPr>
      <w:numPr>
        <w:ilvl w:val="1"/>
        <w:numId w:val="1"/>
      </w:numPr>
    </w:pPr>
  </w:style>
  <w:style w:type="paragraph" w:customStyle="1" w:styleId="DoubleDot">
    <w:name w:val="Double Dot"/>
    <w:basedOn w:val="Normal"/>
    <w:rsid w:val="00482118"/>
    <w:pPr>
      <w:numPr>
        <w:ilvl w:val="2"/>
        <w:numId w:val="1"/>
      </w:numPr>
    </w:pPr>
  </w:style>
  <w:style w:type="character" w:styleId="CommentReference">
    <w:name w:val="annotation reference"/>
    <w:semiHidden/>
    <w:rsid w:val="00061567"/>
    <w:rPr>
      <w:sz w:val="16"/>
      <w:szCs w:val="16"/>
    </w:rPr>
  </w:style>
  <w:style w:type="paragraph" w:styleId="CommentText">
    <w:name w:val="annotation text"/>
    <w:basedOn w:val="Normal"/>
    <w:semiHidden/>
    <w:rsid w:val="00061567"/>
    <w:rPr>
      <w:sz w:val="20"/>
    </w:rPr>
  </w:style>
  <w:style w:type="paragraph" w:styleId="CommentSubject">
    <w:name w:val="annotation subject"/>
    <w:basedOn w:val="CommentText"/>
    <w:next w:val="CommentText"/>
    <w:semiHidden/>
    <w:rsid w:val="00061567"/>
    <w:rPr>
      <w:b/>
      <w:bCs/>
    </w:rPr>
  </w:style>
  <w:style w:type="paragraph" w:customStyle="1" w:styleId="bullet0">
    <w:name w:val="bullet"/>
    <w:basedOn w:val="Normal"/>
    <w:rsid w:val="001C5BE0"/>
    <w:pPr>
      <w:spacing w:before="100" w:beforeAutospacing="1" w:after="100" w:afterAutospacing="1"/>
    </w:pPr>
    <w:rPr>
      <w:szCs w:val="24"/>
      <w:lang w:val="en-US" w:eastAsia="en-US"/>
    </w:rPr>
  </w:style>
  <w:style w:type="paragraph" w:customStyle="1" w:styleId="NumberedParagraph">
    <w:name w:val="Numbered Paragraph"/>
    <w:basedOn w:val="Normal"/>
    <w:link w:val="NumberedParagraphChar"/>
    <w:rsid w:val="00140B2A"/>
    <w:pPr>
      <w:numPr>
        <w:numId w:val="2"/>
      </w:numPr>
    </w:pPr>
  </w:style>
  <w:style w:type="character" w:customStyle="1" w:styleId="NumberedParagraphChar">
    <w:name w:val="Numbered Paragraph Char"/>
    <w:link w:val="NumberedParagraph"/>
    <w:rsid w:val="00140B2A"/>
    <w:rPr>
      <w:sz w:val="24"/>
    </w:rPr>
  </w:style>
  <w:style w:type="character" w:customStyle="1" w:styleId="BulletChar">
    <w:name w:val="Bullet Char"/>
    <w:link w:val="Bullet"/>
    <w:locked/>
    <w:rsid w:val="00720F11"/>
    <w:rPr>
      <w:sz w:val="24"/>
    </w:rPr>
  </w:style>
  <w:style w:type="paragraph" w:customStyle="1" w:styleId="paragraph">
    <w:name w:val="paragraph"/>
    <w:basedOn w:val="Normal"/>
    <w:rsid w:val="00800D78"/>
    <w:pPr>
      <w:spacing w:before="100" w:beforeAutospacing="1" w:after="100" w:afterAutospacing="1"/>
    </w:pPr>
    <w:rPr>
      <w:szCs w:val="24"/>
    </w:rPr>
  </w:style>
  <w:style w:type="table" w:styleId="TableGrid">
    <w:name w:val="Table Grid"/>
    <w:basedOn w:val="TableNormal"/>
    <w:rsid w:val="0070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pPr>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ind w:left="567" w:hanging="567"/>
      <w:jc w:val="center"/>
      <w:outlineLvl w:val="4"/>
    </w:pPr>
    <w:rPr>
      <w:rFonts w:ascii="Times" w:hAnsi="Times"/>
      <w:b/>
    </w:rPr>
  </w:style>
  <w:style w:type="paragraph" w:styleId="Heading6">
    <w:name w:val="heading 6"/>
    <w:basedOn w:val="Normal"/>
    <w:next w:val="Normal"/>
    <w:qFormat/>
    <w:pPr>
      <w:keepNext/>
      <w:spacing w:after="0"/>
      <w:ind w:left="284" w:right="1535" w:hanging="284"/>
      <w:outlineLvl w:val="5"/>
    </w:pPr>
    <w:rPr>
      <w:lang w:val="en-US"/>
    </w:rPr>
  </w:style>
  <w:style w:type="paragraph" w:styleId="Heading7">
    <w:name w:val="heading 7"/>
    <w:basedOn w:val="Normal"/>
    <w:next w:val="Normal"/>
    <w:qFormat/>
    <w:pPr>
      <w:keepNext/>
      <w:ind w:right="1535"/>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pPr>
      <w:spacing w:after="0"/>
    </w:pPr>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after="0"/>
      <w:outlineLvl w:val="9"/>
    </w:pPr>
    <w:rPr>
      <w:rFonts w:ascii="Helvetica" w:hAnsi="Helvetica"/>
      <w:b w:val="0"/>
      <w:caps w:val="0"/>
      <w:spacing w:val="30"/>
      <w:sz w:val="22"/>
    </w:rPr>
  </w:style>
  <w:style w:type="paragraph" w:styleId="BodyText2">
    <w:name w:val="Body Text 2"/>
    <w:basedOn w:val="Normal"/>
    <w:pPr>
      <w:spacing w:after="0"/>
      <w:ind w:right="1535"/>
      <w:jc w:val="both"/>
    </w:pPr>
    <w:rPr>
      <w:sz w:val="20"/>
      <w:lang w:val="en-US"/>
    </w:rPr>
  </w:style>
  <w:style w:type="paragraph" w:styleId="BodyText3">
    <w:name w:val="Body Text 3"/>
    <w:basedOn w:val="Normal"/>
    <w:pPr>
      <w:spacing w:after="0"/>
      <w:jc w:val="both"/>
    </w:pPr>
    <w:rPr>
      <w:sz w:val="20"/>
      <w:lang w:val="en-US"/>
    </w:rPr>
  </w:style>
  <w:style w:type="paragraph" w:styleId="BodyText">
    <w:name w:val="Body Text"/>
    <w:basedOn w:val="Normal"/>
    <w:pPr>
      <w:spacing w:after="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A74A9"/>
    <w:rPr>
      <w:rFonts w:ascii="Tahoma" w:hAnsi="Tahoma" w:cs="Tahoma"/>
      <w:sz w:val="16"/>
      <w:szCs w:val="16"/>
    </w:rPr>
  </w:style>
  <w:style w:type="paragraph" w:customStyle="1" w:styleId="Bullet">
    <w:name w:val="Bullet"/>
    <w:basedOn w:val="Normal"/>
    <w:link w:val="BulletChar"/>
    <w:rsid w:val="00482118"/>
    <w:pPr>
      <w:numPr>
        <w:numId w:val="1"/>
      </w:numPr>
    </w:pPr>
  </w:style>
  <w:style w:type="paragraph" w:customStyle="1" w:styleId="Dash">
    <w:name w:val="Dash"/>
    <w:basedOn w:val="Normal"/>
    <w:rsid w:val="00482118"/>
    <w:pPr>
      <w:numPr>
        <w:ilvl w:val="1"/>
        <w:numId w:val="1"/>
      </w:numPr>
    </w:pPr>
  </w:style>
  <w:style w:type="paragraph" w:customStyle="1" w:styleId="DoubleDot">
    <w:name w:val="Double Dot"/>
    <w:basedOn w:val="Normal"/>
    <w:rsid w:val="00482118"/>
    <w:pPr>
      <w:numPr>
        <w:ilvl w:val="2"/>
        <w:numId w:val="1"/>
      </w:numPr>
    </w:pPr>
  </w:style>
  <w:style w:type="character" w:styleId="CommentReference">
    <w:name w:val="annotation reference"/>
    <w:semiHidden/>
    <w:rsid w:val="00061567"/>
    <w:rPr>
      <w:sz w:val="16"/>
      <w:szCs w:val="16"/>
    </w:rPr>
  </w:style>
  <w:style w:type="paragraph" w:styleId="CommentText">
    <w:name w:val="annotation text"/>
    <w:basedOn w:val="Normal"/>
    <w:semiHidden/>
    <w:rsid w:val="00061567"/>
    <w:rPr>
      <w:sz w:val="20"/>
    </w:rPr>
  </w:style>
  <w:style w:type="paragraph" w:styleId="CommentSubject">
    <w:name w:val="annotation subject"/>
    <w:basedOn w:val="CommentText"/>
    <w:next w:val="CommentText"/>
    <w:semiHidden/>
    <w:rsid w:val="00061567"/>
    <w:rPr>
      <w:b/>
      <w:bCs/>
    </w:rPr>
  </w:style>
  <w:style w:type="paragraph" w:customStyle="1" w:styleId="bullet0">
    <w:name w:val="bullet"/>
    <w:basedOn w:val="Normal"/>
    <w:rsid w:val="001C5BE0"/>
    <w:pPr>
      <w:spacing w:before="100" w:beforeAutospacing="1" w:after="100" w:afterAutospacing="1"/>
    </w:pPr>
    <w:rPr>
      <w:szCs w:val="24"/>
      <w:lang w:val="en-US" w:eastAsia="en-US"/>
    </w:rPr>
  </w:style>
  <w:style w:type="paragraph" w:customStyle="1" w:styleId="NumberedParagraph">
    <w:name w:val="Numbered Paragraph"/>
    <w:basedOn w:val="Normal"/>
    <w:link w:val="NumberedParagraphChar"/>
    <w:rsid w:val="00140B2A"/>
    <w:pPr>
      <w:numPr>
        <w:numId w:val="2"/>
      </w:numPr>
    </w:pPr>
  </w:style>
  <w:style w:type="character" w:customStyle="1" w:styleId="NumberedParagraphChar">
    <w:name w:val="Numbered Paragraph Char"/>
    <w:link w:val="NumberedParagraph"/>
    <w:rsid w:val="00140B2A"/>
    <w:rPr>
      <w:sz w:val="24"/>
    </w:rPr>
  </w:style>
  <w:style w:type="character" w:customStyle="1" w:styleId="BulletChar">
    <w:name w:val="Bullet Char"/>
    <w:link w:val="Bullet"/>
    <w:locked/>
    <w:rsid w:val="00720F11"/>
    <w:rPr>
      <w:sz w:val="24"/>
    </w:rPr>
  </w:style>
  <w:style w:type="paragraph" w:customStyle="1" w:styleId="paragraph">
    <w:name w:val="paragraph"/>
    <w:basedOn w:val="Normal"/>
    <w:rsid w:val="00800D78"/>
    <w:pPr>
      <w:spacing w:before="100" w:beforeAutospacing="1" w:after="100" w:afterAutospacing="1"/>
    </w:pPr>
    <w:rPr>
      <w:szCs w:val="24"/>
    </w:rPr>
  </w:style>
  <w:style w:type="table" w:styleId="TableGrid">
    <w:name w:val="Table Grid"/>
    <w:basedOn w:val="TableNormal"/>
    <w:rsid w:val="0070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279">
      <w:bodyDiv w:val="1"/>
      <w:marLeft w:val="0"/>
      <w:marRight w:val="0"/>
      <w:marTop w:val="0"/>
      <w:marBottom w:val="0"/>
      <w:divBdr>
        <w:top w:val="none" w:sz="0" w:space="0" w:color="auto"/>
        <w:left w:val="none" w:sz="0" w:space="0" w:color="auto"/>
        <w:bottom w:val="none" w:sz="0" w:space="0" w:color="auto"/>
        <w:right w:val="none" w:sz="0" w:space="0" w:color="auto"/>
      </w:divBdr>
    </w:div>
    <w:div w:id="1328095653">
      <w:bodyDiv w:val="1"/>
      <w:marLeft w:val="0"/>
      <w:marRight w:val="0"/>
      <w:marTop w:val="0"/>
      <w:marBottom w:val="0"/>
      <w:divBdr>
        <w:top w:val="none" w:sz="0" w:space="0" w:color="auto"/>
        <w:left w:val="none" w:sz="0" w:space="0" w:color="auto"/>
        <w:bottom w:val="none" w:sz="0" w:space="0" w:color="auto"/>
        <w:right w:val="none" w:sz="0" w:space="0" w:color="auto"/>
      </w:divBdr>
    </w:div>
    <w:div w:id="1387028048">
      <w:bodyDiv w:val="1"/>
      <w:marLeft w:val="0"/>
      <w:marRight w:val="0"/>
      <w:marTop w:val="0"/>
      <w:marBottom w:val="0"/>
      <w:divBdr>
        <w:top w:val="none" w:sz="0" w:space="0" w:color="auto"/>
        <w:left w:val="none" w:sz="0" w:space="0" w:color="auto"/>
        <w:bottom w:val="none" w:sz="0" w:space="0" w:color="auto"/>
        <w:right w:val="none" w:sz="0" w:space="0" w:color="auto"/>
      </w:divBdr>
      <w:divsChild>
        <w:div w:id="535700758">
          <w:marLeft w:val="0"/>
          <w:marRight w:val="0"/>
          <w:marTop w:val="0"/>
          <w:marBottom w:val="0"/>
          <w:divBdr>
            <w:top w:val="none" w:sz="0" w:space="0" w:color="auto"/>
            <w:left w:val="none" w:sz="0" w:space="0" w:color="auto"/>
            <w:bottom w:val="none" w:sz="0" w:space="0" w:color="auto"/>
            <w:right w:val="none" w:sz="0" w:space="0" w:color="auto"/>
          </w:divBdr>
          <w:divsChild>
            <w:div w:id="316807320">
              <w:marLeft w:val="0"/>
              <w:marRight w:val="0"/>
              <w:marTop w:val="0"/>
              <w:marBottom w:val="0"/>
              <w:divBdr>
                <w:top w:val="none" w:sz="0" w:space="0" w:color="auto"/>
                <w:left w:val="none" w:sz="0" w:space="0" w:color="auto"/>
                <w:bottom w:val="none" w:sz="0" w:space="0" w:color="auto"/>
                <w:right w:val="none" w:sz="0" w:space="0" w:color="auto"/>
              </w:divBdr>
              <w:divsChild>
                <w:div w:id="951132816">
                  <w:marLeft w:val="0"/>
                  <w:marRight w:val="0"/>
                  <w:marTop w:val="0"/>
                  <w:marBottom w:val="0"/>
                  <w:divBdr>
                    <w:top w:val="none" w:sz="0" w:space="0" w:color="auto"/>
                    <w:left w:val="none" w:sz="0" w:space="0" w:color="auto"/>
                    <w:bottom w:val="none" w:sz="0" w:space="0" w:color="auto"/>
                    <w:right w:val="none" w:sz="0" w:space="0" w:color="auto"/>
                  </w:divBdr>
                  <w:divsChild>
                    <w:div w:id="1333217383">
                      <w:marLeft w:val="0"/>
                      <w:marRight w:val="0"/>
                      <w:marTop w:val="0"/>
                      <w:marBottom w:val="0"/>
                      <w:divBdr>
                        <w:top w:val="none" w:sz="0" w:space="0" w:color="auto"/>
                        <w:left w:val="none" w:sz="0" w:space="0" w:color="auto"/>
                        <w:bottom w:val="none" w:sz="0" w:space="0" w:color="auto"/>
                        <w:right w:val="none" w:sz="0" w:space="0" w:color="auto"/>
                      </w:divBdr>
                      <w:divsChild>
                        <w:div w:id="212549892">
                          <w:marLeft w:val="0"/>
                          <w:marRight w:val="0"/>
                          <w:marTop w:val="0"/>
                          <w:marBottom w:val="0"/>
                          <w:divBdr>
                            <w:top w:val="single" w:sz="6" w:space="0" w:color="828282"/>
                            <w:left w:val="single" w:sz="6" w:space="0" w:color="828282"/>
                            <w:bottom w:val="single" w:sz="6" w:space="0" w:color="828282"/>
                            <w:right w:val="single" w:sz="6" w:space="0" w:color="828282"/>
                          </w:divBdr>
                          <w:divsChild>
                            <w:div w:id="1338387359">
                              <w:marLeft w:val="0"/>
                              <w:marRight w:val="0"/>
                              <w:marTop w:val="0"/>
                              <w:marBottom w:val="0"/>
                              <w:divBdr>
                                <w:top w:val="none" w:sz="0" w:space="0" w:color="auto"/>
                                <w:left w:val="none" w:sz="0" w:space="0" w:color="auto"/>
                                <w:bottom w:val="none" w:sz="0" w:space="0" w:color="auto"/>
                                <w:right w:val="none" w:sz="0" w:space="0" w:color="auto"/>
                              </w:divBdr>
                              <w:divsChild>
                                <w:div w:id="1901865108">
                                  <w:marLeft w:val="0"/>
                                  <w:marRight w:val="0"/>
                                  <w:marTop w:val="0"/>
                                  <w:marBottom w:val="0"/>
                                  <w:divBdr>
                                    <w:top w:val="none" w:sz="0" w:space="0" w:color="auto"/>
                                    <w:left w:val="none" w:sz="0" w:space="0" w:color="auto"/>
                                    <w:bottom w:val="none" w:sz="0" w:space="0" w:color="auto"/>
                                    <w:right w:val="none" w:sz="0" w:space="0" w:color="auto"/>
                                  </w:divBdr>
                                  <w:divsChild>
                                    <w:div w:id="414012245">
                                      <w:marLeft w:val="0"/>
                                      <w:marRight w:val="0"/>
                                      <w:marTop w:val="0"/>
                                      <w:marBottom w:val="0"/>
                                      <w:divBdr>
                                        <w:top w:val="none" w:sz="0" w:space="0" w:color="auto"/>
                                        <w:left w:val="none" w:sz="0" w:space="0" w:color="auto"/>
                                        <w:bottom w:val="none" w:sz="0" w:space="0" w:color="auto"/>
                                        <w:right w:val="none" w:sz="0" w:space="0" w:color="auto"/>
                                      </w:divBdr>
                                      <w:divsChild>
                                        <w:div w:id="2131820795">
                                          <w:marLeft w:val="0"/>
                                          <w:marRight w:val="0"/>
                                          <w:marTop w:val="0"/>
                                          <w:marBottom w:val="0"/>
                                          <w:divBdr>
                                            <w:top w:val="none" w:sz="0" w:space="0" w:color="auto"/>
                                            <w:left w:val="none" w:sz="0" w:space="0" w:color="auto"/>
                                            <w:bottom w:val="none" w:sz="0" w:space="0" w:color="auto"/>
                                            <w:right w:val="none" w:sz="0" w:space="0" w:color="auto"/>
                                          </w:divBdr>
                                          <w:divsChild>
                                            <w:div w:id="145585110">
                                              <w:marLeft w:val="0"/>
                                              <w:marRight w:val="0"/>
                                              <w:marTop w:val="0"/>
                                              <w:marBottom w:val="0"/>
                                              <w:divBdr>
                                                <w:top w:val="none" w:sz="0" w:space="0" w:color="auto"/>
                                                <w:left w:val="none" w:sz="0" w:space="0" w:color="auto"/>
                                                <w:bottom w:val="none" w:sz="0" w:space="0" w:color="auto"/>
                                                <w:right w:val="none" w:sz="0" w:space="0" w:color="auto"/>
                                              </w:divBdr>
                                              <w:divsChild>
                                                <w:div w:id="16112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18327">
      <w:bodyDiv w:val="1"/>
      <w:marLeft w:val="0"/>
      <w:marRight w:val="0"/>
      <w:marTop w:val="0"/>
      <w:marBottom w:val="0"/>
      <w:divBdr>
        <w:top w:val="none" w:sz="0" w:space="0" w:color="auto"/>
        <w:left w:val="none" w:sz="0" w:space="0" w:color="auto"/>
        <w:bottom w:val="none" w:sz="0" w:space="0" w:color="auto"/>
        <w:right w:val="none" w:sz="0" w:space="0" w:color="auto"/>
      </w:divBdr>
      <w:divsChild>
        <w:div w:id="610086223">
          <w:marLeft w:val="0"/>
          <w:marRight w:val="0"/>
          <w:marTop w:val="100"/>
          <w:marBottom w:val="100"/>
          <w:divBdr>
            <w:top w:val="none" w:sz="0" w:space="0" w:color="auto"/>
            <w:left w:val="none" w:sz="0" w:space="0" w:color="auto"/>
            <w:bottom w:val="none" w:sz="0" w:space="0" w:color="auto"/>
            <w:right w:val="none" w:sz="0" w:space="0" w:color="auto"/>
          </w:divBdr>
        </w:div>
        <w:div w:id="789325384">
          <w:marLeft w:val="0"/>
          <w:marRight w:val="0"/>
          <w:marTop w:val="0"/>
          <w:marBottom w:val="0"/>
          <w:divBdr>
            <w:top w:val="none" w:sz="0" w:space="0" w:color="auto"/>
            <w:left w:val="none" w:sz="0" w:space="0" w:color="auto"/>
            <w:bottom w:val="none" w:sz="0" w:space="0" w:color="auto"/>
            <w:right w:val="none" w:sz="0" w:space="0" w:color="auto"/>
          </w:divBdr>
        </w:div>
        <w:div w:id="1330597569">
          <w:marLeft w:val="0"/>
          <w:marRight w:val="0"/>
          <w:marTop w:val="100"/>
          <w:marBottom w:val="100"/>
          <w:divBdr>
            <w:top w:val="none" w:sz="0" w:space="0" w:color="auto"/>
            <w:left w:val="none" w:sz="0" w:space="0" w:color="auto"/>
            <w:bottom w:val="none" w:sz="0" w:space="0" w:color="auto"/>
            <w:right w:val="none" w:sz="0" w:space="0" w:color="auto"/>
          </w:divBdr>
        </w:div>
        <w:div w:id="166666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0286" ma:contentTypeDescription=" " ma:contentTypeScope="" ma:versionID="26b7f2f8abd5b476d393e219ee3e5f4f">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2018RG-111-8550</_dlc_DocId>
    <_dlc_DocIdUrl xmlns="9f7bc583-7cbe-45b9-a2bd-8bbb6543b37e">
      <Url>http://tweb/sites/rg/ldp/lmu/_layouts/15/DocIdRedir.aspx?ID=2018RG-111-8550</Url>
      <Description>2018RG-111-8550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7B31-DE14-4B4D-9CA6-4CE66735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471BE-6043-49E8-BE17-837FA9B83E5D}">
  <ds:schemaRefs>
    <ds:schemaRef ds:uri="http://schemas.microsoft.com/sharepoint/events"/>
  </ds:schemaRefs>
</ds:datastoreItem>
</file>

<file path=customXml/itemProps3.xml><?xml version="1.0" encoding="utf-8"?>
<ds:datastoreItem xmlns:ds="http://schemas.openxmlformats.org/officeDocument/2006/customXml" ds:itemID="{66C31A5F-C8E4-4E95-B566-5CE212D30C0D}">
  <ds:schemaRefs>
    <ds:schemaRef ds:uri="http://schemas.microsoft.com/sharepoint/v3/contenttype/forms"/>
  </ds:schemaRefs>
</ds:datastoreItem>
</file>

<file path=customXml/itemProps4.xml><?xml version="1.0" encoding="utf-8"?>
<ds:datastoreItem xmlns:ds="http://schemas.openxmlformats.org/officeDocument/2006/customXml" ds:itemID="{4A4C1BE7-E2E7-4865-AF19-DA10E6E38AF9}">
  <ds:schemaRefs>
    <ds:schemaRef ds:uri="office.server.policy"/>
  </ds:schemaRefs>
</ds:datastoreItem>
</file>

<file path=customXml/itemProps5.xml><?xml version="1.0" encoding="utf-8"?>
<ds:datastoreItem xmlns:ds="http://schemas.openxmlformats.org/officeDocument/2006/customXml" ds:itemID="{DEC1B3A3-BC59-4449-9249-577C523A11A5}">
  <ds:schemaRefs>
    <ds:schemaRef ds:uri="http://schemas.microsoft.com/office/2006/documentManagement/types"/>
    <ds:schemaRef ds:uri="http://schemas.microsoft.com/sharepoint/v3"/>
    <ds:schemaRef ds:uri="http://purl.org/dc/terms/"/>
    <ds:schemaRef ds:uri="http://purl.org/dc/dcmitype/"/>
    <ds:schemaRef ds:uri="http://schemas.microsoft.com/sharepoint/v4"/>
    <ds:schemaRef ds:uri="http://schemas.microsoft.com/office/infopath/2007/PartnerControls"/>
    <ds:schemaRef ds:uri="http://schemas.openxmlformats.org/package/2006/metadata/core-properties"/>
    <ds:schemaRef ds:uri="9f7bc583-7cbe-45b9-a2bd-8bbb6543b37e"/>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E3B4C1E7-A00B-4D44-AFEA-F6F13338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 - The Treasury</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David Cavanough</dc:creator>
  <cp:lastModifiedBy>Osborne, Lea</cp:lastModifiedBy>
  <cp:revision>3</cp:revision>
  <cp:lastPrinted>2018-04-04T10:15:00Z</cp:lastPrinted>
  <dcterms:created xsi:type="dcterms:W3CDTF">2018-04-04T10:23:00Z</dcterms:created>
  <dcterms:modified xsi:type="dcterms:W3CDTF">2018-04-05T06:11:00Z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WebId">
    <vt:lpwstr>{2602612e-a30f-4de0-b9eb-e01e73dc8005}</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dlc_DocIdItemGuid">
    <vt:lpwstr>a4ebc121-1a66-4b35-b044-dabec5d10489</vt:lpwstr>
  </property>
  <property fmtid="{D5CDD505-2E9C-101B-9397-08002B2CF9AE}" pid="13" name="RecordPoint_ActiveItemUniqueId">
    <vt:lpwstr>{a4ebc121-1a66-4b35-b044-dabec5d10489}</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_AdHocReviewCycleID">
    <vt:i4>-660963085</vt:i4>
  </property>
  <property fmtid="{D5CDD505-2E9C-101B-9397-08002B2CF9AE}" pid="17" name="_NewReviewCycle">
    <vt:lpwstr/>
  </property>
  <property fmtid="{D5CDD505-2E9C-101B-9397-08002B2CF9AE}" pid="18" name="_EmailSubject">
    <vt:lpwstr>Approval for Lodgement - FFR National Health Reform Payment [SEC=UNCLASSIFIED]</vt:lpwstr>
  </property>
  <property fmtid="{D5CDD505-2E9C-101B-9397-08002B2CF9AE}" pid="19" name="_AuthorEmail">
    <vt:lpwstr>Brant.Pridmore@TREASURY.GOV.AU</vt:lpwstr>
  </property>
  <property fmtid="{D5CDD505-2E9C-101B-9397-08002B2CF9AE}" pid="20" name="_AuthorEmailDisplayName">
    <vt:lpwstr>Pridmore, Brant</vt:lpwstr>
  </property>
  <property fmtid="{D5CDD505-2E9C-101B-9397-08002B2CF9AE}" pid="21" name="_PreviousAdHocReviewCycleID">
    <vt:i4>547984900</vt:i4>
  </property>
  <property fmtid="{D5CDD505-2E9C-101B-9397-08002B2CF9AE}" pid="22" name="_ReviewingToolsShownOnce">
    <vt:lpwstr/>
  </property>
</Properties>
</file>