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32C93" w14:textId="26B24857" w:rsidR="00A97308" w:rsidRPr="008B6C52" w:rsidRDefault="003C1C5E" w:rsidP="00A97308">
      <w:bookmarkStart w:id="0" w:name="_Toc206822568"/>
      <w:r>
        <w:rPr>
          <w:noProof/>
          <w:lang w:eastAsia="en-AU"/>
        </w:rPr>
        <w:pict w14:anchorId="612AD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1.75pt;height:87pt;visibility:visible;mso-wrap-style:square">
            <v:imagedata r:id="rId8" o:title=""/>
          </v:shape>
        </w:pict>
      </w:r>
    </w:p>
    <w:p w14:paraId="1191C352" w14:textId="2D366317" w:rsidR="00A97308" w:rsidRDefault="00A97308" w:rsidP="00A97308">
      <w:pPr>
        <w:pStyle w:val="Title"/>
        <w:pBdr>
          <w:bottom w:val="single" w:sz="4" w:space="3" w:color="auto"/>
        </w:pBdr>
      </w:pPr>
      <w:bookmarkStart w:id="1" w:name="Citation"/>
      <w:r>
        <w:t>Anti-Money Laundering and Counter-Terrorism Financing Rules Amendment Instrument 201</w:t>
      </w:r>
      <w:r w:rsidR="00E57D10">
        <w:t>8</w:t>
      </w:r>
      <w:r w:rsidRPr="00C57DD4">
        <w:t xml:space="preserve"> (No. </w:t>
      </w:r>
      <w:r w:rsidR="00557350">
        <w:t>2</w:t>
      </w:r>
      <w:r w:rsidRPr="00C57DD4">
        <w:t>)</w:t>
      </w:r>
      <w:bookmarkEnd w:id="1"/>
    </w:p>
    <w:p w14:paraId="1FFED1F2" w14:textId="77777777" w:rsidR="00A97308" w:rsidRPr="00831E19" w:rsidRDefault="00A97308" w:rsidP="00A97308">
      <w:pPr>
        <w:pBdr>
          <w:bottom w:val="single" w:sz="4" w:space="3" w:color="auto"/>
        </w:pBdr>
        <w:spacing w:before="480"/>
        <w:rPr>
          <w:rFonts w:ascii="Arial" w:hAnsi="Arial" w:cs="Arial"/>
          <w:b/>
        </w:rPr>
      </w:pPr>
      <w:r>
        <w:rPr>
          <w:rFonts w:ascii="Arial" w:hAnsi="Arial" w:cs="Arial"/>
          <w:i/>
          <w:sz w:val="28"/>
          <w:szCs w:val="28"/>
        </w:rPr>
        <w:t>Anti-Money Laundering and Counter-Terrorism Financing Act 2006</w:t>
      </w:r>
    </w:p>
    <w:p w14:paraId="0DC8EA63" w14:textId="28777944" w:rsidR="00A97308" w:rsidRPr="00C40535" w:rsidRDefault="00A97308" w:rsidP="00A97308">
      <w:pPr>
        <w:spacing w:before="360"/>
        <w:jc w:val="both"/>
        <w:rPr>
          <w:rFonts w:ascii="Times New Roman" w:hAnsi="Times New Roman"/>
          <w:sz w:val="24"/>
        </w:rPr>
      </w:pPr>
      <w:r w:rsidRPr="00C40535">
        <w:rPr>
          <w:rFonts w:ascii="Times New Roman" w:hAnsi="Times New Roman"/>
          <w:sz w:val="24"/>
        </w:rPr>
        <w:t xml:space="preserve">I, </w:t>
      </w:r>
      <w:r w:rsidR="00E57D10">
        <w:rPr>
          <w:rFonts w:ascii="Times New Roman" w:hAnsi="Times New Roman"/>
          <w:sz w:val="24"/>
        </w:rPr>
        <w:t>Nicole Rose,</w:t>
      </w:r>
      <w:r w:rsidR="00D02EB1">
        <w:rPr>
          <w:rFonts w:ascii="Times New Roman" w:hAnsi="Times New Roman"/>
          <w:sz w:val="24"/>
        </w:rPr>
        <w:t xml:space="preserve"> </w:t>
      </w:r>
      <w:r w:rsidRPr="00C40535">
        <w:rPr>
          <w:rFonts w:ascii="Times New Roman" w:hAnsi="Times New Roman"/>
          <w:sz w:val="24"/>
        </w:rPr>
        <w:t xml:space="preserve">Chief Executive Officer, Australian Transaction Reports and Analysis Centre, make this Instrument under section 229 of the </w:t>
      </w:r>
      <w:r w:rsidRPr="00C40535">
        <w:rPr>
          <w:rFonts w:ascii="Times New Roman" w:hAnsi="Times New Roman"/>
          <w:i/>
          <w:sz w:val="24"/>
        </w:rPr>
        <w:t>Anti-Money Laundering and Counter-Terrorism Financing Act 2006</w:t>
      </w:r>
      <w:r w:rsidRPr="00C40535">
        <w:rPr>
          <w:rFonts w:ascii="Times New Roman" w:hAnsi="Times New Roman"/>
          <w:sz w:val="24"/>
        </w:rPr>
        <w:t>.</w:t>
      </w:r>
    </w:p>
    <w:p w14:paraId="6FD497A7" w14:textId="77777777" w:rsidR="00A97308" w:rsidRPr="00C40535" w:rsidRDefault="00A97308" w:rsidP="00A97308">
      <w:pPr>
        <w:autoSpaceDE w:val="0"/>
        <w:autoSpaceDN w:val="0"/>
        <w:adjustRightInd w:val="0"/>
        <w:rPr>
          <w:rFonts w:ascii="Times New Roman" w:hAnsi="Times New Roman"/>
          <w:sz w:val="24"/>
        </w:rPr>
      </w:pPr>
      <w:bookmarkStart w:id="2" w:name="Minister"/>
    </w:p>
    <w:p w14:paraId="49CACAA4" w14:textId="73702216" w:rsidR="00A97308" w:rsidRPr="00C40535" w:rsidRDefault="00A97308" w:rsidP="00A97308">
      <w:pPr>
        <w:tabs>
          <w:tab w:val="left" w:pos="3780"/>
        </w:tabs>
        <w:autoSpaceDE w:val="0"/>
        <w:autoSpaceDN w:val="0"/>
        <w:adjustRightInd w:val="0"/>
        <w:rPr>
          <w:rFonts w:ascii="Times New Roman" w:hAnsi="Times New Roman"/>
          <w:sz w:val="24"/>
        </w:rPr>
      </w:pPr>
      <w:r>
        <w:rPr>
          <w:rFonts w:ascii="Times New Roman" w:hAnsi="Times New Roman"/>
          <w:sz w:val="24"/>
        </w:rPr>
        <w:t>Dated</w:t>
      </w:r>
      <w:bookmarkStart w:id="3" w:name="_GoBack"/>
      <w:bookmarkEnd w:id="3"/>
      <w:r w:rsidR="00666137">
        <w:rPr>
          <w:rFonts w:ascii="Times New Roman" w:hAnsi="Times New Roman"/>
          <w:sz w:val="24"/>
        </w:rPr>
        <w:t xml:space="preserve"> 27 March </w:t>
      </w:r>
      <w:r>
        <w:rPr>
          <w:rFonts w:ascii="Times New Roman" w:hAnsi="Times New Roman"/>
          <w:sz w:val="24"/>
        </w:rPr>
        <w:t>201</w:t>
      </w:r>
      <w:r w:rsidR="00E57D10">
        <w:rPr>
          <w:rFonts w:ascii="Times New Roman" w:hAnsi="Times New Roman"/>
          <w:sz w:val="24"/>
        </w:rPr>
        <w:t>8</w:t>
      </w:r>
    </w:p>
    <w:p w14:paraId="03CCE1DA" w14:textId="77777777" w:rsidR="00A97308" w:rsidRPr="00C40535" w:rsidRDefault="00A97308" w:rsidP="00A97308">
      <w:pPr>
        <w:autoSpaceDE w:val="0"/>
        <w:autoSpaceDN w:val="0"/>
        <w:adjustRightInd w:val="0"/>
        <w:rPr>
          <w:rFonts w:ascii="Times New Roman" w:hAnsi="Times New Roman"/>
          <w:sz w:val="24"/>
        </w:rPr>
      </w:pPr>
    </w:p>
    <w:p w14:paraId="66012DBA" w14:textId="77777777" w:rsidR="00A97308" w:rsidRPr="00C40535" w:rsidRDefault="00A97308" w:rsidP="00A97308">
      <w:pPr>
        <w:autoSpaceDE w:val="0"/>
        <w:autoSpaceDN w:val="0"/>
        <w:adjustRightInd w:val="0"/>
        <w:ind w:right="-199"/>
        <w:rPr>
          <w:rFonts w:ascii="Times New Roman" w:hAnsi="Times New Roman"/>
          <w:sz w:val="24"/>
        </w:rPr>
      </w:pPr>
    </w:p>
    <w:p w14:paraId="564427FD" w14:textId="77777777" w:rsidR="00A97308" w:rsidRDefault="00A97308" w:rsidP="00A97308">
      <w:pPr>
        <w:autoSpaceDE w:val="0"/>
        <w:autoSpaceDN w:val="0"/>
        <w:adjustRightInd w:val="0"/>
        <w:rPr>
          <w:rFonts w:ascii="Times New Roman" w:hAnsi="Times New Roman"/>
          <w:sz w:val="24"/>
        </w:rPr>
      </w:pPr>
    </w:p>
    <w:p w14:paraId="0FBEF293" w14:textId="77777777" w:rsidR="00A97308" w:rsidRDefault="00A97308" w:rsidP="00A97308">
      <w:pPr>
        <w:autoSpaceDE w:val="0"/>
        <w:autoSpaceDN w:val="0"/>
        <w:adjustRightInd w:val="0"/>
        <w:rPr>
          <w:rFonts w:ascii="Times New Roman" w:hAnsi="Times New Roman"/>
          <w:sz w:val="24"/>
        </w:rPr>
      </w:pPr>
    </w:p>
    <w:p w14:paraId="2B6CA6D4" w14:textId="77777777" w:rsidR="00A97308" w:rsidRDefault="00A97308" w:rsidP="00A97308">
      <w:pPr>
        <w:autoSpaceDE w:val="0"/>
        <w:autoSpaceDN w:val="0"/>
        <w:adjustRightInd w:val="0"/>
        <w:rPr>
          <w:rFonts w:ascii="Times New Roman" w:hAnsi="Times New Roman"/>
          <w:sz w:val="24"/>
        </w:rPr>
      </w:pPr>
    </w:p>
    <w:p w14:paraId="0248DA0D" w14:textId="77777777" w:rsidR="00A97308" w:rsidRDefault="00A97308" w:rsidP="00A97308">
      <w:pPr>
        <w:autoSpaceDE w:val="0"/>
        <w:autoSpaceDN w:val="0"/>
        <w:adjustRightInd w:val="0"/>
        <w:rPr>
          <w:rFonts w:ascii="Times New Roman" w:hAnsi="Times New Roman"/>
          <w:sz w:val="24"/>
        </w:rPr>
      </w:pPr>
    </w:p>
    <w:p w14:paraId="3FE1DFB1" w14:textId="77777777" w:rsidR="00A97308" w:rsidRDefault="00A97308" w:rsidP="00A97308">
      <w:pPr>
        <w:autoSpaceDE w:val="0"/>
        <w:autoSpaceDN w:val="0"/>
        <w:adjustRightInd w:val="0"/>
        <w:rPr>
          <w:rFonts w:ascii="Times New Roman" w:hAnsi="Times New Roman"/>
          <w:sz w:val="24"/>
        </w:rPr>
      </w:pPr>
    </w:p>
    <w:p w14:paraId="574F6145" w14:textId="77777777" w:rsidR="00A97308" w:rsidRPr="00C40535" w:rsidRDefault="00A97308" w:rsidP="00A97308">
      <w:pPr>
        <w:autoSpaceDE w:val="0"/>
        <w:autoSpaceDN w:val="0"/>
        <w:adjustRightInd w:val="0"/>
        <w:rPr>
          <w:rFonts w:ascii="Times New Roman" w:hAnsi="Times New Roman"/>
          <w:sz w:val="24"/>
        </w:rPr>
      </w:pPr>
    </w:p>
    <w:p w14:paraId="1B5367FD" w14:textId="3F8BCB60" w:rsidR="00A97308" w:rsidRPr="00C40535" w:rsidRDefault="00666137" w:rsidP="00A97308">
      <w:pPr>
        <w:autoSpaceDE w:val="0"/>
        <w:autoSpaceDN w:val="0"/>
        <w:adjustRightInd w:val="0"/>
        <w:rPr>
          <w:rFonts w:ascii="Times New Roman" w:hAnsi="Times New Roman"/>
          <w:sz w:val="24"/>
        </w:rPr>
      </w:pPr>
      <w:r>
        <w:rPr>
          <w:rFonts w:ascii="Times New Roman" w:hAnsi="Times New Roman"/>
          <w:sz w:val="24"/>
        </w:rPr>
        <w:t>[signed]</w:t>
      </w:r>
    </w:p>
    <w:p w14:paraId="69C9192B" w14:textId="2D5DCA8A" w:rsidR="00A97308" w:rsidRDefault="00E57D10" w:rsidP="00A97308">
      <w:pPr>
        <w:pBdr>
          <w:bottom w:val="single" w:sz="4" w:space="12" w:color="auto"/>
        </w:pBdr>
        <w:tabs>
          <w:tab w:val="left" w:pos="3119"/>
        </w:tabs>
        <w:spacing w:line="300" w:lineRule="atLeast"/>
        <w:rPr>
          <w:rFonts w:ascii="Times New Roman" w:hAnsi="Times New Roman"/>
          <w:sz w:val="24"/>
        </w:rPr>
      </w:pPr>
      <w:r>
        <w:rPr>
          <w:rFonts w:ascii="Times New Roman" w:hAnsi="Times New Roman"/>
          <w:sz w:val="24"/>
        </w:rPr>
        <w:t xml:space="preserve">Nicole Rose </w:t>
      </w:r>
      <w:r w:rsidRPr="00E57D10">
        <w:rPr>
          <w:rFonts w:ascii="Times New Roman" w:hAnsi="Times New Roman"/>
          <w:szCs w:val="22"/>
        </w:rPr>
        <w:t>PSM</w:t>
      </w:r>
    </w:p>
    <w:p w14:paraId="62D772AA" w14:textId="4B144D1C" w:rsidR="00A97308" w:rsidRPr="00C40535" w:rsidRDefault="00A97308" w:rsidP="00A97308">
      <w:pPr>
        <w:pBdr>
          <w:bottom w:val="single" w:sz="4" w:space="12" w:color="auto"/>
        </w:pBdr>
        <w:tabs>
          <w:tab w:val="left" w:pos="3119"/>
        </w:tabs>
        <w:spacing w:line="300" w:lineRule="atLeast"/>
        <w:rPr>
          <w:rFonts w:ascii="Times New Roman" w:hAnsi="Times New Roman"/>
          <w:sz w:val="24"/>
        </w:rPr>
      </w:pPr>
      <w:r w:rsidRPr="00C40535">
        <w:rPr>
          <w:rFonts w:ascii="Times New Roman" w:hAnsi="Times New Roman"/>
          <w:sz w:val="24"/>
        </w:rPr>
        <w:t>Chief Executive Officer</w:t>
      </w:r>
      <w:r w:rsidRPr="00C40535">
        <w:rPr>
          <w:rFonts w:ascii="Times New Roman" w:hAnsi="Times New Roman"/>
          <w:sz w:val="24"/>
        </w:rPr>
        <w:br/>
        <w:t>Australian Transaction Reports and Analysis Centre</w:t>
      </w:r>
      <w:bookmarkEnd w:id="2"/>
    </w:p>
    <w:p w14:paraId="7E56E11C" w14:textId="77777777" w:rsidR="00A97308" w:rsidRDefault="00A97308" w:rsidP="00A97308">
      <w:pPr>
        <w:pBdr>
          <w:bottom w:val="single" w:sz="4" w:space="12" w:color="auto"/>
        </w:pBdr>
        <w:tabs>
          <w:tab w:val="left" w:pos="3119"/>
        </w:tabs>
        <w:spacing w:line="300" w:lineRule="atLeast"/>
      </w:pPr>
      <w:r>
        <w:br w:type="page"/>
      </w:r>
    </w:p>
    <w:p w14:paraId="6606EAF4" w14:textId="77777777" w:rsidR="00A97308" w:rsidRDefault="00A97308" w:rsidP="00A97308">
      <w:pPr>
        <w:pStyle w:val="HR"/>
        <w:ind w:left="851" w:hanging="851"/>
      </w:pPr>
      <w:r>
        <w:t>1</w:t>
      </w:r>
      <w:r>
        <w:tab/>
        <w:t>Name of Instrument</w:t>
      </w:r>
    </w:p>
    <w:p w14:paraId="32706F2E" w14:textId="74EA7A42" w:rsidR="00A97308" w:rsidRDefault="00A97308" w:rsidP="00A97308">
      <w:pPr>
        <w:pStyle w:val="R1"/>
        <w:tabs>
          <w:tab w:val="clear" w:pos="794"/>
        </w:tabs>
        <w:spacing w:before="240"/>
        <w:ind w:left="851" w:firstLine="0"/>
        <w:jc w:val="left"/>
      </w:pPr>
      <w:r>
        <w:t>This Instrument is the</w:t>
      </w:r>
      <w:r>
        <w:rPr>
          <w:i/>
        </w:rPr>
        <w:t xml:space="preserve"> Anti-Money Laundering and Counter-Terrorism Financing Rules Amendment Instrument 20</w:t>
      </w:r>
      <w:r w:rsidR="00E57D10">
        <w:rPr>
          <w:i/>
        </w:rPr>
        <w:t>18</w:t>
      </w:r>
      <w:r w:rsidR="00C11F32">
        <w:rPr>
          <w:i/>
        </w:rPr>
        <w:t xml:space="preserve"> </w:t>
      </w:r>
      <w:r>
        <w:rPr>
          <w:i/>
        </w:rPr>
        <w:t xml:space="preserve">(No. </w:t>
      </w:r>
      <w:r w:rsidR="00C40D50">
        <w:rPr>
          <w:i/>
        </w:rPr>
        <w:t>2</w:t>
      </w:r>
      <w:r>
        <w:rPr>
          <w:i/>
        </w:rPr>
        <w:t>)</w:t>
      </w:r>
      <w:r w:rsidRPr="00C57DD4">
        <w:t>.</w:t>
      </w:r>
    </w:p>
    <w:p w14:paraId="1E65F7B4" w14:textId="77777777" w:rsidR="00A97308" w:rsidRDefault="00A97308" w:rsidP="00A97308">
      <w:pPr>
        <w:pStyle w:val="HR"/>
        <w:ind w:left="851" w:hanging="851"/>
      </w:pPr>
      <w:r>
        <w:t>2</w:t>
      </w:r>
      <w:r>
        <w:tab/>
        <w:t>Commencement</w:t>
      </w:r>
    </w:p>
    <w:p w14:paraId="48DC6C83" w14:textId="4D403788" w:rsidR="00A97308" w:rsidRDefault="00A97308" w:rsidP="00A97308">
      <w:pPr>
        <w:pStyle w:val="paragraph"/>
        <w:tabs>
          <w:tab w:val="clear" w:pos="1531"/>
        </w:tabs>
        <w:spacing w:before="240"/>
        <w:ind w:left="851" w:firstLine="0"/>
        <w:rPr>
          <w:sz w:val="24"/>
        </w:rPr>
      </w:pPr>
      <w:r w:rsidRPr="00516724">
        <w:rPr>
          <w:sz w:val="24"/>
        </w:rPr>
        <w:t xml:space="preserve">This Instrument commences </w:t>
      </w:r>
      <w:r>
        <w:rPr>
          <w:sz w:val="24"/>
        </w:rPr>
        <w:t xml:space="preserve">on </w:t>
      </w:r>
      <w:r w:rsidR="00C40D50">
        <w:rPr>
          <w:sz w:val="24"/>
        </w:rPr>
        <w:t>3 April 2018</w:t>
      </w:r>
      <w:r>
        <w:rPr>
          <w:sz w:val="24"/>
        </w:rPr>
        <w:t>.</w:t>
      </w:r>
    </w:p>
    <w:p w14:paraId="4D40A566" w14:textId="77777777" w:rsidR="00A97308" w:rsidRPr="00CC4FAC" w:rsidRDefault="00A97308" w:rsidP="00CC4FAC">
      <w:pPr>
        <w:pStyle w:val="HR"/>
        <w:ind w:left="851" w:hanging="851"/>
      </w:pPr>
      <w:r w:rsidRPr="00CC4FAC">
        <w:t>3</w:t>
      </w:r>
      <w:r w:rsidRPr="00CC4FAC">
        <w:tab/>
        <w:t xml:space="preserve">Amendment </w:t>
      </w:r>
    </w:p>
    <w:p w14:paraId="44161F82" w14:textId="45C75BB3" w:rsidR="00A97308" w:rsidRDefault="00A97308" w:rsidP="00C11F32">
      <w:pPr>
        <w:pStyle w:val="R1"/>
        <w:tabs>
          <w:tab w:val="clear" w:pos="794"/>
        </w:tabs>
        <w:spacing w:before="240"/>
        <w:ind w:left="851" w:firstLine="0"/>
        <w:jc w:val="left"/>
        <w:rPr>
          <w:i/>
        </w:rPr>
      </w:pPr>
      <w:r w:rsidRPr="00394CCD">
        <w:t>Schedule</w:t>
      </w:r>
      <w:r w:rsidR="00C11F32">
        <w:t xml:space="preserve"> </w:t>
      </w:r>
      <w:r>
        <w:t xml:space="preserve">1 </w:t>
      </w:r>
      <w:r w:rsidRPr="00394CCD">
        <w:t>amend</w:t>
      </w:r>
      <w:r w:rsidR="00D47139">
        <w:t>s</w:t>
      </w:r>
      <w:r w:rsidRPr="00394CCD">
        <w:t xml:space="preserve"> the </w:t>
      </w:r>
      <w:r w:rsidRPr="00394CCD">
        <w:rPr>
          <w:i/>
        </w:rPr>
        <w:t>Anti-Money Laundering and Counter-Terrorism Financing Rules</w:t>
      </w:r>
      <w:r>
        <w:rPr>
          <w:i/>
        </w:rPr>
        <w:t xml:space="preserve"> Instrument </w:t>
      </w:r>
      <w:r w:rsidRPr="00394CCD">
        <w:rPr>
          <w:i/>
        </w:rPr>
        <w:t>2007 (No.</w:t>
      </w:r>
      <w:r>
        <w:rPr>
          <w:i/>
        </w:rPr>
        <w:t xml:space="preserve"> 1</w:t>
      </w:r>
      <w:r w:rsidRPr="00394CCD">
        <w:rPr>
          <w:i/>
        </w:rPr>
        <w:t>)</w:t>
      </w:r>
      <w:r>
        <w:rPr>
          <w:i/>
        </w:rPr>
        <w:t>.</w:t>
      </w:r>
    </w:p>
    <w:p w14:paraId="1AC27B78" w14:textId="77777777" w:rsidR="00263507" w:rsidRDefault="00263507" w:rsidP="00263507">
      <w:pPr>
        <w:pStyle w:val="AS"/>
        <w:spacing w:after="240"/>
        <w:ind w:left="2268" w:hanging="2268"/>
        <w:rPr>
          <w:sz w:val="24"/>
        </w:rPr>
      </w:pPr>
      <w:r w:rsidRPr="00E626A4">
        <w:rPr>
          <w:sz w:val="28"/>
          <w:szCs w:val="28"/>
        </w:rPr>
        <w:t>Schedule 1</w:t>
      </w:r>
      <w:r>
        <w:rPr>
          <w:rFonts w:cs="Arial"/>
          <w:sz w:val="28"/>
          <w:szCs w:val="28"/>
        </w:rPr>
        <w:t>—</w:t>
      </w:r>
      <w:r>
        <w:rPr>
          <w:sz w:val="28"/>
          <w:szCs w:val="28"/>
        </w:rPr>
        <w:t>Amendments</w:t>
      </w:r>
      <w:r>
        <w:rPr>
          <w:sz w:val="24"/>
        </w:rPr>
        <w:tab/>
      </w:r>
    </w:p>
    <w:p w14:paraId="3207729A" w14:textId="77777777" w:rsidR="00263507" w:rsidRPr="00142000" w:rsidRDefault="00263507" w:rsidP="00263507">
      <w:pPr>
        <w:pStyle w:val="AS"/>
        <w:spacing w:before="360" w:after="360"/>
        <w:ind w:left="0" w:firstLine="0"/>
        <w:rPr>
          <w:rFonts w:ascii="Times New Roman" w:hAnsi="Times New Roman"/>
          <w:b w:val="0"/>
          <w:sz w:val="24"/>
        </w:rPr>
      </w:pPr>
      <w:r w:rsidRPr="00142000">
        <w:rPr>
          <w:i/>
          <w:sz w:val="24"/>
        </w:rPr>
        <w:t>Anti-Money Laundering and Counter-Terrorism Financing Rules Instrument 2007 (No. 1)</w:t>
      </w:r>
    </w:p>
    <w:p w14:paraId="7148B106" w14:textId="5F7F4524" w:rsidR="00263507" w:rsidRPr="00CC4FAC" w:rsidRDefault="00263507" w:rsidP="00263507">
      <w:pPr>
        <w:pStyle w:val="HR"/>
        <w:ind w:left="851" w:hanging="851"/>
      </w:pPr>
      <w:r>
        <w:t>1</w:t>
      </w:r>
      <w:r w:rsidRPr="00CC4FAC">
        <w:tab/>
      </w:r>
      <w:r w:rsidR="00D66E96">
        <w:t>Subp</w:t>
      </w:r>
      <w:r>
        <w:t>aragraph 3.1.2</w:t>
      </w:r>
      <w:r w:rsidRPr="00CC4FAC">
        <w:t xml:space="preserve"> </w:t>
      </w:r>
    </w:p>
    <w:bookmarkEnd w:id="0"/>
    <w:p w14:paraId="22401119" w14:textId="7E1A0970" w:rsidR="00BA1CBA" w:rsidRDefault="00D66E96" w:rsidP="00773DAA">
      <w:pPr>
        <w:autoSpaceDE w:val="0"/>
        <w:autoSpaceDN w:val="0"/>
        <w:adjustRightInd w:val="0"/>
        <w:spacing w:before="240"/>
      </w:pPr>
      <w:r w:rsidRPr="00773DAA">
        <w:rPr>
          <w:rFonts w:ascii="Times New Roman" w:hAnsi="Times New Roman"/>
          <w:sz w:val="24"/>
        </w:rPr>
        <w:t>After</w:t>
      </w:r>
      <w:r>
        <w:rPr>
          <w:rFonts w:ascii="Times New Roman" w:hAnsi="Times New Roman"/>
          <w:sz w:val="24"/>
        </w:rPr>
        <w:t xml:space="preserve"> “</w:t>
      </w:r>
      <w:r w:rsidRPr="00D66E96">
        <w:rPr>
          <w:rFonts w:ascii="Times New Roman" w:hAnsi="Times New Roman"/>
          <w:sz w:val="24"/>
        </w:rPr>
        <w:t>anti-money laundering and counter-terrorism financing regulation</w:t>
      </w:r>
      <w:r>
        <w:rPr>
          <w:rFonts w:ascii="Times New Roman" w:hAnsi="Times New Roman"/>
          <w:sz w:val="24"/>
        </w:rPr>
        <w:t>”</w:t>
      </w:r>
      <w:r w:rsidR="00CC48BE">
        <w:rPr>
          <w:rFonts w:ascii="Times New Roman" w:hAnsi="Times New Roman"/>
          <w:sz w:val="24"/>
        </w:rPr>
        <w:t xml:space="preserve"> (wherever occurring)</w:t>
      </w:r>
      <w:r>
        <w:rPr>
          <w:rFonts w:ascii="Times New Roman" w:hAnsi="Times New Roman"/>
          <w:sz w:val="24"/>
        </w:rPr>
        <w:t xml:space="preserve">, </w:t>
      </w:r>
      <w:r w:rsidR="005A666A">
        <w:rPr>
          <w:rFonts w:ascii="Times New Roman" w:hAnsi="Times New Roman"/>
          <w:sz w:val="24"/>
        </w:rPr>
        <w:t>insert</w:t>
      </w:r>
      <w:r>
        <w:rPr>
          <w:rFonts w:ascii="Times New Roman" w:hAnsi="Times New Roman"/>
          <w:sz w:val="24"/>
        </w:rPr>
        <w:t xml:space="preserve"> “and supervision”.</w:t>
      </w:r>
    </w:p>
    <w:p w14:paraId="0B5C9512" w14:textId="4BB3EFD7" w:rsidR="00263507" w:rsidRPr="00CC4FAC" w:rsidRDefault="00CC48BE" w:rsidP="00263507">
      <w:pPr>
        <w:pStyle w:val="HR"/>
        <w:ind w:left="851" w:hanging="851"/>
      </w:pPr>
      <w:r>
        <w:t>2</w:t>
      </w:r>
      <w:r w:rsidR="00263507" w:rsidRPr="00CC4FAC">
        <w:tab/>
      </w:r>
      <w:r w:rsidR="00263507">
        <w:t>Paragraph 3.1.5</w:t>
      </w:r>
    </w:p>
    <w:p w14:paraId="0BF71F43" w14:textId="57726932" w:rsidR="00BA1CBA" w:rsidRPr="000A7974" w:rsidRDefault="00D66E96" w:rsidP="00773DAA">
      <w:pPr>
        <w:autoSpaceDE w:val="0"/>
        <w:autoSpaceDN w:val="0"/>
        <w:adjustRightInd w:val="0"/>
        <w:spacing w:before="240"/>
        <w:rPr>
          <w:rFonts w:ascii="Times New Roman" w:hAnsi="Times New Roman"/>
          <w:sz w:val="24"/>
        </w:rPr>
      </w:pPr>
      <w:r w:rsidRPr="00773DAA">
        <w:rPr>
          <w:rFonts w:ascii="Times New Roman" w:hAnsi="Times New Roman"/>
          <w:sz w:val="24"/>
        </w:rPr>
        <w:t>After “correspondent banking relationship” (wherever occurring), insert “that involves a vostro account”.</w:t>
      </w:r>
    </w:p>
    <w:p w14:paraId="4FEBE91B" w14:textId="43995782" w:rsidR="00675036" w:rsidRPr="00CC4FAC" w:rsidRDefault="00CC48BE" w:rsidP="00675036">
      <w:pPr>
        <w:pStyle w:val="HR"/>
        <w:ind w:left="851" w:hanging="851"/>
      </w:pPr>
      <w:r>
        <w:t>3</w:t>
      </w:r>
      <w:r w:rsidR="00675036" w:rsidRPr="00CC4FAC">
        <w:tab/>
      </w:r>
      <w:r w:rsidR="00675036">
        <w:t>Paragraph 3.2.2</w:t>
      </w:r>
    </w:p>
    <w:p w14:paraId="34C03677" w14:textId="2232C1AB" w:rsidR="008354D7" w:rsidRPr="00773DAA" w:rsidRDefault="008354D7" w:rsidP="00773DAA">
      <w:pPr>
        <w:autoSpaceDE w:val="0"/>
        <w:autoSpaceDN w:val="0"/>
        <w:adjustRightInd w:val="0"/>
        <w:spacing w:before="240"/>
        <w:rPr>
          <w:rFonts w:ascii="Times New Roman" w:hAnsi="Times New Roman"/>
          <w:sz w:val="24"/>
        </w:rPr>
      </w:pPr>
      <w:r w:rsidRPr="00773DAA">
        <w:rPr>
          <w:rFonts w:ascii="Times New Roman" w:hAnsi="Times New Roman"/>
          <w:sz w:val="24"/>
        </w:rPr>
        <w:t>Omit “nostro or vostro accounts”, substitute “a vostro account”</w:t>
      </w:r>
    </w:p>
    <w:p w14:paraId="6A5F368B" w14:textId="730419BE" w:rsidR="00675036" w:rsidRPr="00CC4FAC" w:rsidRDefault="00CC48BE" w:rsidP="00675036">
      <w:pPr>
        <w:pStyle w:val="HR"/>
        <w:ind w:left="851" w:hanging="851"/>
      </w:pPr>
      <w:r>
        <w:t>4</w:t>
      </w:r>
      <w:r w:rsidR="00675036" w:rsidRPr="00CC4FAC">
        <w:tab/>
      </w:r>
      <w:r w:rsidR="00675036">
        <w:t>Part 4.14</w:t>
      </w:r>
    </w:p>
    <w:p w14:paraId="61BC6ECE" w14:textId="39F0F64B" w:rsidR="00675036" w:rsidRDefault="00675036" w:rsidP="00675036">
      <w:pPr>
        <w:autoSpaceDE w:val="0"/>
        <w:autoSpaceDN w:val="0"/>
        <w:adjustRightInd w:val="0"/>
        <w:spacing w:before="240"/>
        <w:rPr>
          <w:rFonts w:ascii="Times New Roman" w:hAnsi="Times New Roman"/>
          <w:sz w:val="24"/>
        </w:rPr>
      </w:pPr>
      <w:r>
        <w:rPr>
          <w:rFonts w:ascii="Times New Roman" w:hAnsi="Times New Roman"/>
          <w:sz w:val="24"/>
        </w:rPr>
        <w:t>Repeal the Part</w:t>
      </w:r>
      <w:r>
        <w:rPr>
          <w:rFonts w:ascii="Times New Roman" w:hAnsi="Times New Roman"/>
          <w:i/>
          <w:sz w:val="24"/>
        </w:rPr>
        <w:t>,</w:t>
      </w:r>
      <w:r w:rsidRPr="00BA1CBA">
        <w:rPr>
          <w:rFonts w:ascii="Times New Roman" w:hAnsi="Times New Roman"/>
          <w:b/>
          <w:i/>
          <w:sz w:val="24"/>
        </w:rPr>
        <w:t xml:space="preserve"> </w:t>
      </w:r>
      <w:r w:rsidRPr="00730C09">
        <w:rPr>
          <w:rFonts w:ascii="Times New Roman" w:hAnsi="Times New Roman"/>
          <w:sz w:val="24"/>
        </w:rPr>
        <w:t>substitute</w:t>
      </w:r>
      <w:r>
        <w:rPr>
          <w:rFonts w:ascii="Times New Roman" w:hAnsi="Times New Roman"/>
          <w:sz w:val="24"/>
        </w:rPr>
        <w:t>:</w:t>
      </w:r>
    </w:p>
    <w:p w14:paraId="2BD7E8A9" w14:textId="77777777" w:rsidR="00880F12" w:rsidRPr="00880F12" w:rsidRDefault="00880F12" w:rsidP="00880F12">
      <w:pPr>
        <w:keepNext/>
        <w:keepLines/>
        <w:spacing w:before="360"/>
        <w:ind w:left="1678" w:hanging="1678"/>
        <w:rPr>
          <w:rFonts w:ascii="Arial" w:hAnsi="Arial" w:cs="Arial"/>
          <w:sz w:val="24"/>
          <w:lang w:eastAsia="en-AU"/>
        </w:rPr>
      </w:pPr>
      <w:bookmarkStart w:id="4" w:name="_Toc481687742"/>
      <w:r w:rsidRPr="00880F12">
        <w:rPr>
          <w:rFonts w:ascii="Arial" w:hAnsi="Arial" w:cs="Arial"/>
          <w:b/>
          <w:sz w:val="24"/>
          <w:lang w:eastAsia="en-AU"/>
        </w:rPr>
        <w:t>Part 4.14</w:t>
      </w:r>
      <w:r w:rsidRPr="00880F12">
        <w:rPr>
          <w:rFonts w:ascii="Arial" w:hAnsi="Arial" w:cs="Arial"/>
          <w:b/>
          <w:sz w:val="24"/>
          <w:lang w:eastAsia="en-AU"/>
        </w:rPr>
        <w:tab/>
        <w:t>Exemptions relating to the identification of beneficial owners and politically exposed persons</w:t>
      </w:r>
      <w:bookmarkEnd w:id="4"/>
    </w:p>
    <w:p w14:paraId="15056653" w14:textId="77777777" w:rsidR="00880F12" w:rsidRPr="00880F12" w:rsidRDefault="00880F12" w:rsidP="00880F12">
      <w:pPr>
        <w:tabs>
          <w:tab w:val="left" w:pos="709"/>
        </w:tabs>
        <w:spacing w:before="240" w:after="120"/>
        <w:ind w:left="709" w:hanging="709"/>
        <w:rPr>
          <w:rFonts w:ascii="Times New Roman" w:hAnsi="Times New Roman"/>
          <w:sz w:val="24"/>
        </w:rPr>
      </w:pPr>
      <w:r w:rsidRPr="00880F12">
        <w:rPr>
          <w:rFonts w:ascii="Times New Roman" w:hAnsi="Times New Roman"/>
          <w:sz w:val="24"/>
        </w:rPr>
        <w:t>4.14.1</w:t>
      </w:r>
      <w:r w:rsidRPr="00880F12">
        <w:rPr>
          <w:rFonts w:ascii="Times New Roman" w:hAnsi="Times New Roman"/>
          <w:sz w:val="24"/>
        </w:rPr>
        <w:tab/>
        <w:t>The requirements in Parts 4.12 and 4.13 of these Rules do not apply to a reporting entity which:</w:t>
      </w:r>
    </w:p>
    <w:p w14:paraId="0B334A35" w14:textId="77777777" w:rsidR="00880F12" w:rsidRPr="00880F12" w:rsidRDefault="00880F12" w:rsidP="00880F12">
      <w:pPr>
        <w:spacing w:before="240" w:after="120"/>
        <w:ind w:left="1418" w:hanging="720"/>
        <w:rPr>
          <w:rFonts w:ascii="Times New Roman" w:hAnsi="Times New Roman"/>
          <w:sz w:val="24"/>
        </w:rPr>
      </w:pPr>
      <w:r w:rsidRPr="00880F12">
        <w:rPr>
          <w:rFonts w:ascii="Times New Roman" w:hAnsi="Times New Roman"/>
          <w:sz w:val="24"/>
        </w:rPr>
        <w:t>(1)</w:t>
      </w:r>
      <w:r w:rsidRPr="00880F12">
        <w:rPr>
          <w:rFonts w:ascii="Times New Roman" w:hAnsi="Times New Roman"/>
          <w:sz w:val="24"/>
        </w:rPr>
        <w:tab/>
        <w:t>provides a designated service of the type specified in Column 1; and</w:t>
      </w:r>
    </w:p>
    <w:p w14:paraId="49B294BE" w14:textId="77777777" w:rsidR="00880F12" w:rsidRPr="00880F12" w:rsidRDefault="00880F12" w:rsidP="00880F12">
      <w:pPr>
        <w:spacing w:before="240" w:after="120"/>
        <w:ind w:left="1418" w:hanging="720"/>
        <w:rPr>
          <w:rFonts w:ascii="Times New Roman" w:hAnsi="Times New Roman"/>
          <w:sz w:val="24"/>
        </w:rPr>
      </w:pPr>
      <w:r w:rsidRPr="00880F12">
        <w:rPr>
          <w:rFonts w:ascii="Times New Roman" w:hAnsi="Times New Roman"/>
          <w:sz w:val="24"/>
        </w:rPr>
        <w:lastRenderedPageBreak/>
        <w:t>(2)</w:t>
      </w:r>
      <w:r w:rsidRPr="00880F12">
        <w:rPr>
          <w:rFonts w:ascii="Times New Roman" w:hAnsi="Times New Roman"/>
          <w:sz w:val="24"/>
        </w:rPr>
        <w:tab/>
        <w:t>is exempt from Division 4 of Part 2 of the AML/CTF Act in accordance with the circumstances and conditions of the AML/CTF Act or AML/CTF Rules specified in Column 2;</w:t>
      </w:r>
    </w:p>
    <w:p w14:paraId="63010D6B" w14:textId="77777777" w:rsidR="00880F12" w:rsidRPr="00880F12" w:rsidRDefault="00880F12" w:rsidP="00880F12">
      <w:pPr>
        <w:tabs>
          <w:tab w:val="left" w:pos="1418"/>
        </w:tabs>
        <w:spacing w:before="120" w:after="120"/>
        <w:ind w:left="1418" w:hanging="709"/>
        <w:rPr>
          <w:rFonts w:ascii="Times New Roman" w:hAnsi="Times New Roman"/>
          <w:sz w:val="24"/>
        </w:rPr>
      </w:pPr>
      <w:r w:rsidRPr="00880F12">
        <w:rPr>
          <w:rFonts w:ascii="Times New Roman" w:hAnsi="Times New Roman"/>
          <w:sz w:val="24"/>
        </w:rPr>
        <w:t>of the following table:</w:t>
      </w:r>
    </w:p>
    <w:p w14:paraId="3A6CBE41" w14:textId="77777777" w:rsidR="00880F12" w:rsidRPr="00880F12" w:rsidRDefault="00880F12" w:rsidP="00880F12">
      <w:pPr>
        <w:tabs>
          <w:tab w:val="left" w:pos="1418"/>
        </w:tabs>
        <w:spacing w:before="120" w:after="120" w:line="276" w:lineRule="auto"/>
        <w:ind w:left="1418" w:hanging="709"/>
        <w:rPr>
          <w:rFonts w:ascii="Times New Roman" w:hAnsi="Times New Roman"/>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448"/>
      </w:tblGrid>
      <w:tr w:rsidR="00880F12" w:rsidRPr="00880F12" w14:paraId="2360E3C8" w14:textId="77777777" w:rsidTr="000E1AAB">
        <w:tc>
          <w:tcPr>
            <w:tcW w:w="3260" w:type="dxa"/>
          </w:tcPr>
          <w:p w14:paraId="78CB8B2B"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br w:type="page"/>
              <w:t>Column 1 – Relevant designated service in subsection 6(2), 6(3) or 6(4) of the AML/CTF Act</w:t>
            </w:r>
          </w:p>
        </w:tc>
        <w:tc>
          <w:tcPr>
            <w:tcW w:w="4452" w:type="dxa"/>
            <w:shd w:val="clear" w:color="auto" w:fill="auto"/>
          </w:tcPr>
          <w:p w14:paraId="33A6DC5E"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Column 2 – AML/CTF Act and AML/CTF Rules references relevant to the exemptions</w:t>
            </w:r>
          </w:p>
        </w:tc>
      </w:tr>
      <w:tr w:rsidR="00880F12" w:rsidRPr="00880F12" w14:paraId="3776C4A1" w14:textId="77777777" w:rsidTr="000E1AAB">
        <w:tc>
          <w:tcPr>
            <w:tcW w:w="3260" w:type="dxa"/>
          </w:tcPr>
          <w:p w14:paraId="570F3D22"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Multiple tables – Financial Services, Bullion and Gambling services</w:t>
            </w:r>
          </w:p>
        </w:tc>
        <w:tc>
          <w:tcPr>
            <w:tcW w:w="4452" w:type="dxa"/>
            <w:shd w:val="clear" w:color="auto" w:fill="auto"/>
          </w:tcPr>
          <w:p w14:paraId="7EA91425" w14:textId="77777777" w:rsidR="00880F12" w:rsidRPr="00880F12" w:rsidRDefault="00880F12" w:rsidP="00880F12">
            <w:pPr>
              <w:keepLines/>
              <w:tabs>
                <w:tab w:val="left" w:pos="900"/>
              </w:tabs>
              <w:spacing w:before="120" w:after="120"/>
              <w:rPr>
                <w:rFonts w:ascii="Times New Roman" w:hAnsi="Times New Roman"/>
                <w:b/>
                <w:sz w:val="24"/>
              </w:rPr>
            </w:pPr>
          </w:p>
        </w:tc>
      </w:tr>
      <w:tr w:rsidR="00880F12" w:rsidRPr="00880F12" w14:paraId="39E52404" w14:textId="77777777" w:rsidTr="000E1AAB">
        <w:tc>
          <w:tcPr>
            <w:tcW w:w="3260" w:type="dxa"/>
          </w:tcPr>
          <w:p w14:paraId="6262319F"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Any of the designated services in tables 1, 2 or 3</w:t>
            </w:r>
          </w:p>
        </w:tc>
        <w:tc>
          <w:tcPr>
            <w:tcW w:w="4452" w:type="dxa"/>
            <w:shd w:val="clear" w:color="auto" w:fill="auto"/>
          </w:tcPr>
          <w:p w14:paraId="6C16987F"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28 – Applicable customer identification procedures in certain circumstances – assignment, conveyance, sale or transfer of businesses</w:t>
            </w:r>
          </w:p>
        </w:tc>
      </w:tr>
      <w:tr w:rsidR="00880F12" w:rsidRPr="00880F12" w14:paraId="3D38728B" w14:textId="77777777" w:rsidTr="000E1AAB">
        <w:tc>
          <w:tcPr>
            <w:tcW w:w="3260" w:type="dxa"/>
          </w:tcPr>
          <w:p w14:paraId="26A38C3D"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Any of the designated services in tables 1, 2, or 3</w:t>
            </w:r>
          </w:p>
        </w:tc>
        <w:tc>
          <w:tcPr>
            <w:tcW w:w="4452" w:type="dxa"/>
            <w:shd w:val="clear" w:color="auto" w:fill="auto"/>
          </w:tcPr>
          <w:p w14:paraId="6B47D161"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50 – Exemption from applicable customer identification procedure in certain circumstances</w:t>
            </w:r>
          </w:p>
        </w:tc>
      </w:tr>
      <w:tr w:rsidR="00880F12" w:rsidRPr="00880F12" w14:paraId="52B8F327" w14:textId="77777777" w:rsidTr="000E1AAB">
        <w:tc>
          <w:tcPr>
            <w:tcW w:w="3260" w:type="dxa"/>
          </w:tcPr>
          <w:p w14:paraId="398F2586" w14:textId="77777777" w:rsidR="00880F12" w:rsidRPr="00880F12" w:rsidDel="00F74F16"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 50 of table 1 or item 14 of table 3</w:t>
            </w:r>
          </w:p>
        </w:tc>
        <w:tc>
          <w:tcPr>
            <w:tcW w:w="4452" w:type="dxa"/>
            <w:shd w:val="clear" w:color="auto" w:fill="auto"/>
          </w:tcPr>
          <w:p w14:paraId="439F5627" w14:textId="77777777" w:rsidR="00880F12" w:rsidRPr="00880F12" w:rsidDel="00F74F16"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Paragraph 14.4 in Chapter 14 – Thresholds for certain designated services</w:t>
            </w:r>
          </w:p>
        </w:tc>
      </w:tr>
      <w:tr w:rsidR="00880F12" w:rsidRPr="00880F12" w14:paraId="6376A427" w14:textId="77777777" w:rsidTr="000E1AAB">
        <w:tc>
          <w:tcPr>
            <w:tcW w:w="3260" w:type="dxa"/>
          </w:tcPr>
          <w:p w14:paraId="1C5508F8"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Table 1 – Financial Services</w:t>
            </w:r>
          </w:p>
        </w:tc>
        <w:tc>
          <w:tcPr>
            <w:tcW w:w="4452" w:type="dxa"/>
            <w:shd w:val="clear" w:color="auto" w:fill="auto"/>
          </w:tcPr>
          <w:p w14:paraId="0545D7DB" w14:textId="77777777" w:rsidR="00880F12" w:rsidRPr="00880F12" w:rsidRDefault="00880F12" w:rsidP="00880F12">
            <w:pPr>
              <w:keepLines/>
              <w:tabs>
                <w:tab w:val="left" w:pos="900"/>
              </w:tabs>
              <w:spacing w:before="120" w:after="120"/>
              <w:rPr>
                <w:rFonts w:ascii="Times New Roman" w:hAnsi="Times New Roman"/>
                <w:sz w:val="24"/>
              </w:rPr>
            </w:pPr>
          </w:p>
        </w:tc>
      </w:tr>
      <w:tr w:rsidR="00880F12" w:rsidRPr="00880F12" w14:paraId="7D559EED" w14:textId="77777777" w:rsidTr="000E1AAB">
        <w:tc>
          <w:tcPr>
            <w:tcW w:w="3260" w:type="dxa"/>
          </w:tcPr>
          <w:p w14:paraId="598463D4" w14:textId="77777777" w:rsidR="00880F12" w:rsidRPr="00880F12" w:rsidDel="0010629A"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Any of the designated services </w:t>
            </w:r>
          </w:p>
        </w:tc>
        <w:tc>
          <w:tcPr>
            <w:tcW w:w="4452" w:type="dxa"/>
            <w:shd w:val="clear" w:color="auto" w:fill="auto"/>
          </w:tcPr>
          <w:p w14:paraId="46F698ED" w14:textId="77777777" w:rsidR="00880F12" w:rsidRPr="00880F12" w:rsidDel="0010629A"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Chapter 66 – Applicable customer identification procedures in certain circumstances – compulsory partial or total transfer of business made under the </w:t>
            </w:r>
            <w:r w:rsidRPr="00880F12">
              <w:rPr>
                <w:rFonts w:ascii="Times New Roman" w:hAnsi="Times New Roman"/>
                <w:i/>
                <w:sz w:val="24"/>
              </w:rPr>
              <w:t>Financial Sector (Business Transfer and Group Restructure) Act 1999</w:t>
            </w:r>
          </w:p>
        </w:tc>
      </w:tr>
      <w:tr w:rsidR="00880F12" w:rsidRPr="00880F12" w14:paraId="0698015D" w14:textId="77777777" w:rsidTr="000E1AAB">
        <w:tc>
          <w:tcPr>
            <w:tcW w:w="3260" w:type="dxa"/>
          </w:tcPr>
          <w:p w14:paraId="58BEDA57"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40, 42 or 44</w:t>
            </w:r>
          </w:p>
        </w:tc>
        <w:tc>
          <w:tcPr>
            <w:tcW w:w="4452" w:type="dxa"/>
            <w:shd w:val="clear" w:color="auto" w:fill="auto"/>
          </w:tcPr>
          <w:p w14:paraId="2CCB1958"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Subsection 39(6)</w:t>
            </w:r>
          </w:p>
        </w:tc>
      </w:tr>
      <w:tr w:rsidR="00880F12" w:rsidRPr="00880F12" w14:paraId="57AD6DF4" w14:textId="77777777" w:rsidTr="000E1AAB">
        <w:tc>
          <w:tcPr>
            <w:tcW w:w="3260" w:type="dxa"/>
          </w:tcPr>
          <w:p w14:paraId="10790FB3"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2 or 3</w:t>
            </w:r>
          </w:p>
        </w:tc>
        <w:tc>
          <w:tcPr>
            <w:tcW w:w="4452" w:type="dxa"/>
            <w:shd w:val="clear" w:color="auto" w:fill="auto"/>
          </w:tcPr>
          <w:p w14:paraId="0F5C0160"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35 – Exemption from applicable customer identification procedures for correspondent banking relationships</w:t>
            </w:r>
          </w:p>
        </w:tc>
      </w:tr>
      <w:tr w:rsidR="00880F12" w:rsidRPr="00880F12" w14:paraId="6C663DC2" w14:textId="77777777" w:rsidTr="000E1AAB">
        <w:tc>
          <w:tcPr>
            <w:tcW w:w="3260" w:type="dxa"/>
          </w:tcPr>
          <w:p w14:paraId="33601EAE"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6 or 7</w:t>
            </w:r>
          </w:p>
        </w:tc>
        <w:tc>
          <w:tcPr>
            <w:tcW w:w="4452" w:type="dxa"/>
            <w:shd w:val="clear" w:color="auto" w:fill="auto"/>
          </w:tcPr>
          <w:p w14:paraId="0985C86A"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Chapter 39 – Exemption from applicable customer identification procedures – premium funding loans for a general </w:t>
            </w:r>
            <w:r w:rsidRPr="00880F12">
              <w:rPr>
                <w:rFonts w:ascii="Times New Roman" w:hAnsi="Times New Roman"/>
                <w:sz w:val="24"/>
              </w:rPr>
              <w:lastRenderedPageBreak/>
              <w:t>insurance policy</w:t>
            </w:r>
          </w:p>
        </w:tc>
      </w:tr>
      <w:tr w:rsidR="00880F12" w:rsidRPr="00880F12" w14:paraId="316B40C9" w14:textId="77777777" w:rsidTr="000E1AAB">
        <w:tc>
          <w:tcPr>
            <w:tcW w:w="3260" w:type="dxa"/>
          </w:tcPr>
          <w:p w14:paraId="295C1E9C" w14:textId="7B929D2F" w:rsidR="00880F12" w:rsidRPr="00880F12" w:rsidRDefault="00880F12" w:rsidP="0098404F">
            <w:pPr>
              <w:keepLines/>
              <w:tabs>
                <w:tab w:val="left" w:pos="900"/>
              </w:tabs>
              <w:spacing w:before="240" w:after="120"/>
              <w:rPr>
                <w:rFonts w:ascii="Times New Roman" w:hAnsi="Times New Roman"/>
                <w:sz w:val="24"/>
              </w:rPr>
            </w:pPr>
            <w:r w:rsidRPr="00880F12">
              <w:rPr>
                <w:rFonts w:ascii="Times New Roman" w:hAnsi="Times New Roman"/>
                <w:sz w:val="24"/>
              </w:rPr>
              <w:lastRenderedPageBreak/>
              <w:t>Items 6, 7, 8, 31</w:t>
            </w:r>
            <w:r w:rsidR="0098404F">
              <w:rPr>
                <w:rFonts w:ascii="Times New Roman" w:hAnsi="Times New Roman"/>
                <w:sz w:val="24"/>
              </w:rPr>
              <w:t xml:space="preserve"> </w:t>
            </w:r>
            <w:r w:rsidRPr="00880F12">
              <w:rPr>
                <w:rFonts w:ascii="Times New Roman" w:hAnsi="Times New Roman"/>
                <w:sz w:val="24"/>
              </w:rPr>
              <w:t>and</w:t>
            </w:r>
            <w:r w:rsidRPr="00880F12">
              <w:rPr>
                <w:rFonts w:ascii="Times New Roman" w:hAnsi="Times New Roman"/>
                <w:b/>
                <w:sz w:val="24"/>
              </w:rPr>
              <w:t xml:space="preserve"> </w:t>
            </w:r>
            <w:r w:rsidRPr="00880F12">
              <w:rPr>
                <w:rFonts w:ascii="Times New Roman" w:hAnsi="Times New Roman"/>
                <w:sz w:val="24"/>
              </w:rPr>
              <w:t>32</w:t>
            </w:r>
          </w:p>
        </w:tc>
        <w:tc>
          <w:tcPr>
            <w:tcW w:w="4452" w:type="dxa"/>
            <w:shd w:val="clear" w:color="auto" w:fill="auto"/>
          </w:tcPr>
          <w:p w14:paraId="4E0F0623"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45 – Debt collection</w:t>
            </w:r>
          </w:p>
        </w:tc>
      </w:tr>
      <w:tr w:rsidR="00880F12" w:rsidRPr="00880F12" w14:paraId="0CAB4338" w14:textId="77777777" w:rsidTr="000E1AAB">
        <w:tc>
          <w:tcPr>
            <w:tcW w:w="3260" w:type="dxa"/>
          </w:tcPr>
          <w:p w14:paraId="7AA13136"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 17</w:t>
            </w:r>
          </w:p>
        </w:tc>
        <w:tc>
          <w:tcPr>
            <w:tcW w:w="4452" w:type="dxa"/>
          </w:tcPr>
          <w:p w14:paraId="14E9EECA" w14:textId="39549C34"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Paragraph 14.2 in Chapter 14 </w:t>
            </w:r>
            <w:r w:rsidR="001B63FA" w:rsidRPr="00880F12">
              <w:rPr>
                <w:rFonts w:ascii="Times New Roman" w:hAnsi="Times New Roman"/>
                <w:sz w:val="24"/>
              </w:rPr>
              <w:t>–</w:t>
            </w:r>
            <w:r w:rsidRPr="00880F12">
              <w:rPr>
                <w:rFonts w:ascii="Times New Roman" w:hAnsi="Times New Roman"/>
                <w:sz w:val="24"/>
              </w:rPr>
              <w:t xml:space="preserve"> Thresholds for certain designated services</w:t>
            </w:r>
          </w:p>
          <w:p w14:paraId="6D7A6CC2" w14:textId="77777777" w:rsidR="00880F12" w:rsidRPr="00880F12" w:rsidRDefault="00880F12" w:rsidP="00880F12">
            <w:pPr>
              <w:keepLines/>
              <w:tabs>
                <w:tab w:val="left" w:pos="900"/>
              </w:tabs>
              <w:spacing w:before="240" w:after="120"/>
              <w:rPr>
                <w:rFonts w:ascii="Times New Roman" w:hAnsi="Times New Roman"/>
                <w:sz w:val="24"/>
              </w:rPr>
            </w:pPr>
          </w:p>
        </w:tc>
      </w:tr>
      <w:tr w:rsidR="00880F12" w:rsidRPr="00880F12" w14:paraId="505899C2" w14:textId="77777777" w:rsidTr="000E1AAB">
        <w:tc>
          <w:tcPr>
            <w:tcW w:w="3260" w:type="dxa"/>
          </w:tcPr>
          <w:p w14:paraId="213E6ED2"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25 or 26</w:t>
            </w:r>
          </w:p>
        </w:tc>
        <w:tc>
          <w:tcPr>
            <w:tcW w:w="4452" w:type="dxa"/>
          </w:tcPr>
          <w:p w14:paraId="732E3FF5" w14:textId="7DF93680"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Paragraph 14.3 in Chapter 14 </w:t>
            </w:r>
            <w:r w:rsidR="001B63FA" w:rsidRPr="00880F12">
              <w:rPr>
                <w:rFonts w:ascii="Times New Roman" w:hAnsi="Times New Roman"/>
                <w:sz w:val="24"/>
              </w:rPr>
              <w:t>–</w:t>
            </w:r>
            <w:r w:rsidRPr="00880F12">
              <w:rPr>
                <w:rFonts w:ascii="Times New Roman" w:hAnsi="Times New Roman"/>
                <w:sz w:val="24"/>
              </w:rPr>
              <w:t xml:space="preserve"> Thresholds for certain designated services</w:t>
            </w:r>
          </w:p>
        </w:tc>
      </w:tr>
      <w:tr w:rsidR="00880F12" w:rsidRPr="00880F12" w14:paraId="108D2F50" w14:textId="77777777" w:rsidTr="000E1AAB">
        <w:tc>
          <w:tcPr>
            <w:tcW w:w="3260" w:type="dxa"/>
          </w:tcPr>
          <w:p w14:paraId="720F75C6"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 33</w:t>
            </w:r>
          </w:p>
        </w:tc>
        <w:tc>
          <w:tcPr>
            <w:tcW w:w="4452" w:type="dxa"/>
          </w:tcPr>
          <w:p w14:paraId="56262603"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38 – Exemption from applicable customer identification procedures for the sale of shares for charitable purposes</w:t>
            </w:r>
          </w:p>
        </w:tc>
      </w:tr>
      <w:tr w:rsidR="00880F12" w:rsidRPr="00880F12" w14:paraId="4137E967" w14:textId="77777777" w:rsidTr="000E1AAB">
        <w:tc>
          <w:tcPr>
            <w:tcW w:w="3260" w:type="dxa"/>
          </w:tcPr>
          <w:p w14:paraId="135CCAF6"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 33</w:t>
            </w:r>
          </w:p>
        </w:tc>
        <w:tc>
          <w:tcPr>
            <w:tcW w:w="4452" w:type="dxa"/>
          </w:tcPr>
          <w:p w14:paraId="69E2EA00"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49 – International Uniform Give-Up Agreements</w:t>
            </w:r>
          </w:p>
        </w:tc>
      </w:tr>
      <w:tr w:rsidR="00880F12" w:rsidRPr="00880F12" w14:paraId="5B2E3380" w14:textId="77777777" w:rsidTr="000E1AAB">
        <w:tc>
          <w:tcPr>
            <w:tcW w:w="3260" w:type="dxa"/>
          </w:tcPr>
          <w:p w14:paraId="1901E15F"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35 or 46</w:t>
            </w:r>
          </w:p>
        </w:tc>
        <w:tc>
          <w:tcPr>
            <w:tcW w:w="4452" w:type="dxa"/>
          </w:tcPr>
          <w:p w14:paraId="782FC1E4" w14:textId="5CACD4DE"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Chapter 67 </w:t>
            </w:r>
            <w:r w:rsidR="001B63FA" w:rsidRPr="00880F12">
              <w:rPr>
                <w:rFonts w:ascii="Times New Roman" w:hAnsi="Times New Roman"/>
                <w:sz w:val="24"/>
              </w:rPr>
              <w:t>–</w:t>
            </w:r>
            <w:r w:rsidR="001B63FA">
              <w:rPr>
                <w:rFonts w:ascii="Times New Roman" w:hAnsi="Times New Roman"/>
                <w:sz w:val="24"/>
              </w:rPr>
              <w:t xml:space="preserve"> </w:t>
            </w:r>
            <w:r w:rsidRPr="00880F12">
              <w:rPr>
                <w:rFonts w:ascii="Times New Roman" w:hAnsi="Times New Roman"/>
                <w:sz w:val="24"/>
              </w:rPr>
              <w:t>Warrants</w:t>
            </w:r>
          </w:p>
        </w:tc>
      </w:tr>
      <w:tr w:rsidR="00880F12" w:rsidRPr="00880F12" w14:paraId="6B8B7616" w14:textId="77777777" w:rsidTr="000E1AAB">
        <w:tc>
          <w:tcPr>
            <w:tcW w:w="3260" w:type="dxa"/>
          </w:tcPr>
          <w:p w14:paraId="167A9017"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 43(a)</w:t>
            </w:r>
          </w:p>
        </w:tc>
        <w:tc>
          <w:tcPr>
            <w:tcW w:w="4452" w:type="dxa"/>
          </w:tcPr>
          <w:p w14:paraId="76F68CFB"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Part 41.2 in Chapter 41 – Exemption from applicable customer identification procedures – cashing out of low value superannuation funds and for the Departing Australia Superannuation Payment</w:t>
            </w:r>
          </w:p>
        </w:tc>
      </w:tr>
      <w:tr w:rsidR="00880F12" w:rsidRPr="00880F12" w14:paraId="7480735F" w14:textId="77777777" w:rsidTr="000E1AAB">
        <w:tc>
          <w:tcPr>
            <w:tcW w:w="3260" w:type="dxa"/>
          </w:tcPr>
          <w:p w14:paraId="603E2266"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43 or 45</w:t>
            </w:r>
          </w:p>
        </w:tc>
        <w:tc>
          <w:tcPr>
            <w:tcW w:w="4452" w:type="dxa"/>
          </w:tcPr>
          <w:p w14:paraId="4ABA9F5C" w14:textId="6D6F38F7" w:rsidR="00880F12" w:rsidRPr="00880F12" w:rsidDel="00A92F7B"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Part 41.3 in Chapter 41 </w:t>
            </w:r>
            <w:r w:rsidR="001B63FA" w:rsidRPr="00880F12">
              <w:rPr>
                <w:rFonts w:ascii="Times New Roman" w:hAnsi="Times New Roman"/>
                <w:sz w:val="24"/>
              </w:rPr>
              <w:t>–</w:t>
            </w:r>
            <w:r w:rsidRPr="00880F12">
              <w:rPr>
                <w:rFonts w:ascii="Times New Roman" w:hAnsi="Times New Roman"/>
                <w:sz w:val="24"/>
              </w:rPr>
              <w:t xml:space="preserve"> Exemption from applicable customer identification procedures – cashing out of low value superannuation funds and for the Departing Australia Superannuation Payment</w:t>
            </w:r>
          </w:p>
        </w:tc>
      </w:tr>
      <w:tr w:rsidR="00880F12" w:rsidRPr="00880F12" w14:paraId="1AFA4657" w14:textId="77777777" w:rsidTr="000E1AAB">
        <w:tc>
          <w:tcPr>
            <w:tcW w:w="3260" w:type="dxa"/>
          </w:tcPr>
          <w:p w14:paraId="7ED6F360" w14:textId="5EE94048" w:rsidR="00880F12" w:rsidRPr="00880F12" w:rsidDel="002B749C"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 xml:space="preserve">Table 2 </w:t>
            </w:r>
            <w:r w:rsidR="001B63FA" w:rsidRPr="00880F12">
              <w:rPr>
                <w:rFonts w:ascii="Times New Roman" w:hAnsi="Times New Roman"/>
                <w:sz w:val="24"/>
              </w:rPr>
              <w:t>–</w:t>
            </w:r>
            <w:r w:rsidRPr="00880F12">
              <w:rPr>
                <w:rFonts w:ascii="Times New Roman" w:hAnsi="Times New Roman"/>
                <w:b/>
                <w:sz w:val="24"/>
              </w:rPr>
              <w:t xml:space="preserve"> Bullion</w:t>
            </w:r>
          </w:p>
        </w:tc>
        <w:tc>
          <w:tcPr>
            <w:tcW w:w="4452" w:type="dxa"/>
          </w:tcPr>
          <w:p w14:paraId="1743B16C" w14:textId="77777777" w:rsidR="00880F12" w:rsidRPr="00880F12" w:rsidDel="002B749C" w:rsidRDefault="00880F12" w:rsidP="00880F12">
            <w:pPr>
              <w:keepLines/>
              <w:tabs>
                <w:tab w:val="left" w:pos="900"/>
              </w:tabs>
              <w:spacing w:before="120" w:after="120"/>
              <w:rPr>
                <w:rFonts w:ascii="Times New Roman" w:hAnsi="Times New Roman"/>
                <w:sz w:val="24"/>
              </w:rPr>
            </w:pPr>
          </w:p>
        </w:tc>
      </w:tr>
      <w:tr w:rsidR="00880F12" w:rsidRPr="00880F12" w14:paraId="115EF765" w14:textId="77777777" w:rsidTr="000E1AAB">
        <w:tc>
          <w:tcPr>
            <w:tcW w:w="3260" w:type="dxa"/>
          </w:tcPr>
          <w:p w14:paraId="0E6943BC"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1 or 2</w:t>
            </w:r>
          </w:p>
        </w:tc>
        <w:tc>
          <w:tcPr>
            <w:tcW w:w="4452" w:type="dxa"/>
          </w:tcPr>
          <w:p w14:paraId="77584BC0"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33 – Applicable customer identification procedure for purchases and sales of bullion valued at less than $5000</w:t>
            </w:r>
          </w:p>
        </w:tc>
      </w:tr>
      <w:tr w:rsidR="00880F12" w:rsidRPr="00880F12" w14:paraId="759B1372" w14:textId="77777777" w:rsidTr="000E1AAB">
        <w:tc>
          <w:tcPr>
            <w:tcW w:w="3260" w:type="dxa"/>
          </w:tcPr>
          <w:p w14:paraId="03458DE0"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Table 3 – Gambling services</w:t>
            </w:r>
          </w:p>
        </w:tc>
        <w:tc>
          <w:tcPr>
            <w:tcW w:w="4452" w:type="dxa"/>
          </w:tcPr>
          <w:p w14:paraId="1E6075FC" w14:textId="77777777" w:rsidR="00880F12" w:rsidRPr="00880F12" w:rsidRDefault="00880F12" w:rsidP="00880F12">
            <w:pPr>
              <w:keepLines/>
              <w:tabs>
                <w:tab w:val="left" w:pos="900"/>
              </w:tabs>
              <w:spacing w:before="120" w:after="120"/>
              <w:rPr>
                <w:rFonts w:ascii="Times New Roman" w:hAnsi="Times New Roman"/>
                <w:sz w:val="24"/>
              </w:rPr>
            </w:pPr>
          </w:p>
        </w:tc>
      </w:tr>
      <w:tr w:rsidR="00880F12" w:rsidRPr="00880F12" w14:paraId="5E794A3C" w14:textId="77777777" w:rsidTr="000E1AAB">
        <w:tc>
          <w:tcPr>
            <w:tcW w:w="3260" w:type="dxa"/>
          </w:tcPr>
          <w:p w14:paraId="5945F785"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5, 6, 9 and 10</w:t>
            </w:r>
          </w:p>
        </w:tc>
        <w:tc>
          <w:tcPr>
            <w:tcW w:w="4452" w:type="dxa"/>
          </w:tcPr>
          <w:p w14:paraId="6C3593F0"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52 – Persons who are licensed to operate no more than 15 gaming machines</w:t>
            </w:r>
          </w:p>
        </w:tc>
      </w:tr>
    </w:tbl>
    <w:p w14:paraId="47B10A67" w14:textId="77777777" w:rsidR="00880F12" w:rsidRPr="00880F12" w:rsidRDefault="00880F12" w:rsidP="00B64ECC">
      <w:pPr>
        <w:ind w:left="851" w:hanging="851"/>
        <w:rPr>
          <w:rFonts w:ascii="Times New Roman" w:hAnsi="Times New Roman"/>
          <w:sz w:val="24"/>
        </w:rPr>
      </w:pPr>
    </w:p>
    <w:p w14:paraId="014CB4BD" w14:textId="4AB184E0" w:rsidR="001B63FA" w:rsidRPr="00CC4FAC" w:rsidRDefault="002E1E85" w:rsidP="001B63FA">
      <w:pPr>
        <w:pStyle w:val="HR"/>
        <w:ind w:left="851" w:hanging="851"/>
      </w:pPr>
      <w:r>
        <w:lastRenderedPageBreak/>
        <w:t>5</w:t>
      </w:r>
      <w:r w:rsidR="001B63FA" w:rsidRPr="00CC4FAC">
        <w:tab/>
      </w:r>
      <w:r w:rsidR="001B63FA">
        <w:t>Paragraph 10.2.4</w:t>
      </w:r>
    </w:p>
    <w:p w14:paraId="32A05779" w14:textId="6D95A17C" w:rsidR="009421D6" w:rsidRPr="00773DAA" w:rsidRDefault="005A666A" w:rsidP="00773DAA">
      <w:pPr>
        <w:autoSpaceDE w:val="0"/>
        <w:autoSpaceDN w:val="0"/>
        <w:adjustRightInd w:val="0"/>
        <w:spacing w:before="240"/>
        <w:rPr>
          <w:rFonts w:ascii="Times New Roman" w:hAnsi="Times New Roman"/>
          <w:sz w:val="24"/>
        </w:rPr>
      </w:pPr>
      <w:r>
        <w:rPr>
          <w:rFonts w:ascii="Times New Roman" w:hAnsi="Times New Roman"/>
          <w:sz w:val="24"/>
        </w:rPr>
        <w:t xml:space="preserve">Omit “item 4”, substitute “items 4, 7, or 8”. </w:t>
      </w:r>
    </w:p>
    <w:p w14:paraId="45C62D04" w14:textId="62908DBE" w:rsidR="00C21BCC" w:rsidRPr="00CC4FAC" w:rsidRDefault="002E1E85" w:rsidP="00C21BCC">
      <w:pPr>
        <w:pStyle w:val="HR"/>
        <w:ind w:left="851" w:hanging="851"/>
      </w:pPr>
      <w:r>
        <w:t>6</w:t>
      </w:r>
      <w:r w:rsidR="00C21BCC" w:rsidRPr="00CC4FAC">
        <w:tab/>
      </w:r>
      <w:r w:rsidR="0068425E">
        <w:t>At the end of p</w:t>
      </w:r>
      <w:r w:rsidR="00C21BCC">
        <w:t>aragraph 10.2.6</w:t>
      </w:r>
    </w:p>
    <w:p w14:paraId="2D4537B6" w14:textId="5086B492" w:rsidR="00C21BCC" w:rsidRPr="00730C09" w:rsidRDefault="0068425E" w:rsidP="00C21BCC">
      <w:pPr>
        <w:autoSpaceDE w:val="0"/>
        <w:autoSpaceDN w:val="0"/>
        <w:adjustRightInd w:val="0"/>
        <w:spacing w:before="240"/>
        <w:rPr>
          <w:rFonts w:ascii="Times New Roman" w:hAnsi="Times New Roman"/>
          <w:sz w:val="24"/>
        </w:rPr>
      </w:pPr>
      <w:r>
        <w:rPr>
          <w:rFonts w:ascii="Times New Roman" w:hAnsi="Times New Roman"/>
          <w:sz w:val="24"/>
        </w:rPr>
        <w:t>Add</w:t>
      </w:r>
      <w:r w:rsidR="00C21BCC" w:rsidRPr="00730C09">
        <w:rPr>
          <w:rFonts w:ascii="Times New Roman" w:hAnsi="Times New Roman"/>
          <w:sz w:val="24"/>
        </w:rPr>
        <w:t>:</w:t>
      </w:r>
    </w:p>
    <w:p w14:paraId="5BD30C94" w14:textId="5ACA22C6" w:rsidR="007D135E" w:rsidRPr="007D135E" w:rsidRDefault="007D135E" w:rsidP="007D135E">
      <w:pPr>
        <w:spacing w:before="240" w:after="120"/>
        <w:ind w:left="1418" w:hanging="720"/>
        <w:rPr>
          <w:rFonts w:ascii="Times New Roman" w:hAnsi="Times New Roman"/>
          <w:sz w:val="24"/>
        </w:rPr>
      </w:pPr>
      <w:r w:rsidRPr="007D135E">
        <w:rPr>
          <w:rFonts w:ascii="Times New Roman" w:hAnsi="Times New Roman"/>
          <w:sz w:val="24"/>
        </w:rPr>
        <w:t xml:space="preserve">; or </w:t>
      </w:r>
    </w:p>
    <w:p w14:paraId="4A96645B" w14:textId="18182C63" w:rsidR="007D135E" w:rsidRPr="007D135E" w:rsidRDefault="007D135E" w:rsidP="007D135E">
      <w:pPr>
        <w:spacing w:before="240" w:after="120"/>
        <w:ind w:left="1418" w:hanging="720"/>
        <w:rPr>
          <w:rFonts w:ascii="Times New Roman" w:hAnsi="Times New Roman"/>
          <w:sz w:val="24"/>
        </w:rPr>
      </w:pPr>
      <w:r>
        <w:rPr>
          <w:rFonts w:ascii="Times New Roman" w:hAnsi="Times New Roman"/>
          <w:sz w:val="24"/>
        </w:rPr>
        <w:t>(2)</w:t>
      </w:r>
      <w:r>
        <w:rPr>
          <w:rFonts w:ascii="Times New Roman" w:hAnsi="Times New Roman"/>
          <w:sz w:val="24"/>
        </w:rPr>
        <w:tab/>
      </w:r>
      <w:r w:rsidRPr="007D135E">
        <w:rPr>
          <w:rFonts w:ascii="Times New Roman" w:hAnsi="Times New Roman"/>
          <w:sz w:val="24"/>
        </w:rPr>
        <w:t xml:space="preserve">a designated service of a kind described in items 7 or 8 of table 3 of section 6 where that service involves an amount less than $10,000. </w:t>
      </w:r>
    </w:p>
    <w:p w14:paraId="2618B7FC" w14:textId="530DA876" w:rsidR="00CB2F65" w:rsidRPr="00CC4FAC" w:rsidRDefault="002E1E85" w:rsidP="00CB2F65">
      <w:pPr>
        <w:pStyle w:val="HR"/>
        <w:ind w:left="851" w:hanging="851"/>
      </w:pPr>
      <w:r>
        <w:t>7</w:t>
      </w:r>
      <w:r w:rsidR="00CB2F65" w:rsidRPr="00CC4FAC">
        <w:tab/>
      </w:r>
      <w:r w:rsidR="00CB2F65">
        <w:t>Paragraph 12.3</w:t>
      </w:r>
    </w:p>
    <w:p w14:paraId="1D56FE17" w14:textId="1B2063B4" w:rsidR="00CB2F65" w:rsidRPr="00730C09" w:rsidRDefault="00CB2F65" w:rsidP="00CB2F65">
      <w:pPr>
        <w:autoSpaceDE w:val="0"/>
        <w:autoSpaceDN w:val="0"/>
        <w:adjustRightInd w:val="0"/>
        <w:spacing w:before="240"/>
        <w:rPr>
          <w:rFonts w:ascii="Times New Roman" w:hAnsi="Times New Roman"/>
          <w:sz w:val="24"/>
        </w:rPr>
      </w:pPr>
      <w:r w:rsidRPr="00730C09">
        <w:rPr>
          <w:rFonts w:ascii="Times New Roman" w:hAnsi="Times New Roman"/>
          <w:sz w:val="24"/>
        </w:rPr>
        <w:t>Repeal the paragraph</w:t>
      </w:r>
      <w:r>
        <w:rPr>
          <w:rFonts w:ascii="Times New Roman" w:hAnsi="Times New Roman"/>
          <w:sz w:val="24"/>
        </w:rPr>
        <w:t>.</w:t>
      </w:r>
    </w:p>
    <w:p w14:paraId="4E69ECEA" w14:textId="2183722B" w:rsidR="00CF187B" w:rsidRPr="00CC4FAC" w:rsidRDefault="002E1E85" w:rsidP="00CF187B">
      <w:pPr>
        <w:pStyle w:val="HR"/>
        <w:ind w:left="851" w:hanging="851"/>
      </w:pPr>
      <w:r>
        <w:t>8</w:t>
      </w:r>
      <w:r w:rsidR="00CF187B" w:rsidRPr="00CC4FAC">
        <w:tab/>
      </w:r>
      <w:r w:rsidR="00CF187B">
        <w:t>After subparagraph 18.2(21)</w:t>
      </w:r>
    </w:p>
    <w:p w14:paraId="158C6771" w14:textId="404DA601" w:rsidR="00B55B29" w:rsidRPr="000A7974" w:rsidRDefault="00CF187B" w:rsidP="00773DAA">
      <w:pPr>
        <w:autoSpaceDE w:val="0"/>
        <w:autoSpaceDN w:val="0"/>
        <w:adjustRightInd w:val="0"/>
        <w:spacing w:before="240"/>
        <w:rPr>
          <w:rFonts w:ascii="Times New Roman" w:hAnsi="Times New Roman"/>
          <w:sz w:val="24"/>
        </w:rPr>
      </w:pPr>
      <w:r w:rsidRPr="00773DAA">
        <w:rPr>
          <w:rFonts w:ascii="Times New Roman" w:hAnsi="Times New Roman"/>
          <w:sz w:val="24"/>
        </w:rPr>
        <w:t>Insert:</w:t>
      </w:r>
    </w:p>
    <w:p w14:paraId="0ECF33D8" w14:textId="57EC541D" w:rsidR="001737CA" w:rsidRPr="009962F7" w:rsidRDefault="001737CA" w:rsidP="009962F7">
      <w:pPr>
        <w:spacing w:before="240"/>
        <w:ind w:left="720" w:hanging="720"/>
        <w:rPr>
          <w:rFonts w:ascii="Times New Roman" w:hAnsi="Times New Roman"/>
          <w:sz w:val="24"/>
          <w:lang w:eastAsia="en-AU"/>
        </w:rPr>
      </w:pPr>
      <w:r w:rsidRPr="009962F7">
        <w:rPr>
          <w:rFonts w:ascii="Times New Roman" w:hAnsi="Times New Roman"/>
          <w:sz w:val="24"/>
          <w:lang w:eastAsia="en-AU"/>
        </w:rPr>
        <w:t>(21A)</w:t>
      </w:r>
      <w:r w:rsidR="009962F7">
        <w:rPr>
          <w:rFonts w:ascii="Times New Roman" w:hAnsi="Times New Roman"/>
          <w:sz w:val="24"/>
          <w:lang w:eastAsia="en-AU"/>
        </w:rPr>
        <w:tab/>
      </w:r>
      <w:r w:rsidRPr="009962F7">
        <w:rPr>
          <w:rFonts w:ascii="Times New Roman" w:hAnsi="Times New Roman"/>
          <w:sz w:val="24"/>
          <w:lang w:eastAsia="en-AU"/>
        </w:rPr>
        <w:t>where the designated service involves digital currency:</w:t>
      </w:r>
    </w:p>
    <w:p w14:paraId="3E049101" w14:textId="42231A26" w:rsidR="001737CA" w:rsidRPr="00A92DC6" w:rsidRDefault="001737CA" w:rsidP="00CB2F03">
      <w:pPr>
        <w:pStyle w:val="BodyText"/>
        <w:numPr>
          <w:ilvl w:val="0"/>
          <w:numId w:val="2"/>
        </w:numPr>
        <w:spacing w:before="240" w:after="0"/>
      </w:pPr>
      <w:r w:rsidRPr="00A92DC6">
        <w:t>the denomination or code of the digital currency and the number of digital currency units;</w:t>
      </w:r>
    </w:p>
    <w:p w14:paraId="503B9B4B" w14:textId="5ECA56C4" w:rsidR="001737CA" w:rsidRPr="00A92DC6" w:rsidRDefault="003714D8" w:rsidP="00CB2F03">
      <w:pPr>
        <w:pStyle w:val="BodyText"/>
        <w:numPr>
          <w:ilvl w:val="0"/>
          <w:numId w:val="2"/>
        </w:numPr>
        <w:spacing w:before="240" w:after="0"/>
      </w:pPr>
      <w:r>
        <w:t>the value</w:t>
      </w:r>
      <w:r w:rsidR="001737CA" w:rsidRPr="00A92DC6">
        <w:t xml:space="preserve"> of </w:t>
      </w:r>
      <w:r>
        <w:t xml:space="preserve">the </w:t>
      </w:r>
      <w:r w:rsidR="001737CA" w:rsidRPr="00A92DC6">
        <w:t xml:space="preserve">digital currency </w:t>
      </w:r>
      <w:r>
        <w:t xml:space="preserve">involved in the transaction, expressed </w:t>
      </w:r>
      <w:r w:rsidR="001737CA" w:rsidRPr="00A92DC6">
        <w:t>in Australian dollars, if known;</w:t>
      </w:r>
    </w:p>
    <w:p w14:paraId="19C17479" w14:textId="1655E3FD" w:rsidR="001737CA" w:rsidRPr="00A92DC6" w:rsidRDefault="001737CA" w:rsidP="00CB2F03">
      <w:pPr>
        <w:pStyle w:val="BodyText"/>
        <w:numPr>
          <w:ilvl w:val="0"/>
          <w:numId w:val="2"/>
        </w:numPr>
        <w:spacing w:before="240" w:after="0"/>
      </w:pPr>
      <w:r w:rsidRPr="00A92DC6">
        <w:t>a description of the digital currency including details of the backing asset or thing, if known;</w:t>
      </w:r>
    </w:p>
    <w:p w14:paraId="2D9E12D6" w14:textId="45C29461" w:rsidR="001737CA" w:rsidRPr="00A92DC6" w:rsidRDefault="001737CA" w:rsidP="00A92DC6">
      <w:pPr>
        <w:pStyle w:val="BodyText"/>
        <w:spacing w:before="240" w:after="0"/>
        <w:ind w:left="1440" w:hanging="720"/>
      </w:pPr>
      <w:r w:rsidRPr="00A92DC6">
        <w:t>(iv)</w:t>
      </w:r>
      <w:r w:rsidR="00A92DC6">
        <w:tab/>
      </w:r>
      <w:r w:rsidRPr="00A92DC6">
        <w:t>the Internet Protocol (IP) address information of the first person, if known;</w:t>
      </w:r>
    </w:p>
    <w:p w14:paraId="24455D28" w14:textId="29189DC1" w:rsidR="001737CA" w:rsidRPr="00A92DC6" w:rsidRDefault="00E4685C" w:rsidP="00A92DC6">
      <w:pPr>
        <w:pStyle w:val="BodyText"/>
        <w:spacing w:before="240" w:after="0"/>
        <w:ind w:left="720"/>
      </w:pPr>
      <w:r>
        <w:t>(</w:t>
      </w:r>
      <w:r w:rsidR="00A92DC6" w:rsidRPr="00A92DC6">
        <w:t>v</w:t>
      </w:r>
      <w:r w:rsidR="00A92DC6">
        <w:t>)</w:t>
      </w:r>
      <w:r w:rsidR="00A92DC6">
        <w:tab/>
      </w:r>
      <w:r w:rsidR="001737CA" w:rsidRPr="00A92DC6">
        <w:t>the social media identifiers of the first person, if known;</w:t>
      </w:r>
    </w:p>
    <w:p w14:paraId="141390F7" w14:textId="7706AB94" w:rsidR="001737CA" w:rsidRPr="00A92DC6" w:rsidRDefault="001737CA" w:rsidP="003B1089">
      <w:pPr>
        <w:pStyle w:val="BodyText"/>
        <w:spacing w:before="240" w:after="0"/>
        <w:ind w:left="1440" w:hanging="720"/>
      </w:pPr>
      <w:r w:rsidRPr="00A92DC6">
        <w:t>(vi)</w:t>
      </w:r>
      <w:r w:rsidR="003B1089">
        <w:tab/>
      </w:r>
      <w:r w:rsidRPr="00A92DC6">
        <w:t xml:space="preserve">the unique identifiers relating to the digital currency wallet(s) of the first person, if known; and </w:t>
      </w:r>
    </w:p>
    <w:p w14:paraId="3466D807" w14:textId="00955ED1" w:rsidR="004C5D38" w:rsidRDefault="001737CA" w:rsidP="003B1089">
      <w:pPr>
        <w:pStyle w:val="BodyText"/>
        <w:spacing w:before="240" w:after="0"/>
        <w:ind w:left="1440" w:hanging="720"/>
      </w:pPr>
      <w:r w:rsidRPr="00A92DC6">
        <w:t>(vii)</w:t>
      </w:r>
      <w:r w:rsidR="003B1089">
        <w:tab/>
      </w:r>
      <w:r w:rsidRPr="00A92DC6">
        <w:t>the unique device identifiers of the first person relating to or arising from the transaction, if known;</w:t>
      </w:r>
    </w:p>
    <w:p w14:paraId="5602D4C9" w14:textId="33AD6F10" w:rsidR="00CF187B" w:rsidRPr="00CC4FAC" w:rsidRDefault="002E1E85" w:rsidP="00CF187B">
      <w:pPr>
        <w:pStyle w:val="HR"/>
        <w:ind w:left="851" w:hanging="851"/>
      </w:pPr>
      <w:r>
        <w:t>9</w:t>
      </w:r>
      <w:r w:rsidR="00CF187B" w:rsidRPr="00CC4FAC">
        <w:tab/>
      </w:r>
      <w:r w:rsidR="00CF187B">
        <w:t>After paragraph 18.3</w:t>
      </w:r>
    </w:p>
    <w:p w14:paraId="45AA0B18" w14:textId="77777777" w:rsidR="00CF187B" w:rsidRPr="00730C09" w:rsidRDefault="00CF187B" w:rsidP="00CF187B">
      <w:pPr>
        <w:autoSpaceDE w:val="0"/>
        <w:autoSpaceDN w:val="0"/>
        <w:adjustRightInd w:val="0"/>
        <w:spacing w:before="240"/>
        <w:rPr>
          <w:rFonts w:ascii="Times New Roman" w:hAnsi="Times New Roman"/>
          <w:sz w:val="24"/>
        </w:rPr>
      </w:pPr>
      <w:r w:rsidRPr="00730C09">
        <w:rPr>
          <w:rFonts w:ascii="Times New Roman" w:hAnsi="Times New Roman"/>
          <w:sz w:val="24"/>
        </w:rPr>
        <w:t>Insert:</w:t>
      </w:r>
    </w:p>
    <w:p w14:paraId="365810D3" w14:textId="77777777" w:rsidR="00A70F1D" w:rsidRPr="00A70F1D" w:rsidRDefault="00A70F1D" w:rsidP="00A70F1D">
      <w:pPr>
        <w:autoSpaceDE w:val="0"/>
        <w:autoSpaceDN w:val="0"/>
        <w:adjustRightInd w:val="0"/>
        <w:spacing w:before="240"/>
        <w:rPr>
          <w:rFonts w:ascii="Times New Roman" w:hAnsi="Times New Roman"/>
          <w:color w:val="000000"/>
          <w:sz w:val="24"/>
          <w:lang w:eastAsia="en-AU"/>
        </w:rPr>
      </w:pPr>
      <w:r w:rsidRPr="00A70F1D">
        <w:rPr>
          <w:rFonts w:ascii="Times New Roman" w:hAnsi="Times New Roman"/>
          <w:color w:val="000000"/>
          <w:sz w:val="24"/>
          <w:lang w:eastAsia="en-AU"/>
        </w:rPr>
        <w:t>18.4</w:t>
      </w:r>
      <w:r w:rsidRPr="00A70F1D">
        <w:rPr>
          <w:rFonts w:ascii="Times New Roman" w:hAnsi="Times New Roman"/>
          <w:color w:val="000000"/>
          <w:sz w:val="24"/>
          <w:lang w:eastAsia="en-AU"/>
        </w:rPr>
        <w:tab/>
        <w:t>In this Chapter:</w:t>
      </w:r>
    </w:p>
    <w:p w14:paraId="6B8A4E55" w14:textId="77777777" w:rsidR="00A70F1D" w:rsidRPr="00A70F1D" w:rsidRDefault="00A70F1D" w:rsidP="00A70F1D">
      <w:pPr>
        <w:autoSpaceDE w:val="0"/>
        <w:autoSpaceDN w:val="0"/>
        <w:adjustRightInd w:val="0"/>
        <w:spacing w:before="240"/>
        <w:ind w:left="1440" w:hanging="720"/>
        <w:rPr>
          <w:rFonts w:ascii="Times New Roman" w:hAnsi="Times New Roman"/>
          <w:sz w:val="24"/>
        </w:rPr>
      </w:pPr>
      <w:r w:rsidRPr="00A70F1D">
        <w:rPr>
          <w:rFonts w:ascii="Times New Roman" w:hAnsi="Times New Roman"/>
          <w:sz w:val="24"/>
        </w:rPr>
        <w:t>(1)</w:t>
      </w:r>
      <w:r w:rsidRPr="00A70F1D">
        <w:rPr>
          <w:rFonts w:ascii="Times New Roman" w:hAnsi="Times New Roman"/>
          <w:sz w:val="24"/>
        </w:rPr>
        <w:tab/>
        <w:t>‘Digital currency wallet’ means any service that allows a person to send, request, receive, or store digital currency.</w:t>
      </w:r>
    </w:p>
    <w:p w14:paraId="33EC115C" w14:textId="77777777" w:rsidR="00A70F1D" w:rsidRPr="00A70F1D" w:rsidRDefault="00A70F1D" w:rsidP="00A70F1D">
      <w:pPr>
        <w:autoSpaceDE w:val="0"/>
        <w:autoSpaceDN w:val="0"/>
        <w:adjustRightInd w:val="0"/>
        <w:spacing w:before="240"/>
        <w:ind w:left="1440" w:hanging="720"/>
        <w:rPr>
          <w:rFonts w:ascii="Times New Roman" w:hAnsi="Times New Roman"/>
          <w:sz w:val="24"/>
        </w:rPr>
      </w:pPr>
      <w:r w:rsidRPr="00A70F1D">
        <w:rPr>
          <w:rFonts w:ascii="Times New Roman" w:hAnsi="Times New Roman"/>
          <w:sz w:val="24"/>
        </w:rPr>
        <w:lastRenderedPageBreak/>
        <w:t>(2)</w:t>
      </w:r>
      <w:r w:rsidRPr="00A70F1D">
        <w:rPr>
          <w:rFonts w:ascii="Times New Roman" w:hAnsi="Times New Roman"/>
          <w:sz w:val="24"/>
        </w:rPr>
        <w:tab/>
        <w:t xml:space="preserve">‘Unique device identifiers’ includes Media Access Control (MAC) addresses, International Mobile Equipment Identity (IMEI), International Mobile Subscriber Identity (IMSI) numbers, and secure element ID (SEID) numbers. </w:t>
      </w:r>
    </w:p>
    <w:p w14:paraId="1CCAE604" w14:textId="2571CC26" w:rsidR="00EC2BA3" w:rsidRPr="00CC4FAC" w:rsidRDefault="00D66E96" w:rsidP="00EC2BA3">
      <w:pPr>
        <w:pStyle w:val="HR"/>
        <w:ind w:left="851" w:hanging="851"/>
      </w:pPr>
      <w:r>
        <w:t>1</w:t>
      </w:r>
      <w:r w:rsidR="002E1E85">
        <w:t>0</w:t>
      </w:r>
      <w:r w:rsidR="00EC2BA3" w:rsidRPr="00CC4FAC">
        <w:tab/>
      </w:r>
      <w:r w:rsidR="00EC2BA3">
        <w:t>Subparagraph 19.3(8)(b)</w:t>
      </w:r>
    </w:p>
    <w:p w14:paraId="2EE6DC6E" w14:textId="064B7071" w:rsidR="00EC2BA3" w:rsidRPr="00730C09" w:rsidRDefault="00EC2BA3" w:rsidP="00EC2BA3">
      <w:pPr>
        <w:autoSpaceDE w:val="0"/>
        <w:autoSpaceDN w:val="0"/>
        <w:adjustRightInd w:val="0"/>
        <w:spacing w:before="240"/>
        <w:rPr>
          <w:rFonts w:ascii="Times New Roman" w:hAnsi="Times New Roman"/>
          <w:sz w:val="24"/>
        </w:rPr>
      </w:pPr>
      <w:r w:rsidRPr="00730C09">
        <w:rPr>
          <w:rFonts w:ascii="Times New Roman" w:hAnsi="Times New Roman"/>
          <w:sz w:val="24"/>
        </w:rPr>
        <w:t xml:space="preserve">Repeal the </w:t>
      </w:r>
      <w:r>
        <w:rPr>
          <w:rFonts w:ascii="Times New Roman" w:hAnsi="Times New Roman"/>
          <w:sz w:val="24"/>
        </w:rPr>
        <w:t>sub</w:t>
      </w:r>
      <w:r w:rsidRPr="00730C09">
        <w:rPr>
          <w:rFonts w:ascii="Times New Roman" w:hAnsi="Times New Roman"/>
          <w:sz w:val="24"/>
        </w:rPr>
        <w:t>paragraph, substitute:</w:t>
      </w:r>
    </w:p>
    <w:p w14:paraId="0AEC7791" w14:textId="1338195F" w:rsidR="00A70F1D" w:rsidRDefault="00A70F1D" w:rsidP="00A70F1D">
      <w:pPr>
        <w:ind w:left="851" w:hanging="851"/>
        <w:rPr>
          <w:rFonts w:ascii="Times New Roman" w:hAnsi="Times New Roman"/>
          <w:sz w:val="24"/>
        </w:rPr>
      </w:pPr>
    </w:p>
    <w:p w14:paraId="1955C0E1" w14:textId="77777777" w:rsidR="005A4692" w:rsidRPr="005A4692" w:rsidRDefault="005A4692" w:rsidP="00773DAA">
      <w:pPr>
        <w:ind w:left="720"/>
        <w:rPr>
          <w:rFonts w:ascii="Times New Roman" w:hAnsi="Times New Roman"/>
          <w:sz w:val="24"/>
        </w:rPr>
      </w:pPr>
      <w:r w:rsidRPr="005A4692">
        <w:rPr>
          <w:rFonts w:ascii="Times New Roman" w:hAnsi="Times New Roman"/>
          <w:sz w:val="24"/>
        </w:rPr>
        <w:t>(b)</w:t>
      </w:r>
      <w:r w:rsidRPr="005A4692">
        <w:rPr>
          <w:rFonts w:ascii="Times New Roman" w:hAnsi="Times New Roman"/>
          <w:sz w:val="24"/>
        </w:rPr>
        <w:tab/>
        <w:t>where the threshold transaction involves digital currency:</w:t>
      </w:r>
    </w:p>
    <w:p w14:paraId="09D52945" w14:textId="77777777" w:rsidR="005A4692" w:rsidRPr="005A4692" w:rsidRDefault="005A4692" w:rsidP="00773DAA">
      <w:pPr>
        <w:pStyle w:val="BodyText"/>
        <w:spacing w:before="240" w:after="0"/>
        <w:ind w:left="2160" w:hanging="720"/>
      </w:pPr>
      <w:r w:rsidRPr="005A4692">
        <w:t>(i)</w:t>
      </w:r>
      <w:r w:rsidRPr="005A4692">
        <w:tab/>
        <w:t>the denomination or code of the digital currency and the number of digital currency units;</w:t>
      </w:r>
    </w:p>
    <w:p w14:paraId="519CF204" w14:textId="7F3A03BD" w:rsidR="005A4692" w:rsidRPr="005A4692" w:rsidRDefault="005A4692" w:rsidP="00773DAA">
      <w:pPr>
        <w:pStyle w:val="BodyText"/>
        <w:spacing w:before="240" w:after="0"/>
        <w:ind w:left="2160" w:hanging="720"/>
      </w:pPr>
      <w:r w:rsidRPr="005A4692">
        <w:t>(ii)</w:t>
      </w:r>
      <w:r w:rsidRPr="005A4692">
        <w:tab/>
      </w:r>
      <w:r w:rsidR="001D1606" w:rsidRPr="001D1606">
        <w:t>the value of the digital currency involved in the transaction, expressed in Australian dollars, if known;</w:t>
      </w:r>
    </w:p>
    <w:p w14:paraId="0CFD54E7" w14:textId="77777777" w:rsidR="005A4692" w:rsidRPr="005A4692" w:rsidRDefault="005A4692" w:rsidP="00773DAA">
      <w:pPr>
        <w:pStyle w:val="BodyText"/>
        <w:spacing w:before="240" w:after="0"/>
        <w:ind w:left="2160" w:hanging="720"/>
      </w:pPr>
      <w:r w:rsidRPr="005A4692">
        <w:t>(iii)</w:t>
      </w:r>
      <w:r w:rsidRPr="005A4692">
        <w:tab/>
        <w:t>a description of the digital currency including details of the backing asset or thing, if known;</w:t>
      </w:r>
    </w:p>
    <w:p w14:paraId="6DAEE666" w14:textId="01E2296E" w:rsidR="005A4692" w:rsidRPr="005A4692" w:rsidRDefault="005A4692" w:rsidP="00773DAA">
      <w:pPr>
        <w:pStyle w:val="BodyText"/>
        <w:spacing w:before="240" w:after="0"/>
        <w:ind w:left="2160" w:hanging="720"/>
      </w:pPr>
      <w:r w:rsidRPr="005A4692">
        <w:t>(iv)</w:t>
      </w:r>
      <w:r w:rsidRPr="005A4692">
        <w:tab/>
        <w:t>the name(s) of the recipient(s);</w:t>
      </w:r>
    </w:p>
    <w:p w14:paraId="69C9D801" w14:textId="5C5C1423" w:rsidR="005A4692" w:rsidRPr="005A4692" w:rsidRDefault="005A4692" w:rsidP="00773DAA">
      <w:pPr>
        <w:pStyle w:val="BodyText"/>
        <w:spacing w:before="240" w:after="0"/>
        <w:ind w:left="2160" w:hanging="720"/>
      </w:pPr>
      <w:r w:rsidRPr="005A4692">
        <w:t>(v)</w:t>
      </w:r>
      <w:r w:rsidRPr="005A4692">
        <w:tab/>
        <w:t>the full address(es) of the recipient(s) (not being a post box address), if known;</w:t>
      </w:r>
    </w:p>
    <w:p w14:paraId="7F708F6D" w14:textId="77777777" w:rsidR="005A4692" w:rsidRPr="005A4692" w:rsidRDefault="005A4692" w:rsidP="00773DAA">
      <w:pPr>
        <w:pStyle w:val="BodyText"/>
        <w:spacing w:before="240" w:after="0"/>
        <w:ind w:left="2160" w:hanging="720"/>
      </w:pPr>
      <w:r w:rsidRPr="005A4692">
        <w:t>(vi)</w:t>
      </w:r>
      <w:r w:rsidRPr="005A4692">
        <w:tab/>
        <w:t>the date(s) of birth of the recipient(s), if known;</w:t>
      </w:r>
    </w:p>
    <w:p w14:paraId="1C3B4C79" w14:textId="77777777" w:rsidR="005A4692" w:rsidRPr="005A4692" w:rsidRDefault="005A4692" w:rsidP="00773DAA">
      <w:pPr>
        <w:pStyle w:val="BodyText"/>
        <w:spacing w:before="240" w:after="0"/>
        <w:ind w:left="2160" w:hanging="720"/>
      </w:pPr>
      <w:r w:rsidRPr="005A4692">
        <w:t>(vii)</w:t>
      </w:r>
      <w:r w:rsidRPr="005A4692">
        <w:tab/>
        <w:t>a description of the purpose of the transfer(s);</w:t>
      </w:r>
    </w:p>
    <w:p w14:paraId="29F18BCF" w14:textId="77777777" w:rsidR="005A4692" w:rsidRPr="005A4692" w:rsidRDefault="005A4692" w:rsidP="00773DAA">
      <w:pPr>
        <w:pStyle w:val="BodyText"/>
        <w:spacing w:before="240" w:after="0"/>
        <w:ind w:left="2160" w:hanging="720"/>
      </w:pPr>
      <w:r w:rsidRPr="005A4692">
        <w:t>(viii)</w:t>
      </w:r>
      <w:r w:rsidRPr="005A4692">
        <w:tab/>
        <w:t>if the purpose of the transfer(s) is to:</w:t>
      </w:r>
    </w:p>
    <w:p w14:paraId="328D5379" w14:textId="6CC365AC"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(a)</w:t>
      </w:r>
      <w:r w:rsidR="001D6830">
        <w:rPr>
          <w:rFonts w:ascii="Times New Roman" w:hAnsi="Times New Roman"/>
          <w:sz w:val="24"/>
        </w:rPr>
        <w:tab/>
      </w:r>
      <w:r w:rsidRPr="005A4692">
        <w:rPr>
          <w:rFonts w:ascii="Times New Roman" w:hAnsi="Times New Roman"/>
          <w:sz w:val="24"/>
        </w:rPr>
        <w:t>enable a cheque to be provided to the customer using all or part of the digital currency</w:t>
      </w:r>
      <w:r w:rsidRPr="005A4692">
        <w:rPr>
          <w:rFonts w:ascii="Times New Roman" w:hAnsi="Times New Roman"/>
          <w:b/>
          <w:sz w:val="24"/>
        </w:rPr>
        <w:t xml:space="preserve"> </w:t>
      </w:r>
      <w:r w:rsidRPr="005A4692">
        <w:rPr>
          <w:rFonts w:ascii="Times New Roman" w:hAnsi="Times New Roman"/>
          <w:sz w:val="24"/>
        </w:rPr>
        <w:t>transferred by the customer; or</w:t>
      </w:r>
    </w:p>
    <w:p w14:paraId="72C82989" w14:textId="35C9E03E"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(b)</w:t>
      </w:r>
      <w:r w:rsidR="001D6830">
        <w:rPr>
          <w:rFonts w:ascii="Times New Roman" w:hAnsi="Times New Roman"/>
          <w:sz w:val="24"/>
        </w:rPr>
        <w:tab/>
      </w:r>
      <w:r w:rsidRPr="005A4692">
        <w:rPr>
          <w:rFonts w:ascii="Times New Roman" w:hAnsi="Times New Roman"/>
          <w:sz w:val="24"/>
        </w:rPr>
        <w:t>enable the customer to receive digital currency in exchange for all or part of a cheque produced by the customer to the reporting entity;</w:t>
      </w:r>
    </w:p>
    <w:p w14:paraId="03EE7225" w14:textId="77777777"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 xml:space="preserve"> the following details:</w:t>
      </w:r>
    </w:p>
    <w:p w14:paraId="6D9DB534" w14:textId="77777777"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(c)</w:t>
      </w:r>
      <w:r w:rsidRPr="005A4692">
        <w:rPr>
          <w:rFonts w:ascii="Times New Roman" w:hAnsi="Times New Roman"/>
          <w:sz w:val="24"/>
        </w:rPr>
        <w:tab/>
        <w:t>the name of the drawer;</w:t>
      </w:r>
    </w:p>
    <w:p w14:paraId="563D7BD5" w14:textId="77777777"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(d)</w:t>
      </w:r>
      <w:r w:rsidRPr="005A4692">
        <w:rPr>
          <w:rFonts w:ascii="Times New Roman" w:hAnsi="Times New Roman"/>
          <w:sz w:val="24"/>
        </w:rPr>
        <w:tab/>
        <w:t>the name of the drawee; and</w:t>
      </w:r>
    </w:p>
    <w:p w14:paraId="0FC4829C" w14:textId="77777777"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(e)</w:t>
      </w:r>
      <w:r w:rsidRPr="005A4692">
        <w:rPr>
          <w:rFonts w:ascii="Times New Roman" w:hAnsi="Times New Roman"/>
          <w:sz w:val="24"/>
        </w:rPr>
        <w:tab/>
        <w:t>the amount of the cheque;</w:t>
      </w:r>
    </w:p>
    <w:p w14:paraId="00D34130" w14:textId="31F9CCE3" w:rsidR="005A4692" w:rsidRDefault="005A4692" w:rsidP="00773DAA">
      <w:pPr>
        <w:pStyle w:val="BodyText"/>
        <w:spacing w:before="240" w:after="0"/>
        <w:ind w:left="2160" w:hanging="720"/>
      </w:pPr>
      <w:r w:rsidRPr="005A4692">
        <w:t>(ix)</w:t>
      </w:r>
      <w:r w:rsidRPr="005A4692">
        <w:tab/>
        <w:t>the Internet Proto</w:t>
      </w:r>
      <w:r w:rsidR="00003C3C">
        <w:t>col (IP) address information of</w:t>
      </w:r>
      <w:r w:rsidR="00EC2BA3">
        <w:t xml:space="preserve"> </w:t>
      </w:r>
      <w:r w:rsidRPr="00003C3C">
        <w:t>the customer</w:t>
      </w:r>
      <w:r w:rsidR="00EC2BA3">
        <w:t xml:space="preserve"> and the recipient(s)</w:t>
      </w:r>
      <w:r w:rsidRPr="00003C3C">
        <w:t>, if known</w:t>
      </w:r>
      <w:r w:rsidR="00003C3C">
        <w:t>;</w:t>
      </w:r>
    </w:p>
    <w:p w14:paraId="4CF8C9B9" w14:textId="6EA88B16" w:rsidR="00B2438C" w:rsidRDefault="005A4692" w:rsidP="000A7974">
      <w:pPr>
        <w:pStyle w:val="BodyText"/>
        <w:spacing w:before="240" w:after="0"/>
        <w:ind w:left="2160" w:hanging="720"/>
      </w:pPr>
      <w:r w:rsidRPr="005A4692">
        <w:lastRenderedPageBreak/>
        <w:t>(x)</w:t>
      </w:r>
      <w:r w:rsidRPr="005A4692">
        <w:tab/>
        <w:t>the email address of</w:t>
      </w:r>
      <w:r w:rsidR="00B2438C">
        <w:t xml:space="preserve"> </w:t>
      </w:r>
      <w:r w:rsidR="00B2438C" w:rsidRPr="00003C3C">
        <w:t>the customer</w:t>
      </w:r>
      <w:r w:rsidR="00B2438C">
        <w:t xml:space="preserve"> and the recipient(s)</w:t>
      </w:r>
      <w:r w:rsidR="00B2438C" w:rsidRPr="00003C3C">
        <w:t>, if known</w:t>
      </w:r>
      <w:r w:rsidR="00B2438C">
        <w:t>;</w:t>
      </w:r>
    </w:p>
    <w:p w14:paraId="73C2E010" w14:textId="161AB708" w:rsidR="00B2438C" w:rsidRDefault="005A4692" w:rsidP="00B2438C">
      <w:pPr>
        <w:pStyle w:val="BodyText"/>
        <w:spacing w:before="240" w:after="0"/>
        <w:ind w:left="2160" w:hanging="720"/>
      </w:pPr>
      <w:r w:rsidRPr="005A4692">
        <w:t>(xi)</w:t>
      </w:r>
      <w:r w:rsidRPr="005A4692">
        <w:tab/>
        <w:t>the mobile phone number of</w:t>
      </w:r>
      <w:r w:rsidR="00B2438C">
        <w:t xml:space="preserve"> </w:t>
      </w:r>
      <w:r w:rsidR="00B2438C" w:rsidRPr="00003C3C">
        <w:t>the customer</w:t>
      </w:r>
      <w:r w:rsidR="00B2438C">
        <w:t xml:space="preserve"> and the recipient(s)</w:t>
      </w:r>
      <w:r w:rsidR="00B2438C" w:rsidRPr="00003C3C">
        <w:t>, if known</w:t>
      </w:r>
      <w:r w:rsidR="00B2438C">
        <w:t>;</w:t>
      </w:r>
    </w:p>
    <w:p w14:paraId="628D667C" w14:textId="459A7D4B" w:rsidR="00B2438C" w:rsidRDefault="005A4692" w:rsidP="00B2438C">
      <w:pPr>
        <w:pStyle w:val="BodyText"/>
        <w:spacing w:before="240" w:after="0"/>
        <w:ind w:left="2160" w:hanging="720"/>
      </w:pPr>
      <w:r w:rsidRPr="005A4692">
        <w:t>(xii)</w:t>
      </w:r>
      <w:r w:rsidRPr="005A4692">
        <w:tab/>
        <w:t>the social media identifiers of</w:t>
      </w:r>
      <w:r w:rsidR="00B2438C" w:rsidRPr="00B2438C">
        <w:t xml:space="preserve"> </w:t>
      </w:r>
      <w:r w:rsidR="00B2438C" w:rsidRPr="00003C3C">
        <w:t>the customer</w:t>
      </w:r>
      <w:r w:rsidR="00B2438C">
        <w:t xml:space="preserve"> and the recipient(s)</w:t>
      </w:r>
      <w:r w:rsidR="00B2438C" w:rsidRPr="00003C3C">
        <w:t>, if known</w:t>
      </w:r>
      <w:r w:rsidR="00B2438C">
        <w:t>;</w:t>
      </w:r>
    </w:p>
    <w:p w14:paraId="75A97427" w14:textId="0A81A8AF" w:rsidR="00B2438C" w:rsidRDefault="005A4692" w:rsidP="00B2438C">
      <w:pPr>
        <w:pStyle w:val="BodyText"/>
        <w:spacing w:before="240" w:after="0"/>
        <w:ind w:left="2160" w:hanging="720"/>
      </w:pPr>
      <w:r w:rsidRPr="005A4692">
        <w:t>(xiii)</w:t>
      </w:r>
      <w:r w:rsidRPr="005A4692">
        <w:tab/>
        <w:t>the unique identifiers relating to th</w:t>
      </w:r>
      <w:r w:rsidR="00003C3C">
        <w:t>e digital currency wallet(s) of</w:t>
      </w:r>
      <w:r w:rsidR="00B2438C">
        <w:t xml:space="preserve"> </w:t>
      </w:r>
      <w:r w:rsidR="00B2438C" w:rsidRPr="00003C3C">
        <w:t>the customer</w:t>
      </w:r>
      <w:r w:rsidR="00B2438C">
        <w:t xml:space="preserve"> and the recipient(s)</w:t>
      </w:r>
      <w:r w:rsidR="00B2438C" w:rsidRPr="00003C3C">
        <w:t>, if known</w:t>
      </w:r>
      <w:r w:rsidR="00B2438C">
        <w:t>;</w:t>
      </w:r>
    </w:p>
    <w:p w14:paraId="6846651B" w14:textId="63FB7EE0" w:rsidR="00B2438C" w:rsidRDefault="00B2438C" w:rsidP="00B2438C">
      <w:pPr>
        <w:pStyle w:val="BodyText"/>
        <w:spacing w:before="240" w:after="0"/>
        <w:ind w:left="2160" w:hanging="720"/>
      </w:pPr>
      <w:r w:rsidRPr="00003C3C" w:rsidDel="00B2438C">
        <w:t xml:space="preserve"> </w:t>
      </w:r>
      <w:r w:rsidR="005A4692" w:rsidRPr="005A4692">
        <w:t>(xiv)</w:t>
      </w:r>
      <w:r w:rsidR="005A4692" w:rsidRPr="005A4692">
        <w:tab/>
        <w:t>the unique device identifiers of</w:t>
      </w:r>
      <w:r>
        <w:t xml:space="preserve"> </w:t>
      </w:r>
      <w:r w:rsidRPr="00003C3C">
        <w:t>the customer</w:t>
      </w:r>
      <w:r>
        <w:t xml:space="preserve"> and the recipient(s)</w:t>
      </w:r>
      <w:r w:rsidRPr="00003C3C">
        <w:t>, if known</w:t>
      </w:r>
      <w:r>
        <w:t>;</w:t>
      </w:r>
    </w:p>
    <w:p w14:paraId="65F413DD" w14:textId="101BB528" w:rsidR="00853128" w:rsidRPr="00CC4FAC" w:rsidRDefault="00853128" w:rsidP="00853128">
      <w:pPr>
        <w:pStyle w:val="HR"/>
        <w:ind w:left="851" w:hanging="851"/>
      </w:pPr>
      <w:r>
        <w:t>1</w:t>
      </w:r>
      <w:r w:rsidR="002E1E85">
        <w:t>1</w:t>
      </w:r>
      <w:r w:rsidRPr="00CC4FAC">
        <w:tab/>
      </w:r>
      <w:r>
        <w:t>Subparagraph 19.3(17)</w:t>
      </w:r>
    </w:p>
    <w:p w14:paraId="5FAAFA9F" w14:textId="77777777" w:rsidR="00853128" w:rsidRPr="00730C09" w:rsidRDefault="00853128" w:rsidP="00853128">
      <w:pPr>
        <w:autoSpaceDE w:val="0"/>
        <w:autoSpaceDN w:val="0"/>
        <w:adjustRightInd w:val="0"/>
        <w:spacing w:before="240"/>
        <w:rPr>
          <w:rFonts w:ascii="Times New Roman" w:hAnsi="Times New Roman"/>
          <w:sz w:val="24"/>
        </w:rPr>
      </w:pPr>
      <w:r w:rsidRPr="00730C09">
        <w:rPr>
          <w:rFonts w:ascii="Times New Roman" w:hAnsi="Times New Roman"/>
          <w:sz w:val="24"/>
        </w:rPr>
        <w:t xml:space="preserve">Repeal the </w:t>
      </w:r>
      <w:r>
        <w:rPr>
          <w:rFonts w:ascii="Times New Roman" w:hAnsi="Times New Roman"/>
          <w:sz w:val="24"/>
        </w:rPr>
        <w:t>sub</w:t>
      </w:r>
      <w:r w:rsidRPr="00730C09">
        <w:rPr>
          <w:rFonts w:ascii="Times New Roman" w:hAnsi="Times New Roman"/>
          <w:sz w:val="24"/>
        </w:rPr>
        <w:t>paragraph, substitute:</w:t>
      </w:r>
    </w:p>
    <w:p w14:paraId="18DC8B76" w14:textId="77777777" w:rsidR="00810308" w:rsidRPr="00810308" w:rsidRDefault="00810308" w:rsidP="00810308">
      <w:pPr>
        <w:tabs>
          <w:tab w:val="left" w:pos="360"/>
          <w:tab w:val="left" w:pos="851"/>
          <w:tab w:val="left" w:pos="1440"/>
        </w:tabs>
        <w:autoSpaceDE w:val="0"/>
        <w:autoSpaceDN w:val="0"/>
        <w:adjustRightInd w:val="0"/>
        <w:spacing w:before="240"/>
        <w:ind w:left="2160" w:hanging="2160"/>
        <w:rPr>
          <w:rFonts w:ascii="Times New Roman" w:hAnsi="Times New Roman"/>
          <w:strike/>
          <w:color w:val="000000"/>
          <w:sz w:val="24"/>
          <w:lang w:eastAsia="en-AU"/>
        </w:rPr>
      </w:pPr>
      <w:r w:rsidRPr="00810308">
        <w:rPr>
          <w:rFonts w:ascii="Times New Roman" w:hAnsi="Times New Roman"/>
          <w:color w:val="000000"/>
          <w:sz w:val="24"/>
          <w:lang w:eastAsia="en-AU"/>
        </w:rPr>
        <w:t>19.3</w:t>
      </w:r>
      <w:r w:rsidRPr="00810308">
        <w:rPr>
          <w:rFonts w:ascii="Times New Roman" w:hAnsi="Times New Roman"/>
          <w:color w:val="000000"/>
          <w:sz w:val="24"/>
          <w:lang w:eastAsia="en-AU"/>
        </w:rPr>
        <w:tab/>
        <w:t>(17)</w:t>
      </w:r>
      <w:r w:rsidRPr="00810308">
        <w:rPr>
          <w:rFonts w:ascii="Times New Roman" w:hAnsi="Times New Roman"/>
          <w:color w:val="000000"/>
          <w:sz w:val="24"/>
          <w:lang w:eastAsia="en-AU"/>
        </w:rPr>
        <w:tab/>
        <w:t>(a)</w:t>
      </w:r>
      <w:r w:rsidRPr="00810308">
        <w:rPr>
          <w:rFonts w:ascii="Times New Roman" w:hAnsi="Times New Roman"/>
          <w:color w:val="000000"/>
          <w:sz w:val="24"/>
          <w:lang w:eastAsia="en-AU"/>
        </w:rPr>
        <w:tab/>
        <w:t>where a threshold transaction occurs in the circumstances specified in subparagraph 19.3(15) but the transaction:</w:t>
      </w:r>
    </w:p>
    <w:p w14:paraId="5FDEFBDE" w14:textId="1C315BC4" w:rsidR="00810308" w:rsidRPr="00810308" w:rsidRDefault="00810308" w:rsidP="00810308">
      <w:pPr>
        <w:autoSpaceDE w:val="0"/>
        <w:autoSpaceDN w:val="0"/>
        <w:adjustRightInd w:val="0"/>
        <w:spacing w:before="240"/>
        <w:ind w:left="2880" w:hanging="720"/>
        <w:rPr>
          <w:rFonts w:ascii="Times New Roman" w:hAnsi="Times New Roman"/>
          <w:color w:val="000000"/>
          <w:sz w:val="24"/>
          <w:lang w:eastAsia="en-AU"/>
        </w:rPr>
      </w:pPr>
      <w:r w:rsidRPr="00810308">
        <w:rPr>
          <w:rFonts w:ascii="Times New Roman" w:hAnsi="Times New Roman"/>
          <w:color w:val="000000"/>
          <w:sz w:val="24"/>
          <w:lang w:eastAsia="en-AU"/>
        </w:rPr>
        <w:t>(i)</w:t>
      </w:r>
      <w:r w:rsidRPr="00810308">
        <w:rPr>
          <w:rFonts w:ascii="Times New Roman" w:hAnsi="Times New Roman"/>
          <w:color w:val="000000"/>
          <w:sz w:val="24"/>
          <w:lang w:eastAsia="en-AU"/>
        </w:rPr>
        <w:tab/>
        <w:t xml:space="preserve">involves a deposit service carried out in non-face to face circumstances by the individual; or </w:t>
      </w:r>
    </w:p>
    <w:p w14:paraId="087150DD" w14:textId="77777777" w:rsidR="00810308" w:rsidRPr="00810308" w:rsidRDefault="00810308" w:rsidP="00810308">
      <w:pPr>
        <w:autoSpaceDE w:val="0"/>
        <w:autoSpaceDN w:val="0"/>
        <w:adjustRightInd w:val="0"/>
        <w:spacing w:before="240"/>
        <w:ind w:left="2880" w:hanging="720"/>
        <w:rPr>
          <w:rFonts w:ascii="Times New Roman" w:hAnsi="Times New Roman"/>
          <w:bCs/>
          <w:szCs w:val="22"/>
        </w:rPr>
      </w:pPr>
      <w:r w:rsidRPr="00810308">
        <w:rPr>
          <w:rFonts w:ascii="Times New Roman" w:hAnsi="Times New Roman"/>
          <w:color w:val="000000"/>
          <w:sz w:val="24"/>
          <w:lang w:eastAsia="en-AU"/>
        </w:rPr>
        <w:t>(ii)</w:t>
      </w:r>
      <w:r w:rsidRPr="00810308">
        <w:rPr>
          <w:rFonts w:ascii="Times New Roman" w:hAnsi="Times New Roman"/>
          <w:color w:val="000000"/>
          <w:sz w:val="24"/>
          <w:lang w:eastAsia="en-AU"/>
        </w:rPr>
        <w:tab/>
        <w:t>relates to the provision of a service of collecting, holding, or delivery (including of pay-rolls) of physical currency, collected from, held on behalf of, or delivered to a person in the course of carrying on a business of collecting, holding, or delivering physical currency, and the physical currency was not collected:</w:t>
      </w:r>
    </w:p>
    <w:p w14:paraId="7E37E042" w14:textId="3011EDF4" w:rsidR="00810308" w:rsidRPr="00810308" w:rsidRDefault="00B15E58" w:rsidP="00B15E58">
      <w:pPr>
        <w:autoSpaceDE w:val="0"/>
        <w:autoSpaceDN w:val="0"/>
        <w:adjustRightInd w:val="0"/>
        <w:spacing w:before="240" w:after="120" w:line="276" w:lineRule="auto"/>
        <w:ind w:left="3600" w:hanging="720"/>
        <w:rPr>
          <w:rFonts w:ascii="Times New Roman" w:hAnsi="Times New Roman"/>
          <w:bCs/>
          <w:color w:val="000000"/>
          <w:sz w:val="24"/>
          <w:lang w:eastAsia="en-AU"/>
        </w:rPr>
      </w:pPr>
      <w:r>
        <w:rPr>
          <w:rFonts w:ascii="Times New Roman" w:hAnsi="Times New Roman"/>
          <w:bCs/>
          <w:color w:val="000000"/>
          <w:sz w:val="24"/>
          <w:lang w:eastAsia="en-AU"/>
        </w:rPr>
        <w:t>(A)</w:t>
      </w:r>
      <w:r>
        <w:rPr>
          <w:rFonts w:ascii="Times New Roman" w:hAnsi="Times New Roman"/>
          <w:bCs/>
          <w:color w:val="000000"/>
          <w:sz w:val="24"/>
          <w:lang w:eastAsia="en-AU"/>
        </w:rPr>
        <w:tab/>
      </w:r>
      <w:r w:rsidR="00810308" w:rsidRPr="00810308">
        <w:rPr>
          <w:rFonts w:ascii="Times New Roman" w:hAnsi="Times New Roman"/>
          <w:bCs/>
          <w:color w:val="000000"/>
          <w:sz w:val="24"/>
          <w:lang w:eastAsia="en-AU"/>
        </w:rPr>
        <w:t xml:space="preserve">by the provider of the service as consideration for the supply of goods or services (within the meaning of the </w:t>
      </w:r>
      <w:r w:rsidR="00810308" w:rsidRPr="00810308">
        <w:rPr>
          <w:rFonts w:ascii="Times New Roman" w:hAnsi="Times New Roman"/>
          <w:bCs/>
          <w:i/>
          <w:color w:val="000000"/>
          <w:sz w:val="24"/>
          <w:lang w:eastAsia="en-AU"/>
        </w:rPr>
        <w:t>Competition and Consumer Act 2010</w:t>
      </w:r>
      <w:r w:rsidR="00810308" w:rsidRPr="00810308">
        <w:rPr>
          <w:rFonts w:ascii="Times New Roman" w:hAnsi="Times New Roman"/>
          <w:bCs/>
          <w:color w:val="000000"/>
          <w:sz w:val="24"/>
          <w:lang w:eastAsia="en-AU"/>
        </w:rPr>
        <w:t>) other than the service of collecting or holding physical currency; or</w:t>
      </w:r>
    </w:p>
    <w:p w14:paraId="40A34A19" w14:textId="77777777" w:rsidR="00810308" w:rsidRPr="00810308" w:rsidRDefault="00810308" w:rsidP="00810308">
      <w:pPr>
        <w:autoSpaceDE w:val="0"/>
        <w:autoSpaceDN w:val="0"/>
        <w:adjustRightInd w:val="0"/>
        <w:spacing w:before="240"/>
        <w:ind w:left="2880"/>
        <w:rPr>
          <w:rFonts w:ascii="Times New Roman" w:hAnsi="Times New Roman"/>
          <w:bCs/>
          <w:color w:val="000000"/>
          <w:sz w:val="24"/>
          <w:lang w:eastAsia="en-AU"/>
        </w:rPr>
      </w:pPr>
      <w:r w:rsidRPr="00810308">
        <w:rPr>
          <w:rFonts w:ascii="Times New Roman" w:hAnsi="Times New Roman"/>
          <w:bCs/>
          <w:color w:val="000000"/>
          <w:sz w:val="24"/>
          <w:lang w:eastAsia="en-AU"/>
        </w:rPr>
        <w:t>(B)</w:t>
      </w:r>
      <w:r w:rsidRPr="00810308">
        <w:rPr>
          <w:rFonts w:ascii="Times New Roman" w:hAnsi="Times New Roman"/>
          <w:bCs/>
          <w:color w:val="000000"/>
          <w:sz w:val="24"/>
          <w:lang w:eastAsia="en-AU"/>
        </w:rPr>
        <w:tab/>
        <w:t>as a donation to a registered charity; then</w:t>
      </w:r>
    </w:p>
    <w:p w14:paraId="318A4CA5" w14:textId="7D55A8F9" w:rsidR="00810308" w:rsidRPr="00810308" w:rsidRDefault="00024FCF" w:rsidP="00810308">
      <w:pPr>
        <w:autoSpaceDE w:val="0"/>
        <w:autoSpaceDN w:val="0"/>
        <w:adjustRightInd w:val="0"/>
        <w:spacing w:before="240"/>
        <w:ind w:left="2160" w:hanging="720"/>
        <w:rPr>
          <w:rFonts w:ascii="Times New Roman" w:hAnsi="Times New Roman"/>
          <w:color w:val="000000"/>
          <w:sz w:val="24"/>
          <w:lang w:eastAsia="en-AU"/>
        </w:rPr>
      </w:pPr>
      <w:r w:rsidRPr="00810308">
        <w:rPr>
          <w:rFonts w:ascii="Times New Roman" w:hAnsi="Times New Roman"/>
          <w:color w:val="000000"/>
          <w:sz w:val="24"/>
          <w:lang w:eastAsia="en-AU"/>
        </w:rPr>
        <w:t xml:space="preserve"> </w:t>
      </w:r>
      <w:r w:rsidR="00810308" w:rsidRPr="00810308">
        <w:rPr>
          <w:rFonts w:ascii="Times New Roman" w:hAnsi="Times New Roman"/>
          <w:color w:val="000000"/>
          <w:sz w:val="24"/>
          <w:lang w:eastAsia="en-AU"/>
        </w:rPr>
        <w:t>(b)</w:t>
      </w:r>
      <w:r w:rsidR="00810308" w:rsidRPr="00810308">
        <w:rPr>
          <w:rFonts w:ascii="Times New Roman" w:hAnsi="Times New Roman"/>
          <w:color w:val="000000"/>
          <w:sz w:val="24"/>
          <w:lang w:eastAsia="en-AU"/>
        </w:rPr>
        <w:tab/>
        <w:t xml:space="preserve">the provision of the following details, in addition to the details in 19.3(1)-(14), only: </w:t>
      </w:r>
    </w:p>
    <w:p w14:paraId="21AB249E" w14:textId="309CC8AF" w:rsidR="00810308" w:rsidRPr="00810308" w:rsidRDefault="00810308" w:rsidP="00810308">
      <w:pPr>
        <w:autoSpaceDE w:val="0"/>
        <w:autoSpaceDN w:val="0"/>
        <w:adjustRightInd w:val="0"/>
        <w:spacing w:before="240"/>
        <w:ind w:left="2880" w:hanging="720"/>
        <w:rPr>
          <w:rFonts w:ascii="Times New Roman" w:hAnsi="Times New Roman"/>
          <w:color w:val="000000"/>
          <w:sz w:val="24"/>
          <w:lang w:eastAsia="en-AU"/>
        </w:rPr>
      </w:pPr>
      <w:r w:rsidRPr="00810308">
        <w:rPr>
          <w:rFonts w:ascii="Times New Roman" w:hAnsi="Times New Roman"/>
          <w:color w:val="000000"/>
          <w:sz w:val="24"/>
          <w:lang w:eastAsia="en-AU"/>
        </w:rPr>
        <w:t>(i)</w:t>
      </w:r>
      <w:r w:rsidRPr="00810308">
        <w:rPr>
          <w:rFonts w:ascii="Times New Roman" w:hAnsi="Times New Roman"/>
          <w:color w:val="000000"/>
          <w:sz w:val="24"/>
          <w:lang w:eastAsia="en-AU"/>
        </w:rPr>
        <w:tab/>
        <w:t>a statement that the circumstances in 19.3(17)(a)(i)</w:t>
      </w:r>
      <w:r w:rsidR="00024FCF" w:rsidRPr="00810308">
        <w:rPr>
          <w:rFonts w:ascii="Times New Roman" w:hAnsi="Times New Roman"/>
          <w:b/>
          <w:color w:val="000000"/>
          <w:sz w:val="24"/>
          <w:lang w:eastAsia="en-AU"/>
        </w:rPr>
        <w:t xml:space="preserve"> </w:t>
      </w:r>
      <w:r w:rsidRPr="00810308">
        <w:rPr>
          <w:rFonts w:ascii="Times New Roman" w:hAnsi="Times New Roman"/>
          <w:color w:val="000000"/>
          <w:sz w:val="24"/>
          <w:lang w:eastAsia="en-AU"/>
        </w:rPr>
        <w:t xml:space="preserve">or </w:t>
      </w:r>
      <w:r w:rsidRPr="00810308">
        <w:rPr>
          <w:rFonts w:ascii="Times New Roman" w:hAnsi="Times New Roman"/>
          <w:bCs/>
          <w:color w:val="000000"/>
          <w:sz w:val="24"/>
          <w:lang w:eastAsia="en-AU"/>
        </w:rPr>
        <w:t>(ii)</w:t>
      </w:r>
      <w:r w:rsidRPr="00810308">
        <w:rPr>
          <w:rFonts w:ascii="Times New Roman" w:hAnsi="Times New Roman"/>
          <w:color w:val="000000"/>
          <w:sz w:val="24"/>
          <w:lang w:eastAsia="en-AU"/>
        </w:rPr>
        <w:t xml:space="preserve"> apply. </w:t>
      </w:r>
    </w:p>
    <w:p w14:paraId="3DA89099" w14:textId="6389353A" w:rsidR="00810308" w:rsidRPr="00810308" w:rsidRDefault="00810308" w:rsidP="00810308">
      <w:pPr>
        <w:spacing w:before="240" w:after="120" w:line="276" w:lineRule="auto"/>
        <w:ind w:left="720" w:hanging="720"/>
        <w:rPr>
          <w:rFonts w:ascii="Times New Roman" w:hAnsi="Times New Roman"/>
          <w:sz w:val="24"/>
        </w:rPr>
      </w:pPr>
      <w:r w:rsidRPr="00810308">
        <w:rPr>
          <w:rFonts w:ascii="Times New Roman" w:hAnsi="Times New Roman"/>
          <w:i/>
          <w:iCs/>
          <w:sz w:val="24"/>
        </w:rPr>
        <w:t>Note:</w:t>
      </w:r>
      <w:r w:rsidRPr="00810308">
        <w:rPr>
          <w:rFonts w:ascii="Times New Roman" w:hAnsi="Times New Roman"/>
          <w:i/>
          <w:iCs/>
          <w:sz w:val="24"/>
        </w:rPr>
        <w:tab/>
        <w:t>Where a reporting entity is unable to ascertain whether the circumstances in 19.3(17)(a)</w:t>
      </w:r>
      <w:r w:rsidRPr="00810308">
        <w:rPr>
          <w:rFonts w:ascii="Times New Roman" w:hAnsi="Times New Roman"/>
          <w:bCs/>
          <w:i/>
          <w:iCs/>
          <w:sz w:val="24"/>
        </w:rPr>
        <w:t xml:space="preserve"> </w:t>
      </w:r>
      <w:r w:rsidRPr="00810308">
        <w:rPr>
          <w:rFonts w:ascii="Times New Roman" w:hAnsi="Times New Roman"/>
          <w:i/>
          <w:iCs/>
          <w:sz w:val="24"/>
        </w:rPr>
        <w:t>applies, the reporting entity can assume that the transaction was carried out by the customer.</w:t>
      </w:r>
      <w:r w:rsidRPr="00810308">
        <w:rPr>
          <w:rFonts w:ascii="Times New Roman" w:hAnsi="Times New Roman"/>
          <w:sz w:val="24"/>
        </w:rPr>
        <w:tab/>
      </w:r>
    </w:p>
    <w:p w14:paraId="28BA950C" w14:textId="2FF95813" w:rsidR="00367B27" w:rsidRPr="00CC4FAC" w:rsidRDefault="00367B27" w:rsidP="00367B27">
      <w:pPr>
        <w:pStyle w:val="HR"/>
        <w:ind w:left="851" w:hanging="851"/>
      </w:pPr>
      <w:r>
        <w:lastRenderedPageBreak/>
        <w:t>1</w:t>
      </w:r>
      <w:r w:rsidR="002E1E85">
        <w:t>2</w:t>
      </w:r>
      <w:r w:rsidRPr="00CC4FAC">
        <w:tab/>
      </w:r>
      <w:r>
        <w:t>Paragraph 19.6</w:t>
      </w:r>
    </w:p>
    <w:p w14:paraId="18F4C421" w14:textId="07BA495F" w:rsidR="00367B27" w:rsidRPr="00730C09" w:rsidRDefault="00367B27" w:rsidP="00367B27">
      <w:pPr>
        <w:autoSpaceDE w:val="0"/>
        <w:autoSpaceDN w:val="0"/>
        <w:adjustRightInd w:val="0"/>
        <w:spacing w:before="240"/>
        <w:rPr>
          <w:rFonts w:ascii="Times New Roman" w:hAnsi="Times New Roman"/>
          <w:sz w:val="24"/>
        </w:rPr>
      </w:pPr>
      <w:r w:rsidRPr="00730C09">
        <w:rPr>
          <w:rFonts w:ascii="Times New Roman" w:hAnsi="Times New Roman"/>
          <w:sz w:val="24"/>
        </w:rPr>
        <w:t>Repeal the paragraph, substitute:</w:t>
      </w:r>
    </w:p>
    <w:p w14:paraId="62C3746A" w14:textId="77777777" w:rsidR="007335F2" w:rsidRPr="007335F2" w:rsidRDefault="007335F2" w:rsidP="007335F2">
      <w:pPr>
        <w:autoSpaceDE w:val="0"/>
        <w:autoSpaceDN w:val="0"/>
        <w:adjustRightInd w:val="0"/>
        <w:spacing w:before="240" w:after="120" w:line="276" w:lineRule="auto"/>
        <w:rPr>
          <w:rFonts w:ascii="Times New Roman" w:hAnsi="Times New Roman"/>
          <w:sz w:val="24"/>
          <w:szCs w:val="22"/>
        </w:rPr>
      </w:pPr>
      <w:r w:rsidRPr="007335F2">
        <w:rPr>
          <w:rFonts w:ascii="Times New Roman" w:hAnsi="Times New Roman"/>
          <w:sz w:val="24"/>
          <w:szCs w:val="22"/>
        </w:rPr>
        <w:t>19.6</w:t>
      </w:r>
      <w:r w:rsidRPr="007335F2">
        <w:rPr>
          <w:rFonts w:ascii="Times New Roman" w:hAnsi="Times New Roman"/>
          <w:sz w:val="24"/>
          <w:szCs w:val="22"/>
        </w:rPr>
        <w:tab/>
        <w:t>In this Chapter:</w:t>
      </w:r>
    </w:p>
    <w:p w14:paraId="7F55FB3E" w14:textId="77777777" w:rsidR="007335F2" w:rsidRPr="007335F2" w:rsidRDefault="007335F2" w:rsidP="007335F2">
      <w:pPr>
        <w:autoSpaceDE w:val="0"/>
        <w:autoSpaceDN w:val="0"/>
        <w:adjustRightInd w:val="0"/>
        <w:spacing w:before="240"/>
        <w:ind w:left="1440" w:hanging="720"/>
        <w:rPr>
          <w:rFonts w:ascii="Times New Roman" w:hAnsi="Times New Roman"/>
          <w:sz w:val="24"/>
          <w:szCs w:val="22"/>
        </w:rPr>
      </w:pPr>
      <w:r w:rsidRPr="007335F2">
        <w:rPr>
          <w:rFonts w:ascii="Times New Roman" w:hAnsi="Times New Roman"/>
          <w:sz w:val="24"/>
          <w:szCs w:val="22"/>
        </w:rPr>
        <w:t>(1)</w:t>
      </w:r>
      <w:r w:rsidRPr="007335F2">
        <w:rPr>
          <w:rFonts w:ascii="Times New Roman" w:hAnsi="Times New Roman"/>
          <w:sz w:val="24"/>
          <w:szCs w:val="22"/>
        </w:rPr>
        <w:tab/>
        <w:t>‘Digital currency wallet’ means any service that allows a person to send, request, receive, or store digital currency.</w:t>
      </w:r>
    </w:p>
    <w:p w14:paraId="20947994" w14:textId="77777777" w:rsidR="007335F2" w:rsidRPr="007335F2" w:rsidRDefault="007335F2" w:rsidP="007335F2">
      <w:pPr>
        <w:autoSpaceDE w:val="0"/>
        <w:autoSpaceDN w:val="0"/>
        <w:adjustRightInd w:val="0"/>
        <w:spacing w:before="240"/>
        <w:ind w:left="1440" w:hanging="720"/>
        <w:rPr>
          <w:rFonts w:ascii="Times New Roman" w:hAnsi="Times New Roman"/>
          <w:sz w:val="24"/>
          <w:szCs w:val="22"/>
        </w:rPr>
      </w:pPr>
      <w:r w:rsidRPr="007335F2">
        <w:rPr>
          <w:rFonts w:ascii="Times New Roman" w:hAnsi="Times New Roman"/>
          <w:sz w:val="24"/>
          <w:szCs w:val="22"/>
        </w:rPr>
        <w:t>(2)</w:t>
      </w:r>
      <w:r w:rsidRPr="007335F2">
        <w:rPr>
          <w:rFonts w:ascii="Times New Roman" w:hAnsi="Times New Roman"/>
          <w:sz w:val="24"/>
          <w:szCs w:val="22"/>
        </w:rPr>
        <w:tab/>
        <w:t>‘Non-face to face circumstances’ includes the use of an automated teller machine or night or express deposit facility.</w:t>
      </w:r>
    </w:p>
    <w:p w14:paraId="7B08E693" w14:textId="77777777" w:rsidR="007335F2" w:rsidRPr="007335F2" w:rsidRDefault="007335F2" w:rsidP="007335F2">
      <w:pPr>
        <w:autoSpaceDE w:val="0"/>
        <w:autoSpaceDN w:val="0"/>
        <w:adjustRightInd w:val="0"/>
        <w:spacing w:before="240"/>
        <w:ind w:left="1440" w:hanging="720"/>
        <w:rPr>
          <w:rFonts w:ascii="Times New Roman" w:hAnsi="Times New Roman"/>
          <w:sz w:val="24"/>
          <w:szCs w:val="22"/>
        </w:rPr>
      </w:pPr>
      <w:r w:rsidRPr="007335F2">
        <w:rPr>
          <w:rFonts w:ascii="Times New Roman" w:hAnsi="Times New Roman"/>
          <w:sz w:val="24"/>
          <w:szCs w:val="22"/>
        </w:rPr>
        <w:t>(3)</w:t>
      </w:r>
      <w:r w:rsidRPr="007335F2">
        <w:rPr>
          <w:rFonts w:ascii="Times New Roman" w:hAnsi="Times New Roman"/>
          <w:sz w:val="24"/>
          <w:szCs w:val="22"/>
        </w:rPr>
        <w:tab/>
        <w:t xml:space="preserve">‘Unique device identifiers’ includes Media Access Control (MAC) addresses, International Mobile Equipment Identity (IMEI), International Mobile Subscriber Identity (IMSI) numbers, and secure element ID (SEID) numbers. </w:t>
      </w:r>
    </w:p>
    <w:p w14:paraId="7898BA0A" w14:textId="30101421" w:rsidR="00367B27" w:rsidRPr="00CC4FAC" w:rsidRDefault="00367B27" w:rsidP="00367B27">
      <w:pPr>
        <w:pStyle w:val="HR"/>
        <w:ind w:left="851" w:hanging="851"/>
      </w:pPr>
      <w:r>
        <w:t>1</w:t>
      </w:r>
      <w:r w:rsidR="002E1E85">
        <w:t>3</w:t>
      </w:r>
      <w:r w:rsidRPr="00CC4FAC">
        <w:tab/>
      </w:r>
      <w:r>
        <w:t>Subparagraph 37.2</w:t>
      </w:r>
      <w:r w:rsidR="00E757C1">
        <w:t>(3)</w:t>
      </w:r>
    </w:p>
    <w:p w14:paraId="16261520" w14:textId="25962916" w:rsidR="00367B27" w:rsidRDefault="00E757C1" w:rsidP="00367B27">
      <w:pPr>
        <w:autoSpaceDE w:val="0"/>
        <w:autoSpaceDN w:val="0"/>
        <w:adjustRightInd w:val="0"/>
        <w:spacing w:before="240"/>
        <w:rPr>
          <w:rFonts w:ascii="Times New Roman" w:hAnsi="Times New Roman"/>
          <w:sz w:val="24"/>
        </w:rPr>
      </w:pPr>
      <w:r>
        <w:rPr>
          <w:rFonts w:ascii="Times New Roman" w:hAnsi="Times New Roman"/>
          <w:sz w:val="24"/>
        </w:rPr>
        <w:t>Omit “Account; or”, substitute “Account”.</w:t>
      </w:r>
      <w:r w:rsidR="00367B27" w:rsidRPr="00730C09">
        <w:rPr>
          <w:rFonts w:ascii="Times New Roman" w:hAnsi="Times New Roman"/>
          <w:sz w:val="24"/>
        </w:rPr>
        <w:t xml:space="preserve"> </w:t>
      </w:r>
    </w:p>
    <w:p w14:paraId="4A82ACC2" w14:textId="1B7081A3" w:rsidR="00E757C1" w:rsidRPr="00CC4FAC" w:rsidRDefault="00E757C1" w:rsidP="00E757C1">
      <w:pPr>
        <w:pStyle w:val="HR"/>
        <w:ind w:left="851" w:hanging="851"/>
      </w:pPr>
      <w:r>
        <w:t>1</w:t>
      </w:r>
      <w:r w:rsidR="002E1E85">
        <w:t>4</w:t>
      </w:r>
      <w:r w:rsidRPr="00CC4FAC">
        <w:tab/>
      </w:r>
      <w:r>
        <w:t>Subparagraph 37.2(4)</w:t>
      </w:r>
    </w:p>
    <w:p w14:paraId="122A76B4" w14:textId="4AFE05AE" w:rsidR="00E757C1" w:rsidRPr="00730C09" w:rsidRDefault="00E757C1" w:rsidP="00E757C1">
      <w:pPr>
        <w:autoSpaceDE w:val="0"/>
        <w:autoSpaceDN w:val="0"/>
        <w:adjustRightInd w:val="0"/>
        <w:spacing w:before="240"/>
        <w:rPr>
          <w:rFonts w:ascii="Times New Roman" w:hAnsi="Times New Roman"/>
          <w:sz w:val="24"/>
        </w:rPr>
      </w:pPr>
      <w:r>
        <w:rPr>
          <w:rFonts w:ascii="Times New Roman" w:hAnsi="Times New Roman"/>
          <w:sz w:val="24"/>
        </w:rPr>
        <w:t>Repeal the subparagraph.</w:t>
      </w:r>
    </w:p>
    <w:p w14:paraId="3D02FD97" w14:textId="6779492C" w:rsidR="004601AA" w:rsidRPr="00CC4FAC" w:rsidRDefault="004601AA" w:rsidP="004601AA">
      <w:pPr>
        <w:pStyle w:val="HR"/>
        <w:ind w:left="851" w:hanging="851"/>
      </w:pPr>
      <w:r>
        <w:t>1</w:t>
      </w:r>
      <w:r w:rsidR="002E1E85">
        <w:t>5</w:t>
      </w:r>
      <w:r w:rsidRPr="00CC4FAC">
        <w:tab/>
      </w:r>
      <w:r>
        <w:t>Chapter 44</w:t>
      </w:r>
    </w:p>
    <w:p w14:paraId="36C75F80" w14:textId="129AA476" w:rsidR="004601AA" w:rsidRPr="00730C09" w:rsidRDefault="004601AA" w:rsidP="004601AA">
      <w:pPr>
        <w:autoSpaceDE w:val="0"/>
        <w:autoSpaceDN w:val="0"/>
        <w:adjustRightInd w:val="0"/>
        <w:spacing w:before="240"/>
        <w:rPr>
          <w:rFonts w:ascii="Times New Roman" w:hAnsi="Times New Roman"/>
          <w:sz w:val="24"/>
        </w:rPr>
      </w:pPr>
      <w:r>
        <w:rPr>
          <w:rFonts w:ascii="Times New Roman" w:hAnsi="Times New Roman"/>
          <w:sz w:val="24"/>
        </w:rPr>
        <w:t>Repeal the Chapter.</w:t>
      </w:r>
    </w:p>
    <w:p w14:paraId="0A814D64" w14:textId="3C710710" w:rsidR="004601AA" w:rsidRPr="00CC4FAC" w:rsidRDefault="004601AA" w:rsidP="004601AA">
      <w:pPr>
        <w:pStyle w:val="HR"/>
        <w:ind w:left="851" w:hanging="851"/>
      </w:pPr>
      <w:r>
        <w:t>1</w:t>
      </w:r>
      <w:r w:rsidR="002E1E85">
        <w:t>6</w:t>
      </w:r>
      <w:r w:rsidRPr="00CC4FAC">
        <w:tab/>
      </w:r>
      <w:r>
        <w:t>Paragraph 45.3</w:t>
      </w:r>
    </w:p>
    <w:p w14:paraId="1D82BA31" w14:textId="49168F93" w:rsidR="004601AA" w:rsidRPr="00730C09" w:rsidRDefault="00324F0F" w:rsidP="004601AA">
      <w:pPr>
        <w:autoSpaceDE w:val="0"/>
        <w:autoSpaceDN w:val="0"/>
        <w:adjustRightInd w:val="0"/>
        <w:spacing w:before="240"/>
        <w:rPr>
          <w:rFonts w:ascii="Times New Roman" w:hAnsi="Times New Roman"/>
          <w:sz w:val="24"/>
        </w:rPr>
      </w:pPr>
      <w:r>
        <w:rPr>
          <w:rFonts w:ascii="Times New Roman" w:hAnsi="Times New Roman"/>
          <w:sz w:val="24"/>
        </w:rPr>
        <w:t>Omit all the words after subparagraph (e).</w:t>
      </w:r>
    </w:p>
    <w:p w14:paraId="7EF6E295" w14:textId="05079589" w:rsidR="00D25E11" w:rsidRPr="00CC4FAC" w:rsidRDefault="00D25E11" w:rsidP="00D25E11">
      <w:pPr>
        <w:pStyle w:val="HR"/>
        <w:ind w:left="851" w:hanging="851"/>
      </w:pPr>
      <w:r>
        <w:t>1</w:t>
      </w:r>
      <w:r w:rsidR="002E1E85">
        <w:t>7</w:t>
      </w:r>
      <w:r w:rsidRPr="00CC4FAC">
        <w:tab/>
      </w:r>
      <w:r>
        <w:t>Chapter 53</w:t>
      </w:r>
    </w:p>
    <w:p w14:paraId="605F66B0" w14:textId="77777777" w:rsidR="00D25E11" w:rsidRPr="00730C09" w:rsidRDefault="00D25E11" w:rsidP="00D25E11">
      <w:pPr>
        <w:autoSpaceDE w:val="0"/>
        <w:autoSpaceDN w:val="0"/>
        <w:adjustRightInd w:val="0"/>
        <w:spacing w:before="240"/>
        <w:rPr>
          <w:rFonts w:ascii="Times New Roman" w:hAnsi="Times New Roman"/>
          <w:sz w:val="24"/>
        </w:rPr>
      </w:pPr>
      <w:r>
        <w:rPr>
          <w:rFonts w:ascii="Times New Roman" w:hAnsi="Times New Roman"/>
          <w:sz w:val="24"/>
        </w:rPr>
        <w:t>Repeal the Chapter.</w:t>
      </w:r>
    </w:p>
    <w:p w14:paraId="587DFB3B" w14:textId="7E8EBAF4" w:rsidR="00D25E11" w:rsidRPr="00CC4FAC" w:rsidRDefault="00D25E11" w:rsidP="00D25E11">
      <w:pPr>
        <w:pStyle w:val="HR"/>
        <w:ind w:left="851" w:hanging="851"/>
      </w:pPr>
      <w:r>
        <w:t>1</w:t>
      </w:r>
      <w:r w:rsidR="002E1E85">
        <w:t>8</w:t>
      </w:r>
      <w:r w:rsidRPr="00CC4FAC">
        <w:tab/>
      </w:r>
      <w:r>
        <w:t>Paragraph 57.2</w:t>
      </w:r>
    </w:p>
    <w:p w14:paraId="6D07BDA0" w14:textId="6651F1CA" w:rsidR="00946684" w:rsidRDefault="00946684" w:rsidP="00946684">
      <w:pPr>
        <w:autoSpaceDE w:val="0"/>
        <w:autoSpaceDN w:val="0"/>
        <w:adjustRightInd w:val="0"/>
        <w:spacing w:before="240"/>
        <w:rPr>
          <w:rFonts w:ascii="Times New Roman" w:hAnsi="Times New Roman"/>
          <w:sz w:val="24"/>
        </w:rPr>
      </w:pPr>
      <w:r>
        <w:rPr>
          <w:rFonts w:ascii="Times New Roman" w:hAnsi="Times New Roman"/>
          <w:sz w:val="24"/>
        </w:rPr>
        <w:t>Omit “or people smuggling risk”, substitute “people smuggling or other serious crime risk”.</w:t>
      </w:r>
    </w:p>
    <w:p w14:paraId="78DDD0BE" w14:textId="4758C756" w:rsidR="00FA7A34" w:rsidRPr="00CC4FAC" w:rsidRDefault="002E1E85" w:rsidP="00FA7A34">
      <w:pPr>
        <w:pStyle w:val="HR"/>
        <w:ind w:left="851" w:hanging="851"/>
      </w:pPr>
      <w:r>
        <w:t>19</w:t>
      </w:r>
      <w:r w:rsidR="00FA7A34" w:rsidRPr="00CC4FAC">
        <w:tab/>
      </w:r>
      <w:r w:rsidR="00FA7A34">
        <w:t>Subparagraph 70.10(2)</w:t>
      </w:r>
    </w:p>
    <w:p w14:paraId="709E09D3" w14:textId="24D6DD55" w:rsidR="00FA7A34" w:rsidRDefault="00FA7A34" w:rsidP="00FA7A34">
      <w:pPr>
        <w:autoSpaceDE w:val="0"/>
        <w:autoSpaceDN w:val="0"/>
        <w:adjustRightInd w:val="0"/>
        <w:spacing w:before="240"/>
        <w:rPr>
          <w:rFonts w:ascii="Times New Roman" w:hAnsi="Times New Roman"/>
          <w:sz w:val="24"/>
        </w:rPr>
      </w:pPr>
      <w:r>
        <w:rPr>
          <w:rFonts w:ascii="Times New Roman" w:hAnsi="Times New Roman"/>
          <w:sz w:val="24"/>
        </w:rPr>
        <w:t>Omit “or people smuggling risk”, substitute “people smuggling or other serious crime risk”.</w:t>
      </w:r>
    </w:p>
    <w:p w14:paraId="42A04C4B" w14:textId="1D8DF455" w:rsidR="00F6745D" w:rsidRPr="00CC4FAC" w:rsidRDefault="00F6745D" w:rsidP="00F6745D">
      <w:pPr>
        <w:pStyle w:val="HR"/>
        <w:ind w:left="851" w:hanging="851"/>
      </w:pPr>
      <w:r>
        <w:lastRenderedPageBreak/>
        <w:t>2</w:t>
      </w:r>
      <w:r w:rsidR="002E1E85">
        <w:t>0</w:t>
      </w:r>
      <w:r w:rsidRPr="00CC4FAC">
        <w:tab/>
      </w:r>
      <w:r>
        <w:t>Paragraph 74.2</w:t>
      </w:r>
    </w:p>
    <w:p w14:paraId="1A9BB017" w14:textId="77777777" w:rsidR="00F6745D" w:rsidRPr="00730C09" w:rsidRDefault="00F6745D" w:rsidP="00F6745D">
      <w:pPr>
        <w:autoSpaceDE w:val="0"/>
        <w:autoSpaceDN w:val="0"/>
        <w:adjustRightInd w:val="0"/>
        <w:spacing w:before="240"/>
        <w:rPr>
          <w:rFonts w:ascii="Times New Roman" w:hAnsi="Times New Roman"/>
          <w:sz w:val="24"/>
        </w:rPr>
      </w:pPr>
      <w:r>
        <w:rPr>
          <w:rFonts w:ascii="Times New Roman" w:hAnsi="Times New Roman"/>
          <w:sz w:val="24"/>
        </w:rPr>
        <w:t>Repeal the paragraph, substitute:</w:t>
      </w:r>
    </w:p>
    <w:p w14:paraId="1656A71D" w14:textId="77777777" w:rsidR="00AB55F2" w:rsidRPr="00AB55F2" w:rsidRDefault="00AB55F2" w:rsidP="00AB55F2">
      <w:pPr>
        <w:autoSpaceDE w:val="0"/>
        <w:autoSpaceDN w:val="0"/>
        <w:adjustRightInd w:val="0"/>
        <w:spacing w:before="240"/>
        <w:ind w:left="720" w:hanging="720"/>
        <w:rPr>
          <w:rFonts w:ascii="Times New Roman" w:hAnsi="Times New Roman"/>
          <w:sz w:val="24"/>
        </w:rPr>
      </w:pPr>
      <w:r w:rsidRPr="00AB55F2">
        <w:rPr>
          <w:rFonts w:ascii="Times New Roman" w:hAnsi="Times New Roman"/>
          <w:color w:val="000000"/>
          <w:sz w:val="24"/>
          <w:lang w:eastAsia="en-AU"/>
        </w:rPr>
        <w:t>74.2.</w:t>
      </w:r>
      <w:r w:rsidRPr="00AB55F2">
        <w:rPr>
          <w:rFonts w:ascii="Times New Roman" w:hAnsi="Times New Roman"/>
          <w:color w:val="000000"/>
          <w:sz w:val="24"/>
          <w:lang w:eastAsia="en-AU"/>
        </w:rPr>
        <w:tab/>
        <w:t>Subject to paragraph 74.3, Divisions 2 to 7 of Part 2, Divisions 2 to 5 of Part 3 and Parts 3A, 5, 6, 7 and 10 of the AML/CTF Act do not apply to a designated service that:</w:t>
      </w:r>
    </w:p>
    <w:p w14:paraId="1555B1FE" w14:textId="28050D44" w:rsidR="00AB55F2" w:rsidRPr="00AB55F2" w:rsidRDefault="00AB55F2" w:rsidP="00AB55F2">
      <w:pPr>
        <w:tabs>
          <w:tab w:val="num" w:pos="1440"/>
        </w:tabs>
        <w:spacing w:before="240" w:after="120"/>
        <w:ind w:left="1259" w:hanging="539"/>
        <w:rPr>
          <w:rFonts w:ascii="Times New Roman" w:hAnsi="Times New Roman"/>
          <w:sz w:val="24"/>
        </w:rPr>
      </w:pPr>
      <w:r w:rsidRPr="00AB55F2">
        <w:rPr>
          <w:rFonts w:ascii="Times New Roman" w:hAnsi="Times New Roman"/>
          <w:sz w:val="24"/>
        </w:rPr>
        <w:t>(1)</w:t>
      </w:r>
      <w:r w:rsidRPr="00AB55F2">
        <w:rPr>
          <w:rFonts w:ascii="Times New Roman" w:hAnsi="Times New Roman"/>
          <w:sz w:val="24"/>
        </w:rPr>
        <w:tab/>
        <w:t>is of a kind described in items 33, 34, or</w:t>
      </w:r>
      <w:r w:rsidRPr="00AB55F2">
        <w:rPr>
          <w:rFonts w:ascii="Times New Roman" w:hAnsi="Times New Roman"/>
          <w:b/>
          <w:sz w:val="24"/>
        </w:rPr>
        <w:t xml:space="preserve"> </w:t>
      </w:r>
      <w:r w:rsidRPr="00AB55F2">
        <w:rPr>
          <w:rFonts w:ascii="Times New Roman" w:hAnsi="Times New Roman"/>
          <w:sz w:val="24"/>
        </w:rPr>
        <w:t>46</w:t>
      </w:r>
      <w:r>
        <w:rPr>
          <w:rFonts w:ascii="Times New Roman" w:hAnsi="Times New Roman"/>
          <w:sz w:val="24"/>
        </w:rPr>
        <w:t xml:space="preserve"> </w:t>
      </w:r>
      <w:r w:rsidRPr="00AB55F2">
        <w:rPr>
          <w:rFonts w:ascii="Times New Roman" w:hAnsi="Times New Roman"/>
          <w:sz w:val="24"/>
        </w:rPr>
        <w:t>of Table 1 in subsection 6(2) of the AML/CTF Act; or</w:t>
      </w:r>
    </w:p>
    <w:p w14:paraId="139A286E" w14:textId="3F70022F" w:rsidR="00AB55F2" w:rsidRDefault="00AB55F2" w:rsidP="00CA3EE2">
      <w:pPr>
        <w:tabs>
          <w:tab w:val="num" w:pos="1440"/>
        </w:tabs>
        <w:spacing w:before="240" w:after="120"/>
        <w:ind w:left="1259" w:hanging="539"/>
        <w:rPr>
          <w:rFonts w:ascii="Times New Roman" w:hAnsi="Times New Roman"/>
          <w:sz w:val="24"/>
        </w:rPr>
      </w:pPr>
      <w:r w:rsidRPr="00AB55F2">
        <w:rPr>
          <w:rFonts w:ascii="Times New Roman" w:hAnsi="Times New Roman"/>
          <w:sz w:val="24"/>
        </w:rPr>
        <w:t>(2)</w:t>
      </w:r>
      <w:r w:rsidRPr="00AB55F2">
        <w:rPr>
          <w:rFonts w:ascii="Times New Roman" w:hAnsi="Times New Roman"/>
          <w:sz w:val="24"/>
        </w:rPr>
        <w:tab/>
        <w:t>is of a kind described in items 1 or 2 of Table 2 in subsection 6(3) of the AML/CTF Act.</w:t>
      </w:r>
    </w:p>
    <w:p w14:paraId="0D6AF60B" w14:textId="197C2822" w:rsidR="009949C9" w:rsidRPr="00CC4FAC" w:rsidRDefault="00D66E96" w:rsidP="009949C9">
      <w:pPr>
        <w:pStyle w:val="HR"/>
        <w:ind w:left="851" w:hanging="851"/>
      </w:pPr>
      <w:r>
        <w:t>2</w:t>
      </w:r>
      <w:r w:rsidR="002E1E85">
        <w:t>1</w:t>
      </w:r>
      <w:r w:rsidR="009949C9" w:rsidRPr="00CC4FAC">
        <w:tab/>
      </w:r>
      <w:r w:rsidR="009949C9">
        <w:t>At the end of Chapter 75</w:t>
      </w:r>
    </w:p>
    <w:p w14:paraId="5B6DC52F" w14:textId="32112B5C" w:rsidR="009949C9" w:rsidRPr="00730C09" w:rsidRDefault="009949C9" w:rsidP="009949C9">
      <w:pPr>
        <w:autoSpaceDE w:val="0"/>
        <w:autoSpaceDN w:val="0"/>
        <w:adjustRightInd w:val="0"/>
        <w:spacing w:before="240"/>
        <w:rPr>
          <w:rFonts w:ascii="Times New Roman" w:hAnsi="Times New Roman"/>
          <w:sz w:val="24"/>
        </w:rPr>
      </w:pPr>
      <w:r>
        <w:rPr>
          <w:rFonts w:ascii="Times New Roman" w:hAnsi="Times New Roman"/>
          <w:sz w:val="24"/>
        </w:rPr>
        <w:t>Add:</w:t>
      </w:r>
    </w:p>
    <w:p w14:paraId="0F7B01A5" w14:textId="77777777" w:rsidR="00645F87" w:rsidRPr="00DC3425" w:rsidRDefault="00645F87" w:rsidP="00773DAA">
      <w:pPr>
        <w:pStyle w:val="HR"/>
        <w:ind w:left="851" w:hanging="851"/>
        <w:rPr>
          <w:rFonts w:cs="Arial"/>
          <w:b w:val="0"/>
        </w:rPr>
      </w:pPr>
      <w:r w:rsidRPr="006C4756">
        <w:rPr>
          <w:rFonts w:cs="Arial"/>
        </w:rPr>
        <w:t>CHAPTER 76</w:t>
      </w:r>
      <w:r w:rsidRPr="006C4756">
        <w:rPr>
          <w:rFonts w:cs="Arial"/>
        </w:rPr>
        <w:tab/>
      </w:r>
      <w:r w:rsidRPr="00DC3425">
        <w:rPr>
          <w:rFonts w:cs="Arial"/>
        </w:rPr>
        <w:t>Digital Currency Exchange Register</w:t>
      </w:r>
    </w:p>
    <w:p w14:paraId="7CFABD60" w14:textId="72895414" w:rsidR="00645F87" w:rsidRPr="00DC3425" w:rsidRDefault="00645F87" w:rsidP="00645F87">
      <w:pPr>
        <w:pStyle w:val="Heading2"/>
        <w:numPr>
          <w:ilvl w:val="1"/>
          <w:numId w:val="0"/>
        </w:numPr>
        <w:ind w:left="851" w:hanging="851"/>
        <w:rPr>
          <w:b w:val="0"/>
        </w:rPr>
      </w:pPr>
      <w:r>
        <w:rPr>
          <w:b w:val="0"/>
        </w:rPr>
        <w:t>76.1</w:t>
      </w:r>
      <w:r>
        <w:rPr>
          <w:b w:val="0"/>
        </w:rPr>
        <w:tab/>
      </w:r>
      <w:r w:rsidRPr="00DC3425">
        <w:rPr>
          <w:b w:val="0"/>
        </w:rPr>
        <w:t xml:space="preserve">These Anti-Money Laundering and Counter-Terrorism Financing Rules (Rules) are made under section 229 of the </w:t>
      </w:r>
      <w:r w:rsidRPr="00DC3425">
        <w:rPr>
          <w:b w:val="0"/>
          <w:i/>
          <w:iCs/>
        </w:rPr>
        <w:t xml:space="preserve">Anti-Money Laundering and Counter-Terrorism Financing Act 2006 </w:t>
      </w:r>
      <w:r w:rsidRPr="00DC3425">
        <w:rPr>
          <w:b w:val="0"/>
        </w:rPr>
        <w:t xml:space="preserve">(AML/CTF Act) for the purposes of Part 6A of that Act. </w:t>
      </w:r>
      <w:r w:rsidRPr="00977F26">
        <w:rPr>
          <w:b w:val="0"/>
        </w:rPr>
        <w:t>Sections 136 and 137 of the AML/CTF Act apply to each paragraph in this Chapter.</w:t>
      </w:r>
      <w:r>
        <w:rPr>
          <w:b w:val="0"/>
        </w:rPr>
        <w:t xml:space="preserve"> </w:t>
      </w:r>
      <w:r w:rsidRPr="00DC3425">
        <w:rPr>
          <w:b w:val="0"/>
        </w:rPr>
        <w:t>These Rules come into effect on the date that section 76B of the AML/CTF Act comes into effect.</w:t>
      </w:r>
      <w:r w:rsidRPr="00977F26">
        <w:rPr>
          <w:b w:val="0"/>
        </w:rPr>
        <w:t xml:space="preserve"> </w:t>
      </w:r>
    </w:p>
    <w:p w14:paraId="3A40130C" w14:textId="77777777" w:rsidR="00645F87" w:rsidRDefault="00645F87" w:rsidP="00645F87">
      <w:pPr>
        <w:spacing w:before="240"/>
        <w:rPr>
          <w:b/>
          <w:sz w:val="24"/>
          <w:lang w:eastAsia="en-AU"/>
        </w:rPr>
      </w:pPr>
      <w:r>
        <w:rPr>
          <w:b/>
          <w:sz w:val="24"/>
          <w:lang w:eastAsia="en-AU"/>
        </w:rPr>
        <w:t>Registration on the Digital Currency Exchange Register</w:t>
      </w:r>
    </w:p>
    <w:p w14:paraId="472780E9" w14:textId="77777777" w:rsidR="00645F87" w:rsidRPr="00E72ADA" w:rsidRDefault="00645F87" w:rsidP="009B79F1">
      <w:pPr>
        <w:pStyle w:val="IndentListLevel1"/>
        <w:keepNext/>
        <w:numPr>
          <w:ilvl w:val="0"/>
          <w:numId w:val="0"/>
        </w:numPr>
        <w:rPr>
          <w:i/>
        </w:rPr>
      </w:pPr>
      <w:r w:rsidRPr="00E72ADA">
        <w:rPr>
          <w:i/>
        </w:rPr>
        <w:t>Application</w:t>
      </w:r>
      <w:r>
        <w:rPr>
          <w:i/>
        </w:rPr>
        <w:t>s</w:t>
      </w:r>
      <w:r w:rsidRPr="00E72ADA">
        <w:rPr>
          <w:i/>
        </w:rPr>
        <w:t xml:space="preserve"> for registration</w:t>
      </w:r>
    </w:p>
    <w:p w14:paraId="51894468" w14:textId="0F2E58EE" w:rsidR="00645F87" w:rsidRDefault="00645F87" w:rsidP="00645F87">
      <w:pPr>
        <w:pStyle w:val="Heading2"/>
        <w:numPr>
          <w:ilvl w:val="1"/>
          <w:numId w:val="0"/>
        </w:numPr>
        <w:ind w:left="851" w:hanging="851"/>
        <w:rPr>
          <w:b w:val="0"/>
        </w:rPr>
      </w:pPr>
      <w:bookmarkStart w:id="5" w:name="_Ref498442477"/>
      <w:bookmarkStart w:id="6" w:name="_Ref498607034"/>
      <w:r>
        <w:rPr>
          <w:b w:val="0"/>
        </w:rPr>
        <w:t>76.2</w:t>
      </w:r>
      <w:r>
        <w:rPr>
          <w:b w:val="0"/>
        </w:rPr>
        <w:tab/>
      </w:r>
      <w:r w:rsidRPr="00DC3425">
        <w:rPr>
          <w:b w:val="0"/>
        </w:rPr>
        <w:t>A</w:t>
      </w:r>
      <w:r>
        <w:rPr>
          <w:b w:val="0"/>
        </w:rPr>
        <w:t xml:space="preserve">n application for a person (the applicant) to be registered </w:t>
      </w:r>
      <w:r w:rsidRPr="00DC3425">
        <w:rPr>
          <w:b w:val="0"/>
        </w:rPr>
        <w:t>on the Digital Currency Exchange Register</w:t>
      </w:r>
      <w:r>
        <w:rPr>
          <w:b w:val="0"/>
        </w:rPr>
        <w:t xml:space="preserve"> must: </w:t>
      </w:r>
    </w:p>
    <w:p w14:paraId="1A123ADA" w14:textId="77777777" w:rsidR="00645F87" w:rsidRDefault="00645F87" w:rsidP="00CB2F03">
      <w:pPr>
        <w:pStyle w:val="IndentListLevel1"/>
        <w:ind w:left="1390" w:hanging="539"/>
      </w:pPr>
      <w:r w:rsidRPr="00F4593D">
        <w:t>be made by an individual authorised to act on behalf of the applicant</w:t>
      </w:r>
      <w:r>
        <w:t>;</w:t>
      </w:r>
    </w:p>
    <w:p w14:paraId="48687458" w14:textId="77777777" w:rsidR="00645F87" w:rsidRDefault="00645F87" w:rsidP="00CB2F03">
      <w:pPr>
        <w:pStyle w:val="IndentListLevel1"/>
        <w:ind w:left="1390" w:hanging="539"/>
      </w:pPr>
      <w:r w:rsidRPr="00F4593D">
        <w:t>be made using the approved form</w:t>
      </w:r>
      <w:r>
        <w:t>;</w:t>
      </w:r>
      <w:r w:rsidRPr="00F4593D">
        <w:t xml:space="preserve"> and </w:t>
      </w:r>
    </w:p>
    <w:p w14:paraId="6A4421D1" w14:textId="77777777" w:rsidR="00645F87" w:rsidRPr="00F4593D" w:rsidRDefault="00645F87" w:rsidP="00CB2F03">
      <w:pPr>
        <w:pStyle w:val="IndentListLevel1"/>
        <w:ind w:left="1390" w:hanging="539"/>
      </w:pPr>
      <w:r w:rsidRPr="00F4593D">
        <w:t>contain the relevant registrable details as prescribed by that form</w:t>
      </w:r>
      <w:bookmarkEnd w:id="5"/>
      <w:bookmarkEnd w:id="6"/>
      <w:r w:rsidRPr="00F4593D">
        <w:t>, including:</w:t>
      </w:r>
    </w:p>
    <w:p w14:paraId="52D24490" w14:textId="77777777" w:rsidR="00645F87" w:rsidRDefault="00645F87" w:rsidP="00CB2F03">
      <w:pPr>
        <w:pStyle w:val="IndentListLevel1"/>
        <w:numPr>
          <w:ilvl w:val="1"/>
          <w:numId w:val="3"/>
        </w:numPr>
        <w:ind w:left="1928" w:hanging="539"/>
      </w:pPr>
      <w:r>
        <w:t xml:space="preserve">identification and, where applicable, </w:t>
      </w:r>
      <w:r w:rsidRPr="00DC3425">
        <w:t>registration</w:t>
      </w:r>
      <w:r>
        <w:t xml:space="preserve"> details of </w:t>
      </w:r>
      <w:r w:rsidRPr="00DC3425">
        <w:t xml:space="preserve">the </w:t>
      </w:r>
      <w:r>
        <w:t>applicant and each of the applicant’s key personnel;</w:t>
      </w:r>
    </w:p>
    <w:p w14:paraId="679D28E5" w14:textId="77777777" w:rsidR="00645F87" w:rsidRDefault="00645F87" w:rsidP="00CB2F03">
      <w:pPr>
        <w:pStyle w:val="IndentListLevel1"/>
        <w:numPr>
          <w:ilvl w:val="1"/>
          <w:numId w:val="3"/>
        </w:numPr>
        <w:ind w:left="1928" w:hanging="539"/>
      </w:pPr>
      <w:r w:rsidRPr="00DC3425">
        <w:t xml:space="preserve">details regarding </w:t>
      </w:r>
      <w:r>
        <w:t xml:space="preserve">the nature, legal form, status, and structure </w:t>
      </w:r>
      <w:r w:rsidRPr="00DC3425">
        <w:t xml:space="preserve">of the </w:t>
      </w:r>
      <w:r>
        <w:t xml:space="preserve">applicant’s </w:t>
      </w:r>
      <w:r w:rsidRPr="00DC3425">
        <w:t>business</w:t>
      </w:r>
      <w:r>
        <w:t xml:space="preserve"> (including in relation to </w:t>
      </w:r>
      <w:r w:rsidRPr="00213004">
        <w:t>beneficial ownership and control);</w:t>
      </w:r>
      <w:r>
        <w:t xml:space="preserve"> and</w:t>
      </w:r>
    </w:p>
    <w:p w14:paraId="1336B834" w14:textId="77777777" w:rsidR="00645F87" w:rsidRDefault="00645F87" w:rsidP="00CB2F03">
      <w:pPr>
        <w:pStyle w:val="IndentListLevel1"/>
        <w:numPr>
          <w:ilvl w:val="1"/>
          <w:numId w:val="3"/>
        </w:numPr>
        <w:ind w:left="1928" w:hanging="539"/>
      </w:pPr>
      <w:r>
        <w:t xml:space="preserve">whether the applicant or any of its key personnel have been: </w:t>
      </w:r>
    </w:p>
    <w:p w14:paraId="354562A8" w14:textId="77777777" w:rsidR="00645F87" w:rsidRDefault="00645F87" w:rsidP="00CB2F03">
      <w:pPr>
        <w:pStyle w:val="IndentListLevel1"/>
        <w:numPr>
          <w:ilvl w:val="2"/>
          <w:numId w:val="3"/>
        </w:numPr>
        <w:ind w:left="2517" w:hanging="181"/>
        <w:rPr>
          <w:lang w:eastAsia="en-US"/>
        </w:rPr>
      </w:pPr>
      <w:r>
        <w:rPr>
          <w:lang w:eastAsia="en-US"/>
        </w:rPr>
        <w:t xml:space="preserve">charged, prosecuted, or convicted in relation to money laundering, terrorism financing, terrorism, people </w:t>
      </w:r>
      <w:r>
        <w:rPr>
          <w:lang w:eastAsia="en-US"/>
        </w:rPr>
        <w:lastRenderedPageBreak/>
        <w:t>smuggling, fraud, a serious offence, or an offence under the AML/CTF Act or FTR Act; or</w:t>
      </w:r>
    </w:p>
    <w:p w14:paraId="41E6909C" w14:textId="77777777" w:rsidR="00645F87" w:rsidRDefault="00645F87" w:rsidP="00CB2F03">
      <w:pPr>
        <w:pStyle w:val="IndentListLevel1"/>
        <w:numPr>
          <w:ilvl w:val="2"/>
          <w:numId w:val="3"/>
        </w:numPr>
        <w:ind w:left="2517" w:hanging="181"/>
        <w:rPr>
          <w:lang w:eastAsia="en-US"/>
        </w:rPr>
      </w:pPr>
      <w:r>
        <w:rPr>
          <w:lang w:eastAsia="en-US"/>
        </w:rPr>
        <w:t xml:space="preserve">the subject </w:t>
      </w:r>
      <w:r w:rsidRPr="003C4D3A">
        <w:rPr>
          <w:lang w:eastAsia="en-US"/>
        </w:rPr>
        <w:t>of</w:t>
      </w:r>
      <w:r>
        <w:rPr>
          <w:lang w:eastAsia="en-US"/>
        </w:rPr>
        <w:t xml:space="preserve"> any adversely determined </w:t>
      </w:r>
      <w:r w:rsidRPr="003C4D3A">
        <w:rPr>
          <w:lang w:eastAsia="en-US"/>
        </w:rPr>
        <w:t>civil or criminal pr</w:t>
      </w:r>
      <w:r>
        <w:rPr>
          <w:lang w:eastAsia="en-US"/>
        </w:rPr>
        <w:t xml:space="preserve">oceedings or enforcement action </w:t>
      </w:r>
      <w:r w:rsidRPr="003C4D3A">
        <w:rPr>
          <w:lang w:eastAsia="en-US"/>
        </w:rPr>
        <w:t xml:space="preserve">in relation to the management of an entity, or </w:t>
      </w:r>
      <w:r>
        <w:rPr>
          <w:lang w:eastAsia="en-US"/>
        </w:rPr>
        <w:t xml:space="preserve">their </w:t>
      </w:r>
      <w:r w:rsidRPr="003C4D3A">
        <w:rPr>
          <w:lang w:eastAsia="en-US"/>
        </w:rPr>
        <w:t>commercial or professional activities</w:t>
      </w:r>
      <w:r>
        <w:rPr>
          <w:lang w:eastAsia="en-US"/>
        </w:rPr>
        <w:t>.</w:t>
      </w:r>
    </w:p>
    <w:p w14:paraId="454698BF" w14:textId="77777777" w:rsidR="00645F87" w:rsidRPr="00E72ADA" w:rsidRDefault="00645F87" w:rsidP="00645F87">
      <w:pPr>
        <w:pStyle w:val="IndentListLevel1"/>
        <w:keepNext/>
        <w:numPr>
          <w:ilvl w:val="0"/>
          <w:numId w:val="0"/>
        </w:numPr>
        <w:rPr>
          <w:i/>
        </w:rPr>
      </w:pPr>
      <w:r w:rsidRPr="00E72ADA">
        <w:rPr>
          <w:i/>
        </w:rPr>
        <w:t xml:space="preserve">Determining applications for registration </w:t>
      </w:r>
    </w:p>
    <w:p w14:paraId="405EBCB1" w14:textId="47631D46" w:rsidR="00645F87" w:rsidRPr="008A37DC" w:rsidRDefault="00645F87" w:rsidP="00645F87">
      <w:pPr>
        <w:pStyle w:val="Heading2"/>
        <w:numPr>
          <w:ilvl w:val="1"/>
          <w:numId w:val="0"/>
        </w:numPr>
        <w:ind w:left="851" w:hanging="851"/>
        <w:rPr>
          <w:b w:val="0"/>
        </w:rPr>
      </w:pPr>
      <w:bookmarkStart w:id="7" w:name="_Ref498340790"/>
      <w:r>
        <w:rPr>
          <w:b w:val="0"/>
        </w:rPr>
        <w:t>76.3</w:t>
      </w:r>
      <w:r>
        <w:rPr>
          <w:b w:val="0"/>
        </w:rPr>
        <w:tab/>
        <w:t>In determining whether it is appropriate to register a person</w:t>
      </w:r>
      <w:r w:rsidRPr="008A37DC">
        <w:rPr>
          <w:b w:val="0"/>
        </w:rPr>
        <w:t xml:space="preserve"> the AUSTRAC CEO must have regard to:</w:t>
      </w:r>
      <w:bookmarkEnd w:id="7"/>
    </w:p>
    <w:p w14:paraId="0D799BF5" w14:textId="37DF38B3" w:rsidR="00645F87" w:rsidRDefault="00645F87" w:rsidP="00CB2F03">
      <w:pPr>
        <w:pStyle w:val="IndentListLevel1"/>
        <w:numPr>
          <w:ilvl w:val="0"/>
          <w:numId w:val="8"/>
        </w:numPr>
        <w:ind w:left="1390" w:hanging="539"/>
        <w:rPr>
          <w:lang w:eastAsia="en-US"/>
        </w:rPr>
      </w:pPr>
      <w:r>
        <w:t>whether the applicant has complied with the application requirements</w:t>
      </w:r>
      <w:r>
        <w:rPr>
          <w:lang w:eastAsia="en-US"/>
        </w:rPr>
        <w:t xml:space="preserve"> under </w:t>
      </w:r>
      <w:r>
        <w:t>paragraph</w:t>
      </w:r>
      <w:r w:rsidR="00F508A1">
        <w:t xml:space="preserve"> 76.2</w:t>
      </w:r>
      <w:r>
        <w:t>; and</w:t>
      </w:r>
    </w:p>
    <w:p w14:paraId="0D60CEB0" w14:textId="77777777" w:rsidR="00645F87" w:rsidRDefault="00645F87" w:rsidP="00CB2F03">
      <w:pPr>
        <w:pStyle w:val="IndentListLevel1"/>
        <w:ind w:left="1390" w:hanging="539"/>
        <w:rPr>
          <w:lang w:eastAsia="en-US"/>
        </w:rPr>
      </w:pPr>
      <w:r>
        <w:t xml:space="preserve">the </w:t>
      </w:r>
      <w:r w:rsidRPr="00DC3425">
        <w:t xml:space="preserve">information </w:t>
      </w:r>
      <w:r>
        <w:t>contained in the application, including whether there are reasonable grounds to suspect that any information or document provided by the applicant is false or misleading (whether by inclusion or omission) in a material particular.</w:t>
      </w:r>
    </w:p>
    <w:p w14:paraId="55E5F0C1" w14:textId="77777777" w:rsidR="00645F87" w:rsidRDefault="00645F87" w:rsidP="00645F87">
      <w:pPr>
        <w:keepNext/>
        <w:spacing w:before="240"/>
        <w:rPr>
          <w:b/>
          <w:sz w:val="24"/>
          <w:lang w:eastAsia="en-AU"/>
        </w:rPr>
      </w:pPr>
      <w:r w:rsidRPr="00DC3425">
        <w:rPr>
          <w:b/>
          <w:sz w:val="24"/>
          <w:lang w:eastAsia="en-AU"/>
        </w:rPr>
        <w:t>Renewal of registration</w:t>
      </w:r>
    </w:p>
    <w:p w14:paraId="71520C81" w14:textId="77777777" w:rsidR="00645F87" w:rsidRPr="003F5253" w:rsidRDefault="00645F87" w:rsidP="00C47619">
      <w:pPr>
        <w:pStyle w:val="IndentListLevel1"/>
        <w:keepNext/>
        <w:numPr>
          <w:ilvl w:val="0"/>
          <w:numId w:val="0"/>
        </w:numPr>
        <w:rPr>
          <w:i/>
        </w:rPr>
      </w:pPr>
      <w:r>
        <w:rPr>
          <w:i/>
        </w:rPr>
        <w:t>Applying for renewal of registration</w:t>
      </w:r>
    </w:p>
    <w:p w14:paraId="73B69C62" w14:textId="7CC7269B" w:rsidR="00645F87" w:rsidRPr="00F04AFA" w:rsidRDefault="00645F87" w:rsidP="00645F87">
      <w:pPr>
        <w:pStyle w:val="Heading2"/>
        <w:numPr>
          <w:ilvl w:val="1"/>
          <w:numId w:val="0"/>
        </w:numPr>
        <w:ind w:left="851" w:hanging="851"/>
        <w:rPr>
          <w:b w:val="0"/>
          <w:bCs/>
        </w:rPr>
      </w:pPr>
      <w:bookmarkStart w:id="8" w:name="_Ref498337005"/>
      <w:r>
        <w:rPr>
          <w:b w:val="0"/>
        </w:rPr>
        <w:t>76.4</w:t>
      </w:r>
      <w:r>
        <w:rPr>
          <w:b w:val="0"/>
        </w:rPr>
        <w:tab/>
        <w:t xml:space="preserve">An application for renewal of registration must be made within the 90-day period ending on the day on which </w:t>
      </w:r>
      <w:r w:rsidRPr="00F04AFA">
        <w:rPr>
          <w:b w:val="0"/>
          <w:bCs/>
        </w:rPr>
        <w:t>their registration would otherwise cease under section 76H(1)(c) of the AML/CTF Act (being 3 years after the day on which registration took effect).</w:t>
      </w:r>
      <w:bookmarkEnd w:id="8"/>
    </w:p>
    <w:p w14:paraId="3F9A4E9E" w14:textId="6F654C19" w:rsidR="00645F87" w:rsidRDefault="00645F87" w:rsidP="00645F87">
      <w:pPr>
        <w:pStyle w:val="Heading2"/>
        <w:numPr>
          <w:ilvl w:val="1"/>
          <w:numId w:val="0"/>
        </w:numPr>
        <w:ind w:left="851" w:hanging="851"/>
        <w:rPr>
          <w:b w:val="0"/>
        </w:rPr>
      </w:pPr>
      <w:bookmarkStart w:id="9" w:name="_Ref498338950"/>
      <w:bookmarkStart w:id="10" w:name="_Ref498525272"/>
      <w:bookmarkStart w:id="11" w:name="_Ref503168180"/>
      <w:r>
        <w:rPr>
          <w:b w:val="0"/>
          <w:bCs/>
        </w:rPr>
        <w:t>76.5</w:t>
      </w:r>
      <w:r>
        <w:rPr>
          <w:b w:val="0"/>
          <w:bCs/>
        </w:rPr>
        <w:tab/>
        <w:t>An application for renewal must be made using the approved form</w:t>
      </w:r>
      <w:r w:rsidRPr="005463D4">
        <w:rPr>
          <w:b w:val="0"/>
        </w:rPr>
        <w:t xml:space="preserve"> and</w:t>
      </w:r>
      <w:r>
        <w:rPr>
          <w:b w:val="0"/>
        </w:rPr>
        <w:t xml:space="preserve"> must</w:t>
      </w:r>
      <w:r w:rsidRPr="005463D4">
        <w:rPr>
          <w:b w:val="0"/>
        </w:rPr>
        <w:t xml:space="preserve"> </w:t>
      </w:r>
      <w:r>
        <w:rPr>
          <w:b w:val="0"/>
        </w:rPr>
        <w:t xml:space="preserve">contain all relevant </w:t>
      </w:r>
      <w:r w:rsidRPr="002B3B70">
        <w:rPr>
          <w:b w:val="0"/>
        </w:rPr>
        <w:t xml:space="preserve">information prescribed by </w:t>
      </w:r>
      <w:r>
        <w:rPr>
          <w:b w:val="0"/>
        </w:rPr>
        <w:t>that</w:t>
      </w:r>
      <w:r w:rsidRPr="002B3B70">
        <w:rPr>
          <w:b w:val="0"/>
        </w:rPr>
        <w:t xml:space="preserve"> form</w:t>
      </w:r>
      <w:bookmarkEnd w:id="9"/>
      <w:r>
        <w:rPr>
          <w:b w:val="0"/>
        </w:rPr>
        <w:t>, including a declaration that</w:t>
      </w:r>
      <w:r w:rsidRPr="00237E0A">
        <w:rPr>
          <w:b w:val="0"/>
        </w:rPr>
        <w:t>:</w:t>
      </w:r>
      <w:bookmarkEnd w:id="10"/>
      <w:bookmarkEnd w:id="11"/>
    </w:p>
    <w:p w14:paraId="1DC6D659" w14:textId="77777777" w:rsidR="00645F87" w:rsidRPr="002521F4" w:rsidRDefault="00645F87" w:rsidP="00CB2F03">
      <w:pPr>
        <w:pStyle w:val="IndentListLevel1"/>
        <w:numPr>
          <w:ilvl w:val="0"/>
          <w:numId w:val="6"/>
        </w:numPr>
        <w:ind w:left="1390" w:hanging="539"/>
      </w:pPr>
      <w:r>
        <w:rPr>
          <w:bCs/>
        </w:rPr>
        <w:t>the person has complied with the requirements of section 76P of the AML/CTF Act, where applicable; and</w:t>
      </w:r>
    </w:p>
    <w:p w14:paraId="7019CABA" w14:textId="77777777" w:rsidR="00645F87" w:rsidRDefault="00645F87" w:rsidP="00CB2F03">
      <w:pPr>
        <w:pStyle w:val="IndentListLevel1"/>
        <w:numPr>
          <w:ilvl w:val="0"/>
          <w:numId w:val="6"/>
        </w:numPr>
        <w:ind w:left="1390" w:hanging="539"/>
      </w:pPr>
      <w:r>
        <w:t xml:space="preserve">the person’s enrolment and registration details as they appear on both the Reporting Entities Roll and the </w:t>
      </w:r>
      <w:r w:rsidRPr="00FA2FCE">
        <w:rPr>
          <w:bCs/>
        </w:rPr>
        <w:t>Digital Currency Exchange Register</w:t>
      </w:r>
      <w:r w:rsidRPr="001270B6">
        <w:t xml:space="preserve"> </w:t>
      </w:r>
      <w:r>
        <w:t>are current and correct.</w:t>
      </w:r>
    </w:p>
    <w:p w14:paraId="28833CD4" w14:textId="77777777" w:rsidR="00645F87" w:rsidRPr="00FC02CD" w:rsidRDefault="00645F87" w:rsidP="00645F87">
      <w:pPr>
        <w:pStyle w:val="IndentListLevel1"/>
        <w:keepNext/>
        <w:numPr>
          <w:ilvl w:val="0"/>
          <w:numId w:val="0"/>
        </w:numPr>
        <w:rPr>
          <w:i/>
        </w:rPr>
      </w:pPr>
      <w:r>
        <w:rPr>
          <w:i/>
        </w:rPr>
        <w:t xml:space="preserve">Provisional continuation of registration </w:t>
      </w:r>
    </w:p>
    <w:p w14:paraId="4DC16336" w14:textId="5B42F68B" w:rsidR="00645F87" w:rsidRDefault="00645F87" w:rsidP="00645F87">
      <w:pPr>
        <w:pStyle w:val="Heading2"/>
        <w:numPr>
          <w:ilvl w:val="1"/>
          <w:numId w:val="0"/>
        </w:numPr>
        <w:ind w:left="851" w:hanging="851"/>
        <w:rPr>
          <w:b w:val="0"/>
          <w:bCs/>
        </w:rPr>
      </w:pPr>
      <w:r>
        <w:rPr>
          <w:b w:val="0"/>
          <w:bCs/>
        </w:rPr>
        <w:t>76.6</w:t>
      </w:r>
      <w:r>
        <w:rPr>
          <w:b w:val="0"/>
          <w:bCs/>
        </w:rPr>
        <w:tab/>
        <w:t xml:space="preserve">Provided that an application for renewal of registration has complied with the requirements in paragraphs </w:t>
      </w:r>
      <w:r w:rsidR="00E94830">
        <w:rPr>
          <w:b w:val="0"/>
          <w:bCs/>
        </w:rPr>
        <w:t xml:space="preserve">76.4 </w:t>
      </w:r>
      <w:r w:rsidRPr="00B76D8B">
        <w:rPr>
          <w:b w:val="0"/>
          <w:bCs/>
        </w:rPr>
        <w:t>and</w:t>
      </w:r>
      <w:r w:rsidR="00E94830">
        <w:rPr>
          <w:b w:val="0"/>
          <w:bCs/>
        </w:rPr>
        <w:t xml:space="preserve"> 76.5</w:t>
      </w:r>
      <w:r>
        <w:rPr>
          <w:b w:val="0"/>
          <w:bCs/>
        </w:rPr>
        <w:t xml:space="preserve">, the person’s registration will continue until the </w:t>
      </w:r>
      <w:r w:rsidRPr="00B76D8B">
        <w:rPr>
          <w:b w:val="0"/>
          <w:bCs/>
        </w:rPr>
        <w:t xml:space="preserve">date </w:t>
      </w:r>
      <w:r>
        <w:rPr>
          <w:b w:val="0"/>
          <w:bCs/>
        </w:rPr>
        <w:t xml:space="preserve">on which the decision of the AUSTRAC CEO takes effect, as </w:t>
      </w:r>
      <w:r w:rsidRPr="00B76D8B">
        <w:rPr>
          <w:b w:val="0"/>
          <w:bCs/>
        </w:rPr>
        <w:t>specified in the notice provided under paragraph</w:t>
      </w:r>
      <w:r w:rsidR="00B345E1">
        <w:rPr>
          <w:b w:val="0"/>
          <w:bCs/>
        </w:rPr>
        <w:t xml:space="preserve"> 76.9</w:t>
      </w:r>
      <w:r w:rsidRPr="00B76D8B">
        <w:rPr>
          <w:b w:val="0"/>
          <w:bCs/>
        </w:rPr>
        <w:t>.</w:t>
      </w:r>
    </w:p>
    <w:p w14:paraId="0F07F26D" w14:textId="77777777" w:rsidR="00645F87" w:rsidRPr="00FC02CD" w:rsidRDefault="00645F87" w:rsidP="00645F87">
      <w:pPr>
        <w:pStyle w:val="IndentListLevel1"/>
        <w:numPr>
          <w:ilvl w:val="0"/>
          <w:numId w:val="0"/>
        </w:numPr>
        <w:rPr>
          <w:i/>
        </w:rPr>
      </w:pPr>
      <w:r>
        <w:rPr>
          <w:i/>
        </w:rPr>
        <w:t xml:space="preserve">Deciding applications for renewal </w:t>
      </w:r>
    </w:p>
    <w:p w14:paraId="3EEBF0FA" w14:textId="753680A5" w:rsidR="00645F87" w:rsidRDefault="00645F87" w:rsidP="00645F87">
      <w:pPr>
        <w:pStyle w:val="Heading2"/>
        <w:numPr>
          <w:ilvl w:val="1"/>
          <w:numId w:val="0"/>
        </w:numPr>
        <w:ind w:left="851" w:hanging="851"/>
        <w:rPr>
          <w:b w:val="0"/>
        </w:rPr>
      </w:pPr>
      <w:bookmarkStart w:id="12" w:name="_Ref498340226"/>
      <w:r>
        <w:rPr>
          <w:b w:val="0"/>
        </w:rPr>
        <w:lastRenderedPageBreak/>
        <w:t>76.7</w:t>
      </w:r>
      <w:r>
        <w:rPr>
          <w:b w:val="0"/>
        </w:rPr>
        <w:tab/>
        <w:t>I</w:t>
      </w:r>
      <w:r w:rsidRPr="008E71E5">
        <w:rPr>
          <w:b w:val="0"/>
        </w:rPr>
        <w:t>f an application for renewal of registration</w:t>
      </w:r>
      <w:r>
        <w:rPr>
          <w:b w:val="0"/>
        </w:rPr>
        <w:t xml:space="preserve"> has been made</w:t>
      </w:r>
      <w:r w:rsidRPr="008E71E5">
        <w:rPr>
          <w:b w:val="0"/>
        </w:rPr>
        <w:t xml:space="preserve">, the AUSTRAC CEO must renew the registration </w:t>
      </w:r>
      <w:r>
        <w:rPr>
          <w:b w:val="0"/>
        </w:rPr>
        <w:t xml:space="preserve">for a period of three years </w:t>
      </w:r>
      <w:r w:rsidRPr="008E71E5">
        <w:rPr>
          <w:b w:val="0"/>
        </w:rPr>
        <w:t>if satisfied that it is appropriate to do so</w:t>
      </w:r>
      <w:r>
        <w:rPr>
          <w:b w:val="0"/>
        </w:rPr>
        <w:t>.</w:t>
      </w:r>
    </w:p>
    <w:p w14:paraId="7C887531" w14:textId="42DFF8CD" w:rsidR="00645F87" w:rsidRPr="008A37DC" w:rsidRDefault="00645F87" w:rsidP="00645F87">
      <w:pPr>
        <w:pStyle w:val="Heading2"/>
        <w:numPr>
          <w:ilvl w:val="1"/>
          <w:numId w:val="0"/>
        </w:numPr>
        <w:ind w:left="851" w:hanging="851"/>
        <w:rPr>
          <w:b w:val="0"/>
        </w:rPr>
      </w:pPr>
      <w:r>
        <w:rPr>
          <w:b w:val="0"/>
        </w:rPr>
        <w:t>76.8</w:t>
      </w:r>
      <w:r>
        <w:rPr>
          <w:b w:val="0"/>
        </w:rPr>
        <w:tab/>
        <w:t>In deciding whether it is appropriate to renew a person’s registration,</w:t>
      </w:r>
      <w:r w:rsidRPr="008A37DC">
        <w:rPr>
          <w:b w:val="0"/>
        </w:rPr>
        <w:t xml:space="preserve"> the AUSTRAC CEO must have regard to:</w:t>
      </w:r>
    </w:p>
    <w:p w14:paraId="1A04D8DB" w14:textId="4B6E3321" w:rsidR="00645F87" w:rsidRDefault="00645F87" w:rsidP="00B92CA1">
      <w:pPr>
        <w:pStyle w:val="IndentListLevel1"/>
        <w:numPr>
          <w:ilvl w:val="0"/>
          <w:numId w:val="7"/>
        </w:numPr>
        <w:ind w:left="1390" w:hanging="539"/>
        <w:rPr>
          <w:lang w:eastAsia="en-US"/>
        </w:rPr>
      </w:pPr>
      <w:r>
        <w:rPr>
          <w:lang w:eastAsia="en-US"/>
        </w:rPr>
        <w:t xml:space="preserve">whether the applicant has complied with the requirements under </w:t>
      </w:r>
      <w:r>
        <w:t>paragraph</w:t>
      </w:r>
      <w:r w:rsidR="009949C9">
        <w:t xml:space="preserve"> </w:t>
      </w:r>
      <w:r w:rsidR="00975100">
        <w:t>76.5</w:t>
      </w:r>
      <w:r>
        <w:t>;</w:t>
      </w:r>
    </w:p>
    <w:p w14:paraId="47000D5E" w14:textId="77777777" w:rsidR="00645F87" w:rsidRDefault="00645F87" w:rsidP="00B92CA1">
      <w:pPr>
        <w:pStyle w:val="IndentListLevel1"/>
        <w:ind w:left="1390" w:hanging="539"/>
        <w:rPr>
          <w:lang w:eastAsia="en-US"/>
        </w:rPr>
      </w:pPr>
      <w:r>
        <w:t xml:space="preserve">the </w:t>
      </w:r>
      <w:r w:rsidRPr="00DC3425">
        <w:t xml:space="preserve">information </w:t>
      </w:r>
      <w:r>
        <w:t>contained in the application, including whether there are reasonable grounds to suspect that any information or document provided by the applicant is false or misleading (whether by inclusion or omission) in a material particular; and</w:t>
      </w:r>
    </w:p>
    <w:p w14:paraId="680DB7BF" w14:textId="77777777" w:rsidR="00645F87" w:rsidRDefault="00645F87" w:rsidP="00B92CA1">
      <w:pPr>
        <w:pStyle w:val="IndentListLevel1"/>
        <w:ind w:left="1390" w:hanging="539"/>
        <w:rPr>
          <w:lang w:eastAsia="en-US"/>
        </w:rPr>
      </w:pPr>
      <w:r w:rsidRPr="00FE64E5">
        <w:t xml:space="preserve">whether the </w:t>
      </w:r>
      <w:r>
        <w:t xml:space="preserve">renewal of </w:t>
      </w:r>
      <w:r w:rsidRPr="00FE64E5">
        <w:t xml:space="preserve">registration </w:t>
      </w:r>
      <w:r>
        <w:t>may involve</w:t>
      </w:r>
      <w:r w:rsidRPr="00FE64E5">
        <w:t xml:space="preserve"> significant money laundering, financing of terrorism</w:t>
      </w:r>
      <w:r>
        <w:t>, or other serious crime risk.</w:t>
      </w:r>
    </w:p>
    <w:p w14:paraId="714F0A1A" w14:textId="229BC357" w:rsidR="00645F87" w:rsidRDefault="00645F87" w:rsidP="00645F87">
      <w:pPr>
        <w:pStyle w:val="Heading2"/>
        <w:numPr>
          <w:ilvl w:val="1"/>
          <w:numId w:val="0"/>
        </w:numPr>
        <w:ind w:left="851" w:hanging="851"/>
        <w:rPr>
          <w:b w:val="0"/>
        </w:rPr>
      </w:pPr>
      <w:bookmarkStart w:id="13" w:name="_Ref503172361"/>
      <w:bookmarkStart w:id="14" w:name="_Ref499813015"/>
      <w:bookmarkEnd w:id="12"/>
      <w:r>
        <w:rPr>
          <w:b w:val="0"/>
        </w:rPr>
        <w:t>76.9</w:t>
      </w:r>
      <w:r>
        <w:rPr>
          <w:b w:val="0"/>
        </w:rPr>
        <w:tab/>
      </w:r>
      <w:r w:rsidRPr="00001C55">
        <w:rPr>
          <w:b w:val="0"/>
        </w:rPr>
        <w:t xml:space="preserve">As soon as practicable after making a decision regarding a renewal application, the AUSTRAC CEO must provide the applicant with written notice </w:t>
      </w:r>
      <w:r>
        <w:rPr>
          <w:b w:val="0"/>
        </w:rPr>
        <w:t>of:</w:t>
      </w:r>
      <w:bookmarkEnd w:id="13"/>
    </w:p>
    <w:bookmarkEnd w:id="14"/>
    <w:p w14:paraId="004380FC" w14:textId="77777777" w:rsidR="00645F87" w:rsidRDefault="00645F87" w:rsidP="00340DF8">
      <w:pPr>
        <w:pStyle w:val="IndentListLevel1"/>
        <w:numPr>
          <w:ilvl w:val="0"/>
          <w:numId w:val="10"/>
        </w:numPr>
        <w:ind w:left="1390" w:hanging="539"/>
        <w:rPr>
          <w:lang w:eastAsia="en-US"/>
        </w:rPr>
      </w:pPr>
      <w:r>
        <w:rPr>
          <w:lang w:eastAsia="en-US"/>
        </w:rPr>
        <w:t>the terms of the decision (including any conditions that the renewed registration is subject to); and</w:t>
      </w:r>
    </w:p>
    <w:p w14:paraId="38B7E8A3" w14:textId="77777777" w:rsidR="00645F87" w:rsidRDefault="00645F87" w:rsidP="00340DF8">
      <w:pPr>
        <w:pStyle w:val="IndentListLevel1"/>
        <w:numPr>
          <w:ilvl w:val="0"/>
          <w:numId w:val="10"/>
        </w:numPr>
        <w:ind w:left="1390" w:hanging="539"/>
        <w:rPr>
          <w:lang w:eastAsia="en-US"/>
        </w:rPr>
      </w:pPr>
      <w:r>
        <w:rPr>
          <w:lang w:eastAsia="en-US"/>
        </w:rPr>
        <w:t xml:space="preserve">if the decision is not to renew registration: </w:t>
      </w:r>
    </w:p>
    <w:p w14:paraId="02648BB0" w14:textId="77777777" w:rsidR="00645F87" w:rsidRDefault="00645F87" w:rsidP="008E697F">
      <w:pPr>
        <w:pStyle w:val="IndentListLevel1"/>
        <w:numPr>
          <w:ilvl w:val="1"/>
          <w:numId w:val="3"/>
        </w:numPr>
        <w:ind w:left="1928" w:hanging="539"/>
      </w:pPr>
      <w:r>
        <w:t xml:space="preserve">the date the decision takes effect; </w:t>
      </w:r>
    </w:p>
    <w:p w14:paraId="664F91F6" w14:textId="77777777" w:rsidR="00645F87" w:rsidRDefault="00645F87" w:rsidP="008E697F">
      <w:pPr>
        <w:pStyle w:val="IndentListLevel1"/>
        <w:numPr>
          <w:ilvl w:val="1"/>
          <w:numId w:val="3"/>
        </w:numPr>
        <w:ind w:left="1928" w:hanging="539"/>
      </w:pPr>
      <w:r>
        <w:t>the reasons for the decision; and</w:t>
      </w:r>
    </w:p>
    <w:p w14:paraId="159F7EF6" w14:textId="77777777" w:rsidR="00645F87" w:rsidRDefault="00645F87" w:rsidP="008E697F">
      <w:pPr>
        <w:pStyle w:val="IndentListLevel1"/>
        <w:numPr>
          <w:ilvl w:val="1"/>
          <w:numId w:val="3"/>
        </w:numPr>
        <w:ind w:left="1928" w:hanging="539"/>
      </w:pPr>
      <w:r>
        <w:t>the particulars of the person’s right to have the decision reviewed.</w:t>
      </w:r>
    </w:p>
    <w:p w14:paraId="22D65FC3" w14:textId="77777777" w:rsidR="00645F87" w:rsidRPr="00645F87" w:rsidRDefault="00645F87" w:rsidP="00645F87">
      <w:pPr>
        <w:keepNext/>
        <w:spacing w:before="240"/>
        <w:ind w:left="1287" w:hanging="1287"/>
        <w:rPr>
          <w:rFonts w:ascii="Times New Roman" w:hAnsi="Times New Roman"/>
          <w:i/>
          <w:sz w:val="24"/>
        </w:rPr>
      </w:pPr>
      <w:r w:rsidRPr="00645F87">
        <w:rPr>
          <w:rFonts w:ascii="Times New Roman" w:hAnsi="Times New Roman"/>
          <w:i/>
          <w:sz w:val="24"/>
          <w:lang w:eastAsia="en-AU"/>
        </w:rPr>
        <w:t>Note:</w:t>
      </w:r>
      <w:r w:rsidRPr="00645F87">
        <w:rPr>
          <w:rFonts w:ascii="Times New Roman" w:hAnsi="Times New Roman"/>
          <w:i/>
          <w:sz w:val="24"/>
          <w:lang w:eastAsia="en-AU"/>
        </w:rPr>
        <w:tab/>
        <w:t xml:space="preserve">A decision not to renew registration is declared to be a reviewable decision for the purposes of section 233B </w:t>
      </w:r>
      <w:r w:rsidRPr="00645F87">
        <w:rPr>
          <w:rFonts w:ascii="Times New Roman" w:hAnsi="Times New Roman"/>
          <w:i/>
          <w:sz w:val="24"/>
        </w:rPr>
        <w:t>of the AML/CTF Act.</w:t>
      </w:r>
    </w:p>
    <w:p w14:paraId="15247EC1" w14:textId="740FECC6" w:rsidR="00645F87" w:rsidRDefault="00645F87" w:rsidP="00645F87">
      <w:pPr>
        <w:pStyle w:val="Heading2"/>
        <w:numPr>
          <w:ilvl w:val="1"/>
          <w:numId w:val="0"/>
        </w:numPr>
        <w:ind w:left="851" w:hanging="851"/>
        <w:rPr>
          <w:b w:val="0"/>
          <w:lang w:eastAsia="en-US"/>
        </w:rPr>
      </w:pPr>
      <w:r>
        <w:rPr>
          <w:b w:val="0"/>
          <w:lang w:eastAsia="en-US"/>
        </w:rPr>
        <w:t>76.10</w:t>
      </w:r>
      <w:r>
        <w:rPr>
          <w:b w:val="0"/>
          <w:lang w:eastAsia="en-US"/>
        </w:rPr>
        <w:tab/>
      </w:r>
      <w:r w:rsidRPr="00017A9A">
        <w:rPr>
          <w:b w:val="0"/>
          <w:lang w:eastAsia="en-US"/>
        </w:rPr>
        <w:t xml:space="preserve">A failure to comply with the requirements of paragraph </w:t>
      </w:r>
      <w:r>
        <w:rPr>
          <w:b w:val="0"/>
          <w:lang w:eastAsia="en-US"/>
        </w:rPr>
        <w:fldChar w:fldCharType="begin"/>
      </w:r>
      <w:r>
        <w:rPr>
          <w:b w:val="0"/>
          <w:lang w:eastAsia="en-US"/>
        </w:rPr>
        <w:instrText xml:space="preserve"> REF _Ref503172361 \r \h </w:instrText>
      </w:r>
      <w:r>
        <w:rPr>
          <w:b w:val="0"/>
          <w:lang w:eastAsia="en-US"/>
        </w:rPr>
      </w:r>
      <w:r>
        <w:rPr>
          <w:b w:val="0"/>
          <w:lang w:eastAsia="en-US"/>
        </w:rPr>
        <w:fldChar w:fldCharType="separate"/>
      </w:r>
      <w:r>
        <w:rPr>
          <w:b w:val="0"/>
          <w:lang w:eastAsia="en-US"/>
        </w:rPr>
        <w:t>76.9</w:t>
      </w:r>
      <w:r>
        <w:rPr>
          <w:b w:val="0"/>
          <w:lang w:eastAsia="en-US"/>
        </w:rPr>
        <w:fldChar w:fldCharType="end"/>
      </w:r>
      <w:r>
        <w:rPr>
          <w:b w:val="0"/>
          <w:lang w:eastAsia="en-US"/>
        </w:rPr>
        <w:t xml:space="preserve"> </w:t>
      </w:r>
      <w:r w:rsidRPr="00017A9A">
        <w:rPr>
          <w:b w:val="0"/>
          <w:lang w:eastAsia="en-US"/>
        </w:rPr>
        <w:t>does not affect the validity of the decision.</w:t>
      </w:r>
    </w:p>
    <w:p w14:paraId="341F6D75" w14:textId="77777777" w:rsidR="00645F87" w:rsidRPr="00DC3425" w:rsidRDefault="00645F87" w:rsidP="00645F87">
      <w:pPr>
        <w:keepNext/>
        <w:spacing w:before="240"/>
        <w:rPr>
          <w:b/>
          <w:sz w:val="24"/>
          <w:lang w:eastAsia="en-AU"/>
        </w:rPr>
      </w:pPr>
      <w:r w:rsidRPr="00DC3425">
        <w:rPr>
          <w:b/>
          <w:sz w:val="24"/>
          <w:lang w:eastAsia="en-AU"/>
        </w:rPr>
        <w:t>Suspension of registration</w:t>
      </w:r>
    </w:p>
    <w:p w14:paraId="34B6F5F3" w14:textId="6FC552DD" w:rsidR="00645F87" w:rsidRDefault="00053AA3" w:rsidP="00645F87">
      <w:pPr>
        <w:pStyle w:val="Heading2"/>
        <w:numPr>
          <w:ilvl w:val="1"/>
          <w:numId w:val="0"/>
        </w:numPr>
        <w:ind w:left="851" w:hanging="851"/>
        <w:rPr>
          <w:b w:val="0"/>
        </w:rPr>
      </w:pPr>
      <w:r>
        <w:rPr>
          <w:b w:val="0"/>
        </w:rPr>
        <w:t>76.11</w:t>
      </w:r>
      <w:r>
        <w:rPr>
          <w:b w:val="0"/>
        </w:rPr>
        <w:tab/>
      </w:r>
      <w:r w:rsidR="00645F87">
        <w:rPr>
          <w:b w:val="0"/>
        </w:rPr>
        <w:t xml:space="preserve">The AUSTRAC CEO may suspend a person’s registration on the </w:t>
      </w:r>
      <w:r w:rsidR="00645F87" w:rsidRPr="001A737A">
        <w:rPr>
          <w:b w:val="0"/>
          <w:bCs/>
        </w:rPr>
        <w:t>Digital Currency Exchange Register</w:t>
      </w:r>
      <w:r w:rsidR="00645F87">
        <w:rPr>
          <w:b w:val="0"/>
          <w:bCs/>
        </w:rPr>
        <w:t xml:space="preserve"> for a specified period of time,</w:t>
      </w:r>
      <w:r w:rsidR="00645F87">
        <w:rPr>
          <w:b w:val="0"/>
        </w:rPr>
        <w:t xml:space="preserve"> with or without prior notice, if satisfied that it is appropriate to do so.</w:t>
      </w:r>
    </w:p>
    <w:p w14:paraId="6A0639F3" w14:textId="4ABD5D29" w:rsidR="00645F87" w:rsidRDefault="00053AA3" w:rsidP="00645F87">
      <w:pPr>
        <w:pStyle w:val="Heading2"/>
        <w:numPr>
          <w:ilvl w:val="1"/>
          <w:numId w:val="0"/>
        </w:numPr>
        <w:ind w:left="851" w:hanging="851"/>
        <w:rPr>
          <w:b w:val="0"/>
        </w:rPr>
      </w:pPr>
      <w:bookmarkStart w:id="15" w:name="_Ref498603507"/>
      <w:r>
        <w:rPr>
          <w:b w:val="0"/>
        </w:rPr>
        <w:t>76.12</w:t>
      </w:r>
      <w:r>
        <w:rPr>
          <w:b w:val="0"/>
        </w:rPr>
        <w:tab/>
      </w:r>
      <w:r w:rsidR="00645F87">
        <w:rPr>
          <w:b w:val="0"/>
        </w:rPr>
        <w:t xml:space="preserve">In deciding whether it is appropriate to suspend a person’s registration, </w:t>
      </w:r>
      <w:r w:rsidR="00645F87" w:rsidRPr="008A37DC">
        <w:rPr>
          <w:b w:val="0"/>
        </w:rPr>
        <w:t xml:space="preserve">and without limiting the matters that may be considered, the AUSTRAC CEO </w:t>
      </w:r>
      <w:r w:rsidR="00645F87">
        <w:rPr>
          <w:b w:val="0"/>
        </w:rPr>
        <w:t>may have regard to:</w:t>
      </w:r>
      <w:bookmarkEnd w:id="15"/>
      <w:r w:rsidR="00645F87">
        <w:rPr>
          <w:b w:val="0"/>
        </w:rPr>
        <w:t xml:space="preserve"> </w:t>
      </w:r>
    </w:p>
    <w:p w14:paraId="0BEA14D8" w14:textId="77777777" w:rsidR="00645F87" w:rsidRDefault="00645F87" w:rsidP="00CB2F03">
      <w:pPr>
        <w:pStyle w:val="IndentListLevel1"/>
        <w:numPr>
          <w:ilvl w:val="0"/>
          <w:numId w:val="9"/>
        </w:numPr>
        <w:ind w:left="1701" w:hanging="850"/>
        <w:rPr>
          <w:lang w:eastAsia="en-US"/>
        </w:rPr>
      </w:pPr>
      <w:bookmarkStart w:id="16" w:name="_Ref498603505"/>
      <w:r>
        <w:rPr>
          <w:lang w:eastAsia="en-US"/>
        </w:rPr>
        <w:t>whether the person or any of its key personnel have been:</w:t>
      </w:r>
      <w:bookmarkEnd w:id="16"/>
      <w:r>
        <w:rPr>
          <w:lang w:eastAsia="en-US"/>
        </w:rPr>
        <w:t xml:space="preserve"> </w:t>
      </w:r>
    </w:p>
    <w:p w14:paraId="2E2E55B9" w14:textId="77777777" w:rsidR="00645F87" w:rsidRDefault="00645F87" w:rsidP="00086429">
      <w:pPr>
        <w:pStyle w:val="IndentListLevel1"/>
        <w:numPr>
          <w:ilvl w:val="1"/>
          <w:numId w:val="3"/>
        </w:numPr>
        <w:ind w:left="1928" w:hanging="539"/>
      </w:pPr>
      <w:r>
        <w:lastRenderedPageBreak/>
        <w:t xml:space="preserve">charged, prosecuted, or convicted in relation to money laundering, terrorism financing, terrorism, people smuggling, fraud, a serious offence, or an offence under the AML/CTF Act or FTR Act; </w:t>
      </w:r>
    </w:p>
    <w:p w14:paraId="429B56F9" w14:textId="77777777" w:rsidR="00645F87" w:rsidRDefault="00645F87" w:rsidP="00086429">
      <w:pPr>
        <w:pStyle w:val="IndentListLevel1"/>
        <w:numPr>
          <w:ilvl w:val="1"/>
          <w:numId w:val="3"/>
        </w:numPr>
        <w:ind w:left="1928" w:hanging="539"/>
      </w:pPr>
      <w:r w:rsidRPr="00FC6FD6">
        <w:t xml:space="preserve">the subject of a civil penalty order made under the AML/CTF Act; </w:t>
      </w:r>
      <w:r>
        <w:t>or</w:t>
      </w:r>
    </w:p>
    <w:p w14:paraId="5C647435" w14:textId="77777777" w:rsidR="00645F87" w:rsidRDefault="00645F87" w:rsidP="00086429">
      <w:pPr>
        <w:pStyle w:val="IndentListLevel1"/>
        <w:numPr>
          <w:ilvl w:val="1"/>
          <w:numId w:val="3"/>
        </w:numPr>
        <w:ind w:left="1928" w:hanging="539"/>
      </w:pPr>
      <w:r>
        <w:t xml:space="preserve">the subject </w:t>
      </w:r>
      <w:r w:rsidRPr="003C4D3A">
        <w:t>of</w:t>
      </w:r>
      <w:r>
        <w:t xml:space="preserve"> any adversely determined </w:t>
      </w:r>
      <w:r w:rsidRPr="003C4D3A">
        <w:t>civil or criminal pr</w:t>
      </w:r>
      <w:r>
        <w:t xml:space="preserve">oceedings or enforcement action </w:t>
      </w:r>
      <w:r w:rsidRPr="003C4D3A">
        <w:t xml:space="preserve">in relation to the management of an entity, or </w:t>
      </w:r>
      <w:r>
        <w:t xml:space="preserve">their </w:t>
      </w:r>
      <w:r w:rsidRPr="003C4D3A">
        <w:t>commercial or professional activities</w:t>
      </w:r>
      <w:r>
        <w:t>; and</w:t>
      </w:r>
    </w:p>
    <w:p w14:paraId="14CB08B9" w14:textId="77777777" w:rsidR="00645F87" w:rsidRDefault="00645F87" w:rsidP="00CB2F03">
      <w:pPr>
        <w:pStyle w:val="IndentListLevel1"/>
        <w:numPr>
          <w:ilvl w:val="0"/>
          <w:numId w:val="9"/>
        </w:numPr>
        <w:ind w:left="1701" w:hanging="850"/>
      </w:pPr>
      <w:r>
        <w:t xml:space="preserve">whether there are reasonable grounds to believe that: </w:t>
      </w:r>
    </w:p>
    <w:p w14:paraId="4C1A5129" w14:textId="77777777" w:rsidR="00645F87" w:rsidRDefault="00645F87" w:rsidP="00086429">
      <w:pPr>
        <w:pStyle w:val="IndentListLevel1"/>
        <w:numPr>
          <w:ilvl w:val="1"/>
          <w:numId w:val="3"/>
        </w:numPr>
        <w:ind w:left="1928" w:hanging="539"/>
      </w:pPr>
      <w:r>
        <w:t>any information or document provided under this Chapter was false or misleading (whether by inclusion or omission) in a material particular;</w:t>
      </w:r>
    </w:p>
    <w:p w14:paraId="28A87553" w14:textId="77777777" w:rsidR="00645F87" w:rsidRDefault="00645F87" w:rsidP="00086429">
      <w:pPr>
        <w:pStyle w:val="IndentListLevel1"/>
        <w:numPr>
          <w:ilvl w:val="1"/>
          <w:numId w:val="3"/>
        </w:numPr>
        <w:ind w:left="1928" w:hanging="539"/>
      </w:pPr>
      <w:r w:rsidRPr="00BE75CC">
        <w:t>the continued registration of the person involves, or may involve</w:t>
      </w:r>
      <w:r>
        <w:t xml:space="preserve">, significant money laundering, </w:t>
      </w:r>
      <w:r w:rsidRPr="00BE75CC">
        <w:t>financing of terrorism</w:t>
      </w:r>
      <w:r>
        <w:t>, or other serious crime risk; or</w:t>
      </w:r>
    </w:p>
    <w:p w14:paraId="61A9CC6A" w14:textId="77777777" w:rsidR="00645F87" w:rsidRDefault="00645F87" w:rsidP="00086429">
      <w:pPr>
        <w:pStyle w:val="IndentListLevel1"/>
        <w:numPr>
          <w:ilvl w:val="1"/>
          <w:numId w:val="3"/>
        </w:numPr>
        <w:ind w:left="1928" w:hanging="539"/>
      </w:pPr>
      <w:r>
        <w:t>the person has contravened a condition of registration imposed under section 76G of the AML/CTF Act.</w:t>
      </w:r>
    </w:p>
    <w:p w14:paraId="4A13E17D" w14:textId="51F2E2F7" w:rsidR="00645F87" w:rsidRPr="00983A28" w:rsidRDefault="00053AA3" w:rsidP="00645F87">
      <w:pPr>
        <w:pStyle w:val="Heading2"/>
        <w:numPr>
          <w:ilvl w:val="1"/>
          <w:numId w:val="0"/>
        </w:numPr>
        <w:ind w:left="851" w:hanging="851"/>
        <w:rPr>
          <w:b w:val="0"/>
        </w:rPr>
      </w:pPr>
      <w:r>
        <w:rPr>
          <w:b w:val="0"/>
        </w:rPr>
        <w:t>76.13</w:t>
      </w:r>
      <w:r>
        <w:rPr>
          <w:b w:val="0"/>
        </w:rPr>
        <w:tab/>
      </w:r>
      <w:r w:rsidR="00645F87">
        <w:rPr>
          <w:b w:val="0"/>
        </w:rPr>
        <w:t xml:space="preserve">The AUSTRAC CEO may also suspend a person’s registration if reasonable </w:t>
      </w:r>
      <w:r w:rsidR="00645F87" w:rsidRPr="00983A28">
        <w:rPr>
          <w:b w:val="0"/>
        </w:rPr>
        <w:t>grounds exist on which to commence an action to cancel the registratio</w:t>
      </w:r>
      <w:r w:rsidR="00645F87">
        <w:rPr>
          <w:b w:val="0"/>
        </w:rPr>
        <w:t>n of the person under section 76J</w:t>
      </w:r>
      <w:r w:rsidR="00645F87" w:rsidRPr="00983A28">
        <w:rPr>
          <w:b w:val="0"/>
        </w:rPr>
        <w:t xml:space="preserve"> of the AML/CTF Act, and that action has not been completed</w:t>
      </w:r>
      <w:r w:rsidR="00645F87">
        <w:rPr>
          <w:b w:val="0"/>
        </w:rPr>
        <w:t>.</w:t>
      </w:r>
    </w:p>
    <w:p w14:paraId="77BE5039" w14:textId="07F4C8DA" w:rsidR="00645F87" w:rsidRDefault="00053AA3" w:rsidP="00645F87">
      <w:pPr>
        <w:pStyle w:val="Heading2"/>
        <w:numPr>
          <w:ilvl w:val="1"/>
          <w:numId w:val="0"/>
        </w:numPr>
        <w:ind w:left="851" w:hanging="851"/>
        <w:rPr>
          <w:b w:val="0"/>
        </w:rPr>
      </w:pPr>
      <w:bookmarkStart w:id="17" w:name="_Ref503172369"/>
      <w:r>
        <w:rPr>
          <w:b w:val="0"/>
        </w:rPr>
        <w:t>76.14</w:t>
      </w:r>
      <w:r>
        <w:rPr>
          <w:b w:val="0"/>
        </w:rPr>
        <w:tab/>
      </w:r>
      <w:r w:rsidR="00645F87" w:rsidRPr="00001C55">
        <w:rPr>
          <w:b w:val="0"/>
        </w:rPr>
        <w:t xml:space="preserve">As soon as practicable after making a decision </w:t>
      </w:r>
      <w:r w:rsidR="00645F87">
        <w:rPr>
          <w:b w:val="0"/>
        </w:rPr>
        <w:t>to suspend a person’s registration</w:t>
      </w:r>
      <w:r w:rsidR="00645F87" w:rsidRPr="00001C55">
        <w:rPr>
          <w:b w:val="0"/>
        </w:rPr>
        <w:t xml:space="preserve">, the AUSTRAC CEO must provide the applicant with written notice </w:t>
      </w:r>
      <w:r w:rsidR="00645F87">
        <w:rPr>
          <w:b w:val="0"/>
        </w:rPr>
        <w:t>of:</w:t>
      </w:r>
      <w:bookmarkEnd w:id="17"/>
    </w:p>
    <w:p w14:paraId="5B18966A" w14:textId="77777777" w:rsidR="00645F87" w:rsidRDefault="00645F87" w:rsidP="00CB2F03">
      <w:pPr>
        <w:pStyle w:val="IndentListLevel1"/>
        <w:numPr>
          <w:ilvl w:val="0"/>
          <w:numId w:val="13"/>
        </w:numPr>
        <w:ind w:left="1701" w:hanging="850"/>
        <w:rPr>
          <w:lang w:eastAsia="en-US"/>
        </w:rPr>
      </w:pPr>
      <w:r>
        <w:rPr>
          <w:lang w:eastAsia="en-US"/>
        </w:rPr>
        <w:t>the terms of the decision; and</w:t>
      </w:r>
    </w:p>
    <w:p w14:paraId="594F3626" w14:textId="77777777" w:rsidR="00645F87" w:rsidRDefault="00645F87" w:rsidP="00CB2F03">
      <w:pPr>
        <w:pStyle w:val="IndentListLevel1"/>
        <w:numPr>
          <w:ilvl w:val="0"/>
          <w:numId w:val="13"/>
        </w:numPr>
        <w:ind w:left="1701" w:hanging="850"/>
        <w:rPr>
          <w:lang w:eastAsia="en-US"/>
        </w:rPr>
      </w:pPr>
      <w:r>
        <w:rPr>
          <w:lang w:eastAsia="en-US"/>
        </w:rPr>
        <w:t>if the decision is to suspend registration:</w:t>
      </w:r>
    </w:p>
    <w:p w14:paraId="4EDD413F" w14:textId="77777777" w:rsidR="00645F87" w:rsidRDefault="00645F87" w:rsidP="00086429">
      <w:pPr>
        <w:pStyle w:val="IndentListLevel1"/>
        <w:numPr>
          <w:ilvl w:val="1"/>
          <w:numId w:val="3"/>
        </w:numPr>
        <w:ind w:left="1928" w:hanging="539"/>
      </w:pPr>
      <w:r>
        <w:t>the period of suspension;</w:t>
      </w:r>
    </w:p>
    <w:p w14:paraId="191CE7E1" w14:textId="77777777" w:rsidR="00645F87" w:rsidRDefault="00645F87" w:rsidP="00086429">
      <w:pPr>
        <w:pStyle w:val="IndentListLevel1"/>
        <w:numPr>
          <w:ilvl w:val="1"/>
          <w:numId w:val="3"/>
        </w:numPr>
        <w:ind w:left="1928" w:hanging="539"/>
      </w:pPr>
      <w:r>
        <w:t>the reasons for the decision; and</w:t>
      </w:r>
    </w:p>
    <w:p w14:paraId="04F85BFD" w14:textId="77777777" w:rsidR="00645F87" w:rsidRDefault="00645F87" w:rsidP="00086429">
      <w:pPr>
        <w:pStyle w:val="IndentListLevel1"/>
        <w:numPr>
          <w:ilvl w:val="1"/>
          <w:numId w:val="3"/>
        </w:numPr>
        <w:ind w:left="1928" w:hanging="539"/>
      </w:pPr>
      <w:r>
        <w:t>the particulars of the person’s right to have the decision reviewed.</w:t>
      </w:r>
    </w:p>
    <w:p w14:paraId="46EDA3B2" w14:textId="77777777" w:rsidR="00645F87" w:rsidRPr="00053AA3" w:rsidRDefault="00645F87" w:rsidP="00645F87">
      <w:pPr>
        <w:keepNext/>
        <w:spacing w:before="240"/>
        <w:ind w:left="1287" w:hanging="1287"/>
        <w:rPr>
          <w:rFonts w:ascii="Times New Roman" w:hAnsi="Times New Roman"/>
          <w:i/>
          <w:sz w:val="24"/>
          <w:lang w:eastAsia="en-AU"/>
        </w:rPr>
      </w:pPr>
      <w:r w:rsidRPr="00053AA3">
        <w:rPr>
          <w:rFonts w:ascii="Times New Roman" w:hAnsi="Times New Roman"/>
          <w:i/>
          <w:sz w:val="24"/>
          <w:lang w:eastAsia="en-AU"/>
        </w:rPr>
        <w:t>Note:</w:t>
      </w:r>
      <w:r w:rsidRPr="00053AA3">
        <w:rPr>
          <w:rFonts w:ascii="Times New Roman" w:hAnsi="Times New Roman"/>
          <w:i/>
          <w:sz w:val="24"/>
          <w:lang w:eastAsia="en-AU"/>
        </w:rPr>
        <w:tab/>
        <w:t>A decision to suspend registration is declared to be a reviewable decision for the purposes of section 233B of the AML/CTF Act.</w:t>
      </w:r>
    </w:p>
    <w:p w14:paraId="25ADB2A4" w14:textId="7A4AD232" w:rsidR="00645F87" w:rsidRDefault="00053AA3" w:rsidP="00645F87">
      <w:pPr>
        <w:pStyle w:val="Heading2"/>
        <w:numPr>
          <w:ilvl w:val="1"/>
          <w:numId w:val="0"/>
        </w:numPr>
        <w:ind w:left="851" w:hanging="851"/>
        <w:rPr>
          <w:b w:val="0"/>
          <w:lang w:eastAsia="en-US"/>
        </w:rPr>
      </w:pPr>
      <w:r>
        <w:rPr>
          <w:b w:val="0"/>
          <w:lang w:eastAsia="en-US"/>
        </w:rPr>
        <w:t>76.15</w:t>
      </w:r>
      <w:r>
        <w:rPr>
          <w:b w:val="0"/>
          <w:lang w:eastAsia="en-US"/>
        </w:rPr>
        <w:tab/>
      </w:r>
      <w:r w:rsidR="00645F87" w:rsidRPr="00017A9A">
        <w:rPr>
          <w:b w:val="0"/>
          <w:lang w:eastAsia="en-US"/>
        </w:rPr>
        <w:t>A failure to comply with the requirements of paragraph</w:t>
      </w:r>
      <w:r w:rsidR="00645F87">
        <w:rPr>
          <w:b w:val="0"/>
          <w:lang w:eastAsia="en-US"/>
        </w:rPr>
        <w:t xml:space="preserve"> </w:t>
      </w:r>
      <w:r w:rsidR="00645F87">
        <w:rPr>
          <w:b w:val="0"/>
          <w:lang w:eastAsia="en-US"/>
        </w:rPr>
        <w:fldChar w:fldCharType="begin"/>
      </w:r>
      <w:r w:rsidR="00645F87">
        <w:rPr>
          <w:b w:val="0"/>
          <w:lang w:eastAsia="en-US"/>
        </w:rPr>
        <w:instrText xml:space="preserve"> REF _Ref503172369 \r \h </w:instrText>
      </w:r>
      <w:r w:rsidR="00645F87">
        <w:rPr>
          <w:b w:val="0"/>
          <w:lang w:eastAsia="en-US"/>
        </w:rPr>
      </w:r>
      <w:r w:rsidR="00645F87">
        <w:rPr>
          <w:b w:val="0"/>
          <w:lang w:eastAsia="en-US"/>
        </w:rPr>
        <w:fldChar w:fldCharType="separate"/>
      </w:r>
      <w:r w:rsidR="00645F87">
        <w:rPr>
          <w:b w:val="0"/>
          <w:lang w:eastAsia="en-US"/>
        </w:rPr>
        <w:t>76.14</w:t>
      </w:r>
      <w:r w:rsidR="00645F87">
        <w:rPr>
          <w:b w:val="0"/>
          <w:lang w:eastAsia="en-US"/>
        </w:rPr>
        <w:fldChar w:fldCharType="end"/>
      </w:r>
      <w:r w:rsidR="00645F87">
        <w:rPr>
          <w:b w:val="0"/>
          <w:lang w:eastAsia="en-US"/>
        </w:rPr>
        <w:t xml:space="preserve"> </w:t>
      </w:r>
      <w:r w:rsidR="00645F87" w:rsidRPr="00017A9A">
        <w:rPr>
          <w:b w:val="0"/>
          <w:lang w:eastAsia="en-US"/>
        </w:rPr>
        <w:t>does not affect the validity of the decision.</w:t>
      </w:r>
    </w:p>
    <w:p w14:paraId="13AB024A" w14:textId="77777777" w:rsidR="00645F87" w:rsidRPr="00DC3425" w:rsidRDefault="00645F87" w:rsidP="00645F87">
      <w:pPr>
        <w:keepNext/>
        <w:spacing w:before="240"/>
        <w:ind w:left="1287" w:hanging="1287"/>
        <w:rPr>
          <w:b/>
          <w:sz w:val="24"/>
          <w:lang w:eastAsia="en-AU"/>
        </w:rPr>
      </w:pPr>
      <w:r w:rsidRPr="00DC3425">
        <w:rPr>
          <w:b/>
          <w:sz w:val="24"/>
          <w:lang w:eastAsia="en-AU"/>
        </w:rPr>
        <w:lastRenderedPageBreak/>
        <w:t>Cancellation of registration</w:t>
      </w:r>
    </w:p>
    <w:p w14:paraId="22839A04" w14:textId="544A33BC" w:rsidR="00645F87" w:rsidRDefault="00053AA3" w:rsidP="00645F87">
      <w:pPr>
        <w:pStyle w:val="Heading2"/>
        <w:numPr>
          <w:ilvl w:val="1"/>
          <w:numId w:val="0"/>
        </w:numPr>
        <w:ind w:left="851" w:hanging="851"/>
        <w:rPr>
          <w:b w:val="0"/>
          <w:lang w:eastAsia="en-US"/>
        </w:rPr>
      </w:pPr>
      <w:r>
        <w:rPr>
          <w:b w:val="0"/>
        </w:rPr>
        <w:t>76.16</w:t>
      </w:r>
      <w:r>
        <w:rPr>
          <w:b w:val="0"/>
        </w:rPr>
        <w:tab/>
      </w:r>
      <w:r w:rsidR="00645F87">
        <w:rPr>
          <w:b w:val="0"/>
        </w:rPr>
        <w:t xml:space="preserve">In determining whether it is appropriate to cancel a person’s registration, </w:t>
      </w:r>
      <w:r w:rsidR="00645F87" w:rsidRPr="008A37DC">
        <w:rPr>
          <w:b w:val="0"/>
        </w:rPr>
        <w:t xml:space="preserve">and without limiting the matters that may be considered, the AUSTRAC CEO </w:t>
      </w:r>
      <w:r w:rsidR="00645F87">
        <w:rPr>
          <w:b w:val="0"/>
        </w:rPr>
        <w:t>may</w:t>
      </w:r>
      <w:r w:rsidR="00645F87" w:rsidRPr="008A37DC">
        <w:rPr>
          <w:b w:val="0"/>
        </w:rPr>
        <w:t xml:space="preserve"> </w:t>
      </w:r>
      <w:r w:rsidR="00645F87">
        <w:rPr>
          <w:b w:val="0"/>
        </w:rPr>
        <w:t xml:space="preserve">consider </w:t>
      </w:r>
      <w:r w:rsidR="00645F87" w:rsidRPr="008F0AB4">
        <w:rPr>
          <w:b w:val="0"/>
          <w:lang w:eastAsia="en-US"/>
        </w:rPr>
        <w:t xml:space="preserve">the </w:t>
      </w:r>
      <w:r w:rsidR="00645F87">
        <w:rPr>
          <w:b w:val="0"/>
          <w:lang w:eastAsia="en-US"/>
        </w:rPr>
        <w:t>matters outlined in paragraph</w:t>
      </w:r>
      <w:r w:rsidR="00645F87" w:rsidRPr="008F0AB4">
        <w:rPr>
          <w:b w:val="0"/>
          <w:lang w:eastAsia="en-US"/>
        </w:rPr>
        <w:t xml:space="preserve"> </w:t>
      </w:r>
      <w:r w:rsidR="00645F87" w:rsidRPr="008F0AB4">
        <w:rPr>
          <w:b w:val="0"/>
          <w:lang w:eastAsia="en-US"/>
        </w:rPr>
        <w:fldChar w:fldCharType="begin"/>
      </w:r>
      <w:r w:rsidR="00645F87" w:rsidRPr="008F0AB4">
        <w:rPr>
          <w:b w:val="0"/>
          <w:lang w:eastAsia="en-US"/>
        </w:rPr>
        <w:instrText xml:space="preserve"> REF _Ref498603507 \r \h </w:instrText>
      </w:r>
      <w:r w:rsidR="00645F87">
        <w:rPr>
          <w:b w:val="0"/>
        </w:rPr>
        <w:instrText xml:space="preserve"> \* MERGEFORMAT </w:instrText>
      </w:r>
      <w:r w:rsidR="00645F87" w:rsidRPr="008F0AB4">
        <w:rPr>
          <w:b w:val="0"/>
          <w:lang w:eastAsia="en-US"/>
        </w:rPr>
      </w:r>
      <w:r w:rsidR="00645F87" w:rsidRPr="008F0AB4">
        <w:rPr>
          <w:b w:val="0"/>
          <w:lang w:eastAsia="en-US"/>
        </w:rPr>
        <w:fldChar w:fldCharType="separate"/>
      </w:r>
      <w:r w:rsidR="00645F87">
        <w:rPr>
          <w:b w:val="0"/>
          <w:lang w:eastAsia="en-US"/>
        </w:rPr>
        <w:t>76.12</w:t>
      </w:r>
      <w:r w:rsidR="00645F87" w:rsidRPr="008F0AB4">
        <w:rPr>
          <w:b w:val="0"/>
          <w:lang w:eastAsia="en-US"/>
        </w:rPr>
        <w:fldChar w:fldCharType="end"/>
      </w:r>
      <w:r w:rsidR="00645F87" w:rsidRPr="008F0AB4">
        <w:rPr>
          <w:b w:val="0"/>
          <w:lang w:eastAsia="en-US"/>
        </w:rPr>
        <w:t>.</w:t>
      </w:r>
    </w:p>
    <w:p w14:paraId="2DB849B8" w14:textId="77777777" w:rsidR="00645F87" w:rsidRDefault="00645F87" w:rsidP="00645F87">
      <w:pPr>
        <w:keepNext/>
        <w:spacing w:before="240"/>
        <w:rPr>
          <w:b/>
          <w:sz w:val="24"/>
          <w:lang w:eastAsia="en-AU"/>
        </w:rPr>
      </w:pPr>
      <w:r>
        <w:rPr>
          <w:b/>
          <w:sz w:val="24"/>
          <w:lang w:eastAsia="en-AU"/>
        </w:rPr>
        <w:t>Review of reviewable decisions</w:t>
      </w:r>
    </w:p>
    <w:p w14:paraId="11F0EF83" w14:textId="4A220107" w:rsidR="00645F87" w:rsidRPr="00E94AE5" w:rsidRDefault="00053AA3" w:rsidP="00645F87">
      <w:pPr>
        <w:pStyle w:val="Heading2"/>
        <w:numPr>
          <w:ilvl w:val="1"/>
          <w:numId w:val="0"/>
        </w:numPr>
        <w:ind w:left="851" w:hanging="851"/>
        <w:rPr>
          <w:b w:val="0"/>
          <w:lang w:eastAsia="en-US"/>
        </w:rPr>
      </w:pPr>
      <w:r>
        <w:rPr>
          <w:b w:val="0"/>
          <w:lang w:eastAsia="en-US"/>
        </w:rPr>
        <w:t>76.17</w:t>
      </w:r>
      <w:r>
        <w:rPr>
          <w:b w:val="0"/>
          <w:lang w:eastAsia="en-US"/>
        </w:rPr>
        <w:tab/>
      </w:r>
      <w:r w:rsidR="00645F87" w:rsidRPr="00E94AE5">
        <w:rPr>
          <w:b w:val="0"/>
          <w:lang w:eastAsia="en-US"/>
        </w:rPr>
        <w:t xml:space="preserve">An application to have a decision reviewed does not affect the operation of the decision or prevent the taking of action to implement the decision. </w:t>
      </w:r>
    </w:p>
    <w:p w14:paraId="63213BFF" w14:textId="77777777" w:rsidR="00645F87" w:rsidRPr="00DC3425" w:rsidRDefault="00645F87" w:rsidP="00645F87">
      <w:pPr>
        <w:keepNext/>
        <w:spacing w:before="240"/>
        <w:rPr>
          <w:b/>
          <w:sz w:val="24"/>
          <w:lang w:eastAsia="en-AU"/>
        </w:rPr>
      </w:pPr>
      <w:r w:rsidRPr="00DC3425">
        <w:rPr>
          <w:b/>
          <w:sz w:val="24"/>
          <w:lang w:eastAsia="en-AU"/>
        </w:rPr>
        <w:t xml:space="preserve">Registered persons to </w:t>
      </w:r>
      <w:r>
        <w:rPr>
          <w:b/>
          <w:sz w:val="24"/>
          <w:lang w:eastAsia="en-AU"/>
        </w:rPr>
        <w:t>update and correct information</w:t>
      </w:r>
    </w:p>
    <w:p w14:paraId="0D078373" w14:textId="64A17D44" w:rsidR="00645F87" w:rsidRDefault="00053AA3" w:rsidP="00645F87">
      <w:pPr>
        <w:pStyle w:val="Heading2"/>
        <w:numPr>
          <w:ilvl w:val="1"/>
          <w:numId w:val="0"/>
        </w:numPr>
        <w:ind w:left="851" w:hanging="851"/>
        <w:rPr>
          <w:b w:val="0"/>
        </w:rPr>
      </w:pPr>
      <w:bookmarkStart w:id="18" w:name="_Ref498953340"/>
      <w:r>
        <w:rPr>
          <w:b w:val="0"/>
        </w:rPr>
        <w:t>76.18</w:t>
      </w:r>
      <w:r>
        <w:rPr>
          <w:b w:val="0"/>
        </w:rPr>
        <w:tab/>
      </w:r>
      <w:r w:rsidR="00645F87">
        <w:rPr>
          <w:b w:val="0"/>
        </w:rPr>
        <w:t xml:space="preserve">If </w:t>
      </w:r>
      <w:r w:rsidR="00645F87" w:rsidRPr="00B47723">
        <w:rPr>
          <w:b w:val="0"/>
          <w:lang w:eastAsia="en-US"/>
        </w:rPr>
        <w:t>a</w:t>
      </w:r>
      <w:r w:rsidR="00645F87" w:rsidRPr="00B47723">
        <w:rPr>
          <w:b w:val="0"/>
        </w:rPr>
        <w:t xml:space="preserve"> person registered on the </w:t>
      </w:r>
      <w:r w:rsidR="00645F87" w:rsidRPr="00B47723">
        <w:rPr>
          <w:b w:val="0"/>
          <w:bCs/>
        </w:rPr>
        <w:t>Digital Currency Exchange Register</w:t>
      </w:r>
      <w:r w:rsidR="00645F87">
        <w:rPr>
          <w:lang w:eastAsia="en-US"/>
        </w:rPr>
        <w:t xml:space="preserve"> </w:t>
      </w:r>
      <w:r w:rsidR="00645F87">
        <w:rPr>
          <w:b w:val="0"/>
        </w:rPr>
        <w:t>becomes aware:</w:t>
      </w:r>
      <w:bookmarkEnd w:id="18"/>
    </w:p>
    <w:p w14:paraId="744A9623" w14:textId="77777777" w:rsidR="00645F87" w:rsidRDefault="00645F87" w:rsidP="006E5452">
      <w:pPr>
        <w:pStyle w:val="IndentListLevel1"/>
        <w:numPr>
          <w:ilvl w:val="0"/>
          <w:numId w:val="11"/>
        </w:numPr>
        <w:ind w:left="1390" w:hanging="539"/>
        <w:rPr>
          <w:lang w:eastAsia="en-US"/>
        </w:rPr>
      </w:pPr>
      <w:r>
        <w:rPr>
          <w:lang w:eastAsia="en-US"/>
        </w:rPr>
        <w:t>of a change that materially affects any information previously provided under this Chapter; or</w:t>
      </w:r>
    </w:p>
    <w:p w14:paraId="6C6EA1DE" w14:textId="77777777" w:rsidR="00645F87" w:rsidRDefault="00645F87" w:rsidP="006E5452">
      <w:pPr>
        <w:pStyle w:val="IndentListLevel1"/>
        <w:numPr>
          <w:ilvl w:val="0"/>
          <w:numId w:val="11"/>
        </w:numPr>
        <w:ind w:left="1390" w:hanging="539"/>
        <w:rPr>
          <w:lang w:eastAsia="en-US"/>
        </w:rPr>
      </w:pPr>
      <w:r w:rsidRPr="00A8792B">
        <w:rPr>
          <w:bCs/>
        </w:rPr>
        <w:t xml:space="preserve">that </w:t>
      </w:r>
      <w:r>
        <w:rPr>
          <w:bCs/>
        </w:rPr>
        <w:t xml:space="preserve">any </w:t>
      </w:r>
      <w:r w:rsidRPr="00A8792B">
        <w:rPr>
          <w:bCs/>
        </w:rPr>
        <w:t>information</w:t>
      </w:r>
      <w:r>
        <w:rPr>
          <w:bCs/>
        </w:rPr>
        <w:t xml:space="preserve"> or document</w:t>
      </w:r>
      <w:r w:rsidRPr="00A8792B">
        <w:rPr>
          <w:bCs/>
        </w:rPr>
        <w:t xml:space="preserve"> provided under this Chapter is </w:t>
      </w:r>
      <w:r w:rsidRPr="00A8792B">
        <w:t>incorrect, incomplete, or misleading</w:t>
      </w:r>
      <w:r w:rsidRPr="00A8792B">
        <w:rPr>
          <w:lang w:eastAsia="en-US"/>
        </w:rPr>
        <w:t xml:space="preserve"> in a material respect,</w:t>
      </w:r>
    </w:p>
    <w:p w14:paraId="6B44A3E1" w14:textId="77777777" w:rsidR="00645F87" w:rsidRDefault="00645F87" w:rsidP="00645F87">
      <w:pPr>
        <w:pStyle w:val="IndentListLevel1"/>
        <w:numPr>
          <w:ilvl w:val="0"/>
          <w:numId w:val="0"/>
        </w:numPr>
        <w:ind w:left="851"/>
        <w:rPr>
          <w:lang w:eastAsia="en-US"/>
        </w:rPr>
      </w:pPr>
      <w:r>
        <w:rPr>
          <w:lang w:eastAsia="en-US"/>
        </w:rPr>
        <w:t xml:space="preserve">the person </w:t>
      </w:r>
      <w:r w:rsidRPr="00A8792B">
        <w:rPr>
          <w:lang w:eastAsia="en-US"/>
        </w:rPr>
        <w:t xml:space="preserve">must advise the AUSTRAC CEO </w:t>
      </w:r>
      <w:r>
        <w:rPr>
          <w:lang w:eastAsia="en-US"/>
        </w:rPr>
        <w:t>and provide updated information in accordance with subsection 76P(2) of the AML/CTF Act.</w:t>
      </w:r>
    </w:p>
    <w:p w14:paraId="434FCDAC" w14:textId="77777777" w:rsidR="00645F87" w:rsidRPr="00053AA3" w:rsidRDefault="00645F87" w:rsidP="00645F87">
      <w:pPr>
        <w:keepNext/>
        <w:spacing w:before="240"/>
        <w:ind w:left="1287" w:hanging="1287"/>
        <w:rPr>
          <w:rFonts w:ascii="Times New Roman" w:hAnsi="Times New Roman"/>
          <w:i/>
          <w:sz w:val="24"/>
          <w:lang w:eastAsia="en-AU"/>
        </w:rPr>
      </w:pPr>
      <w:r w:rsidRPr="00053AA3">
        <w:rPr>
          <w:rFonts w:ascii="Times New Roman" w:hAnsi="Times New Roman"/>
          <w:i/>
          <w:sz w:val="24"/>
          <w:lang w:eastAsia="en-AU"/>
        </w:rPr>
        <w:t>Note:</w:t>
      </w:r>
      <w:r w:rsidRPr="00053AA3">
        <w:rPr>
          <w:rFonts w:ascii="Times New Roman" w:hAnsi="Times New Roman"/>
          <w:i/>
          <w:sz w:val="24"/>
          <w:lang w:eastAsia="en-AU"/>
        </w:rPr>
        <w:tab/>
        <w:t>Subsection 76P(2) of the AML/CTF Act provides that a person registered on the Digital Currency Exchange Register who is required to advise the AUSTRAC CEO of a change in circumstances or a matter must do so in accordance with the approved form, and within 14 days of the change in circumstances or the matter arising.</w:t>
      </w:r>
    </w:p>
    <w:p w14:paraId="67921EB7" w14:textId="77777777" w:rsidR="00645F87" w:rsidRPr="00DC3425" w:rsidRDefault="00645F87" w:rsidP="00645F87">
      <w:pPr>
        <w:keepNext/>
        <w:spacing w:before="240"/>
        <w:rPr>
          <w:b/>
          <w:sz w:val="24"/>
          <w:lang w:eastAsia="en-AU"/>
        </w:rPr>
      </w:pPr>
      <w:r w:rsidRPr="00DC3425">
        <w:rPr>
          <w:b/>
          <w:sz w:val="24"/>
          <w:lang w:eastAsia="en-AU"/>
        </w:rPr>
        <w:t>Correction of entries on the Register</w:t>
      </w:r>
    </w:p>
    <w:p w14:paraId="6BB14D83" w14:textId="048D8C94" w:rsidR="00645F87" w:rsidRPr="00A7288A" w:rsidRDefault="00393136" w:rsidP="00645F87">
      <w:pPr>
        <w:pStyle w:val="Heading2"/>
        <w:numPr>
          <w:ilvl w:val="1"/>
          <w:numId w:val="0"/>
        </w:numPr>
        <w:ind w:left="851" w:hanging="851"/>
        <w:rPr>
          <w:b w:val="0"/>
        </w:rPr>
      </w:pPr>
      <w:bookmarkStart w:id="19" w:name="_Ref497918627"/>
      <w:r>
        <w:rPr>
          <w:b w:val="0"/>
        </w:rPr>
        <w:t>76.19</w:t>
      </w:r>
      <w:r>
        <w:rPr>
          <w:b w:val="0"/>
        </w:rPr>
        <w:tab/>
      </w:r>
      <w:r w:rsidR="00645F87">
        <w:rPr>
          <w:b w:val="0"/>
        </w:rPr>
        <w:t xml:space="preserve">If the AUSTRAC CEO </w:t>
      </w:r>
      <w:r w:rsidR="00645F87">
        <w:rPr>
          <w:b w:val="0"/>
          <w:lang w:eastAsia="en-US"/>
        </w:rPr>
        <w:t xml:space="preserve">has reasonable grounds to believe that an entry </w:t>
      </w:r>
      <w:r w:rsidR="00645F87" w:rsidRPr="00A7288A">
        <w:rPr>
          <w:b w:val="0"/>
        </w:rPr>
        <w:t xml:space="preserve">on the </w:t>
      </w:r>
      <w:r w:rsidR="00645F87" w:rsidRPr="00A7288A">
        <w:rPr>
          <w:b w:val="0"/>
          <w:bCs/>
        </w:rPr>
        <w:t>Digital Currency Exchange Register</w:t>
      </w:r>
      <w:r w:rsidR="00645F87">
        <w:rPr>
          <w:b w:val="0"/>
          <w:bCs/>
        </w:rPr>
        <w:t xml:space="preserve"> is </w:t>
      </w:r>
      <w:r w:rsidR="00645F87" w:rsidRPr="00DC3425">
        <w:rPr>
          <w:b w:val="0"/>
        </w:rPr>
        <w:t>incorrect</w:t>
      </w:r>
      <w:r w:rsidR="00645F87">
        <w:rPr>
          <w:b w:val="0"/>
        </w:rPr>
        <w:t xml:space="preserve">, incomplete, or misleading, the AUSTRAC CEO may correct or complete the entry. </w:t>
      </w:r>
    </w:p>
    <w:p w14:paraId="0BF77E2C" w14:textId="071E35FF" w:rsidR="00645F87" w:rsidRPr="00DC3425" w:rsidRDefault="00393136" w:rsidP="00645F87">
      <w:pPr>
        <w:pStyle w:val="Heading2"/>
        <w:numPr>
          <w:ilvl w:val="1"/>
          <w:numId w:val="0"/>
        </w:numPr>
        <w:ind w:left="851" w:hanging="851"/>
        <w:rPr>
          <w:b w:val="0"/>
        </w:rPr>
      </w:pPr>
      <w:bookmarkStart w:id="20" w:name="_Ref497997968"/>
      <w:bookmarkStart w:id="21" w:name="_Ref497918643"/>
      <w:bookmarkEnd w:id="19"/>
      <w:r>
        <w:rPr>
          <w:b w:val="0"/>
        </w:rPr>
        <w:t>76.20</w:t>
      </w:r>
      <w:r>
        <w:rPr>
          <w:b w:val="0"/>
        </w:rPr>
        <w:tab/>
      </w:r>
      <w:r w:rsidR="00645F87">
        <w:rPr>
          <w:b w:val="0"/>
        </w:rPr>
        <w:t xml:space="preserve">The AUSTRAC CEO must give </w:t>
      </w:r>
      <w:r w:rsidR="00645F87" w:rsidRPr="00DC3425">
        <w:rPr>
          <w:b w:val="0"/>
        </w:rPr>
        <w:t>written notice to the affected person</w:t>
      </w:r>
      <w:r w:rsidR="00645F87">
        <w:rPr>
          <w:b w:val="0"/>
        </w:rPr>
        <w:t xml:space="preserve"> </w:t>
      </w:r>
      <w:r w:rsidR="00645F87" w:rsidRPr="00DC3425">
        <w:rPr>
          <w:b w:val="0"/>
        </w:rPr>
        <w:t xml:space="preserve">as soon as practicable after </w:t>
      </w:r>
      <w:r w:rsidR="00645F87">
        <w:rPr>
          <w:b w:val="0"/>
        </w:rPr>
        <w:t>amending</w:t>
      </w:r>
      <w:r w:rsidR="00645F87" w:rsidRPr="00DC3425">
        <w:rPr>
          <w:b w:val="0"/>
        </w:rPr>
        <w:t xml:space="preserve"> a</w:t>
      </w:r>
      <w:r w:rsidR="00645F87">
        <w:rPr>
          <w:b w:val="0"/>
        </w:rPr>
        <w:t>n entry</w:t>
      </w:r>
      <w:bookmarkEnd w:id="20"/>
      <w:r w:rsidR="00645F87">
        <w:rPr>
          <w:b w:val="0"/>
        </w:rPr>
        <w:t>, specifying:</w:t>
      </w:r>
    </w:p>
    <w:p w14:paraId="30B020E6" w14:textId="77777777" w:rsidR="00645F87" w:rsidRPr="00DC3425" w:rsidRDefault="00645F87" w:rsidP="006E5452">
      <w:pPr>
        <w:pStyle w:val="Heading2"/>
        <w:numPr>
          <w:ilvl w:val="0"/>
          <w:numId w:val="5"/>
        </w:numPr>
        <w:ind w:left="1390" w:hanging="539"/>
        <w:rPr>
          <w:b w:val="0"/>
        </w:rPr>
      </w:pPr>
      <w:r w:rsidRPr="00DC3425">
        <w:rPr>
          <w:b w:val="0"/>
        </w:rPr>
        <w:t>the changes that were made to the entry</w:t>
      </w:r>
      <w:r>
        <w:rPr>
          <w:b w:val="0"/>
        </w:rPr>
        <w:t xml:space="preserve"> and the reasons for amendment</w:t>
      </w:r>
      <w:r w:rsidRPr="00DC3425">
        <w:rPr>
          <w:b w:val="0"/>
        </w:rPr>
        <w:t>; and</w:t>
      </w:r>
    </w:p>
    <w:p w14:paraId="6FEAD2E5" w14:textId="77777777" w:rsidR="00645F87" w:rsidRPr="00DC3425" w:rsidRDefault="00645F87" w:rsidP="006E5452">
      <w:pPr>
        <w:pStyle w:val="Heading2"/>
        <w:numPr>
          <w:ilvl w:val="0"/>
          <w:numId w:val="5"/>
        </w:numPr>
        <w:ind w:left="1390" w:hanging="539"/>
        <w:rPr>
          <w:b w:val="0"/>
        </w:rPr>
      </w:pPr>
      <w:r w:rsidRPr="00DC3425">
        <w:rPr>
          <w:b w:val="0"/>
        </w:rPr>
        <w:t>the date on which the changes to the entry take effect.</w:t>
      </w:r>
    </w:p>
    <w:bookmarkEnd w:id="21"/>
    <w:p w14:paraId="1EA99600" w14:textId="77777777" w:rsidR="00645F87" w:rsidRPr="00DC3425" w:rsidRDefault="00645F87" w:rsidP="00645F87">
      <w:pPr>
        <w:keepNext/>
        <w:spacing w:before="240"/>
        <w:rPr>
          <w:b/>
          <w:sz w:val="24"/>
          <w:lang w:eastAsia="en-AU"/>
        </w:rPr>
      </w:pPr>
      <w:r>
        <w:rPr>
          <w:b/>
          <w:sz w:val="24"/>
          <w:lang w:eastAsia="en-AU"/>
        </w:rPr>
        <w:t>Publication of information</w:t>
      </w:r>
    </w:p>
    <w:p w14:paraId="6AEC4CBF" w14:textId="79569B23" w:rsidR="00645F87" w:rsidRDefault="00393136" w:rsidP="00645F87">
      <w:pPr>
        <w:pStyle w:val="Heading2"/>
        <w:numPr>
          <w:ilvl w:val="1"/>
          <w:numId w:val="0"/>
        </w:numPr>
        <w:ind w:left="851" w:hanging="851"/>
        <w:rPr>
          <w:b w:val="0"/>
        </w:rPr>
      </w:pPr>
      <w:r>
        <w:rPr>
          <w:b w:val="0"/>
        </w:rPr>
        <w:t>76.21</w:t>
      </w:r>
      <w:r>
        <w:rPr>
          <w:b w:val="0"/>
        </w:rPr>
        <w:tab/>
      </w:r>
      <w:r w:rsidR="00645F87">
        <w:rPr>
          <w:b w:val="0"/>
        </w:rPr>
        <w:t xml:space="preserve">The AUSTRAC CEO may publish, </w:t>
      </w:r>
      <w:r w:rsidR="00645F87" w:rsidRPr="00483444">
        <w:rPr>
          <w:b w:val="0"/>
        </w:rPr>
        <w:t xml:space="preserve">in </w:t>
      </w:r>
      <w:r w:rsidR="00645F87">
        <w:rPr>
          <w:b w:val="0"/>
        </w:rPr>
        <w:t xml:space="preserve">any </w:t>
      </w:r>
      <w:r w:rsidR="00645F87" w:rsidRPr="00483444">
        <w:rPr>
          <w:b w:val="0"/>
        </w:rPr>
        <w:t xml:space="preserve">manner </w:t>
      </w:r>
      <w:r w:rsidR="00645F87">
        <w:rPr>
          <w:b w:val="0"/>
        </w:rPr>
        <w:t xml:space="preserve">or form that is </w:t>
      </w:r>
      <w:r w:rsidR="00645F87" w:rsidRPr="00483444">
        <w:rPr>
          <w:b w:val="0"/>
        </w:rPr>
        <w:t>considered appropriate</w:t>
      </w:r>
      <w:r w:rsidR="00645F87">
        <w:rPr>
          <w:b w:val="0"/>
        </w:rPr>
        <w:t>,</w:t>
      </w:r>
      <w:r w:rsidR="00645F87" w:rsidRPr="00BA22EB">
        <w:rPr>
          <w:b w:val="0"/>
        </w:rPr>
        <w:t xml:space="preserve"> </w:t>
      </w:r>
      <w:r w:rsidR="00645F87">
        <w:rPr>
          <w:b w:val="0"/>
        </w:rPr>
        <w:t>any or all of the following</w:t>
      </w:r>
      <w:r w:rsidR="00645F87" w:rsidRPr="00483444">
        <w:rPr>
          <w:b w:val="0"/>
        </w:rPr>
        <w:t>:</w:t>
      </w:r>
    </w:p>
    <w:p w14:paraId="064937EC" w14:textId="77777777" w:rsidR="00645F87" w:rsidRDefault="00645F87" w:rsidP="00C006DA">
      <w:pPr>
        <w:pStyle w:val="IndentListLevel1"/>
        <w:numPr>
          <w:ilvl w:val="0"/>
          <w:numId w:val="12"/>
        </w:numPr>
        <w:ind w:left="1390" w:hanging="539"/>
        <w:rPr>
          <w:lang w:eastAsia="en-US"/>
        </w:rPr>
      </w:pPr>
      <w:r>
        <w:rPr>
          <w:lang w:eastAsia="en-US"/>
        </w:rPr>
        <w:t xml:space="preserve">the </w:t>
      </w:r>
      <w:r w:rsidRPr="003A4AF0">
        <w:rPr>
          <w:lang w:eastAsia="en-US"/>
        </w:rPr>
        <w:t>Digital Currency Exchange Register</w:t>
      </w:r>
      <w:r>
        <w:rPr>
          <w:lang w:eastAsia="en-US"/>
        </w:rPr>
        <w:t>, in whole or in part;</w:t>
      </w:r>
    </w:p>
    <w:p w14:paraId="41F30804" w14:textId="77777777" w:rsidR="00645F87" w:rsidRDefault="00645F87" w:rsidP="00C006DA">
      <w:pPr>
        <w:pStyle w:val="IndentListLevel1"/>
        <w:numPr>
          <w:ilvl w:val="0"/>
          <w:numId w:val="12"/>
        </w:numPr>
        <w:ind w:left="1390" w:hanging="539"/>
        <w:rPr>
          <w:lang w:eastAsia="en-US"/>
        </w:rPr>
      </w:pPr>
      <w:r>
        <w:rPr>
          <w:lang w:eastAsia="en-US"/>
        </w:rPr>
        <w:lastRenderedPageBreak/>
        <w:t>specified information</w:t>
      </w:r>
      <w:r w:rsidRPr="003A4AF0">
        <w:rPr>
          <w:lang w:eastAsia="en-US"/>
        </w:rPr>
        <w:t xml:space="preserve"> entered on the Digital Currency Exchange Register</w:t>
      </w:r>
      <w:r>
        <w:rPr>
          <w:lang w:eastAsia="en-US"/>
        </w:rPr>
        <w:t>;</w:t>
      </w:r>
    </w:p>
    <w:p w14:paraId="23874C89" w14:textId="77777777" w:rsidR="00645F87" w:rsidRDefault="00645F87" w:rsidP="00C006DA">
      <w:pPr>
        <w:pStyle w:val="IndentListLevel1"/>
        <w:numPr>
          <w:ilvl w:val="0"/>
          <w:numId w:val="12"/>
        </w:numPr>
        <w:ind w:left="1390" w:hanging="539"/>
        <w:rPr>
          <w:lang w:eastAsia="en-US"/>
        </w:rPr>
      </w:pPr>
      <w:r>
        <w:rPr>
          <w:lang w:eastAsia="en-US"/>
        </w:rPr>
        <w:t>details</w:t>
      </w:r>
      <w:r w:rsidRPr="003A4AF0">
        <w:rPr>
          <w:lang w:eastAsia="en-US"/>
        </w:rPr>
        <w:t xml:space="preserve"> of persons whose</w:t>
      </w:r>
      <w:r>
        <w:rPr>
          <w:lang w:eastAsia="en-US"/>
        </w:rPr>
        <w:t xml:space="preserve"> applications for</w:t>
      </w:r>
      <w:r w:rsidRPr="003A4AF0">
        <w:rPr>
          <w:lang w:eastAsia="en-US"/>
        </w:rPr>
        <w:t xml:space="preserve"> registration </w:t>
      </w:r>
      <w:r>
        <w:rPr>
          <w:lang w:eastAsia="en-US"/>
        </w:rPr>
        <w:t xml:space="preserve">or renewal of registration </w:t>
      </w:r>
      <w:r w:rsidRPr="003A4AF0">
        <w:rPr>
          <w:lang w:eastAsia="en-US"/>
        </w:rPr>
        <w:t>on the Digital Currency Exchange Register</w:t>
      </w:r>
      <w:r>
        <w:rPr>
          <w:lang w:eastAsia="en-US"/>
        </w:rPr>
        <w:t xml:space="preserve"> have</w:t>
      </w:r>
      <w:r w:rsidRPr="003A4AF0">
        <w:rPr>
          <w:lang w:eastAsia="en-US"/>
        </w:rPr>
        <w:t xml:space="preserve"> been </w:t>
      </w:r>
      <w:r>
        <w:rPr>
          <w:lang w:eastAsia="en-US"/>
        </w:rPr>
        <w:t>refused;</w:t>
      </w:r>
    </w:p>
    <w:p w14:paraId="188FD766" w14:textId="77777777" w:rsidR="00645F87" w:rsidRPr="003A4AF0" w:rsidRDefault="00645F87" w:rsidP="00C006DA">
      <w:pPr>
        <w:pStyle w:val="IndentListLevel1"/>
        <w:numPr>
          <w:ilvl w:val="0"/>
          <w:numId w:val="12"/>
        </w:numPr>
        <w:ind w:left="1390" w:hanging="539"/>
        <w:rPr>
          <w:lang w:eastAsia="en-US"/>
        </w:rPr>
      </w:pPr>
      <w:r>
        <w:rPr>
          <w:lang w:eastAsia="en-US"/>
        </w:rPr>
        <w:t>details</w:t>
      </w:r>
      <w:r w:rsidRPr="003A4AF0">
        <w:rPr>
          <w:lang w:eastAsia="en-US"/>
        </w:rPr>
        <w:t xml:space="preserve"> of persons whose registration on the Digital Currency Exchange Register has been </w:t>
      </w:r>
      <w:r>
        <w:rPr>
          <w:lang w:eastAsia="en-US"/>
        </w:rPr>
        <w:t>suspended,</w:t>
      </w:r>
      <w:r w:rsidRPr="003A4AF0">
        <w:rPr>
          <w:lang w:eastAsia="en-US"/>
        </w:rPr>
        <w:t xml:space="preserve"> and the date the </w:t>
      </w:r>
      <w:r>
        <w:rPr>
          <w:lang w:eastAsia="en-US"/>
        </w:rPr>
        <w:t>suspension took effect; and</w:t>
      </w:r>
    </w:p>
    <w:p w14:paraId="61471D4C" w14:textId="77777777" w:rsidR="00645F87" w:rsidRPr="003A4AF0" w:rsidRDefault="00645F87" w:rsidP="00C006DA">
      <w:pPr>
        <w:pStyle w:val="IndentListLevel1"/>
        <w:numPr>
          <w:ilvl w:val="0"/>
          <w:numId w:val="12"/>
        </w:numPr>
        <w:ind w:left="1390" w:hanging="539"/>
        <w:rPr>
          <w:lang w:eastAsia="en-US"/>
        </w:rPr>
      </w:pPr>
      <w:r>
        <w:rPr>
          <w:lang w:eastAsia="en-US"/>
        </w:rPr>
        <w:t>details</w:t>
      </w:r>
      <w:r w:rsidRPr="003A4AF0">
        <w:rPr>
          <w:lang w:eastAsia="en-US"/>
        </w:rPr>
        <w:t xml:space="preserve"> of persons whose registration on the Digital Currency Exchange Register has been cancelled</w:t>
      </w:r>
      <w:r>
        <w:rPr>
          <w:lang w:eastAsia="en-US"/>
        </w:rPr>
        <w:t>,</w:t>
      </w:r>
      <w:r w:rsidRPr="003A4AF0">
        <w:rPr>
          <w:lang w:eastAsia="en-US"/>
        </w:rPr>
        <w:t xml:space="preserve"> and the date the cancellation too</w:t>
      </w:r>
      <w:r>
        <w:rPr>
          <w:lang w:eastAsia="en-US"/>
        </w:rPr>
        <w:t>k effect</w:t>
      </w:r>
      <w:r>
        <w:t>.</w:t>
      </w:r>
    </w:p>
    <w:p w14:paraId="003BE420" w14:textId="77777777" w:rsidR="00645F87" w:rsidRPr="00DC3425" w:rsidRDefault="00645F87" w:rsidP="00645F87">
      <w:pPr>
        <w:spacing w:before="240"/>
        <w:rPr>
          <w:b/>
          <w:sz w:val="24"/>
          <w:lang w:eastAsia="en-AU"/>
        </w:rPr>
      </w:pPr>
      <w:r w:rsidRPr="00DC3425">
        <w:rPr>
          <w:b/>
          <w:sz w:val="24"/>
          <w:lang w:eastAsia="en-AU"/>
        </w:rPr>
        <w:t>Definitions</w:t>
      </w:r>
    </w:p>
    <w:p w14:paraId="14AB483D" w14:textId="025D7DC3" w:rsidR="00645F87" w:rsidRPr="00532741" w:rsidRDefault="00393136" w:rsidP="00645F87">
      <w:pPr>
        <w:pStyle w:val="Heading2"/>
        <w:numPr>
          <w:ilvl w:val="1"/>
          <w:numId w:val="0"/>
        </w:numPr>
        <w:ind w:left="851" w:hanging="851"/>
        <w:rPr>
          <w:b w:val="0"/>
        </w:rPr>
      </w:pPr>
      <w:r>
        <w:rPr>
          <w:b w:val="0"/>
        </w:rPr>
        <w:t>76.22</w:t>
      </w:r>
      <w:r>
        <w:rPr>
          <w:b w:val="0"/>
        </w:rPr>
        <w:tab/>
      </w:r>
      <w:r w:rsidR="00645F87" w:rsidRPr="00532741">
        <w:rPr>
          <w:b w:val="0"/>
        </w:rPr>
        <w:t>In this Chapter:</w:t>
      </w:r>
    </w:p>
    <w:p w14:paraId="09FF10E0" w14:textId="77777777" w:rsidR="00645F87" w:rsidRDefault="00645F87" w:rsidP="00F230E8">
      <w:pPr>
        <w:pStyle w:val="Heading2"/>
        <w:numPr>
          <w:ilvl w:val="0"/>
          <w:numId w:val="4"/>
        </w:numPr>
        <w:ind w:left="1390" w:hanging="539"/>
        <w:rPr>
          <w:b w:val="0"/>
        </w:rPr>
      </w:pPr>
      <w:r>
        <w:rPr>
          <w:b w:val="0"/>
        </w:rPr>
        <w:t>‘approved</w:t>
      </w:r>
      <w:r w:rsidRPr="00DC3425">
        <w:rPr>
          <w:b w:val="0"/>
        </w:rPr>
        <w:t xml:space="preserve">’ means </w:t>
      </w:r>
      <w:r w:rsidRPr="000E4BEB">
        <w:rPr>
          <w:b w:val="0"/>
        </w:rPr>
        <w:t>approved by the AUSTRAC CEO, in writing, for the purposes of the provision in which the term occurs.</w:t>
      </w:r>
    </w:p>
    <w:p w14:paraId="19371283" w14:textId="77777777" w:rsidR="00645F87" w:rsidRPr="00780BB8" w:rsidRDefault="00645F87" w:rsidP="00CB2F03">
      <w:pPr>
        <w:pStyle w:val="Heading2"/>
        <w:numPr>
          <w:ilvl w:val="0"/>
          <w:numId w:val="4"/>
        </w:numPr>
        <w:ind w:left="1701" w:hanging="850"/>
        <w:rPr>
          <w:b w:val="0"/>
        </w:rPr>
      </w:pPr>
      <w:r w:rsidRPr="00780BB8">
        <w:rPr>
          <w:b w:val="0"/>
        </w:rPr>
        <w:t xml:space="preserve">‘authorised individual’ means a natural person who is: </w:t>
      </w:r>
    </w:p>
    <w:p w14:paraId="70CDECE8" w14:textId="77777777" w:rsidR="00645F87" w:rsidRPr="00A83772" w:rsidRDefault="00645F87" w:rsidP="00A83772">
      <w:pPr>
        <w:pStyle w:val="IndentListLevel1"/>
        <w:numPr>
          <w:ilvl w:val="1"/>
          <w:numId w:val="3"/>
        </w:numPr>
        <w:ind w:left="1928" w:hanging="539"/>
      </w:pPr>
      <w:r w:rsidRPr="00780BB8">
        <w:t xml:space="preserve">a beneficial owner; or </w:t>
      </w:r>
    </w:p>
    <w:p w14:paraId="270670F5" w14:textId="77777777" w:rsidR="00645F87" w:rsidRPr="00A83772" w:rsidRDefault="00645F87" w:rsidP="00A83772">
      <w:pPr>
        <w:pStyle w:val="IndentListLevel1"/>
        <w:numPr>
          <w:ilvl w:val="1"/>
          <w:numId w:val="3"/>
        </w:numPr>
        <w:ind w:left="1928" w:hanging="539"/>
      </w:pPr>
      <w:r w:rsidRPr="00780BB8">
        <w:t xml:space="preserve">an officer as defined in section 9 of the </w:t>
      </w:r>
      <w:r w:rsidRPr="00773DAA">
        <w:rPr>
          <w:i/>
        </w:rPr>
        <w:t>Corporations Act 2001</w:t>
      </w:r>
      <w:r w:rsidRPr="00A83772">
        <w:t xml:space="preserve"> </w:t>
      </w:r>
      <w:r w:rsidRPr="00780BB8">
        <w:t>or</w:t>
      </w:r>
      <w:r w:rsidRPr="00A83772">
        <w:t xml:space="preserve">; </w:t>
      </w:r>
    </w:p>
    <w:p w14:paraId="3D28299E" w14:textId="77777777" w:rsidR="00645F87" w:rsidRPr="00A83772" w:rsidRDefault="00645F87" w:rsidP="00A83772">
      <w:pPr>
        <w:pStyle w:val="IndentListLevel1"/>
        <w:numPr>
          <w:ilvl w:val="1"/>
          <w:numId w:val="3"/>
        </w:numPr>
        <w:ind w:left="1928" w:hanging="539"/>
      </w:pPr>
      <w:r w:rsidRPr="00780BB8">
        <w:t>an employee of the applicant who has been authorised in writing by an applicant to act in this capacity;</w:t>
      </w:r>
    </w:p>
    <w:p w14:paraId="48D1583B" w14:textId="77777777" w:rsidR="00645F87" w:rsidRPr="00A2276E" w:rsidRDefault="00645F87" w:rsidP="00CB2F03">
      <w:pPr>
        <w:pStyle w:val="Heading2"/>
        <w:numPr>
          <w:ilvl w:val="0"/>
          <w:numId w:val="4"/>
        </w:numPr>
        <w:ind w:left="1701" w:hanging="850"/>
        <w:rPr>
          <w:b w:val="0"/>
        </w:rPr>
      </w:pPr>
      <w:r w:rsidRPr="00A2276E">
        <w:rPr>
          <w:b w:val="0"/>
        </w:rPr>
        <w:t xml:space="preserve">‘key personnel’ means: </w:t>
      </w:r>
    </w:p>
    <w:p w14:paraId="2232B45D" w14:textId="77777777" w:rsidR="00645F87" w:rsidRPr="00512549" w:rsidRDefault="00645F87" w:rsidP="00512549">
      <w:pPr>
        <w:pStyle w:val="IndentListLevel1"/>
        <w:numPr>
          <w:ilvl w:val="0"/>
          <w:numId w:val="21"/>
        </w:numPr>
        <w:ind w:left="1928" w:hanging="539"/>
      </w:pPr>
      <w:r w:rsidRPr="00A2276E">
        <w:t xml:space="preserve">in the case of a company, corporation sole or body politic, is a natural person that is; </w:t>
      </w:r>
    </w:p>
    <w:p w14:paraId="0E3E20F7" w14:textId="77777777" w:rsidR="00645F87" w:rsidRPr="005F5ADE" w:rsidRDefault="00645F87" w:rsidP="005F5ADE">
      <w:pPr>
        <w:pStyle w:val="IndentListLevel1"/>
        <w:numPr>
          <w:ilvl w:val="2"/>
          <w:numId w:val="3"/>
        </w:numPr>
        <w:ind w:left="2517" w:hanging="181"/>
        <w:rPr>
          <w:lang w:eastAsia="en-US"/>
        </w:rPr>
      </w:pPr>
      <w:r w:rsidRPr="00A2276E">
        <w:rPr>
          <w:lang w:eastAsia="en-US"/>
        </w:rPr>
        <w:t>a beneficial owner; or</w:t>
      </w:r>
    </w:p>
    <w:p w14:paraId="00835AA8" w14:textId="77777777" w:rsidR="00645F87" w:rsidRPr="005F5ADE" w:rsidRDefault="00645F87" w:rsidP="005F5ADE">
      <w:pPr>
        <w:pStyle w:val="IndentListLevel1"/>
        <w:numPr>
          <w:ilvl w:val="2"/>
          <w:numId w:val="3"/>
        </w:numPr>
        <w:ind w:left="2517" w:hanging="181"/>
        <w:rPr>
          <w:lang w:eastAsia="en-US"/>
        </w:rPr>
      </w:pPr>
      <w:r w:rsidRPr="00A2276E">
        <w:rPr>
          <w:lang w:eastAsia="en-US"/>
        </w:rPr>
        <w:t xml:space="preserve">an officer as defined in section 9 of the </w:t>
      </w:r>
      <w:r w:rsidRPr="00773DAA">
        <w:rPr>
          <w:i/>
          <w:lang w:eastAsia="en-US"/>
        </w:rPr>
        <w:t>Corporations Act 2001</w:t>
      </w:r>
      <w:r w:rsidRPr="00A2276E">
        <w:rPr>
          <w:lang w:eastAsia="en-US"/>
        </w:rPr>
        <w:t>, or an employee or agent of the body corporate with duties of such responsibility that his or her conduct may fairly be assumed to represent the body corporate's policy;</w:t>
      </w:r>
    </w:p>
    <w:p w14:paraId="4A3997FA" w14:textId="77777777" w:rsidR="00645F87" w:rsidRPr="00512549" w:rsidRDefault="00645F87" w:rsidP="00512549">
      <w:pPr>
        <w:pStyle w:val="IndentListLevel1"/>
        <w:numPr>
          <w:ilvl w:val="0"/>
          <w:numId w:val="21"/>
        </w:numPr>
        <w:ind w:left="1928" w:hanging="539"/>
      </w:pPr>
      <w:r w:rsidRPr="00A2276E">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1E882D76" w14:textId="77777777" w:rsidR="00645F87" w:rsidRDefault="00645F87" w:rsidP="00CB2F03">
      <w:pPr>
        <w:pStyle w:val="Heading2"/>
        <w:numPr>
          <w:ilvl w:val="0"/>
          <w:numId w:val="4"/>
        </w:numPr>
        <w:ind w:left="1701" w:hanging="850"/>
        <w:rPr>
          <w:b w:val="0"/>
        </w:rPr>
      </w:pPr>
      <w:r w:rsidRPr="00A2276E">
        <w:rPr>
          <w:b w:val="0"/>
        </w:rPr>
        <w:t>‘serious offence’ means:</w:t>
      </w:r>
    </w:p>
    <w:p w14:paraId="6944CC6D" w14:textId="77777777" w:rsidR="00645F87" w:rsidRPr="00A2276E" w:rsidRDefault="00645F87" w:rsidP="00773DAA">
      <w:pPr>
        <w:pStyle w:val="Heading2"/>
        <w:numPr>
          <w:ilvl w:val="1"/>
          <w:numId w:val="4"/>
        </w:numPr>
        <w:ind w:left="1928" w:hanging="510"/>
        <w:rPr>
          <w:b w:val="0"/>
        </w:rPr>
      </w:pPr>
      <w:r w:rsidRPr="00A2276E">
        <w:rPr>
          <w:b w:val="0"/>
        </w:rPr>
        <w:lastRenderedPageBreak/>
        <w:t xml:space="preserve">an offence against a law of the Commonwealth, or a law of a State or Territory, punishable on indictment by imprisonment </w:t>
      </w:r>
      <w:r>
        <w:rPr>
          <w:b w:val="0"/>
        </w:rPr>
        <w:t>for 2 or more years</w:t>
      </w:r>
      <w:r w:rsidRPr="00A2276E">
        <w:rPr>
          <w:b w:val="0"/>
        </w:rPr>
        <w:t>; or</w:t>
      </w:r>
    </w:p>
    <w:p w14:paraId="0F635328" w14:textId="77777777" w:rsidR="00645F87" w:rsidRDefault="00645F87" w:rsidP="00773DAA">
      <w:pPr>
        <w:pStyle w:val="Heading2"/>
        <w:numPr>
          <w:ilvl w:val="1"/>
          <w:numId w:val="4"/>
        </w:numPr>
        <w:ind w:left="1928" w:hanging="510"/>
        <w:rPr>
          <w:b w:val="0"/>
        </w:rPr>
      </w:pPr>
      <w:r w:rsidRPr="00A2276E">
        <w:rPr>
          <w:b w:val="0"/>
        </w:rPr>
        <w:t>an offence against a law of a foreign country constituted by conduct that, if it had occurred in Australia, would have constituted a serious offence.</w:t>
      </w:r>
    </w:p>
    <w:p w14:paraId="40C37FB3" w14:textId="34700229" w:rsidR="000B2653" w:rsidRDefault="000B2653" w:rsidP="000B2653">
      <w:pPr>
        <w:spacing w:before="240" w:after="240"/>
        <w:rPr>
          <w:rFonts w:ascii="Times New Roman" w:hAnsi="Times New Roman"/>
          <w:sz w:val="24"/>
          <w:lang w:eastAsia="en-AU"/>
        </w:rPr>
      </w:pPr>
    </w:p>
    <w:p w14:paraId="6A811D47" w14:textId="77777777" w:rsidR="00C406AA" w:rsidRPr="00163B57" w:rsidRDefault="00C406AA" w:rsidP="00C406AA">
      <w:pPr>
        <w:pStyle w:val="Default"/>
        <w:rPr>
          <w:iCs/>
        </w:rPr>
      </w:pPr>
      <w:r w:rsidRPr="006E69A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32917C1" w14:textId="77777777" w:rsidR="00C406AA" w:rsidRPr="000B2653" w:rsidRDefault="00C406AA" w:rsidP="000B2653">
      <w:pPr>
        <w:spacing w:before="240" w:after="240"/>
        <w:rPr>
          <w:rFonts w:ascii="Times New Roman" w:hAnsi="Times New Roman"/>
          <w:sz w:val="24"/>
          <w:lang w:eastAsia="en-AU"/>
        </w:rPr>
      </w:pPr>
    </w:p>
    <w:p w14:paraId="73708B50" w14:textId="77777777" w:rsidR="00AB55F2" w:rsidRPr="00730942" w:rsidRDefault="00AB55F2" w:rsidP="00AB55F2">
      <w:pPr>
        <w:spacing w:before="240" w:after="240"/>
        <w:rPr>
          <w:rFonts w:ascii="Times New Roman" w:hAnsi="Times New Roman"/>
          <w:sz w:val="24"/>
          <w:lang w:eastAsia="en-AU"/>
        </w:rPr>
      </w:pPr>
    </w:p>
    <w:p w14:paraId="104358FB" w14:textId="77777777" w:rsidR="00B55B29" w:rsidRPr="00B55B29" w:rsidRDefault="00B55B29" w:rsidP="00B8001B">
      <w:pPr>
        <w:autoSpaceDE w:val="0"/>
        <w:autoSpaceDN w:val="0"/>
        <w:adjustRightInd w:val="0"/>
        <w:spacing w:before="240"/>
        <w:ind w:left="567" w:hanging="567"/>
        <w:rPr>
          <w:rFonts w:ascii="Arial" w:hAnsi="Arial" w:cs="Arial"/>
          <w:b/>
          <w:sz w:val="32"/>
          <w:szCs w:val="32"/>
        </w:rPr>
      </w:pPr>
    </w:p>
    <w:sectPr w:rsidR="00B55B29" w:rsidRPr="00B55B29">
      <w:footerReference w:type="even"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488A2" w14:textId="77777777" w:rsidR="00725B3A" w:rsidRDefault="00725B3A">
      <w:r>
        <w:separator/>
      </w:r>
    </w:p>
  </w:endnote>
  <w:endnote w:type="continuationSeparator" w:id="0">
    <w:p w14:paraId="2312D8CE" w14:textId="77777777" w:rsidR="00725B3A" w:rsidRDefault="0072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827C" w14:textId="77777777" w:rsidR="00725B3A" w:rsidRDefault="00725B3A" w:rsidP="00267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4940">
      <w:rPr>
        <w:rStyle w:val="PageNumber"/>
        <w:noProof/>
      </w:rPr>
      <w:t>9</w:t>
    </w:r>
    <w:r>
      <w:rPr>
        <w:rStyle w:val="PageNumber"/>
      </w:rPr>
      <w:fldChar w:fldCharType="end"/>
    </w:r>
  </w:p>
  <w:p w14:paraId="35B4AB36" w14:textId="77777777" w:rsidR="00725B3A" w:rsidRDefault="00725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8A87A" w14:textId="77777777" w:rsidR="00725B3A" w:rsidRDefault="00725B3A">
      <w:r>
        <w:separator/>
      </w:r>
    </w:p>
  </w:footnote>
  <w:footnote w:type="continuationSeparator" w:id="0">
    <w:p w14:paraId="6E91D724" w14:textId="77777777" w:rsidR="00725B3A" w:rsidRDefault="00725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680"/>
    <w:multiLevelType w:val="hybridMultilevel"/>
    <w:tmpl w:val="DBE463DE"/>
    <w:lvl w:ilvl="0" w:tplc="19981C54">
      <w:start w:val="1"/>
      <w:numFmt w:val="lowerLetter"/>
      <w:lvlText w:val="(%1)"/>
      <w:lvlJc w:val="left"/>
      <w:pPr>
        <w:ind w:left="2433"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D40B59"/>
    <w:multiLevelType w:val="hybridMultilevel"/>
    <w:tmpl w:val="D446235E"/>
    <w:lvl w:ilvl="0" w:tplc="E47E7A0E">
      <w:start w:val="1"/>
      <w:numFmt w:val="decimal"/>
      <w:pStyle w:val="IndentListLevel1"/>
      <w:lvlText w:val="(%1)"/>
      <w:lvlJc w:val="left"/>
      <w:pPr>
        <w:ind w:left="1353" w:hanging="360"/>
      </w:pPr>
      <w:rPr>
        <w:rFonts w:hint="default"/>
      </w:rPr>
    </w:lvl>
    <w:lvl w:ilvl="1" w:tplc="19981C54">
      <w:start w:val="1"/>
      <w:numFmt w:val="lowerLetter"/>
      <w:lvlText w:val="(%2)"/>
      <w:lvlJc w:val="left"/>
      <w:pPr>
        <w:ind w:left="2433" w:hanging="720"/>
      </w:pPr>
      <w:rPr>
        <w:rFonts w:hint="default"/>
      </w:r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15:restartNumberingAfterBreak="0">
    <w:nsid w:val="147338BC"/>
    <w:multiLevelType w:val="hybridMultilevel"/>
    <w:tmpl w:val="BD20EE96"/>
    <w:lvl w:ilvl="0" w:tplc="D14A838A">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35B77DAD"/>
    <w:multiLevelType w:val="hybridMultilevel"/>
    <w:tmpl w:val="25CC6848"/>
    <w:lvl w:ilvl="0" w:tplc="C50CFE3A">
      <w:start w:val="1"/>
      <w:numFmt w:val="decimal"/>
      <w:lvlText w:val="(%1)"/>
      <w:lvlJc w:val="left"/>
      <w:pPr>
        <w:ind w:left="1211" w:hanging="360"/>
      </w:pPr>
      <w:rPr>
        <w:rFonts w:hint="default"/>
      </w:rPr>
    </w:lvl>
    <w:lvl w:ilvl="1" w:tplc="19981C54">
      <w:start w:val="1"/>
      <w:numFmt w:val="lowerLetter"/>
      <w:lvlText w:val="(%2)"/>
      <w:lvlJc w:val="left"/>
      <w:pPr>
        <w:ind w:left="2291" w:hanging="72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57AE71A0"/>
    <w:multiLevelType w:val="hybridMultilevel"/>
    <w:tmpl w:val="4E14C918"/>
    <w:lvl w:ilvl="0" w:tplc="1AA453E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CBC2943"/>
    <w:multiLevelType w:val="multilevel"/>
    <w:tmpl w:val="22E89CEA"/>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1325"/>
        </w:tabs>
        <w:ind w:left="1325" w:hanging="425"/>
      </w:pPr>
      <w:rPr>
        <w:rFonts w:ascii="Times New Roman" w:eastAsia="Times New Roman" w:hAnsi="Times New Roman"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6" w15:restartNumberingAfterBreak="0">
    <w:nsid w:val="7A1C67BE"/>
    <w:multiLevelType w:val="hybridMultilevel"/>
    <w:tmpl w:val="18B66FB4"/>
    <w:lvl w:ilvl="0" w:tplc="C50CFE3A">
      <w:start w:val="1"/>
      <w:numFmt w:val="decimal"/>
      <w:lvlText w:val="(%1)"/>
      <w:lvlJc w:val="left"/>
      <w:pPr>
        <w:ind w:left="1211" w:hanging="360"/>
      </w:pPr>
      <w:rPr>
        <w:rFonts w:hint="default"/>
      </w:rPr>
    </w:lvl>
    <w:lvl w:ilvl="1" w:tplc="19981C54">
      <w:start w:val="1"/>
      <w:numFmt w:val="lowerLetter"/>
      <w:lvlText w:val="(%2)"/>
      <w:lvlJc w:val="left"/>
      <w:pPr>
        <w:ind w:left="2291" w:hanging="720"/>
      </w:pPr>
      <w:rPr>
        <w:rFonts w:hint="default"/>
      </w:rPr>
    </w:lvl>
    <w:lvl w:ilvl="2" w:tplc="CECE39DC">
      <w:start w:val="1"/>
      <w:numFmt w:val="lowerRoman"/>
      <w:lvlText w:val="(%3)"/>
      <w:lvlJc w:val="left"/>
      <w:pPr>
        <w:ind w:left="2651" w:hanging="180"/>
      </w:pPr>
      <w:rPr>
        <w:rFonts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4"/>
  </w:num>
  <w:num w:numId="3">
    <w:abstractNumId w:val="1"/>
  </w:num>
  <w:num w:numId="4">
    <w:abstractNumId w:val="6"/>
  </w:num>
  <w:num w:numId="5">
    <w:abstractNumId w:val="3"/>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0"/>
  </w:num>
  <w:num w:numId="22">
    <w:abstractNumId w:val="1"/>
  </w:num>
  <w:num w:numId="23">
    <w:abstractNumId w:val="1"/>
  </w:num>
  <w:num w:numId="24">
    <w:abstractNumId w:val="1"/>
  </w:num>
  <w:num w:numId="25">
    <w:abstractNumId w:val="1"/>
  </w:num>
  <w:num w:numId="26">
    <w:abstractNumId w:val="1"/>
  </w:num>
  <w:num w:numId="2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AC5"/>
    <w:rsid w:val="00001AA1"/>
    <w:rsid w:val="00001CD3"/>
    <w:rsid w:val="00003C3C"/>
    <w:rsid w:val="000114B9"/>
    <w:rsid w:val="00022233"/>
    <w:rsid w:val="000229AE"/>
    <w:rsid w:val="00022CC4"/>
    <w:rsid w:val="00023531"/>
    <w:rsid w:val="00024678"/>
    <w:rsid w:val="00024FCF"/>
    <w:rsid w:val="000309E8"/>
    <w:rsid w:val="00034375"/>
    <w:rsid w:val="00035795"/>
    <w:rsid w:val="00042C01"/>
    <w:rsid w:val="00044071"/>
    <w:rsid w:val="00045C9D"/>
    <w:rsid w:val="0005087F"/>
    <w:rsid w:val="00053AA3"/>
    <w:rsid w:val="00057191"/>
    <w:rsid w:val="00063416"/>
    <w:rsid w:val="00065073"/>
    <w:rsid w:val="00070F3B"/>
    <w:rsid w:val="00070FAB"/>
    <w:rsid w:val="00071049"/>
    <w:rsid w:val="00077221"/>
    <w:rsid w:val="00085C54"/>
    <w:rsid w:val="00086429"/>
    <w:rsid w:val="00090A04"/>
    <w:rsid w:val="000930EC"/>
    <w:rsid w:val="00094B82"/>
    <w:rsid w:val="000978E4"/>
    <w:rsid w:val="000A0B6C"/>
    <w:rsid w:val="000A44BD"/>
    <w:rsid w:val="000A7118"/>
    <w:rsid w:val="000A7974"/>
    <w:rsid w:val="000B2653"/>
    <w:rsid w:val="000D1DC2"/>
    <w:rsid w:val="000E2E31"/>
    <w:rsid w:val="000E5734"/>
    <w:rsid w:val="000E659E"/>
    <w:rsid w:val="000F2C03"/>
    <w:rsid w:val="00101432"/>
    <w:rsid w:val="00101905"/>
    <w:rsid w:val="00101F7A"/>
    <w:rsid w:val="00104AB5"/>
    <w:rsid w:val="00114766"/>
    <w:rsid w:val="001156F3"/>
    <w:rsid w:val="0011785B"/>
    <w:rsid w:val="00122694"/>
    <w:rsid w:val="0012271C"/>
    <w:rsid w:val="00123EAE"/>
    <w:rsid w:val="00134832"/>
    <w:rsid w:val="00147F30"/>
    <w:rsid w:val="00154255"/>
    <w:rsid w:val="00157BF6"/>
    <w:rsid w:val="00161559"/>
    <w:rsid w:val="0017190D"/>
    <w:rsid w:val="00171A90"/>
    <w:rsid w:val="00172596"/>
    <w:rsid w:val="001737CA"/>
    <w:rsid w:val="00182017"/>
    <w:rsid w:val="0018441A"/>
    <w:rsid w:val="001853C0"/>
    <w:rsid w:val="00197D48"/>
    <w:rsid w:val="001A4926"/>
    <w:rsid w:val="001A6413"/>
    <w:rsid w:val="001B6068"/>
    <w:rsid w:val="001B63FA"/>
    <w:rsid w:val="001C0E69"/>
    <w:rsid w:val="001C19F2"/>
    <w:rsid w:val="001C28BE"/>
    <w:rsid w:val="001C5103"/>
    <w:rsid w:val="001D1606"/>
    <w:rsid w:val="001D1877"/>
    <w:rsid w:val="001D3559"/>
    <w:rsid w:val="001D391C"/>
    <w:rsid w:val="001D6830"/>
    <w:rsid w:val="001D6A71"/>
    <w:rsid w:val="001E4B14"/>
    <w:rsid w:val="00200CE6"/>
    <w:rsid w:val="00203BA6"/>
    <w:rsid w:val="0021109D"/>
    <w:rsid w:val="00213004"/>
    <w:rsid w:val="00214208"/>
    <w:rsid w:val="00231B0A"/>
    <w:rsid w:val="002368A8"/>
    <w:rsid w:val="00245CD5"/>
    <w:rsid w:val="00245DEE"/>
    <w:rsid w:val="00263507"/>
    <w:rsid w:val="00265868"/>
    <w:rsid w:val="00267AC5"/>
    <w:rsid w:val="00270B3F"/>
    <w:rsid w:val="002830D1"/>
    <w:rsid w:val="0029065E"/>
    <w:rsid w:val="00292DFA"/>
    <w:rsid w:val="002942D7"/>
    <w:rsid w:val="002A660E"/>
    <w:rsid w:val="002B0655"/>
    <w:rsid w:val="002B7343"/>
    <w:rsid w:val="002C315D"/>
    <w:rsid w:val="002D104A"/>
    <w:rsid w:val="002D177A"/>
    <w:rsid w:val="002D392F"/>
    <w:rsid w:val="002D551F"/>
    <w:rsid w:val="002E1E85"/>
    <w:rsid w:val="002E2F1C"/>
    <w:rsid w:val="002E3569"/>
    <w:rsid w:val="002E49BD"/>
    <w:rsid w:val="002F0DFD"/>
    <w:rsid w:val="002F33C7"/>
    <w:rsid w:val="00300EF7"/>
    <w:rsid w:val="003013EC"/>
    <w:rsid w:val="00304A3F"/>
    <w:rsid w:val="00304C17"/>
    <w:rsid w:val="00305227"/>
    <w:rsid w:val="003130DC"/>
    <w:rsid w:val="00316550"/>
    <w:rsid w:val="00320686"/>
    <w:rsid w:val="00324035"/>
    <w:rsid w:val="00324F0F"/>
    <w:rsid w:val="003269A0"/>
    <w:rsid w:val="003276CA"/>
    <w:rsid w:val="00327927"/>
    <w:rsid w:val="00327C31"/>
    <w:rsid w:val="00327C72"/>
    <w:rsid w:val="00330066"/>
    <w:rsid w:val="00337A28"/>
    <w:rsid w:val="00340DF8"/>
    <w:rsid w:val="003460C3"/>
    <w:rsid w:val="0034741C"/>
    <w:rsid w:val="00347AAE"/>
    <w:rsid w:val="00350244"/>
    <w:rsid w:val="0036259E"/>
    <w:rsid w:val="003638EA"/>
    <w:rsid w:val="003650AA"/>
    <w:rsid w:val="00365BFF"/>
    <w:rsid w:val="00367B27"/>
    <w:rsid w:val="003714D8"/>
    <w:rsid w:val="00376C6C"/>
    <w:rsid w:val="00385230"/>
    <w:rsid w:val="00385861"/>
    <w:rsid w:val="00386360"/>
    <w:rsid w:val="00393136"/>
    <w:rsid w:val="003A0DE5"/>
    <w:rsid w:val="003A1A45"/>
    <w:rsid w:val="003A2557"/>
    <w:rsid w:val="003A55BF"/>
    <w:rsid w:val="003A73B8"/>
    <w:rsid w:val="003B1089"/>
    <w:rsid w:val="003B1CD4"/>
    <w:rsid w:val="003B2FD3"/>
    <w:rsid w:val="003B334E"/>
    <w:rsid w:val="003B5E51"/>
    <w:rsid w:val="003B5E72"/>
    <w:rsid w:val="003C1C5E"/>
    <w:rsid w:val="003C3A0C"/>
    <w:rsid w:val="003C4603"/>
    <w:rsid w:val="003C7327"/>
    <w:rsid w:val="003D3A47"/>
    <w:rsid w:val="003D6127"/>
    <w:rsid w:val="003E712A"/>
    <w:rsid w:val="003F2A10"/>
    <w:rsid w:val="003F4C29"/>
    <w:rsid w:val="00400400"/>
    <w:rsid w:val="0040110E"/>
    <w:rsid w:val="00406838"/>
    <w:rsid w:val="00432BE0"/>
    <w:rsid w:val="00432FF0"/>
    <w:rsid w:val="00433E2C"/>
    <w:rsid w:val="0043707E"/>
    <w:rsid w:val="0043763C"/>
    <w:rsid w:val="00440B53"/>
    <w:rsid w:val="00441D69"/>
    <w:rsid w:val="00445AAE"/>
    <w:rsid w:val="004601AA"/>
    <w:rsid w:val="00463561"/>
    <w:rsid w:val="00464913"/>
    <w:rsid w:val="00466942"/>
    <w:rsid w:val="00474F8E"/>
    <w:rsid w:val="00484B71"/>
    <w:rsid w:val="00485718"/>
    <w:rsid w:val="00490D49"/>
    <w:rsid w:val="0049221E"/>
    <w:rsid w:val="00492FE9"/>
    <w:rsid w:val="0049701A"/>
    <w:rsid w:val="004A0B38"/>
    <w:rsid w:val="004B15E8"/>
    <w:rsid w:val="004B1E01"/>
    <w:rsid w:val="004B4436"/>
    <w:rsid w:val="004B489D"/>
    <w:rsid w:val="004B5A6B"/>
    <w:rsid w:val="004B5C27"/>
    <w:rsid w:val="004B6809"/>
    <w:rsid w:val="004C5D38"/>
    <w:rsid w:val="004D0DE9"/>
    <w:rsid w:val="004F4D09"/>
    <w:rsid w:val="005037B4"/>
    <w:rsid w:val="005103F8"/>
    <w:rsid w:val="00510D6A"/>
    <w:rsid w:val="00512549"/>
    <w:rsid w:val="00521DFA"/>
    <w:rsid w:val="00525AD7"/>
    <w:rsid w:val="00531AD1"/>
    <w:rsid w:val="00534D7C"/>
    <w:rsid w:val="00536C84"/>
    <w:rsid w:val="00537CDA"/>
    <w:rsid w:val="0054018E"/>
    <w:rsid w:val="00547B85"/>
    <w:rsid w:val="00547D22"/>
    <w:rsid w:val="00553B36"/>
    <w:rsid w:val="00557189"/>
    <w:rsid w:val="00557350"/>
    <w:rsid w:val="005605BA"/>
    <w:rsid w:val="00566F10"/>
    <w:rsid w:val="00586BCA"/>
    <w:rsid w:val="005A4692"/>
    <w:rsid w:val="005A666A"/>
    <w:rsid w:val="005C0F96"/>
    <w:rsid w:val="005C176A"/>
    <w:rsid w:val="005C497B"/>
    <w:rsid w:val="005C747A"/>
    <w:rsid w:val="005D2E86"/>
    <w:rsid w:val="005D4E97"/>
    <w:rsid w:val="005D67E7"/>
    <w:rsid w:val="005E2AD0"/>
    <w:rsid w:val="005E2C67"/>
    <w:rsid w:val="005E2CC0"/>
    <w:rsid w:val="005E31D0"/>
    <w:rsid w:val="005F0B81"/>
    <w:rsid w:val="005F5ADE"/>
    <w:rsid w:val="0060270F"/>
    <w:rsid w:val="006046C3"/>
    <w:rsid w:val="0060485E"/>
    <w:rsid w:val="00604B15"/>
    <w:rsid w:val="00607C32"/>
    <w:rsid w:val="0061056E"/>
    <w:rsid w:val="00610EEA"/>
    <w:rsid w:val="00615FD0"/>
    <w:rsid w:val="00621FE1"/>
    <w:rsid w:val="00625EC6"/>
    <w:rsid w:val="0062775F"/>
    <w:rsid w:val="00627F07"/>
    <w:rsid w:val="006323EB"/>
    <w:rsid w:val="00635A00"/>
    <w:rsid w:val="00640109"/>
    <w:rsid w:val="006424A8"/>
    <w:rsid w:val="00644276"/>
    <w:rsid w:val="00645F87"/>
    <w:rsid w:val="006474D5"/>
    <w:rsid w:val="0066457C"/>
    <w:rsid w:val="00666137"/>
    <w:rsid w:val="00675036"/>
    <w:rsid w:val="006757A9"/>
    <w:rsid w:val="0067588A"/>
    <w:rsid w:val="006806B2"/>
    <w:rsid w:val="0068425E"/>
    <w:rsid w:val="00684C28"/>
    <w:rsid w:val="006857EB"/>
    <w:rsid w:val="0068617F"/>
    <w:rsid w:val="00687917"/>
    <w:rsid w:val="006903BA"/>
    <w:rsid w:val="006905E3"/>
    <w:rsid w:val="00690A06"/>
    <w:rsid w:val="00692127"/>
    <w:rsid w:val="00693230"/>
    <w:rsid w:val="006A3617"/>
    <w:rsid w:val="006A45B7"/>
    <w:rsid w:val="006A6A98"/>
    <w:rsid w:val="006B434D"/>
    <w:rsid w:val="006C42EB"/>
    <w:rsid w:val="006E36DA"/>
    <w:rsid w:val="006E4FA3"/>
    <w:rsid w:val="006E5452"/>
    <w:rsid w:val="006E5F27"/>
    <w:rsid w:val="006F05E1"/>
    <w:rsid w:val="006F116E"/>
    <w:rsid w:val="006F3E09"/>
    <w:rsid w:val="006F3E7B"/>
    <w:rsid w:val="006F471C"/>
    <w:rsid w:val="006F5D47"/>
    <w:rsid w:val="0070088D"/>
    <w:rsid w:val="00710B82"/>
    <w:rsid w:val="00715A08"/>
    <w:rsid w:val="00716B54"/>
    <w:rsid w:val="00725B3A"/>
    <w:rsid w:val="00731203"/>
    <w:rsid w:val="007335F2"/>
    <w:rsid w:val="0073399A"/>
    <w:rsid w:val="007349BA"/>
    <w:rsid w:val="007434C7"/>
    <w:rsid w:val="00750347"/>
    <w:rsid w:val="0075397C"/>
    <w:rsid w:val="0075722F"/>
    <w:rsid w:val="007629E2"/>
    <w:rsid w:val="00763029"/>
    <w:rsid w:val="00773530"/>
    <w:rsid w:val="00773DAA"/>
    <w:rsid w:val="00777645"/>
    <w:rsid w:val="00781C25"/>
    <w:rsid w:val="0079716D"/>
    <w:rsid w:val="007A0879"/>
    <w:rsid w:val="007B20A0"/>
    <w:rsid w:val="007B4339"/>
    <w:rsid w:val="007B4A18"/>
    <w:rsid w:val="007C52B3"/>
    <w:rsid w:val="007D135E"/>
    <w:rsid w:val="007D3203"/>
    <w:rsid w:val="007D4B87"/>
    <w:rsid w:val="007D72FE"/>
    <w:rsid w:val="007E20A3"/>
    <w:rsid w:val="007E2BBD"/>
    <w:rsid w:val="007E6551"/>
    <w:rsid w:val="007F294B"/>
    <w:rsid w:val="00803737"/>
    <w:rsid w:val="00804DDA"/>
    <w:rsid w:val="00806AE2"/>
    <w:rsid w:val="00810308"/>
    <w:rsid w:val="00815375"/>
    <w:rsid w:val="0082059D"/>
    <w:rsid w:val="0082443C"/>
    <w:rsid w:val="008339B6"/>
    <w:rsid w:val="008343B2"/>
    <w:rsid w:val="008354D7"/>
    <w:rsid w:val="00836CDB"/>
    <w:rsid w:val="00844D9E"/>
    <w:rsid w:val="008528FA"/>
    <w:rsid w:val="00853128"/>
    <w:rsid w:val="00864940"/>
    <w:rsid w:val="00867590"/>
    <w:rsid w:val="00867C3C"/>
    <w:rsid w:val="008727B9"/>
    <w:rsid w:val="00874A7B"/>
    <w:rsid w:val="008751C2"/>
    <w:rsid w:val="008803AC"/>
    <w:rsid w:val="00880F12"/>
    <w:rsid w:val="008836A2"/>
    <w:rsid w:val="008929D0"/>
    <w:rsid w:val="00893759"/>
    <w:rsid w:val="00895EC9"/>
    <w:rsid w:val="008A46FE"/>
    <w:rsid w:val="008C0128"/>
    <w:rsid w:val="008C57C8"/>
    <w:rsid w:val="008C758A"/>
    <w:rsid w:val="008D48C9"/>
    <w:rsid w:val="008D6834"/>
    <w:rsid w:val="008E1455"/>
    <w:rsid w:val="008E697F"/>
    <w:rsid w:val="008F4A2A"/>
    <w:rsid w:val="008F6EB6"/>
    <w:rsid w:val="0091043E"/>
    <w:rsid w:val="00911781"/>
    <w:rsid w:val="00911BD8"/>
    <w:rsid w:val="00925B6E"/>
    <w:rsid w:val="009367DA"/>
    <w:rsid w:val="009368CE"/>
    <w:rsid w:val="00937C6C"/>
    <w:rsid w:val="009421D6"/>
    <w:rsid w:val="00943252"/>
    <w:rsid w:val="00946684"/>
    <w:rsid w:val="00946D2F"/>
    <w:rsid w:val="00954789"/>
    <w:rsid w:val="00957BAC"/>
    <w:rsid w:val="00972299"/>
    <w:rsid w:val="00975100"/>
    <w:rsid w:val="00980667"/>
    <w:rsid w:val="0098404F"/>
    <w:rsid w:val="0099236A"/>
    <w:rsid w:val="0099257B"/>
    <w:rsid w:val="009949C9"/>
    <w:rsid w:val="009962F7"/>
    <w:rsid w:val="009A47FD"/>
    <w:rsid w:val="009B2190"/>
    <w:rsid w:val="009B4496"/>
    <w:rsid w:val="009B65AE"/>
    <w:rsid w:val="009B79F1"/>
    <w:rsid w:val="009C4A41"/>
    <w:rsid w:val="009C6B7B"/>
    <w:rsid w:val="009D263D"/>
    <w:rsid w:val="009D678C"/>
    <w:rsid w:val="009D6C58"/>
    <w:rsid w:val="009D7365"/>
    <w:rsid w:val="009F1F93"/>
    <w:rsid w:val="009F336A"/>
    <w:rsid w:val="00A0104A"/>
    <w:rsid w:val="00A015B7"/>
    <w:rsid w:val="00A07175"/>
    <w:rsid w:val="00A0745B"/>
    <w:rsid w:val="00A103EB"/>
    <w:rsid w:val="00A15B82"/>
    <w:rsid w:val="00A25CC7"/>
    <w:rsid w:val="00A30061"/>
    <w:rsid w:val="00A314D8"/>
    <w:rsid w:val="00A31AFC"/>
    <w:rsid w:val="00A3319F"/>
    <w:rsid w:val="00A365D1"/>
    <w:rsid w:val="00A37EF2"/>
    <w:rsid w:val="00A448AB"/>
    <w:rsid w:val="00A61151"/>
    <w:rsid w:val="00A63263"/>
    <w:rsid w:val="00A70F1D"/>
    <w:rsid w:val="00A73472"/>
    <w:rsid w:val="00A7363E"/>
    <w:rsid w:val="00A809B3"/>
    <w:rsid w:val="00A82FF9"/>
    <w:rsid w:val="00A83772"/>
    <w:rsid w:val="00A86953"/>
    <w:rsid w:val="00A92DC6"/>
    <w:rsid w:val="00A97308"/>
    <w:rsid w:val="00AA49E9"/>
    <w:rsid w:val="00AA60F9"/>
    <w:rsid w:val="00AB55F2"/>
    <w:rsid w:val="00AB68B8"/>
    <w:rsid w:val="00AC4D19"/>
    <w:rsid w:val="00AD5190"/>
    <w:rsid w:val="00AD54FC"/>
    <w:rsid w:val="00AE398F"/>
    <w:rsid w:val="00AE4B4F"/>
    <w:rsid w:val="00AF2133"/>
    <w:rsid w:val="00AF59AC"/>
    <w:rsid w:val="00B00A76"/>
    <w:rsid w:val="00B02505"/>
    <w:rsid w:val="00B0323B"/>
    <w:rsid w:val="00B03BDE"/>
    <w:rsid w:val="00B05435"/>
    <w:rsid w:val="00B06C8D"/>
    <w:rsid w:val="00B07478"/>
    <w:rsid w:val="00B1120A"/>
    <w:rsid w:val="00B15E58"/>
    <w:rsid w:val="00B16170"/>
    <w:rsid w:val="00B20C44"/>
    <w:rsid w:val="00B2438C"/>
    <w:rsid w:val="00B312FF"/>
    <w:rsid w:val="00B345E1"/>
    <w:rsid w:val="00B35188"/>
    <w:rsid w:val="00B35389"/>
    <w:rsid w:val="00B5106A"/>
    <w:rsid w:val="00B52186"/>
    <w:rsid w:val="00B55B29"/>
    <w:rsid w:val="00B62498"/>
    <w:rsid w:val="00B64677"/>
    <w:rsid w:val="00B64ECC"/>
    <w:rsid w:val="00B70988"/>
    <w:rsid w:val="00B74B14"/>
    <w:rsid w:val="00B77670"/>
    <w:rsid w:val="00B8001B"/>
    <w:rsid w:val="00B804DA"/>
    <w:rsid w:val="00B83163"/>
    <w:rsid w:val="00B8717E"/>
    <w:rsid w:val="00B92CA1"/>
    <w:rsid w:val="00B941A4"/>
    <w:rsid w:val="00BA1CBA"/>
    <w:rsid w:val="00BA6C30"/>
    <w:rsid w:val="00BC3292"/>
    <w:rsid w:val="00BC40EF"/>
    <w:rsid w:val="00BC4D3D"/>
    <w:rsid w:val="00BC54DD"/>
    <w:rsid w:val="00BD15C4"/>
    <w:rsid w:val="00BD79C7"/>
    <w:rsid w:val="00BE1584"/>
    <w:rsid w:val="00BF1367"/>
    <w:rsid w:val="00BF599C"/>
    <w:rsid w:val="00C006DA"/>
    <w:rsid w:val="00C036CF"/>
    <w:rsid w:val="00C11F32"/>
    <w:rsid w:val="00C157F5"/>
    <w:rsid w:val="00C174D2"/>
    <w:rsid w:val="00C20554"/>
    <w:rsid w:val="00C21BCC"/>
    <w:rsid w:val="00C2377C"/>
    <w:rsid w:val="00C2776C"/>
    <w:rsid w:val="00C30EB3"/>
    <w:rsid w:val="00C37BF7"/>
    <w:rsid w:val="00C4056F"/>
    <w:rsid w:val="00C406AA"/>
    <w:rsid w:val="00C40D50"/>
    <w:rsid w:val="00C42F32"/>
    <w:rsid w:val="00C47619"/>
    <w:rsid w:val="00C52E16"/>
    <w:rsid w:val="00C55029"/>
    <w:rsid w:val="00C6103C"/>
    <w:rsid w:val="00C637EC"/>
    <w:rsid w:val="00C64A34"/>
    <w:rsid w:val="00C707DE"/>
    <w:rsid w:val="00C70F00"/>
    <w:rsid w:val="00C717A1"/>
    <w:rsid w:val="00C726CD"/>
    <w:rsid w:val="00C74E9E"/>
    <w:rsid w:val="00C7532D"/>
    <w:rsid w:val="00C76CF2"/>
    <w:rsid w:val="00C9255B"/>
    <w:rsid w:val="00C972E2"/>
    <w:rsid w:val="00CA1F93"/>
    <w:rsid w:val="00CA3EE2"/>
    <w:rsid w:val="00CA4382"/>
    <w:rsid w:val="00CA640A"/>
    <w:rsid w:val="00CA7D65"/>
    <w:rsid w:val="00CB0DFF"/>
    <w:rsid w:val="00CB2874"/>
    <w:rsid w:val="00CB2F03"/>
    <w:rsid w:val="00CB2F65"/>
    <w:rsid w:val="00CB3BFF"/>
    <w:rsid w:val="00CC1E40"/>
    <w:rsid w:val="00CC3572"/>
    <w:rsid w:val="00CC48BE"/>
    <w:rsid w:val="00CC4FAC"/>
    <w:rsid w:val="00CF096E"/>
    <w:rsid w:val="00CF17D8"/>
    <w:rsid w:val="00CF187B"/>
    <w:rsid w:val="00CF3740"/>
    <w:rsid w:val="00CF51B5"/>
    <w:rsid w:val="00D00BBB"/>
    <w:rsid w:val="00D02EB1"/>
    <w:rsid w:val="00D0524B"/>
    <w:rsid w:val="00D11413"/>
    <w:rsid w:val="00D13CCA"/>
    <w:rsid w:val="00D13DE2"/>
    <w:rsid w:val="00D16980"/>
    <w:rsid w:val="00D2062E"/>
    <w:rsid w:val="00D2466E"/>
    <w:rsid w:val="00D25E11"/>
    <w:rsid w:val="00D36E14"/>
    <w:rsid w:val="00D373C6"/>
    <w:rsid w:val="00D37547"/>
    <w:rsid w:val="00D41F56"/>
    <w:rsid w:val="00D47139"/>
    <w:rsid w:val="00D53972"/>
    <w:rsid w:val="00D5425D"/>
    <w:rsid w:val="00D57C51"/>
    <w:rsid w:val="00D60106"/>
    <w:rsid w:val="00D65DD1"/>
    <w:rsid w:val="00D66E96"/>
    <w:rsid w:val="00D80A79"/>
    <w:rsid w:val="00D82968"/>
    <w:rsid w:val="00D85D97"/>
    <w:rsid w:val="00D9143C"/>
    <w:rsid w:val="00DA309D"/>
    <w:rsid w:val="00DA6898"/>
    <w:rsid w:val="00DC4A5E"/>
    <w:rsid w:val="00DD0BC2"/>
    <w:rsid w:val="00DD2C80"/>
    <w:rsid w:val="00DE3D5A"/>
    <w:rsid w:val="00DE5A68"/>
    <w:rsid w:val="00DF0564"/>
    <w:rsid w:val="00DF08B0"/>
    <w:rsid w:val="00DF1D67"/>
    <w:rsid w:val="00DF2039"/>
    <w:rsid w:val="00DF3828"/>
    <w:rsid w:val="00DF3B4E"/>
    <w:rsid w:val="00DF42D9"/>
    <w:rsid w:val="00DF7F1B"/>
    <w:rsid w:val="00E01E95"/>
    <w:rsid w:val="00E052FA"/>
    <w:rsid w:val="00E146D5"/>
    <w:rsid w:val="00E14C12"/>
    <w:rsid w:val="00E153D1"/>
    <w:rsid w:val="00E246DF"/>
    <w:rsid w:val="00E262B2"/>
    <w:rsid w:val="00E272D3"/>
    <w:rsid w:val="00E27EBB"/>
    <w:rsid w:val="00E32CA6"/>
    <w:rsid w:val="00E3543F"/>
    <w:rsid w:val="00E40E51"/>
    <w:rsid w:val="00E422A8"/>
    <w:rsid w:val="00E4685C"/>
    <w:rsid w:val="00E523F2"/>
    <w:rsid w:val="00E52B1E"/>
    <w:rsid w:val="00E52D97"/>
    <w:rsid w:val="00E57D10"/>
    <w:rsid w:val="00E626A4"/>
    <w:rsid w:val="00E660FB"/>
    <w:rsid w:val="00E757C1"/>
    <w:rsid w:val="00E77C31"/>
    <w:rsid w:val="00E82E45"/>
    <w:rsid w:val="00E83C35"/>
    <w:rsid w:val="00E84C52"/>
    <w:rsid w:val="00E87F53"/>
    <w:rsid w:val="00E92A48"/>
    <w:rsid w:val="00E94830"/>
    <w:rsid w:val="00EA560E"/>
    <w:rsid w:val="00EA602A"/>
    <w:rsid w:val="00EB07C9"/>
    <w:rsid w:val="00EB3BE8"/>
    <w:rsid w:val="00EB53C5"/>
    <w:rsid w:val="00EC2BA3"/>
    <w:rsid w:val="00EC40E6"/>
    <w:rsid w:val="00EC606B"/>
    <w:rsid w:val="00EF0774"/>
    <w:rsid w:val="00EF0BE9"/>
    <w:rsid w:val="00F03927"/>
    <w:rsid w:val="00F0516C"/>
    <w:rsid w:val="00F230E8"/>
    <w:rsid w:val="00F23230"/>
    <w:rsid w:val="00F316C0"/>
    <w:rsid w:val="00F32C73"/>
    <w:rsid w:val="00F344DF"/>
    <w:rsid w:val="00F379CF"/>
    <w:rsid w:val="00F41665"/>
    <w:rsid w:val="00F43D41"/>
    <w:rsid w:val="00F478FA"/>
    <w:rsid w:val="00F508A1"/>
    <w:rsid w:val="00F5098C"/>
    <w:rsid w:val="00F5204F"/>
    <w:rsid w:val="00F526D8"/>
    <w:rsid w:val="00F52AA1"/>
    <w:rsid w:val="00F53C39"/>
    <w:rsid w:val="00F55DA1"/>
    <w:rsid w:val="00F60EFF"/>
    <w:rsid w:val="00F612B2"/>
    <w:rsid w:val="00F6188F"/>
    <w:rsid w:val="00F6745D"/>
    <w:rsid w:val="00F71AC7"/>
    <w:rsid w:val="00F7663F"/>
    <w:rsid w:val="00F7675C"/>
    <w:rsid w:val="00F804E6"/>
    <w:rsid w:val="00F8508D"/>
    <w:rsid w:val="00FA175C"/>
    <w:rsid w:val="00FA1DD7"/>
    <w:rsid w:val="00FA30AF"/>
    <w:rsid w:val="00FA45DE"/>
    <w:rsid w:val="00FA7A34"/>
    <w:rsid w:val="00FB0344"/>
    <w:rsid w:val="00FB1854"/>
    <w:rsid w:val="00FB2398"/>
    <w:rsid w:val="00FB4A8E"/>
    <w:rsid w:val="00FB7773"/>
    <w:rsid w:val="00FC036D"/>
    <w:rsid w:val="00FC5D78"/>
    <w:rsid w:val="00FD0EF6"/>
    <w:rsid w:val="00FD771C"/>
    <w:rsid w:val="00FF372A"/>
    <w:rsid w:val="00FF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1F9976"/>
  <w15:docId w15:val="{103686DE-C154-414C-9136-BC81E530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AAE"/>
    <w:rPr>
      <w:rFonts w:ascii="CG Omega" w:hAnsi="CG Omega"/>
      <w:sz w:val="22"/>
      <w:szCs w:val="24"/>
      <w:lang w:eastAsia="en-US"/>
    </w:rPr>
  </w:style>
  <w:style w:type="paragraph" w:styleId="Heading2">
    <w:name w:val="heading 2"/>
    <w:basedOn w:val="Normal"/>
    <w:next w:val="Normal"/>
    <w:link w:val="Heading2Char"/>
    <w:uiPriority w:val="9"/>
    <w:unhideWhenUsed/>
    <w:qFormat/>
    <w:rsid w:val="00A97308"/>
    <w:pPr>
      <w:spacing w:before="240"/>
      <w:outlineLvl w:val="1"/>
    </w:pPr>
    <w:rPr>
      <w:rFonts w:ascii="Times New Roman" w:hAnsi="Times New Roman"/>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AC5"/>
    <w:pPr>
      <w:tabs>
        <w:tab w:val="center" w:pos="4153"/>
        <w:tab w:val="right" w:pos="8306"/>
      </w:tabs>
    </w:pPr>
  </w:style>
  <w:style w:type="character" w:styleId="PageNumber">
    <w:name w:val="page number"/>
    <w:basedOn w:val="DefaultParagraphFont"/>
    <w:rsid w:val="00267AC5"/>
  </w:style>
  <w:style w:type="paragraph" w:customStyle="1" w:styleId="paragraph">
    <w:name w:val="paragraph"/>
    <w:aliases w:val="a"/>
    <w:rsid w:val="00267AC5"/>
    <w:pPr>
      <w:tabs>
        <w:tab w:val="right" w:pos="1531"/>
      </w:tabs>
      <w:spacing w:before="40"/>
      <w:ind w:left="1644" w:hanging="1644"/>
    </w:pPr>
    <w:rPr>
      <w:sz w:val="22"/>
      <w:szCs w:val="24"/>
    </w:rPr>
  </w:style>
  <w:style w:type="paragraph" w:styleId="Title">
    <w:name w:val="Title"/>
    <w:basedOn w:val="Normal"/>
    <w:next w:val="Normal"/>
    <w:link w:val="TitleChar"/>
    <w:qFormat/>
    <w:rsid w:val="00267AC5"/>
    <w:pPr>
      <w:spacing w:before="480"/>
    </w:pPr>
    <w:rPr>
      <w:rFonts w:ascii="Arial" w:hAnsi="Arial" w:cs="Arial"/>
      <w:b/>
      <w:bCs/>
      <w:sz w:val="40"/>
      <w:szCs w:val="40"/>
      <w:lang w:eastAsia="en-AU"/>
    </w:rPr>
  </w:style>
  <w:style w:type="paragraph" w:customStyle="1" w:styleId="HR">
    <w:name w:val="HR"/>
    <w:aliases w:val="Regulation Heading"/>
    <w:basedOn w:val="Normal"/>
    <w:next w:val="R1"/>
    <w:rsid w:val="00267AC5"/>
    <w:pPr>
      <w:keepNext/>
      <w:spacing w:before="360"/>
      <w:ind w:left="964" w:hanging="964"/>
    </w:pPr>
    <w:rPr>
      <w:rFonts w:ascii="Arial" w:hAnsi="Arial"/>
      <w:b/>
      <w:sz w:val="24"/>
      <w:lang w:eastAsia="en-AU"/>
    </w:rPr>
  </w:style>
  <w:style w:type="paragraph" w:customStyle="1" w:styleId="R1">
    <w:name w:val="R1"/>
    <w:aliases w:val="1. or 1.(1)"/>
    <w:basedOn w:val="Normal"/>
    <w:next w:val="Normal"/>
    <w:rsid w:val="00267AC5"/>
    <w:pPr>
      <w:keepLines/>
      <w:tabs>
        <w:tab w:val="right" w:pos="794"/>
      </w:tabs>
      <w:spacing w:before="120" w:line="260" w:lineRule="exact"/>
      <w:ind w:left="964" w:hanging="964"/>
      <w:jc w:val="both"/>
    </w:pPr>
    <w:rPr>
      <w:rFonts w:ascii="Times New Roman" w:hAnsi="Times New Roman"/>
      <w:sz w:val="24"/>
      <w:lang w:eastAsia="en-AU"/>
    </w:rPr>
  </w:style>
  <w:style w:type="paragraph" w:customStyle="1" w:styleId="AS">
    <w:name w:val="AS"/>
    <w:aliases w:val="Schedule title Amendment"/>
    <w:basedOn w:val="Normal"/>
    <w:next w:val="Normal"/>
    <w:rsid w:val="00267AC5"/>
    <w:pPr>
      <w:keepNext/>
      <w:spacing w:before="480"/>
      <w:ind w:left="2410" w:hanging="2410"/>
    </w:pPr>
    <w:rPr>
      <w:rFonts w:ascii="Arial" w:hAnsi="Arial"/>
      <w:b/>
      <w:sz w:val="32"/>
    </w:rPr>
  </w:style>
  <w:style w:type="paragraph" w:customStyle="1" w:styleId="Default">
    <w:name w:val="Default"/>
    <w:rsid w:val="00267AC5"/>
    <w:pPr>
      <w:autoSpaceDE w:val="0"/>
      <w:autoSpaceDN w:val="0"/>
      <w:adjustRightInd w:val="0"/>
    </w:pPr>
    <w:rPr>
      <w:color w:val="000000"/>
      <w:sz w:val="24"/>
      <w:szCs w:val="24"/>
    </w:rPr>
  </w:style>
  <w:style w:type="paragraph" w:styleId="Header">
    <w:name w:val="header"/>
    <w:aliases w:val="h"/>
    <w:basedOn w:val="Normal"/>
    <w:link w:val="HeaderChar"/>
    <w:rsid w:val="00267AC5"/>
    <w:pPr>
      <w:tabs>
        <w:tab w:val="center" w:pos="4153"/>
        <w:tab w:val="right" w:pos="8306"/>
      </w:tabs>
      <w:spacing w:before="240"/>
    </w:pPr>
    <w:rPr>
      <w:rFonts w:ascii="Times New Roman" w:hAnsi="Times New Roman"/>
      <w:lang w:eastAsia="en-AU"/>
    </w:rPr>
  </w:style>
  <w:style w:type="character" w:styleId="Emphasis">
    <w:name w:val="Emphasis"/>
    <w:qFormat/>
    <w:rsid w:val="00E626A4"/>
    <w:rPr>
      <w:i/>
      <w:iCs/>
    </w:rPr>
  </w:style>
  <w:style w:type="paragraph" w:styleId="BalloonText">
    <w:name w:val="Balloon Text"/>
    <w:basedOn w:val="Normal"/>
    <w:link w:val="BalloonTextChar"/>
    <w:semiHidden/>
    <w:rsid w:val="00214208"/>
    <w:rPr>
      <w:rFonts w:ascii="Tahoma" w:hAnsi="Tahoma" w:cs="Tahoma"/>
      <w:sz w:val="16"/>
      <w:szCs w:val="16"/>
    </w:rPr>
  </w:style>
  <w:style w:type="character" w:styleId="CommentReference">
    <w:name w:val="annotation reference"/>
    <w:uiPriority w:val="99"/>
    <w:semiHidden/>
    <w:rsid w:val="00445AAE"/>
    <w:rPr>
      <w:sz w:val="16"/>
      <w:szCs w:val="16"/>
    </w:rPr>
  </w:style>
  <w:style w:type="paragraph" w:styleId="CommentText">
    <w:name w:val="annotation text"/>
    <w:basedOn w:val="Normal"/>
    <w:link w:val="CommentTextChar1"/>
    <w:uiPriority w:val="99"/>
    <w:semiHidden/>
    <w:rsid w:val="00445AAE"/>
    <w:rPr>
      <w:rFonts w:ascii="Arial Narrow" w:hAnsi="Arial Narrow"/>
      <w:sz w:val="20"/>
      <w:szCs w:val="20"/>
      <w:lang w:eastAsia="en-AU"/>
    </w:rPr>
  </w:style>
  <w:style w:type="numbering" w:customStyle="1" w:styleId="NoList1">
    <w:name w:val="No List1"/>
    <w:next w:val="NoList"/>
    <w:uiPriority w:val="99"/>
    <w:semiHidden/>
    <w:unhideWhenUsed/>
    <w:rsid w:val="007B4A18"/>
  </w:style>
  <w:style w:type="character" w:customStyle="1" w:styleId="CharDivNo">
    <w:name w:val="CharDivNo"/>
    <w:rsid w:val="007B4A18"/>
  </w:style>
  <w:style w:type="character" w:customStyle="1" w:styleId="CharDivText">
    <w:name w:val="CharDivText"/>
    <w:rsid w:val="007B4A18"/>
  </w:style>
  <w:style w:type="character" w:customStyle="1" w:styleId="CharPartNo">
    <w:name w:val="CharPartNo"/>
    <w:rsid w:val="007B4A18"/>
  </w:style>
  <w:style w:type="character" w:customStyle="1" w:styleId="CharPartText">
    <w:name w:val="CharPartText"/>
    <w:rsid w:val="007B4A18"/>
  </w:style>
  <w:style w:type="character" w:customStyle="1" w:styleId="CharSchPTNo">
    <w:name w:val="CharSchPTNo"/>
    <w:rsid w:val="007B4A18"/>
  </w:style>
  <w:style w:type="paragraph" w:customStyle="1" w:styleId="HP">
    <w:name w:val="HP"/>
    <w:aliases w:val="Part Heading"/>
    <w:basedOn w:val="Normal"/>
    <w:next w:val="Normal"/>
    <w:rsid w:val="007B4A18"/>
    <w:pPr>
      <w:keepNext/>
      <w:spacing w:before="360"/>
      <w:ind w:left="2410" w:hanging="2410"/>
    </w:pPr>
    <w:rPr>
      <w:rFonts w:ascii="Arial" w:hAnsi="Arial"/>
      <w:b/>
      <w:sz w:val="32"/>
    </w:rPr>
  </w:style>
  <w:style w:type="paragraph" w:customStyle="1" w:styleId="Note">
    <w:name w:val="Note"/>
    <w:rsid w:val="007B4A18"/>
    <w:pPr>
      <w:spacing w:before="120" w:line="220" w:lineRule="exact"/>
      <w:ind w:left="964"/>
      <w:jc w:val="both"/>
    </w:pPr>
    <w:rPr>
      <w:szCs w:val="24"/>
    </w:rPr>
  </w:style>
  <w:style w:type="paragraph" w:customStyle="1" w:styleId="HD">
    <w:name w:val="HD"/>
    <w:aliases w:val="Division Heading"/>
    <w:basedOn w:val="Normal"/>
    <w:next w:val="Normal"/>
    <w:rsid w:val="007B4A18"/>
    <w:pPr>
      <w:keepNext/>
      <w:spacing w:before="360"/>
      <w:ind w:left="2410" w:hanging="2410"/>
    </w:pPr>
    <w:rPr>
      <w:rFonts w:ascii="Arial" w:hAnsi="Arial"/>
      <w:b/>
      <w:sz w:val="28"/>
      <w:lang w:eastAsia="en-AU"/>
    </w:rPr>
  </w:style>
  <w:style w:type="character" w:customStyle="1" w:styleId="BalloonTextChar">
    <w:name w:val="Balloon Text Char"/>
    <w:link w:val="BalloonText"/>
    <w:semiHidden/>
    <w:rsid w:val="007B4A18"/>
    <w:rPr>
      <w:rFonts w:ascii="Tahoma" w:hAnsi="Tahoma" w:cs="Tahoma"/>
      <w:sz w:val="16"/>
      <w:szCs w:val="16"/>
      <w:lang w:eastAsia="en-US"/>
    </w:rPr>
  </w:style>
  <w:style w:type="character" w:customStyle="1" w:styleId="CommentTextChar">
    <w:name w:val="Comment Text Char"/>
    <w:uiPriority w:val="99"/>
    <w:semiHidden/>
    <w:rsid w:val="007B4A18"/>
  </w:style>
  <w:style w:type="paragraph" w:styleId="CommentSubject">
    <w:name w:val="annotation subject"/>
    <w:basedOn w:val="CommentText"/>
    <w:next w:val="CommentText"/>
    <w:link w:val="CommentSubjectChar"/>
    <w:rsid w:val="007B4A18"/>
    <w:rPr>
      <w:rFonts w:ascii="Times New Roman" w:hAnsi="Times New Roman"/>
      <w:b/>
      <w:bCs/>
    </w:rPr>
  </w:style>
  <w:style w:type="character" w:customStyle="1" w:styleId="CommentTextChar1">
    <w:name w:val="Comment Text Char1"/>
    <w:link w:val="CommentText"/>
    <w:semiHidden/>
    <w:rsid w:val="007B4A18"/>
    <w:rPr>
      <w:rFonts w:ascii="Arial Narrow" w:hAnsi="Arial Narrow"/>
    </w:rPr>
  </w:style>
  <w:style w:type="character" w:customStyle="1" w:styleId="CommentSubjectChar">
    <w:name w:val="Comment Subject Char"/>
    <w:link w:val="CommentSubject"/>
    <w:rsid w:val="007B4A18"/>
    <w:rPr>
      <w:rFonts w:ascii="Arial Narrow" w:hAnsi="Arial Narrow"/>
      <w:b/>
      <w:bCs/>
    </w:rPr>
  </w:style>
  <w:style w:type="character" w:customStyle="1" w:styleId="HeaderChar">
    <w:name w:val="Header Char"/>
    <w:aliases w:val="h Char"/>
    <w:link w:val="Header"/>
    <w:rsid w:val="007B4A18"/>
    <w:rPr>
      <w:sz w:val="22"/>
      <w:szCs w:val="24"/>
    </w:rPr>
  </w:style>
  <w:style w:type="character" w:customStyle="1" w:styleId="FooterChar">
    <w:name w:val="Footer Char"/>
    <w:link w:val="Footer"/>
    <w:rsid w:val="007B4A18"/>
    <w:rPr>
      <w:rFonts w:ascii="CG Omega" w:hAnsi="CG Omega"/>
      <w:sz w:val="22"/>
      <w:szCs w:val="24"/>
      <w:lang w:eastAsia="en-US"/>
    </w:rPr>
  </w:style>
  <w:style w:type="paragraph" w:styleId="ListParagraph">
    <w:name w:val="List Paragraph"/>
    <w:aliases w:val="List Paragraph1,List Paragraph11,Recommendation,Bullet point"/>
    <w:basedOn w:val="Normal"/>
    <w:link w:val="ListParagraphChar"/>
    <w:uiPriority w:val="34"/>
    <w:qFormat/>
    <w:rsid w:val="007B4A18"/>
    <w:pPr>
      <w:ind w:left="720"/>
      <w:contextualSpacing/>
    </w:pPr>
    <w:rPr>
      <w:rFonts w:ascii="Times New Roman" w:hAnsi="Times New Roman"/>
      <w:sz w:val="24"/>
      <w:lang w:eastAsia="en-AU"/>
    </w:rPr>
  </w:style>
  <w:style w:type="paragraph" w:customStyle="1" w:styleId="NumberLevel1">
    <w:name w:val="Number Level 1"/>
    <w:basedOn w:val="Normal"/>
    <w:rsid w:val="00385861"/>
    <w:pPr>
      <w:numPr>
        <w:numId w:val="1"/>
      </w:numPr>
      <w:spacing w:before="140" w:after="140" w:line="280" w:lineRule="atLeast"/>
    </w:pPr>
    <w:rPr>
      <w:rFonts w:ascii="Arial" w:hAnsi="Arial" w:cs="Arial"/>
      <w:b/>
      <w:szCs w:val="22"/>
      <w:lang w:eastAsia="en-AU"/>
    </w:rPr>
  </w:style>
  <w:style w:type="paragraph" w:customStyle="1" w:styleId="NumberLevel2">
    <w:name w:val="Number Level 2"/>
    <w:basedOn w:val="Normal"/>
    <w:rsid w:val="00385861"/>
    <w:pPr>
      <w:numPr>
        <w:ilvl w:val="1"/>
        <w:numId w:val="1"/>
      </w:numPr>
      <w:spacing w:before="140" w:after="140" w:line="280" w:lineRule="atLeast"/>
    </w:pPr>
    <w:rPr>
      <w:rFonts w:ascii="Arial" w:hAnsi="Arial" w:cs="Arial"/>
      <w:szCs w:val="22"/>
      <w:lang w:eastAsia="en-AU"/>
    </w:rPr>
  </w:style>
  <w:style w:type="paragraph" w:customStyle="1" w:styleId="NumberLevel3">
    <w:name w:val="Number Level 3"/>
    <w:basedOn w:val="Normal"/>
    <w:rsid w:val="00385861"/>
    <w:pPr>
      <w:numPr>
        <w:ilvl w:val="2"/>
        <w:numId w:val="1"/>
      </w:numPr>
      <w:spacing w:before="140" w:after="140" w:line="280" w:lineRule="atLeast"/>
    </w:pPr>
    <w:rPr>
      <w:rFonts w:ascii="Arial" w:hAnsi="Arial" w:cs="Arial"/>
      <w:szCs w:val="22"/>
      <w:lang w:eastAsia="en-AU"/>
    </w:rPr>
  </w:style>
  <w:style w:type="paragraph" w:customStyle="1" w:styleId="NumberLevel4">
    <w:name w:val="Number Level 4"/>
    <w:basedOn w:val="Normal"/>
    <w:rsid w:val="00385861"/>
    <w:pPr>
      <w:numPr>
        <w:ilvl w:val="3"/>
        <w:numId w:val="1"/>
      </w:numPr>
      <w:spacing w:after="140" w:line="280" w:lineRule="atLeast"/>
    </w:pPr>
    <w:rPr>
      <w:rFonts w:ascii="Arial" w:hAnsi="Arial" w:cs="Arial"/>
      <w:szCs w:val="22"/>
      <w:lang w:eastAsia="en-AU"/>
    </w:rPr>
  </w:style>
  <w:style w:type="paragraph" w:customStyle="1" w:styleId="NumberLevel5">
    <w:name w:val="Number Level 5"/>
    <w:basedOn w:val="Normal"/>
    <w:semiHidden/>
    <w:rsid w:val="00385861"/>
    <w:pPr>
      <w:numPr>
        <w:ilvl w:val="4"/>
        <w:numId w:val="1"/>
      </w:numPr>
      <w:spacing w:after="140" w:line="280" w:lineRule="atLeast"/>
    </w:pPr>
    <w:rPr>
      <w:rFonts w:ascii="Arial" w:hAnsi="Arial" w:cs="Arial"/>
      <w:szCs w:val="22"/>
      <w:lang w:eastAsia="en-AU"/>
    </w:rPr>
  </w:style>
  <w:style w:type="paragraph" w:customStyle="1" w:styleId="NumberLevel6">
    <w:name w:val="Number Level 6"/>
    <w:basedOn w:val="NumberLevel5"/>
    <w:semiHidden/>
    <w:rsid w:val="00385861"/>
    <w:pPr>
      <w:numPr>
        <w:ilvl w:val="5"/>
      </w:numPr>
    </w:pPr>
  </w:style>
  <w:style w:type="paragraph" w:customStyle="1" w:styleId="NumberLevel7">
    <w:name w:val="Number Level 7"/>
    <w:basedOn w:val="NumberLevel6"/>
    <w:semiHidden/>
    <w:rsid w:val="00385861"/>
    <w:pPr>
      <w:numPr>
        <w:ilvl w:val="6"/>
      </w:numPr>
    </w:pPr>
  </w:style>
  <w:style w:type="paragraph" w:customStyle="1" w:styleId="NumberLevel8">
    <w:name w:val="Number Level 8"/>
    <w:basedOn w:val="NumberLevel7"/>
    <w:semiHidden/>
    <w:rsid w:val="00385861"/>
    <w:pPr>
      <w:numPr>
        <w:ilvl w:val="7"/>
      </w:numPr>
    </w:pPr>
  </w:style>
  <w:style w:type="paragraph" w:customStyle="1" w:styleId="NumberLevel9">
    <w:name w:val="Number Level 9"/>
    <w:basedOn w:val="NumberLevel8"/>
    <w:semiHidden/>
    <w:rsid w:val="00385861"/>
    <w:pPr>
      <w:numPr>
        <w:ilvl w:val="8"/>
      </w:numPr>
    </w:pPr>
  </w:style>
  <w:style w:type="paragraph" w:customStyle="1" w:styleId="Paragraph0">
    <w:name w:val="Paragraph"/>
    <w:basedOn w:val="Normal"/>
    <w:rsid w:val="00E523F2"/>
    <w:pPr>
      <w:numPr>
        <w:ilvl w:val="12"/>
      </w:numPr>
      <w:spacing w:before="240"/>
    </w:pPr>
    <w:rPr>
      <w:rFonts w:ascii="Times New Roman" w:hAnsi="Times New Roman"/>
      <w:sz w:val="24"/>
      <w:szCs w:val="20"/>
      <w:lang w:eastAsia="en-AU"/>
    </w:rPr>
  </w:style>
  <w:style w:type="character" w:styleId="Hyperlink">
    <w:name w:val="Hyperlink"/>
    <w:basedOn w:val="DefaultParagraphFont"/>
    <w:rsid w:val="00804DDA"/>
    <w:rPr>
      <w:color w:val="0000FF" w:themeColor="hyperlink"/>
      <w:u w:val="single"/>
    </w:rPr>
  </w:style>
  <w:style w:type="character" w:customStyle="1" w:styleId="ListParagraphChar">
    <w:name w:val="List Paragraph Char"/>
    <w:aliases w:val="List Paragraph1 Char,List Paragraph11 Char,Recommendation Char,Bullet point Char"/>
    <w:link w:val="ListParagraph"/>
    <w:uiPriority w:val="34"/>
    <w:locked/>
    <w:rsid w:val="003B1CD4"/>
    <w:rPr>
      <w:sz w:val="24"/>
      <w:szCs w:val="24"/>
    </w:rPr>
  </w:style>
  <w:style w:type="paragraph" w:styleId="Revision">
    <w:name w:val="Revision"/>
    <w:hidden/>
    <w:uiPriority w:val="99"/>
    <w:semiHidden/>
    <w:rsid w:val="008C758A"/>
    <w:rPr>
      <w:rFonts w:ascii="CG Omega" w:hAnsi="CG Omega"/>
      <w:sz w:val="22"/>
      <w:szCs w:val="24"/>
      <w:lang w:eastAsia="en-US"/>
    </w:rPr>
  </w:style>
  <w:style w:type="character" w:customStyle="1" w:styleId="Heading2Char">
    <w:name w:val="Heading 2 Char"/>
    <w:basedOn w:val="DefaultParagraphFont"/>
    <w:link w:val="Heading2"/>
    <w:uiPriority w:val="9"/>
    <w:rsid w:val="00A97308"/>
    <w:rPr>
      <w:b/>
      <w:sz w:val="24"/>
      <w:szCs w:val="24"/>
    </w:rPr>
  </w:style>
  <w:style w:type="character" w:customStyle="1" w:styleId="TitleChar">
    <w:name w:val="Title Char"/>
    <w:link w:val="Title"/>
    <w:rsid w:val="00A97308"/>
    <w:rPr>
      <w:rFonts w:ascii="Arial" w:hAnsi="Arial" w:cs="Arial"/>
      <w:b/>
      <w:bCs/>
      <w:sz w:val="40"/>
      <w:szCs w:val="40"/>
    </w:rPr>
  </w:style>
  <w:style w:type="character" w:styleId="FollowedHyperlink">
    <w:name w:val="FollowedHyperlink"/>
    <w:basedOn w:val="DefaultParagraphFont"/>
    <w:rsid w:val="0070088D"/>
    <w:rPr>
      <w:color w:val="800080" w:themeColor="followedHyperlink"/>
      <w:u w:val="single"/>
    </w:rPr>
  </w:style>
  <w:style w:type="paragraph" w:styleId="BodyText">
    <w:name w:val="Body Text"/>
    <w:basedOn w:val="Normal"/>
    <w:link w:val="BodyTextChar"/>
    <w:rsid w:val="00806AE2"/>
    <w:pPr>
      <w:spacing w:after="120"/>
    </w:pPr>
    <w:rPr>
      <w:rFonts w:ascii="Times New Roman" w:hAnsi="Times New Roman"/>
      <w:sz w:val="24"/>
      <w:lang w:eastAsia="en-AU"/>
    </w:rPr>
  </w:style>
  <w:style w:type="character" w:customStyle="1" w:styleId="BodyTextChar">
    <w:name w:val="Body Text Char"/>
    <w:basedOn w:val="DefaultParagraphFont"/>
    <w:link w:val="BodyText"/>
    <w:rsid w:val="00806AE2"/>
    <w:rPr>
      <w:sz w:val="24"/>
      <w:szCs w:val="24"/>
    </w:rPr>
  </w:style>
  <w:style w:type="paragraph" w:customStyle="1" w:styleId="IndentListLevel1">
    <w:name w:val="Indent List Level 1"/>
    <w:basedOn w:val="Heading2"/>
    <w:link w:val="IndentListLevel1Char"/>
    <w:qFormat/>
    <w:rsid w:val="00645F87"/>
    <w:pPr>
      <w:numPr>
        <w:numId w:val="3"/>
      </w:numPr>
    </w:pPr>
    <w:rPr>
      <w:b w:val="0"/>
    </w:rPr>
  </w:style>
  <w:style w:type="character" w:customStyle="1" w:styleId="IndentListLevel1Char">
    <w:name w:val="Indent List Level 1 Char"/>
    <w:link w:val="IndentListLevel1"/>
    <w:rsid w:val="0064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2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7C85-5478-4FDF-9C22-9105C4AC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3352</Words>
  <Characters>17881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pjohns</dc:creator>
  <cp:lastModifiedBy>Hugh Dixon</cp:lastModifiedBy>
  <cp:revision>4</cp:revision>
  <cp:lastPrinted>2017-05-11T22:37:00Z</cp:lastPrinted>
  <dcterms:created xsi:type="dcterms:W3CDTF">2018-03-27T05:01:00Z</dcterms:created>
  <dcterms:modified xsi:type="dcterms:W3CDTF">2018-03-27T05:02:00Z</dcterms:modified>
</cp:coreProperties>
</file>