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2BCA5" w14:textId="63FD452D" w:rsidR="002E568B" w:rsidRPr="00BA306B" w:rsidRDefault="00E83E66" w:rsidP="003856A4">
      <w:pPr>
        <w:pStyle w:val="Title"/>
        <w:rPr>
          <w:szCs w:val="24"/>
        </w:rPr>
      </w:pPr>
      <w:r>
        <w:rPr>
          <w:szCs w:val="24"/>
        </w:rPr>
        <w:t xml:space="preserve">EXPLANATORY </w:t>
      </w:r>
      <w:r w:rsidR="005D73C8">
        <w:rPr>
          <w:szCs w:val="24"/>
        </w:rPr>
        <w:t>STATEMENT</w:t>
      </w:r>
    </w:p>
    <w:p w14:paraId="6FABD25E" w14:textId="77777777" w:rsidR="002E568B" w:rsidRPr="00BA306B" w:rsidRDefault="002E568B" w:rsidP="003856A4">
      <w:pPr>
        <w:rPr>
          <w:b/>
          <w:szCs w:val="24"/>
        </w:rPr>
      </w:pPr>
    </w:p>
    <w:p w14:paraId="4EDBA615" w14:textId="77777777" w:rsidR="00361D17" w:rsidRDefault="00361D17" w:rsidP="00150FAE">
      <w:pPr>
        <w:rPr>
          <w:szCs w:val="24"/>
        </w:rPr>
      </w:pPr>
    </w:p>
    <w:p w14:paraId="5B7F4BD1" w14:textId="3C44E8D1" w:rsidR="003E33C4" w:rsidRDefault="007B086B" w:rsidP="00F90239">
      <w:pPr>
        <w:jc w:val="center"/>
        <w:rPr>
          <w:i/>
          <w:szCs w:val="24"/>
        </w:rPr>
      </w:pPr>
      <w:r w:rsidRPr="00BA306B">
        <w:rPr>
          <w:i/>
          <w:szCs w:val="24"/>
        </w:rPr>
        <w:t>Therapeutic Goods Act 1989</w:t>
      </w:r>
    </w:p>
    <w:p w14:paraId="3D8C891C" w14:textId="504DAF5A" w:rsidR="00B85A19" w:rsidRDefault="00B85A19" w:rsidP="00F90239">
      <w:pPr>
        <w:ind w:firstLine="1134"/>
        <w:jc w:val="center"/>
        <w:rPr>
          <w:i/>
          <w:szCs w:val="24"/>
        </w:rPr>
      </w:pPr>
    </w:p>
    <w:p w14:paraId="5374DE7F" w14:textId="74F0649C" w:rsidR="002E568B" w:rsidRDefault="00017529" w:rsidP="00F90239">
      <w:pPr>
        <w:jc w:val="center"/>
        <w:rPr>
          <w:i/>
          <w:szCs w:val="24"/>
        </w:rPr>
      </w:pPr>
      <w:r w:rsidRPr="006C38EE">
        <w:rPr>
          <w:i/>
        </w:rPr>
        <w:t xml:space="preserve">Therapeutic Goods (Authorised Supply of Specified </w:t>
      </w:r>
      <w:r>
        <w:rPr>
          <w:i/>
        </w:rPr>
        <w:t>Medical Devices</w:t>
      </w:r>
      <w:r w:rsidRPr="006C38EE">
        <w:rPr>
          <w:i/>
        </w:rPr>
        <w:t xml:space="preserve">) Rules </w:t>
      </w:r>
      <w:r w:rsidR="00AE5404">
        <w:rPr>
          <w:i/>
        </w:rPr>
        <w:t>March</w:t>
      </w:r>
      <w:r w:rsidR="003B4BF2">
        <w:rPr>
          <w:i/>
        </w:rPr>
        <w:t xml:space="preserve"> 2018</w:t>
      </w:r>
    </w:p>
    <w:p w14:paraId="45889A7C" w14:textId="77777777" w:rsidR="002E568B" w:rsidRPr="00704057" w:rsidRDefault="002E568B" w:rsidP="003856A4">
      <w:pPr>
        <w:rPr>
          <w:szCs w:val="24"/>
          <w:highlight w:val="yellow"/>
        </w:rPr>
      </w:pPr>
    </w:p>
    <w:p w14:paraId="249B538D" w14:textId="77777777" w:rsidR="00ED3AE4" w:rsidRDefault="00ED3AE4" w:rsidP="00ED3AE4">
      <w:pPr>
        <w:rPr>
          <w:szCs w:val="24"/>
        </w:rPr>
      </w:pPr>
      <w:r>
        <w:rPr>
          <w:szCs w:val="24"/>
        </w:rPr>
        <w:t xml:space="preserve">The object of the </w:t>
      </w:r>
      <w:r w:rsidRPr="00FD7B79">
        <w:rPr>
          <w:i/>
          <w:szCs w:val="24"/>
        </w:rPr>
        <w:t>Therapeutic Goods Act 1989</w:t>
      </w:r>
      <w:r>
        <w:rPr>
          <w:szCs w:val="24"/>
        </w:rPr>
        <w:t xml:space="preserve"> (the Act) is to establish and maintain a national system of controls for the quality, safety, efficacy</w:t>
      </w:r>
      <w:r w:rsidR="004362E5">
        <w:rPr>
          <w:szCs w:val="24"/>
        </w:rPr>
        <w:t>/performance</w:t>
      </w:r>
      <w:r>
        <w:rPr>
          <w:szCs w:val="24"/>
        </w:rPr>
        <w:t xml:space="preserve"> and timely availability of therapeutic goods that are used in Australia or exported from Australia. The Therapeutic Goods Administration (the TGA), which is part of the Department of Health, is responsible for administering the Act.</w:t>
      </w:r>
    </w:p>
    <w:p w14:paraId="75E10D27" w14:textId="77777777" w:rsidR="00ED3AE4" w:rsidRDefault="00ED3AE4" w:rsidP="00ED3AE4">
      <w:pPr>
        <w:rPr>
          <w:szCs w:val="24"/>
        </w:rPr>
      </w:pPr>
    </w:p>
    <w:p w14:paraId="125FA122" w14:textId="35D5FE93" w:rsidR="000A35F8" w:rsidRDefault="000A35F8" w:rsidP="000A35F8">
      <w:pPr>
        <w:rPr>
          <w:szCs w:val="24"/>
        </w:rPr>
      </w:pPr>
      <w:r>
        <w:rPr>
          <w:szCs w:val="24"/>
        </w:rPr>
        <w:t xml:space="preserve">The </w:t>
      </w:r>
      <w:r w:rsidRPr="00E749C4">
        <w:rPr>
          <w:i/>
          <w:szCs w:val="24"/>
        </w:rPr>
        <w:t>Therapeutic Goods Amendment (2016 Measures No.1) Act 2017</w:t>
      </w:r>
      <w:r>
        <w:rPr>
          <w:szCs w:val="24"/>
        </w:rPr>
        <w:t xml:space="preserve"> (the Amendment Act) recently amended the Act to, in particular, support the implementation of several key recommendations of the Expert Panel Review of Medicines and Medical Device Regulation (the Review) agreed to by the </w:t>
      </w:r>
      <w:r w:rsidR="007448C1">
        <w:rPr>
          <w:szCs w:val="24"/>
        </w:rPr>
        <w:t>Australian Government in its response to the Review</w:t>
      </w:r>
      <w:r>
        <w:rPr>
          <w:szCs w:val="24"/>
        </w:rPr>
        <w:t>. The E</w:t>
      </w:r>
      <w:r w:rsidR="00C56C83">
        <w:rPr>
          <w:szCs w:val="24"/>
        </w:rPr>
        <w:t>xpert Panel was established to</w:t>
      </w:r>
      <w:r>
        <w:rPr>
          <w:szCs w:val="24"/>
        </w:rPr>
        <w:t xml:space="preserve"> identify areas of the regulation of medicines and medical devices which could be streamlined while maintaining the safety and quality of therapeutic goods in Australia, and made 58 recommendations. The Australian Government supported 56 of the 58 recommendations for reform. The Amendment Act addressed a first tranche of these recommendations.</w:t>
      </w:r>
    </w:p>
    <w:p w14:paraId="79B5484D" w14:textId="77777777" w:rsidR="000A35F8" w:rsidRDefault="000A35F8" w:rsidP="000A35F8">
      <w:pPr>
        <w:rPr>
          <w:szCs w:val="24"/>
        </w:rPr>
      </w:pPr>
    </w:p>
    <w:p w14:paraId="12029616" w14:textId="3EE43F3A" w:rsidR="000A35F8" w:rsidRDefault="000A35F8" w:rsidP="00ED3AE4">
      <w:pPr>
        <w:rPr>
          <w:szCs w:val="24"/>
        </w:rPr>
      </w:pPr>
      <w:r>
        <w:rPr>
          <w:szCs w:val="24"/>
        </w:rPr>
        <w:t>One of the reforms supported by the Amendment Act was to enable health practitioners to supply certain unapproved therapeutic goods</w:t>
      </w:r>
      <w:r w:rsidR="00C834FC">
        <w:rPr>
          <w:szCs w:val="24"/>
        </w:rPr>
        <w:t xml:space="preserve"> </w:t>
      </w:r>
      <w:r w:rsidR="00C834FC" w:rsidRPr="00FD783A">
        <w:rPr>
          <w:szCs w:val="24"/>
        </w:rPr>
        <w:t xml:space="preserve">(i.e. goods that are not included in the Australian Register of Therapeutic Goods (the Register)) </w:t>
      </w:r>
      <w:r>
        <w:rPr>
          <w:szCs w:val="24"/>
        </w:rPr>
        <w:t>– principally those with an established history of use in similar overseas countries</w:t>
      </w:r>
      <w:r w:rsidR="00267752">
        <w:rPr>
          <w:szCs w:val="24"/>
        </w:rPr>
        <w:t>,</w:t>
      </w:r>
      <w:r>
        <w:rPr>
          <w:szCs w:val="24"/>
        </w:rPr>
        <w:t xml:space="preserve"> </w:t>
      </w:r>
      <w:r w:rsidR="00907378">
        <w:rPr>
          <w:szCs w:val="24"/>
        </w:rPr>
        <w:t xml:space="preserve">or in Australia through the existing provisions </w:t>
      </w:r>
      <w:r w:rsidR="00267752">
        <w:rPr>
          <w:szCs w:val="24"/>
        </w:rPr>
        <w:t xml:space="preserve">allowing </w:t>
      </w:r>
      <w:r w:rsidR="00907378">
        <w:rPr>
          <w:szCs w:val="24"/>
        </w:rPr>
        <w:t>access</w:t>
      </w:r>
      <w:r w:rsidR="00267752">
        <w:rPr>
          <w:szCs w:val="24"/>
        </w:rPr>
        <w:t xml:space="preserve"> to</w:t>
      </w:r>
      <w:r w:rsidR="00907378">
        <w:rPr>
          <w:szCs w:val="24"/>
        </w:rPr>
        <w:t xml:space="preserve"> unapproved therapeutic goods </w:t>
      </w:r>
      <w:r>
        <w:rPr>
          <w:szCs w:val="24"/>
        </w:rPr>
        <w:t>– to their patients by way of notification to the TGA, rather than (as</w:t>
      </w:r>
      <w:r w:rsidR="00267752">
        <w:rPr>
          <w:szCs w:val="24"/>
        </w:rPr>
        <w:t xml:space="preserve"> would otherwise be the case</w:t>
      </w:r>
      <w:r>
        <w:rPr>
          <w:szCs w:val="24"/>
        </w:rPr>
        <w:t>) requiring pre-approval.</w:t>
      </w:r>
      <w:r w:rsidR="00833AAB">
        <w:rPr>
          <w:szCs w:val="24"/>
        </w:rPr>
        <w:t xml:space="preserve"> </w:t>
      </w:r>
      <w:r w:rsidR="00907378">
        <w:rPr>
          <w:szCs w:val="24"/>
        </w:rPr>
        <w:t>For medical devices, t</w:t>
      </w:r>
      <w:r w:rsidR="00833AAB">
        <w:rPr>
          <w:szCs w:val="24"/>
        </w:rPr>
        <w:t xml:space="preserve">his involved the insertion of new subsections </w:t>
      </w:r>
      <w:proofErr w:type="gramStart"/>
      <w:r w:rsidR="00017529">
        <w:rPr>
          <w:szCs w:val="24"/>
        </w:rPr>
        <w:t>41HC</w:t>
      </w:r>
      <w:r w:rsidR="00833AAB">
        <w:rPr>
          <w:szCs w:val="24"/>
        </w:rPr>
        <w:t>(</w:t>
      </w:r>
      <w:proofErr w:type="gramEnd"/>
      <w:r w:rsidR="00017529">
        <w:rPr>
          <w:szCs w:val="24"/>
        </w:rPr>
        <w:t>6</w:t>
      </w:r>
      <w:r w:rsidR="00833AAB">
        <w:rPr>
          <w:szCs w:val="24"/>
        </w:rPr>
        <w:t>) to (</w:t>
      </w:r>
      <w:r w:rsidR="00017529">
        <w:rPr>
          <w:szCs w:val="24"/>
        </w:rPr>
        <w:t>6G</w:t>
      </w:r>
      <w:r w:rsidR="00833AAB">
        <w:rPr>
          <w:szCs w:val="24"/>
        </w:rPr>
        <w:t>) in the Act</w:t>
      </w:r>
    </w:p>
    <w:p w14:paraId="48E6FB3C" w14:textId="77777777" w:rsidR="000A35F8" w:rsidRDefault="000A35F8" w:rsidP="00ED3AE4">
      <w:pPr>
        <w:rPr>
          <w:szCs w:val="24"/>
        </w:rPr>
      </w:pPr>
    </w:p>
    <w:p w14:paraId="29AED9EA" w14:textId="53AA8E33" w:rsidR="000A35F8" w:rsidRDefault="00ED3AE4" w:rsidP="00ED3AE4">
      <w:pPr>
        <w:rPr>
          <w:szCs w:val="24"/>
        </w:rPr>
      </w:pPr>
      <w:r>
        <w:rPr>
          <w:szCs w:val="24"/>
        </w:rPr>
        <w:t xml:space="preserve">Subsection </w:t>
      </w:r>
      <w:r w:rsidR="00017529">
        <w:rPr>
          <w:szCs w:val="24"/>
        </w:rPr>
        <w:t>41HC</w:t>
      </w:r>
      <w:r>
        <w:rPr>
          <w:szCs w:val="24"/>
        </w:rPr>
        <w:t>(</w:t>
      </w:r>
      <w:r w:rsidR="00017529">
        <w:rPr>
          <w:szCs w:val="24"/>
        </w:rPr>
        <w:t>6</w:t>
      </w:r>
      <w:r>
        <w:rPr>
          <w:szCs w:val="24"/>
        </w:rPr>
        <w:t xml:space="preserve">) of the Act provides that the </w:t>
      </w:r>
      <w:r w:rsidR="000A35F8">
        <w:rPr>
          <w:szCs w:val="24"/>
        </w:rPr>
        <w:t xml:space="preserve">Minister </w:t>
      </w:r>
      <w:r>
        <w:rPr>
          <w:szCs w:val="24"/>
        </w:rPr>
        <w:t>may</w:t>
      </w:r>
      <w:r w:rsidR="000A35F8">
        <w:rPr>
          <w:szCs w:val="24"/>
        </w:rPr>
        <w:t>, by legislative instrument,</w:t>
      </w:r>
      <w:r>
        <w:rPr>
          <w:szCs w:val="24"/>
        </w:rPr>
        <w:t xml:space="preserve"> make </w:t>
      </w:r>
      <w:r w:rsidR="000A35F8">
        <w:rPr>
          <w:szCs w:val="24"/>
        </w:rPr>
        <w:t>rules authorising any health practitioner who is included in a specified class of health practitioners to supply</w:t>
      </w:r>
      <w:r w:rsidR="00267AF3">
        <w:rPr>
          <w:szCs w:val="24"/>
        </w:rPr>
        <w:t xml:space="preserve"> a </w:t>
      </w:r>
      <w:r w:rsidR="000A35F8">
        <w:rPr>
          <w:szCs w:val="24"/>
        </w:rPr>
        <w:t xml:space="preserve">specified </w:t>
      </w:r>
      <w:r w:rsidR="00017529">
        <w:rPr>
          <w:szCs w:val="24"/>
        </w:rPr>
        <w:t>kind of medical device</w:t>
      </w:r>
      <w:r w:rsidR="00267AF3">
        <w:rPr>
          <w:szCs w:val="24"/>
        </w:rPr>
        <w:t xml:space="preserve"> </w:t>
      </w:r>
      <w:r w:rsidR="000A35F8">
        <w:rPr>
          <w:szCs w:val="24"/>
        </w:rPr>
        <w:t>for use in the treatment of humans</w:t>
      </w:r>
      <w:r w:rsidR="00267AF3">
        <w:rPr>
          <w:szCs w:val="24"/>
        </w:rPr>
        <w:t xml:space="preserve"> </w:t>
      </w:r>
      <w:r w:rsidR="000A35F8">
        <w:rPr>
          <w:szCs w:val="24"/>
        </w:rPr>
        <w:t>to the class or classes of recipients specified in those rules, so long as:</w:t>
      </w:r>
    </w:p>
    <w:p w14:paraId="652290C0" w14:textId="5F889512" w:rsidR="000A35F8" w:rsidRPr="001A1FAB" w:rsidRDefault="000A35F8" w:rsidP="001A1FAB">
      <w:pPr>
        <w:pStyle w:val="ListParagraph"/>
        <w:numPr>
          <w:ilvl w:val="0"/>
          <w:numId w:val="27"/>
        </w:numPr>
        <w:rPr>
          <w:szCs w:val="24"/>
        </w:rPr>
      </w:pPr>
      <w:r w:rsidRPr="001A1FAB">
        <w:rPr>
          <w:szCs w:val="24"/>
        </w:rPr>
        <w:t xml:space="preserve">the </w:t>
      </w:r>
      <w:r w:rsidR="00017529" w:rsidRPr="001A1FAB">
        <w:rPr>
          <w:szCs w:val="24"/>
        </w:rPr>
        <w:t>kind of medical device</w:t>
      </w:r>
      <w:r w:rsidR="00267AF3" w:rsidRPr="001A1FAB">
        <w:rPr>
          <w:szCs w:val="24"/>
        </w:rPr>
        <w:t xml:space="preserve"> is </w:t>
      </w:r>
      <w:r w:rsidRPr="001A1FAB">
        <w:rPr>
          <w:szCs w:val="24"/>
        </w:rPr>
        <w:t>supplied in the circumstances specified in those rules; and</w:t>
      </w:r>
    </w:p>
    <w:p w14:paraId="55C29591" w14:textId="4306458E" w:rsidR="00ED3AE4" w:rsidRPr="001A1FAB" w:rsidRDefault="000A35F8" w:rsidP="001A1FAB">
      <w:pPr>
        <w:pStyle w:val="ListParagraph"/>
        <w:numPr>
          <w:ilvl w:val="0"/>
          <w:numId w:val="27"/>
        </w:numPr>
        <w:rPr>
          <w:szCs w:val="24"/>
        </w:rPr>
      </w:pPr>
      <w:proofErr w:type="gramStart"/>
      <w:r w:rsidRPr="001A1FAB">
        <w:rPr>
          <w:szCs w:val="24"/>
        </w:rPr>
        <w:t>the</w:t>
      </w:r>
      <w:proofErr w:type="gramEnd"/>
      <w:r w:rsidRPr="001A1FAB">
        <w:rPr>
          <w:szCs w:val="24"/>
        </w:rPr>
        <w:t xml:space="preserve"> conditions (if any) specified in those rules are satisfied</w:t>
      </w:r>
      <w:r w:rsidR="00ED3AE4" w:rsidRPr="001A1FAB">
        <w:rPr>
          <w:szCs w:val="24"/>
        </w:rPr>
        <w:t>.</w:t>
      </w:r>
    </w:p>
    <w:p w14:paraId="01F0C156" w14:textId="77777777" w:rsidR="00833AAB" w:rsidRDefault="00833AAB" w:rsidP="00ED3AE4">
      <w:pPr>
        <w:rPr>
          <w:szCs w:val="24"/>
        </w:rPr>
      </w:pPr>
    </w:p>
    <w:p w14:paraId="5096A81C" w14:textId="11C20718" w:rsidR="00BA1EEE" w:rsidRDefault="007448C1" w:rsidP="00BA1EEE">
      <w:pPr>
        <w:rPr>
          <w:szCs w:val="24"/>
        </w:rPr>
      </w:pPr>
      <w:r>
        <w:rPr>
          <w:szCs w:val="24"/>
        </w:rPr>
        <w:t xml:space="preserve">The Rules therefore specify classes of health practitioners, </w:t>
      </w:r>
      <w:r w:rsidR="00017529">
        <w:rPr>
          <w:szCs w:val="24"/>
        </w:rPr>
        <w:t>kind</w:t>
      </w:r>
      <w:r w:rsidR="005474FD">
        <w:rPr>
          <w:szCs w:val="24"/>
        </w:rPr>
        <w:t>s</w:t>
      </w:r>
      <w:r w:rsidR="00017529">
        <w:rPr>
          <w:szCs w:val="24"/>
        </w:rPr>
        <w:t xml:space="preserve"> of medical device</w:t>
      </w:r>
      <w:r w:rsidR="00267AF3">
        <w:rPr>
          <w:szCs w:val="24"/>
        </w:rPr>
        <w:t>s</w:t>
      </w:r>
      <w:r>
        <w:rPr>
          <w:szCs w:val="24"/>
        </w:rPr>
        <w:t xml:space="preserve">, classes of recipients, circumstances and conditions and set out the relevant authorisations, for the purposes of subsection </w:t>
      </w:r>
      <w:r w:rsidR="00017529">
        <w:rPr>
          <w:szCs w:val="24"/>
        </w:rPr>
        <w:t>41HC</w:t>
      </w:r>
      <w:r>
        <w:rPr>
          <w:szCs w:val="24"/>
        </w:rPr>
        <w:t>(</w:t>
      </w:r>
      <w:r w:rsidR="00017529">
        <w:rPr>
          <w:szCs w:val="24"/>
        </w:rPr>
        <w:t>6</w:t>
      </w:r>
      <w:r>
        <w:rPr>
          <w:szCs w:val="24"/>
        </w:rPr>
        <w:t>).</w:t>
      </w:r>
      <w:r w:rsidR="00BA1EEE">
        <w:rPr>
          <w:szCs w:val="24"/>
        </w:rPr>
        <w:t xml:space="preserve"> One such condition is that the health practitioner must ensure that the device is supplied in accordance with good medical practice – more detail on the meaning of this term is set out in the explanation of the effect of section 4 of the Rules in the Attachment.</w:t>
      </w:r>
    </w:p>
    <w:p w14:paraId="24F0B405" w14:textId="77777777" w:rsidR="00C866CE" w:rsidRDefault="00C866CE" w:rsidP="00ED3AE4">
      <w:pPr>
        <w:rPr>
          <w:szCs w:val="24"/>
        </w:rPr>
      </w:pPr>
    </w:p>
    <w:p w14:paraId="761FB0EE" w14:textId="2039475E" w:rsidR="00833AAB" w:rsidRDefault="00833AAB" w:rsidP="00ED3AE4">
      <w:pPr>
        <w:rPr>
          <w:szCs w:val="24"/>
        </w:rPr>
      </w:pPr>
      <w:r>
        <w:rPr>
          <w:szCs w:val="24"/>
        </w:rPr>
        <w:t xml:space="preserve">Subsection </w:t>
      </w:r>
      <w:proofErr w:type="gramStart"/>
      <w:r w:rsidR="00017529">
        <w:rPr>
          <w:szCs w:val="24"/>
        </w:rPr>
        <w:t>41HC</w:t>
      </w:r>
      <w:r>
        <w:rPr>
          <w:szCs w:val="24"/>
        </w:rPr>
        <w:t>(</w:t>
      </w:r>
      <w:proofErr w:type="gramEnd"/>
      <w:r w:rsidR="00017529">
        <w:rPr>
          <w:szCs w:val="24"/>
        </w:rPr>
        <w:t>6A</w:t>
      </w:r>
      <w:r>
        <w:rPr>
          <w:szCs w:val="24"/>
        </w:rPr>
        <w:t xml:space="preserve">) </w:t>
      </w:r>
      <w:r w:rsidR="007448C1">
        <w:rPr>
          <w:szCs w:val="24"/>
        </w:rPr>
        <w:t xml:space="preserve">of the Act </w:t>
      </w:r>
      <w:r>
        <w:rPr>
          <w:szCs w:val="24"/>
        </w:rPr>
        <w:t>provides that, in making rules under subsection (</w:t>
      </w:r>
      <w:r w:rsidR="00017529">
        <w:rPr>
          <w:szCs w:val="24"/>
        </w:rPr>
        <w:t>6</w:t>
      </w:r>
      <w:r>
        <w:rPr>
          <w:szCs w:val="24"/>
        </w:rPr>
        <w:t>), the Minister must comply with:</w:t>
      </w:r>
    </w:p>
    <w:p w14:paraId="2A488D44" w14:textId="77777777" w:rsidR="00833AAB" w:rsidRDefault="00833AAB" w:rsidP="00ED3AE4">
      <w:pPr>
        <w:rPr>
          <w:szCs w:val="24"/>
        </w:rPr>
      </w:pPr>
      <w:r>
        <w:rPr>
          <w:szCs w:val="24"/>
        </w:rPr>
        <w:t>(a)</w:t>
      </w:r>
      <w:r>
        <w:rPr>
          <w:szCs w:val="24"/>
        </w:rPr>
        <w:tab/>
      </w:r>
      <w:proofErr w:type="gramStart"/>
      <w:r>
        <w:rPr>
          <w:szCs w:val="24"/>
        </w:rPr>
        <w:t>such</w:t>
      </w:r>
      <w:proofErr w:type="gramEnd"/>
      <w:r>
        <w:rPr>
          <w:szCs w:val="24"/>
        </w:rPr>
        <w:t xml:space="preserve"> requirements (if any) as are prescribed by the regulations; and</w:t>
      </w:r>
    </w:p>
    <w:p w14:paraId="51853A44" w14:textId="77777777" w:rsidR="00833AAB" w:rsidRDefault="00833AAB" w:rsidP="00ED3AE4">
      <w:pPr>
        <w:rPr>
          <w:szCs w:val="24"/>
        </w:rPr>
      </w:pPr>
      <w:r>
        <w:rPr>
          <w:szCs w:val="24"/>
        </w:rPr>
        <w:t>(b)</w:t>
      </w:r>
      <w:r>
        <w:rPr>
          <w:szCs w:val="24"/>
        </w:rPr>
        <w:tab/>
      </w:r>
      <w:proofErr w:type="gramStart"/>
      <w:r>
        <w:rPr>
          <w:szCs w:val="24"/>
        </w:rPr>
        <w:t>such</w:t>
      </w:r>
      <w:proofErr w:type="gramEnd"/>
      <w:r>
        <w:rPr>
          <w:szCs w:val="24"/>
        </w:rPr>
        <w:t xml:space="preserve"> restrictions (if any) as are prescribed by the regulations; and</w:t>
      </w:r>
    </w:p>
    <w:p w14:paraId="645B2EF5" w14:textId="77777777" w:rsidR="00833AAB" w:rsidRDefault="00833AAB" w:rsidP="00ED3AE4">
      <w:pPr>
        <w:rPr>
          <w:szCs w:val="24"/>
        </w:rPr>
      </w:pPr>
      <w:r>
        <w:rPr>
          <w:szCs w:val="24"/>
        </w:rPr>
        <w:lastRenderedPageBreak/>
        <w:t>(c)</w:t>
      </w:r>
      <w:r>
        <w:rPr>
          <w:szCs w:val="24"/>
        </w:rPr>
        <w:tab/>
      </w:r>
      <w:proofErr w:type="gramStart"/>
      <w:r>
        <w:rPr>
          <w:szCs w:val="24"/>
        </w:rPr>
        <w:t>such</w:t>
      </w:r>
      <w:proofErr w:type="gramEnd"/>
      <w:r>
        <w:rPr>
          <w:szCs w:val="24"/>
        </w:rPr>
        <w:t xml:space="preserve"> limitations (if any) as are prescribed by the regulations.</w:t>
      </w:r>
    </w:p>
    <w:p w14:paraId="4B516222" w14:textId="77777777" w:rsidR="00833AAB" w:rsidRDefault="00833AAB" w:rsidP="00ED3AE4">
      <w:pPr>
        <w:rPr>
          <w:szCs w:val="24"/>
        </w:rPr>
      </w:pPr>
    </w:p>
    <w:p w14:paraId="0DB13614" w14:textId="7FBA3188" w:rsidR="00833AAB" w:rsidRPr="00833AAB" w:rsidRDefault="00267AF3" w:rsidP="00ED3AE4">
      <w:pPr>
        <w:rPr>
          <w:szCs w:val="24"/>
        </w:rPr>
      </w:pPr>
      <w:r>
        <w:rPr>
          <w:szCs w:val="24"/>
        </w:rPr>
        <w:t xml:space="preserve">No regulations have been made for the purposes of subsection </w:t>
      </w:r>
      <w:proofErr w:type="gramStart"/>
      <w:r w:rsidR="00017529">
        <w:rPr>
          <w:szCs w:val="24"/>
        </w:rPr>
        <w:t>41HC</w:t>
      </w:r>
      <w:r>
        <w:rPr>
          <w:szCs w:val="24"/>
        </w:rPr>
        <w:t>(</w:t>
      </w:r>
      <w:proofErr w:type="gramEnd"/>
      <w:r w:rsidR="00017529">
        <w:rPr>
          <w:szCs w:val="24"/>
        </w:rPr>
        <w:t>6A</w:t>
      </w:r>
      <w:r>
        <w:rPr>
          <w:szCs w:val="24"/>
        </w:rPr>
        <w:t>).</w:t>
      </w:r>
    </w:p>
    <w:p w14:paraId="7236587B" w14:textId="77777777" w:rsidR="002E568B" w:rsidRDefault="002E568B" w:rsidP="003856A4">
      <w:pPr>
        <w:rPr>
          <w:rFonts w:ascii="Times" w:hAnsi="Times"/>
          <w:szCs w:val="24"/>
        </w:rPr>
      </w:pPr>
      <w:bookmarkStart w:id="0" w:name="OLE_LINK1"/>
    </w:p>
    <w:p w14:paraId="150286F7" w14:textId="2FF3370F" w:rsidR="00631B93" w:rsidRDefault="00631B93" w:rsidP="003856A4">
      <w:pPr>
        <w:rPr>
          <w:rFonts w:ascii="Times" w:hAnsi="Times"/>
          <w:szCs w:val="24"/>
        </w:rPr>
      </w:pPr>
      <w:r>
        <w:rPr>
          <w:rFonts w:ascii="Times" w:hAnsi="Times"/>
          <w:szCs w:val="24"/>
        </w:rPr>
        <w:t xml:space="preserve">Subsection </w:t>
      </w:r>
      <w:proofErr w:type="gramStart"/>
      <w:r w:rsidR="00017529">
        <w:rPr>
          <w:rFonts w:ascii="Times" w:hAnsi="Times"/>
          <w:szCs w:val="24"/>
        </w:rPr>
        <w:t>41HC</w:t>
      </w:r>
      <w:r>
        <w:rPr>
          <w:rFonts w:ascii="Times" w:hAnsi="Times"/>
          <w:szCs w:val="24"/>
        </w:rPr>
        <w:t>(</w:t>
      </w:r>
      <w:proofErr w:type="gramEnd"/>
      <w:r w:rsidR="00017529">
        <w:rPr>
          <w:rFonts w:ascii="Times" w:hAnsi="Times"/>
          <w:szCs w:val="24"/>
        </w:rPr>
        <w:t>6B</w:t>
      </w:r>
      <w:r>
        <w:rPr>
          <w:rFonts w:ascii="Times" w:hAnsi="Times"/>
          <w:szCs w:val="24"/>
        </w:rPr>
        <w:t xml:space="preserve">) </w:t>
      </w:r>
      <w:r w:rsidR="007448C1">
        <w:rPr>
          <w:rFonts w:ascii="Times" w:hAnsi="Times"/>
          <w:szCs w:val="24"/>
        </w:rPr>
        <w:t xml:space="preserve">of the Act </w:t>
      </w:r>
      <w:r>
        <w:rPr>
          <w:rFonts w:ascii="Times" w:hAnsi="Times"/>
          <w:szCs w:val="24"/>
        </w:rPr>
        <w:t xml:space="preserve">imposes a requirement for a health practitioner to notify a supply of </w:t>
      </w:r>
      <w:r w:rsidR="00267AF3">
        <w:rPr>
          <w:rFonts w:ascii="Times" w:hAnsi="Times"/>
          <w:szCs w:val="24"/>
        </w:rPr>
        <w:t xml:space="preserve">a </w:t>
      </w:r>
      <w:r w:rsidR="00017529">
        <w:rPr>
          <w:rFonts w:ascii="Times" w:hAnsi="Times"/>
          <w:szCs w:val="24"/>
        </w:rPr>
        <w:t>medical device</w:t>
      </w:r>
      <w:r w:rsidR="00267AF3">
        <w:rPr>
          <w:rFonts w:ascii="Times" w:hAnsi="Times"/>
          <w:szCs w:val="24"/>
        </w:rPr>
        <w:t xml:space="preserve"> </w:t>
      </w:r>
      <w:r>
        <w:rPr>
          <w:rFonts w:ascii="Times" w:hAnsi="Times"/>
          <w:szCs w:val="24"/>
        </w:rPr>
        <w:t xml:space="preserve">under rules made under subsection </w:t>
      </w:r>
      <w:r w:rsidR="00017529">
        <w:rPr>
          <w:rFonts w:ascii="Times" w:hAnsi="Times"/>
          <w:szCs w:val="24"/>
        </w:rPr>
        <w:t>41HC</w:t>
      </w:r>
      <w:r>
        <w:rPr>
          <w:rFonts w:ascii="Times" w:hAnsi="Times"/>
          <w:szCs w:val="24"/>
        </w:rPr>
        <w:t>(</w:t>
      </w:r>
      <w:r w:rsidR="00017529">
        <w:rPr>
          <w:rFonts w:ascii="Times" w:hAnsi="Times"/>
          <w:szCs w:val="24"/>
        </w:rPr>
        <w:t>6</w:t>
      </w:r>
      <w:r>
        <w:rPr>
          <w:rFonts w:ascii="Times" w:hAnsi="Times"/>
          <w:szCs w:val="24"/>
        </w:rPr>
        <w:t xml:space="preserve">) to the Secretary after the health practitioner </w:t>
      </w:r>
      <w:r w:rsidR="007448C1">
        <w:rPr>
          <w:rFonts w:ascii="Times" w:hAnsi="Times"/>
          <w:szCs w:val="24"/>
        </w:rPr>
        <w:t>has supplied</w:t>
      </w:r>
      <w:r>
        <w:rPr>
          <w:rFonts w:ascii="Times" w:hAnsi="Times"/>
          <w:szCs w:val="24"/>
        </w:rPr>
        <w:t xml:space="preserve"> </w:t>
      </w:r>
      <w:r w:rsidR="00267AF3">
        <w:rPr>
          <w:rFonts w:ascii="Times" w:hAnsi="Times"/>
          <w:szCs w:val="24"/>
        </w:rPr>
        <w:t xml:space="preserve">the </w:t>
      </w:r>
      <w:r w:rsidR="00017529">
        <w:rPr>
          <w:rFonts w:ascii="Times" w:hAnsi="Times"/>
          <w:szCs w:val="24"/>
        </w:rPr>
        <w:t>medical device</w:t>
      </w:r>
      <w:r>
        <w:rPr>
          <w:rFonts w:ascii="Times" w:hAnsi="Times"/>
          <w:szCs w:val="24"/>
        </w:rPr>
        <w:t xml:space="preserve">. </w:t>
      </w:r>
      <w:r w:rsidR="007448C1">
        <w:rPr>
          <w:rFonts w:ascii="Times" w:hAnsi="Times"/>
          <w:szCs w:val="24"/>
        </w:rPr>
        <w:t>The health practitioner must do so in accordance with subsection</w:t>
      </w:r>
      <w:r>
        <w:rPr>
          <w:rFonts w:ascii="Times" w:hAnsi="Times"/>
          <w:szCs w:val="24"/>
        </w:rPr>
        <w:t xml:space="preserve"> </w:t>
      </w:r>
      <w:proofErr w:type="gramStart"/>
      <w:r w:rsidR="00017529">
        <w:rPr>
          <w:rFonts w:ascii="Times" w:hAnsi="Times"/>
          <w:szCs w:val="24"/>
        </w:rPr>
        <w:t>41HC</w:t>
      </w:r>
      <w:r>
        <w:rPr>
          <w:rFonts w:ascii="Times" w:hAnsi="Times"/>
          <w:szCs w:val="24"/>
        </w:rPr>
        <w:t>(</w:t>
      </w:r>
      <w:proofErr w:type="gramEnd"/>
      <w:r w:rsidR="00017529">
        <w:rPr>
          <w:rFonts w:ascii="Times" w:hAnsi="Times"/>
          <w:szCs w:val="24"/>
        </w:rPr>
        <w:t>6C</w:t>
      </w:r>
      <w:r>
        <w:rPr>
          <w:rFonts w:ascii="Times" w:hAnsi="Times"/>
          <w:szCs w:val="24"/>
        </w:rPr>
        <w:t xml:space="preserve">) </w:t>
      </w:r>
      <w:r w:rsidR="007448C1">
        <w:rPr>
          <w:rFonts w:ascii="Times" w:hAnsi="Times"/>
          <w:szCs w:val="24"/>
        </w:rPr>
        <w:t xml:space="preserve">of the Act (principally, this relates to ensuring that the notification contains the information prescribed in the regulations for the purposes of subsection </w:t>
      </w:r>
      <w:r w:rsidR="00017529">
        <w:rPr>
          <w:rFonts w:ascii="Times" w:hAnsi="Times"/>
          <w:szCs w:val="24"/>
        </w:rPr>
        <w:t>41HC</w:t>
      </w:r>
      <w:r w:rsidR="007448C1">
        <w:rPr>
          <w:rFonts w:ascii="Times" w:hAnsi="Times"/>
          <w:szCs w:val="24"/>
        </w:rPr>
        <w:t>(</w:t>
      </w:r>
      <w:r w:rsidR="00017529">
        <w:rPr>
          <w:rFonts w:ascii="Times" w:hAnsi="Times"/>
          <w:szCs w:val="24"/>
        </w:rPr>
        <w:t>6C</w:t>
      </w:r>
      <w:r w:rsidR="007448C1">
        <w:rPr>
          <w:rFonts w:ascii="Times" w:hAnsi="Times"/>
          <w:szCs w:val="24"/>
        </w:rPr>
        <w:t xml:space="preserve">) – e.g. the practitioner’s name, and medical condition for which </w:t>
      </w:r>
      <w:r w:rsidR="00907378">
        <w:rPr>
          <w:rFonts w:ascii="Times" w:hAnsi="Times"/>
          <w:szCs w:val="24"/>
        </w:rPr>
        <w:t>the medical device</w:t>
      </w:r>
      <w:r w:rsidR="007448C1">
        <w:rPr>
          <w:rFonts w:ascii="Times" w:hAnsi="Times"/>
          <w:szCs w:val="24"/>
        </w:rPr>
        <w:t xml:space="preserve"> was supplied to the patient)</w:t>
      </w:r>
      <w:r>
        <w:rPr>
          <w:rFonts w:ascii="Times" w:hAnsi="Times"/>
          <w:szCs w:val="24"/>
        </w:rPr>
        <w:t>.</w:t>
      </w:r>
    </w:p>
    <w:p w14:paraId="0AB73885" w14:textId="77777777" w:rsidR="00631B93" w:rsidRDefault="00631B93" w:rsidP="003856A4">
      <w:pPr>
        <w:rPr>
          <w:rFonts w:ascii="Times" w:hAnsi="Times"/>
          <w:szCs w:val="24"/>
        </w:rPr>
      </w:pPr>
    </w:p>
    <w:p w14:paraId="535C06E2" w14:textId="6DCCF148" w:rsidR="008A0160" w:rsidRDefault="00076A67" w:rsidP="002D6877">
      <w:pPr>
        <w:rPr>
          <w:szCs w:val="24"/>
        </w:rPr>
      </w:pPr>
      <w:r>
        <w:rPr>
          <w:rFonts w:ascii="Times" w:hAnsi="Times"/>
          <w:szCs w:val="24"/>
        </w:rPr>
        <w:t xml:space="preserve">The </w:t>
      </w:r>
      <w:r w:rsidR="002708D8">
        <w:rPr>
          <w:rFonts w:ascii="Times" w:hAnsi="Times"/>
          <w:szCs w:val="24"/>
        </w:rPr>
        <w:t>Rules are made</w:t>
      </w:r>
      <w:r w:rsidR="00C6425F">
        <w:rPr>
          <w:rFonts w:ascii="Times" w:hAnsi="Times"/>
          <w:szCs w:val="24"/>
        </w:rPr>
        <w:t xml:space="preserve"> </w:t>
      </w:r>
      <w:r w:rsidR="00852E1A">
        <w:rPr>
          <w:rFonts w:ascii="Times" w:hAnsi="Times"/>
          <w:szCs w:val="24"/>
        </w:rPr>
        <w:t xml:space="preserve">for the </w:t>
      </w:r>
      <w:r>
        <w:rPr>
          <w:rFonts w:ascii="Times" w:hAnsi="Times"/>
          <w:szCs w:val="24"/>
        </w:rPr>
        <w:t>purpose</w:t>
      </w:r>
      <w:r w:rsidR="00852E1A">
        <w:rPr>
          <w:rFonts w:ascii="Times" w:hAnsi="Times"/>
          <w:szCs w:val="24"/>
        </w:rPr>
        <w:t>s</w:t>
      </w:r>
      <w:r w:rsidR="002708D8">
        <w:rPr>
          <w:rFonts w:ascii="Times" w:hAnsi="Times"/>
          <w:szCs w:val="24"/>
        </w:rPr>
        <w:t xml:space="preserve"> of subsection </w:t>
      </w:r>
      <w:proofErr w:type="gramStart"/>
      <w:r w:rsidR="00017529">
        <w:rPr>
          <w:rFonts w:ascii="Times" w:hAnsi="Times"/>
          <w:szCs w:val="24"/>
        </w:rPr>
        <w:t>41HC</w:t>
      </w:r>
      <w:r w:rsidR="002708D8">
        <w:rPr>
          <w:rFonts w:ascii="Times" w:hAnsi="Times"/>
          <w:szCs w:val="24"/>
        </w:rPr>
        <w:t>(</w:t>
      </w:r>
      <w:proofErr w:type="gramEnd"/>
      <w:r w:rsidR="00017529">
        <w:rPr>
          <w:rFonts w:ascii="Times" w:hAnsi="Times"/>
          <w:szCs w:val="24"/>
        </w:rPr>
        <w:t>6</w:t>
      </w:r>
      <w:r w:rsidR="002708D8">
        <w:rPr>
          <w:rFonts w:ascii="Times" w:hAnsi="Times"/>
          <w:szCs w:val="24"/>
        </w:rPr>
        <w:t>)</w:t>
      </w:r>
      <w:r w:rsidR="002D6877">
        <w:rPr>
          <w:rFonts w:ascii="Times" w:hAnsi="Times"/>
          <w:szCs w:val="24"/>
        </w:rPr>
        <w:t>.</w:t>
      </w:r>
      <w:bookmarkEnd w:id="0"/>
    </w:p>
    <w:p w14:paraId="0C80EC63" w14:textId="77777777" w:rsidR="00724A6C" w:rsidRPr="00C403D4" w:rsidRDefault="00724A6C" w:rsidP="00CC10FF">
      <w:pPr>
        <w:rPr>
          <w:szCs w:val="24"/>
        </w:rPr>
      </w:pPr>
    </w:p>
    <w:p w14:paraId="66B64B12" w14:textId="77A6F316" w:rsidR="002E568B" w:rsidRPr="003856A4" w:rsidRDefault="002E568B" w:rsidP="003856A4">
      <w:pPr>
        <w:rPr>
          <w:szCs w:val="24"/>
        </w:rPr>
      </w:pPr>
      <w:r w:rsidRPr="003856A4">
        <w:rPr>
          <w:szCs w:val="24"/>
        </w:rPr>
        <w:t xml:space="preserve">Details of the </w:t>
      </w:r>
      <w:r w:rsidR="002708D8">
        <w:rPr>
          <w:szCs w:val="24"/>
        </w:rPr>
        <w:t xml:space="preserve">Rules </w:t>
      </w:r>
      <w:r w:rsidRPr="003856A4">
        <w:rPr>
          <w:szCs w:val="24"/>
        </w:rPr>
        <w:t xml:space="preserve">are set out in the </w:t>
      </w:r>
      <w:r w:rsidRPr="003856A4">
        <w:rPr>
          <w:szCs w:val="24"/>
          <w:u w:val="single"/>
        </w:rPr>
        <w:t>Attachment</w:t>
      </w:r>
      <w:r w:rsidRPr="003856A4">
        <w:rPr>
          <w:szCs w:val="24"/>
        </w:rPr>
        <w:t>.</w:t>
      </w:r>
    </w:p>
    <w:p w14:paraId="7A6ADA10" w14:textId="77777777" w:rsidR="002E568B" w:rsidRPr="002747DD" w:rsidRDefault="002E568B" w:rsidP="003856A4">
      <w:pPr>
        <w:rPr>
          <w:szCs w:val="24"/>
        </w:rPr>
      </w:pPr>
    </w:p>
    <w:p w14:paraId="703C808F" w14:textId="09CF2750" w:rsidR="002E568B" w:rsidRPr="003856A4" w:rsidRDefault="002E568B" w:rsidP="003856A4">
      <w:pPr>
        <w:rPr>
          <w:szCs w:val="24"/>
        </w:rPr>
      </w:pPr>
      <w:r w:rsidRPr="003856A4">
        <w:rPr>
          <w:szCs w:val="24"/>
        </w:rPr>
        <w:t xml:space="preserve">The </w:t>
      </w:r>
      <w:r w:rsidR="002708D8">
        <w:rPr>
          <w:szCs w:val="24"/>
        </w:rPr>
        <w:t xml:space="preserve">Rules </w:t>
      </w:r>
      <w:r w:rsidR="00BF06FC">
        <w:rPr>
          <w:szCs w:val="24"/>
        </w:rPr>
        <w:t>are</w:t>
      </w:r>
      <w:r w:rsidRPr="003856A4">
        <w:rPr>
          <w:szCs w:val="24"/>
        </w:rPr>
        <w:t xml:space="preserve"> a legislative instrument for the purposes of the </w:t>
      </w:r>
      <w:r w:rsidR="008242E1" w:rsidRPr="00C403D4">
        <w:rPr>
          <w:i/>
          <w:szCs w:val="24"/>
        </w:rPr>
        <w:t>Legislation</w:t>
      </w:r>
      <w:r w:rsidR="008242E1">
        <w:rPr>
          <w:szCs w:val="24"/>
        </w:rPr>
        <w:t xml:space="preserve"> </w:t>
      </w:r>
      <w:r w:rsidRPr="003856A4">
        <w:rPr>
          <w:i/>
          <w:szCs w:val="24"/>
        </w:rPr>
        <w:t>Act 2003</w:t>
      </w:r>
      <w:r w:rsidRPr="003856A4">
        <w:rPr>
          <w:szCs w:val="24"/>
        </w:rPr>
        <w:t>.</w:t>
      </w:r>
    </w:p>
    <w:p w14:paraId="5C1CEB9A" w14:textId="77777777" w:rsidR="002E568B" w:rsidRPr="003856A4" w:rsidRDefault="002E568B" w:rsidP="003856A4">
      <w:pPr>
        <w:rPr>
          <w:szCs w:val="24"/>
        </w:rPr>
      </w:pPr>
    </w:p>
    <w:p w14:paraId="478ADA3F" w14:textId="1117BE72" w:rsidR="005022D6" w:rsidRPr="00A8730C" w:rsidRDefault="005022D6" w:rsidP="00A8730C">
      <w:pPr>
        <w:shd w:val="clear" w:color="auto" w:fill="FFFFFF"/>
        <w:rPr>
          <w:szCs w:val="24"/>
        </w:rPr>
      </w:pPr>
      <w:r>
        <w:rPr>
          <w:szCs w:val="24"/>
        </w:rPr>
        <w:t xml:space="preserve">This instrument replaces the </w:t>
      </w:r>
      <w:r w:rsidR="00E12788">
        <w:rPr>
          <w:sz w:val="22"/>
          <w:szCs w:val="22"/>
        </w:rPr>
        <w:t>Therapeutic Goods (Authorised Supply of Medical Devices) Rules September 2017 (the September 2017 Rules)</w:t>
      </w:r>
      <w:r w:rsidR="00E12788">
        <w:rPr>
          <w:szCs w:val="24"/>
        </w:rPr>
        <w:t xml:space="preserve"> and</w:t>
      </w:r>
      <w:r>
        <w:rPr>
          <w:szCs w:val="24"/>
        </w:rPr>
        <w:t xml:space="preserve"> incorporate</w:t>
      </w:r>
      <w:r w:rsidR="00E12788">
        <w:rPr>
          <w:szCs w:val="24"/>
        </w:rPr>
        <w:t>s</w:t>
      </w:r>
      <w:r>
        <w:rPr>
          <w:szCs w:val="24"/>
        </w:rPr>
        <w:t xml:space="preserve"> the following changes compared to the </w:t>
      </w:r>
      <w:r w:rsidR="003B4BF2">
        <w:rPr>
          <w:szCs w:val="24"/>
        </w:rPr>
        <w:t>September</w:t>
      </w:r>
      <w:r>
        <w:rPr>
          <w:szCs w:val="24"/>
        </w:rPr>
        <w:t xml:space="preserve"> 2017 Rules:</w:t>
      </w:r>
    </w:p>
    <w:p w14:paraId="337FF0C6" w14:textId="56F1DBED" w:rsidR="00EA5863" w:rsidRPr="00EA5863" w:rsidRDefault="00712770" w:rsidP="00EA5863">
      <w:pPr>
        <w:pStyle w:val="ListParagraph"/>
        <w:numPr>
          <w:ilvl w:val="0"/>
          <w:numId w:val="26"/>
        </w:numPr>
        <w:shd w:val="clear" w:color="auto" w:fill="FFFFFF"/>
        <w:rPr>
          <w:szCs w:val="24"/>
          <w:lang w:val="en-US"/>
        </w:rPr>
      </w:pPr>
      <w:r>
        <w:rPr>
          <w:szCs w:val="24"/>
          <w:lang w:val="en-US"/>
        </w:rPr>
        <w:t>t</w:t>
      </w:r>
      <w:r w:rsidR="00EA5863">
        <w:rPr>
          <w:szCs w:val="24"/>
          <w:lang w:val="en-US"/>
        </w:rPr>
        <w:t>he clarification o</w:t>
      </w:r>
      <w:r w:rsidR="00D52E38">
        <w:rPr>
          <w:szCs w:val="24"/>
          <w:lang w:val="en-US"/>
        </w:rPr>
        <w:t xml:space="preserve">f the purpose(s) </w:t>
      </w:r>
      <w:r w:rsidR="00CD4289">
        <w:rPr>
          <w:szCs w:val="24"/>
          <w:lang w:val="en-US"/>
        </w:rPr>
        <w:t xml:space="preserve">(statements of therapeutic use) </w:t>
      </w:r>
      <w:r w:rsidR="00D52E38">
        <w:rPr>
          <w:szCs w:val="24"/>
          <w:lang w:val="en-US"/>
        </w:rPr>
        <w:t xml:space="preserve">for each </w:t>
      </w:r>
      <w:r w:rsidR="000321C7">
        <w:rPr>
          <w:szCs w:val="24"/>
          <w:lang w:val="en-US"/>
        </w:rPr>
        <w:t>medical device</w:t>
      </w:r>
      <w:r w:rsidR="00D52E38">
        <w:rPr>
          <w:szCs w:val="24"/>
          <w:lang w:val="en-US"/>
        </w:rPr>
        <w:t>;</w:t>
      </w:r>
      <w:r w:rsidR="00E27C10">
        <w:rPr>
          <w:szCs w:val="24"/>
          <w:lang w:val="en-US"/>
        </w:rPr>
        <w:t xml:space="preserve"> and</w:t>
      </w:r>
    </w:p>
    <w:p w14:paraId="5FB38EC0" w14:textId="0299516E" w:rsidR="005022D6" w:rsidRDefault="005022D6" w:rsidP="007F3570">
      <w:pPr>
        <w:pStyle w:val="ListParagraph"/>
        <w:numPr>
          <w:ilvl w:val="0"/>
          <w:numId w:val="26"/>
        </w:numPr>
        <w:shd w:val="clear" w:color="auto" w:fill="FFFFFF"/>
        <w:rPr>
          <w:szCs w:val="24"/>
          <w:lang w:val="en-US"/>
        </w:rPr>
      </w:pPr>
      <w:proofErr w:type="gramStart"/>
      <w:r>
        <w:rPr>
          <w:szCs w:val="24"/>
          <w:lang w:val="en-US"/>
        </w:rPr>
        <w:t>the</w:t>
      </w:r>
      <w:proofErr w:type="gramEnd"/>
      <w:r>
        <w:rPr>
          <w:szCs w:val="24"/>
          <w:lang w:val="en-US"/>
        </w:rPr>
        <w:t xml:space="preserve"> addition of </w:t>
      </w:r>
      <w:r w:rsidR="00E12788">
        <w:rPr>
          <w:szCs w:val="24"/>
          <w:lang w:val="en-US"/>
        </w:rPr>
        <w:t xml:space="preserve">a further </w:t>
      </w:r>
      <w:r w:rsidR="00710B96">
        <w:rPr>
          <w:szCs w:val="24"/>
          <w:lang w:val="en-US"/>
        </w:rPr>
        <w:t>1</w:t>
      </w:r>
      <w:r w:rsidR="00BA1EEE">
        <w:rPr>
          <w:szCs w:val="24"/>
          <w:lang w:val="en-US"/>
        </w:rPr>
        <w:t>4 medical devices</w:t>
      </w:r>
      <w:r w:rsidR="00E12788">
        <w:rPr>
          <w:szCs w:val="24"/>
          <w:lang w:val="en-US"/>
        </w:rPr>
        <w:t xml:space="preserve"> that have an established history of safe use.</w:t>
      </w:r>
    </w:p>
    <w:p w14:paraId="1A142332" w14:textId="77777777" w:rsidR="002E568B" w:rsidRDefault="002E568B" w:rsidP="003856A4">
      <w:pPr>
        <w:rPr>
          <w:szCs w:val="24"/>
        </w:rPr>
      </w:pPr>
    </w:p>
    <w:p w14:paraId="6D5BF9DB" w14:textId="77777777" w:rsidR="005D73C8" w:rsidRPr="00F90239" w:rsidRDefault="005D73C8" w:rsidP="005D73C8">
      <w:pPr>
        <w:spacing w:after="240"/>
        <w:rPr>
          <w:b/>
        </w:rPr>
      </w:pPr>
      <w:r w:rsidRPr="00F90239">
        <w:rPr>
          <w:b/>
        </w:rPr>
        <w:t>Consultation</w:t>
      </w:r>
    </w:p>
    <w:p w14:paraId="637853F3" w14:textId="76181762" w:rsidR="007673BC" w:rsidRDefault="007673BC" w:rsidP="007673BC">
      <w:pPr>
        <w:shd w:val="clear" w:color="auto" w:fill="FFFFFF"/>
        <w:rPr>
          <w:szCs w:val="24"/>
        </w:rPr>
      </w:pPr>
      <w:r>
        <w:rPr>
          <w:szCs w:val="24"/>
        </w:rPr>
        <w:t xml:space="preserve">Extensive stakeholder consultation was undertaken with consumers, industry and health professionals as part of the Review.  A public consultation on the proposed changes to introduce a new, streamlined pathway to access unapproved therapeutic goods considered to have an established history of safe use was also completed, in the lead up to the making of the </w:t>
      </w:r>
      <w:r w:rsidR="00B271D5">
        <w:rPr>
          <w:szCs w:val="24"/>
        </w:rPr>
        <w:t xml:space="preserve">first edition of these Rules, which were registered on </w:t>
      </w:r>
      <w:r>
        <w:rPr>
          <w:szCs w:val="24"/>
        </w:rPr>
        <w:t xml:space="preserve">3 July 2017.  During that consultation, stakeholders were advised of the process for adding and removing items from the Rules, including in particular that from time to time products may be added to, or removed from, the instrument, and that this may not always be preceded by consultation.  As such, the main changes that are incorporated in this instrument as compared to the </w:t>
      </w:r>
      <w:r w:rsidR="00BF34DE">
        <w:rPr>
          <w:szCs w:val="24"/>
        </w:rPr>
        <w:t>September</w:t>
      </w:r>
      <w:r>
        <w:rPr>
          <w:szCs w:val="24"/>
        </w:rPr>
        <w:t xml:space="preserve"> 2017 Rules have not been specifically consulted on.  As these changes principally add a number of new products that can be supplied by medical practitioners to their patients by notification, without the need for pre-approval, this will result in greater flexibility and ease of access for both patients and health practitioners.</w:t>
      </w:r>
    </w:p>
    <w:p w14:paraId="1A396C2B" w14:textId="77777777" w:rsidR="007673BC" w:rsidRDefault="007673BC" w:rsidP="007673BC">
      <w:pPr>
        <w:shd w:val="clear" w:color="auto" w:fill="FFFFFF"/>
        <w:rPr>
          <w:szCs w:val="24"/>
        </w:rPr>
      </w:pPr>
    </w:p>
    <w:p w14:paraId="27F76DC3" w14:textId="77777777" w:rsidR="007673BC" w:rsidRDefault="007673BC" w:rsidP="007673BC">
      <w:pPr>
        <w:shd w:val="clear" w:color="auto" w:fill="FFFFFF"/>
        <w:rPr>
          <w:szCs w:val="24"/>
        </w:rPr>
      </w:pPr>
      <w:r>
        <w:rPr>
          <w:szCs w:val="24"/>
        </w:rPr>
        <w:t>Other changes concerned are minor and machinery in nature and principally relate to clarifications and the removal of unintended errors.</w:t>
      </w:r>
    </w:p>
    <w:p w14:paraId="3D94FFFA" w14:textId="77777777" w:rsidR="005D73C8" w:rsidRPr="003856A4" w:rsidRDefault="005D73C8" w:rsidP="003856A4">
      <w:pPr>
        <w:rPr>
          <w:szCs w:val="24"/>
        </w:rPr>
      </w:pPr>
    </w:p>
    <w:p w14:paraId="4CD253A3" w14:textId="4ADF5535" w:rsidR="001A15B8" w:rsidRDefault="002E568B" w:rsidP="001A15B8">
      <w:pPr>
        <w:ind w:left="5670" w:hanging="1134"/>
        <w:rPr>
          <w:szCs w:val="24"/>
        </w:rPr>
      </w:pPr>
      <w:r w:rsidRPr="003856A4">
        <w:rPr>
          <w:szCs w:val="24"/>
          <w:u w:val="single"/>
        </w:rPr>
        <w:t>Authority:</w:t>
      </w:r>
      <w:r w:rsidRPr="003856A4">
        <w:rPr>
          <w:szCs w:val="24"/>
        </w:rPr>
        <w:t xml:space="preserve"> </w:t>
      </w:r>
      <w:r w:rsidRPr="003856A4">
        <w:rPr>
          <w:szCs w:val="24"/>
        </w:rPr>
        <w:tab/>
      </w:r>
      <w:r w:rsidR="00BA167E">
        <w:rPr>
          <w:szCs w:val="24"/>
        </w:rPr>
        <w:t xml:space="preserve">Subsection </w:t>
      </w:r>
      <w:proofErr w:type="gramStart"/>
      <w:r w:rsidR="00017529">
        <w:rPr>
          <w:szCs w:val="24"/>
        </w:rPr>
        <w:t>41HC</w:t>
      </w:r>
      <w:r w:rsidR="00BA167E">
        <w:rPr>
          <w:szCs w:val="24"/>
        </w:rPr>
        <w:t>(</w:t>
      </w:r>
      <w:proofErr w:type="gramEnd"/>
      <w:r w:rsidR="00017529">
        <w:rPr>
          <w:szCs w:val="24"/>
        </w:rPr>
        <w:t>6</w:t>
      </w:r>
      <w:r w:rsidR="00BA167E">
        <w:rPr>
          <w:szCs w:val="24"/>
        </w:rPr>
        <w:t xml:space="preserve">) of the </w:t>
      </w:r>
      <w:r w:rsidR="00BA167E" w:rsidRPr="00BA167E">
        <w:rPr>
          <w:i/>
          <w:szCs w:val="24"/>
        </w:rPr>
        <w:t>Therapeutic Goods Act 1989</w:t>
      </w:r>
    </w:p>
    <w:p w14:paraId="0671934B" w14:textId="77777777" w:rsidR="000F7EA1" w:rsidRDefault="000F7EA1">
      <w:pPr>
        <w:rPr>
          <w:szCs w:val="24"/>
        </w:rPr>
        <w:sectPr w:rsidR="000F7EA1" w:rsidSect="000F7EA1">
          <w:headerReference w:type="default" r:id="rId9"/>
          <w:headerReference w:type="first" r:id="rId10"/>
          <w:pgSz w:w="11906" w:h="16838"/>
          <w:pgMar w:top="1304" w:right="1440" w:bottom="1304" w:left="1440" w:header="709" w:footer="709" w:gutter="0"/>
          <w:pgNumType w:start="1"/>
          <w:cols w:space="708"/>
          <w:titlePg/>
          <w:docGrid w:linePitch="360"/>
        </w:sectPr>
      </w:pPr>
    </w:p>
    <w:p w14:paraId="2B4D8860" w14:textId="3BDF6DAE" w:rsidR="002E568B" w:rsidRPr="00AC42A1" w:rsidRDefault="002E568B" w:rsidP="0024165C">
      <w:pPr>
        <w:ind w:left="5670" w:hanging="1134"/>
        <w:jc w:val="right"/>
        <w:rPr>
          <w:b/>
          <w:szCs w:val="24"/>
          <w:u w:val="single"/>
        </w:rPr>
      </w:pPr>
      <w:r w:rsidRPr="00AC42A1">
        <w:rPr>
          <w:b/>
          <w:szCs w:val="24"/>
          <w:u w:val="single"/>
        </w:rPr>
        <w:lastRenderedPageBreak/>
        <w:t>ATTACHMENT</w:t>
      </w:r>
    </w:p>
    <w:p w14:paraId="58759ABF" w14:textId="77777777" w:rsidR="002E568B" w:rsidRPr="00684780" w:rsidRDefault="002E568B" w:rsidP="003856A4">
      <w:pPr>
        <w:ind w:firstLine="3"/>
        <w:rPr>
          <w:b/>
          <w:szCs w:val="24"/>
        </w:rPr>
      </w:pPr>
    </w:p>
    <w:p w14:paraId="32BE835B" w14:textId="011EF434" w:rsidR="002E568B" w:rsidRPr="00017529" w:rsidRDefault="002E568B" w:rsidP="003856A4">
      <w:pPr>
        <w:ind w:firstLine="3"/>
        <w:rPr>
          <w:b/>
          <w:caps/>
          <w:szCs w:val="24"/>
          <w:u w:val="single"/>
        </w:rPr>
      </w:pPr>
      <w:r w:rsidRPr="00017529">
        <w:rPr>
          <w:b/>
          <w:szCs w:val="24"/>
          <w:u w:val="single"/>
        </w:rPr>
        <w:t xml:space="preserve">Details of the </w:t>
      </w:r>
      <w:r w:rsidR="00017529" w:rsidRPr="00017529">
        <w:rPr>
          <w:b/>
          <w:i/>
          <w:u w:val="single"/>
        </w:rPr>
        <w:t xml:space="preserve">Therapeutic Goods (Authorised Supply of Specified Medical Devices) Rules </w:t>
      </w:r>
      <w:r w:rsidR="00AE5404">
        <w:rPr>
          <w:b/>
          <w:i/>
          <w:u w:val="single"/>
        </w:rPr>
        <w:t>March</w:t>
      </w:r>
      <w:r w:rsidR="00EA5863">
        <w:rPr>
          <w:b/>
          <w:i/>
          <w:u w:val="single"/>
        </w:rPr>
        <w:t xml:space="preserve"> 2018</w:t>
      </w:r>
    </w:p>
    <w:p w14:paraId="51C1F819" w14:textId="77777777" w:rsidR="002E568B" w:rsidRPr="00684780" w:rsidRDefault="002E568B" w:rsidP="003856A4">
      <w:pPr>
        <w:ind w:firstLine="3"/>
        <w:rPr>
          <w:b/>
          <w:szCs w:val="24"/>
          <w:highlight w:val="yellow"/>
        </w:rPr>
      </w:pPr>
    </w:p>
    <w:p w14:paraId="1957C036" w14:textId="77777777" w:rsidR="002E568B" w:rsidRPr="00684780" w:rsidRDefault="002E568B" w:rsidP="003856A4">
      <w:pPr>
        <w:ind w:firstLine="3"/>
        <w:rPr>
          <w:szCs w:val="24"/>
        </w:rPr>
      </w:pPr>
      <w:r>
        <w:rPr>
          <w:szCs w:val="24"/>
          <w:u w:val="single"/>
        </w:rPr>
        <w:t>Sec</w:t>
      </w:r>
      <w:r w:rsidRPr="00684780">
        <w:rPr>
          <w:szCs w:val="24"/>
          <w:u w:val="single"/>
        </w:rPr>
        <w:t>tion 1 – Name</w:t>
      </w:r>
    </w:p>
    <w:p w14:paraId="56758506" w14:textId="71DDAB1B" w:rsidR="002E568B" w:rsidRPr="00684780" w:rsidRDefault="002E568B" w:rsidP="003856A4">
      <w:pPr>
        <w:ind w:firstLine="3"/>
        <w:rPr>
          <w:szCs w:val="24"/>
        </w:rPr>
      </w:pPr>
      <w:r w:rsidRPr="00684780">
        <w:rPr>
          <w:szCs w:val="24"/>
        </w:rPr>
        <w:t xml:space="preserve">This </w:t>
      </w:r>
      <w:r w:rsidR="00BA167E">
        <w:rPr>
          <w:szCs w:val="24"/>
        </w:rPr>
        <w:t>section</w:t>
      </w:r>
      <w:r w:rsidRPr="00684780">
        <w:rPr>
          <w:szCs w:val="24"/>
        </w:rPr>
        <w:t xml:space="preserve"> provide</w:t>
      </w:r>
      <w:r w:rsidR="00BF06FC">
        <w:rPr>
          <w:szCs w:val="24"/>
        </w:rPr>
        <w:t>s</w:t>
      </w:r>
      <w:r w:rsidRPr="00684780">
        <w:rPr>
          <w:szCs w:val="24"/>
        </w:rPr>
        <w:t xml:space="preserve"> for the </w:t>
      </w:r>
      <w:r w:rsidR="002708D8">
        <w:rPr>
          <w:szCs w:val="24"/>
        </w:rPr>
        <w:t>Rules</w:t>
      </w:r>
      <w:r w:rsidRPr="00684780">
        <w:rPr>
          <w:szCs w:val="24"/>
        </w:rPr>
        <w:t xml:space="preserve"> to be referred to as the </w:t>
      </w:r>
      <w:r w:rsidR="00017529" w:rsidRPr="006C38EE">
        <w:rPr>
          <w:i/>
        </w:rPr>
        <w:t xml:space="preserve">Therapeutic Goods (Authorised Supply of Specified </w:t>
      </w:r>
      <w:r w:rsidR="00017529">
        <w:rPr>
          <w:i/>
        </w:rPr>
        <w:t>Medical Devices</w:t>
      </w:r>
      <w:r w:rsidR="00017529" w:rsidRPr="006C38EE">
        <w:rPr>
          <w:i/>
        </w:rPr>
        <w:t>) Rules</w:t>
      </w:r>
      <w:r w:rsidR="005022D6">
        <w:rPr>
          <w:i/>
        </w:rPr>
        <w:t xml:space="preserve"> </w:t>
      </w:r>
      <w:r w:rsidR="00AE5404">
        <w:rPr>
          <w:i/>
        </w:rPr>
        <w:t>March</w:t>
      </w:r>
      <w:r w:rsidR="00EA5863">
        <w:rPr>
          <w:i/>
        </w:rPr>
        <w:t xml:space="preserve"> 2018</w:t>
      </w:r>
      <w:r w:rsidRPr="00684780">
        <w:rPr>
          <w:i/>
          <w:szCs w:val="24"/>
        </w:rPr>
        <w:t>.</w:t>
      </w:r>
    </w:p>
    <w:p w14:paraId="757D13DD" w14:textId="77777777" w:rsidR="002E568B" w:rsidRPr="00154185" w:rsidRDefault="002E568B" w:rsidP="003856A4">
      <w:pPr>
        <w:ind w:firstLine="3"/>
        <w:rPr>
          <w:szCs w:val="24"/>
        </w:rPr>
      </w:pPr>
    </w:p>
    <w:p w14:paraId="5A6FF993" w14:textId="77777777" w:rsidR="002E568B" w:rsidRPr="00684780" w:rsidRDefault="002E568B" w:rsidP="003856A4">
      <w:pPr>
        <w:ind w:firstLine="3"/>
        <w:rPr>
          <w:b/>
          <w:szCs w:val="24"/>
        </w:rPr>
      </w:pPr>
      <w:r>
        <w:rPr>
          <w:szCs w:val="24"/>
          <w:u w:val="single"/>
        </w:rPr>
        <w:t>Sec</w:t>
      </w:r>
      <w:r w:rsidRPr="00684780">
        <w:rPr>
          <w:szCs w:val="24"/>
          <w:u w:val="single"/>
        </w:rPr>
        <w:t>tion 2</w:t>
      </w:r>
      <w:r>
        <w:rPr>
          <w:szCs w:val="24"/>
          <w:u w:val="single"/>
        </w:rPr>
        <w:t xml:space="preserve"> – Co</w:t>
      </w:r>
      <w:r w:rsidRPr="00684780">
        <w:rPr>
          <w:szCs w:val="24"/>
          <w:u w:val="single"/>
        </w:rPr>
        <w:t>mmencement</w:t>
      </w:r>
    </w:p>
    <w:p w14:paraId="30FBFBD5" w14:textId="77777777" w:rsidR="004F4A72" w:rsidRPr="00946728" w:rsidRDefault="004F4A72" w:rsidP="004F4A72">
      <w:pPr>
        <w:shd w:val="clear" w:color="auto" w:fill="FFFFFF"/>
        <w:ind w:firstLine="3"/>
        <w:rPr>
          <w:szCs w:val="24"/>
          <w:lang w:val="en-US"/>
        </w:rPr>
      </w:pPr>
      <w:r w:rsidRPr="00946728">
        <w:rPr>
          <w:szCs w:val="24"/>
        </w:rPr>
        <w:t xml:space="preserve">This section provides for the Rules to </w:t>
      </w:r>
      <w:r w:rsidRPr="002665BC">
        <w:rPr>
          <w:szCs w:val="24"/>
        </w:rPr>
        <w:t>commence the day after they are registered.</w:t>
      </w:r>
    </w:p>
    <w:p w14:paraId="175D6068" w14:textId="77777777" w:rsidR="002E568B" w:rsidRPr="00154185" w:rsidRDefault="002E568B" w:rsidP="003856A4">
      <w:pPr>
        <w:ind w:firstLine="3"/>
        <w:rPr>
          <w:szCs w:val="24"/>
        </w:rPr>
      </w:pPr>
    </w:p>
    <w:p w14:paraId="74482ECC" w14:textId="77777777" w:rsidR="00922B98" w:rsidRDefault="002E568B" w:rsidP="003856A4">
      <w:pPr>
        <w:ind w:firstLine="3"/>
        <w:rPr>
          <w:szCs w:val="24"/>
          <w:u w:val="single"/>
        </w:rPr>
      </w:pPr>
      <w:r>
        <w:rPr>
          <w:szCs w:val="24"/>
          <w:u w:val="single"/>
        </w:rPr>
        <w:t>Sec</w:t>
      </w:r>
      <w:r w:rsidRPr="00684780">
        <w:rPr>
          <w:szCs w:val="24"/>
          <w:u w:val="single"/>
        </w:rPr>
        <w:t xml:space="preserve">tion 3 – </w:t>
      </w:r>
      <w:r w:rsidR="00922B98">
        <w:rPr>
          <w:szCs w:val="24"/>
          <w:u w:val="single"/>
        </w:rPr>
        <w:t xml:space="preserve">Authority </w:t>
      </w:r>
    </w:p>
    <w:p w14:paraId="10385115" w14:textId="3E238669" w:rsidR="00900C44" w:rsidRPr="00900C44" w:rsidRDefault="00C326E4" w:rsidP="003856A4">
      <w:pPr>
        <w:ind w:firstLine="3"/>
        <w:rPr>
          <w:szCs w:val="24"/>
        </w:rPr>
      </w:pPr>
      <w:r>
        <w:rPr>
          <w:szCs w:val="24"/>
        </w:rPr>
        <w:t>This section provide</w:t>
      </w:r>
      <w:r w:rsidR="009C40F6">
        <w:rPr>
          <w:szCs w:val="24"/>
        </w:rPr>
        <w:t>s</w:t>
      </w:r>
      <w:r>
        <w:rPr>
          <w:szCs w:val="24"/>
        </w:rPr>
        <w:t xml:space="preserve"> that the </w:t>
      </w:r>
      <w:r w:rsidR="002708D8">
        <w:rPr>
          <w:szCs w:val="24"/>
        </w:rPr>
        <w:t xml:space="preserve">Rules </w:t>
      </w:r>
      <w:r w:rsidR="00897378">
        <w:rPr>
          <w:szCs w:val="24"/>
        </w:rPr>
        <w:t>are</w:t>
      </w:r>
      <w:r>
        <w:rPr>
          <w:szCs w:val="24"/>
        </w:rPr>
        <w:t xml:space="preserve"> made</w:t>
      </w:r>
      <w:r w:rsidR="00574D01">
        <w:rPr>
          <w:szCs w:val="24"/>
        </w:rPr>
        <w:t xml:space="preserve"> under </w:t>
      </w:r>
      <w:r w:rsidR="002708D8">
        <w:rPr>
          <w:szCs w:val="24"/>
        </w:rPr>
        <w:t xml:space="preserve">subsection </w:t>
      </w:r>
      <w:proofErr w:type="gramStart"/>
      <w:r w:rsidR="00017529">
        <w:rPr>
          <w:szCs w:val="24"/>
        </w:rPr>
        <w:t>41HC</w:t>
      </w:r>
      <w:r w:rsidR="002708D8">
        <w:rPr>
          <w:szCs w:val="24"/>
        </w:rPr>
        <w:t>(</w:t>
      </w:r>
      <w:proofErr w:type="gramEnd"/>
      <w:r w:rsidR="00017529">
        <w:rPr>
          <w:szCs w:val="24"/>
        </w:rPr>
        <w:t>6</w:t>
      </w:r>
      <w:r w:rsidR="002708D8">
        <w:rPr>
          <w:szCs w:val="24"/>
        </w:rPr>
        <w:t xml:space="preserve">) of </w:t>
      </w:r>
      <w:r w:rsidR="00574D01">
        <w:rPr>
          <w:szCs w:val="24"/>
        </w:rPr>
        <w:t xml:space="preserve">the </w:t>
      </w:r>
      <w:r w:rsidRPr="00C326E4">
        <w:rPr>
          <w:i/>
          <w:szCs w:val="24"/>
        </w:rPr>
        <w:t>Therapeutic Goods Act 1989</w:t>
      </w:r>
      <w:r>
        <w:rPr>
          <w:szCs w:val="24"/>
        </w:rPr>
        <w:t>.</w:t>
      </w:r>
    </w:p>
    <w:p w14:paraId="5B8B479A" w14:textId="77777777" w:rsidR="00900C44" w:rsidRDefault="00900C44" w:rsidP="003856A4">
      <w:pPr>
        <w:ind w:firstLine="3"/>
        <w:rPr>
          <w:szCs w:val="24"/>
          <w:u w:val="single"/>
        </w:rPr>
      </w:pPr>
    </w:p>
    <w:p w14:paraId="79355BFC" w14:textId="77D5245C" w:rsidR="00336F4C" w:rsidRPr="00631B93" w:rsidRDefault="00631B93" w:rsidP="000B380F">
      <w:pPr>
        <w:rPr>
          <w:u w:val="single"/>
        </w:rPr>
      </w:pPr>
      <w:r w:rsidRPr="00631B93">
        <w:rPr>
          <w:u w:val="single"/>
        </w:rPr>
        <w:t xml:space="preserve">Section 4 – Authorisation to supply </w:t>
      </w:r>
      <w:r w:rsidR="00017529">
        <w:rPr>
          <w:u w:val="single"/>
        </w:rPr>
        <w:t>medical device</w:t>
      </w:r>
      <w:r w:rsidR="00267AF3">
        <w:rPr>
          <w:u w:val="single"/>
        </w:rPr>
        <w:t>s</w:t>
      </w:r>
    </w:p>
    <w:p w14:paraId="1CFD5DDA" w14:textId="77777777" w:rsidR="00927553" w:rsidRDefault="00631B93" w:rsidP="000B380F">
      <w:r>
        <w:t>This section sets out the relevant authorisations.</w:t>
      </w:r>
      <w:r w:rsidR="00927553">
        <w:t xml:space="preserve"> </w:t>
      </w:r>
    </w:p>
    <w:p w14:paraId="69E7C642" w14:textId="77777777" w:rsidR="00927553" w:rsidRDefault="00927553" w:rsidP="000B380F"/>
    <w:p w14:paraId="1F355025" w14:textId="4D5D803E" w:rsidR="00560682" w:rsidRDefault="00560682" w:rsidP="000B380F">
      <w:r>
        <w:t xml:space="preserve">The </w:t>
      </w:r>
      <w:r w:rsidR="0024165C">
        <w:t>kinds of medical devices</w:t>
      </w:r>
      <w:r>
        <w:t xml:space="preserve"> that may be supplied under the Rules are specified in table 1.</w:t>
      </w:r>
    </w:p>
    <w:p w14:paraId="35436446" w14:textId="77777777" w:rsidR="00560682" w:rsidRDefault="00560682" w:rsidP="000B380F"/>
    <w:p w14:paraId="694748DA" w14:textId="39190B04" w:rsidR="00560682" w:rsidRDefault="00F4362F" w:rsidP="000B380F">
      <w:r>
        <w:t xml:space="preserve">Subsection 4(1) provides that a health practitioner of the kind specified in an item in table 1 is authorised to supply </w:t>
      </w:r>
      <w:r w:rsidR="00560682">
        <w:t xml:space="preserve">the </w:t>
      </w:r>
      <w:r w:rsidR="00017529">
        <w:t>medical device</w:t>
      </w:r>
      <w:r w:rsidR="0023418E">
        <w:t xml:space="preserve"> </w:t>
      </w:r>
      <w:r w:rsidR="00560682">
        <w:t>covered by that table item to a patient of the health practitioner.</w:t>
      </w:r>
    </w:p>
    <w:p w14:paraId="40DEDCA0" w14:textId="77777777" w:rsidR="00560682" w:rsidRDefault="00560682" w:rsidP="000B380F"/>
    <w:p w14:paraId="3D81F238" w14:textId="73D2C48E" w:rsidR="00560682" w:rsidRDefault="00560682" w:rsidP="000B380F">
      <w:r>
        <w:t xml:space="preserve">Subsection 4(2) provides that another health practitioner is authorised to supply the </w:t>
      </w:r>
      <w:r w:rsidR="00017529">
        <w:t>medical device</w:t>
      </w:r>
      <w:r w:rsidR="0023418E">
        <w:t xml:space="preserve"> </w:t>
      </w:r>
      <w:r>
        <w:t>to a patient of the first health practitioner if requested to do so by the first health practitioner.</w:t>
      </w:r>
    </w:p>
    <w:p w14:paraId="7400878E" w14:textId="77777777" w:rsidR="00560682" w:rsidRDefault="00560682" w:rsidP="000B380F"/>
    <w:p w14:paraId="7BADC18B" w14:textId="50A4622F" w:rsidR="00927553" w:rsidRDefault="00560682" w:rsidP="000B380F">
      <w:r>
        <w:t>In both cases, t</w:t>
      </w:r>
      <w:r w:rsidR="00F4362F">
        <w:t xml:space="preserve">he supply must be for a </w:t>
      </w:r>
      <w:r w:rsidR="00017529">
        <w:t xml:space="preserve">purpose </w:t>
      </w:r>
      <w:r w:rsidR="00F4362F">
        <w:t xml:space="preserve">specified in the relevant </w:t>
      </w:r>
      <w:r>
        <w:t>table item.</w:t>
      </w:r>
    </w:p>
    <w:p w14:paraId="53E6DD18" w14:textId="77777777" w:rsidR="00927553" w:rsidRDefault="00927553" w:rsidP="000B380F"/>
    <w:p w14:paraId="1BFFD7DA" w14:textId="42627137" w:rsidR="00742699" w:rsidRDefault="00560682" w:rsidP="0018321D">
      <w:r>
        <w:t xml:space="preserve">The supply of a </w:t>
      </w:r>
      <w:r w:rsidR="00017529">
        <w:t>medical device</w:t>
      </w:r>
      <w:r w:rsidR="0023418E">
        <w:t xml:space="preserve"> </w:t>
      </w:r>
      <w:r>
        <w:t xml:space="preserve">under the Rules is </w:t>
      </w:r>
      <w:r w:rsidR="00927553">
        <w:t>subject to conditions</w:t>
      </w:r>
      <w:r>
        <w:t xml:space="preserve">. In the case of supply by a health practitioner to their own patient, the health practitioner must inform the patient (or a parent or guardian of the patient) that the </w:t>
      </w:r>
      <w:r w:rsidR="00017529">
        <w:t>medical device</w:t>
      </w:r>
      <w:r w:rsidR="0023418E">
        <w:t xml:space="preserve"> </w:t>
      </w:r>
      <w:r>
        <w:t xml:space="preserve">is not </w:t>
      </w:r>
      <w:r w:rsidR="00EA5863">
        <w:t xml:space="preserve">included in </w:t>
      </w:r>
      <w:r>
        <w:t>the</w:t>
      </w:r>
      <w:r w:rsidR="00EA5863">
        <w:t xml:space="preserve"> Australian Register of Therapeutic Goods (the</w:t>
      </w:r>
      <w:r>
        <w:t xml:space="preserve"> Register</w:t>
      </w:r>
      <w:r w:rsidR="00EA5863">
        <w:t>)</w:t>
      </w:r>
      <w:r>
        <w:t>, must receive informed consent</w:t>
      </w:r>
      <w:r w:rsidR="0018321D">
        <w:t xml:space="preserve">, and must </w:t>
      </w:r>
      <w:r>
        <w:t xml:space="preserve">supply the </w:t>
      </w:r>
      <w:r w:rsidR="00017529">
        <w:t>medical device</w:t>
      </w:r>
      <w:r w:rsidR="0023418E">
        <w:t xml:space="preserve"> </w:t>
      </w:r>
      <w:r>
        <w:t>in accordance with good medical practice</w:t>
      </w:r>
      <w:r w:rsidR="00742699">
        <w:t>.</w:t>
      </w:r>
    </w:p>
    <w:p w14:paraId="01B1394D" w14:textId="0383D1F4" w:rsidR="00742699" w:rsidRDefault="00742699" w:rsidP="000B380F"/>
    <w:p w14:paraId="0E79A3FA" w14:textId="79D1254C" w:rsidR="005022D6" w:rsidRDefault="005022D6" w:rsidP="005022D6">
      <w:r>
        <w:t xml:space="preserve">The TGA document titled </w:t>
      </w:r>
      <w:r>
        <w:rPr>
          <w:i/>
        </w:rPr>
        <w:t>Special Access Scheme Guidance for health practitioners and sponsors</w:t>
      </w:r>
      <w:r w:rsidR="0081555B">
        <w:t xml:space="preserve"> published on the TGA website</w:t>
      </w:r>
      <w:r>
        <w:t>, which includes guidance on the supply of unapproved goods under these Rules, explains that ‘good medical practice’ refers to a series of standards that health practitioners should adhere to when treating patients. These standards are generally patient-centred and comprise ethical and professional benchmarks expected by a health practitioner’s professional peers, as well as the community. For example, registered medical practitioners operate in accordance with the principles in the Medical Board of Australia’s ‘</w:t>
      </w:r>
      <w:r>
        <w:rPr>
          <w:i/>
          <w:iCs/>
        </w:rPr>
        <w:t>Good Medical Practice: A Code of Conduct for Doctors in Australia</w:t>
      </w:r>
      <w:r>
        <w:t>’, and dental practitioners would be expected to comply, in most cases, with the Dental Board of Australia’s ‘</w:t>
      </w:r>
      <w:r>
        <w:rPr>
          <w:i/>
          <w:iCs/>
        </w:rPr>
        <w:t>Code of Conduct for registered health practitioners</w:t>
      </w:r>
      <w:r>
        <w:t>’.</w:t>
      </w:r>
    </w:p>
    <w:p w14:paraId="6B9462B8" w14:textId="77777777" w:rsidR="005022D6" w:rsidRDefault="005022D6" w:rsidP="005022D6"/>
    <w:p w14:paraId="369C0FD3" w14:textId="77777777" w:rsidR="005022D6" w:rsidRPr="00CD3650" w:rsidRDefault="005022D6" w:rsidP="005022D6">
      <w:pPr>
        <w:spacing w:after="200" w:line="276" w:lineRule="auto"/>
        <w:rPr>
          <w:rFonts w:asciiTheme="minorHAnsi" w:eastAsiaTheme="minorHAnsi" w:hAnsiTheme="minorHAnsi" w:cstheme="minorBidi"/>
          <w:sz w:val="22"/>
          <w:szCs w:val="22"/>
          <w:lang w:eastAsia="en-US"/>
        </w:rPr>
      </w:pPr>
      <w:r>
        <w:t>Given the above, it is expected that health practitioners in particular, and patients, would be familiar with, and understand, the meaning of this term.</w:t>
      </w:r>
      <w:r w:rsidRPr="00946728">
        <w:rPr>
          <w:szCs w:val="24"/>
        </w:rPr>
        <w:t> </w:t>
      </w:r>
    </w:p>
    <w:p w14:paraId="4ABF5A0B" w14:textId="1D885F98" w:rsidR="00343284" w:rsidRDefault="00742699" w:rsidP="000B380F">
      <w:r>
        <w:lastRenderedPageBreak/>
        <w:t xml:space="preserve">The health practitioner supplying the </w:t>
      </w:r>
      <w:r w:rsidR="00017529">
        <w:t>medical device</w:t>
      </w:r>
      <w:r w:rsidR="0023418E">
        <w:t xml:space="preserve"> </w:t>
      </w:r>
      <w:r>
        <w:t>(whether under subsection 4(1) or (2)) must notify the TGA</w:t>
      </w:r>
      <w:r w:rsidR="0053437F">
        <w:t>, and the sponsor of the medical device,</w:t>
      </w:r>
      <w:r>
        <w:t xml:space="preserve"> if the health practitioner becomes aware of any adverse event suffered by the patient or any defect in the </w:t>
      </w:r>
      <w:r w:rsidR="00017529">
        <w:t>medical device</w:t>
      </w:r>
      <w:r w:rsidR="0018321D">
        <w:t>.</w:t>
      </w:r>
    </w:p>
    <w:p w14:paraId="1E14A804" w14:textId="77777777" w:rsidR="0018321D" w:rsidRDefault="0018321D" w:rsidP="000B380F"/>
    <w:p w14:paraId="71484B73" w14:textId="77777777" w:rsidR="00742699" w:rsidRPr="00742699" w:rsidRDefault="00742699" w:rsidP="000B380F"/>
    <w:p w14:paraId="5B689479" w14:textId="66C80BAC" w:rsidR="00941C8F" w:rsidRDefault="00941C8F">
      <w:pPr>
        <w:rPr>
          <w:szCs w:val="24"/>
        </w:rPr>
      </w:pPr>
      <w:r>
        <w:rPr>
          <w:szCs w:val="24"/>
        </w:rPr>
        <w:br w:type="page"/>
      </w:r>
      <w:bookmarkStart w:id="1" w:name="_GoBack"/>
      <w:bookmarkEnd w:id="1"/>
    </w:p>
    <w:p w14:paraId="52D857D9" w14:textId="77777777" w:rsidR="00941C8F" w:rsidRDefault="00941C8F" w:rsidP="00941C8F">
      <w:pPr>
        <w:jc w:val="center"/>
        <w:rPr>
          <w:b/>
          <w:sz w:val="28"/>
          <w:szCs w:val="28"/>
        </w:rPr>
      </w:pPr>
      <w:r>
        <w:rPr>
          <w:b/>
          <w:sz w:val="28"/>
          <w:szCs w:val="28"/>
        </w:rPr>
        <w:lastRenderedPageBreak/>
        <w:t>Statement of Compatibility with Human Rights</w:t>
      </w:r>
    </w:p>
    <w:p w14:paraId="6217BF64" w14:textId="77777777" w:rsidR="00941C8F" w:rsidRDefault="00941C8F" w:rsidP="00941C8F">
      <w:pPr>
        <w:jc w:val="center"/>
        <w:rPr>
          <w:i/>
          <w:szCs w:val="24"/>
        </w:rPr>
      </w:pPr>
      <w:r>
        <w:rPr>
          <w:szCs w:val="24"/>
        </w:rPr>
        <w:t xml:space="preserve">Prepared in accordance with Part 3 of the </w:t>
      </w:r>
      <w:r>
        <w:rPr>
          <w:i/>
          <w:szCs w:val="24"/>
        </w:rPr>
        <w:t>Human Rights (Parliamentary Scrutiny) Act 2011</w:t>
      </w:r>
    </w:p>
    <w:p w14:paraId="44163E56" w14:textId="77777777" w:rsidR="00941C8F" w:rsidRDefault="00941C8F" w:rsidP="00941C8F">
      <w:pPr>
        <w:rPr>
          <w:i/>
          <w:szCs w:val="24"/>
        </w:rPr>
      </w:pPr>
    </w:p>
    <w:p w14:paraId="54E14B80" w14:textId="3A9D836E" w:rsidR="002173C7" w:rsidRDefault="00017529" w:rsidP="002173C7">
      <w:pPr>
        <w:jc w:val="center"/>
        <w:rPr>
          <w:b/>
        </w:rPr>
      </w:pPr>
      <w:r w:rsidRPr="00017529">
        <w:rPr>
          <w:b/>
        </w:rPr>
        <w:t xml:space="preserve">Therapeutic Goods (Authorised Supply of Specified Medical Devices) Rules </w:t>
      </w:r>
      <w:r w:rsidR="00AE5404">
        <w:rPr>
          <w:b/>
        </w:rPr>
        <w:t>March</w:t>
      </w:r>
      <w:r w:rsidR="00E3599E">
        <w:rPr>
          <w:b/>
        </w:rPr>
        <w:t xml:space="preserve"> 2018</w:t>
      </w:r>
    </w:p>
    <w:p w14:paraId="3881187A" w14:textId="77777777" w:rsidR="00E3599E" w:rsidRPr="00017529" w:rsidRDefault="00E3599E" w:rsidP="002173C7">
      <w:pPr>
        <w:jc w:val="center"/>
        <w:rPr>
          <w:b/>
          <w:szCs w:val="24"/>
        </w:rPr>
      </w:pPr>
    </w:p>
    <w:p w14:paraId="24624F5F" w14:textId="74D7F5EE" w:rsidR="00941C8F" w:rsidRPr="00217666" w:rsidRDefault="00941C8F" w:rsidP="00941C8F">
      <w:pPr>
        <w:rPr>
          <w:szCs w:val="24"/>
        </w:rPr>
      </w:pPr>
      <w:r>
        <w:rPr>
          <w:szCs w:val="24"/>
        </w:rPr>
        <w:t xml:space="preserve">The </w:t>
      </w:r>
      <w:r w:rsidR="00F4362F">
        <w:rPr>
          <w:szCs w:val="24"/>
        </w:rPr>
        <w:t>Rules</w:t>
      </w:r>
      <w:r>
        <w:rPr>
          <w:szCs w:val="24"/>
        </w:rPr>
        <w:t xml:space="preserve"> are compatible with the human rights and freedoms recognised or declared in the international instruments listed in section 3 of the </w:t>
      </w:r>
      <w:r>
        <w:rPr>
          <w:i/>
          <w:szCs w:val="24"/>
        </w:rPr>
        <w:t>Human Rights (Parliamentary Scrutiny) Act 2011</w:t>
      </w:r>
      <w:r>
        <w:rPr>
          <w:szCs w:val="24"/>
        </w:rPr>
        <w:t>.</w:t>
      </w:r>
    </w:p>
    <w:p w14:paraId="6A8BB917" w14:textId="77777777" w:rsidR="00941C8F" w:rsidRDefault="00941C8F" w:rsidP="00941C8F">
      <w:pPr>
        <w:rPr>
          <w:szCs w:val="24"/>
        </w:rPr>
      </w:pPr>
    </w:p>
    <w:p w14:paraId="0D488F6F" w14:textId="77777777" w:rsidR="00941C8F" w:rsidRDefault="00941C8F" w:rsidP="00941C8F">
      <w:pPr>
        <w:rPr>
          <w:b/>
          <w:szCs w:val="24"/>
        </w:rPr>
      </w:pPr>
      <w:r>
        <w:rPr>
          <w:b/>
          <w:szCs w:val="24"/>
        </w:rPr>
        <w:t>Overview of the Legislative Instrument</w:t>
      </w:r>
    </w:p>
    <w:p w14:paraId="33B35444" w14:textId="2315C8B7" w:rsidR="00941C8F" w:rsidRDefault="00941C8F" w:rsidP="00941C8F">
      <w:pPr>
        <w:ind w:right="-45"/>
        <w:rPr>
          <w:szCs w:val="24"/>
        </w:rPr>
      </w:pPr>
      <w:r>
        <w:rPr>
          <w:szCs w:val="24"/>
        </w:rPr>
        <w:t xml:space="preserve">The </w:t>
      </w:r>
      <w:r w:rsidR="00F4362F">
        <w:rPr>
          <w:szCs w:val="24"/>
        </w:rPr>
        <w:t xml:space="preserve">Rules </w:t>
      </w:r>
      <w:r>
        <w:rPr>
          <w:szCs w:val="24"/>
        </w:rPr>
        <w:t xml:space="preserve">are made under subsection </w:t>
      </w:r>
      <w:proofErr w:type="gramStart"/>
      <w:r w:rsidR="00017529">
        <w:rPr>
          <w:szCs w:val="24"/>
        </w:rPr>
        <w:t>41HC</w:t>
      </w:r>
      <w:r>
        <w:rPr>
          <w:szCs w:val="24"/>
        </w:rPr>
        <w:t>(</w:t>
      </w:r>
      <w:proofErr w:type="gramEnd"/>
      <w:r w:rsidR="00017529">
        <w:rPr>
          <w:szCs w:val="24"/>
        </w:rPr>
        <w:t>6</w:t>
      </w:r>
      <w:r>
        <w:rPr>
          <w:szCs w:val="24"/>
        </w:rPr>
        <w:t xml:space="preserve">) of the </w:t>
      </w:r>
      <w:r>
        <w:rPr>
          <w:i/>
          <w:szCs w:val="24"/>
        </w:rPr>
        <w:t>Therapeutic Goods Act 1989</w:t>
      </w:r>
      <w:r>
        <w:rPr>
          <w:szCs w:val="24"/>
        </w:rPr>
        <w:t xml:space="preserve"> (the Act).  </w:t>
      </w:r>
      <w:r w:rsidR="00ED1666" w:rsidRPr="00ED1666">
        <w:rPr>
          <w:szCs w:val="24"/>
        </w:rPr>
        <w:t>They commence the day after they are registered</w:t>
      </w:r>
      <w:r>
        <w:rPr>
          <w:szCs w:val="24"/>
        </w:rPr>
        <w:t>.</w:t>
      </w:r>
    </w:p>
    <w:p w14:paraId="01B47E5D" w14:textId="77777777" w:rsidR="00941C8F" w:rsidRDefault="00941C8F" w:rsidP="00941C8F">
      <w:pPr>
        <w:rPr>
          <w:szCs w:val="24"/>
        </w:rPr>
      </w:pPr>
    </w:p>
    <w:p w14:paraId="0460581B" w14:textId="5CC0FACF" w:rsidR="00941C8F" w:rsidRDefault="00941C8F" w:rsidP="00941C8F">
      <w:pPr>
        <w:rPr>
          <w:szCs w:val="24"/>
        </w:rPr>
      </w:pPr>
      <w:r>
        <w:rPr>
          <w:szCs w:val="24"/>
        </w:rPr>
        <w:t xml:space="preserve">The </w:t>
      </w:r>
      <w:r w:rsidRPr="00E749C4">
        <w:rPr>
          <w:i/>
          <w:szCs w:val="24"/>
        </w:rPr>
        <w:t>Therapeutic Goods Amendment (2016 Measures No.1) Act 2017</w:t>
      </w:r>
      <w:r>
        <w:rPr>
          <w:szCs w:val="24"/>
        </w:rPr>
        <w:t xml:space="preserve"> (the Amendment Act) amended the Act to, in particular, support the implementation of several key recommendations of the Expert Panel Review of Medicines and Medical Device Regulation (the Review) agreed to by the Australian Government in its response to the Review (see </w:t>
      </w:r>
      <w:hyperlink r:id="rId11" w:history="1">
        <w:r w:rsidRPr="00253080">
          <w:rPr>
            <w:rStyle w:val="Hyperlink"/>
            <w:szCs w:val="24"/>
          </w:rPr>
          <w:t>www.tga.gov.au</w:t>
        </w:r>
      </w:hyperlink>
      <w:r>
        <w:rPr>
          <w:szCs w:val="24"/>
        </w:rPr>
        <w:t>). The Expert Panel was established to identify areas of the regulation of medicines and medical devices which could be streamlined while maintaining the safety and quality of therapeutic goods in Australia, and made 58 recommendations.  The Australian Government supported 56 of the 58 recommendations for reform, and the Amendment Act addressed a first tranche of these recommendations.</w:t>
      </w:r>
    </w:p>
    <w:p w14:paraId="7F20BEA0" w14:textId="77777777" w:rsidR="00941C8F" w:rsidRDefault="00941C8F" w:rsidP="00941C8F">
      <w:pPr>
        <w:rPr>
          <w:szCs w:val="24"/>
        </w:rPr>
      </w:pPr>
    </w:p>
    <w:p w14:paraId="4583386F" w14:textId="733CFEA7" w:rsidR="00F4362F" w:rsidRDefault="00F4362F" w:rsidP="00F4362F">
      <w:pPr>
        <w:rPr>
          <w:szCs w:val="24"/>
        </w:rPr>
      </w:pPr>
      <w:r>
        <w:rPr>
          <w:szCs w:val="24"/>
        </w:rPr>
        <w:t>One of the reforms supported by the Amendment Act was to enable health practitioners to supply certain unapproved therapeutic goods</w:t>
      </w:r>
      <w:r w:rsidR="00ED1666">
        <w:rPr>
          <w:szCs w:val="24"/>
        </w:rPr>
        <w:t xml:space="preserve"> </w:t>
      </w:r>
      <w:r w:rsidR="00ED1666" w:rsidRPr="00ED1666">
        <w:rPr>
          <w:szCs w:val="24"/>
        </w:rPr>
        <w:t>(i.e. goods that are not included in the Australian Register of Therapeutic Goods (the Register))</w:t>
      </w:r>
      <w:r>
        <w:rPr>
          <w:szCs w:val="24"/>
        </w:rPr>
        <w:t xml:space="preserve"> – principally those with an established history of use in similar overseas countries – to their patients by way of notification to the TGA, rather than </w:t>
      </w:r>
      <w:r w:rsidR="00ED1666">
        <w:rPr>
          <w:szCs w:val="24"/>
        </w:rPr>
        <w:t xml:space="preserve">by </w:t>
      </w:r>
      <w:r w:rsidR="00587894">
        <w:rPr>
          <w:szCs w:val="24"/>
        </w:rPr>
        <w:t>requiring pre-approval. For medical devices, t</w:t>
      </w:r>
      <w:r>
        <w:rPr>
          <w:szCs w:val="24"/>
        </w:rPr>
        <w:t xml:space="preserve">his involved the insertion of new subsections </w:t>
      </w:r>
      <w:proofErr w:type="gramStart"/>
      <w:r w:rsidR="00017529">
        <w:rPr>
          <w:szCs w:val="24"/>
        </w:rPr>
        <w:t>41HC</w:t>
      </w:r>
      <w:r>
        <w:rPr>
          <w:szCs w:val="24"/>
        </w:rPr>
        <w:t>(</w:t>
      </w:r>
      <w:proofErr w:type="gramEnd"/>
      <w:r w:rsidR="00017529">
        <w:rPr>
          <w:szCs w:val="24"/>
        </w:rPr>
        <w:t>6</w:t>
      </w:r>
      <w:r>
        <w:rPr>
          <w:szCs w:val="24"/>
        </w:rPr>
        <w:t>) to (</w:t>
      </w:r>
      <w:r w:rsidR="00587894">
        <w:rPr>
          <w:szCs w:val="24"/>
        </w:rPr>
        <w:t>6G</w:t>
      </w:r>
      <w:r>
        <w:rPr>
          <w:szCs w:val="24"/>
        </w:rPr>
        <w:t>) in the Act</w:t>
      </w:r>
      <w:r w:rsidR="004A02F6">
        <w:rPr>
          <w:szCs w:val="24"/>
        </w:rPr>
        <w:t xml:space="preserve">. </w:t>
      </w:r>
    </w:p>
    <w:p w14:paraId="5618D7E9" w14:textId="77777777" w:rsidR="00F4362F" w:rsidRDefault="00F4362F" w:rsidP="00F4362F">
      <w:pPr>
        <w:rPr>
          <w:szCs w:val="24"/>
        </w:rPr>
      </w:pPr>
    </w:p>
    <w:p w14:paraId="214D5499" w14:textId="531F0734" w:rsidR="00941C8F" w:rsidRDefault="00F4362F" w:rsidP="00941C8F">
      <w:pPr>
        <w:rPr>
          <w:rFonts w:ascii="Times" w:hAnsi="Times"/>
          <w:szCs w:val="24"/>
        </w:rPr>
      </w:pPr>
      <w:r>
        <w:rPr>
          <w:rFonts w:ascii="Times" w:hAnsi="Times"/>
          <w:szCs w:val="24"/>
        </w:rPr>
        <w:t xml:space="preserve">The Rules are made for the purposes of subsection </w:t>
      </w:r>
      <w:proofErr w:type="gramStart"/>
      <w:r w:rsidR="00017529">
        <w:rPr>
          <w:rFonts w:ascii="Times" w:hAnsi="Times"/>
          <w:szCs w:val="24"/>
        </w:rPr>
        <w:t>41HC</w:t>
      </w:r>
      <w:r>
        <w:rPr>
          <w:rFonts w:ascii="Times" w:hAnsi="Times"/>
          <w:szCs w:val="24"/>
        </w:rPr>
        <w:t>(</w:t>
      </w:r>
      <w:proofErr w:type="gramEnd"/>
      <w:r w:rsidR="00017529">
        <w:rPr>
          <w:rFonts w:ascii="Times" w:hAnsi="Times"/>
          <w:szCs w:val="24"/>
        </w:rPr>
        <w:t>6</w:t>
      </w:r>
      <w:r>
        <w:rPr>
          <w:rFonts w:ascii="Times" w:hAnsi="Times"/>
          <w:szCs w:val="24"/>
        </w:rPr>
        <w:t xml:space="preserve">) and authorise health practitioners included in a specified class of health practitioners to supply specified </w:t>
      </w:r>
      <w:r w:rsidR="005474FD">
        <w:rPr>
          <w:rFonts w:ascii="Times" w:hAnsi="Times"/>
          <w:szCs w:val="24"/>
        </w:rPr>
        <w:t xml:space="preserve">kinds of </w:t>
      </w:r>
      <w:r w:rsidR="00017529">
        <w:rPr>
          <w:rFonts w:ascii="Times" w:hAnsi="Times"/>
          <w:szCs w:val="24"/>
        </w:rPr>
        <w:t>medical device</w:t>
      </w:r>
      <w:r w:rsidR="0023418E">
        <w:rPr>
          <w:rFonts w:ascii="Times" w:hAnsi="Times"/>
          <w:szCs w:val="24"/>
        </w:rPr>
        <w:t xml:space="preserve">s </w:t>
      </w:r>
      <w:r>
        <w:rPr>
          <w:rFonts w:ascii="Times" w:hAnsi="Times"/>
          <w:szCs w:val="24"/>
        </w:rPr>
        <w:t>to specified classes of recipients.</w:t>
      </w:r>
    </w:p>
    <w:p w14:paraId="657E75E5" w14:textId="77777777" w:rsidR="000C2C01" w:rsidRDefault="000C2C01" w:rsidP="00941C8F">
      <w:pPr>
        <w:rPr>
          <w:rFonts w:ascii="Times" w:hAnsi="Times"/>
          <w:szCs w:val="24"/>
        </w:rPr>
      </w:pPr>
    </w:p>
    <w:p w14:paraId="1F25EF95" w14:textId="28EFEF6E" w:rsidR="00ED1666" w:rsidRPr="00A8730C" w:rsidRDefault="00ED1666" w:rsidP="00ED1666">
      <w:pPr>
        <w:shd w:val="clear" w:color="auto" w:fill="FFFFFF"/>
        <w:rPr>
          <w:szCs w:val="24"/>
        </w:rPr>
      </w:pPr>
      <w:r>
        <w:rPr>
          <w:szCs w:val="24"/>
        </w:rPr>
        <w:t xml:space="preserve">This instrument replaces the </w:t>
      </w:r>
      <w:r>
        <w:rPr>
          <w:sz w:val="22"/>
          <w:szCs w:val="22"/>
        </w:rPr>
        <w:t>Therapeutic Goods (Authorised Supply of Medical Devices) Rules September 2017 (the September 2017 Rules)</w:t>
      </w:r>
      <w:r>
        <w:rPr>
          <w:szCs w:val="24"/>
        </w:rPr>
        <w:t xml:space="preserve"> and incorporates the following changes compared to the September 2017 Rules:</w:t>
      </w:r>
    </w:p>
    <w:p w14:paraId="0D64F548" w14:textId="7A913FDA" w:rsidR="00ED1666" w:rsidRPr="00EA5863" w:rsidRDefault="00ED1666" w:rsidP="00ED1666">
      <w:pPr>
        <w:pStyle w:val="ListParagraph"/>
        <w:numPr>
          <w:ilvl w:val="0"/>
          <w:numId w:val="29"/>
        </w:numPr>
        <w:shd w:val="clear" w:color="auto" w:fill="FFFFFF"/>
        <w:rPr>
          <w:szCs w:val="24"/>
          <w:lang w:val="en-US"/>
        </w:rPr>
      </w:pPr>
      <w:r>
        <w:rPr>
          <w:szCs w:val="24"/>
          <w:lang w:val="en-US"/>
        </w:rPr>
        <w:t>the clarification of the purpose(s) (statements of therapeutic use) for each medical device;</w:t>
      </w:r>
      <w:r w:rsidR="00EB7747">
        <w:rPr>
          <w:szCs w:val="24"/>
          <w:lang w:val="en-US"/>
        </w:rPr>
        <w:t xml:space="preserve"> and</w:t>
      </w:r>
    </w:p>
    <w:p w14:paraId="75228FF0" w14:textId="77777777" w:rsidR="00ED1666" w:rsidRDefault="00ED1666" w:rsidP="00ED1666">
      <w:pPr>
        <w:pStyle w:val="ListParagraph"/>
        <w:numPr>
          <w:ilvl w:val="0"/>
          <w:numId w:val="29"/>
        </w:numPr>
        <w:shd w:val="clear" w:color="auto" w:fill="FFFFFF"/>
        <w:rPr>
          <w:szCs w:val="24"/>
          <w:lang w:val="en-US"/>
        </w:rPr>
      </w:pPr>
      <w:proofErr w:type="gramStart"/>
      <w:r>
        <w:rPr>
          <w:szCs w:val="24"/>
          <w:lang w:val="en-US"/>
        </w:rPr>
        <w:t>the</w:t>
      </w:r>
      <w:proofErr w:type="gramEnd"/>
      <w:r>
        <w:rPr>
          <w:szCs w:val="24"/>
          <w:lang w:val="en-US"/>
        </w:rPr>
        <w:t xml:space="preserve"> addition of a further 14 medical devices that have an established history of safe use.</w:t>
      </w:r>
    </w:p>
    <w:p w14:paraId="2A53BA1B" w14:textId="77777777" w:rsidR="00941C8F" w:rsidRDefault="00941C8F" w:rsidP="00941C8F">
      <w:pPr>
        <w:rPr>
          <w:rFonts w:ascii="Times" w:hAnsi="Times"/>
          <w:szCs w:val="24"/>
        </w:rPr>
      </w:pPr>
    </w:p>
    <w:p w14:paraId="3A079571" w14:textId="77777777" w:rsidR="00941C8F" w:rsidRDefault="00941C8F" w:rsidP="00D44BD6">
      <w:pPr>
        <w:spacing w:after="120"/>
        <w:rPr>
          <w:b/>
          <w:szCs w:val="24"/>
        </w:rPr>
      </w:pPr>
      <w:r>
        <w:rPr>
          <w:b/>
          <w:szCs w:val="24"/>
        </w:rPr>
        <w:t>Human rights implications</w:t>
      </w:r>
    </w:p>
    <w:p w14:paraId="4FFCD86E" w14:textId="0B69A2D4" w:rsidR="00941C8F" w:rsidRDefault="00F4362F" w:rsidP="00D44BD6">
      <w:pPr>
        <w:spacing w:after="120"/>
        <w:rPr>
          <w:szCs w:val="24"/>
        </w:rPr>
      </w:pPr>
      <w:r>
        <w:rPr>
          <w:szCs w:val="24"/>
        </w:rPr>
        <w:t>T</w:t>
      </w:r>
      <w:r w:rsidR="00941C8F">
        <w:rPr>
          <w:szCs w:val="24"/>
        </w:rPr>
        <w:t xml:space="preserve">he </w:t>
      </w:r>
      <w:r>
        <w:rPr>
          <w:szCs w:val="24"/>
        </w:rPr>
        <w:t xml:space="preserve">Rules </w:t>
      </w:r>
      <w:r w:rsidR="00941C8F">
        <w:rPr>
          <w:szCs w:val="24"/>
        </w:rPr>
        <w:t>do not engage any of the applicable rights or freedoms.</w:t>
      </w:r>
    </w:p>
    <w:p w14:paraId="731B245D" w14:textId="77777777" w:rsidR="00941C8F" w:rsidRDefault="00941C8F" w:rsidP="00D44BD6">
      <w:pPr>
        <w:spacing w:after="120"/>
        <w:rPr>
          <w:b/>
          <w:szCs w:val="24"/>
        </w:rPr>
      </w:pPr>
      <w:r>
        <w:rPr>
          <w:b/>
          <w:szCs w:val="24"/>
        </w:rPr>
        <w:t>Conclusion</w:t>
      </w:r>
    </w:p>
    <w:p w14:paraId="3362FA2B" w14:textId="77777777" w:rsidR="004A02F6" w:rsidRDefault="00941C8F" w:rsidP="00D44BD6">
      <w:pPr>
        <w:spacing w:after="120"/>
        <w:rPr>
          <w:szCs w:val="24"/>
        </w:rPr>
      </w:pPr>
      <w:r>
        <w:rPr>
          <w:szCs w:val="24"/>
        </w:rPr>
        <w:t>This legislative instrument is compatible with human rights as it does not raise any human rights issues.</w:t>
      </w:r>
    </w:p>
    <w:p w14:paraId="3B29FBFA" w14:textId="77777777" w:rsidR="004A02F6" w:rsidRDefault="004A02F6" w:rsidP="00D44BD6">
      <w:pPr>
        <w:spacing w:after="120"/>
        <w:rPr>
          <w:szCs w:val="24"/>
        </w:rPr>
      </w:pPr>
    </w:p>
    <w:p w14:paraId="4E1C2069" w14:textId="7AFB0C87" w:rsidR="00066C1D" w:rsidRPr="00367B2C" w:rsidRDefault="005016BA" w:rsidP="00D44BD6">
      <w:pPr>
        <w:spacing w:after="120"/>
        <w:rPr>
          <w:szCs w:val="24"/>
        </w:rPr>
      </w:pPr>
      <w:r>
        <w:rPr>
          <w:b/>
          <w:szCs w:val="24"/>
        </w:rPr>
        <w:t>Larry Kelly</w:t>
      </w:r>
      <w:r w:rsidR="00941C8F">
        <w:rPr>
          <w:b/>
          <w:szCs w:val="24"/>
        </w:rPr>
        <w:t xml:space="preserve">, </w:t>
      </w:r>
      <w:r w:rsidR="00F4362F">
        <w:rPr>
          <w:b/>
          <w:szCs w:val="24"/>
        </w:rPr>
        <w:t xml:space="preserve">delegate of the </w:t>
      </w:r>
      <w:r w:rsidR="00941C8F">
        <w:rPr>
          <w:b/>
          <w:szCs w:val="24"/>
        </w:rPr>
        <w:t>Minister for Health</w:t>
      </w:r>
    </w:p>
    <w:sectPr w:rsidR="00066C1D" w:rsidRPr="00367B2C" w:rsidSect="000F7EA1">
      <w:pgSz w:w="11906" w:h="16838"/>
      <w:pgMar w:top="1304" w:right="1440" w:bottom="1304" w:left="1440"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E81BF" w14:textId="77777777" w:rsidR="00FB77EA" w:rsidRDefault="00FB77EA" w:rsidP="00A2299B">
      <w:r>
        <w:separator/>
      </w:r>
    </w:p>
  </w:endnote>
  <w:endnote w:type="continuationSeparator" w:id="0">
    <w:p w14:paraId="578D5200" w14:textId="77777777" w:rsidR="00FB77EA" w:rsidRDefault="00FB77EA" w:rsidP="00A2299B">
      <w:r>
        <w:continuationSeparator/>
      </w:r>
    </w:p>
  </w:endnote>
  <w:endnote w:type="continuationNotice" w:id="1">
    <w:p w14:paraId="1A2E0E07" w14:textId="77777777" w:rsidR="00FB77EA" w:rsidRDefault="00FB7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F72E8" w14:textId="77777777" w:rsidR="00FB77EA" w:rsidRDefault="00FB77EA" w:rsidP="00A2299B">
      <w:r>
        <w:separator/>
      </w:r>
    </w:p>
  </w:footnote>
  <w:footnote w:type="continuationSeparator" w:id="0">
    <w:p w14:paraId="59439C89" w14:textId="77777777" w:rsidR="00FB77EA" w:rsidRDefault="00FB77EA" w:rsidP="00A2299B">
      <w:r>
        <w:continuationSeparator/>
      </w:r>
    </w:p>
  </w:footnote>
  <w:footnote w:type="continuationNotice" w:id="1">
    <w:p w14:paraId="5295012F" w14:textId="77777777" w:rsidR="00FB77EA" w:rsidRDefault="00FB77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307912"/>
      <w:docPartObj>
        <w:docPartGallery w:val="Page Numbers (Top of Page)"/>
        <w:docPartUnique/>
      </w:docPartObj>
    </w:sdtPr>
    <w:sdtEndPr>
      <w:rPr>
        <w:noProof/>
      </w:rPr>
    </w:sdtEndPr>
    <w:sdtContent>
      <w:p w14:paraId="510524C8" w14:textId="1B23B48B" w:rsidR="000F7EA1" w:rsidRDefault="000F7EA1">
        <w:pPr>
          <w:pStyle w:val="Header"/>
          <w:jc w:val="center"/>
        </w:pPr>
        <w:r>
          <w:fldChar w:fldCharType="begin"/>
        </w:r>
        <w:r>
          <w:instrText xml:space="preserve"> PAGE   \* MERGEFORMAT </w:instrText>
        </w:r>
        <w:r>
          <w:fldChar w:fldCharType="separate"/>
        </w:r>
        <w:r w:rsidR="00F71A80">
          <w:rPr>
            <w:noProof/>
          </w:rPr>
          <w:t>5</w:t>
        </w:r>
        <w:r>
          <w:rPr>
            <w:noProof/>
          </w:rPr>
          <w:fldChar w:fldCharType="end"/>
        </w:r>
      </w:p>
    </w:sdtContent>
  </w:sdt>
  <w:p w14:paraId="688508CF" w14:textId="77777777" w:rsidR="000F7EA1" w:rsidRDefault="000F7EA1" w:rsidP="000F7EA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49268" w14:textId="1D03A483" w:rsidR="000F7EA1" w:rsidRDefault="000F7EA1">
    <w:pPr>
      <w:pStyle w:val="Header"/>
      <w:jc w:val="center"/>
    </w:pPr>
  </w:p>
  <w:p w14:paraId="2893B29B" w14:textId="223DF97B" w:rsidR="00FB77EA" w:rsidRPr="001A15B8" w:rsidRDefault="00FB77EA" w:rsidP="001A15B8">
    <w:pPr>
      <w:pStyle w:val="Header"/>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991"/>
    <w:multiLevelType w:val="hybridMultilevel"/>
    <w:tmpl w:val="038ECE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05891505"/>
    <w:multiLevelType w:val="hybridMultilevel"/>
    <w:tmpl w:val="49709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9F0718"/>
    <w:multiLevelType w:val="hybridMultilevel"/>
    <w:tmpl w:val="CD829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AE051F"/>
    <w:multiLevelType w:val="hybridMultilevel"/>
    <w:tmpl w:val="3DE4C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B6A6A20"/>
    <w:multiLevelType w:val="hybridMultilevel"/>
    <w:tmpl w:val="47144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EE03B8"/>
    <w:multiLevelType w:val="hybridMultilevel"/>
    <w:tmpl w:val="A51E19C0"/>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6">
    <w:nsid w:val="1FD866E4"/>
    <w:multiLevelType w:val="hybridMultilevel"/>
    <w:tmpl w:val="EED645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224570BF"/>
    <w:multiLevelType w:val="hybridMultilevel"/>
    <w:tmpl w:val="502AC2EC"/>
    <w:lvl w:ilvl="0" w:tplc="660E8B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8934A6B"/>
    <w:multiLevelType w:val="multilevel"/>
    <w:tmpl w:val="B282D308"/>
    <w:name w:val="AGSDash"/>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9">
    <w:nsid w:val="2A0A060D"/>
    <w:multiLevelType w:val="hybridMultilevel"/>
    <w:tmpl w:val="A0D0E30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0">
    <w:nsid w:val="2F9B1299"/>
    <w:multiLevelType w:val="hybridMultilevel"/>
    <w:tmpl w:val="795C5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0376070"/>
    <w:multiLevelType w:val="hybridMultilevel"/>
    <w:tmpl w:val="D938C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080524C"/>
    <w:multiLevelType w:val="hybridMultilevel"/>
    <w:tmpl w:val="E0D25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1CE7BD9"/>
    <w:multiLevelType w:val="hybridMultilevel"/>
    <w:tmpl w:val="028E453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4E56FA7"/>
    <w:multiLevelType w:val="hybridMultilevel"/>
    <w:tmpl w:val="6ADCD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7DB0227"/>
    <w:multiLevelType w:val="hybridMultilevel"/>
    <w:tmpl w:val="790C3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8177717"/>
    <w:multiLevelType w:val="hybridMultilevel"/>
    <w:tmpl w:val="0248DF0A"/>
    <w:lvl w:ilvl="0" w:tplc="0C090001">
      <w:start w:val="1"/>
      <w:numFmt w:val="bullet"/>
      <w:lvlText w:val=""/>
      <w:lvlJc w:val="left"/>
      <w:pPr>
        <w:ind w:left="765" w:hanging="360"/>
      </w:pPr>
      <w:rPr>
        <w:rFonts w:ascii="Symbol" w:hAnsi="Symbol" w:hint="default"/>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abstractNum w:abstractNumId="17">
    <w:nsid w:val="3EF615DA"/>
    <w:multiLevelType w:val="hybridMultilevel"/>
    <w:tmpl w:val="0466F8E4"/>
    <w:lvl w:ilvl="0" w:tplc="660E8B0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54C32AD"/>
    <w:multiLevelType w:val="hybridMultilevel"/>
    <w:tmpl w:val="937206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nsid w:val="49F86BCE"/>
    <w:multiLevelType w:val="hybridMultilevel"/>
    <w:tmpl w:val="0466F8E4"/>
    <w:lvl w:ilvl="0" w:tplc="660E8B0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B08399A"/>
    <w:multiLevelType w:val="hybridMultilevel"/>
    <w:tmpl w:val="0526B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F681989"/>
    <w:multiLevelType w:val="hybridMultilevel"/>
    <w:tmpl w:val="B46C0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AB7677F"/>
    <w:multiLevelType w:val="hybridMultilevel"/>
    <w:tmpl w:val="672A228E"/>
    <w:lvl w:ilvl="0" w:tplc="2C80B504">
      <w:start w:val="1"/>
      <w:numFmt w:val="lowerLetter"/>
      <w:lvlText w:val="(%1)"/>
      <w:lvlJc w:val="left"/>
      <w:pPr>
        <w:ind w:left="765" w:hanging="360"/>
      </w:pPr>
      <w:rPr>
        <w:rFonts w:ascii="Times New Roman" w:eastAsia="Times New Roman" w:hAnsi="Times New Roman" w:cs="Times New Roman"/>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abstractNum w:abstractNumId="23">
    <w:nsid w:val="63004532"/>
    <w:multiLevelType w:val="hybridMultilevel"/>
    <w:tmpl w:val="0466F8E4"/>
    <w:lvl w:ilvl="0" w:tplc="660E8B0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9A81190"/>
    <w:multiLevelType w:val="hybridMultilevel"/>
    <w:tmpl w:val="DD6C3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3F25EA8"/>
    <w:multiLevelType w:val="hybridMultilevel"/>
    <w:tmpl w:val="266C5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6433214"/>
    <w:multiLevelType w:val="hybridMultilevel"/>
    <w:tmpl w:val="BF722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81D4FF6"/>
    <w:multiLevelType w:val="hybridMultilevel"/>
    <w:tmpl w:val="A9966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EBB1A5E"/>
    <w:multiLevelType w:val="hybridMultilevel"/>
    <w:tmpl w:val="7ED888AC"/>
    <w:lvl w:ilvl="0" w:tplc="0C090001">
      <w:start w:val="1"/>
      <w:numFmt w:val="bullet"/>
      <w:lvlText w:val=""/>
      <w:lvlJc w:val="left"/>
      <w:pPr>
        <w:ind w:left="900" w:hanging="360"/>
      </w:pPr>
      <w:rPr>
        <w:rFonts w:ascii="Symbol" w:hAnsi="Symbol" w:hint="default"/>
      </w:rPr>
    </w:lvl>
    <w:lvl w:ilvl="1" w:tplc="0C090003">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num w:numId="1">
    <w:abstractNumId w:val="22"/>
  </w:num>
  <w:num w:numId="2">
    <w:abstractNumId w:val="13"/>
  </w:num>
  <w:num w:numId="3">
    <w:abstractNumId w:val="8"/>
  </w:num>
  <w:num w:numId="4">
    <w:abstractNumId w:val="16"/>
  </w:num>
  <w:num w:numId="5">
    <w:abstractNumId w:val="1"/>
  </w:num>
  <w:num w:numId="6">
    <w:abstractNumId w:val="9"/>
  </w:num>
  <w:num w:numId="7">
    <w:abstractNumId w:val="6"/>
  </w:num>
  <w:num w:numId="8">
    <w:abstractNumId w:val="18"/>
  </w:num>
  <w:num w:numId="9">
    <w:abstractNumId w:val="15"/>
  </w:num>
  <w:num w:numId="10">
    <w:abstractNumId w:val="0"/>
  </w:num>
  <w:num w:numId="11">
    <w:abstractNumId w:val="3"/>
  </w:num>
  <w:num w:numId="12">
    <w:abstractNumId w:val="20"/>
  </w:num>
  <w:num w:numId="13">
    <w:abstractNumId w:val="12"/>
  </w:num>
  <w:num w:numId="14">
    <w:abstractNumId w:val="4"/>
  </w:num>
  <w:num w:numId="15">
    <w:abstractNumId w:val="28"/>
  </w:num>
  <w:num w:numId="16">
    <w:abstractNumId w:val="26"/>
  </w:num>
  <w:num w:numId="17">
    <w:abstractNumId w:val="11"/>
  </w:num>
  <w:num w:numId="18">
    <w:abstractNumId w:val="14"/>
  </w:num>
  <w:num w:numId="19">
    <w:abstractNumId w:val="2"/>
  </w:num>
  <w:num w:numId="20">
    <w:abstractNumId w:val="27"/>
  </w:num>
  <w:num w:numId="21">
    <w:abstractNumId w:val="21"/>
  </w:num>
  <w:num w:numId="22">
    <w:abstractNumId w:val="10"/>
  </w:num>
  <w:num w:numId="23">
    <w:abstractNumId w:val="25"/>
  </w:num>
  <w:num w:numId="24">
    <w:abstractNumId w:val="5"/>
  </w:num>
  <w:num w:numId="25">
    <w:abstractNumId w:val="24"/>
  </w:num>
  <w:num w:numId="26">
    <w:abstractNumId w:val="17"/>
  </w:num>
  <w:num w:numId="27">
    <w:abstractNumId w:val="7"/>
  </w:num>
  <w:num w:numId="28">
    <w:abstractNumId w:val="23"/>
  </w:num>
  <w:num w:numId="29">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cis, Jenny">
    <w15:presenceInfo w15:providerId="None" w15:userId="Francis, Jen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drawingGridHorizontalSpacing w:val="120"/>
  <w:displayHorizontalDrawingGridEvery w:val="2"/>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A4"/>
    <w:rsid w:val="000036E4"/>
    <w:rsid w:val="000043AB"/>
    <w:rsid w:val="000051AE"/>
    <w:rsid w:val="00005A60"/>
    <w:rsid w:val="00006EED"/>
    <w:rsid w:val="00007175"/>
    <w:rsid w:val="0001103F"/>
    <w:rsid w:val="000154A5"/>
    <w:rsid w:val="00017529"/>
    <w:rsid w:val="00030D81"/>
    <w:rsid w:val="0003199C"/>
    <w:rsid w:val="000321C7"/>
    <w:rsid w:val="000332B6"/>
    <w:rsid w:val="00033521"/>
    <w:rsid w:val="00033601"/>
    <w:rsid w:val="00033DAB"/>
    <w:rsid w:val="00033DB5"/>
    <w:rsid w:val="00041C96"/>
    <w:rsid w:val="0004282E"/>
    <w:rsid w:val="000447C5"/>
    <w:rsid w:val="00044AA2"/>
    <w:rsid w:val="00045889"/>
    <w:rsid w:val="0005363C"/>
    <w:rsid w:val="00054095"/>
    <w:rsid w:val="0005626F"/>
    <w:rsid w:val="00056988"/>
    <w:rsid w:val="00060820"/>
    <w:rsid w:val="000627DF"/>
    <w:rsid w:val="0006411A"/>
    <w:rsid w:val="000668D6"/>
    <w:rsid w:val="00066C1D"/>
    <w:rsid w:val="0007315A"/>
    <w:rsid w:val="000734F6"/>
    <w:rsid w:val="0007636B"/>
    <w:rsid w:val="00076A67"/>
    <w:rsid w:val="00084325"/>
    <w:rsid w:val="00093A6A"/>
    <w:rsid w:val="000A35F8"/>
    <w:rsid w:val="000A6FB3"/>
    <w:rsid w:val="000B1535"/>
    <w:rsid w:val="000B380F"/>
    <w:rsid w:val="000C237E"/>
    <w:rsid w:val="000C2C01"/>
    <w:rsid w:val="000C6B8D"/>
    <w:rsid w:val="000D2982"/>
    <w:rsid w:val="000D4BA9"/>
    <w:rsid w:val="000D4DB4"/>
    <w:rsid w:val="000D5A0E"/>
    <w:rsid w:val="000D5BFD"/>
    <w:rsid w:val="000D682A"/>
    <w:rsid w:val="000D792F"/>
    <w:rsid w:val="000E0270"/>
    <w:rsid w:val="000E07F5"/>
    <w:rsid w:val="000E2383"/>
    <w:rsid w:val="000E2DE6"/>
    <w:rsid w:val="000E3A9B"/>
    <w:rsid w:val="000E4581"/>
    <w:rsid w:val="000E47E3"/>
    <w:rsid w:val="000E48D2"/>
    <w:rsid w:val="000E4AB5"/>
    <w:rsid w:val="000F0905"/>
    <w:rsid w:val="000F0914"/>
    <w:rsid w:val="000F0CBA"/>
    <w:rsid w:val="000F1FF6"/>
    <w:rsid w:val="000F7EA1"/>
    <w:rsid w:val="00101950"/>
    <w:rsid w:val="00103B85"/>
    <w:rsid w:val="00103C23"/>
    <w:rsid w:val="00110CD8"/>
    <w:rsid w:val="001124FC"/>
    <w:rsid w:val="00114E14"/>
    <w:rsid w:val="001163EC"/>
    <w:rsid w:val="0011694F"/>
    <w:rsid w:val="001204DC"/>
    <w:rsid w:val="00121F1B"/>
    <w:rsid w:val="00122778"/>
    <w:rsid w:val="00125BBB"/>
    <w:rsid w:val="00130400"/>
    <w:rsid w:val="001308C1"/>
    <w:rsid w:val="001317CF"/>
    <w:rsid w:val="00133168"/>
    <w:rsid w:val="00135704"/>
    <w:rsid w:val="001360A1"/>
    <w:rsid w:val="00136C25"/>
    <w:rsid w:val="00142640"/>
    <w:rsid w:val="001443A8"/>
    <w:rsid w:val="00145ABE"/>
    <w:rsid w:val="00145C12"/>
    <w:rsid w:val="001479D6"/>
    <w:rsid w:val="00147EA7"/>
    <w:rsid w:val="00150326"/>
    <w:rsid w:val="00150392"/>
    <w:rsid w:val="00150FAE"/>
    <w:rsid w:val="00151288"/>
    <w:rsid w:val="00151906"/>
    <w:rsid w:val="00152EDD"/>
    <w:rsid w:val="00154185"/>
    <w:rsid w:val="00155762"/>
    <w:rsid w:val="00156491"/>
    <w:rsid w:val="00157BD5"/>
    <w:rsid w:val="00162BD3"/>
    <w:rsid w:val="00163597"/>
    <w:rsid w:val="00164764"/>
    <w:rsid w:val="00165A00"/>
    <w:rsid w:val="00165F41"/>
    <w:rsid w:val="001705A4"/>
    <w:rsid w:val="001712C4"/>
    <w:rsid w:val="001753D5"/>
    <w:rsid w:val="001766E6"/>
    <w:rsid w:val="001767F9"/>
    <w:rsid w:val="00180C82"/>
    <w:rsid w:val="0018321D"/>
    <w:rsid w:val="00185569"/>
    <w:rsid w:val="001860B2"/>
    <w:rsid w:val="0018741F"/>
    <w:rsid w:val="0019024C"/>
    <w:rsid w:val="00190EA8"/>
    <w:rsid w:val="001969F9"/>
    <w:rsid w:val="00196CD4"/>
    <w:rsid w:val="00196CEF"/>
    <w:rsid w:val="001979E0"/>
    <w:rsid w:val="00197CC0"/>
    <w:rsid w:val="001A0375"/>
    <w:rsid w:val="001A0DBA"/>
    <w:rsid w:val="001A15B8"/>
    <w:rsid w:val="001A1FAB"/>
    <w:rsid w:val="001A5DE5"/>
    <w:rsid w:val="001A6B8E"/>
    <w:rsid w:val="001A7759"/>
    <w:rsid w:val="001A7DFC"/>
    <w:rsid w:val="001B38E8"/>
    <w:rsid w:val="001B3E7F"/>
    <w:rsid w:val="001B47DE"/>
    <w:rsid w:val="001B7201"/>
    <w:rsid w:val="001B7A0A"/>
    <w:rsid w:val="001B7BB2"/>
    <w:rsid w:val="001B7D37"/>
    <w:rsid w:val="001C0410"/>
    <w:rsid w:val="001D1EA1"/>
    <w:rsid w:val="001D2E82"/>
    <w:rsid w:val="001D711C"/>
    <w:rsid w:val="001E2525"/>
    <w:rsid w:val="001E4FAB"/>
    <w:rsid w:val="001E6099"/>
    <w:rsid w:val="001E7108"/>
    <w:rsid w:val="001E7988"/>
    <w:rsid w:val="001F2584"/>
    <w:rsid w:val="001F3A96"/>
    <w:rsid w:val="001F3D9E"/>
    <w:rsid w:val="002000B9"/>
    <w:rsid w:val="00202085"/>
    <w:rsid w:val="00204B73"/>
    <w:rsid w:val="00207DE2"/>
    <w:rsid w:val="00210FD5"/>
    <w:rsid w:val="002110B7"/>
    <w:rsid w:val="00215902"/>
    <w:rsid w:val="002173C7"/>
    <w:rsid w:val="002204B5"/>
    <w:rsid w:val="00221202"/>
    <w:rsid w:val="0022251C"/>
    <w:rsid w:val="0022579A"/>
    <w:rsid w:val="00227824"/>
    <w:rsid w:val="00231CCB"/>
    <w:rsid w:val="0023418E"/>
    <w:rsid w:val="00234B4D"/>
    <w:rsid w:val="00235126"/>
    <w:rsid w:val="002366F5"/>
    <w:rsid w:val="00236C95"/>
    <w:rsid w:val="00236FEF"/>
    <w:rsid w:val="002376A3"/>
    <w:rsid w:val="00237EEE"/>
    <w:rsid w:val="00240224"/>
    <w:rsid w:val="0024081E"/>
    <w:rsid w:val="0024165C"/>
    <w:rsid w:val="00241672"/>
    <w:rsid w:val="00241EEA"/>
    <w:rsid w:val="002433D6"/>
    <w:rsid w:val="0024495C"/>
    <w:rsid w:val="00247CC5"/>
    <w:rsid w:val="00247FA8"/>
    <w:rsid w:val="00253D27"/>
    <w:rsid w:val="00254E53"/>
    <w:rsid w:val="00257CC6"/>
    <w:rsid w:val="00265937"/>
    <w:rsid w:val="00265DF6"/>
    <w:rsid w:val="002665D9"/>
    <w:rsid w:val="00266707"/>
    <w:rsid w:val="00267752"/>
    <w:rsid w:val="00267814"/>
    <w:rsid w:val="00267AF3"/>
    <w:rsid w:val="002708D8"/>
    <w:rsid w:val="00270C51"/>
    <w:rsid w:val="00271276"/>
    <w:rsid w:val="0027208F"/>
    <w:rsid w:val="002747DD"/>
    <w:rsid w:val="002810EE"/>
    <w:rsid w:val="00283A2F"/>
    <w:rsid w:val="0028443F"/>
    <w:rsid w:val="00285925"/>
    <w:rsid w:val="00285C85"/>
    <w:rsid w:val="00287B9E"/>
    <w:rsid w:val="00287E7E"/>
    <w:rsid w:val="00295A1D"/>
    <w:rsid w:val="00295FC2"/>
    <w:rsid w:val="00296B5A"/>
    <w:rsid w:val="00296CDD"/>
    <w:rsid w:val="002A1211"/>
    <w:rsid w:val="002A351A"/>
    <w:rsid w:val="002A54EE"/>
    <w:rsid w:val="002A6082"/>
    <w:rsid w:val="002A69B3"/>
    <w:rsid w:val="002B102E"/>
    <w:rsid w:val="002B4E2B"/>
    <w:rsid w:val="002B62A1"/>
    <w:rsid w:val="002B64FC"/>
    <w:rsid w:val="002C1A9B"/>
    <w:rsid w:val="002C3ABC"/>
    <w:rsid w:val="002C4298"/>
    <w:rsid w:val="002C5C61"/>
    <w:rsid w:val="002C6876"/>
    <w:rsid w:val="002C6BCA"/>
    <w:rsid w:val="002D300C"/>
    <w:rsid w:val="002D3B4F"/>
    <w:rsid w:val="002D58AD"/>
    <w:rsid w:val="002D5938"/>
    <w:rsid w:val="002D6877"/>
    <w:rsid w:val="002E0B8C"/>
    <w:rsid w:val="002E1796"/>
    <w:rsid w:val="002E3B5B"/>
    <w:rsid w:val="002E568B"/>
    <w:rsid w:val="002E71AD"/>
    <w:rsid w:val="002F1DB1"/>
    <w:rsid w:val="002F302B"/>
    <w:rsid w:val="002F3E9E"/>
    <w:rsid w:val="002F413F"/>
    <w:rsid w:val="002F4268"/>
    <w:rsid w:val="002F6C95"/>
    <w:rsid w:val="002F71E2"/>
    <w:rsid w:val="002F76B8"/>
    <w:rsid w:val="00304399"/>
    <w:rsid w:val="00306589"/>
    <w:rsid w:val="003065BD"/>
    <w:rsid w:val="00306886"/>
    <w:rsid w:val="00307D4D"/>
    <w:rsid w:val="00311F0C"/>
    <w:rsid w:val="00317939"/>
    <w:rsid w:val="0032168C"/>
    <w:rsid w:val="003224C1"/>
    <w:rsid w:val="00322D3A"/>
    <w:rsid w:val="00323171"/>
    <w:rsid w:val="00323959"/>
    <w:rsid w:val="003261E6"/>
    <w:rsid w:val="0033124F"/>
    <w:rsid w:val="00333FAC"/>
    <w:rsid w:val="003357C4"/>
    <w:rsid w:val="0033580D"/>
    <w:rsid w:val="00335E3F"/>
    <w:rsid w:val="00336F4C"/>
    <w:rsid w:val="0033704B"/>
    <w:rsid w:val="00337CDA"/>
    <w:rsid w:val="00340161"/>
    <w:rsid w:val="00340FFF"/>
    <w:rsid w:val="003411ED"/>
    <w:rsid w:val="00342BB7"/>
    <w:rsid w:val="00343284"/>
    <w:rsid w:val="0034431C"/>
    <w:rsid w:val="00344E52"/>
    <w:rsid w:val="00345837"/>
    <w:rsid w:val="003462A1"/>
    <w:rsid w:val="00347806"/>
    <w:rsid w:val="00350367"/>
    <w:rsid w:val="00352945"/>
    <w:rsid w:val="00353820"/>
    <w:rsid w:val="00355566"/>
    <w:rsid w:val="0035650B"/>
    <w:rsid w:val="00361D17"/>
    <w:rsid w:val="00364561"/>
    <w:rsid w:val="0036468F"/>
    <w:rsid w:val="00366F8F"/>
    <w:rsid w:val="00367B2C"/>
    <w:rsid w:val="0037057A"/>
    <w:rsid w:val="00371FB8"/>
    <w:rsid w:val="00373B25"/>
    <w:rsid w:val="00373B2D"/>
    <w:rsid w:val="00373C5D"/>
    <w:rsid w:val="00376016"/>
    <w:rsid w:val="00376B26"/>
    <w:rsid w:val="0037754E"/>
    <w:rsid w:val="00380326"/>
    <w:rsid w:val="00383A0C"/>
    <w:rsid w:val="00384113"/>
    <w:rsid w:val="003854C3"/>
    <w:rsid w:val="003856A4"/>
    <w:rsid w:val="003856BB"/>
    <w:rsid w:val="003866BD"/>
    <w:rsid w:val="0039169F"/>
    <w:rsid w:val="00391F9E"/>
    <w:rsid w:val="003926E7"/>
    <w:rsid w:val="00392793"/>
    <w:rsid w:val="00392B88"/>
    <w:rsid w:val="00392C09"/>
    <w:rsid w:val="00394627"/>
    <w:rsid w:val="00395816"/>
    <w:rsid w:val="003A26DD"/>
    <w:rsid w:val="003A3E17"/>
    <w:rsid w:val="003A4BB8"/>
    <w:rsid w:val="003A5221"/>
    <w:rsid w:val="003A5C6B"/>
    <w:rsid w:val="003A5E83"/>
    <w:rsid w:val="003A67B0"/>
    <w:rsid w:val="003A7DA2"/>
    <w:rsid w:val="003B2294"/>
    <w:rsid w:val="003B367A"/>
    <w:rsid w:val="003B4BF2"/>
    <w:rsid w:val="003B6AAD"/>
    <w:rsid w:val="003C0D8F"/>
    <w:rsid w:val="003C1295"/>
    <w:rsid w:val="003C16A6"/>
    <w:rsid w:val="003C5659"/>
    <w:rsid w:val="003C6693"/>
    <w:rsid w:val="003C720D"/>
    <w:rsid w:val="003C7D04"/>
    <w:rsid w:val="003D04BD"/>
    <w:rsid w:val="003D3F2F"/>
    <w:rsid w:val="003D7937"/>
    <w:rsid w:val="003D7DA5"/>
    <w:rsid w:val="003E0E68"/>
    <w:rsid w:val="003E33C4"/>
    <w:rsid w:val="003E6EAF"/>
    <w:rsid w:val="003F1ABC"/>
    <w:rsid w:val="003F3E8B"/>
    <w:rsid w:val="003F7635"/>
    <w:rsid w:val="003F7719"/>
    <w:rsid w:val="003F7F23"/>
    <w:rsid w:val="00400018"/>
    <w:rsid w:val="004016F4"/>
    <w:rsid w:val="0040236C"/>
    <w:rsid w:val="00403B6A"/>
    <w:rsid w:val="00406972"/>
    <w:rsid w:val="00406A8A"/>
    <w:rsid w:val="00415793"/>
    <w:rsid w:val="004179D7"/>
    <w:rsid w:val="00417DB3"/>
    <w:rsid w:val="0042269B"/>
    <w:rsid w:val="00423C62"/>
    <w:rsid w:val="00424F4E"/>
    <w:rsid w:val="00426DAD"/>
    <w:rsid w:val="0042722B"/>
    <w:rsid w:val="004274EA"/>
    <w:rsid w:val="00430BA6"/>
    <w:rsid w:val="004342D3"/>
    <w:rsid w:val="00434BD6"/>
    <w:rsid w:val="004362E5"/>
    <w:rsid w:val="004400C7"/>
    <w:rsid w:val="00441AC1"/>
    <w:rsid w:val="0044252B"/>
    <w:rsid w:val="00442E91"/>
    <w:rsid w:val="00444771"/>
    <w:rsid w:val="00445F2F"/>
    <w:rsid w:val="0045062F"/>
    <w:rsid w:val="00450B29"/>
    <w:rsid w:val="0045255C"/>
    <w:rsid w:val="00452FB3"/>
    <w:rsid w:val="004573F0"/>
    <w:rsid w:val="00457615"/>
    <w:rsid w:val="0045767B"/>
    <w:rsid w:val="00457BDA"/>
    <w:rsid w:val="00460023"/>
    <w:rsid w:val="0046065D"/>
    <w:rsid w:val="00461DF0"/>
    <w:rsid w:val="00462276"/>
    <w:rsid w:val="004635BF"/>
    <w:rsid w:val="004637E2"/>
    <w:rsid w:val="0046579F"/>
    <w:rsid w:val="0046792A"/>
    <w:rsid w:val="00470A7B"/>
    <w:rsid w:val="00470D58"/>
    <w:rsid w:val="004715E7"/>
    <w:rsid w:val="00471CBC"/>
    <w:rsid w:val="004728EB"/>
    <w:rsid w:val="00476D3E"/>
    <w:rsid w:val="00477B97"/>
    <w:rsid w:val="00483FF9"/>
    <w:rsid w:val="00487297"/>
    <w:rsid w:val="004906E3"/>
    <w:rsid w:val="004947F7"/>
    <w:rsid w:val="00496B12"/>
    <w:rsid w:val="004A02F6"/>
    <w:rsid w:val="004A23D3"/>
    <w:rsid w:val="004B78AC"/>
    <w:rsid w:val="004B7BAA"/>
    <w:rsid w:val="004C0AE4"/>
    <w:rsid w:val="004C3909"/>
    <w:rsid w:val="004C3E1D"/>
    <w:rsid w:val="004C4DD5"/>
    <w:rsid w:val="004C6528"/>
    <w:rsid w:val="004C7B02"/>
    <w:rsid w:val="004D0980"/>
    <w:rsid w:val="004D2F15"/>
    <w:rsid w:val="004D48B0"/>
    <w:rsid w:val="004E2513"/>
    <w:rsid w:val="004E259B"/>
    <w:rsid w:val="004E52D3"/>
    <w:rsid w:val="004E6FDA"/>
    <w:rsid w:val="004E791F"/>
    <w:rsid w:val="004E7A11"/>
    <w:rsid w:val="004F4A72"/>
    <w:rsid w:val="004F557A"/>
    <w:rsid w:val="004F6A78"/>
    <w:rsid w:val="005004B4"/>
    <w:rsid w:val="00500DF1"/>
    <w:rsid w:val="00500F1D"/>
    <w:rsid w:val="005016BA"/>
    <w:rsid w:val="00501B3B"/>
    <w:rsid w:val="005022D6"/>
    <w:rsid w:val="00502411"/>
    <w:rsid w:val="00503CA9"/>
    <w:rsid w:val="00505891"/>
    <w:rsid w:val="00506C06"/>
    <w:rsid w:val="00507967"/>
    <w:rsid w:val="00507CF1"/>
    <w:rsid w:val="00510478"/>
    <w:rsid w:val="00510BED"/>
    <w:rsid w:val="00510CCA"/>
    <w:rsid w:val="00511536"/>
    <w:rsid w:val="00513BBD"/>
    <w:rsid w:val="00514E25"/>
    <w:rsid w:val="00516F8A"/>
    <w:rsid w:val="00517846"/>
    <w:rsid w:val="00517D47"/>
    <w:rsid w:val="00520A75"/>
    <w:rsid w:val="005215CE"/>
    <w:rsid w:val="005216EF"/>
    <w:rsid w:val="005234D1"/>
    <w:rsid w:val="00525A63"/>
    <w:rsid w:val="00526370"/>
    <w:rsid w:val="00530CF6"/>
    <w:rsid w:val="005329D6"/>
    <w:rsid w:val="00532D35"/>
    <w:rsid w:val="0053437F"/>
    <w:rsid w:val="00536C41"/>
    <w:rsid w:val="00537020"/>
    <w:rsid w:val="00542293"/>
    <w:rsid w:val="00542F8E"/>
    <w:rsid w:val="0054471E"/>
    <w:rsid w:val="00545922"/>
    <w:rsid w:val="00545AFB"/>
    <w:rsid w:val="005461C7"/>
    <w:rsid w:val="005474FD"/>
    <w:rsid w:val="00552DA4"/>
    <w:rsid w:val="005566C3"/>
    <w:rsid w:val="00557117"/>
    <w:rsid w:val="00560682"/>
    <w:rsid w:val="005611DA"/>
    <w:rsid w:val="0056439A"/>
    <w:rsid w:val="0056578D"/>
    <w:rsid w:val="00565990"/>
    <w:rsid w:val="005708A2"/>
    <w:rsid w:val="00573ED8"/>
    <w:rsid w:val="00574D01"/>
    <w:rsid w:val="005754B8"/>
    <w:rsid w:val="00575D61"/>
    <w:rsid w:val="005778A3"/>
    <w:rsid w:val="00577C68"/>
    <w:rsid w:val="00577CA2"/>
    <w:rsid w:val="005821ED"/>
    <w:rsid w:val="00582375"/>
    <w:rsid w:val="00583D1D"/>
    <w:rsid w:val="00587894"/>
    <w:rsid w:val="0059082C"/>
    <w:rsid w:val="005909B8"/>
    <w:rsid w:val="0059540C"/>
    <w:rsid w:val="00595C9B"/>
    <w:rsid w:val="005966CB"/>
    <w:rsid w:val="005A1275"/>
    <w:rsid w:val="005A2DCB"/>
    <w:rsid w:val="005A47BB"/>
    <w:rsid w:val="005A4CE1"/>
    <w:rsid w:val="005B75E0"/>
    <w:rsid w:val="005B762E"/>
    <w:rsid w:val="005C1FA3"/>
    <w:rsid w:val="005C27FE"/>
    <w:rsid w:val="005C2832"/>
    <w:rsid w:val="005C781A"/>
    <w:rsid w:val="005D15ED"/>
    <w:rsid w:val="005D1A24"/>
    <w:rsid w:val="005D2B84"/>
    <w:rsid w:val="005D2C90"/>
    <w:rsid w:val="005D73C8"/>
    <w:rsid w:val="005F280E"/>
    <w:rsid w:val="005F3B1E"/>
    <w:rsid w:val="005F4117"/>
    <w:rsid w:val="005F43C2"/>
    <w:rsid w:val="005F4DDE"/>
    <w:rsid w:val="005F5B0A"/>
    <w:rsid w:val="005F5E07"/>
    <w:rsid w:val="00600CB8"/>
    <w:rsid w:val="00601F19"/>
    <w:rsid w:val="0060361D"/>
    <w:rsid w:val="00607477"/>
    <w:rsid w:val="00611C11"/>
    <w:rsid w:val="00613321"/>
    <w:rsid w:val="00613404"/>
    <w:rsid w:val="00614693"/>
    <w:rsid w:val="00615F3F"/>
    <w:rsid w:val="00620747"/>
    <w:rsid w:val="00621271"/>
    <w:rsid w:val="00623B27"/>
    <w:rsid w:val="00624EBC"/>
    <w:rsid w:val="0062582B"/>
    <w:rsid w:val="00625A65"/>
    <w:rsid w:val="00626C66"/>
    <w:rsid w:val="006273D8"/>
    <w:rsid w:val="00630BD4"/>
    <w:rsid w:val="006311D3"/>
    <w:rsid w:val="00631B93"/>
    <w:rsid w:val="00631D1B"/>
    <w:rsid w:val="00634C52"/>
    <w:rsid w:val="00634DF1"/>
    <w:rsid w:val="00637F9F"/>
    <w:rsid w:val="0064009C"/>
    <w:rsid w:val="0064071B"/>
    <w:rsid w:val="00641252"/>
    <w:rsid w:val="00642A57"/>
    <w:rsid w:val="0064328F"/>
    <w:rsid w:val="0064373E"/>
    <w:rsid w:val="00644102"/>
    <w:rsid w:val="00656DAE"/>
    <w:rsid w:val="006617D2"/>
    <w:rsid w:val="00661DE9"/>
    <w:rsid w:val="00666BC9"/>
    <w:rsid w:val="00667159"/>
    <w:rsid w:val="00667202"/>
    <w:rsid w:val="00667A52"/>
    <w:rsid w:val="006712B9"/>
    <w:rsid w:val="00671C55"/>
    <w:rsid w:val="0067242A"/>
    <w:rsid w:val="00672639"/>
    <w:rsid w:val="00672F41"/>
    <w:rsid w:val="0067308A"/>
    <w:rsid w:val="00673888"/>
    <w:rsid w:val="0067501E"/>
    <w:rsid w:val="00675505"/>
    <w:rsid w:val="00680766"/>
    <w:rsid w:val="00684780"/>
    <w:rsid w:val="00687D47"/>
    <w:rsid w:val="00697CD8"/>
    <w:rsid w:val="006A289C"/>
    <w:rsid w:val="006A2C75"/>
    <w:rsid w:val="006A3017"/>
    <w:rsid w:val="006A4B0B"/>
    <w:rsid w:val="006A57AE"/>
    <w:rsid w:val="006A7534"/>
    <w:rsid w:val="006B07BF"/>
    <w:rsid w:val="006B4760"/>
    <w:rsid w:val="006B629B"/>
    <w:rsid w:val="006C0B5F"/>
    <w:rsid w:val="006C4583"/>
    <w:rsid w:val="006C4F61"/>
    <w:rsid w:val="006C6B54"/>
    <w:rsid w:val="006C7A2A"/>
    <w:rsid w:val="006D2575"/>
    <w:rsid w:val="006D3511"/>
    <w:rsid w:val="006D3D3B"/>
    <w:rsid w:val="006D75A9"/>
    <w:rsid w:val="006E0AA8"/>
    <w:rsid w:val="006E3E9B"/>
    <w:rsid w:val="006E4C3D"/>
    <w:rsid w:val="006E7A6C"/>
    <w:rsid w:val="006F25EC"/>
    <w:rsid w:val="006F494E"/>
    <w:rsid w:val="006F575B"/>
    <w:rsid w:val="007024A0"/>
    <w:rsid w:val="00703AE1"/>
    <w:rsid w:val="00704057"/>
    <w:rsid w:val="007040A8"/>
    <w:rsid w:val="00704A6B"/>
    <w:rsid w:val="00706674"/>
    <w:rsid w:val="00707EF3"/>
    <w:rsid w:val="00710B96"/>
    <w:rsid w:val="00712770"/>
    <w:rsid w:val="00712815"/>
    <w:rsid w:val="007140A6"/>
    <w:rsid w:val="0071580A"/>
    <w:rsid w:val="00715BF9"/>
    <w:rsid w:val="0071763E"/>
    <w:rsid w:val="0072242C"/>
    <w:rsid w:val="007224FA"/>
    <w:rsid w:val="007231F9"/>
    <w:rsid w:val="00724A6C"/>
    <w:rsid w:val="00724FBC"/>
    <w:rsid w:val="007278B4"/>
    <w:rsid w:val="00730734"/>
    <w:rsid w:val="0073096B"/>
    <w:rsid w:val="00733EDF"/>
    <w:rsid w:val="0073446A"/>
    <w:rsid w:val="00734C7D"/>
    <w:rsid w:val="00741C0D"/>
    <w:rsid w:val="00742699"/>
    <w:rsid w:val="00743A70"/>
    <w:rsid w:val="007448C1"/>
    <w:rsid w:val="0074579A"/>
    <w:rsid w:val="00746D50"/>
    <w:rsid w:val="00747579"/>
    <w:rsid w:val="00747A9E"/>
    <w:rsid w:val="0075434D"/>
    <w:rsid w:val="007548E6"/>
    <w:rsid w:val="00754A13"/>
    <w:rsid w:val="007608BF"/>
    <w:rsid w:val="00764366"/>
    <w:rsid w:val="007643F1"/>
    <w:rsid w:val="00764EB1"/>
    <w:rsid w:val="007654AE"/>
    <w:rsid w:val="007657F9"/>
    <w:rsid w:val="007673BC"/>
    <w:rsid w:val="00767C53"/>
    <w:rsid w:val="00771BDB"/>
    <w:rsid w:val="00771CF3"/>
    <w:rsid w:val="0077263E"/>
    <w:rsid w:val="0077310C"/>
    <w:rsid w:val="00775990"/>
    <w:rsid w:val="00783E35"/>
    <w:rsid w:val="007854C2"/>
    <w:rsid w:val="007861AF"/>
    <w:rsid w:val="007869A4"/>
    <w:rsid w:val="00795062"/>
    <w:rsid w:val="0079581A"/>
    <w:rsid w:val="007961DD"/>
    <w:rsid w:val="007A0DD7"/>
    <w:rsid w:val="007A2D51"/>
    <w:rsid w:val="007A629D"/>
    <w:rsid w:val="007B086B"/>
    <w:rsid w:val="007B0ACD"/>
    <w:rsid w:val="007B1534"/>
    <w:rsid w:val="007B1857"/>
    <w:rsid w:val="007B2F15"/>
    <w:rsid w:val="007B2F9D"/>
    <w:rsid w:val="007B30C5"/>
    <w:rsid w:val="007B6541"/>
    <w:rsid w:val="007B724A"/>
    <w:rsid w:val="007C08F3"/>
    <w:rsid w:val="007C0E54"/>
    <w:rsid w:val="007C210C"/>
    <w:rsid w:val="007C39C3"/>
    <w:rsid w:val="007C64DE"/>
    <w:rsid w:val="007D37FB"/>
    <w:rsid w:val="007D653A"/>
    <w:rsid w:val="007D770A"/>
    <w:rsid w:val="007D7FA8"/>
    <w:rsid w:val="007E49E3"/>
    <w:rsid w:val="007E5412"/>
    <w:rsid w:val="007E7AEE"/>
    <w:rsid w:val="007F20B1"/>
    <w:rsid w:val="007F3570"/>
    <w:rsid w:val="007F4703"/>
    <w:rsid w:val="007F51A0"/>
    <w:rsid w:val="007F53BE"/>
    <w:rsid w:val="007F58F9"/>
    <w:rsid w:val="007F73B1"/>
    <w:rsid w:val="00800C44"/>
    <w:rsid w:val="008013E8"/>
    <w:rsid w:val="00805B46"/>
    <w:rsid w:val="00810130"/>
    <w:rsid w:val="00810717"/>
    <w:rsid w:val="008108B4"/>
    <w:rsid w:val="00810E6E"/>
    <w:rsid w:val="0081555B"/>
    <w:rsid w:val="00816685"/>
    <w:rsid w:val="00817169"/>
    <w:rsid w:val="00817C41"/>
    <w:rsid w:val="00820711"/>
    <w:rsid w:val="008210CC"/>
    <w:rsid w:val="00823952"/>
    <w:rsid w:val="008242E1"/>
    <w:rsid w:val="0083071D"/>
    <w:rsid w:val="00831EF9"/>
    <w:rsid w:val="00833AAB"/>
    <w:rsid w:val="00833CB7"/>
    <w:rsid w:val="008341F8"/>
    <w:rsid w:val="00834743"/>
    <w:rsid w:val="008401B6"/>
    <w:rsid w:val="0084141E"/>
    <w:rsid w:val="00841914"/>
    <w:rsid w:val="0084732A"/>
    <w:rsid w:val="00847DE9"/>
    <w:rsid w:val="00850F73"/>
    <w:rsid w:val="00851471"/>
    <w:rsid w:val="00852AF3"/>
    <w:rsid w:val="00852C08"/>
    <w:rsid w:val="00852E1A"/>
    <w:rsid w:val="00856D88"/>
    <w:rsid w:val="0086017E"/>
    <w:rsid w:val="008601D5"/>
    <w:rsid w:val="00862B69"/>
    <w:rsid w:val="008702C6"/>
    <w:rsid w:val="00870320"/>
    <w:rsid w:val="00874B45"/>
    <w:rsid w:val="00880437"/>
    <w:rsid w:val="00880910"/>
    <w:rsid w:val="00881B89"/>
    <w:rsid w:val="00882E66"/>
    <w:rsid w:val="0088424E"/>
    <w:rsid w:val="00887711"/>
    <w:rsid w:val="00891888"/>
    <w:rsid w:val="0089192E"/>
    <w:rsid w:val="00891CA4"/>
    <w:rsid w:val="00897378"/>
    <w:rsid w:val="00897D10"/>
    <w:rsid w:val="008A0160"/>
    <w:rsid w:val="008A0AD6"/>
    <w:rsid w:val="008A0FDA"/>
    <w:rsid w:val="008A3758"/>
    <w:rsid w:val="008A4B48"/>
    <w:rsid w:val="008A667B"/>
    <w:rsid w:val="008B0B71"/>
    <w:rsid w:val="008B17CF"/>
    <w:rsid w:val="008B69DE"/>
    <w:rsid w:val="008C19CA"/>
    <w:rsid w:val="008C2509"/>
    <w:rsid w:val="008C4B80"/>
    <w:rsid w:val="008C5174"/>
    <w:rsid w:val="008C56A2"/>
    <w:rsid w:val="008C70C2"/>
    <w:rsid w:val="008C73F8"/>
    <w:rsid w:val="008C7553"/>
    <w:rsid w:val="008D4124"/>
    <w:rsid w:val="008E30B6"/>
    <w:rsid w:val="008E7167"/>
    <w:rsid w:val="008F0710"/>
    <w:rsid w:val="008F12A3"/>
    <w:rsid w:val="008F2D4C"/>
    <w:rsid w:val="008F7DC5"/>
    <w:rsid w:val="00900C44"/>
    <w:rsid w:val="00901A68"/>
    <w:rsid w:val="009054F7"/>
    <w:rsid w:val="00907378"/>
    <w:rsid w:val="00910E18"/>
    <w:rsid w:val="009161C8"/>
    <w:rsid w:val="00917A83"/>
    <w:rsid w:val="00917FAD"/>
    <w:rsid w:val="00920D23"/>
    <w:rsid w:val="0092159A"/>
    <w:rsid w:val="00922B98"/>
    <w:rsid w:val="00925715"/>
    <w:rsid w:val="00927553"/>
    <w:rsid w:val="00927D38"/>
    <w:rsid w:val="00930A0E"/>
    <w:rsid w:val="00933594"/>
    <w:rsid w:val="0093427C"/>
    <w:rsid w:val="00934F09"/>
    <w:rsid w:val="0093638A"/>
    <w:rsid w:val="00941170"/>
    <w:rsid w:val="00941C8F"/>
    <w:rsid w:val="00943E6E"/>
    <w:rsid w:val="0094477F"/>
    <w:rsid w:val="00944BE3"/>
    <w:rsid w:val="00945A69"/>
    <w:rsid w:val="00947B1D"/>
    <w:rsid w:val="00947E29"/>
    <w:rsid w:val="00951650"/>
    <w:rsid w:val="00952BBA"/>
    <w:rsid w:val="009533B4"/>
    <w:rsid w:val="00955B3E"/>
    <w:rsid w:val="00960EE9"/>
    <w:rsid w:val="009614C5"/>
    <w:rsid w:val="00961F07"/>
    <w:rsid w:val="0096236A"/>
    <w:rsid w:val="00971254"/>
    <w:rsid w:val="00973C9D"/>
    <w:rsid w:val="009747BD"/>
    <w:rsid w:val="009749EE"/>
    <w:rsid w:val="00977722"/>
    <w:rsid w:val="009824C7"/>
    <w:rsid w:val="0098452E"/>
    <w:rsid w:val="009853C0"/>
    <w:rsid w:val="00985B38"/>
    <w:rsid w:val="00986600"/>
    <w:rsid w:val="00990F30"/>
    <w:rsid w:val="00991202"/>
    <w:rsid w:val="00993EBD"/>
    <w:rsid w:val="00996541"/>
    <w:rsid w:val="00997248"/>
    <w:rsid w:val="009A0017"/>
    <w:rsid w:val="009A4316"/>
    <w:rsid w:val="009B33FC"/>
    <w:rsid w:val="009B52CC"/>
    <w:rsid w:val="009B6727"/>
    <w:rsid w:val="009B7584"/>
    <w:rsid w:val="009C010D"/>
    <w:rsid w:val="009C21FA"/>
    <w:rsid w:val="009C3494"/>
    <w:rsid w:val="009C40F6"/>
    <w:rsid w:val="009C4E8F"/>
    <w:rsid w:val="009C63C9"/>
    <w:rsid w:val="009C6C97"/>
    <w:rsid w:val="009C737D"/>
    <w:rsid w:val="009C73BB"/>
    <w:rsid w:val="009D293A"/>
    <w:rsid w:val="009D3683"/>
    <w:rsid w:val="009D3F55"/>
    <w:rsid w:val="009D4E36"/>
    <w:rsid w:val="009D6100"/>
    <w:rsid w:val="009D6D20"/>
    <w:rsid w:val="009D740E"/>
    <w:rsid w:val="009E4F75"/>
    <w:rsid w:val="009E71B0"/>
    <w:rsid w:val="009F0F57"/>
    <w:rsid w:val="009F18D0"/>
    <w:rsid w:val="009F3882"/>
    <w:rsid w:val="00A01342"/>
    <w:rsid w:val="00A05330"/>
    <w:rsid w:val="00A05ADC"/>
    <w:rsid w:val="00A0644F"/>
    <w:rsid w:val="00A06B97"/>
    <w:rsid w:val="00A10F32"/>
    <w:rsid w:val="00A12278"/>
    <w:rsid w:val="00A13BF2"/>
    <w:rsid w:val="00A14162"/>
    <w:rsid w:val="00A148E9"/>
    <w:rsid w:val="00A15562"/>
    <w:rsid w:val="00A174E9"/>
    <w:rsid w:val="00A208C7"/>
    <w:rsid w:val="00A2299B"/>
    <w:rsid w:val="00A22CDC"/>
    <w:rsid w:val="00A251B0"/>
    <w:rsid w:val="00A2684A"/>
    <w:rsid w:val="00A27332"/>
    <w:rsid w:val="00A354CA"/>
    <w:rsid w:val="00A35534"/>
    <w:rsid w:val="00A36658"/>
    <w:rsid w:val="00A41686"/>
    <w:rsid w:val="00A42B9C"/>
    <w:rsid w:val="00A430C1"/>
    <w:rsid w:val="00A51CF4"/>
    <w:rsid w:val="00A533FB"/>
    <w:rsid w:val="00A54391"/>
    <w:rsid w:val="00A54FF6"/>
    <w:rsid w:val="00A651FE"/>
    <w:rsid w:val="00A7032B"/>
    <w:rsid w:val="00A733DA"/>
    <w:rsid w:val="00A737D3"/>
    <w:rsid w:val="00A75822"/>
    <w:rsid w:val="00A75C52"/>
    <w:rsid w:val="00A76F5A"/>
    <w:rsid w:val="00A83E7D"/>
    <w:rsid w:val="00A85600"/>
    <w:rsid w:val="00A8653F"/>
    <w:rsid w:val="00A8730C"/>
    <w:rsid w:val="00A91AE5"/>
    <w:rsid w:val="00A9330A"/>
    <w:rsid w:val="00A934C5"/>
    <w:rsid w:val="00A954A5"/>
    <w:rsid w:val="00A95F3B"/>
    <w:rsid w:val="00A97678"/>
    <w:rsid w:val="00AA088A"/>
    <w:rsid w:val="00AA3401"/>
    <w:rsid w:val="00AA48B4"/>
    <w:rsid w:val="00AB3BCD"/>
    <w:rsid w:val="00AB45F3"/>
    <w:rsid w:val="00AB6039"/>
    <w:rsid w:val="00AB7803"/>
    <w:rsid w:val="00AC11C8"/>
    <w:rsid w:val="00AC17A0"/>
    <w:rsid w:val="00AC1FCB"/>
    <w:rsid w:val="00AC25C7"/>
    <w:rsid w:val="00AC42A1"/>
    <w:rsid w:val="00AC6D7E"/>
    <w:rsid w:val="00AC71E8"/>
    <w:rsid w:val="00AD14E2"/>
    <w:rsid w:val="00AD28FF"/>
    <w:rsid w:val="00AD390C"/>
    <w:rsid w:val="00AD3F1A"/>
    <w:rsid w:val="00AD43AE"/>
    <w:rsid w:val="00AD4F3B"/>
    <w:rsid w:val="00AD7222"/>
    <w:rsid w:val="00AD72DB"/>
    <w:rsid w:val="00AE3DDE"/>
    <w:rsid w:val="00AE5404"/>
    <w:rsid w:val="00AE5795"/>
    <w:rsid w:val="00AF14FF"/>
    <w:rsid w:val="00AF5833"/>
    <w:rsid w:val="00AF6297"/>
    <w:rsid w:val="00AF6BDD"/>
    <w:rsid w:val="00AF71F6"/>
    <w:rsid w:val="00AF7DCF"/>
    <w:rsid w:val="00B0187C"/>
    <w:rsid w:val="00B0417C"/>
    <w:rsid w:val="00B055B7"/>
    <w:rsid w:val="00B07F0A"/>
    <w:rsid w:val="00B1200F"/>
    <w:rsid w:val="00B12E92"/>
    <w:rsid w:val="00B1424C"/>
    <w:rsid w:val="00B1440B"/>
    <w:rsid w:val="00B15BAC"/>
    <w:rsid w:val="00B163A7"/>
    <w:rsid w:val="00B164CC"/>
    <w:rsid w:val="00B2205D"/>
    <w:rsid w:val="00B23772"/>
    <w:rsid w:val="00B26A3D"/>
    <w:rsid w:val="00B271D5"/>
    <w:rsid w:val="00B30536"/>
    <w:rsid w:val="00B40CDA"/>
    <w:rsid w:val="00B413DD"/>
    <w:rsid w:val="00B42634"/>
    <w:rsid w:val="00B43D28"/>
    <w:rsid w:val="00B446E4"/>
    <w:rsid w:val="00B460A0"/>
    <w:rsid w:val="00B460AB"/>
    <w:rsid w:val="00B46646"/>
    <w:rsid w:val="00B46B70"/>
    <w:rsid w:val="00B50B81"/>
    <w:rsid w:val="00B54190"/>
    <w:rsid w:val="00B55F81"/>
    <w:rsid w:val="00B60A89"/>
    <w:rsid w:val="00B61553"/>
    <w:rsid w:val="00B653F2"/>
    <w:rsid w:val="00B6696B"/>
    <w:rsid w:val="00B70663"/>
    <w:rsid w:val="00B7124B"/>
    <w:rsid w:val="00B76E50"/>
    <w:rsid w:val="00B77AB9"/>
    <w:rsid w:val="00B80205"/>
    <w:rsid w:val="00B8133B"/>
    <w:rsid w:val="00B838D8"/>
    <w:rsid w:val="00B84CFE"/>
    <w:rsid w:val="00B85A19"/>
    <w:rsid w:val="00B91CE8"/>
    <w:rsid w:val="00B9275F"/>
    <w:rsid w:val="00B93479"/>
    <w:rsid w:val="00B93A28"/>
    <w:rsid w:val="00B93F61"/>
    <w:rsid w:val="00B961BB"/>
    <w:rsid w:val="00BA167E"/>
    <w:rsid w:val="00BA1DAE"/>
    <w:rsid w:val="00BA1EEE"/>
    <w:rsid w:val="00BA306B"/>
    <w:rsid w:val="00BA4390"/>
    <w:rsid w:val="00BA5151"/>
    <w:rsid w:val="00BA67C5"/>
    <w:rsid w:val="00BA6847"/>
    <w:rsid w:val="00BA76D9"/>
    <w:rsid w:val="00BB0FE8"/>
    <w:rsid w:val="00BB12A1"/>
    <w:rsid w:val="00BB3EF7"/>
    <w:rsid w:val="00BB4190"/>
    <w:rsid w:val="00BB6349"/>
    <w:rsid w:val="00BB7B51"/>
    <w:rsid w:val="00BB7B60"/>
    <w:rsid w:val="00BC3F26"/>
    <w:rsid w:val="00BD0558"/>
    <w:rsid w:val="00BD0B9F"/>
    <w:rsid w:val="00BD12A2"/>
    <w:rsid w:val="00BD25B9"/>
    <w:rsid w:val="00BD45D5"/>
    <w:rsid w:val="00BF06FC"/>
    <w:rsid w:val="00BF1142"/>
    <w:rsid w:val="00BF34DE"/>
    <w:rsid w:val="00BF40C8"/>
    <w:rsid w:val="00BF41B6"/>
    <w:rsid w:val="00BF6DCC"/>
    <w:rsid w:val="00BF6F5F"/>
    <w:rsid w:val="00BF70D1"/>
    <w:rsid w:val="00C001FC"/>
    <w:rsid w:val="00C0084B"/>
    <w:rsid w:val="00C07B9F"/>
    <w:rsid w:val="00C1059B"/>
    <w:rsid w:val="00C10CB2"/>
    <w:rsid w:val="00C136EC"/>
    <w:rsid w:val="00C1617C"/>
    <w:rsid w:val="00C16F51"/>
    <w:rsid w:val="00C17CF4"/>
    <w:rsid w:val="00C2025D"/>
    <w:rsid w:val="00C20AFB"/>
    <w:rsid w:val="00C20D4C"/>
    <w:rsid w:val="00C22A0A"/>
    <w:rsid w:val="00C24576"/>
    <w:rsid w:val="00C257F0"/>
    <w:rsid w:val="00C2716F"/>
    <w:rsid w:val="00C2718B"/>
    <w:rsid w:val="00C274D1"/>
    <w:rsid w:val="00C30B31"/>
    <w:rsid w:val="00C3139C"/>
    <w:rsid w:val="00C326E4"/>
    <w:rsid w:val="00C33AAB"/>
    <w:rsid w:val="00C358F8"/>
    <w:rsid w:val="00C35F65"/>
    <w:rsid w:val="00C371BF"/>
    <w:rsid w:val="00C37486"/>
    <w:rsid w:val="00C403D4"/>
    <w:rsid w:val="00C404DF"/>
    <w:rsid w:val="00C44B5B"/>
    <w:rsid w:val="00C4758E"/>
    <w:rsid w:val="00C47D97"/>
    <w:rsid w:val="00C513B4"/>
    <w:rsid w:val="00C51B80"/>
    <w:rsid w:val="00C52937"/>
    <w:rsid w:val="00C56850"/>
    <w:rsid w:val="00C56C83"/>
    <w:rsid w:val="00C572C8"/>
    <w:rsid w:val="00C57AE1"/>
    <w:rsid w:val="00C57FA9"/>
    <w:rsid w:val="00C604F1"/>
    <w:rsid w:val="00C6425F"/>
    <w:rsid w:val="00C645E3"/>
    <w:rsid w:val="00C6465A"/>
    <w:rsid w:val="00C6471E"/>
    <w:rsid w:val="00C64E22"/>
    <w:rsid w:val="00C65115"/>
    <w:rsid w:val="00C6778C"/>
    <w:rsid w:val="00C67B3C"/>
    <w:rsid w:val="00C72A50"/>
    <w:rsid w:val="00C73432"/>
    <w:rsid w:val="00C753A3"/>
    <w:rsid w:val="00C7576C"/>
    <w:rsid w:val="00C81D0B"/>
    <w:rsid w:val="00C82F5B"/>
    <w:rsid w:val="00C832D5"/>
    <w:rsid w:val="00C834FC"/>
    <w:rsid w:val="00C83867"/>
    <w:rsid w:val="00C83936"/>
    <w:rsid w:val="00C863BC"/>
    <w:rsid w:val="00C866CE"/>
    <w:rsid w:val="00C90901"/>
    <w:rsid w:val="00C93586"/>
    <w:rsid w:val="00C9606C"/>
    <w:rsid w:val="00C96E92"/>
    <w:rsid w:val="00C97781"/>
    <w:rsid w:val="00C97AF0"/>
    <w:rsid w:val="00CA0545"/>
    <w:rsid w:val="00CA14A4"/>
    <w:rsid w:val="00CA3F25"/>
    <w:rsid w:val="00CA6368"/>
    <w:rsid w:val="00CB4998"/>
    <w:rsid w:val="00CC10FF"/>
    <w:rsid w:val="00CC376F"/>
    <w:rsid w:val="00CC7180"/>
    <w:rsid w:val="00CD4289"/>
    <w:rsid w:val="00CD6A97"/>
    <w:rsid w:val="00CD7CD9"/>
    <w:rsid w:val="00CE036E"/>
    <w:rsid w:val="00CE6752"/>
    <w:rsid w:val="00CE7700"/>
    <w:rsid w:val="00CF0B88"/>
    <w:rsid w:val="00CF0D91"/>
    <w:rsid w:val="00CF4694"/>
    <w:rsid w:val="00CF71DD"/>
    <w:rsid w:val="00D06BE6"/>
    <w:rsid w:val="00D102EA"/>
    <w:rsid w:val="00D136DF"/>
    <w:rsid w:val="00D13CBA"/>
    <w:rsid w:val="00D140DB"/>
    <w:rsid w:val="00D16A4E"/>
    <w:rsid w:val="00D17848"/>
    <w:rsid w:val="00D2044C"/>
    <w:rsid w:val="00D22347"/>
    <w:rsid w:val="00D230B4"/>
    <w:rsid w:val="00D25BFA"/>
    <w:rsid w:val="00D2645A"/>
    <w:rsid w:val="00D2672A"/>
    <w:rsid w:val="00D2759F"/>
    <w:rsid w:val="00D30DEE"/>
    <w:rsid w:val="00D32EA9"/>
    <w:rsid w:val="00D33B1F"/>
    <w:rsid w:val="00D34FB8"/>
    <w:rsid w:val="00D42336"/>
    <w:rsid w:val="00D443FC"/>
    <w:rsid w:val="00D444A3"/>
    <w:rsid w:val="00D44BD6"/>
    <w:rsid w:val="00D46B3C"/>
    <w:rsid w:val="00D4730B"/>
    <w:rsid w:val="00D52E38"/>
    <w:rsid w:val="00D532D8"/>
    <w:rsid w:val="00D53A9C"/>
    <w:rsid w:val="00D57CCD"/>
    <w:rsid w:val="00D620A6"/>
    <w:rsid w:val="00D628E4"/>
    <w:rsid w:val="00D6356B"/>
    <w:rsid w:val="00D63839"/>
    <w:rsid w:val="00D65A5B"/>
    <w:rsid w:val="00D66A30"/>
    <w:rsid w:val="00D70B73"/>
    <w:rsid w:val="00D8253E"/>
    <w:rsid w:val="00D829BC"/>
    <w:rsid w:val="00D845A7"/>
    <w:rsid w:val="00D84927"/>
    <w:rsid w:val="00D869B8"/>
    <w:rsid w:val="00D86EC1"/>
    <w:rsid w:val="00D87988"/>
    <w:rsid w:val="00D90533"/>
    <w:rsid w:val="00D9238E"/>
    <w:rsid w:val="00D9289F"/>
    <w:rsid w:val="00DA4904"/>
    <w:rsid w:val="00DA6AAE"/>
    <w:rsid w:val="00DA6E65"/>
    <w:rsid w:val="00DB5775"/>
    <w:rsid w:val="00DB6F99"/>
    <w:rsid w:val="00DC0D40"/>
    <w:rsid w:val="00DC2085"/>
    <w:rsid w:val="00DC469D"/>
    <w:rsid w:val="00DC514B"/>
    <w:rsid w:val="00DD139F"/>
    <w:rsid w:val="00DD3F50"/>
    <w:rsid w:val="00DD5806"/>
    <w:rsid w:val="00DD5EB3"/>
    <w:rsid w:val="00DD6E0C"/>
    <w:rsid w:val="00DD7261"/>
    <w:rsid w:val="00DE1E1A"/>
    <w:rsid w:val="00DE2D23"/>
    <w:rsid w:val="00DE535F"/>
    <w:rsid w:val="00DE53C1"/>
    <w:rsid w:val="00DF5272"/>
    <w:rsid w:val="00DF56E0"/>
    <w:rsid w:val="00DF5D06"/>
    <w:rsid w:val="00E00185"/>
    <w:rsid w:val="00E03910"/>
    <w:rsid w:val="00E10859"/>
    <w:rsid w:val="00E12788"/>
    <w:rsid w:val="00E13AD6"/>
    <w:rsid w:val="00E14538"/>
    <w:rsid w:val="00E14A9B"/>
    <w:rsid w:val="00E14BE6"/>
    <w:rsid w:val="00E205B8"/>
    <w:rsid w:val="00E2509F"/>
    <w:rsid w:val="00E27C10"/>
    <w:rsid w:val="00E3140F"/>
    <w:rsid w:val="00E33ACF"/>
    <w:rsid w:val="00E34B1D"/>
    <w:rsid w:val="00E34B9F"/>
    <w:rsid w:val="00E3525E"/>
    <w:rsid w:val="00E3599E"/>
    <w:rsid w:val="00E3700D"/>
    <w:rsid w:val="00E37D72"/>
    <w:rsid w:val="00E408AC"/>
    <w:rsid w:val="00E409DC"/>
    <w:rsid w:val="00E41F02"/>
    <w:rsid w:val="00E532F8"/>
    <w:rsid w:val="00E5558E"/>
    <w:rsid w:val="00E55DA4"/>
    <w:rsid w:val="00E56C47"/>
    <w:rsid w:val="00E57AAA"/>
    <w:rsid w:val="00E60488"/>
    <w:rsid w:val="00E6109A"/>
    <w:rsid w:val="00E63361"/>
    <w:rsid w:val="00E63F74"/>
    <w:rsid w:val="00E6405D"/>
    <w:rsid w:val="00E6779B"/>
    <w:rsid w:val="00E711FA"/>
    <w:rsid w:val="00E71E65"/>
    <w:rsid w:val="00E73D47"/>
    <w:rsid w:val="00E7447F"/>
    <w:rsid w:val="00E749C4"/>
    <w:rsid w:val="00E803EF"/>
    <w:rsid w:val="00E829CF"/>
    <w:rsid w:val="00E82DF5"/>
    <w:rsid w:val="00E83E66"/>
    <w:rsid w:val="00E84108"/>
    <w:rsid w:val="00E846D9"/>
    <w:rsid w:val="00E86429"/>
    <w:rsid w:val="00E90EC6"/>
    <w:rsid w:val="00E92018"/>
    <w:rsid w:val="00E93A0F"/>
    <w:rsid w:val="00E95233"/>
    <w:rsid w:val="00EA1A7E"/>
    <w:rsid w:val="00EA2F76"/>
    <w:rsid w:val="00EA3C61"/>
    <w:rsid w:val="00EA5863"/>
    <w:rsid w:val="00EB1FA0"/>
    <w:rsid w:val="00EB25DE"/>
    <w:rsid w:val="00EB28A7"/>
    <w:rsid w:val="00EB3366"/>
    <w:rsid w:val="00EB441B"/>
    <w:rsid w:val="00EB6630"/>
    <w:rsid w:val="00EB66C8"/>
    <w:rsid w:val="00EB6F85"/>
    <w:rsid w:val="00EB7466"/>
    <w:rsid w:val="00EB7747"/>
    <w:rsid w:val="00EC0460"/>
    <w:rsid w:val="00EC14DB"/>
    <w:rsid w:val="00EC3621"/>
    <w:rsid w:val="00EC5E3C"/>
    <w:rsid w:val="00ED02AD"/>
    <w:rsid w:val="00ED04B8"/>
    <w:rsid w:val="00ED1666"/>
    <w:rsid w:val="00ED19AA"/>
    <w:rsid w:val="00ED3AE4"/>
    <w:rsid w:val="00ED5F31"/>
    <w:rsid w:val="00ED6C9C"/>
    <w:rsid w:val="00ED7880"/>
    <w:rsid w:val="00EE6313"/>
    <w:rsid w:val="00EE7055"/>
    <w:rsid w:val="00EE7F73"/>
    <w:rsid w:val="00EF1F76"/>
    <w:rsid w:val="00EF3CFC"/>
    <w:rsid w:val="00EF4C5C"/>
    <w:rsid w:val="00EF6410"/>
    <w:rsid w:val="00EF7097"/>
    <w:rsid w:val="00F0162B"/>
    <w:rsid w:val="00F02F48"/>
    <w:rsid w:val="00F06C05"/>
    <w:rsid w:val="00F1084C"/>
    <w:rsid w:val="00F10FBE"/>
    <w:rsid w:val="00F11477"/>
    <w:rsid w:val="00F1510B"/>
    <w:rsid w:val="00F1678B"/>
    <w:rsid w:val="00F1783A"/>
    <w:rsid w:val="00F232F3"/>
    <w:rsid w:val="00F235B3"/>
    <w:rsid w:val="00F23A5B"/>
    <w:rsid w:val="00F24D9F"/>
    <w:rsid w:val="00F25B4C"/>
    <w:rsid w:val="00F26098"/>
    <w:rsid w:val="00F35DC6"/>
    <w:rsid w:val="00F4362F"/>
    <w:rsid w:val="00F4448D"/>
    <w:rsid w:val="00F47451"/>
    <w:rsid w:val="00F50176"/>
    <w:rsid w:val="00F50621"/>
    <w:rsid w:val="00F52483"/>
    <w:rsid w:val="00F52CBD"/>
    <w:rsid w:val="00F53C1B"/>
    <w:rsid w:val="00F53C1D"/>
    <w:rsid w:val="00F53ED2"/>
    <w:rsid w:val="00F54025"/>
    <w:rsid w:val="00F54237"/>
    <w:rsid w:val="00F54877"/>
    <w:rsid w:val="00F56608"/>
    <w:rsid w:val="00F5701B"/>
    <w:rsid w:val="00F57A4A"/>
    <w:rsid w:val="00F61134"/>
    <w:rsid w:val="00F61524"/>
    <w:rsid w:val="00F66E67"/>
    <w:rsid w:val="00F70F5A"/>
    <w:rsid w:val="00F7110B"/>
    <w:rsid w:val="00F71A80"/>
    <w:rsid w:val="00F73ACC"/>
    <w:rsid w:val="00F74B95"/>
    <w:rsid w:val="00F74EC9"/>
    <w:rsid w:val="00F802B1"/>
    <w:rsid w:val="00F86D2B"/>
    <w:rsid w:val="00F90239"/>
    <w:rsid w:val="00F93907"/>
    <w:rsid w:val="00F94AF6"/>
    <w:rsid w:val="00FA1CEA"/>
    <w:rsid w:val="00FA6381"/>
    <w:rsid w:val="00FA6FBD"/>
    <w:rsid w:val="00FA7030"/>
    <w:rsid w:val="00FB1315"/>
    <w:rsid w:val="00FB2D9B"/>
    <w:rsid w:val="00FB4783"/>
    <w:rsid w:val="00FB54B5"/>
    <w:rsid w:val="00FB6162"/>
    <w:rsid w:val="00FB6199"/>
    <w:rsid w:val="00FB7657"/>
    <w:rsid w:val="00FB77EA"/>
    <w:rsid w:val="00FC0830"/>
    <w:rsid w:val="00FC546B"/>
    <w:rsid w:val="00FD0562"/>
    <w:rsid w:val="00FD073C"/>
    <w:rsid w:val="00FD0F55"/>
    <w:rsid w:val="00FD466C"/>
    <w:rsid w:val="00FD724A"/>
    <w:rsid w:val="00FD7B79"/>
    <w:rsid w:val="00FE13A9"/>
    <w:rsid w:val="00FE41BE"/>
    <w:rsid w:val="00FE69C5"/>
    <w:rsid w:val="00FE7EEE"/>
    <w:rsid w:val="00FF1C72"/>
    <w:rsid w:val="00FF2537"/>
    <w:rsid w:val="00FF5E4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2A5C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locked="1" w:semiHidden="0" w:unhideWhenUsed="0"/>
    <w:lsdException w:name="caption" w:locked="1" w:uiPriority="0" w:qFormat="1"/>
    <w:lsdException w:name="annotation reference" w:locked="1" w:semiHidden="0" w:unhideWhenUsed="0"/>
    <w:lsdException w:name="Title" w:locked="1" w:semiHidden="0" w:unhideWhenUsed="0" w:qFormat="1"/>
    <w:lsdException w:name="Default Paragraph Font" w:locked="1" w:semiHidden="0" w:uiPriority="1"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semiHidden/>
    <w:rsid w:val="00A2299B"/>
    <w:pPr>
      <w:tabs>
        <w:tab w:val="center" w:pos="4513"/>
        <w:tab w:val="right" w:pos="9026"/>
      </w:tabs>
    </w:pPr>
  </w:style>
  <w:style w:type="character" w:customStyle="1" w:styleId="FooterChar">
    <w:name w:val="Footer Char"/>
    <w:basedOn w:val="DefaultParagraphFont"/>
    <w:link w:val="Footer"/>
    <w:uiPriority w:val="99"/>
    <w:semiHidden/>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styleId="Revision">
    <w:name w:val="Revision"/>
    <w:hidden/>
    <w:uiPriority w:val="99"/>
    <w:semiHidden/>
    <w:rsid w:val="004362E5"/>
    <w:rPr>
      <w:rFonts w:ascii="Times New Roman" w:eastAsia="Times New Roman" w:hAnsi="Times New Roman"/>
      <w:sz w:val="24"/>
      <w:szCs w:val="20"/>
      <w:lang w:val="en-AU" w:eastAsia="en-AU"/>
    </w:rPr>
  </w:style>
  <w:style w:type="paragraph" w:customStyle="1" w:styleId="DashEm">
    <w:name w:val="Dash: Em"/>
    <w:basedOn w:val="Normal"/>
    <w:uiPriority w:val="99"/>
    <w:semiHidden/>
    <w:rsid w:val="00ED6C9C"/>
    <w:pPr>
      <w:numPr>
        <w:numId w:val="3"/>
      </w:numPr>
      <w:spacing w:after="140" w:line="280" w:lineRule="atLeast"/>
    </w:pPr>
    <w:rPr>
      <w:rFonts w:ascii="Arial" w:hAnsi="Arial" w:cs="Arial"/>
      <w:sz w:val="22"/>
      <w:szCs w:val="22"/>
    </w:rPr>
  </w:style>
  <w:style w:type="paragraph" w:customStyle="1" w:styleId="DashEm1">
    <w:name w:val="Dash: Em 1"/>
    <w:basedOn w:val="Normal"/>
    <w:uiPriority w:val="99"/>
    <w:rsid w:val="00ED6C9C"/>
    <w:pPr>
      <w:numPr>
        <w:ilvl w:val="1"/>
        <w:numId w:val="3"/>
      </w:numPr>
      <w:spacing w:after="140" w:line="280" w:lineRule="atLeast"/>
    </w:pPr>
    <w:rPr>
      <w:rFonts w:ascii="Arial" w:hAnsi="Arial" w:cs="Arial"/>
      <w:sz w:val="22"/>
      <w:szCs w:val="22"/>
    </w:rPr>
  </w:style>
  <w:style w:type="paragraph" w:customStyle="1" w:styleId="DashEn1">
    <w:name w:val="Dash: En 1"/>
    <w:basedOn w:val="DashEm"/>
    <w:uiPriority w:val="99"/>
    <w:rsid w:val="00ED6C9C"/>
    <w:pPr>
      <w:numPr>
        <w:ilvl w:val="2"/>
      </w:numPr>
    </w:pPr>
  </w:style>
  <w:style w:type="paragraph" w:customStyle="1" w:styleId="DashEn2">
    <w:name w:val="Dash: En 2"/>
    <w:basedOn w:val="DashEn1"/>
    <w:uiPriority w:val="99"/>
    <w:semiHidden/>
    <w:rsid w:val="00ED6C9C"/>
    <w:pPr>
      <w:numPr>
        <w:ilvl w:val="3"/>
      </w:numPr>
    </w:pPr>
  </w:style>
  <w:style w:type="paragraph" w:customStyle="1" w:styleId="DashEn3">
    <w:name w:val="Dash: En 3"/>
    <w:basedOn w:val="DashEn2"/>
    <w:uiPriority w:val="99"/>
    <w:semiHidden/>
    <w:rsid w:val="00ED6C9C"/>
    <w:pPr>
      <w:numPr>
        <w:ilvl w:val="4"/>
      </w:numPr>
    </w:pPr>
  </w:style>
  <w:style w:type="paragraph" w:customStyle="1" w:styleId="DashEn4">
    <w:name w:val="Dash: En 4"/>
    <w:basedOn w:val="DashEn3"/>
    <w:uiPriority w:val="99"/>
    <w:semiHidden/>
    <w:rsid w:val="00ED6C9C"/>
    <w:pPr>
      <w:numPr>
        <w:ilvl w:val="5"/>
      </w:numPr>
    </w:pPr>
  </w:style>
  <w:style w:type="paragraph" w:customStyle="1" w:styleId="DashEn5">
    <w:name w:val="Dash: En 5"/>
    <w:basedOn w:val="DashEn4"/>
    <w:uiPriority w:val="99"/>
    <w:semiHidden/>
    <w:rsid w:val="00ED6C9C"/>
    <w:pPr>
      <w:numPr>
        <w:ilvl w:val="6"/>
      </w:numPr>
    </w:pPr>
  </w:style>
  <w:style w:type="paragraph" w:customStyle="1" w:styleId="DashEn6">
    <w:name w:val="Dash: En 6"/>
    <w:basedOn w:val="DashEn5"/>
    <w:uiPriority w:val="99"/>
    <w:semiHidden/>
    <w:rsid w:val="00ED6C9C"/>
    <w:pPr>
      <w:numPr>
        <w:ilvl w:val="7"/>
      </w:numPr>
    </w:pPr>
  </w:style>
  <w:style w:type="paragraph" w:customStyle="1" w:styleId="DashEn7">
    <w:name w:val="Dash: En 7"/>
    <w:basedOn w:val="DashEn6"/>
    <w:uiPriority w:val="99"/>
    <w:semiHidden/>
    <w:rsid w:val="00ED6C9C"/>
    <w:pPr>
      <w:numPr>
        <w:ilvl w:val="8"/>
      </w:numPr>
    </w:pPr>
  </w:style>
  <w:style w:type="paragraph" w:customStyle="1" w:styleId="Longdashdot">
    <w:name w:val="Long dash dot"/>
    <w:basedOn w:val="DashEm1"/>
    <w:link w:val="LongdashdotChar"/>
    <w:qFormat/>
    <w:rsid w:val="00ED6C9C"/>
  </w:style>
  <w:style w:type="character" w:customStyle="1" w:styleId="LongdashdotChar">
    <w:name w:val="Long dash dot Char"/>
    <w:basedOn w:val="DefaultParagraphFont"/>
    <w:link w:val="Longdashdot"/>
    <w:rsid w:val="00ED6C9C"/>
    <w:rPr>
      <w:rFonts w:ascii="Arial" w:eastAsia="Times New Roman" w:hAnsi="Arial" w:cs="Arial"/>
      <w:lang w:val="en-AU" w:eastAsia="en-AU"/>
    </w:rPr>
  </w:style>
  <w:style w:type="paragraph" w:customStyle="1" w:styleId="paragraph">
    <w:name w:val="paragraph"/>
    <w:aliases w:val="a"/>
    <w:basedOn w:val="Normal"/>
    <w:rsid w:val="00125BBB"/>
    <w:pPr>
      <w:tabs>
        <w:tab w:val="right" w:pos="1531"/>
      </w:tabs>
      <w:spacing w:before="40"/>
      <w:ind w:left="1644" w:hanging="1644"/>
    </w:pPr>
    <w:rPr>
      <w:sz w:val="22"/>
    </w:rPr>
  </w:style>
  <w:style w:type="paragraph" w:styleId="FootnoteText">
    <w:name w:val="footnote text"/>
    <w:basedOn w:val="Normal"/>
    <w:link w:val="FootnoteTextChar"/>
    <w:unhideWhenUsed/>
    <w:rsid w:val="008702C6"/>
    <w:rPr>
      <w:sz w:val="20"/>
    </w:rPr>
  </w:style>
  <w:style w:type="character" w:customStyle="1" w:styleId="FootnoteTextChar">
    <w:name w:val="Footnote Text Char"/>
    <w:basedOn w:val="DefaultParagraphFont"/>
    <w:link w:val="FootnoteText"/>
    <w:rsid w:val="008702C6"/>
    <w:rPr>
      <w:rFonts w:ascii="Times New Roman" w:eastAsia="Times New Roman" w:hAnsi="Times New Roman"/>
      <w:sz w:val="20"/>
      <w:szCs w:val="20"/>
      <w:lang w:val="en-AU" w:eastAsia="en-AU"/>
    </w:rPr>
  </w:style>
  <w:style w:type="character" w:styleId="FootnoteReference">
    <w:name w:val="footnote reference"/>
    <w:basedOn w:val="DefaultParagraphFont"/>
    <w:uiPriority w:val="99"/>
    <w:semiHidden/>
    <w:unhideWhenUsed/>
    <w:rsid w:val="008702C6"/>
    <w:rPr>
      <w:vertAlign w:val="superscript"/>
    </w:rPr>
  </w:style>
  <w:style w:type="table" w:styleId="TableGrid">
    <w:name w:val="Table Grid"/>
    <w:basedOn w:val="TableNormal"/>
    <w:locked/>
    <w:rsid w:val="00F71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locked="1" w:semiHidden="0" w:unhideWhenUsed="0"/>
    <w:lsdException w:name="caption" w:locked="1" w:uiPriority="0" w:qFormat="1"/>
    <w:lsdException w:name="annotation reference" w:locked="1" w:semiHidden="0" w:unhideWhenUsed="0"/>
    <w:lsdException w:name="Title" w:locked="1" w:semiHidden="0" w:unhideWhenUsed="0" w:qFormat="1"/>
    <w:lsdException w:name="Default Paragraph Font" w:locked="1" w:semiHidden="0" w:uiPriority="1"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semiHidden/>
    <w:rsid w:val="00A2299B"/>
    <w:pPr>
      <w:tabs>
        <w:tab w:val="center" w:pos="4513"/>
        <w:tab w:val="right" w:pos="9026"/>
      </w:tabs>
    </w:pPr>
  </w:style>
  <w:style w:type="character" w:customStyle="1" w:styleId="FooterChar">
    <w:name w:val="Footer Char"/>
    <w:basedOn w:val="DefaultParagraphFont"/>
    <w:link w:val="Footer"/>
    <w:uiPriority w:val="99"/>
    <w:semiHidden/>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styleId="Revision">
    <w:name w:val="Revision"/>
    <w:hidden/>
    <w:uiPriority w:val="99"/>
    <w:semiHidden/>
    <w:rsid w:val="004362E5"/>
    <w:rPr>
      <w:rFonts w:ascii="Times New Roman" w:eastAsia="Times New Roman" w:hAnsi="Times New Roman"/>
      <w:sz w:val="24"/>
      <w:szCs w:val="20"/>
      <w:lang w:val="en-AU" w:eastAsia="en-AU"/>
    </w:rPr>
  </w:style>
  <w:style w:type="paragraph" w:customStyle="1" w:styleId="DashEm">
    <w:name w:val="Dash: Em"/>
    <w:basedOn w:val="Normal"/>
    <w:uiPriority w:val="99"/>
    <w:semiHidden/>
    <w:rsid w:val="00ED6C9C"/>
    <w:pPr>
      <w:numPr>
        <w:numId w:val="3"/>
      </w:numPr>
      <w:spacing w:after="140" w:line="280" w:lineRule="atLeast"/>
    </w:pPr>
    <w:rPr>
      <w:rFonts w:ascii="Arial" w:hAnsi="Arial" w:cs="Arial"/>
      <w:sz w:val="22"/>
      <w:szCs w:val="22"/>
    </w:rPr>
  </w:style>
  <w:style w:type="paragraph" w:customStyle="1" w:styleId="DashEm1">
    <w:name w:val="Dash: Em 1"/>
    <w:basedOn w:val="Normal"/>
    <w:uiPriority w:val="99"/>
    <w:rsid w:val="00ED6C9C"/>
    <w:pPr>
      <w:numPr>
        <w:ilvl w:val="1"/>
        <w:numId w:val="3"/>
      </w:numPr>
      <w:spacing w:after="140" w:line="280" w:lineRule="atLeast"/>
    </w:pPr>
    <w:rPr>
      <w:rFonts w:ascii="Arial" w:hAnsi="Arial" w:cs="Arial"/>
      <w:sz w:val="22"/>
      <w:szCs w:val="22"/>
    </w:rPr>
  </w:style>
  <w:style w:type="paragraph" w:customStyle="1" w:styleId="DashEn1">
    <w:name w:val="Dash: En 1"/>
    <w:basedOn w:val="DashEm"/>
    <w:uiPriority w:val="99"/>
    <w:rsid w:val="00ED6C9C"/>
    <w:pPr>
      <w:numPr>
        <w:ilvl w:val="2"/>
      </w:numPr>
    </w:pPr>
  </w:style>
  <w:style w:type="paragraph" w:customStyle="1" w:styleId="DashEn2">
    <w:name w:val="Dash: En 2"/>
    <w:basedOn w:val="DashEn1"/>
    <w:uiPriority w:val="99"/>
    <w:semiHidden/>
    <w:rsid w:val="00ED6C9C"/>
    <w:pPr>
      <w:numPr>
        <w:ilvl w:val="3"/>
      </w:numPr>
    </w:pPr>
  </w:style>
  <w:style w:type="paragraph" w:customStyle="1" w:styleId="DashEn3">
    <w:name w:val="Dash: En 3"/>
    <w:basedOn w:val="DashEn2"/>
    <w:uiPriority w:val="99"/>
    <w:semiHidden/>
    <w:rsid w:val="00ED6C9C"/>
    <w:pPr>
      <w:numPr>
        <w:ilvl w:val="4"/>
      </w:numPr>
    </w:pPr>
  </w:style>
  <w:style w:type="paragraph" w:customStyle="1" w:styleId="DashEn4">
    <w:name w:val="Dash: En 4"/>
    <w:basedOn w:val="DashEn3"/>
    <w:uiPriority w:val="99"/>
    <w:semiHidden/>
    <w:rsid w:val="00ED6C9C"/>
    <w:pPr>
      <w:numPr>
        <w:ilvl w:val="5"/>
      </w:numPr>
    </w:pPr>
  </w:style>
  <w:style w:type="paragraph" w:customStyle="1" w:styleId="DashEn5">
    <w:name w:val="Dash: En 5"/>
    <w:basedOn w:val="DashEn4"/>
    <w:uiPriority w:val="99"/>
    <w:semiHidden/>
    <w:rsid w:val="00ED6C9C"/>
    <w:pPr>
      <w:numPr>
        <w:ilvl w:val="6"/>
      </w:numPr>
    </w:pPr>
  </w:style>
  <w:style w:type="paragraph" w:customStyle="1" w:styleId="DashEn6">
    <w:name w:val="Dash: En 6"/>
    <w:basedOn w:val="DashEn5"/>
    <w:uiPriority w:val="99"/>
    <w:semiHidden/>
    <w:rsid w:val="00ED6C9C"/>
    <w:pPr>
      <w:numPr>
        <w:ilvl w:val="7"/>
      </w:numPr>
    </w:pPr>
  </w:style>
  <w:style w:type="paragraph" w:customStyle="1" w:styleId="DashEn7">
    <w:name w:val="Dash: En 7"/>
    <w:basedOn w:val="DashEn6"/>
    <w:uiPriority w:val="99"/>
    <w:semiHidden/>
    <w:rsid w:val="00ED6C9C"/>
    <w:pPr>
      <w:numPr>
        <w:ilvl w:val="8"/>
      </w:numPr>
    </w:pPr>
  </w:style>
  <w:style w:type="paragraph" w:customStyle="1" w:styleId="Longdashdot">
    <w:name w:val="Long dash dot"/>
    <w:basedOn w:val="DashEm1"/>
    <w:link w:val="LongdashdotChar"/>
    <w:qFormat/>
    <w:rsid w:val="00ED6C9C"/>
  </w:style>
  <w:style w:type="character" w:customStyle="1" w:styleId="LongdashdotChar">
    <w:name w:val="Long dash dot Char"/>
    <w:basedOn w:val="DefaultParagraphFont"/>
    <w:link w:val="Longdashdot"/>
    <w:rsid w:val="00ED6C9C"/>
    <w:rPr>
      <w:rFonts w:ascii="Arial" w:eastAsia="Times New Roman" w:hAnsi="Arial" w:cs="Arial"/>
      <w:lang w:val="en-AU" w:eastAsia="en-AU"/>
    </w:rPr>
  </w:style>
  <w:style w:type="paragraph" w:customStyle="1" w:styleId="paragraph">
    <w:name w:val="paragraph"/>
    <w:aliases w:val="a"/>
    <w:basedOn w:val="Normal"/>
    <w:rsid w:val="00125BBB"/>
    <w:pPr>
      <w:tabs>
        <w:tab w:val="right" w:pos="1531"/>
      </w:tabs>
      <w:spacing w:before="40"/>
      <w:ind w:left="1644" w:hanging="1644"/>
    </w:pPr>
    <w:rPr>
      <w:sz w:val="22"/>
    </w:rPr>
  </w:style>
  <w:style w:type="paragraph" w:styleId="FootnoteText">
    <w:name w:val="footnote text"/>
    <w:basedOn w:val="Normal"/>
    <w:link w:val="FootnoteTextChar"/>
    <w:unhideWhenUsed/>
    <w:rsid w:val="008702C6"/>
    <w:rPr>
      <w:sz w:val="20"/>
    </w:rPr>
  </w:style>
  <w:style w:type="character" w:customStyle="1" w:styleId="FootnoteTextChar">
    <w:name w:val="Footnote Text Char"/>
    <w:basedOn w:val="DefaultParagraphFont"/>
    <w:link w:val="FootnoteText"/>
    <w:rsid w:val="008702C6"/>
    <w:rPr>
      <w:rFonts w:ascii="Times New Roman" w:eastAsia="Times New Roman" w:hAnsi="Times New Roman"/>
      <w:sz w:val="20"/>
      <w:szCs w:val="20"/>
      <w:lang w:val="en-AU" w:eastAsia="en-AU"/>
    </w:rPr>
  </w:style>
  <w:style w:type="character" w:styleId="FootnoteReference">
    <w:name w:val="footnote reference"/>
    <w:basedOn w:val="DefaultParagraphFont"/>
    <w:uiPriority w:val="99"/>
    <w:semiHidden/>
    <w:unhideWhenUsed/>
    <w:rsid w:val="008702C6"/>
    <w:rPr>
      <w:vertAlign w:val="superscript"/>
    </w:rPr>
  </w:style>
  <w:style w:type="table" w:styleId="TableGrid">
    <w:name w:val="Table Grid"/>
    <w:basedOn w:val="TableNormal"/>
    <w:locked/>
    <w:rsid w:val="00F71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8985">
      <w:bodyDiv w:val="1"/>
      <w:marLeft w:val="0"/>
      <w:marRight w:val="0"/>
      <w:marTop w:val="0"/>
      <w:marBottom w:val="0"/>
      <w:divBdr>
        <w:top w:val="none" w:sz="0" w:space="0" w:color="auto"/>
        <w:left w:val="none" w:sz="0" w:space="0" w:color="auto"/>
        <w:bottom w:val="none" w:sz="0" w:space="0" w:color="auto"/>
        <w:right w:val="none" w:sz="0" w:space="0" w:color="auto"/>
      </w:divBdr>
    </w:div>
    <w:div w:id="287707248">
      <w:bodyDiv w:val="1"/>
      <w:marLeft w:val="0"/>
      <w:marRight w:val="0"/>
      <w:marTop w:val="0"/>
      <w:marBottom w:val="0"/>
      <w:divBdr>
        <w:top w:val="none" w:sz="0" w:space="0" w:color="auto"/>
        <w:left w:val="none" w:sz="0" w:space="0" w:color="auto"/>
        <w:bottom w:val="none" w:sz="0" w:space="0" w:color="auto"/>
        <w:right w:val="none" w:sz="0" w:space="0" w:color="auto"/>
      </w:divBdr>
    </w:div>
    <w:div w:id="397166904">
      <w:bodyDiv w:val="1"/>
      <w:marLeft w:val="0"/>
      <w:marRight w:val="0"/>
      <w:marTop w:val="0"/>
      <w:marBottom w:val="0"/>
      <w:divBdr>
        <w:top w:val="none" w:sz="0" w:space="0" w:color="auto"/>
        <w:left w:val="none" w:sz="0" w:space="0" w:color="auto"/>
        <w:bottom w:val="none" w:sz="0" w:space="0" w:color="auto"/>
        <w:right w:val="none" w:sz="0" w:space="0" w:color="auto"/>
      </w:divBdr>
    </w:div>
    <w:div w:id="655229351">
      <w:bodyDiv w:val="1"/>
      <w:marLeft w:val="0"/>
      <w:marRight w:val="0"/>
      <w:marTop w:val="0"/>
      <w:marBottom w:val="0"/>
      <w:divBdr>
        <w:top w:val="none" w:sz="0" w:space="0" w:color="auto"/>
        <w:left w:val="none" w:sz="0" w:space="0" w:color="auto"/>
        <w:bottom w:val="none" w:sz="0" w:space="0" w:color="auto"/>
        <w:right w:val="none" w:sz="0" w:space="0" w:color="auto"/>
      </w:divBdr>
    </w:div>
    <w:div w:id="994527112">
      <w:bodyDiv w:val="1"/>
      <w:marLeft w:val="0"/>
      <w:marRight w:val="0"/>
      <w:marTop w:val="0"/>
      <w:marBottom w:val="0"/>
      <w:divBdr>
        <w:top w:val="none" w:sz="0" w:space="0" w:color="auto"/>
        <w:left w:val="none" w:sz="0" w:space="0" w:color="auto"/>
        <w:bottom w:val="none" w:sz="0" w:space="0" w:color="auto"/>
        <w:right w:val="none" w:sz="0" w:space="0" w:color="auto"/>
      </w:divBdr>
    </w:div>
    <w:div w:id="1074277598">
      <w:bodyDiv w:val="1"/>
      <w:marLeft w:val="0"/>
      <w:marRight w:val="0"/>
      <w:marTop w:val="0"/>
      <w:marBottom w:val="0"/>
      <w:divBdr>
        <w:top w:val="none" w:sz="0" w:space="0" w:color="auto"/>
        <w:left w:val="none" w:sz="0" w:space="0" w:color="auto"/>
        <w:bottom w:val="none" w:sz="0" w:space="0" w:color="auto"/>
        <w:right w:val="none" w:sz="0" w:space="0" w:color="auto"/>
      </w:divBdr>
    </w:div>
    <w:div w:id="1459838041">
      <w:bodyDiv w:val="1"/>
      <w:marLeft w:val="0"/>
      <w:marRight w:val="0"/>
      <w:marTop w:val="0"/>
      <w:marBottom w:val="0"/>
      <w:divBdr>
        <w:top w:val="none" w:sz="0" w:space="0" w:color="auto"/>
        <w:left w:val="none" w:sz="0" w:space="0" w:color="auto"/>
        <w:bottom w:val="none" w:sz="0" w:space="0" w:color="auto"/>
        <w:right w:val="none" w:sz="0" w:space="0" w:color="auto"/>
      </w:divBdr>
    </w:div>
    <w:div w:id="2021275394">
      <w:bodyDiv w:val="1"/>
      <w:marLeft w:val="0"/>
      <w:marRight w:val="0"/>
      <w:marTop w:val="0"/>
      <w:marBottom w:val="0"/>
      <w:divBdr>
        <w:top w:val="none" w:sz="0" w:space="0" w:color="auto"/>
        <w:left w:val="none" w:sz="0" w:space="0" w:color="auto"/>
        <w:bottom w:val="none" w:sz="0" w:space="0" w:color="auto"/>
        <w:right w:val="none" w:sz="0" w:space="0" w:color="auto"/>
      </w:divBdr>
    </w:div>
    <w:div w:id="213794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ga.gov.au"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71216-E4F9-4A09-9AB4-934F54730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1771</Words>
  <Characters>9767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TGA</Company>
  <LinksUpToDate>false</LinksUpToDate>
  <CharactersWithSpaces>11515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banchj</dc:creator>
  <cp:lastModifiedBy>CARTER, Bless</cp:lastModifiedBy>
  <cp:revision>2</cp:revision>
  <cp:lastPrinted>2017-09-18T05:31:00Z</cp:lastPrinted>
  <dcterms:created xsi:type="dcterms:W3CDTF">2018-03-26T01:02:00Z</dcterms:created>
  <dcterms:modified xsi:type="dcterms:W3CDTF">2018-03-26T01:02:00Z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