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4CDE1" w14:textId="4407C4FD" w:rsidR="00480716" w:rsidRPr="00416F0A" w:rsidRDefault="00605A8B" w:rsidP="002D510A">
      <w:pPr>
        <w:spacing w:before="120" w:after="120" w:line="240" w:lineRule="auto"/>
        <w:jc w:val="center"/>
        <w:rPr>
          <w:b/>
          <w:sz w:val="28"/>
          <w:szCs w:val="28"/>
        </w:rPr>
      </w:pPr>
      <w:bookmarkStart w:id="0" w:name="_GoBack"/>
      <w:bookmarkEnd w:id="0"/>
      <w:r w:rsidRPr="00416F0A">
        <w:rPr>
          <w:b/>
          <w:i/>
          <w:sz w:val="28"/>
          <w:szCs w:val="28"/>
        </w:rPr>
        <w:t>Legislation (Family Law Instruments) Sunset-altering Declaration 2018</w:t>
      </w:r>
    </w:p>
    <w:p w14:paraId="6EE4CDE2" w14:textId="77777777" w:rsidR="00566C9A" w:rsidRDefault="00566C9A" w:rsidP="002D510A">
      <w:pPr>
        <w:spacing w:before="120" w:after="120" w:line="240" w:lineRule="auto"/>
        <w:jc w:val="center"/>
        <w:rPr>
          <w:b/>
          <w:sz w:val="28"/>
          <w:szCs w:val="28"/>
        </w:rPr>
      </w:pPr>
      <w:r>
        <w:rPr>
          <w:b/>
          <w:sz w:val="28"/>
          <w:szCs w:val="28"/>
        </w:rPr>
        <w:t>EXPLANATORY STATEMENT</w:t>
      </w:r>
    </w:p>
    <w:p w14:paraId="6EE4CDE3" w14:textId="77777777" w:rsidR="00566C9A" w:rsidRDefault="00566C9A" w:rsidP="005E48F0">
      <w:pPr>
        <w:spacing w:before="120" w:after="120" w:line="240" w:lineRule="auto"/>
        <w:jc w:val="center"/>
        <w:rPr>
          <w:i/>
        </w:rPr>
      </w:pPr>
      <w:r>
        <w:t xml:space="preserve">Issued by the Attorney-General in compliance with section 15G of the </w:t>
      </w:r>
      <w:r>
        <w:rPr>
          <w:i/>
        </w:rPr>
        <w:t>Legislation Act 2003</w:t>
      </w:r>
    </w:p>
    <w:p w14:paraId="6EE4CDE4" w14:textId="77777777" w:rsidR="00566C9A" w:rsidRDefault="00566C9A" w:rsidP="002D510A">
      <w:pPr>
        <w:spacing w:before="120" w:after="120" w:line="240" w:lineRule="auto"/>
        <w:rPr>
          <w:i/>
        </w:rPr>
      </w:pPr>
      <w:r>
        <w:rPr>
          <w:i/>
          <w:noProof/>
          <w:lang w:eastAsia="en-AU"/>
        </w:rPr>
        <mc:AlternateContent>
          <mc:Choice Requires="wps">
            <w:drawing>
              <wp:anchor distT="0" distB="0" distL="114300" distR="114300" simplePos="0" relativeHeight="251659264" behindDoc="0" locked="0" layoutInCell="1" allowOverlap="1" wp14:anchorId="6EE4CE10" wp14:editId="6EE4CE11">
                <wp:simplePos x="0" y="0"/>
                <wp:positionH relativeFrom="column">
                  <wp:posOffset>-489098</wp:posOffset>
                </wp:positionH>
                <wp:positionV relativeFrom="paragraph">
                  <wp:posOffset>135181</wp:posOffset>
                </wp:positionV>
                <wp:extent cx="6878955"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6878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0.65pt" to="503.1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" strokecolor="black [3040]"/>
            </w:pict>
          </mc:Fallback>
        </mc:AlternateContent>
      </w:r>
    </w:p>
    <w:p w14:paraId="6EE4CDE5" w14:textId="77777777" w:rsidR="00566C9A" w:rsidRDefault="00566C9A" w:rsidP="002D510A">
      <w:pPr>
        <w:spacing w:before="120" w:after="120" w:line="240" w:lineRule="auto"/>
        <w:rPr>
          <w:b/>
          <w:sz w:val="24"/>
          <w:szCs w:val="24"/>
        </w:rPr>
      </w:pPr>
      <w:r w:rsidRPr="00566C9A">
        <w:rPr>
          <w:b/>
          <w:sz w:val="24"/>
          <w:szCs w:val="24"/>
        </w:rPr>
        <w:t>INTRODUCTION</w:t>
      </w:r>
    </w:p>
    <w:p w14:paraId="6EE4CDE6" w14:textId="3A3E20B5" w:rsidR="00566C9A" w:rsidRPr="00566C9A" w:rsidRDefault="00566C9A" w:rsidP="002D510A">
      <w:pPr>
        <w:spacing w:before="120" w:after="120" w:line="240" w:lineRule="auto"/>
      </w:pPr>
      <w:r w:rsidRPr="00566C9A">
        <w:t xml:space="preserve">This declaration was made under subsection </w:t>
      </w:r>
      <w:r w:rsidR="00750230">
        <w:t>51A</w:t>
      </w:r>
      <w:r w:rsidR="00A90367" w:rsidRPr="00566C9A">
        <w:t>(</w:t>
      </w:r>
      <w:r w:rsidRPr="00566C9A">
        <w:t xml:space="preserve">1) of the </w:t>
      </w:r>
      <w:r w:rsidRPr="00566C9A">
        <w:rPr>
          <w:i/>
        </w:rPr>
        <w:t xml:space="preserve">Legislation Act 2003 </w:t>
      </w:r>
      <w:r w:rsidRPr="00566C9A">
        <w:t>and is a legislative instrument for the purposes of the Legislation Act. The declaration is subject to the disallowance provisions of the Legislation Act.</w:t>
      </w:r>
    </w:p>
    <w:p w14:paraId="6EE4CDE7" w14:textId="77777777" w:rsidR="00566C9A" w:rsidRDefault="00566C9A" w:rsidP="002D510A">
      <w:pPr>
        <w:spacing w:before="120" w:after="120" w:line="240" w:lineRule="auto"/>
        <w:rPr>
          <w:b/>
          <w:sz w:val="24"/>
          <w:szCs w:val="24"/>
        </w:rPr>
      </w:pPr>
      <w:r w:rsidRPr="00566C9A">
        <w:rPr>
          <w:b/>
          <w:sz w:val="24"/>
          <w:szCs w:val="24"/>
        </w:rPr>
        <w:t>OUTLINE</w:t>
      </w:r>
    </w:p>
    <w:p w14:paraId="6EE4CDE8" w14:textId="791CE996" w:rsidR="00566C9A" w:rsidRDefault="00566C9A" w:rsidP="002D510A">
      <w:pPr>
        <w:spacing w:before="120" w:after="120" w:line="240" w:lineRule="auto"/>
      </w:pPr>
      <w:r>
        <w:t xml:space="preserve">The purpose of </w:t>
      </w:r>
      <w:r w:rsidR="00356F02">
        <w:t>Part 4 of Chapter 3</w:t>
      </w:r>
      <w:r>
        <w:t xml:space="preserve"> of the Legislation Act</w:t>
      </w:r>
      <w:r w:rsidR="00356F02">
        <w:t>, which provides for the sunsetting of legislative instruments,</w:t>
      </w:r>
      <w:r>
        <w:t xml:space="preserve"> is to ensure that legislative instruments are kept up to date and only remain in force for so long as they are needed.</w:t>
      </w:r>
    </w:p>
    <w:p w14:paraId="6EE4CDE9" w14:textId="77777777" w:rsidR="00566C9A" w:rsidRDefault="00566C9A" w:rsidP="002D510A">
      <w:pPr>
        <w:spacing w:before="120" w:after="120" w:line="240" w:lineRule="auto"/>
      </w:pPr>
      <w:r>
        <w:t>Section 51A enables the Attorney-General to align the sunsetting dates of two or more instruments by declaration. The instruments will then all cease to be in force on the day specified in the declaration instead of the scheduled sunsetting day of each instrument.</w:t>
      </w:r>
    </w:p>
    <w:p w14:paraId="6EE4CDEA" w14:textId="765BBF67" w:rsidR="00566C9A" w:rsidRDefault="001F693C" w:rsidP="002D510A">
      <w:pPr>
        <w:spacing w:before="120" w:after="120" w:line="240" w:lineRule="auto"/>
      </w:pPr>
      <w:r>
        <w:t>This allows instruments to continue to be in force for a further but limited period of time when they would otherw</w:t>
      </w:r>
      <w:r w:rsidR="007F5BE9">
        <w:t>ise sunset, or to sunset earlier</w:t>
      </w:r>
      <w:r>
        <w:t xml:space="preserve"> than the originally scheduled sunsetting day</w:t>
      </w:r>
      <w:r w:rsidRPr="007F5BE9">
        <w:t>. The purpose of such alignment is to facilitate more efficient and effective review processes by enabling a single thematic review into the fitness-for-purpose of all instruments relevant to a particular industry</w:t>
      </w:r>
      <w:r w:rsidR="00333329">
        <w:t>, enabling Act</w:t>
      </w:r>
      <w:r w:rsidRPr="007F5BE9">
        <w:t xml:space="preserve"> or theme.</w:t>
      </w:r>
    </w:p>
    <w:p w14:paraId="6EE4CDEB" w14:textId="653A0ADD" w:rsidR="001F693C" w:rsidRPr="00566C9A" w:rsidRDefault="001F693C" w:rsidP="002D510A">
      <w:pPr>
        <w:spacing w:before="120" w:after="120" w:line="240" w:lineRule="auto"/>
      </w:pPr>
      <w:r>
        <w:t>This reduces the administrative burden and legislative inconsistences that can arise from reviewing and remaking related legislative instruments at different times.</w:t>
      </w:r>
    </w:p>
    <w:p w14:paraId="6EE4CDEC" w14:textId="77777777" w:rsidR="00566C9A" w:rsidRDefault="00566C9A" w:rsidP="002D510A">
      <w:pPr>
        <w:spacing w:before="120" w:after="120" w:line="240" w:lineRule="auto"/>
        <w:rPr>
          <w:b/>
          <w:sz w:val="24"/>
          <w:szCs w:val="24"/>
        </w:rPr>
      </w:pPr>
      <w:r>
        <w:rPr>
          <w:b/>
          <w:sz w:val="24"/>
          <w:szCs w:val="24"/>
        </w:rPr>
        <w:t>PROCESS BEFORE CERTIFICATE WAS MADE</w:t>
      </w:r>
    </w:p>
    <w:p w14:paraId="6EE4CDED" w14:textId="77777777" w:rsidR="00566C9A" w:rsidRDefault="00566C9A" w:rsidP="002D510A">
      <w:pPr>
        <w:spacing w:before="120" w:after="120" w:line="240" w:lineRule="auto"/>
        <w:rPr>
          <w:b/>
        </w:rPr>
      </w:pPr>
      <w:r>
        <w:rPr>
          <w:b/>
        </w:rPr>
        <w:t>Regulatory impact analysis</w:t>
      </w:r>
    </w:p>
    <w:p w14:paraId="6EE4CDEE" w14:textId="77777777" w:rsidR="001F693C" w:rsidRPr="00C1260F" w:rsidRDefault="001F693C" w:rsidP="002D510A">
      <w:pPr>
        <w:spacing w:before="120" w:after="120" w:line="240" w:lineRule="auto"/>
      </w:pPr>
      <w:r>
        <w:t xml:space="preserve">Sunset-altering </w:t>
      </w:r>
      <w:r w:rsidR="002565D3">
        <w:t>declarations</w:t>
      </w:r>
      <w:r>
        <w:t xml:space="preserve"> are machinery of government instruments, and therefore not subject to the regulatory impact assessment requirements set out by the Office of Best Practice Regulation (OBPR). The OBPR reference for this standing exemption is </w:t>
      </w:r>
      <w:r w:rsidR="00C1260F">
        <w:t>ID 19486.</w:t>
      </w:r>
    </w:p>
    <w:p w14:paraId="6EE4CDEF" w14:textId="77777777" w:rsidR="00566C9A" w:rsidRDefault="00566C9A" w:rsidP="002D510A">
      <w:pPr>
        <w:spacing w:before="120" w:after="120" w:line="240" w:lineRule="auto"/>
        <w:rPr>
          <w:b/>
        </w:rPr>
      </w:pPr>
      <w:r>
        <w:rPr>
          <w:b/>
        </w:rPr>
        <w:t>Statement of compatibility with human rights obligations</w:t>
      </w:r>
    </w:p>
    <w:p w14:paraId="429EED02" w14:textId="7CCAA5F6" w:rsidR="00605A8B" w:rsidRPr="001F693C" w:rsidRDefault="001F693C" w:rsidP="002D510A">
      <w:pPr>
        <w:spacing w:before="120" w:after="120" w:line="240" w:lineRule="auto"/>
        <w:rPr>
          <w:i/>
        </w:rPr>
      </w:pPr>
      <w:r>
        <w:t xml:space="preserve">Before this declaration was made, its impact on human rights was assessed using tools and guidance published by the Attorney-General’s Department. It is fully compatible with human rights as defined in section 3 of the </w:t>
      </w:r>
      <w:r>
        <w:rPr>
          <w:i/>
        </w:rPr>
        <w:t xml:space="preserve">Human Rights (Parliamentary Scrutiny) Act 2011. </w:t>
      </w:r>
    </w:p>
    <w:p w14:paraId="6EE4CDF1" w14:textId="0D935963" w:rsidR="00566C9A" w:rsidRDefault="00566C9A" w:rsidP="002D510A">
      <w:pPr>
        <w:spacing w:before="120" w:after="120" w:line="240" w:lineRule="auto"/>
        <w:rPr>
          <w:b/>
        </w:rPr>
      </w:pPr>
      <w:r>
        <w:rPr>
          <w:b/>
        </w:rPr>
        <w:t>Consultation before making</w:t>
      </w:r>
    </w:p>
    <w:p w14:paraId="6EE4CDF2" w14:textId="1D3D7DDC" w:rsidR="001F693C" w:rsidRDefault="001F693C" w:rsidP="002D510A">
      <w:pPr>
        <w:spacing w:before="120" w:after="120" w:line="240" w:lineRule="auto"/>
      </w:pPr>
      <w:r>
        <w:t xml:space="preserve">Before this declaration was issued, the Attorney-General considered the general obligation to consult imposed by </w:t>
      </w:r>
      <w:r w:rsidRPr="002565D3">
        <w:t>section 17</w:t>
      </w:r>
      <w:r>
        <w:t xml:space="preserve"> of the Legislation Act. </w:t>
      </w:r>
      <w:r w:rsidR="00E63A8F">
        <w:t xml:space="preserve">In preparing the application for this declaration, </w:t>
      </w:r>
      <w:r w:rsidR="00333329">
        <w:t xml:space="preserve">the </w:t>
      </w:r>
      <w:r w:rsidR="00852464">
        <w:t>Family Court and Federal Circuit Court</w:t>
      </w:r>
      <w:r w:rsidR="00333329">
        <w:t xml:space="preserve"> were consulted, as well as the Courts, Tribunals and Administrative Law Branch and </w:t>
      </w:r>
      <w:r w:rsidR="00E63A8F">
        <w:t xml:space="preserve">the </w:t>
      </w:r>
      <w:r w:rsidR="00E63A8F" w:rsidRPr="002565D3">
        <w:t xml:space="preserve">Family </w:t>
      </w:r>
      <w:r w:rsidR="00A90367" w:rsidRPr="002565D3">
        <w:t>Law Branch</w:t>
      </w:r>
      <w:r w:rsidR="00E63A8F">
        <w:t xml:space="preserve"> </w:t>
      </w:r>
      <w:r w:rsidR="00E63A8F" w:rsidRPr="002565D3">
        <w:t>of the Attorney-</w:t>
      </w:r>
      <w:r w:rsidR="00333329">
        <w:t>G</w:t>
      </w:r>
      <w:r w:rsidR="00E63A8F" w:rsidRPr="002565D3">
        <w:t>eneral’s Department. The Regulatory Reform Division in the Department of the Prime Minister and Cabinet was also provided with a copy of the application.</w:t>
      </w:r>
    </w:p>
    <w:p w14:paraId="6EE4CDF3" w14:textId="27AB0476" w:rsidR="00E63A8F" w:rsidRPr="001F693C" w:rsidRDefault="00333329" w:rsidP="002D510A">
      <w:pPr>
        <w:spacing w:before="120" w:after="120" w:line="240" w:lineRule="auto"/>
      </w:pPr>
      <w:r>
        <w:t>This</w:t>
      </w:r>
      <w:r w:rsidR="00E63A8F">
        <w:t xml:space="preserve"> declaration does not itself significantly alter the existing arrangements of any other agency</w:t>
      </w:r>
      <w:r>
        <w:t xml:space="preserve"> and </w:t>
      </w:r>
      <w:r w:rsidR="00E63A8F">
        <w:t xml:space="preserve">further consultation at this stage of the review process was unnecessary. </w:t>
      </w:r>
      <w:r>
        <w:t>The Attorney</w:t>
      </w:r>
      <w:r>
        <w:noBreakHyphen/>
        <w:t>General wa</w:t>
      </w:r>
      <w:r w:rsidR="001E784D">
        <w:t xml:space="preserve">s satisfied that this </w:t>
      </w:r>
      <w:r>
        <w:t xml:space="preserve">consultation met the section 17 criteria of having been appropriate and reasonably practicable to be undertaken. </w:t>
      </w:r>
    </w:p>
    <w:p w14:paraId="6EE4CDF4" w14:textId="77777777" w:rsidR="00566C9A" w:rsidRDefault="00566C9A" w:rsidP="002D510A">
      <w:pPr>
        <w:spacing w:before="120" w:after="120" w:line="240" w:lineRule="auto"/>
        <w:rPr>
          <w:b/>
        </w:rPr>
      </w:pPr>
      <w:r>
        <w:rPr>
          <w:b/>
        </w:rPr>
        <w:lastRenderedPageBreak/>
        <w:t>Statutory preconditions relevant to this declaration</w:t>
      </w:r>
    </w:p>
    <w:p w14:paraId="6EE4CDF5" w14:textId="0497307B" w:rsidR="00E63A8F" w:rsidRDefault="00E63A8F" w:rsidP="002D510A">
      <w:pPr>
        <w:spacing w:before="120" w:after="120" w:line="240" w:lineRule="auto"/>
      </w:pPr>
      <w:r>
        <w:t xml:space="preserve">If the Attorney-General is </w:t>
      </w:r>
      <w:r w:rsidR="002565D3">
        <w:t>satisfied</w:t>
      </w:r>
      <w:r w:rsidR="00333329">
        <w:t xml:space="preserve"> on written application from the</w:t>
      </w:r>
      <w:r w:rsidR="00D93F6B">
        <w:t xml:space="preserve"> relevant</w:t>
      </w:r>
      <w:r w:rsidR="00333329">
        <w:t xml:space="preserve"> </w:t>
      </w:r>
      <w:r w:rsidR="00D93F6B">
        <w:t>rule-maker(s)</w:t>
      </w:r>
      <w:r>
        <w:t xml:space="preserve"> that the statutory conditions in section 51A of the Legislation Act are met, the sunsetting day of two or more legislative instruments can be aligned by means of a declaration made under that section. The statutory conditions are that:</w:t>
      </w:r>
    </w:p>
    <w:p w14:paraId="6EE4CDF6" w14:textId="6A579239" w:rsidR="00E63A8F" w:rsidRPr="00E63A8F" w:rsidRDefault="00E63A8F" w:rsidP="002D510A">
      <w:pPr>
        <w:numPr>
          <w:ilvl w:val="0"/>
          <w:numId w:val="1"/>
        </w:numPr>
        <w:spacing w:before="120" w:after="120" w:line="240" w:lineRule="auto"/>
        <w:ind w:left="1077" w:hanging="357"/>
        <w:outlineLvl w:val="1"/>
        <w:rPr>
          <w:rFonts w:ascii="Calibri" w:eastAsia="Calibri" w:hAnsi="Calibri" w:cs="Calibri"/>
          <w:szCs w:val="20"/>
        </w:rPr>
      </w:pPr>
      <w:r w:rsidRPr="00E63A8F">
        <w:rPr>
          <w:rFonts w:ascii="Calibri" w:eastAsia="Calibri" w:hAnsi="Calibri" w:cs="Calibri"/>
          <w:szCs w:val="20"/>
        </w:rPr>
        <w:t>all the instruments to be reviewed</w:t>
      </w:r>
      <w:r w:rsidRPr="00E63A8F">
        <w:rPr>
          <w:rFonts w:ascii="Calibri" w:eastAsia="Calibri" w:hAnsi="Calibri" w:cs="Calibri"/>
          <w:b/>
          <w:szCs w:val="20"/>
        </w:rPr>
        <w:t xml:space="preserve"> </w:t>
      </w:r>
      <w:r w:rsidRPr="00E63A8F">
        <w:rPr>
          <w:rFonts w:ascii="Calibri" w:eastAsia="Calibri" w:hAnsi="Calibri" w:cs="Calibri"/>
          <w:szCs w:val="20"/>
        </w:rPr>
        <w:t>would (in the absence of a declaration under section 51</w:t>
      </w:r>
      <w:r w:rsidR="00750230">
        <w:rPr>
          <w:rFonts w:ascii="Calibri" w:eastAsia="Calibri" w:hAnsi="Calibri" w:cs="Calibri"/>
          <w:szCs w:val="20"/>
        </w:rPr>
        <w:t>A</w:t>
      </w:r>
      <w:r w:rsidR="009418CC">
        <w:rPr>
          <w:rFonts w:ascii="Calibri" w:eastAsia="Calibri" w:hAnsi="Calibri" w:cs="Calibri"/>
          <w:szCs w:val="20"/>
        </w:rPr>
        <w:t>)</w:t>
      </w:r>
      <w:r w:rsidRPr="00E63A8F">
        <w:rPr>
          <w:rFonts w:ascii="Calibri" w:eastAsia="Calibri" w:hAnsi="Calibri" w:cs="Calibri"/>
          <w:szCs w:val="20"/>
        </w:rPr>
        <w:t xml:space="preserve"> be subject to sunsetting  </w:t>
      </w:r>
    </w:p>
    <w:p w14:paraId="6EE4CDF7" w14:textId="77777777" w:rsidR="00E63A8F" w:rsidRPr="00E63A8F" w:rsidRDefault="00E63A8F" w:rsidP="002D510A">
      <w:pPr>
        <w:numPr>
          <w:ilvl w:val="0"/>
          <w:numId w:val="1"/>
        </w:numPr>
        <w:spacing w:before="120" w:after="120" w:line="240" w:lineRule="auto"/>
        <w:ind w:left="1077" w:hanging="357"/>
        <w:outlineLvl w:val="1"/>
        <w:rPr>
          <w:rFonts w:ascii="Calibri" w:eastAsia="Calibri" w:hAnsi="Calibri" w:cs="Calibri"/>
          <w:szCs w:val="20"/>
        </w:rPr>
      </w:pPr>
      <w:r w:rsidRPr="00E63A8F">
        <w:rPr>
          <w:rFonts w:ascii="Calibri" w:eastAsia="Calibri" w:hAnsi="Calibri" w:cs="Calibri"/>
          <w:szCs w:val="20"/>
        </w:rPr>
        <w:t>all the instruments to be reviewed</w:t>
      </w:r>
      <w:r w:rsidRPr="00E63A8F">
        <w:rPr>
          <w:rFonts w:ascii="Calibri" w:eastAsia="Calibri" w:hAnsi="Calibri" w:cs="Calibri"/>
          <w:b/>
          <w:szCs w:val="20"/>
        </w:rPr>
        <w:t xml:space="preserve"> </w:t>
      </w:r>
      <w:r w:rsidRPr="00E63A8F">
        <w:rPr>
          <w:rFonts w:ascii="Calibri" w:eastAsia="Calibri" w:hAnsi="Calibri" w:cs="Calibri"/>
          <w:szCs w:val="20"/>
        </w:rPr>
        <w:t xml:space="preserve">are or will be the subject of a single review, and </w:t>
      </w:r>
    </w:p>
    <w:p w14:paraId="278ACE15" w14:textId="3B685472" w:rsidR="00F04E1C" w:rsidRPr="005E48F0" w:rsidRDefault="00E63A8F" w:rsidP="005E48F0">
      <w:pPr>
        <w:numPr>
          <w:ilvl w:val="0"/>
          <w:numId w:val="1"/>
        </w:numPr>
        <w:spacing w:before="120" w:after="120" w:line="240" w:lineRule="auto"/>
        <w:ind w:left="1077" w:hanging="357"/>
        <w:outlineLvl w:val="1"/>
        <w:rPr>
          <w:rFonts w:ascii="Calibri" w:eastAsia="Calibri" w:hAnsi="Calibri" w:cs="Calibri"/>
          <w:szCs w:val="20"/>
        </w:rPr>
      </w:pPr>
      <w:r w:rsidRPr="00E63A8F">
        <w:rPr>
          <w:rFonts w:ascii="Calibri" w:eastAsia="Calibri" w:hAnsi="Calibri" w:cs="Calibri"/>
          <w:szCs w:val="20"/>
        </w:rPr>
        <w:t xml:space="preserve">the making of the declaration will facilitate the undertaking of the review and the implementation of its findings.  </w:t>
      </w:r>
    </w:p>
    <w:p w14:paraId="6EE4CDF9" w14:textId="77777777" w:rsidR="00E63A8F" w:rsidRPr="00E63A8F" w:rsidRDefault="00E63A8F" w:rsidP="002D510A">
      <w:pPr>
        <w:spacing w:before="120" w:after="120" w:line="240" w:lineRule="auto"/>
        <w:ind w:left="11" w:hanging="11"/>
        <w:outlineLvl w:val="1"/>
        <w:rPr>
          <w:rFonts w:ascii="Calibri" w:eastAsia="Calibri" w:hAnsi="Calibri" w:cs="Calibri"/>
          <w:szCs w:val="20"/>
        </w:rPr>
      </w:pPr>
      <w:r w:rsidRPr="00E63A8F">
        <w:rPr>
          <w:rFonts w:ascii="Calibri" w:eastAsia="Calibri" w:hAnsi="Calibri" w:cs="Calibri"/>
          <w:szCs w:val="20"/>
        </w:rPr>
        <w:t xml:space="preserve">In terms of process, the Legislation Act requires: </w:t>
      </w:r>
    </w:p>
    <w:p w14:paraId="6EE4CDFA" w14:textId="77777777" w:rsidR="00E63A8F" w:rsidRPr="00E63A8F" w:rsidRDefault="00E63A8F" w:rsidP="002D510A">
      <w:pPr>
        <w:numPr>
          <w:ilvl w:val="0"/>
          <w:numId w:val="1"/>
        </w:numPr>
        <w:spacing w:before="120" w:after="120" w:line="240" w:lineRule="auto"/>
        <w:ind w:left="1077" w:hanging="357"/>
        <w:outlineLvl w:val="1"/>
        <w:rPr>
          <w:rFonts w:ascii="Calibri" w:eastAsia="Calibri" w:hAnsi="Calibri" w:cs="Calibri"/>
          <w:szCs w:val="20"/>
        </w:rPr>
      </w:pPr>
      <w:r w:rsidRPr="00E63A8F">
        <w:rPr>
          <w:rFonts w:ascii="Calibri" w:eastAsia="Calibri" w:hAnsi="Calibri" w:cs="Calibri"/>
          <w:szCs w:val="20"/>
        </w:rPr>
        <w:t>the responsible rule maker to apply to the Attorney-General</w:t>
      </w:r>
    </w:p>
    <w:p w14:paraId="6EE4CDFB" w14:textId="77777777" w:rsidR="00E63A8F" w:rsidRPr="00E63A8F" w:rsidRDefault="00E63A8F" w:rsidP="002D510A">
      <w:pPr>
        <w:numPr>
          <w:ilvl w:val="0"/>
          <w:numId w:val="1"/>
        </w:numPr>
        <w:spacing w:before="120" w:after="120" w:line="240" w:lineRule="auto"/>
        <w:ind w:left="1077" w:hanging="357"/>
        <w:outlineLvl w:val="1"/>
        <w:rPr>
          <w:rFonts w:ascii="Calibri" w:eastAsia="Calibri" w:hAnsi="Calibri" w:cs="Calibri"/>
          <w:szCs w:val="20"/>
        </w:rPr>
      </w:pPr>
      <w:r w:rsidRPr="00E63A8F">
        <w:rPr>
          <w:rFonts w:ascii="Calibri" w:eastAsia="Calibri" w:hAnsi="Calibri" w:cs="Calibri"/>
          <w:szCs w:val="20"/>
        </w:rPr>
        <w:t xml:space="preserve">the Attorney-General to be satisfied of the statutory conditions, and </w:t>
      </w:r>
    </w:p>
    <w:p w14:paraId="7121F15B" w14:textId="3DDC84F7" w:rsidR="00F04E1C" w:rsidRPr="005E48F0" w:rsidRDefault="00E63A8F" w:rsidP="005E48F0">
      <w:pPr>
        <w:numPr>
          <w:ilvl w:val="0"/>
          <w:numId w:val="1"/>
        </w:numPr>
        <w:spacing w:before="120" w:after="120" w:line="240" w:lineRule="auto"/>
        <w:ind w:left="1077" w:hanging="357"/>
        <w:outlineLvl w:val="1"/>
        <w:rPr>
          <w:rFonts w:ascii="Calibri" w:eastAsia="Calibri" w:hAnsi="Calibri" w:cs="Calibri"/>
          <w:szCs w:val="20"/>
        </w:rPr>
      </w:pPr>
      <w:r w:rsidRPr="00E63A8F">
        <w:rPr>
          <w:rFonts w:ascii="Calibri" w:eastAsia="Calibri" w:hAnsi="Calibri" w:cs="Calibri"/>
          <w:szCs w:val="20"/>
        </w:rPr>
        <w:t xml:space="preserve">the Attorney-General to make the declaration, which is a legislative instrument and subject to disallowance. </w:t>
      </w:r>
    </w:p>
    <w:p w14:paraId="6EE4CDFD" w14:textId="5653F76E" w:rsidR="00E63A8F" w:rsidRDefault="00C00CB1" w:rsidP="002D510A">
      <w:pPr>
        <w:spacing w:before="120" w:after="120" w:line="240" w:lineRule="auto"/>
        <w:outlineLvl w:val="1"/>
        <w:rPr>
          <w:rFonts w:ascii="Calibri" w:eastAsia="Calibri" w:hAnsi="Calibri" w:cs="Calibri"/>
          <w:szCs w:val="20"/>
        </w:rPr>
      </w:pPr>
      <w:r>
        <w:rPr>
          <w:rFonts w:ascii="Calibri" w:eastAsia="Calibri" w:hAnsi="Calibri" w:cs="Calibri"/>
          <w:szCs w:val="20"/>
        </w:rPr>
        <w:t xml:space="preserve">This declaration aligns the sunsetting dates of the </w:t>
      </w:r>
      <w:r w:rsidR="009418CC">
        <w:rPr>
          <w:rFonts w:ascii="Calibri" w:eastAsia="Calibri" w:hAnsi="Calibri" w:cs="Calibri"/>
          <w:szCs w:val="20"/>
        </w:rPr>
        <w:t>following Rules and Regulations</w:t>
      </w:r>
      <w:r w:rsidR="00653A5C">
        <w:rPr>
          <w:rFonts w:ascii="Calibri" w:eastAsia="Calibri" w:hAnsi="Calibri" w:cs="Calibri"/>
          <w:szCs w:val="20"/>
        </w:rPr>
        <w:t xml:space="preserve"> (collectively, the Family Law Instruments)</w:t>
      </w:r>
      <w:r>
        <w:rPr>
          <w:rFonts w:ascii="Calibri" w:eastAsia="Calibri" w:hAnsi="Calibri" w:cs="Calibri"/>
          <w:szCs w:val="20"/>
        </w:rPr>
        <w:t>:</w:t>
      </w:r>
    </w:p>
    <w:p w14:paraId="33E77FC3" w14:textId="79AD6E62" w:rsidR="005F2F0B" w:rsidRPr="00BD3753" w:rsidRDefault="005F2F0B" w:rsidP="005E48F0">
      <w:pPr>
        <w:numPr>
          <w:ilvl w:val="0"/>
          <w:numId w:val="5"/>
        </w:numPr>
        <w:spacing w:after="0" w:line="240" w:lineRule="auto"/>
        <w:ind w:left="1888" w:hanging="357"/>
        <w:rPr>
          <w:rFonts w:eastAsia="Calibri" w:cs="Times New Roman"/>
        </w:rPr>
      </w:pPr>
      <w:r w:rsidRPr="00BD3753">
        <w:rPr>
          <w:rFonts w:eastAsia="Calibri" w:cs="Times New Roman"/>
        </w:rPr>
        <w:t xml:space="preserve">the </w:t>
      </w:r>
      <w:r w:rsidRPr="00BD3753">
        <w:rPr>
          <w:rFonts w:eastAsia="Calibri" w:cs="Times New Roman"/>
          <w:i/>
        </w:rPr>
        <w:t>Family Law (Bilateral Arrangements</w:t>
      </w:r>
      <w:r w:rsidR="00D93F6B">
        <w:rPr>
          <w:i/>
          <w:iCs/>
          <w:color w:val="000000"/>
          <w:shd w:val="clear" w:color="auto" w:fill="FFFFFF"/>
        </w:rPr>
        <w:t>—</w:t>
      </w:r>
      <w:r w:rsidRPr="00BD3753">
        <w:rPr>
          <w:rFonts w:eastAsia="Calibri" w:cs="Times New Roman"/>
          <w:i/>
        </w:rPr>
        <w:t>Intercountry Adoption) Regulations</w:t>
      </w:r>
      <w:r w:rsidR="00D93F6B">
        <w:rPr>
          <w:rFonts w:eastAsia="Calibri" w:cs="Times New Roman"/>
          <w:i/>
        </w:rPr>
        <w:t> </w:t>
      </w:r>
      <w:r w:rsidRPr="00BD3753">
        <w:rPr>
          <w:rFonts w:eastAsia="Calibri" w:cs="Times New Roman"/>
          <w:i/>
        </w:rPr>
        <w:t>1998;</w:t>
      </w:r>
    </w:p>
    <w:p w14:paraId="531D360D" w14:textId="77777777" w:rsidR="005F2F0B" w:rsidRPr="00BD3753" w:rsidRDefault="005F2F0B" w:rsidP="005E48F0">
      <w:pPr>
        <w:numPr>
          <w:ilvl w:val="0"/>
          <w:numId w:val="5"/>
        </w:numPr>
        <w:tabs>
          <w:tab w:val="right" w:pos="1531"/>
        </w:tabs>
        <w:spacing w:after="0" w:line="240" w:lineRule="auto"/>
        <w:ind w:left="1888" w:hanging="357"/>
        <w:rPr>
          <w:rFonts w:eastAsia="Calibri" w:cs="Times New Roman"/>
        </w:rPr>
      </w:pPr>
      <w:r w:rsidRPr="00BD3753">
        <w:rPr>
          <w:rFonts w:eastAsia="Calibri" w:cs="Times New Roman"/>
        </w:rPr>
        <w:t xml:space="preserve">the </w:t>
      </w:r>
      <w:r w:rsidRPr="00BD3753">
        <w:rPr>
          <w:rFonts w:eastAsia="Calibri" w:cs="Times New Roman"/>
          <w:i/>
        </w:rPr>
        <w:t>Federal Circuit Court Rules 2001</w:t>
      </w:r>
      <w:r w:rsidRPr="00BD3753">
        <w:rPr>
          <w:rFonts w:eastAsia="Calibri" w:cs="Times New Roman"/>
        </w:rPr>
        <w:t xml:space="preserve">; </w:t>
      </w:r>
    </w:p>
    <w:p w14:paraId="22AF853D" w14:textId="77777777" w:rsidR="005F2F0B" w:rsidRPr="00BD3753" w:rsidRDefault="005F2F0B" w:rsidP="005E48F0">
      <w:pPr>
        <w:numPr>
          <w:ilvl w:val="0"/>
          <w:numId w:val="5"/>
        </w:numPr>
        <w:tabs>
          <w:tab w:val="right" w:pos="1531"/>
        </w:tabs>
        <w:spacing w:after="0" w:line="240" w:lineRule="auto"/>
        <w:ind w:left="1888" w:hanging="357"/>
        <w:rPr>
          <w:rFonts w:eastAsia="Calibri" w:cs="Times New Roman"/>
        </w:rPr>
      </w:pPr>
      <w:r w:rsidRPr="00BD3753">
        <w:rPr>
          <w:rFonts w:eastAsia="Calibri" w:cs="Times New Roman"/>
        </w:rPr>
        <w:t xml:space="preserve">the </w:t>
      </w:r>
      <w:r w:rsidRPr="00BD3753">
        <w:rPr>
          <w:rFonts w:eastAsia="Calibri" w:cs="Times New Roman"/>
          <w:i/>
        </w:rPr>
        <w:t>Family Law (Family Dispute Resolution Practitioners) Regulations 2008</w:t>
      </w:r>
      <w:r w:rsidRPr="00BD3753">
        <w:rPr>
          <w:rFonts w:eastAsia="Calibri" w:cs="Times New Roman"/>
        </w:rPr>
        <w:t>;</w:t>
      </w:r>
    </w:p>
    <w:p w14:paraId="429739F2" w14:textId="77777777" w:rsidR="005F2F0B" w:rsidRPr="00BD3753" w:rsidRDefault="005F2F0B" w:rsidP="005E48F0">
      <w:pPr>
        <w:numPr>
          <w:ilvl w:val="0"/>
          <w:numId w:val="5"/>
        </w:numPr>
        <w:tabs>
          <w:tab w:val="right" w:pos="1531"/>
        </w:tabs>
        <w:spacing w:after="0" w:line="240" w:lineRule="auto"/>
        <w:ind w:left="1888" w:hanging="357"/>
        <w:rPr>
          <w:rFonts w:eastAsia="Calibri" w:cs="Times New Roman"/>
        </w:rPr>
      </w:pPr>
      <w:r w:rsidRPr="00BD3753">
        <w:rPr>
          <w:rFonts w:eastAsia="Calibri" w:cs="Times New Roman"/>
        </w:rPr>
        <w:t xml:space="preserve">the </w:t>
      </w:r>
      <w:r w:rsidRPr="00BD3753">
        <w:rPr>
          <w:rFonts w:eastAsia="Calibri" w:cs="Times New Roman"/>
          <w:i/>
        </w:rPr>
        <w:t>Family Law Regulations 1984</w:t>
      </w:r>
      <w:r w:rsidRPr="00BD3753">
        <w:rPr>
          <w:rFonts w:eastAsia="Calibri" w:cs="Times New Roman"/>
        </w:rPr>
        <w:t>;</w:t>
      </w:r>
    </w:p>
    <w:p w14:paraId="3E96C903" w14:textId="77777777" w:rsidR="005F2F0B" w:rsidRPr="00BD3753" w:rsidRDefault="005F2F0B" w:rsidP="005E48F0">
      <w:pPr>
        <w:numPr>
          <w:ilvl w:val="0"/>
          <w:numId w:val="5"/>
        </w:numPr>
        <w:tabs>
          <w:tab w:val="right" w:pos="1531"/>
        </w:tabs>
        <w:spacing w:after="0" w:line="240" w:lineRule="auto"/>
        <w:ind w:left="1888" w:hanging="357"/>
        <w:rPr>
          <w:rFonts w:eastAsia="Calibri" w:cs="Times New Roman"/>
        </w:rPr>
      </w:pPr>
      <w:r w:rsidRPr="00BD3753">
        <w:rPr>
          <w:rFonts w:eastAsia="Calibri" w:cs="Times New Roman"/>
        </w:rPr>
        <w:t xml:space="preserve">the </w:t>
      </w:r>
      <w:r w:rsidRPr="00BD3753">
        <w:rPr>
          <w:rFonts w:eastAsia="Calibri" w:cs="Times New Roman"/>
          <w:i/>
        </w:rPr>
        <w:t>Family Law Rules 2004</w:t>
      </w:r>
      <w:r w:rsidRPr="00BD3753">
        <w:rPr>
          <w:rFonts w:eastAsia="Calibri" w:cs="Times New Roman"/>
        </w:rPr>
        <w:t>;</w:t>
      </w:r>
    </w:p>
    <w:p w14:paraId="412FE74F" w14:textId="360AE273" w:rsidR="00F04E1C" w:rsidRPr="002D510A" w:rsidRDefault="005F2F0B" w:rsidP="005E48F0">
      <w:pPr>
        <w:numPr>
          <w:ilvl w:val="0"/>
          <w:numId w:val="5"/>
        </w:numPr>
        <w:tabs>
          <w:tab w:val="right" w:pos="1531"/>
        </w:tabs>
        <w:spacing w:after="0" w:line="240" w:lineRule="auto"/>
        <w:ind w:left="1888" w:hanging="357"/>
        <w:rPr>
          <w:rFonts w:eastAsia="Calibri" w:cs="Times New Roman"/>
        </w:rPr>
      </w:pPr>
      <w:r w:rsidRPr="00BD3753">
        <w:rPr>
          <w:rFonts w:eastAsia="Calibri" w:cs="Times New Roman"/>
        </w:rPr>
        <w:t xml:space="preserve">the </w:t>
      </w:r>
      <w:r w:rsidRPr="00BD3753">
        <w:rPr>
          <w:rFonts w:eastAsia="Calibri" w:cs="Times New Roman"/>
          <w:i/>
        </w:rPr>
        <w:t>Family Law (Superannuation) Regulations 2001</w:t>
      </w:r>
      <w:r w:rsidRPr="00BD3753">
        <w:rPr>
          <w:rFonts w:eastAsia="Calibri" w:cs="Times New Roman"/>
        </w:rPr>
        <w:t>.</w:t>
      </w:r>
    </w:p>
    <w:p w14:paraId="69F12E1E" w14:textId="5F225FB8" w:rsidR="002D2AAB" w:rsidRDefault="002D2AAB" w:rsidP="002D510A">
      <w:pPr>
        <w:spacing w:before="120" w:after="120" w:line="240" w:lineRule="auto"/>
        <w:outlineLvl w:val="1"/>
        <w:rPr>
          <w:rFonts w:ascii="Calibri" w:eastAsia="Calibri" w:hAnsi="Calibri" w:cs="Calibri"/>
          <w:szCs w:val="20"/>
        </w:rPr>
      </w:pPr>
      <w:r>
        <w:rPr>
          <w:rFonts w:ascii="Calibri" w:eastAsia="Calibri" w:hAnsi="Calibri" w:cs="Calibri"/>
          <w:szCs w:val="20"/>
        </w:rPr>
        <w:t>Written applications were received from</w:t>
      </w:r>
      <w:r w:rsidR="00A172F5">
        <w:rPr>
          <w:rFonts w:ascii="Calibri" w:eastAsia="Calibri" w:hAnsi="Calibri" w:cs="Calibri"/>
          <w:szCs w:val="20"/>
        </w:rPr>
        <w:t xml:space="preserve"> the Chief Judge</w:t>
      </w:r>
      <w:r w:rsidR="00AA057D">
        <w:rPr>
          <w:rFonts w:ascii="Calibri" w:eastAsia="Calibri" w:hAnsi="Calibri" w:cs="Calibri"/>
          <w:szCs w:val="20"/>
        </w:rPr>
        <w:t xml:space="preserve"> of the Federal Circuit Court and the</w:t>
      </w:r>
      <w:r w:rsidR="00A172F5">
        <w:rPr>
          <w:rFonts w:ascii="Calibri" w:eastAsia="Calibri" w:hAnsi="Calibri" w:cs="Calibri"/>
          <w:szCs w:val="20"/>
        </w:rPr>
        <w:t xml:space="preserve"> Chief Justice of the</w:t>
      </w:r>
      <w:r w:rsidR="00AA057D">
        <w:rPr>
          <w:rFonts w:ascii="Calibri" w:eastAsia="Calibri" w:hAnsi="Calibri" w:cs="Calibri"/>
          <w:szCs w:val="20"/>
        </w:rPr>
        <w:t xml:space="preserve"> Family Court in their capacity as</w:t>
      </w:r>
      <w:r w:rsidR="007926DD">
        <w:rPr>
          <w:rFonts w:ascii="Calibri" w:eastAsia="Calibri" w:hAnsi="Calibri" w:cs="Calibri"/>
          <w:szCs w:val="20"/>
        </w:rPr>
        <w:t xml:space="preserve"> </w:t>
      </w:r>
      <w:r>
        <w:rPr>
          <w:rFonts w:ascii="Calibri" w:eastAsia="Calibri" w:hAnsi="Calibri" w:cs="Calibri"/>
          <w:szCs w:val="20"/>
        </w:rPr>
        <w:t>rule</w:t>
      </w:r>
      <w:r>
        <w:rPr>
          <w:rFonts w:ascii="Calibri" w:eastAsia="Calibri" w:hAnsi="Calibri" w:cs="Calibri"/>
          <w:szCs w:val="20"/>
        </w:rPr>
        <w:noBreakHyphen/>
        <w:t xml:space="preserve">makers for the </w:t>
      </w:r>
      <w:r w:rsidRPr="00745C0E">
        <w:rPr>
          <w:rFonts w:ascii="Calibri" w:eastAsia="Calibri" w:hAnsi="Calibri" w:cs="Calibri"/>
          <w:i/>
          <w:szCs w:val="20"/>
        </w:rPr>
        <w:t>Federal Circuit Court Rules 2001</w:t>
      </w:r>
      <w:r>
        <w:rPr>
          <w:rFonts w:ascii="Calibri" w:eastAsia="Calibri" w:hAnsi="Calibri" w:cs="Calibri"/>
          <w:szCs w:val="20"/>
        </w:rPr>
        <w:t xml:space="preserve"> and the </w:t>
      </w:r>
      <w:r w:rsidRPr="00745C0E">
        <w:rPr>
          <w:rFonts w:ascii="Calibri" w:eastAsia="Calibri" w:hAnsi="Calibri" w:cs="Calibri"/>
          <w:i/>
          <w:szCs w:val="20"/>
        </w:rPr>
        <w:t>Family Law Rules 2004</w:t>
      </w:r>
      <w:r w:rsidR="00AA057D">
        <w:rPr>
          <w:rFonts w:ascii="Calibri" w:eastAsia="Calibri" w:hAnsi="Calibri" w:cs="Calibri"/>
          <w:szCs w:val="20"/>
        </w:rPr>
        <w:t xml:space="preserve"> respectively</w:t>
      </w:r>
      <w:r>
        <w:rPr>
          <w:rFonts w:ascii="Calibri" w:eastAsia="Calibri" w:hAnsi="Calibri" w:cs="Calibri"/>
          <w:szCs w:val="20"/>
        </w:rPr>
        <w:t xml:space="preserve">. </w:t>
      </w:r>
    </w:p>
    <w:p w14:paraId="1EDE88DE" w14:textId="4DCC049D" w:rsidR="00C00CB1" w:rsidRDefault="002D2AAB" w:rsidP="002D510A">
      <w:pPr>
        <w:spacing w:before="120" w:after="120" w:line="240" w:lineRule="auto"/>
        <w:outlineLvl w:val="1"/>
        <w:rPr>
          <w:rFonts w:ascii="Calibri" w:eastAsia="Calibri" w:hAnsi="Calibri" w:cs="Calibri"/>
          <w:szCs w:val="20"/>
        </w:rPr>
      </w:pPr>
      <w:r>
        <w:rPr>
          <w:rFonts w:ascii="Calibri" w:eastAsia="Calibri" w:hAnsi="Calibri" w:cs="Calibri"/>
          <w:szCs w:val="20"/>
        </w:rPr>
        <w:t>T</w:t>
      </w:r>
      <w:r w:rsidR="00C00CB1">
        <w:rPr>
          <w:rFonts w:ascii="Calibri" w:eastAsia="Calibri" w:hAnsi="Calibri" w:cs="Calibri"/>
          <w:szCs w:val="20"/>
        </w:rPr>
        <w:t>here was no formal ministerial correspondence in</w:t>
      </w:r>
      <w:r>
        <w:rPr>
          <w:rFonts w:ascii="Calibri" w:eastAsia="Calibri" w:hAnsi="Calibri" w:cs="Calibri"/>
          <w:szCs w:val="20"/>
        </w:rPr>
        <w:t xml:space="preserve"> relation to</w:t>
      </w:r>
      <w:r w:rsidRPr="002D2AAB">
        <w:rPr>
          <w:rFonts w:ascii="Calibri" w:eastAsia="Calibri" w:hAnsi="Calibri" w:cs="Calibri"/>
          <w:szCs w:val="20"/>
        </w:rPr>
        <w:t xml:space="preserve"> </w:t>
      </w:r>
      <w:r>
        <w:rPr>
          <w:rFonts w:ascii="Calibri" w:eastAsia="Calibri" w:hAnsi="Calibri" w:cs="Calibri"/>
          <w:szCs w:val="20"/>
        </w:rPr>
        <w:t>the</w:t>
      </w:r>
      <w:r w:rsidRPr="002D2AAB">
        <w:rPr>
          <w:rFonts w:ascii="Calibri" w:eastAsia="Calibri" w:hAnsi="Calibri" w:cs="Calibri"/>
          <w:szCs w:val="20"/>
        </w:rPr>
        <w:t xml:space="preserve"> </w:t>
      </w:r>
      <w:r w:rsidRPr="00745C0E">
        <w:rPr>
          <w:rFonts w:ascii="Calibri" w:eastAsia="Calibri" w:hAnsi="Calibri" w:cs="Calibri"/>
          <w:i/>
          <w:szCs w:val="20"/>
        </w:rPr>
        <w:t>Family Law (Bilateral Arrangements</w:t>
      </w:r>
      <w:r w:rsidRPr="002D2AAB">
        <w:rPr>
          <w:i/>
          <w:iCs/>
          <w:color w:val="000000"/>
          <w:shd w:val="clear" w:color="auto" w:fill="FFFFFF"/>
        </w:rPr>
        <w:t>—</w:t>
      </w:r>
      <w:r w:rsidRPr="00745C0E">
        <w:rPr>
          <w:rFonts w:ascii="Calibri" w:eastAsia="Calibri" w:hAnsi="Calibri" w:cs="Calibri"/>
          <w:i/>
          <w:szCs w:val="20"/>
        </w:rPr>
        <w:t>Intercountry Adoption) Regulations 1998</w:t>
      </w:r>
      <w:r>
        <w:rPr>
          <w:rFonts w:ascii="Calibri" w:eastAsia="Calibri" w:hAnsi="Calibri" w:cs="Calibri"/>
          <w:szCs w:val="20"/>
        </w:rPr>
        <w:t xml:space="preserve">, </w:t>
      </w:r>
      <w:r w:rsidRPr="002D2AAB">
        <w:rPr>
          <w:rFonts w:ascii="Calibri" w:eastAsia="Calibri" w:hAnsi="Calibri" w:cs="Calibri"/>
          <w:szCs w:val="20"/>
        </w:rPr>
        <w:t xml:space="preserve">the </w:t>
      </w:r>
      <w:r w:rsidRPr="00745C0E">
        <w:rPr>
          <w:rFonts w:ascii="Calibri" w:eastAsia="Calibri" w:hAnsi="Calibri" w:cs="Calibri"/>
          <w:i/>
          <w:szCs w:val="20"/>
        </w:rPr>
        <w:t>Family Law (Family Dispute Resolution Practitioners) Regulations 2008</w:t>
      </w:r>
      <w:r>
        <w:rPr>
          <w:rFonts w:ascii="Calibri" w:eastAsia="Calibri" w:hAnsi="Calibri" w:cs="Calibri"/>
          <w:szCs w:val="20"/>
        </w:rPr>
        <w:t xml:space="preserve">, the </w:t>
      </w:r>
      <w:r w:rsidRPr="00745C0E">
        <w:rPr>
          <w:rFonts w:ascii="Calibri" w:eastAsia="Calibri" w:hAnsi="Calibri" w:cs="Calibri"/>
          <w:i/>
          <w:szCs w:val="20"/>
        </w:rPr>
        <w:t>Family Law Regulations 1984</w:t>
      </w:r>
      <w:r>
        <w:rPr>
          <w:rFonts w:ascii="Calibri" w:eastAsia="Calibri" w:hAnsi="Calibri" w:cs="Calibri"/>
          <w:szCs w:val="20"/>
        </w:rPr>
        <w:t xml:space="preserve"> or the </w:t>
      </w:r>
      <w:r w:rsidRPr="00745C0E">
        <w:rPr>
          <w:rFonts w:ascii="Calibri" w:eastAsia="Calibri" w:hAnsi="Calibri" w:cs="Calibri"/>
          <w:i/>
          <w:szCs w:val="20"/>
        </w:rPr>
        <w:t>Family Law (Superannuation) Regulations 2001</w:t>
      </w:r>
      <w:r>
        <w:rPr>
          <w:rFonts w:ascii="Calibri" w:eastAsia="Calibri" w:hAnsi="Calibri" w:cs="Calibri"/>
          <w:szCs w:val="20"/>
        </w:rPr>
        <w:t>, as the Attorney</w:t>
      </w:r>
      <w:r>
        <w:rPr>
          <w:rFonts w:ascii="Calibri" w:eastAsia="Calibri" w:hAnsi="Calibri" w:cs="Calibri"/>
          <w:szCs w:val="20"/>
        </w:rPr>
        <w:noBreakHyphen/>
        <w:t xml:space="preserve">General is the rule-maker for these instruments. </w:t>
      </w:r>
    </w:p>
    <w:p w14:paraId="35CB06C3" w14:textId="11CA4A65" w:rsidR="009418CC" w:rsidRDefault="009418CC" w:rsidP="002D510A">
      <w:pPr>
        <w:spacing w:before="120" w:after="120" w:line="240" w:lineRule="auto"/>
        <w:outlineLvl w:val="1"/>
        <w:rPr>
          <w:rFonts w:ascii="Calibri" w:eastAsia="Calibri" w:hAnsi="Calibri" w:cs="Calibri"/>
          <w:szCs w:val="20"/>
        </w:rPr>
      </w:pPr>
      <w:r>
        <w:rPr>
          <w:rFonts w:ascii="Calibri" w:eastAsia="Calibri" w:hAnsi="Calibri" w:cs="Calibri"/>
          <w:szCs w:val="20"/>
        </w:rPr>
        <w:t xml:space="preserve">The </w:t>
      </w:r>
      <w:r w:rsidR="00653A5C">
        <w:rPr>
          <w:rFonts w:ascii="Calibri" w:eastAsia="Calibri" w:hAnsi="Calibri" w:cs="Calibri"/>
          <w:szCs w:val="20"/>
        </w:rPr>
        <w:t>F</w:t>
      </w:r>
      <w:r>
        <w:rPr>
          <w:rFonts w:ascii="Calibri" w:eastAsia="Calibri" w:hAnsi="Calibri" w:cs="Calibri"/>
          <w:szCs w:val="20"/>
        </w:rPr>
        <w:t xml:space="preserve">amily </w:t>
      </w:r>
      <w:r w:rsidR="00653A5C">
        <w:rPr>
          <w:rFonts w:ascii="Calibri" w:eastAsia="Calibri" w:hAnsi="Calibri" w:cs="Calibri"/>
          <w:szCs w:val="20"/>
        </w:rPr>
        <w:t>L</w:t>
      </w:r>
      <w:r>
        <w:rPr>
          <w:rFonts w:ascii="Calibri" w:eastAsia="Calibri" w:hAnsi="Calibri" w:cs="Calibri"/>
          <w:szCs w:val="20"/>
        </w:rPr>
        <w:t xml:space="preserve">aw </w:t>
      </w:r>
      <w:r w:rsidR="00653A5C">
        <w:rPr>
          <w:rFonts w:ascii="Calibri" w:eastAsia="Calibri" w:hAnsi="Calibri" w:cs="Calibri"/>
          <w:szCs w:val="20"/>
        </w:rPr>
        <w:t xml:space="preserve">Instruments </w:t>
      </w:r>
      <w:r>
        <w:rPr>
          <w:rFonts w:ascii="Calibri" w:eastAsia="Calibri" w:hAnsi="Calibri" w:cs="Calibri"/>
          <w:szCs w:val="20"/>
        </w:rPr>
        <w:t xml:space="preserve">will be reviewed as </w:t>
      </w:r>
      <w:r w:rsidR="004921E4">
        <w:rPr>
          <w:rFonts w:ascii="Calibri" w:eastAsia="Calibri" w:hAnsi="Calibri" w:cs="Calibri"/>
          <w:szCs w:val="20"/>
        </w:rPr>
        <w:t>part of</w:t>
      </w:r>
      <w:r w:rsidR="004921E4" w:rsidRPr="004921E4">
        <w:rPr>
          <w:rFonts w:ascii="Calibri" w:eastAsia="Calibri" w:hAnsi="Calibri" w:cs="Calibri"/>
          <w:szCs w:val="20"/>
        </w:rPr>
        <w:t xml:space="preserve"> </w:t>
      </w:r>
      <w:r>
        <w:rPr>
          <w:rFonts w:ascii="Calibri" w:eastAsia="Calibri" w:hAnsi="Calibri" w:cs="Calibri"/>
          <w:szCs w:val="20"/>
        </w:rPr>
        <w:t>the Australian Law Reform Commission’s (ALRC</w:t>
      </w:r>
      <w:r w:rsidR="00D72888">
        <w:rPr>
          <w:rFonts w:ascii="Calibri" w:eastAsia="Calibri" w:hAnsi="Calibri" w:cs="Calibri"/>
          <w:szCs w:val="20"/>
        </w:rPr>
        <w:t>’s</w:t>
      </w:r>
      <w:r>
        <w:rPr>
          <w:rFonts w:ascii="Calibri" w:eastAsia="Calibri" w:hAnsi="Calibri" w:cs="Calibri"/>
          <w:szCs w:val="20"/>
        </w:rPr>
        <w:t xml:space="preserve">) </w:t>
      </w:r>
      <w:r w:rsidR="004921E4" w:rsidRPr="004921E4">
        <w:rPr>
          <w:rFonts w:ascii="Calibri" w:eastAsia="Calibri" w:hAnsi="Calibri" w:cs="Calibri"/>
          <w:szCs w:val="20"/>
        </w:rPr>
        <w:t xml:space="preserve">major </w:t>
      </w:r>
      <w:r>
        <w:rPr>
          <w:rFonts w:ascii="Calibri" w:eastAsia="Calibri" w:hAnsi="Calibri" w:cs="Calibri"/>
          <w:szCs w:val="20"/>
        </w:rPr>
        <w:t>review of the family law system</w:t>
      </w:r>
      <w:r w:rsidR="004921E4">
        <w:rPr>
          <w:rFonts w:ascii="Calibri" w:eastAsia="Calibri" w:hAnsi="Calibri" w:cs="Calibri"/>
          <w:szCs w:val="20"/>
        </w:rPr>
        <w:t>, which commenced on 1 October </w:t>
      </w:r>
      <w:r w:rsidR="004921E4" w:rsidRPr="004921E4">
        <w:rPr>
          <w:rFonts w:ascii="Calibri" w:eastAsia="Calibri" w:hAnsi="Calibri" w:cs="Calibri"/>
          <w:szCs w:val="20"/>
        </w:rPr>
        <w:t>2017, and will report by 31 March 2019</w:t>
      </w:r>
      <w:r>
        <w:rPr>
          <w:rFonts w:ascii="Calibri" w:eastAsia="Calibri" w:hAnsi="Calibri" w:cs="Calibri"/>
          <w:szCs w:val="20"/>
        </w:rPr>
        <w:t xml:space="preserve">. The ALRC review is intended to be </w:t>
      </w:r>
      <w:r w:rsidR="004921E4">
        <w:rPr>
          <w:rFonts w:ascii="Calibri" w:eastAsia="Calibri" w:hAnsi="Calibri" w:cs="Calibri"/>
          <w:szCs w:val="20"/>
        </w:rPr>
        <w:t xml:space="preserve">a </w:t>
      </w:r>
      <w:r>
        <w:rPr>
          <w:rFonts w:ascii="Calibri" w:eastAsia="Calibri" w:hAnsi="Calibri" w:cs="Calibri"/>
          <w:szCs w:val="20"/>
        </w:rPr>
        <w:t>comprehensive</w:t>
      </w:r>
      <w:r w:rsidR="004921E4">
        <w:rPr>
          <w:rFonts w:ascii="Calibri" w:eastAsia="Calibri" w:hAnsi="Calibri" w:cs="Calibri"/>
          <w:szCs w:val="20"/>
        </w:rPr>
        <w:t xml:space="preserve"> examination of the family law framework. It will consider</w:t>
      </w:r>
      <w:r>
        <w:rPr>
          <w:rFonts w:ascii="Calibri" w:eastAsia="Calibri" w:hAnsi="Calibri" w:cs="Calibri"/>
          <w:szCs w:val="20"/>
        </w:rPr>
        <w:t xml:space="preserve"> the </w:t>
      </w:r>
      <w:r>
        <w:rPr>
          <w:rFonts w:ascii="Calibri" w:eastAsia="Calibri" w:hAnsi="Calibri" w:cs="Calibri"/>
          <w:i/>
          <w:szCs w:val="20"/>
        </w:rPr>
        <w:t xml:space="preserve">Family Law Act 1975 </w:t>
      </w:r>
      <w:r>
        <w:rPr>
          <w:rFonts w:ascii="Calibri" w:eastAsia="Calibri" w:hAnsi="Calibri" w:cs="Calibri"/>
          <w:szCs w:val="20"/>
        </w:rPr>
        <w:t>and the associated legal framework</w:t>
      </w:r>
      <w:r w:rsidR="004921E4">
        <w:rPr>
          <w:rFonts w:ascii="Calibri" w:eastAsia="Calibri" w:hAnsi="Calibri" w:cs="Calibri"/>
          <w:szCs w:val="20"/>
        </w:rPr>
        <w:t>,</w:t>
      </w:r>
      <w:r>
        <w:rPr>
          <w:rFonts w:ascii="Calibri" w:eastAsia="Calibri" w:hAnsi="Calibri" w:cs="Calibri"/>
          <w:szCs w:val="20"/>
        </w:rPr>
        <w:t xml:space="preserve"> including family law regulations</w:t>
      </w:r>
      <w:r w:rsidR="004921E4">
        <w:rPr>
          <w:rFonts w:ascii="Calibri" w:eastAsia="Calibri" w:hAnsi="Calibri" w:cs="Calibri"/>
          <w:szCs w:val="20"/>
        </w:rPr>
        <w:t xml:space="preserve">, the Family Law Rules and the relevant parts of the Federal Circuit Court Rules, which </w:t>
      </w:r>
      <w:r w:rsidR="004921E4" w:rsidRPr="004921E4">
        <w:rPr>
          <w:rFonts w:ascii="Calibri" w:eastAsia="Calibri" w:hAnsi="Calibri" w:cs="Calibri"/>
          <w:szCs w:val="20"/>
        </w:rPr>
        <w:t>are inherently relevant to the</w:t>
      </w:r>
      <w:r>
        <w:rPr>
          <w:rFonts w:ascii="Calibri" w:eastAsia="Calibri" w:hAnsi="Calibri" w:cs="Calibri"/>
          <w:szCs w:val="20"/>
        </w:rPr>
        <w:t xml:space="preserve"> broad and far reaching</w:t>
      </w:r>
      <w:r w:rsidR="004921E4" w:rsidRPr="004921E4">
        <w:rPr>
          <w:rFonts w:ascii="Calibri" w:eastAsia="Calibri" w:hAnsi="Calibri" w:cs="Calibri"/>
          <w:szCs w:val="20"/>
        </w:rPr>
        <w:t xml:space="preserve"> t</w:t>
      </w:r>
      <w:r w:rsidR="004921E4">
        <w:rPr>
          <w:rFonts w:ascii="Calibri" w:eastAsia="Calibri" w:hAnsi="Calibri" w:cs="Calibri"/>
          <w:szCs w:val="20"/>
        </w:rPr>
        <w:t>erms of reference for the review.</w:t>
      </w:r>
      <w:r w:rsidR="005E48F0">
        <w:rPr>
          <w:rFonts w:ascii="Calibri" w:eastAsia="Calibri" w:hAnsi="Calibri" w:cs="Calibri"/>
          <w:szCs w:val="20"/>
        </w:rPr>
        <w:t xml:space="preserve"> </w:t>
      </w:r>
      <w:r w:rsidR="000C2494">
        <w:rPr>
          <w:rFonts w:ascii="Calibri" w:eastAsia="Calibri" w:hAnsi="Calibri" w:cs="Calibri"/>
          <w:szCs w:val="20"/>
        </w:rPr>
        <w:t>The review will focus</w:t>
      </w:r>
      <w:r>
        <w:rPr>
          <w:rFonts w:ascii="Calibri" w:eastAsia="Calibri" w:hAnsi="Calibri" w:cs="Calibri"/>
          <w:szCs w:val="20"/>
        </w:rPr>
        <w:t xml:space="preserve"> on key areas of importance for Australian families. These include ensuring</w:t>
      </w:r>
      <w:r w:rsidR="000C2494">
        <w:rPr>
          <w:rFonts w:ascii="Calibri" w:eastAsia="Calibri" w:hAnsi="Calibri" w:cs="Calibri"/>
          <w:szCs w:val="20"/>
        </w:rPr>
        <w:t xml:space="preserve"> the</w:t>
      </w:r>
      <w:r>
        <w:rPr>
          <w:rFonts w:ascii="Calibri" w:eastAsia="Calibri" w:hAnsi="Calibri" w:cs="Calibri"/>
          <w:szCs w:val="20"/>
        </w:rPr>
        <w:t xml:space="preserve"> family law system prioritises the best interest</w:t>
      </w:r>
      <w:r w:rsidR="00AA057D">
        <w:rPr>
          <w:rFonts w:ascii="Calibri" w:eastAsia="Calibri" w:hAnsi="Calibri" w:cs="Calibri"/>
          <w:szCs w:val="20"/>
        </w:rPr>
        <w:t>s</w:t>
      </w:r>
      <w:r>
        <w:rPr>
          <w:rFonts w:ascii="Calibri" w:eastAsia="Calibri" w:hAnsi="Calibri" w:cs="Calibri"/>
          <w:szCs w:val="20"/>
        </w:rPr>
        <w:t xml:space="preserve"> of children; addresses family violence and child abuse; and supports families, including those with complex needs, to resolve their family law issues quickly and safely while minimising financial burden. </w:t>
      </w:r>
    </w:p>
    <w:p w14:paraId="4076A30D" w14:textId="3540C54D" w:rsidR="00C00CB1" w:rsidRDefault="00187947" w:rsidP="002D510A">
      <w:pPr>
        <w:spacing w:before="120" w:after="120" w:line="240" w:lineRule="auto"/>
        <w:outlineLvl w:val="1"/>
        <w:rPr>
          <w:rFonts w:ascii="Calibri" w:eastAsia="Calibri" w:hAnsi="Calibri" w:cs="Calibri"/>
          <w:szCs w:val="20"/>
        </w:rPr>
      </w:pPr>
      <w:r>
        <w:rPr>
          <w:rFonts w:ascii="Calibri" w:eastAsia="Calibri" w:hAnsi="Calibri" w:cs="Calibri"/>
          <w:szCs w:val="20"/>
        </w:rPr>
        <w:t>Aligning the</w:t>
      </w:r>
      <w:r w:rsidR="00C00CB1">
        <w:rPr>
          <w:rFonts w:ascii="Calibri" w:eastAsia="Calibri" w:hAnsi="Calibri" w:cs="Calibri"/>
          <w:szCs w:val="20"/>
        </w:rPr>
        <w:t xml:space="preserve"> sunsetting da</w:t>
      </w:r>
      <w:r>
        <w:rPr>
          <w:rFonts w:ascii="Calibri" w:eastAsia="Calibri" w:hAnsi="Calibri" w:cs="Calibri"/>
          <w:szCs w:val="20"/>
        </w:rPr>
        <w:t>y</w:t>
      </w:r>
      <w:r w:rsidR="00C00CB1">
        <w:rPr>
          <w:rFonts w:ascii="Calibri" w:eastAsia="Calibri" w:hAnsi="Calibri" w:cs="Calibri"/>
          <w:szCs w:val="20"/>
        </w:rPr>
        <w:t xml:space="preserve"> of</w:t>
      </w:r>
      <w:r>
        <w:rPr>
          <w:rFonts w:ascii="Calibri" w:eastAsia="Calibri" w:hAnsi="Calibri" w:cs="Calibri"/>
          <w:szCs w:val="20"/>
        </w:rPr>
        <w:t xml:space="preserve"> the Family Law Instruments to be</w:t>
      </w:r>
      <w:r w:rsidR="00C00CB1">
        <w:rPr>
          <w:rFonts w:ascii="Calibri" w:eastAsia="Calibri" w:hAnsi="Calibri" w:cs="Calibri"/>
          <w:szCs w:val="20"/>
        </w:rPr>
        <w:t xml:space="preserve"> 1 April 2023 will facilitate the undertaking of the review and the implementation of its findings by allowing sufficient time for:</w:t>
      </w:r>
    </w:p>
    <w:p w14:paraId="7CDFCE46" w14:textId="10DDE4EE" w:rsidR="009418CC" w:rsidRPr="009418CC" w:rsidRDefault="00C00CB1" w:rsidP="00810E45">
      <w:pPr>
        <w:pStyle w:val="ListParagraph"/>
        <w:numPr>
          <w:ilvl w:val="0"/>
          <w:numId w:val="3"/>
        </w:numPr>
        <w:spacing w:after="0" w:line="240" w:lineRule="auto"/>
        <w:ind w:left="714" w:hanging="357"/>
        <w:contextualSpacing w:val="0"/>
        <w:outlineLvl w:val="1"/>
        <w:rPr>
          <w:rFonts w:ascii="Calibri" w:eastAsia="Calibri" w:hAnsi="Calibri" w:cs="Calibri"/>
          <w:szCs w:val="20"/>
        </w:rPr>
      </w:pPr>
      <w:r>
        <w:rPr>
          <w:rFonts w:ascii="Calibri" w:eastAsia="Calibri" w:hAnsi="Calibri" w:cs="Calibri"/>
          <w:szCs w:val="20"/>
        </w:rPr>
        <w:lastRenderedPageBreak/>
        <w:t xml:space="preserve">targeted consultation with disability sector bodies, representative employers’ and workers’ organisations and relevant government departments, </w:t>
      </w:r>
    </w:p>
    <w:p w14:paraId="59BE6D20" w14:textId="2E39F7F7" w:rsidR="00C00CB1" w:rsidRDefault="00C00CB1" w:rsidP="00810E45">
      <w:pPr>
        <w:pStyle w:val="ListParagraph"/>
        <w:numPr>
          <w:ilvl w:val="0"/>
          <w:numId w:val="3"/>
        </w:numPr>
        <w:spacing w:after="0" w:line="240" w:lineRule="auto"/>
        <w:ind w:left="714" w:hanging="357"/>
        <w:contextualSpacing w:val="0"/>
        <w:outlineLvl w:val="1"/>
        <w:rPr>
          <w:rFonts w:ascii="Calibri" w:eastAsia="Calibri" w:hAnsi="Calibri" w:cs="Calibri"/>
          <w:szCs w:val="20"/>
        </w:rPr>
      </w:pPr>
      <w:r>
        <w:rPr>
          <w:rFonts w:ascii="Calibri" w:eastAsia="Calibri" w:hAnsi="Calibri" w:cs="Calibri"/>
          <w:szCs w:val="20"/>
        </w:rPr>
        <w:t>the recommendations of the review to be fully considered</w:t>
      </w:r>
    </w:p>
    <w:p w14:paraId="45640A7C" w14:textId="2BA43CA7" w:rsidR="00C00CB1" w:rsidRDefault="00C00CB1" w:rsidP="00810E45">
      <w:pPr>
        <w:pStyle w:val="ListParagraph"/>
        <w:numPr>
          <w:ilvl w:val="0"/>
          <w:numId w:val="3"/>
        </w:numPr>
        <w:spacing w:after="0" w:line="240" w:lineRule="auto"/>
        <w:ind w:left="714" w:hanging="357"/>
        <w:contextualSpacing w:val="0"/>
        <w:outlineLvl w:val="1"/>
        <w:rPr>
          <w:rFonts w:ascii="Calibri" w:eastAsia="Calibri" w:hAnsi="Calibri" w:cs="Calibri"/>
          <w:szCs w:val="20"/>
        </w:rPr>
      </w:pPr>
      <w:r>
        <w:rPr>
          <w:rFonts w:ascii="Calibri" w:eastAsia="Calibri" w:hAnsi="Calibri" w:cs="Calibri"/>
          <w:szCs w:val="20"/>
        </w:rPr>
        <w:t xml:space="preserve">the </w:t>
      </w:r>
      <w:r w:rsidR="00CF15C7">
        <w:rPr>
          <w:rFonts w:ascii="Calibri" w:eastAsia="Calibri" w:hAnsi="Calibri" w:cs="Calibri"/>
          <w:szCs w:val="20"/>
        </w:rPr>
        <w:t xml:space="preserve">Family Law Instruments and other affected instruments </w:t>
      </w:r>
      <w:r>
        <w:rPr>
          <w:rFonts w:ascii="Calibri" w:eastAsia="Calibri" w:hAnsi="Calibri" w:cs="Calibri"/>
          <w:szCs w:val="20"/>
        </w:rPr>
        <w:t>to be amended or remade as necessary, and</w:t>
      </w:r>
    </w:p>
    <w:p w14:paraId="00EA8910" w14:textId="2A0E104B" w:rsidR="00C00CB1" w:rsidRDefault="00C00CB1" w:rsidP="00810E45">
      <w:pPr>
        <w:pStyle w:val="ListParagraph"/>
        <w:numPr>
          <w:ilvl w:val="0"/>
          <w:numId w:val="3"/>
        </w:numPr>
        <w:spacing w:after="0" w:line="240" w:lineRule="auto"/>
        <w:ind w:left="714" w:hanging="357"/>
        <w:contextualSpacing w:val="0"/>
        <w:outlineLvl w:val="1"/>
        <w:rPr>
          <w:rFonts w:ascii="Calibri" w:eastAsia="Calibri" w:hAnsi="Calibri" w:cs="Calibri"/>
          <w:szCs w:val="20"/>
        </w:rPr>
      </w:pPr>
      <w:r>
        <w:rPr>
          <w:rFonts w:ascii="Calibri" w:eastAsia="Calibri" w:hAnsi="Calibri" w:cs="Calibri"/>
          <w:szCs w:val="20"/>
        </w:rPr>
        <w:t xml:space="preserve">any required changes to administrative </w:t>
      </w:r>
      <w:r w:rsidR="00810E45">
        <w:rPr>
          <w:rFonts w:ascii="Calibri" w:eastAsia="Calibri" w:hAnsi="Calibri" w:cs="Calibri"/>
          <w:szCs w:val="20"/>
        </w:rPr>
        <w:t>processes to be implemented by s</w:t>
      </w:r>
      <w:r>
        <w:rPr>
          <w:rFonts w:ascii="Calibri" w:eastAsia="Calibri" w:hAnsi="Calibri" w:cs="Calibri"/>
          <w:szCs w:val="20"/>
        </w:rPr>
        <w:t>takeholders.</w:t>
      </w:r>
    </w:p>
    <w:p w14:paraId="235E134A" w14:textId="60AD4772" w:rsidR="001457E1" w:rsidRDefault="001457E1" w:rsidP="002D510A">
      <w:pPr>
        <w:spacing w:before="120" w:after="120" w:line="240" w:lineRule="auto"/>
        <w:outlineLvl w:val="1"/>
        <w:rPr>
          <w:rFonts w:ascii="Calibri" w:eastAsia="Calibri" w:hAnsi="Calibri" w:cs="Calibri"/>
          <w:szCs w:val="20"/>
        </w:rPr>
      </w:pPr>
      <w:r>
        <w:rPr>
          <w:rFonts w:ascii="Calibri" w:eastAsia="Calibri" w:hAnsi="Calibri" w:cs="Calibri"/>
          <w:szCs w:val="20"/>
        </w:rPr>
        <w:t xml:space="preserve">The ALRC will consult directly with the relevant stakeholders. How the consultation process will occur is a matter for the ALRC. </w:t>
      </w:r>
    </w:p>
    <w:p w14:paraId="44A88224" w14:textId="10823521" w:rsidR="00C00CB1" w:rsidRPr="00C00CB1" w:rsidRDefault="00C00CB1" w:rsidP="002D510A">
      <w:pPr>
        <w:spacing w:before="120" w:after="120" w:line="240" w:lineRule="auto"/>
        <w:outlineLvl w:val="1"/>
        <w:rPr>
          <w:rFonts w:ascii="Calibri" w:eastAsia="Calibri" w:hAnsi="Calibri" w:cs="Calibri"/>
          <w:szCs w:val="20"/>
        </w:rPr>
      </w:pPr>
      <w:r>
        <w:rPr>
          <w:rFonts w:ascii="Calibri" w:eastAsia="Calibri" w:hAnsi="Calibri" w:cs="Calibri"/>
          <w:szCs w:val="20"/>
        </w:rPr>
        <w:t>Th</w:t>
      </w:r>
      <w:r w:rsidR="00CF15C7">
        <w:rPr>
          <w:rFonts w:ascii="Calibri" w:eastAsia="Calibri" w:hAnsi="Calibri" w:cs="Calibri"/>
          <w:szCs w:val="20"/>
        </w:rPr>
        <w:t>is</w:t>
      </w:r>
      <w:r>
        <w:rPr>
          <w:rFonts w:ascii="Calibri" w:eastAsia="Calibri" w:hAnsi="Calibri" w:cs="Calibri"/>
          <w:szCs w:val="20"/>
        </w:rPr>
        <w:t xml:space="preserve"> declaration is a legislative instrument and</w:t>
      </w:r>
      <w:r w:rsidR="001E784D">
        <w:rPr>
          <w:rFonts w:ascii="Calibri" w:eastAsia="Calibri" w:hAnsi="Calibri" w:cs="Calibri"/>
          <w:szCs w:val="20"/>
        </w:rPr>
        <w:t xml:space="preserve"> a</w:t>
      </w:r>
      <w:r w:rsidR="00CF15C7">
        <w:rPr>
          <w:rFonts w:ascii="Calibri" w:eastAsia="Calibri" w:hAnsi="Calibri" w:cs="Calibri"/>
          <w:szCs w:val="20"/>
        </w:rPr>
        <w:t xml:space="preserve">s </w:t>
      </w:r>
      <w:r>
        <w:rPr>
          <w:rFonts w:ascii="Calibri" w:eastAsia="Calibri" w:hAnsi="Calibri" w:cs="Calibri"/>
          <w:szCs w:val="20"/>
        </w:rPr>
        <w:t xml:space="preserve">such </w:t>
      </w:r>
      <w:r w:rsidR="00CF15C7">
        <w:rPr>
          <w:rFonts w:ascii="Calibri" w:eastAsia="Calibri" w:hAnsi="Calibri" w:cs="Calibri"/>
          <w:szCs w:val="20"/>
        </w:rPr>
        <w:t xml:space="preserve">it </w:t>
      </w:r>
      <w:r>
        <w:rPr>
          <w:rFonts w:ascii="Calibri" w:eastAsia="Calibri" w:hAnsi="Calibri" w:cs="Calibri"/>
          <w:szCs w:val="20"/>
        </w:rPr>
        <w:t xml:space="preserve">must be registered on the Federal Register of Legislation and laid before each House of Parliament no later than six sitting days after that registration. It is subject to the disallowance provisions of the Legislation Act. </w:t>
      </w:r>
    </w:p>
    <w:p w14:paraId="6EE4CDFE" w14:textId="77777777" w:rsidR="00566C9A" w:rsidRDefault="00566C9A" w:rsidP="002D510A">
      <w:pPr>
        <w:spacing w:before="120" w:after="120" w:line="240" w:lineRule="auto"/>
        <w:rPr>
          <w:b/>
        </w:rPr>
      </w:pPr>
      <w:r>
        <w:rPr>
          <w:b/>
        </w:rPr>
        <w:t>More information</w:t>
      </w:r>
    </w:p>
    <w:p w14:paraId="6EE4CDFF" w14:textId="77777777" w:rsidR="00E63A8F" w:rsidRPr="00E63A8F" w:rsidRDefault="00E63A8F" w:rsidP="002D510A">
      <w:pPr>
        <w:spacing w:before="120" w:after="120" w:line="240" w:lineRule="auto"/>
        <w:rPr>
          <w:rFonts w:ascii="Calibri" w:eastAsia="Calibri" w:hAnsi="Calibri" w:cs="Calibri"/>
          <w:szCs w:val="20"/>
          <w:highlight w:val="cyan"/>
        </w:rPr>
      </w:pPr>
      <w:r w:rsidRPr="00E63A8F">
        <w:rPr>
          <w:rFonts w:ascii="Calibri" w:eastAsia="Calibri" w:hAnsi="Calibri" w:cs="Calibri"/>
          <w:szCs w:val="20"/>
        </w:rPr>
        <w:t xml:space="preserve">Further details regarding this declaration are set out in </w:t>
      </w:r>
      <w:r w:rsidRPr="00E63A8F">
        <w:rPr>
          <w:rFonts w:ascii="Calibri" w:eastAsia="Calibri" w:hAnsi="Calibri" w:cs="Calibri"/>
          <w:szCs w:val="20"/>
          <w:u w:val="single"/>
        </w:rPr>
        <w:t>Attachment A</w:t>
      </w:r>
      <w:r w:rsidRPr="00E63A8F">
        <w:rPr>
          <w:rFonts w:ascii="Calibri" w:eastAsia="Calibri" w:hAnsi="Calibri" w:cs="Calibri"/>
          <w:szCs w:val="20"/>
        </w:rPr>
        <w:t>.</w:t>
      </w:r>
    </w:p>
    <w:p w14:paraId="6EE4CE00" w14:textId="3B50F167" w:rsidR="00E63A8F" w:rsidRDefault="00E63A8F" w:rsidP="002D510A">
      <w:pPr>
        <w:spacing w:before="120" w:after="120" w:line="240" w:lineRule="auto"/>
        <w:rPr>
          <w:rFonts w:ascii="Calibri" w:eastAsia="Calibri" w:hAnsi="Calibri" w:cs="Calibri"/>
          <w:color w:val="000000"/>
          <w:szCs w:val="20"/>
        </w:rPr>
      </w:pPr>
      <w:r w:rsidRPr="00E63A8F">
        <w:rPr>
          <w:rFonts w:ascii="Calibri" w:eastAsia="Calibri" w:hAnsi="Calibri" w:cs="Calibri"/>
          <w:color w:val="000000"/>
          <w:szCs w:val="20"/>
        </w:rPr>
        <w:t>A copy of each instrument which is the subject of this declaratio</w:t>
      </w:r>
      <w:r w:rsidR="00C165C4">
        <w:rPr>
          <w:rFonts w:ascii="Calibri" w:eastAsia="Calibri" w:hAnsi="Calibri" w:cs="Calibri"/>
          <w:color w:val="000000"/>
          <w:szCs w:val="20"/>
        </w:rPr>
        <w:t>n, and which will now sunset on</w:t>
      </w:r>
      <w:r w:rsidR="00C165C4">
        <w:rPr>
          <w:rFonts w:ascii="Calibri" w:eastAsia="Calibri" w:hAnsi="Calibri" w:cs="Calibri"/>
          <w:szCs w:val="20"/>
        </w:rPr>
        <w:t xml:space="preserve"> </w:t>
      </w:r>
      <w:r w:rsidR="00CF15C7">
        <w:rPr>
          <w:rFonts w:ascii="Calibri" w:eastAsia="Calibri" w:hAnsi="Calibri" w:cs="Calibri"/>
          <w:szCs w:val="20"/>
        </w:rPr>
        <w:t>1 </w:t>
      </w:r>
      <w:r w:rsidR="00C165C4">
        <w:rPr>
          <w:rFonts w:ascii="Calibri" w:eastAsia="Calibri" w:hAnsi="Calibri" w:cs="Calibri"/>
          <w:szCs w:val="20"/>
        </w:rPr>
        <w:t>April 2023</w:t>
      </w:r>
      <w:r w:rsidRPr="00E63A8F">
        <w:rPr>
          <w:rFonts w:ascii="Calibri" w:eastAsia="Calibri" w:hAnsi="Calibri" w:cs="Calibri"/>
          <w:color w:val="000000"/>
          <w:szCs w:val="20"/>
        </w:rPr>
        <w:t>, is available on the Federal Register of Legislation</w:t>
      </w:r>
      <w:r w:rsidRPr="00E63A8F">
        <w:rPr>
          <w:rFonts w:ascii="Times New Roman" w:eastAsia="Calibri" w:hAnsi="Times New Roman" w:cs="Times New Roman"/>
          <w:szCs w:val="20"/>
        </w:rPr>
        <w:fldChar w:fldCharType="begin"/>
      </w:r>
      <w:r w:rsidRPr="00E63A8F">
        <w:rPr>
          <w:rFonts w:ascii="Calibri" w:eastAsia="Calibri" w:hAnsi="Calibri" w:cs="Calibri"/>
          <w:szCs w:val="20"/>
        </w:rPr>
        <w:instrText>http://www.comlaw.gov.au/</w:instrText>
      </w:r>
      <w:r w:rsidRPr="00E63A8F">
        <w:rPr>
          <w:rFonts w:ascii="Times New Roman" w:eastAsia="Calibri" w:hAnsi="Times New Roman" w:cs="Times New Roman"/>
          <w:szCs w:val="20"/>
        </w:rPr>
        <w:fldChar w:fldCharType="separate"/>
      </w:r>
      <w:r w:rsidRPr="00E63A8F">
        <w:rPr>
          <w:rFonts w:ascii="Calibri" w:eastAsia="Calibri" w:hAnsi="Calibri" w:cs="Times New Roman"/>
          <w:color w:val="000000"/>
          <w:szCs w:val="20"/>
          <w:u w:val="single"/>
        </w:rPr>
        <w:t>http://www.comlaw.gov.au</w:t>
      </w:r>
      <w:r w:rsidRPr="00E63A8F">
        <w:rPr>
          <w:rFonts w:ascii="Calibri" w:eastAsia="Calibri" w:hAnsi="Calibri" w:cs="Calibri"/>
          <w:color w:val="000000"/>
          <w:szCs w:val="20"/>
          <w:u w:val="single"/>
        </w:rPr>
        <w:fldChar w:fldCharType="end"/>
      </w:r>
      <w:r w:rsidRPr="00E63A8F">
        <w:rPr>
          <w:rFonts w:ascii="Calibri" w:eastAsia="Calibri" w:hAnsi="Calibri" w:cs="Calibri"/>
          <w:color w:val="000000"/>
          <w:szCs w:val="20"/>
        </w:rPr>
        <w:t xml:space="preserve">. </w:t>
      </w:r>
    </w:p>
    <w:p w14:paraId="529F716D" w14:textId="71DED6EC" w:rsidR="0070221E" w:rsidRDefault="0070221E" w:rsidP="002D510A">
      <w:pPr>
        <w:spacing w:before="120" w:after="120" w:line="240" w:lineRule="auto"/>
        <w:rPr>
          <w:rFonts w:ascii="Calibri" w:eastAsia="Calibri" w:hAnsi="Calibri" w:cs="Calibri"/>
          <w:color w:val="000000"/>
          <w:szCs w:val="20"/>
        </w:rPr>
      </w:pPr>
      <w:r w:rsidRPr="0070221E">
        <w:rPr>
          <w:rFonts w:ascii="Calibri" w:eastAsia="Calibri" w:hAnsi="Calibri" w:cs="Calibri"/>
          <w:color w:val="000000"/>
          <w:szCs w:val="20"/>
        </w:rPr>
        <w:t>Further information about the operation of this instrument may also be requested from the Attorney-General’s Department.</w:t>
      </w:r>
    </w:p>
    <w:p w14:paraId="6EE4CE01" w14:textId="20580D8F" w:rsidR="00566C9A" w:rsidRDefault="00566C9A" w:rsidP="002D510A">
      <w:pPr>
        <w:tabs>
          <w:tab w:val="center" w:pos="4513"/>
        </w:tabs>
        <w:spacing w:before="120" w:after="120" w:line="240" w:lineRule="auto"/>
        <w:rPr>
          <w:b/>
        </w:rPr>
      </w:pPr>
      <w:r>
        <w:rPr>
          <w:b/>
        </w:rPr>
        <w:br w:type="page"/>
      </w:r>
    </w:p>
    <w:p w14:paraId="6EE4CE02" w14:textId="77777777" w:rsidR="00566C9A" w:rsidRPr="00B44A21" w:rsidRDefault="00566C9A" w:rsidP="002D510A">
      <w:pPr>
        <w:spacing w:before="120" w:after="120" w:line="240" w:lineRule="auto"/>
        <w:jc w:val="right"/>
        <w:rPr>
          <w:b/>
          <w:sz w:val="28"/>
          <w:szCs w:val="28"/>
          <w:u w:val="single"/>
        </w:rPr>
      </w:pPr>
      <w:r w:rsidRPr="00B44A21">
        <w:rPr>
          <w:b/>
          <w:sz w:val="28"/>
          <w:szCs w:val="28"/>
          <w:u w:val="single"/>
        </w:rPr>
        <w:lastRenderedPageBreak/>
        <w:t>ATTACHMENT A</w:t>
      </w:r>
    </w:p>
    <w:p w14:paraId="6EE4CE03" w14:textId="77777777" w:rsidR="00566C9A" w:rsidRDefault="00566C9A" w:rsidP="002D510A">
      <w:pPr>
        <w:spacing w:before="120" w:after="120" w:line="240" w:lineRule="auto"/>
        <w:rPr>
          <w:b/>
          <w:sz w:val="24"/>
          <w:szCs w:val="24"/>
        </w:rPr>
      </w:pPr>
      <w:r>
        <w:rPr>
          <w:b/>
          <w:sz w:val="24"/>
          <w:szCs w:val="24"/>
        </w:rPr>
        <w:t>NOTES ON THE DECLARATION</w:t>
      </w:r>
    </w:p>
    <w:p w14:paraId="6EE4CE04" w14:textId="77777777" w:rsidR="00566C9A" w:rsidRDefault="00566C9A" w:rsidP="002D510A">
      <w:pPr>
        <w:spacing w:before="120" w:after="120" w:line="240" w:lineRule="auto"/>
        <w:rPr>
          <w:b/>
          <w:sz w:val="24"/>
          <w:szCs w:val="24"/>
        </w:rPr>
      </w:pPr>
      <w:r>
        <w:rPr>
          <w:b/>
          <w:sz w:val="24"/>
          <w:szCs w:val="24"/>
        </w:rPr>
        <w:t>Section 1</w:t>
      </w:r>
      <w:r>
        <w:rPr>
          <w:b/>
          <w:sz w:val="24"/>
          <w:szCs w:val="24"/>
        </w:rPr>
        <w:tab/>
        <w:t>Name</w:t>
      </w:r>
    </w:p>
    <w:p w14:paraId="6EE4CE05" w14:textId="2B49CFD1" w:rsidR="00E63A8F" w:rsidRDefault="00E63A8F" w:rsidP="002D510A">
      <w:pPr>
        <w:spacing w:before="120" w:after="120" w:line="240" w:lineRule="auto"/>
      </w:pPr>
      <w:r w:rsidRPr="00E63A8F">
        <w:t xml:space="preserve">This section provides the declaration to be named the </w:t>
      </w:r>
      <w:r w:rsidR="00F04E1C">
        <w:rPr>
          <w:i/>
        </w:rPr>
        <w:t>Legislation (Family Law Instruments) Sunset</w:t>
      </w:r>
      <w:r w:rsidR="009A0D95">
        <w:rPr>
          <w:i/>
        </w:rPr>
        <w:noBreakHyphen/>
      </w:r>
      <w:r w:rsidR="00F04E1C">
        <w:rPr>
          <w:i/>
        </w:rPr>
        <w:t xml:space="preserve">altering Declaration </w:t>
      </w:r>
      <w:r w:rsidR="00F04E1C" w:rsidRPr="00F04E1C">
        <w:t>2018</w:t>
      </w:r>
      <w:r w:rsidR="00F04E1C">
        <w:t xml:space="preserve">. </w:t>
      </w:r>
      <w:r w:rsidRPr="00F04E1C">
        <w:t>The</w:t>
      </w:r>
      <w:r w:rsidRPr="00E63A8F">
        <w:t xml:space="preserve"> declaration may be cited by that name.</w:t>
      </w:r>
    </w:p>
    <w:p w14:paraId="65A917C8" w14:textId="64ECBBA6" w:rsidR="00F04E1C" w:rsidRDefault="00F04E1C" w:rsidP="002D510A">
      <w:pPr>
        <w:spacing w:before="120" w:after="120" w:line="240" w:lineRule="auto"/>
        <w:rPr>
          <w:b/>
          <w:sz w:val="24"/>
          <w:szCs w:val="24"/>
        </w:rPr>
      </w:pPr>
      <w:r w:rsidRPr="00F04E1C">
        <w:rPr>
          <w:b/>
          <w:sz w:val="24"/>
          <w:szCs w:val="24"/>
        </w:rPr>
        <w:t>Section 2</w:t>
      </w:r>
      <w:r>
        <w:rPr>
          <w:b/>
          <w:sz w:val="24"/>
          <w:szCs w:val="24"/>
        </w:rPr>
        <w:tab/>
        <w:t>Commencement</w:t>
      </w:r>
    </w:p>
    <w:p w14:paraId="2F830876" w14:textId="76D9607D" w:rsidR="00F04E1C" w:rsidRPr="00F04E1C" w:rsidRDefault="00BD3753" w:rsidP="002D510A">
      <w:pPr>
        <w:spacing w:before="120" w:after="120" w:line="240" w:lineRule="auto"/>
      </w:pPr>
      <w:r>
        <w:t>This section outlines</w:t>
      </w:r>
      <w:r w:rsidR="00F04E1C">
        <w:t xml:space="preserve"> that the whole of the </w:t>
      </w:r>
      <w:r w:rsidR="00F04E1C">
        <w:rPr>
          <w:i/>
        </w:rPr>
        <w:t xml:space="preserve">Legislation (Family Law Instruments) Sunset-altering Declaration 2018 </w:t>
      </w:r>
      <w:r>
        <w:t xml:space="preserve">commences or is </w:t>
      </w:r>
      <w:r w:rsidR="00F04E1C">
        <w:t>taken to have commenced on the day after this instrument was registered.</w:t>
      </w:r>
    </w:p>
    <w:p w14:paraId="0FC07247" w14:textId="62E8A9D5" w:rsidR="00F04E1C" w:rsidRDefault="00F04E1C" w:rsidP="002D510A">
      <w:pPr>
        <w:spacing w:before="120" w:after="120" w:line="240" w:lineRule="auto"/>
        <w:rPr>
          <w:b/>
          <w:sz w:val="24"/>
          <w:szCs w:val="24"/>
        </w:rPr>
      </w:pPr>
      <w:r>
        <w:rPr>
          <w:b/>
          <w:sz w:val="24"/>
          <w:szCs w:val="24"/>
        </w:rPr>
        <w:t>Section 3</w:t>
      </w:r>
      <w:r>
        <w:rPr>
          <w:b/>
          <w:sz w:val="24"/>
          <w:szCs w:val="24"/>
        </w:rPr>
        <w:tab/>
        <w:t>Authority</w:t>
      </w:r>
    </w:p>
    <w:p w14:paraId="368F7D64" w14:textId="49B63EC5" w:rsidR="00F04E1C" w:rsidRPr="00BD3753" w:rsidRDefault="00BD3753" w:rsidP="002D510A">
      <w:pPr>
        <w:spacing w:before="120" w:after="120" w:line="240" w:lineRule="auto"/>
      </w:pPr>
      <w:r>
        <w:t>This section</w:t>
      </w:r>
      <w:r w:rsidR="003F2391">
        <w:t xml:space="preserve"> provides</w:t>
      </w:r>
      <w:r>
        <w:t xml:space="preserve"> that the </w:t>
      </w:r>
      <w:r>
        <w:rPr>
          <w:i/>
        </w:rPr>
        <w:t xml:space="preserve">Legislation (Family Law Instruments) Sunset-altering Declaration 2018 </w:t>
      </w:r>
      <w:r>
        <w:t xml:space="preserve">is made under subsection 51A(1) of the </w:t>
      </w:r>
      <w:r>
        <w:rPr>
          <w:i/>
        </w:rPr>
        <w:t xml:space="preserve">Legislation Act 2003. </w:t>
      </w:r>
    </w:p>
    <w:p w14:paraId="39BEAC66" w14:textId="232098A9" w:rsidR="00F04E1C" w:rsidRDefault="00F04E1C" w:rsidP="002D510A">
      <w:pPr>
        <w:spacing w:before="120" w:after="120" w:line="240" w:lineRule="auto"/>
        <w:rPr>
          <w:b/>
          <w:sz w:val="24"/>
          <w:szCs w:val="24"/>
        </w:rPr>
      </w:pPr>
      <w:r w:rsidRPr="00F04E1C">
        <w:rPr>
          <w:b/>
          <w:sz w:val="24"/>
          <w:szCs w:val="24"/>
        </w:rPr>
        <w:t>Section 4</w:t>
      </w:r>
      <w:r w:rsidRPr="00F04E1C">
        <w:rPr>
          <w:b/>
          <w:sz w:val="24"/>
          <w:szCs w:val="24"/>
        </w:rPr>
        <w:tab/>
      </w:r>
      <w:r>
        <w:rPr>
          <w:b/>
          <w:sz w:val="24"/>
          <w:szCs w:val="24"/>
        </w:rPr>
        <w:t>Repeal of family law instruments to facilitate review etc.</w:t>
      </w:r>
    </w:p>
    <w:p w14:paraId="193CA002" w14:textId="507B66F7" w:rsidR="00BD3753" w:rsidRDefault="00BD3753" w:rsidP="002D510A">
      <w:pPr>
        <w:spacing w:before="120" w:after="120" w:line="240" w:lineRule="auto"/>
      </w:pPr>
      <w:r>
        <w:t>This section provides that the following instruments are repealed on 1 April 2023:</w:t>
      </w:r>
    </w:p>
    <w:p w14:paraId="786B8E1E" w14:textId="72C50973" w:rsidR="00BD3753" w:rsidRPr="00BD3753" w:rsidRDefault="00BD3753" w:rsidP="00810E45">
      <w:pPr>
        <w:numPr>
          <w:ilvl w:val="0"/>
          <w:numId w:val="5"/>
        </w:numPr>
        <w:spacing w:after="0" w:line="240" w:lineRule="auto"/>
        <w:ind w:left="1888" w:hanging="357"/>
        <w:rPr>
          <w:rFonts w:eastAsia="Calibri" w:cs="Times New Roman"/>
        </w:rPr>
      </w:pPr>
      <w:r w:rsidRPr="00BD3753">
        <w:rPr>
          <w:rFonts w:eastAsia="Calibri" w:cs="Times New Roman"/>
        </w:rPr>
        <w:t xml:space="preserve">the </w:t>
      </w:r>
      <w:r w:rsidRPr="00BD3753">
        <w:rPr>
          <w:rFonts w:eastAsia="Calibri" w:cs="Times New Roman"/>
          <w:i/>
        </w:rPr>
        <w:t>Family Law (Bilateral Arrangements</w:t>
      </w:r>
      <w:r w:rsidR="003F2391" w:rsidRPr="002D2AAB">
        <w:rPr>
          <w:i/>
          <w:iCs/>
          <w:color w:val="000000"/>
          <w:shd w:val="clear" w:color="auto" w:fill="FFFFFF"/>
        </w:rPr>
        <w:t>—</w:t>
      </w:r>
      <w:r w:rsidRPr="00BD3753">
        <w:rPr>
          <w:rFonts w:eastAsia="Calibri" w:cs="Times New Roman"/>
          <w:i/>
        </w:rPr>
        <w:t xml:space="preserve">Intercountry Adoption) </w:t>
      </w:r>
      <w:r w:rsidR="003F2391" w:rsidRPr="00BD3753">
        <w:rPr>
          <w:rFonts w:eastAsia="Calibri" w:cs="Times New Roman"/>
          <w:i/>
        </w:rPr>
        <w:t>Regulations</w:t>
      </w:r>
      <w:r w:rsidR="003F2391">
        <w:rPr>
          <w:rFonts w:eastAsia="Calibri" w:cs="Times New Roman"/>
          <w:i/>
        </w:rPr>
        <w:t> </w:t>
      </w:r>
      <w:r w:rsidRPr="00BD3753">
        <w:rPr>
          <w:rFonts w:eastAsia="Calibri" w:cs="Times New Roman"/>
          <w:i/>
        </w:rPr>
        <w:t>1998;</w:t>
      </w:r>
    </w:p>
    <w:p w14:paraId="51381626" w14:textId="77777777" w:rsidR="00BD3753" w:rsidRPr="00BD3753" w:rsidRDefault="00BD3753" w:rsidP="00810E45">
      <w:pPr>
        <w:numPr>
          <w:ilvl w:val="0"/>
          <w:numId w:val="5"/>
        </w:numPr>
        <w:tabs>
          <w:tab w:val="right" w:pos="1531"/>
        </w:tabs>
        <w:spacing w:after="0" w:line="240" w:lineRule="auto"/>
        <w:ind w:left="1888" w:hanging="357"/>
        <w:rPr>
          <w:rFonts w:eastAsia="Calibri" w:cs="Times New Roman"/>
        </w:rPr>
      </w:pPr>
      <w:r w:rsidRPr="00BD3753">
        <w:rPr>
          <w:rFonts w:eastAsia="Calibri" w:cs="Times New Roman"/>
        </w:rPr>
        <w:t xml:space="preserve">the </w:t>
      </w:r>
      <w:r w:rsidRPr="00BD3753">
        <w:rPr>
          <w:rFonts w:eastAsia="Calibri" w:cs="Times New Roman"/>
          <w:i/>
        </w:rPr>
        <w:t>Federal Circuit Court Rules 2001</w:t>
      </w:r>
      <w:r w:rsidRPr="00BD3753">
        <w:rPr>
          <w:rFonts w:eastAsia="Calibri" w:cs="Times New Roman"/>
        </w:rPr>
        <w:t xml:space="preserve">; </w:t>
      </w:r>
    </w:p>
    <w:p w14:paraId="6FB69661" w14:textId="77777777" w:rsidR="00BD3753" w:rsidRPr="00BD3753" w:rsidRDefault="00BD3753" w:rsidP="00810E45">
      <w:pPr>
        <w:numPr>
          <w:ilvl w:val="0"/>
          <w:numId w:val="5"/>
        </w:numPr>
        <w:tabs>
          <w:tab w:val="right" w:pos="1531"/>
        </w:tabs>
        <w:spacing w:after="0" w:line="240" w:lineRule="auto"/>
        <w:ind w:left="1888" w:hanging="357"/>
        <w:rPr>
          <w:rFonts w:eastAsia="Calibri" w:cs="Times New Roman"/>
        </w:rPr>
      </w:pPr>
      <w:r w:rsidRPr="00BD3753">
        <w:rPr>
          <w:rFonts w:eastAsia="Calibri" w:cs="Times New Roman"/>
        </w:rPr>
        <w:t xml:space="preserve">the </w:t>
      </w:r>
      <w:r w:rsidRPr="00BD3753">
        <w:rPr>
          <w:rFonts w:eastAsia="Calibri" w:cs="Times New Roman"/>
          <w:i/>
        </w:rPr>
        <w:t>Family Law (Family Dispute Resolution Practitioners) Regulations 2008</w:t>
      </w:r>
      <w:r w:rsidRPr="00BD3753">
        <w:rPr>
          <w:rFonts w:eastAsia="Calibri" w:cs="Times New Roman"/>
        </w:rPr>
        <w:t>;</w:t>
      </w:r>
    </w:p>
    <w:p w14:paraId="4AB3FAA1" w14:textId="77777777" w:rsidR="00BD3753" w:rsidRPr="00BD3753" w:rsidRDefault="00BD3753" w:rsidP="00810E45">
      <w:pPr>
        <w:numPr>
          <w:ilvl w:val="0"/>
          <w:numId w:val="5"/>
        </w:numPr>
        <w:tabs>
          <w:tab w:val="right" w:pos="1531"/>
        </w:tabs>
        <w:spacing w:after="0" w:line="240" w:lineRule="auto"/>
        <w:ind w:left="1888" w:hanging="357"/>
        <w:rPr>
          <w:rFonts w:eastAsia="Calibri" w:cs="Times New Roman"/>
        </w:rPr>
      </w:pPr>
      <w:r w:rsidRPr="00BD3753">
        <w:rPr>
          <w:rFonts w:eastAsia="Calibri" w:cs="Times New Roman"/>
        </w:rPr>
        <w:t xml:space="preserve">the </w:t>
      </w:r>
      <w:r w:rsidRPr="00BD3753">
        <w:rPr>
          <w:rFonts w:eastAsia="Calibri" w:cs="Times New Roman"/>
          <w:i/>
        </w:rPr>
        <w:t>Family Law Regulations 1984</w:t>
      </w:r>
      <w:r w:rsidRPr="00BD3753">
        <w:rPr>
          <w:rFonts w:eastAsia="Calibri" w:cs="Times New Roman"/>
        </w:rPr>
        <w:t>;</w:t>
      </w:r>
    </w:p>
    <w:p w14:paraId="75A2C1D6" w14:textId="1F26B177" w:rsidR="00BD3753" w:rsidRPr="00BD3753" w:rsidRDefault="00BD3753" w:rsidP="00810E45">
      <w:pPr>
        <w:numPr>
          <w:ilvl w:val="0"/>
          <w:numId w:val="5"/>
        </w:numPr>
        <w:tabs>
          <w:tab w:val="right" w:pos="1531"/>
        </w:tabs>
        <w:spacing w:after="0" w:line="240" w:lineRule="auto"/>
        <w:ind w:left="1888" w:hanging="357"/>
        <w:rPr>
          <w:rFonts w:eastAsia="Calibri" w:cs="Times New Roman"/>
        </w:rPr>
      </w:pPr>
      <w:r w:rsidRPr="00BD3753">
        <w:rPr>
          <w:rFonts w:eastAsia="Calibri" w:cs="Times New Roman"/>
        </w:rPr>
        <w:t xml:space="preserve">the </w:t>
      </w:r>
      <w:r w:rsidRPr="00BD3753">
        <w:rPr>
          <w:rFonts w:eastAsia="Calibri" w:cs="Times New Roman"/>
          <w:i/>
        </w:rPr>
        <w:t>Family Law Rules 2004</w:t>
      </w:r>
      <w:r w:rsidRPr="00BD3753">
        <w:rPr>
          <w:rFonts w:eastAsia="Calibri" w:cs="Times New Roman"/>
        </w:rPr>
        <w:t>;</w:t>
      </w:r>
    </w:p>
    <w:p w14:paraId="6EF4F960" w14:textId="206B0522" w:rsidR="00BD3753" w:rsidRPr="00810E45" w:rsidRDefault="00BD3753" w:rsidP="00810E45">
      <w:pPr>
        <w:numPr>
          <w:ilvl w:val="0"/>
          <w:numId w:val="5"/>
        </w:numPr>
        <w:tabs>
          <w:tab w:val="right" w:pos="1531"/>
        </w:tabs>
        <w:spacing w:after="0" w:line="240" w:lineRule="auto"/>
        <w:ind w:left="1888" w:hanging="357"/>
        <w:rPr>
          <w:rFonts w:eastAsia="Calibri" w:cs="Times New Roman"/>
        </w:rPr>
      </w:pPr>
      <w:r w:rsidRPr="00BD3753">
        <w:rPr>
          <w:rFonts w:eastAsia="Calibri" w:cs="Times New Roman"/>
        </w:rPr>
        <w:t xml:space="preserve">the </w:t>
      </w:r>
      <w:r w:rsidRPr="00BD3753">
        <w:rPr>
          <w:rFonts w:eastAsia="Calibri" w:cs="Times New Roman"/>
          <w:i/>
        </w:rPr>
        <w:t>Family Law (Superannuation) Regulations 2001</w:t>
      </w:r>
      <w:r w:rsidRPr="00BD3753">
        <w:rPr>
          <w:rFonts w:eastAsia="Calibri" w:cs="Times New Roman"/>
        </w:rPr>
        <w:t>.</w:t>
      </w:r>
    </w:p>
    <w:p w14:paraId="7EB1F4F4" w14:textId="77F4797E" w:rsidR="00BD3753" w:rsidRPr="00810E45" w:rsidRDefault="007B6F99" w:rsidP="002D510A">
      <w:pPr>
        <w:tabs>
          <w:tab w:val="right" w:pos="1531"/>
        </w:tabs>
        <w:spacing w:before="120" w:after="120" w:line="240" w:lineRule="auto"/>
        <w:rPr>
          <w:rFonts w:eastAsia="Calibri" w:cs="Times New Roman"/>
        </w:rPr>
      </w:pPr>
      <w:r>
        <w:rPr>
          <w:rFonts w:eastAsia="Calibri" w:cs="Times New Roman"/>
        </w:rPr>
        <w:t xml:space="preserve">These </w:t>
      </w:r>
      <w:r w:rsidR="00BD3753">
        <w:rPr>
          <w:rFonts w:eastAsia="Calibri" w:cs="Times New Roman"/>
        </w:rPr>
        <w:t xml:space="preserve">instruments would otherwise have sunset between 1 April 2018 and </w:t>
      </w:r>
      <w:r w:rsidR="0001316B">
        <w:rPr>
          <w:rFonts w:eastAsia="Calibri" w:cs="Times New Roman"/>
        </w:rPr>
        <w:t xml:space="preserve">1 April </w:t>
      </w:r>
      <w:r w:rsidR="006702C7">
        <w:rPr>
          <w:rFonts w:eastAsia="Calibri" w:cs="Times New Roman"/>
        </w:rPr>
        <w:t>2020</w:t>
      </w:r>
      <w:r w:rsidR="0001316B">
        <w:rPr>
          <w:rFonts w:eastAsia="Calibri" w:cs="Times New Roman"/>
        </w:rPr>
        <w:t>.</w:t>
      </w:r>
      <w:r w:rsidR="007B7F07">
        <w:rPr>
          <w:rFonts w:eastAsia="Calibri" w:cs="Times New Roman"/>
        </w:rPr>
        <w:t xml:space="preserve"> </w:t>
      </w:r>
    </w:p>
    <w:p w14:paraId="07FD7FE8" w14:textId="08A7D37A" w:rsidR="00F04E1C" w:rsidRDefault="00F04E1C" w:rsidP="002D510A">
      <w:pPr>
        <w:spacing w:before="120" w:after="120" w:line="240" w:lineRule="auto"/>
        <w:rPr>
          <w:b/>
          <w:sz w:val="24"/>
          <w:szCs w:val="24"/>
        </w:rPr>
      </w:pPr>
      <w:r>
        <w:rPr>
          <w:b/>
          <w:sz w:val="24"/>
          <w:szCs w:val="24"/>
        </w:rPr>
        <w:t>Section 5</w:t>
      </w:r>
      <w:r>
        <w:rPr>
          <w:b/>
          <w:sz w:val="24"/>
          <w:szCs w:val="24"/>
        </w:rPr>
        <w:tab/>
        <w:t>Repeal of this instrument</w:t>
      </w:r>
    </w:p>
    <w:p w14:paraId="6EE4CE0F" w14:textId="215D7A9D" w:rsidR="00566C9A" w:rsidRPr="00810E45" w:rsidRDefault="00F04E1C" w:rsidP="002D510A">
      <w:pPr>
        <w:spacing w:before="120" w:after="120" w:line="240" w:lineRule="auto"/>
        <w:rPr>
          <w:b/>
          <w:sz w:val="24"/>
          <w:szCs w:val="24"/>
        </w:rPr>
      </w:pPr>
      <w:r>
        <w:t xml:space="preserve">This section provides that the </w:t>
      </w:r>
      <w:r>
        <w:rPr>
          <w:i/>
        </w:rPr>
        <w:t xml:space="preserve">Legislation (Family Law Instruments) Sunset-altering declaration 2018 </w:t>
      </w:r>
      <w:r>
        <w:t>be repealed at the start of 2 April 2023.</w:t>
      </w:r>
      <w:r w:rsidR="0001316B">
        <w:t xml:space="preserve"> This ensures that the declaration remains in force only for as long as it is needed.</w:t>
      </w:r>
    </w:p>
    <w:sectPr w:rsidR="00566C9A" w:rsidRPr="00810E4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6F946" w14:textId="77777777" w:rsidR="00C00CB1" w:rsidRDefault="00C00CB1" w:rsidP="00C00CB1">
      <w:pPr>
        <w:spacing w:after="0" w:line="240" w:lineRule="auto"/>
      </w:pPr>
      <w:r>
        <w:separator/>
      </w:r>
    </w:p>
  </w:endnote>
  <w:endnote w:type="continuationSeparator" w:id="0">
    <w:p w14:paraId="57DCD39A" w14:textId="77777777" w:rsidR="00C00CB1" w:rsidRDefault="00C00CB1" w:rsidP="00C00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533974"/>
      <w:docPartObj>
        <w:docPartGallery w:val="Page Numbers (Bottom of Page)"/>
        <w:docPartUnique/>
      </w:docPartObj>
    </w:sdtPr>
    <w:sdtEndPr>
      <w:rPr>
        <w:noProof/>
      </w:rPr>
    </w:sdtEndPr>
    <w:sdtContent>
      <w:p w14:paraId="58FF19AF" w14:textId="2FD958A6" w:rsidR="00C00CB1" w:rsidRPr="00605A8B" w:rsidRDefault="00605A8B">
        <w:pPr>
          <w:pStyle w:val="Footer"/>
          <w:jc w:val="right"/>
          <w:rPr>
            <w:i/>
          </w:rPr>
        </w:pPr>
        <w:r>
          <w:rPr>
            <w:i/>
          </w:rPr>
          <w:t>Legislation (Family Law Instruments) Sunset-altering Declaration 2018</w:t>
        </w:r>
      </w:p>
      <w:p w14:paraId="6FFA7821" w14:textId="68D1ECDB" w:rsidR="00C00CB1" w:rsidRDefault="00C00CB1">
        <w:pPr>
          <w:pStyle w:val="Footer"/>
          <w:jc w:val="right"/>
        </w:pPr>
        <w:r>
          <w:t xml:space="preserve">Explanatory Statement page </w:t>
        </w:r>
        <w:r>
          <w:fldChar w:fldCharType="begin"/>
        </w:r>
        <w:r>
          <w:instrText xml:space="preserve"> PAGE   \* MERGEFORMAT </w:instrText>
        </w:r>
        <w:r>
          <w:fldChar w:fldCharType="separate"/>
        </w:r>
        <w:r w:rsidR="007360B1">
          <w:rPr>
            <w:noProof/>
          </w:rPr>
          <w:t>1</w:t>
        </w:r>
        <w:r>
          <w:rPr>
            <w:noProof/>
          </w:rPr>
          <w:fldChar w:fldCharType="end"/>
        </w:r>
        <w:r>
          <w:rPr>
            <w:noProof/>
          </w:rPr>
          <w:t xml:space="preserve"> of 4</w:t>
        </w:r>
      </w:p>
    </w:sdtContent>
  </w:sdt>
  <w:p w14:paraId="09D4E261" w14:textId="77CF8A53" w:rsidR="00C00CB1" w:rsidRPr="00C00CB1" w:rsidRDefault="00C00CB1" w:rsidP="00C00CB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CDE5C" w14:textId="77777777" w:rsidR="00C00CB1" w:rsidRDefault="00C00CB1" w:rsidP="00C00CB1">
      <w:pPr>
        <w:spacing w:after="0" w:line="240" w:lineRule="auto"/>
      </w:pPr>
      <w:r>
        <w:separator/>
      </w:r>
    </w:p>
  </w:footnote>
  <w:footnote w:type="continuationSeparator" w:id="0">
    <w:p w14:paraId="10C8271C" w14:textId="77777777" w:rsidR="00C00CB1" w:rsidRDefault="00C00CB1" w:rsidP="00C00C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5A"/>
    <w:multiLevelType w:val="hybridMultilevel"/>
    <w:tmpl w:val="477251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4AD057D6"/>
    <w:multiLevelType w:val="hybridMultilevel"/>
    <w:tmpl w:val="E2B60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C7B5F33"/>
    <w:multiLevelType w:val="hybridMultilevel"/>
    <w:tmpl w:val="CEEA96D0"/>
    <w:lvl w:ilvl="0" w:tplc="0C090001">
      <w:start w:val="1"/>
      <w:numFmt w:val="bullet"/>
      <w:lvlText w:val=""/>
      <w:lvlJc w:val="left"/>
      <w:pPr>
        <w:ind w:left="1891" w:hanging="360"/>
      </w:pPr>
      <w:rPr>
        <w:rFonts w:ascii="Symbol" w:hAnsi="Symbol"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3">
    <w:nsid w:val="5D1A6DA5"/>
    <w:multiLevelType w:val="hybridMultilevel"/>
    <w:tmpl w:val="33908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9BD2C65"/>
    <w:multiLevelType w:val="hybridMultilevel"/>
    <w:tmpl w:val="70B2F94A"/>
    <w:lvl w:ilvl="0" w:tplc="08DA10DC">
      <w:start w:val="1"/>
      <w:numFmt w:val="lowerLetter"/>
      <w:lvlText w:val="(%1)"/>
      <w:lvlJc w:val="left"/>
      <w:pPr>
        <w:ind w:left="1891" w:hanging="360"/>
      </w:pPr>
      <w:rPr>
        <w:rFonts w:ascii="Times New Roman" w:eastAsia="Calibri" w:hAnsi="Times New Roman" w:cs="Times New Roman"/>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C9A"/>
    <w:rsid w:val="0001316B"/>
    <w:rsid w:val="00041AE5"/>
    <w:rsid w:val="000C2494"/>
    <w:rsid w:val="00110202"/>
    <w:rsid w:val="0014220B"/>
    <w:rsid w:val="001457E1"/>
    <w:rsid w:val="00187947"/>
    <w:rsid w:val="00191B65"/>
    <w:rsid w:val="001E784D"/>
    <w:rsid w:val="001F381D"/>
    <w:rsid w:val="001F693C"/>
    <w:rsid w:val="002565D3"/>
    <w:rsid w:val="002D2AAB"/>
    <w:rsid w:val="002D510A"/>
    <w:rsid w:val="00333329"/>
    <w:rsid w:val="00356F02"/>
    <w:rsid w:val="003F2391"/>
    <w:rsid w:val="00416F0A"/>
    <w:rsid w:val="0043065F"/>
    <w:rsid w:val="004921E4"/>
    <w:rsid w:val="004F3EF3"/>
    <w:rsid w:val="00566C9A"/>
    <w:rsid w:val="005E48F0"/>
    <w:rsid w:val="005F2F0B"/>
    <w:rsid w:val="00605A8B"/>
    <w:rsid w:val="0062104C"/>
    <w:rsid w:val="00653A5C"/>
    <w:rsid w:val="006702C7"/>
    <w:rsid w:val="0070221E"/>
    <w:rsid w:val="007360B1"/>
    <w:rsid w:val="00745C0E"/>
    <w:rsid w:val="00750230"/>
    <w:rsid w:val="007926DD"/>
    <w:rsid w:val="00797416"/>
    <w:rsid w:val="007B6F99"/>
    <w:rsid w:val="007B7F07"/>
    <w:rsid w:val="007F5BE9"/>
    <w:rsid w:val="00810E45"/>
    <w:rsid w:val="00852464"/>
    <w:rsid w:val="009418CC"/>
    <w:rsid w:val="009A0D95"/>
    <w:rsid w:val="00A172F5"/>
    <w:rsid w:val="00A90367"/>
    <w:rsid w:val="00AA057D"/>
    <w:rsid w:val="00B44A21"/>
    <w:rsid w:val="00BD3753"/>
    <w:rsid w:val="00C00CB1"/>
    <w:rsid w:val="00C1260F"/>
    <w:rsid w:val="00C165C4"/>
    <w:rsid w:val="00C30BEC"/>
    <w:rsid w:val="00CF15C7"/>
    <w:rsid w:val="00D72888"/>
    <w:rsid w:val="00D77C18"/>
    <w:rsid w:val="00D93F6B"/>
    <w:rsid w:val="00DB1B94"/>
    <w:rsid w:val="00E63A8F"/>
    <w:rsid w:val="00E90982"/>
    <w:rsid w:val="00F04E1C"/>
    <w:rsid w:val="00F65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E4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text">
    <w:name w:val="Cell text"/>
    <w:basedOn w:val="Normal"/>
    <w:rsid w:val="00C00CB1"/>
    <w:pPr>
      <w:spacing w:before="120" w:after="0" w:line="240" w:lineRule="auto"/>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C00CB1"/>
    <w:pPr>
      <w:ind w:left="720"/>
      <w:contextualSpacing/>
    </w:pPr>
  </w:style>
  <w:style w:type="paragraph" w:styleId="Header">
    <w:name w:val="header"/>
    <w:basedOn w:val="Normal"/>
    <w:link w:val="HeaderChar"/>
    <w:uiPriority w:val="99"/>
    <w:unhideWhenUsed/>
    <w:rsid w:val="00C00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CB1"/>
  </w:style>
  <w:style w:type="paragraph" w:styleId="Footer">
    <w:name w:val="footer"/>
    <w:basedOn w:val="Normal"/>
    <w:link w:val="FooterChar"/>
    <w:uiPriority w:val="99"/>
    <w:unhideWhenUsed/>
    <w:rsid w:val="00C00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CB1"/>
  </w:style>
  <w:style w:type="paragraph" w:styleId="BalloonText">
    <w:name w:val="Balloon Text"/>
    <w:basedOn w:val="Normal"/>
    <w:link w:val="BalloonTextChar"/>
    <w:uiPriority w:val="99"/>
    <w:semiHidden/>
    <w:unhideWhenUsed/>
    <w:rsid w:val="002D2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A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text">
    <w:name w:val="Cell text"/>
    <w:basedOn w:val="Normal"/>
    <w:rsid w:val="00C00CB1"/>
    <w:pPr>
      <w:spacing w:before="120" w:after="0" w:line="240" w:lineRule="auto"/>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C00CB1"/>
    <w:pPr>
      <w:ind w:left="720"/>
      <w:contextualSpacing/>
    </w:pPr>
  </w:style>
  <w:style w:type="paragraph" w:styleId="Header">
    <w:name w:val="header"/>
    <w:basedOn w:val="Normal"/>
    <w:link w:val="HeaderChar"/>
    <w:uiPriority w:val="99"/>
    <w:unhideWhenUsed/>
    <w:rsid w:val="00C00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CB1"/>
  </w:style>
  <w:style w:type="paragraph" w:styleId="Footer">
    <w:name w:val="footer"/>
    <w:basedOn w:val="Normal"/>
    <w:link w:val="FooterChar"/>
    <w:uiPriority w:val="99"/>
    <w:unhideWhenUsed/>
    <w:rsid w:val="00C00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CB1"/>
  </w:style>
  <w:style w:type="paragraph" w:styleId="BalloonText">
    <w:name w:val="Balloon Text"/>
    <w:basedOn w:val="Normal"/>
    <w:link w:val="BalloonTextChar"/>
    <w:uiPriority w:val="99"/>
    <w:semiHidden/>
    <w:unhideWhenUsed/>
    <w:rsid w:val="002D2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A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16842">
      <w:bodyDiv w:val="1"/>
      <w:marLeft w:val="0"/>
      <w:marRight w:val="0"/>
      <w:marTop w:val="0"/>
      <w:marBottom w:val="0"/>
      <w:divBdr>
        <w:top w:val="none" w:sz="0" w:space="0" w:color="auto"/>
        <w:left w:val="none" w:sz="0" w:space="0" w:color="auto"/>
        <w:bottom w:val="none" w:sz="0" w:space="0" w:color="auto"/>
        <w:right w:val="none" w:sz="0" w:space="0" w:color="auto"/>
      </w:divBdr>
    </w:div>
    <w:div w:id="577253945">
      <w:bodyDiv w:val="1"/>
      <w:marLeft w:val="0"/>
      <w:marRight w:val="0"/>
      <w:marTop w:val="0"/>
      <w:marBottom w:val="0"/>
      <w:divBdr>
        <w:top w:val="none" w:sz="0" w:space="0" w:color="auto"/>
        <w:left w:val="none" w:sz="0" w:space="0" w:color="auto"/>
        <w:bottom w:val="none" w:sz="0" w:space="0" w:color="auto"/>
        <w:right w:val="none" w:sz="0" w:space="0" w:color="auto"/>
      </w:divBdr>
    </w:div>
    <w:div w:id="798188962">
      <w:bodyDiv w:val="1"/>
      <w:marLeft w:val="0"/>
      <w:marRight w:val="0"/>
      <w:marTop w:val="0"/>
      <w:marBottom w:val="0"/>
      <w:divBdr>
        <w:top w:val="none" w:sz="0" w:space="0" w:color="auto"/>
        <w:left w:val="none" w:sz="0" w:space="0" w:color="auto"/>
        <w:bottom w:val="none" w:sz="0" w:space="0" w:color="auto"/>
        <w:right w:val="none" w:sz="0" w:space="0" w:color="auto"/>
      </w:divBdr>
    </w:div>
    <w:div w:id="914247325">
      <w:bodyDiv w:val="1"/>
      <w:marLeft w:val="0"/>
      <w:marRight w:val="0"/>
      <w:marTop w:val="0"/>
      <w:marBottom w:val="0"/>
      <w:divBdr>
        <w:top w:val="none" w:sz="0" w:space="0" w:color="auto"/>
        <w:left w:val="none" w:sz="0" w:space="0" w:color="auto"/>
        <w:bottom w:val="none" w:sz="0" w:space="0" w:color="auto"/>
        <w:right w:val="none" w:sz="0" w:space="0" w:color="auto"/>
      </w:divBdr>
    </w:div>
    <w:div w:id="974338035">
      <w:bodyDiv w:val="1"/>
      <w:marLeft w:val="0"/>
      <w:marRight w:val="0"/>
      <w:marTop w:val="0"/>
      <w:marBottom w:val="0"/>
      <w:divBdr>
        <w:top w:val="none" w:sz="0" w:space="0" w:color="auto"/>
        <w:left w:val="none" w:sz="0" w:space="0" w:color="auto"/>
        <w:bottom w:val="none" w:sz="0" w:space="0" w:color="auto"/>
        <w:right w:val="none" w:sz="0" w:space="0" w:color="auto"/>
      </w:divBdr>
    </w:div>
    <w:div w:id="1112869485">
      <w:bodyDiv w:val="1"/>
      <w:marLeft w:val="0"/>
      <w:marRight w:val="0"/>
      <w:marTop w:val="0"/>
      <w:marBottom w:val="0"/>
      <w:divBdr>
        <w:top w:val="none" w:sz="0" w:space="0" w:color="auto"/>
        <w:left w:val="none" w:sz="0" w:space="0" w:color="auto"/>
        <w:bottom w:val="none" w:sz="0" w:space="0" w:color="auto"/>
        <w:right w:val="none" w:sz="0" w:space="0" w:color="auto"/>
      </w:divBdr>
    </w:div>
    <w:div w:id="16345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55E1DFE844F784F970D68CE34FDEE6B" ma:contentTypeVersion="" ma:contentTypeDescription="PDMS Document Site Content Type" ma:contentTypeScope="" ma:versionID="67daf622f7935eea552e87b28cc5ae89">
  <xsd:schema xmlns:xsd="http://www.w3.org/2001/XMLSchema" xmlns:xs="http://www.w3.org/2001/XMLSchema" xmlns:p="http://schemas.microsoft.com/office/2006/metadata/properties" xmlns:ns2="AF733ACB-A47D-4A9E-9EEE-437E0E7A62BF" targetNamespace="http://schemas.microsoft.com/office/2006/metadata/properties" ma:root="true" ma:fieldsID="a7a95f00e65d8e46ab324ecf4faa6f6a" ns2:_="">
    <xsd:import namespace="AF733ACB-A47D-4A9E-9EEE-437E0E7A62B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33ACB-A47D-4A9E-9EEE-437E0E7A62B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F733ACB-A47D-4A9E-9EEE-437E0E7A62B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97FFE-D724-45EA-895B-66E8931E4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33ACB-A47D-4A9E-9EEE-437E0E7A6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16263-49F8-4EE8-A497-49A5F759C63A}">
  <ds:schemaRefs>
    <ds:schemaRef ds:uri="http://schemas.microsoft.com/sharepoint/v3/contenttype/forms"/>
  </ds:schemaRefs>
</ds:datastoreItem>
</file>

<file path=customXml/itemProps3.xml><?xml version="1.0" encoding="utf-8"?>
<ds:datastoreItem xmlns:ds="http://schemas.openxmlformats.org/officeDocument/2006/customXml" ds:itemID="{D80BFDEA-134E-429D-96DD-64E151C09090}">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AF733ACB-A47D-4A9E-9EEE-437E0E7A62BF"/>
    <ds:schemaRef ds:uri="http://www.w3.org/XML/1998/namespace"/>
  </ds:schemaRefs>
</ds:datastoreItem>
</file>

<file path=customXml/itemProps4.xml><?xml version="1.0" encoding="utf-8"?>
<ds:datastoreItem xmlns:ds="http://schemas.openxmlformats.org/officeDocument/2006/customXml" ds:itemID="{DFC58F61-CA93-4418-8EE4-547495AF1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7587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vogele</dc:creator>
  <cp:lastModifiedBy>hermat</cp:lastModifiedBy>
  <cp:revision>2</cp:revision>
  <dcterms:created xsi:type="dcterms:W3CDTF">2018-03-18T21:51:00Z</dcterms:created>
  <dcterms:modified xsi:type="dcterms:W3CDTF">2018-03-18T21:51:00Z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0x010100266966F133664895A6EE3632470D45F500655E1DFE844F784F970D68CE34FDEE6B</vt:lpwstr>
  </property>
</Properties>
</file>