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92A24" w:rsidRDefault="00DA186E" w:rsidP="00B05CF4">
      <w:pPr>
        <w:rPr>
          <w:sz w:val="28"/>
        </w:rPr>
      </w:pPr>
      <w:r w:rsidRPr="00392A24">
        <w:rPr>
          <w:noProof/>
          <w:lang w:eastAsia="en-AU"/>
        </w:rPr>
        <w:drawing>
          <wp:inline distT="0" distB="0" distL="0" distR="0" wp14:anchorId="67BF1E39" wp14:editId="29F76E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92A24" w:rsidRDefault="00715914" w:rsidP="00715914">
      <w:pPr>
        <w:rPr>
          <w:sz w:val="19"/>
        </w:rPr>
      </w:pPr>
    </w:p>
    <w:p w:rsidR="00715914" w:rsidRPr="00392A24" w:rsidRDefault="009A5E36" w:rsidP="00715914">
      <w:pPr>
        <w:pStyle w:val="ShortT"/>
      </w:pPr>
      <w:r w:rsidRPr="00392A24">
        <w:t>Migration (IMMI 18/032: Language Test Req</w:t>
      </w:r>
      <w:r w:rsidR="003A26E1" w:rsidRPr="00392A24">
        <w:t>uirements—</w:t>
      </w:r>
      <w:r w:rsidRPr="00392A24">
        <w:t>Subclass 482 Visa) Instrument 2018</w:t>
      </w:r>
    </w:p>
    <w:p w:rsidR="009A5E36" w:rsidRPr="00392A24" w:rsidRDefault="009A5E36" w:rsidP="006B5B75">
      <w:pPr>
        <w:pStyle w:val="SignCoverPageStart"/>
        <w:rPr>
          <w:szCs w:val="22"/>
        </w:rPr>
      </w:pPr>
      <w:r w:rsidRPr="00392A24">
        <w:rPr>
          <w:szCs w:val="22"/>
        </w:rPr>
        <w:t xml:space="preserve">I, </w:t>
      </w:r>
      <w:r w:rsidR="00C30421" w:rsidRPr="00392A24">
        <w:rPr>
          <w:szCs w:val="22"/>
        </w:rPr>
        <w:t xml:space="preserve">Alan </w:t>
      </w:r>
      <w:proofErr w:type="spellStart"/>
      <w:r w:rsidR="00C30421" w:rsidRPr="00392A24">
        <w:rPr>
          <w:szCs w:val="22"/>
        </w:rPr>
        <w:t>Tudge</w:t>
      </w:r>
      <w:proofErr w:type="spellEnd"/>
      <w:r w:rsidRPr="00392A24">
        <w:rPr>
          <w:szCs w:val="22"/>
        </w:rPr>
        <w:t xml:space="preserve">, Minister for </w:t>
      </w:r>
      <w:r w:rsidR="00C30421" w:rsidRPr="00392A24">
        <w:rPr>
          <w:szCs w:val="22"/>
        </w:rPr>
        <w:t>Citizenship and Multicultural Affairs</w:t>
      </w:r>
      <w:r w:rsidRPr="00392A24">
        <w:rPr>
          <w:szCs w:val="22"/>
        </w:rPr>
        <w:t>, make the following instrument.</w:t>
      </w:r>
    </w:p>
    <w:p w:rsidR="009A5E36" w:rsidRPr="00392A24" w:rsidRDefault="009A5E36" w:rsidP="006B5B75">
      <w:pPr>
        <w:keepNext/>
        <w:spacing w:before="300" w:line="240" w:lineRule="atLeast"/>
        <w:ind w:right="397"/>
        <w:jc w:val="both"/>
        <w:rPr>
          <w:szCs w:val="22"/>
        </w:rPr>
      </w:pPr>
      <w:r w:rsidRPr="00392A24">
        <w:rPr>
          <w:szCs w:val="22"/>
        </w:rPr>
        <w:t>Dated</w:t>
      </w:r>
      <w:r w:rsidRPr="00392A24">
        <w:rPr>
          <w:szCs w:val="22"/>
        </w:rPr>
        <w:tab/>
      </w:r>
      <w:bookmarkStart w:id="0" w:name="_GoBack"/>
      <w:bookmarkEnd w:id="0"/>
      <w:r w:rsidRPr="00392A24">
        <w:rPr>
          <w:szCs w:val="22"/>
        </w:rPr>
        <w:fldChar w:fldCharType="begin"/>
      </w:r>
      <w:r w:rsidRPr="00392A24">
        <w:rPr>
          <w:szCs w:val="22"/>
        </w:rPr>
        <w:instrText xml:space="preserve"> DOCPROPERTY  DateMade </w:instrText>
      </w:r>
      <w:r w:rsidRPr="00392A24">
        <w:rPr>
          <w:szCs w:val="22"/>
        </w:rPr>
        <w:fldChar w:fldCharType="separate"/>
      </w:r>
      <w:r w:rsidR="001F0076">
        <w:rPr>
          <w:szCs w:val="22"/>
        </w:rPr>
        <w:t>15 March 2018</w:t>
      </w:r>
      <w:r w:rsidRPr="00392A24">
        <w:rPr>
          <w:szCs w:val="22"/>
        </w:rPr>
        <w:fldChar w:fldCharType="end"/>
      </w:r>
    </w:p>
    <w:p w:rsidR="009A5E36" w:rsidRPr="00392A24" w:rsidRDefault="000D539A" w:rsidP="006B5B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92A24">
        <w:rPr>
          <w:szCs w:val="22"/>
        </w:rPr>
        <w:t xml:space="preserve">The Hon </w:t>
      </w:r>
      <w:r w:rsidR="00F83D46" w:rsidRPr="00392A24">
        <w:rPr>
          <w:szCs w:val="22"/>
        </w:rPr>
        <w:t xml:space="preserve">Alan </w:t>
      </w:r>
      <w:proofErr w:type="spellStart"/>
      <w:r w:rsidR="00F83D46" w:rsidRPr="00392A24">
        <w:rPr>
          <w:szCs w:val="22"/>
        </w:rPr>
        <w:t>Tudge</w:t>
      </w:r>
      <w:proofErr w:type="spellEnd"/>
      <w:r w:rsidRPr="00392A24">
        <w:rPr>
          <w:szCs w:val="22"/>
        </w:rPr>
        <w:t xml:space="preserve"> MP</w:t>
      </w:r>
    </w:p>
    <w:p w:rsidR="009A5E36" w:rsidRPr="00392A24" w:rsidRDefault="009A5E36" w:rsidP="006B5B75">
      <w:pPr>
        <w:pStyle w:val="SignCoverPageEnd"/>
        <w:rPr>
          <w:szCs w:val="22"/>
        </w:rPr>
      </w:pPr>
      <w:r w:rsidRPr="00392A24">
        <w:rPr>
          <w:szCs w:val="22"/>
        </w:rPr>
        <w:t>Minister for</w:t>
      </w:r>
      <w:r w:rsidR="00F83D46" w:rsidRPr="00392A24">
        <w:rPr>
          <w:szCs w:val="22"/>
        </w:rPr>
        <w:t xml:space="preserve"> Citizenship and Multicultural </w:t>
      </w:r>
      <w:r w:rsidRPr="00392A24">
        <w:rPr>
          <w:szCs w:val="22"/>
        </w:rPr>
        <w:t>Affairs</w:t>
      </w:r>
    </w:p>
    <w:p w:rsidR="009A5E36" w:rsidRPr="00392A24" w:rsidRDefault="009A5E36" w:rsidP="006B5B75"/>
    <w:p w:rsidR="00715914" w:rsidRPr="00392A24" w:rsidRDefault="00715914" w:rsidP="00715914">
      <w:pPr>
        <w:pStyle w:val="Header"/>
        <w:tabs>
          <w:tab w:val="clear" w:pos="4150"/>
          <w:tab w:val="clear" w:pos="8307"/>
        </w:tabs>
      </w:pPr>
      <w:r w:rsidRPr="00392A24">
        <w:rPr>
          <w:rStyle w:val="CharChapNo"/>
        </w:rPr>
        <w:t xml:space="preserve"> </w:t>
      </w:r>
      <w:r w:rsidRPr="00392A24">
        <w:rPr>
          <w:rStyle w:val="CharChapText"/>
        </w:rPr>
        <w:t xml:space="preserve"> </w:t>
      </w:r>
    </w:p>
    <w:p w:rsidR="00715914" w:rsidRPr="00392A24" w:rsidRDefault="00715914" w:rsidP="00715914">
      <w:pPr>
        <w:pStyle w:val="Header"/>
        <w:tabs>
          <w:tab w:val="clear" w:pos="4150"/>
          <w:tab w:val="clear" w:pos="8307"/>
        </w:tabs>
      </w:pPr>
      <w:r w:rsidRPr="00392A24">
        <w:rPr>
          <w:rStyle w:val="CharPartNo"/>
        </w:rPr>
        <w:t xml:space="preserve"> </w:t>
      </w:r>
      <w:r w:rsidRPr="00392A24">
        <w:rPr>
          <w:rStyle w:val="CharPartText"/>
        </w:rPr>
        <w:t xml:space="preserve"> </w:t>
      </w:r>
    </w:p>
    <w:p w:rsidR="00715914" w:rsidRPr="00392A24" w:rsidRDefault="00715914" w:rsidP="00715914">
      <w:pPr>
        <w:pStyle w:val="Header"/>
        <w:tabs>
          <w:tab w:val="clear" w:pos="4150"/>
          <w:tab w:val="clear" w:pos="8307"/>
        </w:tabs>
      </w:pPr>
      <w:r w:rsidRPr="00392A24">
        <w:rPr>
          <w:rStyle w:val="CharDivNo"/>
        </w:rPr>
        <w:t xml:space="preserve"> </w:t>
      </w:r>
      <w:r w:rsidRPr="00392A24">
        <w:rPr>
          <w:rStyle w:val="CharDivText"/>
        </w:rPr>
        <w:t xml:space="preserve"> </w:t>
      </w:r>
    </w:p>
    <w:p w:rsidR="00715914" w:rsidRPr="00392A24" w:rsidRDefault="00715914" w:rsidP="00715914">
      <w:pPr>
        <w:sectPr w:rsidR="00715914" w:rsidRPr="00392A24" w:rsidSect="000162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92A24" w:rsidRDefault="00715914" w:rsidP="00B63168">
      <w:pPr>
        <w:rPr>
          <w:sz w:val="36"/>
        </w:rPr>
      </w:pPr>
      <w:r w:rsidRPr="00392A24">
        <w:rPr>
          <w:sz w:val="36"/>
        </w:rPr>
        <w:lastRenderedPageBreak/>
        <w:t>Contents</w:t>
      </w:r>
    </w:p>
    <w:p w:rsidR="00C66996" w:rsidRPr="00392A24" w:rsidRDefault="00C66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24">
        <w:fldChar w:fldCharType="begin"/>
      </w:r>
      <w:r w:rsidRPr="00392A24">
        <w:instrText xml:space="preserve"> TOC \o "1-9" </w:instrText>
      </w:r>
      <w:r w:rsidRPr="00392A24">
        <w:fldChar w:fldCharType="separate"/>
      </w:r>
      <w:r w:rsidRPr="00392A24">
        <w:rPr>
          <w:noProof/>
        </w:rPr>
        <w:t>1</w:t>
      </w:r>
      <w:r w:rsidRPr="00392A24">
        <w:rPr>
          <w:noProof/>
        </w:rPr>
        <w:tab/>
        <w:t>Name</w:t>
      </w:r>
      <w:r w:rsidRPr="00392A24">
        <w:rPr>
          <w:noProof/>
        </w:rPr>
        <w:tab/>
      </w:r>
      <w:r w:rsidRPr="00392A24">
        <w:rPr>
          <w:noProof/>
        </w:rPr>
        <w:fldChar w:fldCharType="begin"/>
      </w:r>
      <w:r w:rsidRPr="00392A24">
        <w:rPr>
          <w:noProof/>
        </w:rPr>
        <w:instrText xml:space="preserve"> PAGEREF _Toc507743753 \h </w:instrText>
      </w:r>
      <w:r w:rsidRPr="00392A24">
        <w:rPr>
          <w:noProof/>
        </w:rPr>
      </w:r>
      <w:r w:rsidRPr="00392A24">
        <w:rPr>
          <w:noProof/>
        </w:rPr>
        <w:fldChar w:fldCharType="separate"/>
      </w:r>
      <w:r w:rsidR="001F0076">
        <w:rPr>
          <w:noProof/>
        </w:rPr>
        <w:t>1</w:t>
      </w:r>
      <w:r w:rsidRPr="00392A24">
        <w:rPr>
          <w:noProof/>
        </w:rPr>
        <w:fldChar w:fldCharType="end"/>
      </w:r>
    </w:p>
    <w:p w:rsidR="00C66996" w:rsidRPr="00392A24" w:rsidRDefault="00C66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24">
        <w:rPr>
          <w:noProof/>
        </w:rPr>
        <w:t>2</w:t>
      </w:r>
      <w:r w:rsidRPr="00392A24">
        <w:rPr>
          <w:noProof/>
        </w:rPr>
        <w:tab/>
        <w:t>Commencement</w:t>
      </w:r>
      <w:r w:rsidRPr="00392A24">
        <w:rPr>
          <w:noProof/>
        </w:rPr>
        <w:tab/>
      </w:r>
      <w:r w:rsidRPr="00392A24">
        <w:rPr>
          <w:noProof/>
        </w:rPr>
        <w:fldChar w:fldCharType="begin"/>
      </w:r>
      <w:r w:rsidRPr="00392A24">
        <w:rPr>
          <w:noProof/>
        </w:rPr>
        <w:instrText xml:space="preserve"> PAGEREF _Toc507743754 \h </w:instrText>
      </w:r>
      <w:r w:rsidRPr="00392A24">
        <w:rPr>
          <w:noProof/>
        </w:rPr>
      </w:r>
      <w:r w:rsidRPr="00392A24">
        <w:rPr>
          <w:noProof/>
        </w:rPr>
        <w:fldChar w:fldCharType="separate"/>
      </w:r>
      <w:r w:rsidR="001F0076">
        <w:rPr>
          <w:noProof/>
        </w:rPr>
        <w:t>1</w:t>
      </w:r>
      <w:r w:rsidRPr="00392A24">
        <w:rPr>
          <w:noProof/>
        </w:rPr>
        <w:fldChar w:fldCharType="end"/>
      </w:r>
    </w:p>
    <w:p w:rsidR="00C66996" w:rsidRPr="00392A24" w:rsidRDefault="00C66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24">
        <w:rPr>
          <w:noProof/>
        </w:rPr>
        <w:t>3</w:t>
      </w:r>
      <w:r w:rsidRPr="00392A24">
        <w:rPr>
          <w:noProof/>
        </w:rPr>
        <w:tab/>
        <w:t>Authority</w:t>
      </w:r>
      <w:r w:rsidRPr="00392A24">
        <w:rPr>
          <w:noProof/>
        </w:rPr>
        <w:tab/>
      </w:r>
      <w:r w:rsidRPr="00392A24">
        <w:rPr>
          <w:noProof/>
        </w:rPr>
        <w:fldChar w:fldCharType="begin"/>
      </w:r>
      <w:r w:rsidRPr="00392A24">
        <w:rPr>
          <w:noProof/>
        </w:rPr>
        <w:instrText xml:space="preserve"> PAGEREF _Toc507743755 \h </w:instrText>
      </w:r>
      <w:r w:rsidRPr="00392A24">
        <w:rPr>
          <w:noProof/>
        </w:rPr>
      </w:r>
      <w:r w:rsidRPr="00392A24">
        <w:rPr>
          <w:noProof/>
        </w:rPr>
        <w:fldChar w:fldCharType="separate"/>
      </w:r>
      <w:r w:rsidR="001F0076">
        <w:rPr>
          <w:noProof/>
        </w:rPr>
        <w:t>1</w:t>
      </w:r>
      <w:r w:rsidRPr="00392A24">
        <w:rPr>
          <w:noProof/>
        </w:rPr>
        <w:fldChar w:fldCharType="end"/>
      </w:r>
    </w:p>
    <w:p w:rsidR="00C66996" w:rsidRPr="00392A24" w:rsidRDefault="00C66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24">
        <w:rPr>
          <w:noProof/>
        </w:rPr>
        <w:t>4</w:t>
      </w:r>
      <w:r w:rsidRPr="00392A24">
        <w:rPr>
          <w:noProof/>
        </w:rPr>
        <w:tab/>
        <w:t>Definitions</w:t>
      </w:r>
      <w:r w:rsidRPr="00392A24">
        <w:rPr>
          <w:noProof/>
        </w:rPr>
        <w:tab/>
      </w:r>
      <w:r w:rsidRPr="00392A24">
        <w:rPr>
          <w:noProof/>
        </w:rPr>
        <w:fldChar w:fldCharType="begin"/>
      </w:r>
      <w:r w:rsidRPr="00392A24">
        <w:rPr>
          <w:noProof/>
        </w:rPr>
        <w:instrText xml:space="preserve"> PAGEREF _Toc507743756 \h </w:instrText>
      </w:r>
      <w:r w:rsidRPr="00392A24">
        <w:rPr>
          <w:noProof/>
        </w:rPr>
      </w:r>
      <w:r w:rsidRPr="00392A24">
        <w:rPr>
          <w:noProof/>
        </w:rPr>
        <w:fldChar w:fldCharType="separate"/>
      </w:r>
      <w:r w:rsidR="001F0076">
        <w:rPr>
          <w:noProof/>
        </w:rPr>
        <w:t>1</w:t>
      </w:r>
      <w:r w:rsidRPr="00392A24">
        <w:rPr>
          <w:noProof/>
        </w:rPr>
        <w:fldChar w:fldCharType="end"/>
      </w:r>
    </w:p>
    <w:p w:rsidR="00C66996" w:rsidRPr="00392A24" w:rsidRDefault="00C66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2A24">
        <w:rPr>
          <w:noProof/>
        </w:rPr>
        <w:t>5</w:t>
      </w:r>
      <w:r w:rsidRPr="00392A24">
        <w:rPr>
          <w:noProof/>
        </w:rPr>
        <w:tab/>
        <w:t>Language test requirements</w:t>
      </w:r>
      <w:r w:rsidRPr="00392A24">
        <w:rPr>
          <w:noProof/>
        </w:rPr>
        <w:tab/>
      </w:r>
      <w:r w:rsidRPr="00392A24">
        <w:rPr>
          <w:noProof/>
        </w:rPr>
        <w:fldChar w:fldCharType="begin"/>
      </w:r>
      <w:r w:rsidRPr="00392A24">
        <w:rPr>
          <w:noProof/>
        </w:rPr>
        <w:instrText xml:space="preserve"> PAGEREF _Toc507743757 \h </w:instrText>
      </w:r>
      <w:r w:rsidRPr="00392A24">
        <w:rPr>
          <w:noProof/>
        </w:rPr>
      </w:r>
      <w:r w:rsidRPr="00392A24">
        <w:rPr>
          <w:noProof/>
        </w:rPr>
        <w:fldChar w:fldCharType="separate"/>
      </w:r>
      <w:r w:rsidR="001F0076">
        <w:rPr>
          <w:noProof/>
        </w:rPr>
        <w:t>2</w:t>
      </w:r>
      <w:r w:rsidRPr="00392A24">
        <w:rPr>
          <w:noProof/>
        </w:rPr>
        <w:fldChar w:fldCharType="end"/>
      </w:r>
    </w:p>
    <w:p w:rsidR="00670EA1" w:rsidRPr="00392A24" w:rsidRDefault="00C66996" w:rsidP="00715914">
      <w:r w:rsidRPr="00392A24">
        <w:fldChar w:fldCharType="end"/>
      </w:r>
    </w:p>
    <w:p w:rsidR="00670EA1" w:rsidRPr="00392A24" w:rsidRDefault="00670EA1" w:rsidP="00715914">
      <w:pPr>
        <w:sectPr w:rsidR="00670EA1" w:rsidRPr="00392A24" w:rsidSect="000162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92A24" w:rsidRDefault="00715914" w:rsidP="00715914">
      <w:pPr>
        <w:pStyle w:val="ActHead5"/>
      </w:pPr>
      <w:bookmarkStart w:id="1" w:name="_Toc507743753"/>
      <w:r w:rsidRPr="00392A24">
        <w:rPr>
          <w:rStyle w:val="CharSectno"/>
        </w:rPr>
        <w:lastRenderedPageBreak/>
        <w:t>1</w:t>
      </w:r>
      <w:r w:rsidRPr="00392A24">
        <w:t xml:space="preserve">  </w:t>
      </w:r>
      <w:r w:rsidR="00CE493D" w:rsidRPr="00392A24">
        <w:t>Name</w:t>
      </w:r>
      <w:bookmarkEnd w:id="1"/>
    </w:p>
    <w:p w:rsidR="00715914" w:rsidRPr="00392A24" w:rsidRDefault="00715914" w:rsidP="00715914">
      <w:pPr>
        <w:pStyle w:val="subsection"/>
      </w:pPr>
      <w:r w:rsidRPr="00392A24">
        <w:tab/>
      </w:r>
      <w:r w:rsidR="00FA6EE6" w:rsidRPr="00392A24">
        <w:t>(1)</w:t>
      </w:r>
      <w:r w:rsidRPr="00392A24">
        <w:tab/>
      </w:r>
      <w:r w:rsidR="009A5E36" w:rsidRPr="00392A24">
        <w:t>This instrument is the</w:t>
      </w:r>
      <w:r w:rsidR="009A5E36" w:rsidRPr="00392A24">
        <w:rPr>
          <w:i/>
        </w:rPr>
        <w:t xml:space="preserve"> Migration (IMMI 18/032: Language Test Req</w:t>
      </w:r>
      <w:r w:rsidR="003A26E1" w:rsidRPr="00392A24">
        <w:rPr>
          <w:i/>
        </w:rPr>
        <w:t>uirements—</w:t>
      </w:r>
      <w:r w:rsidR="009A5E36" w:rsidRPr="00392A24">
        <w:rPr>
          <w:i/>
        </w:rPr>
        <w:t>Subclass 482 Visa) Instrument 2018</w:t>
      </w:r>
      <w:r w:rsidRPr="00392A24">
        <w:t>.</w:t>
      </w:r>
    </w:p>
    <w:p w:rsidR="00FA6EE6" w:rsidRPr="00392A24" w:rsidRDefault="00FA6EE6" w:rsidP="00715914">
      <w:pPr>
        <w:pStyle w:val="subsection"/>
      </w:pPr>
      <w:r w:rsidRPr="00392A24">
        <w:tab/>
        <w:t>(2)</w:t>
      </w:r>
      <w:r w:rsidRPr="00392A24">
        <w:tab/>
        <w:t>This instrument may be cited as IMMI 18/032.</w:t>
      </w:r>
    </w:p>
    <w:p w:rsidR="00715914" w:rsidRPr="00392A24" w:rsidRDefault="00715914" w:rsidP="00715914">
      <w:pPr>
        <w:pStyle w:val="ActHead5"/>
      </w:pPr>
      <w:bookmarkStart w:id="2" w:name="_Toc507743754"/>
      <w:r w:rsidRPr="00392A24">
        <w:rPr>
          <w:rStyle w:val="CharSectno"/>
        </w:rPr>
        <w:t>2</w:t>
      </w:r>
      <w:r w:rsidRPr="00392A24">
        <w:t xml:space="preserve">  Commencement</w:t>
      </w:r>
      <w:bookmarkEnd w:id="2"/>
    </w:p>
    <w:p w:rsidR="00FA6EE6" w:rsidRPr="00392A24" w:rsidRDefault="00FA6EE6" w:rsidP="006B5B75">
      <w:pPr>
        <w:pStyle w:val="subsection"/>
      </w:pPr>
      <w:r w:rsidRPr="00392A24">
        <w:tab/>
        <w:t>(1)</w:t>
      </w:r>
      <w:r w:rsidRPr="00392A2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A6EE6" w:rsidRPr="00392A24" w:rsidRDefault="00FA6EE6" w:rsidP="006B5B7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6EE6" w:rsidRPr="00392A24" w:rsidTr="006B5B7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Commencement information</w:t>
            </w:r>
          </w:p>
        </w:tc>
      </w:tr>
      <w:tr w:rsidR="00FA6EE6" w:rsidRPr="00392A24" w:rsidTr="006B5B7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Column 3</w:t>
            </w:r>
          </w:p>
        </w:tc>
      </w:tr>
      <w:tr w:rsidR="00FA6EE6" w:rsidRPr="00392A24" w:rsidTr="006B5B7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Heading"/>
            </w:pPr>
            <w:r w:rsidRPr="00392A24">
              <w:t>Date/Details</w:t>
            </w:r>
          </w:p>
        </w:tc>
      </w:tr>
      <w:tr w:rsidR="00FA6EE6" w:rsidRPr="00392A24" w:rsidTr="006B5B7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A6EE6" w:rsidRPr="00392A24" w:rsidRDefault="00FA6EE6" w:rsidP="006B5B75">
            <w:pPr>
              <w:pStyle w:val="Tabletext"/>
            </w:pPr>
            <w:r w:rsidRPr="00392A2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A6EE6" w:rsidRPr="00392A24" w:rsidRDefault="0032522F" w:rsidP="0007517D">
            <w:pPr>
              <w:pStyle w:val="Tabletext"/>
            </w:pPr>
            <w:r w:rsidRPr="00392A24">
              <w:t>1</w:t>
            </w:r>
            <w:r w:rsidR="0007517D" w:rsidRPr="00392A24">
              <w:t>8</w:t>
            </w:r>
            <w:r w:rsidR="00392A24" w:rsidRPr="00392A24">
              <w:t> </w:t>
            </w:r>
            <w:r w:rsidR="00FA6EE6" w:rsidRPr="00392A24">
              <w:t>March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6EE6" w:rsidRPr="00392A24" w:rsidRDefault="0007517D" w:rsidP="006B5B75">
            <w:pPr>
              <w:pStyle w:val="Tabletext"/>
            </w:pPr>
            <w:r w:rsidRPr="00392A24">
              <w:t>18</w:t>
            </w:r>
            <w:r w:rsidR="00392A24" w:rsidRPr="00392A24">
              <w:t> </w:t>
            </w:r>
            <w:r w:rsidR="00FA6EE6" w:rsidRPr="00392A24">
              <w:t>March 2018</w:t>
            </w:r>
          </w:p>
        </w:tc>
      </w:tr>
    </w:tbl>
    <w:p w:rsidR="00FA6EE6" w:rsidRPr="00392A24" w:rsidRDefault="00FA6EE6" w:rsidP="006B5B75">
      <w:pPr>
        <w:pStyle w:val="notetext"/>
      </w:pPr>
      <w:r w:rsidRPr="00392A24">
        <w:rPr>
          <w:snapToGrid w:val="0"/>
          <w:lang w:eastAsia="en-US"/>
        </w:rPr>
        <w:t>Note:</w:t>
      </w:r>
      <w:r w:rsidRPr="00392A24">
        <w:rPr>
          <w:snapToGrid w:val="0"/>
          <w:lang w:eastAsia="en-US"/>
        </w:rPr>
        <w:tab/>
        <w:t xml:space="preserve">This table relates only to the provisions of this </w:t>
      </w:r>
      <w:r w:rsidRPr="00392A24">
        <w:t xml:space="preserve">instrument </w:t>
      </w:r>
      <w:r w:rsidRPr="00392A24">
        <w:rPr>
          <w:snapToGrid w:val="0"/>
          <w:lang w:eastAsia="en-US"/>
        </w:rPr>
        <w:t xml:space="preserve">as originally made. It will not be amended to deal with any later amendments of this </w:t>
      </w:r>
      <w:r w:rsidRPr="00392A24">
        <w:t>instrument</w:t>
      </w:r>
      <w:r w:rsidRPr="00392A24">
        <w:rPr>
          <w:snapToGrid w:val="0"/>
          <w:lang w:eastAsia="en-US"/>
        </w:rPr>
        <w:t>.</w:t>
      </w:r>
    </w:p>
    <w:p w:rsidR="00FA6EE6" w:rsidRPr="00392A24" w:rsidRDefault="00FA6EE6" w:rsidP="006B5B75">
      <w:pPr>
        <w:pStyle w:val="subsection"/>
      </w:pPr>
      <w:r w:rsidRPr="00392A24">
        <w:tab/>
        <w:t>(2)</w:t>
      </w:r>
      <w:r w:rsidRPr="00392A2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392A24" w:rsidRDefault="007500C8" w:rsidP="007500C8">
      <w:pPr>
        <w:pStyle w:val="ActHead5"/>
      </w:pPr>
      <w:bookmarkStart w:id="3" w:name="_Toc507743755"/>
      <w:r w:rsidRPr="00392A24">
        <w:rPr>
          <w:rStyle w:val="CharSectno"/>
        </w:rPr>
        <w:t>3</w:t>
      </w:r>
      <w:r w:rsidRPr="00392A24">
        <w:t xml:space="preserve">  Authority</w:t>
      </w:r>
      <w:bookmarkEnd w:id="3"/>
    </w:p>
    <w:p w:rsidR="00157B8B" w:rsidRPr="00392A24" w:rsidRDefault="007500C8" w:rsidP="007E667A">
      <w:pPr>
        <w:pStyle w:val="subsection"/>
      </w:pPr>
      <w:r w:rsidRPr="00392A24">
        <w:tab/>
      </w:r>
      <w:r w:rsidRPr="00392A24">
        <w:tab/>
      </w:r>
      <w:r w:rsidR="009A5E36" w:rsidRPr="00392A24">
        <w:t>This instrument is</w:t>
      </w:r>
      <w:r w:rsidRPr="00392A24">
        <w:t xml:space="preserve"> made under </w:t>
      </w:r>
      <w:r w:rsidR="00FA6EE6" w:rsidRPr="00392A24">
        <w:t>subclause</w:t>
      </w:r>
      <w:r w:rsidR="00B63168" w:rsidRPr="00392A24">
        <w:t>s</w:t>
      </w:r>
      <w:r w:rsidR="00392A24" w:rsidRPr="00392A24">
        <w:t> </w:t>
      </w:r>
      <w:r w:rsidR="00FA6EE6" w:rsidRPr="00392A24">
        <w:t>482.223(1) and 482.232(1) of Schedule</w:t>
      </w:r>
      <w:r w:rsidR="00392A24" w:rsidRPr="00392A24">
        <w:t> </w:t>
      </w:r>
      <w:r w:rsidR="00FA6EE6" w:rsidRPr="00392A24">
        <w:t xml:space="preserve">2 to the </w:t>
      </w:r>
      <w:r w:rsidR="00FA6EE6" w:rsidRPr="00392A24">
        <w:rPr>
          <w:i/>
        </w:rPr>
        <w:t>Migration Regulations</w:t>
      </w:r>
      <w:r w:rsidR="00392A24" w:rsidRPr="00392A24">
        <w:rPr>
          <w:i/>
        </w:rPr>
        <w:t> </w:t>
      </w:r>
      <w:r w:rsidR="00FA6EE6" w:rsidRPr="00392A24">
        <w:rPr>
          <w:i/>
        </w:rPr>
        <w:t>1994</w:t>
      </w:r>
      <w:r w:rsidR="00FA6EE6" w:rsidRPr="00392A24">
        <w:t>.</w:t>
      </w:r>
    </w:p>
    <w:p w:rsidR="00FA6EE6" w:rsidRPr="00392A24" w:rsidRDefault="00FA6EE6" w:rsidP="00FA6EE6">
      <w:pPr>
        <w:pStyle w:val="ActHead5"/>
      </w:pPr>
      <w:bookmarkStart w:id="4" w:name="_Toc507743756"/>
      <w:r w:rsidRPr="00392A24">
        <w:rPr>
          <w:rStyle w:val="CharSectno"/>
        </w:rPr>
        <w:t>4</w:t>
      </w:r>
      <w:r w:rsidRPr="00392A24">
        <w:t xml:space="preserve">  Definitions</w:t>
      </w:r>
      <w:bookmarkEnd w:id="4"/>
    </w:p>
    <w:p w:rsidR="00536685" w:rsidRPr="00392A24" w:rsidRDefault="00536685" w:rsidP="00536685">
      <w:pPr>
        <w:pStyle w:val="notetext"/>
      </w:pPr>
      <w:r w:rsidRPr="00392A24">
        <w:t>Note:</w:t>
      </w:r>
      <w:r w:rsidRPr="00392A24">
        <w:tab/>
        <w:t xml:space="preserve">A number of expressions used in this instrument are defined in the </w:t>
      </w:r>
      <w:r w:rsidRPr="00392A24">
        <w:rPr>
          <w:i/>
        </w:rPr>
        <w:t>Migration Regulations</w:t>
      </w:r>
      <w:r w:rsidR="00392A24" w:rsidRPr="00392A24">
        <w:rPr>
          <w:i/>
        </w:rPr>
        <w:t> </w:t>
      </w:r>
      <w:r w:rsidRPr="00392A24">
        <w:rPr>
          <w:i/>
        </w:rPr>
        <w:t>1994</w:t>
      </w:r>
      <w:r w:rsidRPr="00392A24">
        <w:t>, including the following:</w:t>
      </w:r>
    </w:p>
    <w:p w:rsidR="00536685" w:rsidRPr="00392A24" w:rsidRDefault="00536685" w:rsidP="00536685">
      <w:pPr>
        <w:pStyle w:val="notepara"/>
      </w:pPr>
      <w:r w:rsidRPr="00392A24">
        <w:t>(a)</w:t>
      </w:r>
      <w:r w:rsidRPr="00392A24">
        <w:tab/>
        <w:t>AUD;</w:t>
      </w:r>
    </w:p>
    <w:p w:rsidR="00536685" w:rsidRPr="00392A24" w:rsidRDefault="00536685" w:rsidP="00536685">
      <w:pPr>
        <w:pStyle w:val="notepara"/>
      </w:pPr>
      <w:r w:rsidRPr="00392A24">
        <w:t>(b)</w:t>
      </w:r>
      <w:r w:rsidRPr="00392A24">
        <w:tab/>
        <w:t>standard business sponsor.</w:t>
      </w:r>
    </w:p>
    <w:p w:rsidR="00FA6EE6" w:rsidRPr="00392A24" w:rsidRDefault="00BB5E85" w:rsidP="00FA6EE6">
      <w:pPr>
        <w:pStyle w:val="subsection"/>
      </w:pPr>
      <w:r w:rsidRPr="00392A24">
        <w:tab/>
      </w:r>
      <w:r w:rsidRPr="00392A24">
        <w:tab/>
        <w:t>In this instrument:</w:t>
      </w:r>
    </w:p>
    <w:p w:rsidR="00F83D46" w:rsidRPr="00392A24" w:rsidRDefault="00BB5E85" w:rsidP="00BB5E85">
      <w:pPr>
        <w:pStyle w:val="Definition"/>
      </w:pPr>
      <w:r w:rsidRPr="00392A24">
        <w:rPr>
          <w:b/>
          <w:i/>
        </w:rPr>
        <w:t>approved English language test</w:t>
      </w:r>
      <w:r w:rsidR="00F83D46" w:rsidRPr="00392A24">
        <w:t>: see subsection</w:t>
      </w:r>
      <w:r w:rsidR="00392A24" w:rsidRPr="00392A24">
        <w:t> </w:t>
      </w:r>
      <w:r w:rsidR="00F83D46" w:rsidRPr="00392A24">
        <w:t>5(2).</w:t>
      </w:r>
    </w:p>
    <w:p w:rsidR="00CD1C35" w:rsidRPr="00392A24" w:rsidRDefault="00CD1C35" w:rsidP="00BB5E85">
      <w:pPr>
        <w:pStyle w:val="Definition"/>
      </w:pPr>
      <w:r w:rsidRPr="00392A24">
        <w:rPr>
          <w:b/>
          <w:i/>
        </w:rPr>
        <w:t>exempt applicant</w:t>
      </w:r>
      <w:r w:rsidR="009547E4" w:rsidRPr="00392A24">
        <w:t xml:space="preserve"> means</w:t>
      </w:r>
      <w:r w:rsidR="007A7E2E" w:rsidRPr="00392A24">
        <w:t>:</w:t>
      </w:r>
    </w:p>
    <w:p w:rsidR="00CD1C35" w:rsidRPr="00392A24" w:rsidRDefault="00CD1C35" w:rsidP="00CD1C35">
      <w:pPr>
        <w:pStyle w:val="paragraph"/>
        <w:rPr>
          <w:color w:val="000000"/>
          <w:szCs w:val="22"/>
        </w:rPr>
      </w:pPr>
      <w:r w:rsidRPr="00392A24">
        <w:tab/>
        <w:t>(a)</w:t>
      </w:r>
      <w:r w:rsidRPr="00392A24">
        <w:tab/>
      </w:r>
      <w:r w:rsidR="007A7E2E" w:rsidRPr="00392A24">
        <w:t xml:space="preserve">an applicant </w:t>
      </w:r>
      <w:r w:rsidRPr="00392A24">
        <w:t>who is a citizen</w:t>
      </w:r>
      <w:r w:rsidRPr="00392A24">
        <w:rPr>
          <w:color w:val="000000"/>
          <w:szCs w:val="22"/>
        </w:rPr>
        <w:t xml:space="preserve"> of, and who holds a valid passport issued by, one of the following countries:</w:t>
      </w:r>
    </w:p>
    <w:p w:rsidR="00B63168" w:rsidRPr="00392A24" w:rsidRDefault="00B63168" w:rsidP="00B63168">
      <w:pPr>
        <w:pStyle w:val="paragraphsub"/>
      </w:pPr>
      <w:r w:rsidRPr="00392A24">
        <w:tab/>
        <w:t>(</w:t>
      </w:r>
      <w:proofErr w:type="spellStart"/>
      <w:r w:rsidRPr="00392A24">
        <w:t>i</w:t>
      </w:r>
      <w:proofErr w:type="spellEnd"/>
      <w:r w:rsidRPr="00392A24">
        <w:t>)</w:t>
      </w:r>
      <w:r w:rsidRPr="00392A24">
        <w:tab/>
        <w:t>Canada;</w:t>
      </w:r>
    </w:p>
    <w:p w:rsidR="00B63168" w:rsidRPr="00392A24" w:rsidRDefault="00B63168" w:rsidP="00B63168">
      <w:pPr>
        <w:pStyle w:val="paragraphsub"/>
      </w:pPr>
      <w:r w:rsidRPr="00392A24">
        <w:tab/>
        <w:t>(ii)</w:t>
      </w:r>
      <w:r w:rsidRPr="00392A24">
        <w:tab/>
        <w:t>New Zealand;</w:t>
      </w:r>
    </w:p>
    <w:p w:rsidR="00B63168" w:rsidRPr="00392A24" w:rsidRDefault="00B63168" w:rsidP="00B63168">
      <w:pPr>
        <w:pStyle w:val="paragraphsub"/>
      </w:pPr>
      <w:r w:rsidRPr="00392A24">
        <w:tab/>
        <w:t>(iii)</w:t>
      </w:r>
      <w:r w:rsidRPr="00392A24">
        <w:tab/>
        <w:t>the Republic of Ireland;</w:t>
      </w:r>
    </w:p>
    <w:p w:rsidR="00CD1C35" w:rsidRPr="00392A24" w:rsidRDefault="00CD1C35" w:rsidP="00CD1C35">
      <w:pPr>
        <w:pStyle w:val="paragraphsub"/>
      </w:pPr>
      <w:r w:rsidRPr="00392A24">
        <w:tab/>
        <w:t>(i</w:t>
      </w:r>
      <w:r w:rsidR="00B63168" w:rsidRPr="00392A24">
        <w:t>v</w:t>
      </w:r>
      <w:r w:rsidRPr="00392A24">
        <w:t>)</w:t>
      </w:r>
      <w:r w:rsidRPr="00392A24">
        <w:tab/>
        <w:t>the United Kingdom;</w:t>
      </w:r>
    </w:p>
    <w:p w:rsidR="00CD1C35" w:rsidRPr="00392A24" w:rsidRDefault="00B63168" w:rsidP="00CD1C35">
      <w:pPr>
        <w:pStyle w:val="paragraphsub"/>
      </w:pPr>
      <w:r w:rsidRPr="00392A24">
        <w:tab/>
        <w:t>(v</w:t>
      </w:r>
      <w:r w:rsidR="00CD1C35" w:rsidRPr="00392A24">
        <w:t>)</w:t>
      </w:r>
      <w:r w:rsidR="00CD1C35" w:rsidRPr="00392A24">
        <w:tab/>
        <w:t>the United States of America;</w:t>
      </w:r>
      <w:r w:rsidRPr="00392A24">
        <w:t xml:space="preserve"> or</w:t>
      </w:r>
    </w:p>
    <w:p w:rsidR="00CD1C35" w:rsidRPr="00392A24" w:rsidRDefault="006D6708" w:rsidP="006D6708">
      <w:pPr>
        <w:pStyle w:val="paragraph"/>
        <w:rPr>
          <w:color w:val="000000"/>
          <w:szCs w:val="22"/>
        </w:rPr>
      </w:pPr>
      <w:r w:rsidRPr="00392A24">
        <w:lastRenderedPageBreak/>
        <w:tab/>
        <w:t>(b)</w:t>
      </w:r>
      <w:r w:rsidRPr="00392A24">
        <w:tab/>
      </w:r>
      <w:r w:rsidR="007A7E2E" w:rsidRPr="00392A24">
        <w:t xml:space="preserve">an applicant </w:t>
      </w:r>
      <w:r w:rsidRPr="00392A24">
        <w:t>who has</w:t>
      </w:r>
      <w:r w:rsidR="00CD1C35" w:rsidRPr="00392A24">
        <w:rPr>
          <w:szCs w:val="22"/>
        </w:rPr>
        <w:t xml:space="preserve"> completed a</w:t>
      </w:r>
      <w:r w:rsidR="00A15A42" w:rsidRPr="00392A24">
        <w:rPr>
          <w:szCs w:val="22"/>
        </w:rPr>
        <w:t>t least</w:t>
      </w:r>
      <w:r w:rsidR="00CD1C35" w:rsidRPr="00392A24">
        <w:rPr>
          <w:szCs w:val="22"/>
        </w:rPr>
        <w:t xml:space="preserve"> </w:t>
      </w:r>
      <w:r w:rsidR="00331C13" w:rsidRPr="00392A24">
        <w:rPr>
          <w:szCs w:val="22"/>
        </w:rPr>
        <w:t xml:space="preserve">5 </w:t>
      </w:r>
      <w:r w:rsidR="00CD1C35" w:rsidRPr="00392A24">
        <w:rPr>
          <w:szCs w:val="22"/>
        </w:rPr>
        <w:t>years of full</w:t>
      </w:r>
      <w:r w:rsidR="00392A24">
        <w:rPr>
          <w:szCs w:val="22"/>
        </w:rPr>
        <w:noBreakHyphen/>
      </w:r>
      <w:r w:rsidR="00CD1C35" w:rsidRPr="00392A24">
        <w:rPr>
          <w:szCs w:val="22"/>
        </w:rPr>
        <w:t>time study in a secondary</w:t>
      </w:r>
      <w:r w:rsidR="008165C2" w:rsidRPr="00392A24">
        <w:rPr>
          <w:szCs w:val="22"/>
        </w:rPr>
        <w:t xml:space="preserve"> education institution</w:t>
      </w:r>
      <w:r w:rsidR="00CD1C35" w:rsidRPr="00392A24">
        <w:rPr>
          <w:szCs w:val="22"/>
        </w:rPr>
        <w:t xml:space="preserve"> or higher education institution where the instruction was delivered in English</w:t>
      </w:r>
      <w:r w:rsidRPr="00392A24">
        <w:rPr>
          <w:color w:val="000000"/>
          <w:szCs w:val="22"/>
        </w:rPr>
        <w:t>; or</w:t>
      </w:r>
    </w:p>
    <w:p w:rsidR="00FA71AF" w:rsidRPr="00392A24" w:rsidRDefault="00FA71AF" w:rsidP="0032522F">
      <w:pPr>
        <w:pStyle w:val="paragraph"/>
      </w:pPr>
      <w:r w:rsidRPr="00392A24">
        <w:tab/>
        <w:t>(c)</w:t>
      </w:r>
      <w:r w:rsidRPr="00392A24">
        <w:tab/>
      </w:r>
      <w:r w:rsidR="007A7E2E" w:rsidRPr="00392A24">
        <w:t xml:space="preserve">an applicant </w:t>
      </w:r>
      <w:r w:rsidRPr="00392A24">
        <w:t>who has been nominated by a standard business sponsor in relation to an occupation that will be performed at:</w:t>
      </w:r>
    </w:p>
    <w:p w:rsidR="00FA71AF" w:rsidRPr="00392A24" w:rsidRDefault="00FA71AF" w:rsidP="00FA71AF">
      <w:pPr>
        <w:pStyle w:val="paragraphsub"/>
      </w:pPr>
      <w:r w:rsidRPr="00392A24">
        <w:tab/>
        <w:t>(</w:t>
      </w:r>
      <w:proofErr w:type="spellStart"/>
      <w:r w:rsidRPr="00392A24">
        <w:t>i</w:t>
      </w:r>
      <w:proofErr w:type="spellEnd"/>
      <w:r w:rsidRPr="00392A24">
        <w:t>)</w:t>
      </w:r>
      <w:r w:rsidRPr="00392A24">
        <w:tab/>
        <w:t>a diplomatic or consular mission of another country; or</w:t>
      </w:r>
    </w:p>
    <w:p w:rsidR="00FA71AF" w:rsidRPr="00392A24" w:rsidRDefault="00FA71AF" w:rsidP="00FA71AF">
      <w:pPr>
        <w:pStyle w:val="paragraphsub"/>
      </w:pPr>
      <w:r w:rsidRPr="00392A24">
        <w:tab/>
        <w:t>(ii)</w:t>
      </w:r>
      <w:r w:rsidRPr="00392A24">
        <w:tab/>
        <w:t>an Office of the Authorities of Taiwan located in Australia; or</w:t>
      </w:r>
    </w:p>
    <w:p w:rsidR="007A7E2E" w:rsidRPr="00392A24" w:rsidRDefault="006D6708" w:rsidP="006D6708">
      <w:pPr>
        <w:pStyle w:val="paragraph"/>
      </w:pPr>
      <w:r w:rsidRPr="00392A24">
        <w:tab/>
      </w:r>
      <w:r w:rsidR="00CD1C35" w:rsidRPr="00392A24">
        <w:t>(d)</w:t>
      </w:r>
      <w:r w:rsidR="00CD1C35" w:rsidRPr="00392A24">
        <w:tab/>
      </w:r>
      <w:r w:rsidR="008165C2" w:rsidRPr="00392A24">
        <w:t>an applicant</w:t>
      </w:r>
      <w:r w:rsidR="007A7E2E" w:rsidRPr="00392A24">
        <w:t>:</w:t>
      </w:r>
    </w:p>
    <w:p w:rsidR="007A7E2E" w:rsidRPr="00392A24" w:rsidRDefault="007A7E2E" w:rsidP="007A7E2E">
      <w:pPr>
        <w:pStyle w:val="paragraphsub"/>
      </w:pPr>
      <w:r w:rsidRPr="00392A24">
        <w:tab/>
        <w:t>(</w:t>
      </w:r>
      <w:proofErr w:type="spellStart"/>
      <w:r w:rsidRPr="00392A24">
        <w:t>i</w:t>
      </w:r>
      <w:proofErr w:type="spellEnd"/>
      <w:r w:rsidRPr="00392A24">
        <w:t>)</w:t>
      </w:r>
      <w:r w:rsidRPr="00392A24">
        <w:tab/>
      </w:r>
      <w:r w:rsidR="008165C2" w:rsidRPr="00392A24">
        <w:t xml:space="preserve">who </w:t>
      </w:r>
      <w:r w:rsidRPr="00392A24">
        <w:t>has been nominated in relation to an occupation that requires the applicant to hold a licence, registration or membership to perform the occupation; and</w:t>
      </w:r>
    </w:p>
    <w:p w:rsidR="007A7E2E" w:rsidRPr="00392A24" w:rsidRDefault="007A7E2E" w:rsidP="007A7E2E">
      <w:pPr>
        <w:pStyle w:val="paragraphsub"/>
      </w:pPr>
      <w:r w:rsidRPr="00392A24">
        <w:tab/>
        <w:t>(ii)</w:t>
      </w:r>
      <w:r w:rsidRPr="00392A24">
        <w:tab/>
      </w:r>
      <w:r w:rsidR="008165C2" w:rsidRPr="00392A24">
        <w:t xml:space="preserve">who has been granted that </w:t>
      </w:r>
      <w:r w:rsidRPr="00392A24">
        <w:t>license, registration or membership; and</w:t>
      </w:r>
    </w:p>
    <w:p w:rsidR="007A7E2E" w:rsidRPr="00392A24" w:rsidRDefault="007A7E2E" w:rsidP="007A7E2E">
      <w:pPr>
        <w:pStyle w:val="paragraphsub"/>
      </w:pPr>
      <w:r w:rsidRPr="00392A24">
        <w:tab/>
        <w:t>(iii)</w:t>
      </w:r>
      <w:r w:rsidRPr="00392A24">
        <w:tab/>
      </w:r>
      <w:r w:rsidR="00C471E3" w:rsidRPr="00392A24">
        <w:t xml:space="preserve">who, </w:t>
      </w:r>
      <w:r w:rsidRPr="00392A24">
        <w:t xml:space="preserve">for the purposes of </w:t>
      </w:r>
      <w:r w:rsidR="008165C2" w:rsidRPr="00392A24">
        <w:t>the grant of that</w:t>
      </w:r>
      <w:r w:rsidRPr="00392A24">
        <w:t xml:space="preserve"> license, registration or membership</w:t>
      </w:r>
      <w:r w:rsidR="008165C2" w:rsidRPr="00392A24">
        <w:t>,</w:t>
      </w:r>
      <w:r w:rsidRPr="00392A24">
        <w:t xml:space="preserve"> was required to demonstrate a leve</w:t>
      </w:r>
      <w:r w:rsidR="008165C2" w:rsidRPr="00392A24">
        <w:t xml:space="preserve">l of English language </w:t>
      </w:r>
      <w:r w:rsidR="00CC7EB5" w:rsidRPr="00392A24">
        <w:t>p</w:t>
      </w:r>
      <w:r w:rsidR="008165C2" w:rsidRPr="00392A24">
        <w:t>roficiency</w:t>
      </w:r>
      <w:r w:rsidR="0032522F" w:rsidRPr="00392A24">
        <w:t xml:space="preserve"> that is equivalent to, or better than, the level of English language proficiency that is required to achieve </w:t>
      </w:r>
      <w:r w:rsidRPr="00392A24">
        <w:t>the required test scores for an approved English language test that the applicant would have been required to achieve but for this paragraph</w:t>
      </w:r>
      <w:r w:rsidR="00C471E3" w:rsidRPr="00392A24">
        <w:t>; or</w:t>
      </w:r>
    </w:p>
    <w:p w:rsidR="00CD1C35" w:rsidRPr="00392A24" w:rsidRDefault="00A20228" w:rsidP="00A20228">
      <w:pPr>
        <w:pStyle w:val="paragraph"/>
        <w:rPr>
          <w:b/>
          <w:color w:val="000000"/>
          <w:sz w:val="32"/>
          <w:szCs w:val="32"/>
        </w:rPr>
      </w:pPr>
      <w:r w:rsidRPr="00392A24">
        <w:tab/>
        <w:t>(e)</w:t>
      </w:r>
      <w:r w:rsidRPr="00392A24">
        <w:tab/>
      </w:r>
      <w:r w:rsidR="00CD1C35" w:rsidRPr="00392A24">
        <w:t>who:</w:t>
      </w:r>
    </w:p>
    <w:p w:rsidR="00CD1C35" w:rsidRPr="00392A24" w:rsidRDefault="00A20228" w:rsidP="00A20228">
      <w:pPr>
        <w:pStyle w:val="paragraphsub"/>
      </w:pPr>
      <w:r w:rsidRPr="00392A24">
        <w:tab/>
        <w:t>(</w:t>
      </w:r>
      <w:proofErr w:type="spellStart"/>
      <w:r w:rsidRPr="00392A24">
        <w:t>i</w:t>
      </w:r>
      <w:proofErr w:type="spellEnd"/>
      <w:r w:rsidRPr="00392A24">
        <w:t>)</w:t>
      </w:r>
      <w:r w:rsidRPr="00392A24">
        <w:tab/>
      </w:r>
      <w:r w:rsidR="00CD1C35" w:rsidRPr="00392A24">
        <w:t xml:space="preserve">is employed by a company operating an established business overseas; </w:t>
      </w:r>
      <w:r w:rsidR="007A7E2E" w:rsidRPr="00392A24">
        <w:t>and</w:t>
      </w:r>
    </w:p>
    <w:p w:rsidR="00CD1C35" w:rsidRPr="00392A24" w:rsidRDefault="00A20228" w:rsidP="00A20228">
      <w:pPr>
        <w:pStyle w:val="paragraphsub"/>
      </w:pPr>
      <w:r w:rsidRPr="00392A24">
        <w:tab/>
        <w:t>(ii)</w:t>
      </w:r>
      <w:r w:rsidRPr="00392A24">
        <w:tab/>
      </w:r>
      <w:r w:rsidR="00CD1C35" w:rsidRPr="00392A24">
        <w:t>is nominated by a stan</w:t>
      </w:r>
      <w:r w:rsidR="007A7E2E" w:rsidRPr="00392A24">
        <w:t>dard business sponsor who is that</w:t>
      </w:r>
      <w:r w:rsidR="00CD1C35" w:rsidRPr="00392A24">
        <w:t xml:space="preserve"> company or an associated entity of that company; and</w:t>
      </w:r>
    </w:p>
    <w:p w:rsidR="00CD1C35" w:rsidRPr="00392A24" w:rsidRDefault="00A20228" w:rsidP="00A20228">
      <w:pPr>
        <w:pStyle w:val="paragraphsub"/>
      </w:pPr>
      <w:r w:rsidRPr="00392A24">
        <w:tab/>
        <w:t>(iii)</w:t>
      </w:r>
      <w:r w:rsidRPr="00392A24">
        <w:tab/>
      </w:r>
      <w:r w:rsidR="00CD1C35" w:rsidRPr="00392A24">
        <w:t>will</w:t>
      </w:r>
      <w:r w:rsidR="00E47E4D" w:rsidRPr="00392A24">
        <w:t xml:space="preserve"> receive</w:t>
      </w:r>
      <w:r w:rsidR="00CD1C35" w:rsidRPr="00392A24">
        <w:t xml:space="preserve"> </w:t>
      </w:r>
      <w:r w:rsidRPr="00392A24">
        <w:t xml:space="preserve">annual earnings </w:t>
      </w:r>
      <w:r w:rsidR="00E47E4D" w:rsidRPr="00392A24">
        <w:t>of at least AUD</w:t>
      </w:r>
      <w:r w:rsidR="00CD1C35" w:rsidRPr="00392A24">
        <w:t>96,400.</w:t>
      </w:r>
    </w:p>
    <w:p w:rsidR="006D6708" w:rsidRPr="00392A24" w:rsidRDefault="006D6708" w:rsidP="006D6708">
      <w:pPr>
        <w:pStyle w:val="Definition"/>
      </w:pPr>
      <w:r w:rsidRPr="00392A24">
        <w:rPr>
          <w:b/>
          <w:i/>
        </w:rPr>
        <w:t>full</w:t>
      </w:r>
      <w:r w:rsidR="00392A24">
        <w:rPr>
          <w:b/>
          <w:i/>
        </w:rPr>
        <w:noBreakHyphen/>
      </w:r>
      <w:r w:rsidRPr="00392A24">
        <w:rPr>
          <w:b/>
          <w:i/>
        </w:rPr>
        <w:t>time study</w:t>
      </w:r>
      <w:r w:rsidRPr="00392A24">
        <w:t xml:space="preserve"> means:</w:t>
      </w:r>
    </w:p>
    <w:p w:rsidR="006D6708" w:rsidRPr="00392A24" w:rsidRDefault="006D6708" w:rsidP="006D6708">
      <w:pPr>
        <w:pStyle w:val="paragraph"/>
      </w:pPr>
      <w:r w:rsidRPr="00392A24">
        <w:tab/>
        <w:t>(a)</w:t>
      </w:r>
      <w:r w:rsidRPr="00392A24">
        <w:tab/>
        <w:t>in relation to</w:t>
      </w:r>
      <w:r w:rsidR="00536685" w:rsidRPr="00392A24">
        <w:t xml:space="preserve"> a</w:t>
      </w:r>
      <w:r w:rsidRPr="00392A24">
        <w:t xml:space="preserve"> secondary education</w:t>
      </w:r>
      <w:r w:rsidR="00536685" w:rsidRPr="00392A24">
        <w:t xml:space="preserve"> institution</w:t>
      </w:r>
      <w:r w:rsidRPr="00392A24">
        <w:t xml:space="preserve"> in a particular country—the standard number of contact hours that a student would undertake in that</w:t>
      </w:r>
      <w:r w:rsidR="00331C13" w:rsidRPr="00392A24">
        <w:t xml:space="preserve"> country; or</w:t>
      </w:r>
    </w:p>
    <w:p w:rsidR="006D6708" w:rsidRPr="00392A24" w:rsidRDefault="006D6708" w:rsidP="006D6708">
      <w:pPr>
        <w:pStyle w:val="paragraph"/>
      </w:pPr>
      <w:r w:rsidRPr="00392A24">
        <w:tab/>
        <w:t>(b)</w:t>
      </w:r>
      <w:r w:rsidRPr="00392A24">
        <w:tab/>
        <w:t xml:space="preserve">in relation to </w:t>
      </w:r>
      <w:r w:rsidR="00536685" w:rsidRPr="00392A24">
        <w:t xml:space="preserve">a </w:t>
      </w:r>
      <w:r w:rsidRPr="00392A24">
        <w:t>higher education</w:t>
      </w:r>
      <w:r w:rsidR="00536685" w:rsidRPr="00392A24">
        <w:t xml:space="preserve"> institution</w:t>
      </w:r>
      <w:r w:rsidRPr="00392A24">
        <w:t xml:space="preserve">—the completion of at least </w:t>
      </w:r>
      <w:r w:rsidR="00331C13" w:rsidRPr="00392A24">
        <w:t xml:space="preserve">3 </w:t>
      </w:r>
      <w:r w:rsidRPr="00392A24">
        <w:t>subjects in each semester or trimester of study.</w:t>
      </w:r>
    </w:p>
    <w:p w:rsidR="009547E4" w:rsidRPr="00392A24" w:rsidRDefault="009547E4" w:rsidP="00404B5D">
      <w:pPr>
        <w:pStyle w:val="Definition"/>
      </w:pPr>
      <w:r w:rsidRPr="00392A24">
        <w:rPr>
          <w:b/>
          <w:i/>
        </w:rPr>
        <w:t>required test scores</w:t>
      </w:r>
      <w:r w:rsidRPr="00392A24">
        <w:t xml:space="preserve"> for an approved English language test: see subsections</w:t>
      </w:r>
      <w:r w:rsidR="00392A24" w:rsidRPr="00392A24">
        <w:t> </w:t>
      </w:r>
      <w:r w:rsidRPr="00392A24">
        <w:t>5(3) and (4).</w:t>
      </w:r>
    </w:p>
    <w:p w:rsidR="006D6708" w:rsidRPr="00392A24" w:rsidRDefault="00404B5D" w:rsidP="00404B5D">
      <w:pPr>
        <w:pStyle w:val="Definition"/>
      </w:pPr>
      <w:r w:rsidRPr="00392A24">
        <w:rPr>
          <w:b/>
          <w:i/>
        </w:rPr>
        <w:t>test component</w:t>
      </w:r>
      <w:r w:rsidR="006B5B75" w:rsidRPr="00392A24">
        <w:t xml:space="preserve">: each of </w:t>
      </w:r>
      <w:r w:rsidRPr="00392A24">
        <w:t>the following</w:t>
      </w:r>
      <w:r w:rsidR="006B5B75" w:rsidRPr="00392A24">
        <w:t xml:space="preserve"> is a test component of an approved English language test:</w:t>
      </w:r>
    </w:p>
    <w:p w:rsidR="00404B5D" w:rsidRPr="00392A24" w:rsidRDefault="00404B5D" w:rsidP="00404B5D">
      <w:pPr>
        <w:pStyle w:val="paragraph"/>
      </w:pPr>
      <w:r w:rsidRPr="00392A24">
        <w:tab/>
        <w:t>(a)</w:t>
      </w:r>
      <w:r w:rsidRPr="00392A24">
        <w:tab/>
        <w:t>listening;</w:t>
      </w:r>
    </w:p>
    <w:p w:rsidR="00404B5D" w:rsidRPr="00392A24" w:rsidRDefault="00404B5D" w:rsidP="00404B5D">
      <w:pPr>
        <w:pStyle w:val="paragraph"/>
      </w:pPr>
      <w:r w:rsidRPr="00392A24">
        <w:tab/>
        <w:t>(b)</w:t>
      </w:r>
      <w:r w:rsidRPr="00392A24">
        <w:tab/>
        <w:t>reading;</w:t>
      </w:r>
    </w:p>
    <w:p w:rsidR="00404B5D" w:rsidRPr="00392A24" w:rsidRDefault="00404B5D" w:rsidP="00404B5D">
      <w:pPr>
        <w:pStyle w:val="paragraph"/>
      </w:pPr>
      <w:r w:rsidRPr="00392A24">
        <w:tab/>
        <w:t>(c)</w:t>
      </w:r>
      <w:r w:rsidRPr="00392A24">
        <w:tab/>
        <w:t>speaking;</w:t>
      </w:r>
    </w:p>
    <w:p w:rsidR="00404B5D" w:rsidRPr="00392A24" w:rsidRDefault="00404B5D" w:rsidP="00404B5D">
      <w:pPr>
        <w:pStyle w:val="paragraph"/>
      </w:pPr>
      <w:r w:rsidRPr="00392A24">
        <w:tab/>
        <w:t>(d)</w:t>
      </w:r>
      <w:r w:rsidRPr="00392A24">
        <w:tab/>
        <w:t>writing.</w:t>
      </w:r>
    </w:p>
    <w:p w:rsidR="00FA6EE6" w:rsidRPr="00392A24" w:rsidRDefault="00F83D46" w:rsidP="00C655F3">
      <w:pPr>
        <w:pStyle w:val="ActHead5"/>
      </w:pPr>
      <w:bookmarkStart w:id="5" w:name="_Toc507743757"/>
      <w:r w:rsidRPr="00392A24">
        <w:rPr>
          <w:rStyle w:val="CharSectno"/>
        </w:rPr>
        <w:t>5</w:t>
      </w:r>
      <w:r w:rsidR="00C655F3" w:rsidRPr="00392A24">
        <w:t xml:space="preserve">  Language test requirements</w:t>
      </w:r>
      <w:bookmarkEnd w:id="5"/>
    </w:p>
    <w:p w:rsidR="00D70857" w:rsidRPr="00392A24" w:rsidRDefault="00D70857" w:rsidP="00D70857">
      <w:pPr>
        <w:pStyle w:val="subsection"/>
      </w:pPr>
      <w:r w:rsidRPr="00392A24">
        <w:tab/>
        <w:t>(1)</w:t>
      </w:r>
      <w:r w:rsidRPr="00392A24">
        <w:tab/>
        <w:t>The language test requirements for an applicant for a Subclass 482 (Temporary Skill Shortage) visa (other than an exempt applicant) are:</w:t>
      </w:r>
    </w:p>
    <w:p w:rsidR="00D70857" w:rsidRPr="00392A24" w:rsidRDefault="00D70857" w:rsidP="00D70857">
      <w:pPr>
        <w:pStyle w:val="paragraph"/>
      </w:pPr>
      <w:r w:rsidRPr="00392A24">
        <w:tab/>
        <w:t>(a)</w:t>
      </w:r>
      <w:r w:rsidRPr="00392A24">
        <w:tab/>
        <w:t xml:space="preserve">the applicant took an approved English language test on a particular day (the </w:t>
      </w:r>
      <w:r w:rsidRPr="00392A24">
        <w:rPr>
          <w:b/>
          <w:i/>
        </w:rPr>
        <w:t>test day</w:t>
      </w:r>
      <w:r w:rsidRPr="00392A24">
        <w:t>); and</w:t>
      </w:r>
    </w:p>
    <w:p w:rsidR="00D70857" w:rsidRPr="00392A24" w:rsidRDefault="00D70857" w:rsidP="00D70857">
      <w:pPr>
        <w:pStyle w:val="paragraph"/>
      </w:pPr>
      <w:r w:rsidRPr="00392A24">
        <w:lastRenderedPageBreak/>
        <w:tab/>
        <w:t>(b)</w:t>
      </w:r>
      <w:r w:rsidRPr="00392A24">
        <w:tab/>
        <w:t>the applicant achieved the required test scores for the approved English language test taken by the applicant on the test day</w:t>
      </w:r>
      <w:r w:rsidR="00D207EF" w:rsidRPr="00392A24">
        <w:t xml:space="preserve"> </w:t>
      </w:r>
      <w:r w:rsidRPr="00392A24">
        <w:t>in a single attempt at that test; and</w:t>
      </w:r>
    </w:p>
    <w:p w:rsidR="00D70857" w:rsidRPr="00392A24" w:rsidRDefault="00D70857" w:rsidP="00D70857">
      <w:pPr>
        <w:pStyle w:val="paragraph"/>
      </w:pPr>
      <w:r w:rsidRPr="00392A24">
        <w:tab/>
        <w:t>(c)</w:t>
      </w:r>
      <w:r w:rsidRPr="00392A24">
        <w:tab/>
        <w:t xml:space="preserve">the test day is not more than 3 years before the day on which the applicant provided evidence of the matter mentioned in </w:t>
      </w:r>
      <w:r w:rsidR="00392A24" w:rsidRPr="00392A24">
        <w:t>paragraph (</w:t>
      </w:r>
      <w:r w:rsidRPr="00392A24">
        <w:t>b).</w:t>
      </w:r>
    </w:p>
    <w:p w:rsidR="003E3C34" w:rsidRPr="00392A24" w:rsidRDefault="003E3C34" w:rsidP="003E3C34">
      <w:pPr>
        <w:pStyle w:val="subsection"/>
      </w:pPr>
      <w:r w:rsidRPr="00392A24">
        <w:tab/>
      </w:r>
      <w:r w:rsidR="00F83D46" w:rsidRPr="00392A24">
        <w:t>(2)</w:t>
      </w:r>
      <w:r w:rsidR="00F83D46" w:rsidRPr="00392A24">
        <w:tab/>
        <w:t xml:space="preserve">Each of the following is an </w:t>
      </w:r>
      <w:r w:rsidR="00F83D46" w:rsidRPr="00392A24">
        <w:rPr>
          <w:b/>
          <w:i/>
        </w:rPr>
        <w:t xml:space="preserve">approved English </w:t>
      </w:r>
      <w:r w:rsidR="00404B5D" w:rsidRPr="00392A24">
        <w:rPr>
          <w:b/>
          <w:i/>
        </w:rPr>
        <w:t xml:space="preserve">language </w:t>
      </w:r>
      <w:r w:rsidR="00F83D46" w:rsidRPr="00392A24">
        <w:rPr>
          <w:b/>
          <w:i/>
        </w:rPr>
        <w:t>test</w:t>
      </w:r>
      <w:r w:rsidR="00F83D46" w:rsidRPr="00392A24">
        <w:t>:</w:t>
      </w:r>
    </w:p>
    <w:p w:rsidR="00F83D46" w:rsidRPr="00392A24" w:rsidRDefault="00F83D46" w:rsidP="00F83D46">
      <w:pPr>
        <w:pStyle w:val="paragraph"/>
      </w:pPr>
      <w:r w:rsidRPr="00392A24">
        <w:tab/>
        <w:t xml:space="preserve">(a) </w:t>
      </w:r>
      <w:r w:rsidRPr="00392A24">
        <w:tab/>
      </w:r>
      <w:r w:rsidR="00294473" w:rsidRPr="00392A24">
        <w:t xml:space="preserve">the </w:t>
      </w:r>
      <w:r w:rsidRPr="00392A24">
        <w:t>International Eng</w:t>
      </w:r>
      <w:r w:rsidR="00331C13" w:rsidRPr="00392A24">
        <w:t>lish Language Testing System</w:t>
      </w:r>
      <w:r w:rsidR="00B63168" w:rsidRPr="00392A24">
        <w:t xml:space="preserve"> (the </w:t>
      </w:r>
      <w:proofErr w:type="spellStart"/>
      <w:r w:rsidR="00B63168" w:rsidRPr="00392A24">
        <w:rPr>
          <w:b/>
          <w:i/>
        </w:rPr>
        <w:t>IELTS</w:t>
      </w:r>
      <w:proofErr w:type="spellEnd"/>
      <w:r w:rsidR="00B63168" w:rsidRPr="00392A24">
        <w:t>)</w:t>
      </w:r>
      <w:r w:rsidR="00331C13" w:rsidRPr="00392A24">
        <w:t>;</w:t>
      </w:r>
    </w:p>
    <w:p w:rsidR="00F83D46" w:rsidRPr="00392A24" w:rsidRDefault="00F83D46" w:rsidP="00F83D46">
      <w:pPr>
        <w:pStyle w:val="paragraph"/>
      </w:pPr>
      <w:r w:rsidRPr="00392A24">
        <w:tab/>
        <w:t>(b)</w:t>
      </w:r>
      <w:r w:rsidRPr="00392A24">
        <w:tab/>
      </w:r>
      <w:r w:rsidR="00294473" w:rsidRPr="00392A24">
        <w:t>the Occupational English Test</w:t>
      </w:r>
      <w:r w:rsidR="00B63168" w:rsidRPr="00392A24">
        <w:t xml:space="preserve"> (the </w:t>
      </w:r>
      <w:proofErr w:type="spellStart"/>
      <w:r w:rsidR="00B63168" w:rsidRPr="00392A24">
        <w:rPr>
          <w:b/>
          <w:i/>
        </w:rPr>
        <w:t>OET</w:t>
      </w:r>
      <w:proofErr w:type="spellEnd"/>
      <w:r w:rsidR="00B63168" w:rsidRPr="00392A24">
        <w:t>)</w:t>
      </w:r>
      <w:r w:rsidR="00331C13" w:rsidRPr="00392A24">
        <w:t>;</w:t>
      </w:r>
    </w:p>
    <w:p w:rsidR="00F83D46" w:rsidRPr="00392A24" w:rsidRDefault="00F83D46" w:rsidP="00F83D46">
      <w:pPr>
        <w:pStyle w:val="paragraph"/>
      </w:pPr>
      <w:r w:rsidRPr="00392A24">
        <w:tab/>
        <w:t>(c)</w:t>
      </w:r>
      <w:r w:rsidRPr="00392A24">
        <w:tab/>
      </w:r>
      <w:r w:rsidR="00294473" w:rsidRPr="00392A24">
        <w:t>the</w:t>
      </w:r>
      <w:r w:rsidR="003A74D7" w:rsidRPr="00392A24">
        <w:t xml:space="preserve"> </w:t>
      </w:r>
      <w:r w:rsidRPr="00392A24">
        <w:t>Test of English as a Foreign La</w:t>
      </w:r>
      <w:r w:rsidR="00294473" w:rsidRPr="00392A24">
        <w:t>nguage internet</w:t>
      </w:r>
      <w:r w:rsidR="00392A24">
        <w:noBreakHyphen/>
      </w:r>
      <w:r w:rsidR="00294473" w:rsidRPr="00392A24">
        <w:t>based test</w:t>
      </w:r>
      <w:r w:rsidR="00B63168" w:rsidRPr="00392A24">
        <w:t xml:space="preserve"> (the </w:t>
      </w:r>
      <w:proofErr w:type="spellStart"/>
      <w:r w:rsidR="00B63168" w:rsidRPr="00392A24">
        <w:rPr>
          <w:b/>
          <w:i/>
        </w:rPr>
        <w:t>TOEFL</w:t>
      </w:r>
      <w:proofErr w:type="spellEnd"/>
      <w:r w:rsidR="00B63168" w:rsidRPr="00392A24">
        <w:t>)</w:t>
      </w:r>
      <w:r w:rsidR="00C471E3" w:rsidRPr="00392A24">
        <w:t>;</w:t>
      </w:r>
    </w:p>
    <w:p w:rsidR="00F83D46" w:rsidRPr="00392A24" w:rsidRDefault="00F83D46" w:rsidP="00F83D46">
      <w:pPr>
        <w:pStyle w:val="paragraph"/>
      </w:pPr>
      <w:r w:rsidRPr="00392A24">
        <w:tab/>
        <w:t>(d)</w:t>
      </w:r>
      <w:r w:rsidRPr="00392A24">
        <w:tab/>
      </w:r>
      <w:r w:rsidR="00294473" w:rsidRPr="00392A24">
        <w:t xml:space="preserve">the </w:t>
      </w:r>
      <w:r w:rsidRPr="00392A24">
        <w:t>Pearso</w:t>
      </w:r>
      <w:r w:rsidR="00294473" w:rsidRPr="00392A24">
        <w:t>n Test of English Academic</w:t>
      </w:r>
      <w:r w:rsidR="00B63168" w:rsidRPr="00392A24">
        <w:t xml:space="preserve"> (the </w:t>
      </w:r>
      <w:r w:rsidR="00B63168" w:rsidRPr="00392A24">
        <w:rPr>
          <w:b/>
          <w:i/>
        </w:rPr>
        <w:t>PTE</w:t>
      </w:r>
      <w:r w:rsidR="00B63168" w:rsidRPr="00392A24">
        <w:t>)</w:t>
      </w:r>
      <w:r w:rsidR="00331C13" w:rsidRPr="00392A24">
        <w:t>;</w:t>
      </w:r>
    </w:p>
    <w:p w:rsidR="00F83D46" w:rsidRPr="00392A24" w:rsidRDefault="00F83D46" w:rsidP="00F83D46">
      <w:pPr>
        <w:pStyle w:val="paragraph"/>
      </w:pPr>
      <w:r w:rsidRPr="00392A24">
        <w:tab/>
        <w:t>(e)</w:t>
      </w:r>
      <w:r w:rsidRPr="00392A24">
        <w:tab/>
      </w:r>
      <w:r w:rsidR="00294473" w:rsidRPr="00392A24">
        <w:t xml:space="preserve">the </w:t>
      </w:r>
      <w:r w:rsidRPr="00392A24">
        <w:t>Cambridge English: Advanced test</w:t>
      </w:r>
      <w:r w:rsidR="00B63168" w:rsidRPr="00392A24">
        <w:t xml:space="preserve"> (the </w:t>
      </w:r>
      <w:r w:rsidR="00B63168" w:rsidRPr="00392A24">
        <w:rPr>
          <w:b/>
          <w:i/>
        </w:rPr>
        <w:t>CAE</w:t>
      </w:r>
      <w:r w:rsidR="00B63168" w:rsidRPr="00392A24">
        <w:t>)</w:t>
      </w:r>
      <w:r w:rsidRPr="00392A24">
        <w:t>.</w:t>
      </w:r>
    </w:p>
    <w:p w:rsidR="006B5B75" w:rsidRPr="00392A24" w:rsidRDefault="00F83D46" w:rsidP="006B5B75">
      <w:pPr>
        <w:pStyle w:val="subsection"/>
      </w:pPr>
      <w:r w:rsidRPr="00392A24">
        <w:tab/>
        <w:t>(3)</w:t>
      </w:r>
      <w:r w:rsidRPr="00392A24">
        <w:tab/>
      </w:r>
      <w:r w:rsidR="00536685" w:rsidRPr="00392A24">
        <w:t>If the applicant</w:t>
      </w:r>
      <w:r w:rsidR="00DB06A8" w:rsidRPr="00392A24">
        <w:t xml:space="preserve"> applied for a Subclass 482</w:t>
      </w:r>
      <w:r w:rsidR="000D539A" w:rsidRPr="00392A24">
        <w:t xml:space="preserve"> (Temporary Skill Shortage)</w:t>
      </w:r>
      <w:r w:rsidR="00DB06A8" w:rsidRPr="00392A24">
        <w:t xml:space="preserve"> visa in the Short</w:t>
      </w:r>
      <w:r w:rsidR="00392A24">
        <w:noBreakHyphen/>
      </w:r>
      <w:r w:rsidR="00DB06A8" w:rsidRPr="00392A24">
        <w:t>term stream, t</w:t>
      </w:r>
      <w:r w:rsidRPr="00392A24">
        <w:t xml:space="preserve">he </w:t>
      </w:r>
      <w:r w:rsidRPr="00392A24">
        <w:rPr>
          <w:b/>
          <w:i/>
        </w:rPr>
        <w:t>required test score</w:t>
      </w:r>
      <w:r w:rsidR="00404B5D" w:rsidRPr="00392A24">
        <w:rPr>
          <w:b/>
          <w:i/>
        </w:rPr>
        <w:t>s</w:t>
      </w:r>
      <w:r w:rsidRPr="00392A24">
        <w:t xml:space="preserve"> for an approved English</w:t>
      </w:r>
      <w:r w:rsidR="00404B5D" w:rsidRPr="00392A24">
        <w:t xml:space="preserve"> language</w:t>
      </w:r>
      <w:r w:rsidRPr="00392A24">
        <w:t xml:space="preserve"> test </w:t>
      </w:r>
      <w:r w:rsidR="00CD1C35" w:rsidRPr="00392A24">
        <w:t>is</w:t>
      </w:r>
      <w:r w:rsidR="006B5B75" w:rsidRPr="00392A24">
        <w:t xml:space="preserve"> </w:t>
      </w:r>
      <w:r w:rsidR="00C471E3" w:rsidRPr="00392A24">
        <w:t xml:space="preserve">to be </w:t>
      </w:r>
      <w:r w:rsidR="006B5B75" w:rsidRPr="00392A24">
        <w:t>worked out using the following table</w:t>
      </w:r>
      <w:r w:rsidR="000B7229" w:rsidRPr="00392A24">
        <w:t>.</w:t>
      </w:r>
    </w:p>
    <w:p w:rsidR="006B5B75" w:rsidRPr="00392A24" w:rsidRDefault="006B5B75" w:rsidP="006B5B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6B5B75" w:rsidRPr="00392A24" w:rsidTr="009547E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B5B75" w:rsidRPr="00392A24" w:rsidRDefault="009547E4" w:rsidP="006B5B75">
            <w:pPr>
              <w:pStyle w:val="TableHeading"/>
            </w:pPr>
            <w:r w:rsidRPr="00392A24">
              <w:t>Required test scores</w:t>
            </w:r>
          </w:p>
        </w:tc>
      </w:tr>
      <w:tr w:rsidR="006B5B75" w:rsidRPr="00392A24" w:rsidTr="009547E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Heading"/>
            </w:pPr>
            <w:r w:rsidRPr="00392A24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5B75" w:rsidRPr="00392A24" w:rsidRDefault="006B5B75" w:rsidP="00B63168">
            <w:pPr>
              <w:pStyle w:val="TableHeading"/>
            </w:pPr>
            <w:r w:rsidRPr="00392A24">
              <w:t>If the ap</w:t>
            </w:r>
            <w:r w:rsidR="006F17E0" w:rsidRPr="00392A24">
              <w:t>proved English language test is</w:t>
            </w:r>
            <w:r w:rsidR="000D539A" w:rsidRPr="00392A24">
              <w:t xml:space="preserve"> </w:t>
            </w:r>
            <w:r w:rsidR="00B63168" w:rsidRPr="00392A24">
              <w:t>…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5B75" w:rsidRPr="00392A24" w:rsidRDefault="006B5B75" w:rsidP="006F17E0">
            <w:pPr>
              <w:pStyle w:val="TableHeading"/>
            </w:pPr>
            <w:r w:rsidRPr="00392A24">
              <w:t>the required test scores for that test are</w:t>
            </w:r>
            <w:r w:rsidR="000D539A" w:rsidRPr="00392A24">
              <w:t xml:space="preserve"> </w:t>
            </w:r>
            <w:r w:rsidR="00B63168" w:rsidRPr="00392A24">
              <w:t>…</w:t>
            </w:r>
          </w:p>
        </w:tc>
      </w:tr>
      <w:tr w:rsidR="006B5B75" w:rsidRPr="00392A24" w:rsidTr="009547E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:rsidR="006B5B75" w:rsidRPr="00392A24" w:rsidRDefault="006B5B75" w:rsidP="00B63168">
            <w:pPr>
              <w:pStyle w:val="Tabletext"/>
            </w:pPr>
            <w:r w:rsidRPr="00392A24">
              <w:t>the</w:t>
            </w:r>
            <w:r w:rsidR="00B63168" w:rsidRPr="00392A24">
              <w:t xml:space="preserve"> </w:t>
            </w:r>
            <w:proofErr w:type="spellStart"/>
            <w:r w:rsidR="00B63168" w:rsidRPr="00392A24">
              <w:t>IELTS</w:t>
            </w:r>
            <w:proofErr w:type="spellEnd"/>
          </w:p>
        </w:tc>
        <w:tc>
          <w:tcPr>
            <w:tcW w:w="4631" w:type="dxa"/>
            <w:tcBorders>
              <w:top w:val="single" w:sz="1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a"/>
            </w:pPr>
            <w:r w:rsidRPr="00392A24">
              <w:t xml:space="preserve">(a) </w:t>
            </w:r>
            <w:r w:rsidR="0032522F" w:rsidRPr="00392A24">
              <w:t>an overall</w:t>
            </w:r>
            <w:r w:rsidRPr="00392A24">
              <w:t xml:space="preserve"> band score of at least 5.0; and</w:t>
            </w:r>
          </w:p>
          <w:p w:rsidR="006B5B75" w:rsidRPr="00392A24" w:rsidRDefault="006B5B75" w:rsidP="006B5B75">
            <w:pPr>
              <w:pStyle w:val="Tablea"/>
            </w:pPr>
            <w:r w:rsidRPr="00392A24">
              <w:t xml:space="preserve">(b) a score of at least 4.5 for each test component of the </w:t>
            </w:r>
            <w:proofErr w:type="spellStart"/>
            <w:r w:rsidRPr="00392A24">
              <w:t>IELTS</w:t>
            </w:r>
            <w:proofErr w:type="spellEnd"/>
            <w:r w:rsidRPr="00392A24">
              <w:t>.</w:t>
            </w:r>
          </w:p>
        </w:tc>
      </w:tr>
      <w:tr w:rsidR="006B5B75" w:rsidRPr="00392A24" w:rsidTr="009547E4">
        <w:tc>
          <w:tcPr>
            <w:tcW w:w="714" w:type="dxa"/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>2</w:t>
            </w:r>
          </w:p>
        </w:tc>
        <w:tc>
          <w:tcPr>
            <w:tcW w:w="2967" w:type="dxa"/>
            <w:shd w:val="clear" w:color="auto" w:fill="auto"/>
          </w:tcPr>
          <w:p w:rsidR="006B5B75" w:rsidRPr="00392A24" w:rsidRDefault="006B5B75" w:rsidP="00B63168">
            <w:pPr>
              <w:pStyle w:val="Tabletext"/>
            </w:pPr>
            <w:r w:rsidRPr="00392A24">
              <w:t>the</w:t>
            </w:r>
            <w:r w:rsidR="00B63168" w:rsidRPr="00392A24">
              <w:t xml:space="preserve"> </w:t>
            </w:r>
            <w:proofErr w:type="spellStart"/>
            <w:r w:rsidR="00B63168" w:rsidRPr="00392A24">
              <w:t>OET</w:t>
            </w:r>
            <w:proofErr w:type="spellEnd"/>
          </w:p>
        </w:tc>
        <w:tc>
          <w:tcPr>
            <w:tcW w:w="4631" w:type="dxa"/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 xml:space="preserve">a score of at least B for each test component of the </w:t>
            </w:r>
            <w:proofErr w:type="spellStart"/>
            <w:r w:rsidRPr="00392A24">
              <w:t>OET</w:t>
            </w:r>
            <w:proofErr w:type="spellEnd"/>
            <w:r w:rsidRPr="00392A24">
              <w:t>.</w:t>
            </w:r>
          </w:p>
        </w:tc>
      </w:tr>
      <w:tr w:rsidR="006B5B75" w:rsidRPr="00392A24" w:rsidTr="009547E4">
        <w:tc>
          <w:tcPr>
            <w:tcW w:w="714" w:type="dxa"/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>3</w:t>
            </w:r>
          </w:p>
        </w:tc>
        <w:tc>
          <w:tcPr>
            <w:tcW w:w="2967" w:type="dxa"/>
            <w:shd w:val="clear" w:color="auto" w:fill="auto"/>
          </w:tcPr>
          <w:p w:rsidR="006B5B75" w:rsidRPr="00392A24" w:rsidRDefault="006B5B75" w:rsidP="00B63168">
            <w:pPr>
              <w:pStyle w:val="Tabletext"/>
            </w:pPr>
            <w:r w:rsidRPr="00392A24">
              <w:t>the</w:t>
            </w:r>
            <w:r w:rsidR="00294473" w:rsidRPr="00392A24">
              <w:t xml:space="preserve"> </w:t>
            </w:r>
            <w:proofErr w:type="spellStart"/>
            <w:r w:rsidR="00B63168" w:rsidRPr="00392A24">
              <w:t>TOEFL</w:t>
            </w:r>
            <w:proofErr w:type="spellEnd"/>
          </w:p>
        </w:tc>
        <w:tc>
          <w:tcPr>
            <w:tcW w:w="4631" w:type="dxa"/>
            <w:shd w:val="clear" w:color="auto" w:fill="auto"/>
          </w:tcPr>
          <w:p w:rsidR="006B5B75" w:rsidRPr="00392A24" w:rsidRDefault="006B5B75" w:rsidP="006B5B75">
            <w:pPr>
              <w:pStyle w:val="Tablea"/>
            </w:pPr>
            <w:r w:rsidRPr="00392A24">
              <w:t>(a) a</w:t>
            </w:r>
            <w:r w:rsidR="0032522F" w:rsidRPr="00392A24">
              <w:t>n overall</w:t>
            </w:r>
            <w:r w:rsidRPr="00392A24">
              <w:t xml:space="preserve"> band score of at least 35; and</w:t>
            </w:r>
          </w:p>
          <w:p w:rsidR="006B5B75" w:rsidRPr="00392A24" w:rsidRDefault="006B5B75" w:rsidP="004C60E6">
            <w:pPr>
              <w:pStyle w:val="Tablea"/>
            </w:pPr>
            <w:r w:rsidRPr="00392A24">
              <w:t xml:space="preserve">(b) for the listening and reading test components of the </w:t>
            </w:r>
            <w:proofErr w:type="spellStart"/>
            <w:r w:rsidRPr="00392A24">
              <w:t>TOEFL</w:t>
            </w:r>
            <w:proofErr w:type="spellEnd"/>
            <w:r w:rsidRPr="00392A24">
              <w:t>—a score of at least 3; and</w:t>
            </w:r>
          </w:p>
          <w:p w:rsidR="006B5B75" w:rsidRPr="00392A24" w:rsidRDefault="006B5B75" w:rsidP="004C60E6">
            <w:pPr>
              <w:pStyle w:val="Tablea"/>
            </w:pPr>
            <w:r w:rsidRPr="00392A24">
              <w:t xml:space="preserve">(c) for the speaking and writing test components of the </w:t>
            </w:r>
            <w:proofErr w:type="spellStart"/>
            <w:r w:rsidRPr="00392A24">
              <w:t>TOEFL</w:t>
            </w:r>
            <w:proofErr w:type="spellEnd"/>
            <w:r w:rsidRPr="00392A24">
              <w:t>—a score of at least 12.</w:t>
            </w:r>
          </w:p>
        </w:tc>
      </w:tr>
      <w:tr w:rsidR="006B5B75" w:rsidRPr="00392A24" w:rsidTr="009547E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>4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auto"/>
          </w:tcPr>
          <w:p w:rsidR="006B5B75" w:rsidRPr="00392A24" w:rsidRDefault="003A74D7" w:rsidP="00B63168">
            <w:pPr>
              <w:pStyle w:val="Tabletext"/>
            </w:pPr>
            <w:r w:rsidRPr="00392A24">
              <w:t>the P</w:t>
            </w:r>
            <w:r w:rsidR="00B63168" w:rsidRPr="00392A24">
              <w:t>TE</w:t>
            </w:r>
          </w:p>
        </w:tc>
        <w:tc>
          <w:tcPr>
            <w:tcW w:w="4631" w:type="dxa"/>
            <w:tcBorders>
              <w:bottom w:val="single" w:sz="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a"/>
            </w:pPr>
            <w:r w:rsidRPr="00392A24">
              <w:t>(a) an overall</w:t>
            </w:r>
            <w:r w:rsidR="009547E4" w:rsidRPr="00392A24">
              <w:t xml:space="preserve"> band score of at least 36</w:t>
            </w:r>
            <w:r w:rsidRPr="00392A24">
              <w:t>; and</w:t>
            </w:r>
          </w:p>
          <w:p w:rsidR="006B5B75" w:rsidRPr="00392A24" w:rsidRDefault="006B5B75" w:rsidP="006B5B75">
            <w:pPr>
              <w:pStyle w:val="Tablea"/>
            </w:pPr>
            <w:r w:rsidRPr="00392A24">
              <w:t xml:space="preserve">(b) a score of at least 30 for each test component of the </w:t>
            </w:r>
            <w:proofErr w:type="spellStart"/>
            <w:r w:rsidRPr="00392A24">
              <w:t>PTE.</w:t>
            </w:r>
            <w:proofErr w:type="spellEnd"/>
          </w:p>
        </w:tc>
      </w:tr>
      <w:tr w:rsidR="006B5B75" w:rsidRPr="00392A24" w:rsidTr="009547E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5B75" w:rsidRPr="00392A24" w:rsidRDefault="006B5B75" w:rsidP="006B5B75">
            <w:pPr>
              <w:pStyle w:val="Tabletext"/>
            </w:pPr>
            <w:r w:rsidRPr="00392A24">
              <w:t>5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5B75" w:rsidRPr="00392A24" w:rsidRDefault="009547E4" w:rsidP="00B63168">
            <w:pPr>
              <w:pStyle w:val="Tabletext"/>
            </w:pPr>
            <w:r w:rsidRPr="00392A24">
              <w:t>the</w:t>
            </w:r>
            <w:r w:rsidR="00B63168" w:rsidRPr="00392A24">
              <w:t xml:space="preserve"> CAE</w:t>
            </w:r>
          </w:p>
        </w:tc>
        <w:tc>
          <w:tcPr>
            <w:tcW w:w="4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547E4" w:rsidRPr="00392A24" w:rsidRDefault="009547E4" w:rsidP="009547E4">
            <w:pPr>
              <w:pStyle w:val="Tablea"/>
            </w:pPr>
            <w:r w:rsidRPr="00392A24">
              <w:t>(a) an overall band score of at least 154; and</w:t>
            </w:r>
          </w:p>
          <w:p w:rsidR="006B5B75" w:rsidRPr="00392A24" w:rsidRDefault="009547E4" w:rsidP="009547E4">
            <w:pPr>
              <w:pStyle w:val="Tablea"/>
            </w:pPr>
            <w:r w:rsidRPr="00392A24">
              <w:t>(b) a score of at least 147 for each test component of the CAE.</w:t>
            </w:r>
          </w:p>
        </w:tc>
      </w:tr>
    </w:tbl>
    <w:p w:rsidR="006B5B75" w:rsidRPr="00392A24" w:rsidRDefault="006B5B75" w:rsidP="006B5B75">
      <w:pPr>
        <w:pStyle w:val="Tabletext"/>
      </w:pPr>
    </w:p>
    <w:p w:rsidR="009547E4" w:rsidRPr="00392A24" w:rsidRDefault="009547E4" w:rsidP="009547E4">
      <w:pPr>
        <w:pStyle w:val="subsection"/>
      </w:pPr>
      <w:r w:rsidRPr="00392A24">
        <w:tab/>
      </w:r>
      <w:r w:rsidR="00536685" w:rsidRPr="00392A24">
        <w:t>(4)</w:t>
      </w:r>
      <w:r w:rsidR="00536685" w:rsidRPr="00392A24">
        <w:tab/>
        <w:t>If the applicant</w:t>
      </w:r>
      <w:r w:rsidRPr="00392A24">
        <w:t xml:space="preserve"> applied for a Subclass 482 </w:t>
      </w:r>
      <w:r w:rsidR="000D539A" w:rsidRPr="00392A24">
        <w:t xml:space="preserve">(Temporary Skill Shortage) </w:t>
      </w:r>
      <w:r w:rsidRPr="00392A24">
        <w:t>visa in the Medium</w:t>
      </w:r>
      <w:r w:rsidR="00392A24">
        <w:noBreakHyphen/>
      </w:r>
      <w:r w:rsidRPr="00392A24">
        <w:t xml:space="preserve">term stream, the </w:t>
      </w:r>
      <w:r w:rsidRPr="00392A24">
        <w:rPr>
          <w:b/>
          <w:i/>
        </w:rPr>
        <w:t>required test scores</w:t>
      </w:r>
      <w:r w:rsidRPr="00392A24">
        <w:t xml:space="preserve"> for an approved English language test is to </w:t>
      </w:r>
      <w:r w:rsidR="00C471E3" w:rsidRPr="00392A24">
        <w:t xml:space="preserve">be </w:t>
      </w:r>
      <w:r w:rsidRPr="00392A24">
        <w:t>worked out using the following table</w:t>
      </w:r>
      <w:r w:rsidR="000B7229" w:rsidRPr="00392A24">
        <w:t>.</w:t>
      </w:r>
    </w:p>
    <w:p w:rsidR="009547E4" w:rsidRPr="00392A24" w:rsidRDefault="009547E4" w:rsidP="009547E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9547E4" w:rsidRPr="00392A24" w:rsidTr="008E570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547E4" w:rsidRPr="00392A24" w:rsidRDefault="009547E4" w:rsidP="008E5709">
            <w:pPr>
              <w:pStyle w:val="TableHeading"/>
            </w:pPr>
            <w:r w:rsidRPr="00392A24">
              <w:t>Required test scores</w:t>
            </w:r>
          </w:p>
        </w:tc>
      </w:tr>
      <w:tr w:rsidR="009547E4" w:rsidRPr="00392A24" w:rsidTr="008E570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547E4" w:rsidRPr="00392A24" w:rsidRDefault="009547E4" w:rsidP="008E5709">
            <w:pPr>
              <w:pStyle w:val="TableHeading"/>
            </w:pPr>
            <w:r w:rsidRPr="00392A24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547E4" w:rsidRPr="00392A24" w:rsidRDefault="009547E4" w:rsidP="006F17E0">
            <w:pPr>
              <w:pStyle w:val="TableHeading"/>
            </w:pPr>
            <w:r w:rsidRPr="00392A24">
              <w:t>If the approved English language test is</w:t>
            </w:r>
            <w:r w:rsidR="000D539A" w:rsidRPr="00392A24">
              <w:t xml:space="preserve"> </w:t>
            </w:r>
            <w:r w:rsidR="00B63168" w:rsidRPr="00392A24">
              <w:t>…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547E4" w:rsidRPr="00392A24" w:rsidRDefault="009547E4" w:rsidP="00331C13">
            <w:pPr>
              <w:pStyle w:val="TableHeading"/>
            </w:pPr>
            <w:r w:rsidRPr="00392A24">
              <w:t>the require</w:t>
            </w:r>
            <w:r w:rsidR="006F17E0" w:rsidRPr="00392A24">
              <w:t>d test scores for that test are</w:t>
            </w:r>
            <w:r w:rsidR="000D539A" w:rsidRPr="00392A24">
              <w:t xml:space="preserve"> </w:t>
            </w:r>
            <w:r w:rsidR="00B63168" w:rsidRPr="00392A24">
              <w:t>…</w:t>
            </w:r>
          </w:p>
        </w:tc>
      </w:tr>
      <w:tr w:rsidR="00B63168" w:rsidRPr="00392A24" w:rsidTr="008E570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:rsidR="00B63168" w:rsidRPr="00392A24" w:rsidRDefault="00B63168" w:rsidP="00A75D53">
            <w:pPr>
              <w:pStyle w:val="Tabletext"/>
            </w:pPr>
            <w:r w:rsidRPr="00392A24">
              <w:t xml:space="preserve">the </w:t>
            </w:r>
            <w:proofErr w:type="spellStart"/>
            <w:r w:rsidRPr="00392A24">
              <w:t>IELTS</w:t>
            </w:r>
            <w:proofErr w:type="spellEnd"/>
          </w:p>
        </w:tc>
        <w:tc>
          <w:tcPr>
            <w:tcW w:w="4631" w:type="dxa"/>
            <w:tcBorders>
              <w:top w:val="single" w:sz="12" w:space="0" w:color="auto"/>
            </w:tcBorders>
            <w:shd w:val="clear" w:color="auto" w:fill="auto"/>
          </w:tcPr>
          <w:p w:rsidR="00B63168" w:rsidRPr="00392A24" w:rsidRDefault="00B63168" w:rsidP="008E5709">
            <w:pPr>
              <w:pStyle w:val="Tablea"/>
            </w:pPr>
            <w:r w:rsidRPr="00392A24">
              <w:t>(a)</w:t>
            </w:r>
            <w:r w:rsidR="0032522F" w:rsidRPr="00392A24">
              <w:t xml:space="preserve"> </w:t>
            </w:r>
            <w:r w:rsidRPr="00392A24">
              <w:t>an overall band score of at least 5.0; and</w:t>
            </w:r>
          </w:p>
          <w:p w:rsidR="00B63168" w:rsidRPr="00392A24" w:rsidRDefault="00B63168" w:rsidP="008E5709">
            <w:pPr>
              <w:pStyle w:val="Tablea"/>
            </w:pPr>
            <w:r w:rsidRPr="00392A24">
              <w:lastRenderedPageBreak/>
              <w:t>(b) a score of at least 5</w:t>
            </w:r>
            <w:r w:rsidR="00CC7EB5" w:rsidRPr="00392A24">
              <w:t>.0</w:t>
            </w:r>
            <w:r w:rsidRPr="00392A24">
              <w:t xml:space="preserve"> for each test component of the </w:t>
            </w:r>
            <w:proofErr w:type="spellStart"/>
            <w:r w:rsidRPr="00392A24">
              <w:t>IELTS</w:t>
            </w:r>
            <w:proofErr w:type="spellEnd"/>
            <w:r w:rsidRPr="00392A24">
              <w:t>.</w:t>
            </w:r>
          </w:p>
        </w:tc>
      </w:tr>
      <w:tr w:rsidR="00B63168" w:rsidRPr="00392A24" w:rsidTr="008E5709">
        <w:tc>
          <w:tcPr>
            <w:tcW w:w="714" w:type="dxa"/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lastRenderedPageBreak/>
              <w:t>2</w:t>
            </w:r>
          </w:p>
        </w:tc>
        <w:tc>
          <w:tcPr>
            <w:tcW w:w="2967" w:type="dxa"/>
            <w:shd w:val="clear" w:color="auto" w:fill="auto"/>
          </w:tcPr>
          <w:p w:rsidR="00B63168" w:rsidRPr="00392A24" w:rsidRDefault="00B63168" w:rsidP="00A75D53">
            <w:pPr>
              <w:pStyle w:val="Tabletext"/>
            </w:pPr>
            <w:r w:rsidRPr="00392A24">
              <w:t xml:space="preserve">the </w:t>
            </w:r>
            <w:proofErr w:type="spellStart"/>
            <w:r w:rsidRPr="00392A24">
              <w:t>OET</w:t>
            </w:r>
            <w:proofErr w:type="spellEnd"/>
          </w:p>
        </w:tc>
        <w:tc>
          <w:tcPr>
            <w:tcW w:w="4631" w:type="dxa"/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t xml:space="preserve">a score of at least B for each test component of the </w:t>
            </w:r>
            <w:proofErr w:type="spellStart"/>
            <w:r w:rsidRPr="00392A24">
              <w:t>OET</w:t>
            </w:r>
            <w:proofErr w:type="spellEnd"/>
            <w:r w:rsidRPr="00392A24">
              <w:t>.</w:t>
            </w:r>
          </w:p>
        </w:tc>
      </w:tr>
      <w:tr w:rsidR="00B63168" w:rsidRPr="00392A24" w:rsidTr="008E5709">
        <w:tc>
          <w:tcPr>
            <w:tcW w:w="714" w:type="dxa"/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t>3</w:t>
            </w:r>
          </w:p>
        </w:tc>
        <w:tc>
          <w:tcPr>
            <w:tcW w:w="2967" w:type="dxa"/>
            <w:shd w:val="clear" w:color="auto" w:fill="auto"/>
          </w:tcPr>
          <w:p w:rsidR="00B63168" w:rsidRPr="00392A24" w:rsidRDefault="00B63168" w:rsidP="00A75D53">
            <w:pPr>
              <w:pStyle w:val="Tabletext"/>
            </w:pPr>
            <w:r w:rsidRPr="00392A24">
              <w:t xml:space="preserve">the </w:t>
            </w:r>
            <w:proofErr w:type="spellStart"/>
            <w:r w:rsidRPr="00392A24">
              <w:t>TOEFL</w:t>
            </w:r>
            <w:proofErr w:type="spellEnd"/>
          </w:p>
        </w:tc>
        <w:tc>
          <w:tcPr>
            <w:tcW w:w="4631" w:type="dxa"/>
            <w:shd w:val="clear" w:color="auto" w:fill="auto"/>
          </w:tcPr>
          <w:p w:rsidR="00B63168" w:rsidRPr="00392A24" w:rsidRDefault="00B63168" w:rsidP="004C60E6">
            <w:pPr>
              <w:pStyle w:val="Tablea"/>
            </w:pPr>
            <w:r w:rsidRPr="00392A24">
              <w:t>(a) a</w:t>
            </w:r>
            <w:r w:rsidR="0032522F" w:rsidRPr="00392A24">
              <w:t>n overall</w:t>
            </w:r>
            <w:r w:rsidRPr="00392A24">
              <w:t xml:space="preserve"> band score of at least 35; and</w:t>
            </w:r>
          </w:p>
          <w:p w:rsidR="00B63168" w:rsidRPr="00392A24" w:rsidRDefault="00B63168" w:rsidP="004C60E6">
            <w:pPr>
              <w:pStyle w:val="Tablea"/>
            </w:pPr>
            <w:r w:rsidRPr="00392A24">
              <w:t xml:space="preserve">(b) for the listening and reading test components of the </w:t>
            </w:r>
            <w:proofErr w:type="spellStart"/>
            <w:r w:rsidRPr="00392A24">
              <w:t>TOEFL</w:t>
            </w:r>
            <w:proofErr w:type="spellEnd"/>
            <w:r w:rsidRPr="00392A24">
              <w:t>—a score of at least 4; and</w:t>
            </w:r>
          </w:p>
          <w:p w:rsidR="00B63168" w:rsidRPr="00392A24" w:rsidRDefault="00B63168" w:rsidP="004C60E6">
            <w:pPr>
              <w:pStyle w:val="Tablea"/>
            </w:pPr>
            <w:r w:rsidRPr="00392A24">
              <w:t xml:space="preserve">(c) for the speaking and writing test components of the </w:t>
            </w:r>
            <w:proofErr w:type="spellStart"/>
            <w:r w:rsidRPr="00392A24">
              <w:t>TOEFL</w:t>
            </w:r>
            <w:proofErr w:type="spellEnd"/>
            <w:r w:rsidRPr="00392A24">
              <w:t>—a score of at least 14.</w:t>
            </w:r>
          </w:p>
        </w:tc>
      </w:tr>
      <w:tr w:rsidR="00B63168" w:rsidRPr="00392A24" w:rsidTr="008E570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t>4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auto"/>
          </w:tcPr>
          <w:p w:rsidR="00B63168" w:rsidRPr="00392A24" w:rsidRDefault="00B63168" w:rsidP="00A75D53">
            <w:pPr>
              <w:pStyle w:val="Tabletext"/>
            </w:pPr>
            <w:r w:rsidRPr="00392A24">
              <w:t>the PTE</w:t>
            </w:r>
          </w:p>
        </w:tc>
        <w:tc>
          <w:tcPr>
            <w:tcW w:w="4631" w:type="dxa"/>
            <w:tcBorders>
              <w:bottom w:val="single" w:sz="2" w:space="0" w:color="auto"/>
            </w:tcBorders>
            <w:shd w:val="clear" w:color="auto" w:fill="auto"/>
          </w:tcPr>
          <w:p w:rsidR="00B63168" w:rsidRPr="00392A24" w:rsidRDefault="00B63168" w:rsidP="008E5709">
            <w:pPr>
              <w:pStyle w:val="Tablea"/>
            </w:pPr>
            <w:r w:rsidRPr="00392A24">
              <w:t>(a) an overall band score of at least 36; and</w:t>
            </w:r>
          </w:p>
          <w:p w:rsidR="00B63168" w:rsidRPr="00392A24" w:rsidRDefault="00B63168" w:rsidP="009547E4">
            <w:pPr>
              <w:pStyle w:val="Tablea"/>
            </w:pPr>
            <w:r w:rsidRPr="00392A24">
              <w:t xml:space="preserve">(b) a score of at least 36 for each test component of the </w:t>
            </w:r>
            <w:proofErr w:type="spellStart"/>
            <w:r w:rsidRPr="00392A24">
              <w:t>PTE.</w:t>
            </w:r>
            <w:proofErr w:type="spellEnd"/>
          </w:p>
        </w:tc>
      </w:tr>
      <w:tr w:rsidR="00B63168" w:rsidRPr="00392A24" w:rsidTr="008E570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168" w:rsidRPr="00392A24" w:rsidRDefault="00B63168" w:rsidP="008E5709">
            <w:pPr>
              <w:pStyle w:val="Tabletext"/>
            </w:pPr>
            <w:r w:rsidRPr="00392A24">
              <w:t>5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168" w:rsidRPr="00392A24" w:rsidRDefault="00B63168" w:rsidP="00A75D53">
            <w:pPr>
              <w:pStyle w:val="Tabletext"/>
            </w:pPr>
            <w:r w:rsidRPr="00392A24">
              <w:t>the CAE</w:t>
            </w:r>
          </w:p>
        </w:tc>
        <w:tc>
          <w:tcPr>
            <w:tcW w:w="4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3168" w:rsidRPr="00392A24" w:rsidRDefault="0032522F" w:rsidP="008E5709">
            <w:pPr>
              <w:pStyle w:val="Tablea"/>
            </w:pPr>
            <w:r w:rsidRPr="00392A24">
              <w:t xml:space="preserve">(a) </w:t>
            </w:r>
            <w:r w:rsidR="00B63168" w:rsidRPr="00392A24">
              <w:t>an overall band score of at least 154; and</w:t>
            </w:r>
          </w:p>
          <w:p w:rsidR="00B63168" w:rsidRPr="00392A24" w:rsidRDefault="00B63168" w:rsidP="008E5709">
            <w:pPr>
              <w:pStyle w:val="Tablea"/>
            </w:pPr>
            <w:r w:rsidRPr="00392A24">
              <w:t>(b) a score of at least 154 for each test component of the CAE.</w:t>
            </w:r>
          </w:p>
        </w:tc>
      </w:tr>
    </w:tbl>
    <w:p w:rsidR="0032522F" w:rsidRPr="00392A24" w:rsidRDefault="0032522F" w:rsidP="009772C0">
      <w:pPr>
        <w:pStyle w:val="Tabletext"/>
      </w:pPr>
    </w:p>
    <w:sectPr w:rsidR="0032522F" w:rsidRPr="00392A24" w:rsidSect="000162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75" w:rsidRDefault="006B5B75" w:rsidP="00715914">
      <w:pPr>
        <w:spacing w:line="240" w:lineRule="auto"/>
      </w:pPr>
      <w:r>
        <w:separator/>
      </w:r>
    </w:p>
  </w:endnote>
  <w:endnote w:type="continuationSeparator" w:id="0">
    <w:p w:rsidR="006B5B75" w:rsidRDefault="006B5B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D9" w:rsidRPr="000162D9" w:rsidRDefault="000162D9" w:rsidP="000162D9">
    <w:pPr>
      <w:pStyle w:val="Footer"/>
      <w:rPr>
        <w:i/>
        <w:sz w:val="18"/>
      </w:rPr>
    </w:pPr>
    <w:r w:rsidRPr="000162D9">
      <w:rPr>
        <w:i/>
        <w:sz w:val="18"/>
      </w:rPr>
      <w:t>OPC63218 -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Default="0065155C" w:rsidP="0065155C">
    <w:pPr>
      <w:pStyle w:val="Footer"/>
    </w:pPr>
  </w:p>
  <w:p w:rsidR="0065155C" w:rsidRPr="000162D9" w:rsidRDefault="000162D9" w:rsidP="000162D9">
    <w:pPr>
      <w:pStyle w:val="Footer"/>
      <w:rPr>
        <w:i/>
        <w:sz w:val="18"/>
      </w:rPr>
    </w:pPr>
    <w:r w:rsidRPr="000162D9">
      <w:rPr>
        <w:i/>
        <w:sz w:val="18"/>
      </w:rPr>
      <w:t>OPC63218 -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0162D9" w:rsidRDefault="000162D9" w:rsidP="000162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2D9">
      <w:rPr>
        <w:i/>
        <w:sz w:val="18"/>
      </w:rPr>
      <w:t>OPC63218 -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E33C1C" w:rsidRDefault="0065155C" w:rsidP="006515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155C" w:rsidTr="00392A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07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076">
            <w:rPr>
              <w:i/>
              <w:sz w:val="18"/>
            </w:rPr>
            <w:t>Migration (IMMI 18/032: Language Test Requirements—Subclass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right"/>
            <w:rPr>
              <w:sz w:val="18"/>
            </w:rPr>
          </w:pPr>
        </w:p>
      </w:tc>
    </w:tr>
  </w:tbl>
  <w:p w:rsidR="0065155C" w:rsidRPr="000162D9" w:rsidRDefault="000162D9" w:rsidP="000162D9">
    <w:pPr>
      <w:rPr>
        <w:rFonts w:cs="Times New Roman"/>
        <w:i/>
        <w:sz w:val="18"/>
      </w:rPr>
    </w:pPr>
    <w:r w:rsidRPr="000162D9">
      <w:rPr>
        <w:rFonts w:cs="Times New Roman"/>
        <w:i/>
        <w:sz w:val="18"/>
      </w:rPr>
      <w:t>OPC63218 -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E33C1C" w:rsidRDefault="0065155C" w:rsidP="006515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155C" w:rsidTr="00D61C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076">
            <w:rPr>
              <w:i/>
              <w:sz w:val="18"/>
            </w:rPr>
            <w:t>Migration (IMMI 18/032: Language Test Requirements—Subclass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0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155C" w:rsidRPr="000162D9" w:rsidRDefault="000162D9" w:rsidP="000162D9">
    <w:pPr>
      <w:rPr>
        <w:rFonts w:cs="Times New Roman"/>
        <w:i/>
        <w:sz w:val="18"/>
      </w:rPr>
    </w:pPr>
    <w:r w:rsidRPr="000162D9">
      <w:rPr>
        <w:rFonts w:cs="Times New Roman"/>
        <w:i/>
        <w:sz w:val="18"/>
      </w:rPr>
      <w:t>OPC63218 -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E33C1C" w:rsidRDefault="0065155C" w:rsidP="006515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155C" w:rsidTr="00392A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07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076">
            <w:rPr>
              <w:i/>
              <w:sz w:val="18"/>
            </w:rPr>
            <w:t>Migration (IMMI 18/032: Language Test Requirements—Subclass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right"/>
            <w:rPr>
              <w:sz w:val="18"/>
            </w:rPr>
          </w:pPr>
        </w:p>
      </w:tc>
    </w:tr>
  </w:tbl>
  <w:p w:rsidR="0065155C" w:rsidRPr="000162D9" w:rsidRDefault="000162D9" w:rsidP="000162D9">
    <w:pPr>
      <w:rPr>
        <w:rFonts w:cs="Times New Roman"/>
        <w:i/>
        <w:sz w:val="18"/>
      </w:rPr>
    </w:pPr>
    <w:r w:rsidRPr="000162D9">
      <w:rPr>
        <w:rFonts w:cs="Times New Roman"/>
        <w:i/>
        <w:sz w:val="18"/>
      </w:rPr>
      <w:t>OPC63218 -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E33C1C" w:rsidRDefault="0065155C" w:rsidP="006515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155C" w:rsidTr="00D61C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076">
            <w:rPr>
              <w:i/>
              <w:sz w:val="18"/>
            </w:rPr>
            <w:t>Migration (IMMI 18/032: Language Test Requirements—Subclass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155C" w:rsidRDefault="0065155C" w:rsidP="00D61C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07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155C" w:rsidRPr="000162D9" w:rsidRDefault="000162D9" w:rsidP="000162D9">
    <w:pPr>
      <w:rPr>
        <w:rFonts w:cs="Times New Roman"/>
        <w:i/>
        <w:sz w:val="18"/>
      </w:rPr>
    </w:pPr>
    <w:r w:rsidRPr="000162D9">
      <w:rPr>
        <w:rFonts w:cs="Times New Roman"/>
        <w:i/>
        <w:sz w:val="18"/>
      </w:rPr>
      <w:t>OPC63218 -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5C" w:rsidRPr="000162D9" w:rsidRDefault="000162D9" w:rsidP="000162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2D9">
      <w:rPr>
        <w:i/>
        <w:sz w:val="18"/>
      </w:rPr>
      <w:t>OPC63218 -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75" w:rsidRDefault="006B5B75" w:rsidP="00715914">
      <w:pPr>
        <w:spacing w:line="240" w:lineRule="auto"/>
      </w:pPr>
      <w:r>
        <w:separator/>
      </w:r>
    </w:p>
  </w:footnote>
  <w:footnote w:type="continuationSeparator" w:id="0">
    <w:p w:rsidR="006B5B75" w:rsidRDefault="006B5B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5F1388" w:rsidRDefault="006B5B7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5F1388" w:rsidRDefault="006B5B7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5F1388" w:rsidRDefault="006B5B7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ED79B6" w:rsidRDefault="006B5B7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ED79B6" w:rsidRDefault="006B5B7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ED79B6" w:rsidRDefault="006B5B7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Default="006B5B7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B5B75" w:rsidRDefault="006B5B7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B5B75" w:rsidRPr="007A1328" w:rsidRDefault="006B5B7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B5B75" w:rsidRPr="007A1328" w:rsidRDefault="006B5B75" w:rsidP="00715914">
    <w:pPr>
      <w:rPr>
        <w:b/>
        <w:sz w:val="24"/>
      </w:rPr>
    </w:pPr>
  </w:p>
  <w:p w:rsidR="006B5B75" w:rsidRPr="007A1328" w:rsidRDefault="006B5B7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007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007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7A1328" w:rsidRDefault="006B5B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B5B75" w:rsidRPr="007A1328" w:rsidRDefault="006B5B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B5B75" w:rsidRPr="007A1328" w:rsidRDefault="006B5B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B5B75" w:rsidRPr="007A1328" w:rsidRDefault="006B5B75" w:rsidP="00715914">
    <w:pPr>
      <w:jc w:val="right"/>
      <w:rPr>
        <w:b/>
        <w:sz w:val="24"/>
      </w:rPr>
    </w:pPr>
  </w:p>
  <w:p w:rsidR="006B5B75" w:rsidRPr="007A1328" w:rsidRDefault="006B5B7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007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007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5" w:rsidRPr="007A1328" w:rsidRDefault="006B5B7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604C3"/>
    <w:multiLevelType w:val="hybridMultilevel"/>
    <w:tmpl w:val="791001E0"/>
    <w:lvl w:ilvl="0" w:tplc="A39046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FCD211B"/>
    <w:multiLevelType w:val="hybridMultilevel"/>
    <w:tmpl w:val="76D64E7C"/>
    <w:lvl w:ilvl="0" w:tplc="8864D2D8">
      <w:start w:val="1"/>
      <w:numFmt w:val="lowerRoman"/>
      <w:lvlText w:val="(%1)"/>
      <w:lvlJc w:val="left"/>
      <w:pPr>
        <w:ind w:left="4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580" w:hanging="360"/>
      </w:pPr>
    </w:lvl>
    <w:lvl w:ilvl="2" w:tplc="0C09001B" w:tentative="1">
      <w:start w:val="1"/>
      <w:numFmt w:val="lowerRoman"/>
      <w:lvlText w:val="%3."/>
      <w:lvlJc w:val="right"/>
      <w:pPr>
        <w:ind w:left="6300" w:hanging="180"/>
      </w:pPr>
    </w:lvl>
    <w:lvl w:ilvl="3" w:tplc="0C09000F" w:tentative="1">
      <w:start w:val="1"/>
      <w:numFmt w:val="decimal"/>
      <w:lvlText w:val="%4."/>
      <w:lvlJc w:val="left"/>
      <w:pPr>
        <w:ind w:left="7020" w:hanging="360"/>
      </w:pPr>
    </w:lvl>
    <w:lvl w:ilvl="4" w:tplc="0C090019" w:tentative="1">
      <w:start w:val="1"/>
      <w:numFmt w:val="lowerLetter"/>
      <w:lvlText w:val="%5."/>
      <w:lvlJc w:val="left"/>
      <w:pPr>
        <w:ind w:left="7740" w:hanging="360"/>
      </w:pPr>
    </w:lvl>
    <w:lvl w:ilvl="5" w:tplc="0C09001B" w:tentative="1">
      <w:start w:val="1"/>
      <w:numFmt w:val="lowerRoman"/>
      <w:lvlText w:val="%6."/>
      <w:lvlJc w:val="right"/>
      <w:pPr>
        <w:ind w:left="8460" w:hanging="180"/>
      </w:pPr>
    </w:lvl>
    <w:lvl w:ilvl="6" w:tplc="0C09000F" w:tentative="1">
      <w:start w:val="1"/>
      <w:numFmt w:val="decimal"/>
      <w:lvlText w:val="%7."/>
      <w:lvlJc w:val="left"/>
      <w:pPr>
        <w:ind w:left="9180" w:hanging="360"/>
      </w:pPr>
    </w:lvl>
    <w:lvl w:ilvl="7" w:tplc="0C090019" w:tentative="1">
      <w:start w:val="1"/>
      <w:numFmt w:val="lowerLetter"/>
      <w:lvlText w:val="%8."/>
      <w:lvlJc w:val="left"/>
      <w:pPr>
        <w:ind w:left="9900" w:hanging="360"/>
      </w:pPr>
    </w:lvl>
    <w:lvl w:ilvl="8" w:tplc="0C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4">
    <w:nsid w:val="4FE6029C"/>
    <w:multiLevelType w:val="hybridMultilevel"/>
    <w:tmpl w:val="D2823E6C"/>
    <w:lvl w:ilvl="0" w:tplc="40289F7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F20220E"/>
    <w:multiLevelType w:val="hybridMultilevel"/>
    <w:tmpl w:val="35AA20E6"/>
    <w:lvl w:ilvl="0" w:tplc="8864D2D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98601B3"/>
    <w:multiLevelType w:val="hybridMultilevel"/>
    <w:tmpl w:val="7346D24C"/>
    <w:lvl w:ilvl="0" w:tplc="229C254E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071EBE"/>
    <w:multiLevelType w:val="hybridMultilevel"/>
    <w:tmpl w:val="9320C04A"/>
    <w:lvl w:ilvl="0" w:tplc="0ACED234">
      <w:start w:val="1"/>
      <w:numFmt w:val="lowerRoman"/>
      <w:lvlText w:val="(%1)"/>
      <w:lvlJc w:val="left"/>
      <w:pPr>
        <w:ind w:left="2520" w:hanging="72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355587A"/>
    <w:multiLevelType w:val="hybridMultilevel"/>
    <w:tmpl w:val="C3D0B6E6"/>
    <w:lvl w:ilvl="0" w:tplc="E9D8A8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91F59D5"/>
    <w:multiLevelType w:val="hybridMultilevel"/>
    <w:tmpl w:val="AFEC98C8"/>
    <w:lvl w:ilvl="0" w:tplc="C104517E">
      <w:start w:val="5"/>
      <w:numFmt w:val="lowerLetter"/>
      <w:lvlText w:val="(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C2E506A"/>
    <w:multiLevelType w:val="hybridMultilevel"/>
    <w:tmpl w:val="907A1774"/>
    <w:lvl w:ilvl="0" w:tplc="BAEA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674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864D2D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15">
      <w:start w:val="1"/>
      <w:numFmt w:val="upperLetter"/>
      <w:lvlText w:val="%4."/>
      <w:lvlJc w:val="left"/>
      <w:pPr>
        <w:ind w:left="3054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8C4A588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20"/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  <w:num w:numId="18">
    <w:abstractNumId w:val="18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36"/>
    <w:rsid w:val="00004470"/>
    <w:rsid w:val="000136AF"/>
    <w:rsid w:val="0001608A"/>
    <w:rsid w:val="000162D9"/>
    <w:rsid w:val="000437C1"/>
    <w:rsid w:val="0005365D"/>
    <w:rsid w:val="000614BF"/>
    <w:rsid w:val="0007517D"/>
    <w:rsid w:val="000B58FA"/>
    <w:rsid w:val="000B7229"/>
    <w:rsid w:val="000D05EF"/>
    <w:rsid w:val="000D45B9"/>
    <w:rsid w:val="000D539A"/>
    <w:rsid w:val="000E2261"/>
    <w:rsid w:val="000F21C1"/>
    <w:rsid w:val="001027A5"/>
    <w:rsid w:val="0010745C"/>
    <w:rsid w:val="00126F5C"/>
    <w:rsid w:val="00132CEB"/>
    <w:rsid w:val="001356EC"/>
    <w:rsid w:val="00142B62"/>
    <w:rsid w:val="0014539C"/>
    <w:rsid w:val="00157B8B"/>
    <w:rsid w:val="00166C2F"/>
    <w:rsid w:val="001809D7"/>
    <w:rsid w:val="001939E1"/>
    <w:rsid w:val="001941D8"/>
    <w:rsid w:val="00194C3E"/>
    <w:rsid w:val="00195382"/>
    <w:rsid w:val="001C61C5"/>
    <w:rsid w:val="001C69C4"/>
    <w:rsid w:val="001D37EF"/>
    <w:rsid w:val="001E3590"/>
    <w:rsid w:val="001E7407"/>
    <w:rsid w:val="001F0076"/>
    <w:rsid w:val="001F5D5E"/>
    <w:rsid w:val="001F6219"/>
    <w:rsid w:val="001F6CD4"/>
    <w:rsid w:val="00206C4D"/>
    <w:rsid w:val="0021053C"/>
    <w:rsid w:val="00215AF1"/>
    <w:rsid w:val="00225AD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3BA8"/>
    <w:rsid w:val="00284719"/>
    <w:rsid w:val="00294473"/>
    <w:rsid w:val="00297ECB"/>
    <w:rsid w:val="002A7BCF"/>
    <w:rsid w:val="002B4D56"/>
    <w:rsid w:val="002D043A"/>
    <w:rsid w:val="002D6224"/>
    <w:rsid w:val="002E3F4B"/>
    <w:rsid w:val="00304F8B"/>
    <w:rsid w:val="0032522F"/>
    <w:rsid w:val="00331C13"/>
    <w:rsid w:val="003354D2"/>
    <w:rsid w:val="00335BC6"/>
    <w:rsid w:val="003415D3"/>
    <w:rsid w:val="00344701"/>
    <w:rsid w:val="00347992"/>
    <w:rsid w:val="00352B0F"/>
    <w:rsid w:val="00356690"/>
    <w:rsid w:val="00360459"/>
    <w:rsid w:val="00392A24"/>
    <w:rsid w:val="003A26E1"/>
    <w:rsid w:val="003A74D7"/>
    <w:rsid w:val="003C6231"/>
    <w:rsid w:val="003D0BFE"/>
    <w:rsid w:val="003D453A"/>
    <w:rsid w:val="003D5700"/>
    <w:rsid w:val="003E341B"/>
    <w:rsid w:val="003E3C34"/>
    <w:rsid w:val="00404B5D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0E6"/>
    <w:rsid w:val="004C6AE8"/>
    <w:rsid w:val="004D3593"/>
    <w:rsid w:val="004E063A"/>
    <w:rsid w:val="004E7BEC"/>
    <w:rsid w:val="00505D3D"/>
    <w:rsid w:val="00506AF6"/>
    <w:rsid w:val="00516B8D"/>
    <w:rsid w:val="00536685"/>
    <w:rsid w:val="00537FBC"/>
    <w:rsid w:val="00554954"/>
    <w:rsid w:val="005574D1"/>
    <w:rsid w:val="005775FC"/>
    <w:rsid w:val="00584811"/>
    <w:rsid w:val="00585784"/>
    <w:rsid w:val="00593AA6"/>
    <w:rsid w:val="00594161"/>
    <w:rsid w:val="00594749"/>
    <w:rsid w:val="005B4067"/>
    <w:rsid w:val="005C3F41"/>
    <w:rsid w:val="005D2D09"/>
    <w:rsid w:val="005E294F"/>
    <w:rsid w:val="00600219"/>
    <w:rsid w:val="00603DC4"/>
    <w:rsid w:val="00620076"/>
    <w:rsid w:val="0065155C"/>
    <w:rsid w:val="00670EA1"/>
    <w:rsid w:val="00677CC2"/>
    <w:rsid w:val="006905DE"/>
    <w:rsid w:val="0069207B"/>
    <w:rsid w:val="00693964"/>
    <w:rsid w:val="006B5789"/>
    <w:rsid w:val="006B5B75"/>
    <w:rsid w:val="006C30C5"/>
    <w:rsid w:val="006C7F8C"/>
    <w:rsid w:val="006D6708"/>
    <w:rsid w:val="006E6246"/>
    <w:rsid w:val="006F17E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3EC6"/>
    <w:rsid w:val="0076681A"/>
    <w:rsid w:val="007715C9"/>
    <w:rsid w:val="00771613"/>
    <w:rsid w:val="00774EDD"/>
    <w:rsid w:val="007757EC"/>
    <w:rsid w:val="00783E89"/>
    <w:rsid w:val="00793915"/>
    <w:rsid w:val="00793C5F"/>
    <w:rsid w:val="007A7E2E"/>
    <w:rsid w:val="007C2253"/>
    <w:rsid w:val="007D5A63"/>
    <w:rsid w:val="007D79F3"/>
    <w:rsid w:val="007D7B81"/>
    <w:rsid w:val="007E163D"/>
    <w:rsid w:val="007E667A"/>
    <w:rsid w:val="007F28C9"/>
    <w:rsid w:val="00803587"/>
    <w:rsid w:val="008117E9"/>
    <w:rsid w:val="008165C2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6AF2"/>
    <w:rsid w:val="008E6067"/>
    <w:rsid w:val="008F54E7"/>
    <w:rsid w:val="00903422"/>
    <w:rsid w:val="00915DF9"/>
    <w:rsid w:val="009254C3"/>
    <w:rsid w:val="00932377"/>
    <w:rsid w:val="00947D5A"/>
    <w:rsid w:val="009532A5"/>
    <w:rsid w:val="009547E4"/>
    <w:rsid w:val="009772C0"/>
    <w:rsid w:val="00982242"/>
    <w:rsid w:val="009868E9"/>
    <w:rsid w:val="009A29E0"/>
    <w:rsid w:val="009A5E36"/>
    <w:rsid w:val="009E5CFC"/>
    <w:rsid w:val="00A079CB"/>
    <w:rsid w:val="00A12128"/>
    <w:rsid w:val="00A15A42"/>
    <w:rsid w:val="00A20228"/>
    <w:rsid w:val="00A22C98"/>
    <w:rsid w:val="00A231E2"/>
    <w:rsid w:val="00A64912"/>
    <w:rsid w:val="00A70A74"/>
    <w:rsid w:val="00AD5641"/>
    <w:rsid w:val="00AD6B35"/>
    <w:rsid w:val="00AD7889"/>
    <w:rsid w:val="00AF021B"/>
    <w:rsid w:val="00AF06CF"/>
    <w:rsid w:val="00AF2A63"/>
    <w:rsid w:val="00AF6A87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168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5E85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421"/>
    <w:rsid w:val="00C324A0"/>
    <w:rsid w:val="00C3300F"/>
    <w:rsid w:val="00C42BF8"/>
    <w:rsid w:val="00C471E3"/>
    <w:rsid w:val="00C50043"/>
    <w:rsid w:val="00C655F3"/>
    <w:rsid w:val="00C66996"/>
    <w:rsid w:val="00C7573B"/>
    <w:rsid w:val="00C93C03"/>
    <w:rsid w:val="00CB2C8E"/>
    <w:rsid w:val="00CB602E"/>
    <w:rsid w:val="00CC7EB5"/>
    <w:rsid w:val="00CD1C35"/>
    <w:rsid w:val="00CD4462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7EF"/>
    <w:rsid w:val="00D32F65"/>
    <w:rsid w:val="00D442B2"/>
    <w:rsid w:val="00D52DC2"/>
    <w:rsid w:val="00D53BCC"/>
    <w:rsid w:val="00D70857"/>
    <w:rsid w:val="00D70DFB"/>
    <w:rsid w:val="00D724C3"/>
    <w:rsid w:val="00D766DF"/>
    <w:rsid w:val="00DA186E"/>
    <w:rsid w:val="00DA4116"/>
    <w:rsid w:val="00DB06A8"/>
    <w:rsid w:val="00DB251C"/>
    <w:rsid w:val="00DB4630"/>
    <w:rsid w:val="00DC4F88"/>
    <w:rsid w:val="00E05704"/>
    <w:rsid w:val="00E11E44"/>
    <w:rsid w:val="00E3270E"/>
    <w:rsid w:val="00E338EF"/>
    <w:rsid w:val="00E47E4D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36EB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3D46"/>
    <w:rsid w:val="00F84202"/>
    <w:rsid w:val="00F85099"/>
    <w:rsid w:val="00F9379C"/>
    <w:rsid w:val="00F9632C"/>
    <w:rsid w:val="00FA1E52"/>
    <w:rsid w:val="00FA6EE6"/>
    <w:rsid w:val="00FA71A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A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2A24"/>
  </w:style>
  <w:style w:type="paragraph" w:customStyle="1" w:styleId="OPCParaBase">
    <w:name w:val="OPCParaBase"/>
    <w:qFormat/>
    <w:rsid w:val="00392A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2A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2A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2A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2A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2A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2A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2A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2A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2A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2A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2A24"/>
  </w:style>
  <w:style w:type="paragraph" w:customStyle="1" w:styleId="Blocks">
    <w:name w:val="Blocks"/>
    <w:aliases w:val="bb"/>
    <w:basedOn w:val="OPCParaBase"/>
    <w:qFormat/>
    <w:rsid w:val="00392A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2A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2A24"/>
    <w:rPr>
      <w:i/>
    </w:rPr>
  </w:style>
  <w:style w:type="paragraph" w:customStyle="1" w:styleId="BoxList">
    <w:name w:val="BoxList"/>
    <w:aliases w:val="bl"/>
    <w:basedOn w:val="BoxText"/>
    <w:qFormat/>
    <w:rsid w:val="00392A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2A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2A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2A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2A24"/>
  </w:style>
  <w:style w:type="character" w:customStyle="1" w:styleId="CharAmPartText">
    <w:name w:val="CharAmPartText"/>
    <w:basedOn w:val="OPCCharBase"/>
    <w:uiPriority w:val="1"/>
    <w:qFormat/>
    <w:rsid w:val="00392A24"/>
  </w:style>
  <w:style w:type="character" w:customStyle="1" w:styleId="CharAmSchNo">
    <w:name w:val="CharAmSchNo"/>
    <w:basedOn w:val="OPCCharBase"/>
    <w:uiPriority w:val="1"/>
    <w:qFormat/>
    <w:rsid w:val="00392A24"/>
  </w:style>
  <w:style w:type="character" w:customStyle="1" w:styleId="CharAmSchText">
    <w:name w:val="CharAmSchText"/>
    <w:basedOn w:val="OPCCharBase"/>
    <w:uiPriority w:val="1"/>
    <w:qFormat/>
    <w:rsid w:val="00392A24"/>
  </w:style>
  <w:style w:type="character" w:customStyle="1" w:styleId="CharBoldItalic">
    <w:name w:val="CharBoldItalic"/>
    <w:basedOn w:val="OPCCharBase"/>
    <w:uiPriority w:val="1"/>
    <w:qFormat/>
    <w:rsid w:val="00392A24"/>
    <w:rPr>
      <w:b/>
      <w:i/>
    </w:rPr>
  </w:style>
  <w:style w:type="character" w:customStyle="1" w:styleId="CharChapNo">
    <w:name w:val="CharChapNo"/>
    <w:basedOn w:val="OPCCharBase"/>
    <w:qFormat/>
    <w:rsid w:val="00392A24"/>
  </w:style>
  <w:style w:type="character" w:customStyle="1" w:styleId="CharChapText">
    <w:name w:val="CharChapText"/>
    <w:basedOn w:val="OPCCharBase"/>
    <w:qFormat/>
    <w:rsid w:val="00392A24"/>
  </w:style>
  <w:style w:type="character" w:customStyle="1" w:styleId="CharDivNo">
    <w:name w:val="CharDivNo"/>
    <w:basedOn w:val="OPCCharBase"/>
    <w:qFormat/>
    <w:rsid w:val="00392A24"/>
  </w:style>
  <w:style w:type="character" w:customStyle="1" w:styleId="CharDivText">
    <w:name w:val="CharDivText"/>
    <w:basedOn w:val="OPCCharBase"/>
    <w:qFormat/>
    <w:rsid w:val="00392A24"/>
  </w:style>
  <w:style w:type="character" w:customStyle="1" w:styleId="CharItalic">
    <w:name w:val="CharItalic"/>
    <w:basedOn w:val="OPCCharBase"/>
    <w:uiPriority w:val="1"/>
    <w:qFormat/>
    <w:rsid w:val="00392A24"/>
    <w:rPr>
      <w:i/>
    </w:rPr>
  </w:style>
  <w:style w:type="character" w:customStyle="1" w:styleId="CharPartNo">
    <w:name w:val="CharPartNo"/>
    <w:basedOn w:val="OPCCharBase"/>
    <w:qFormat/>
    <w:rsid w:val="00392A24"/>
  </w:style>
  <w:style w:type="character" w:customStyle="1" w:styleId="CharPartText">
    <w:name w:val="CharPartText"/>
    <w:basedOn w:val="OPCCharBase"/>
    <w:qFormat/>
    <w:rsid w:val="00392A24"/>
  </w:style>
  <w:style w:type="character" w:customStyle="1" w:styleId="CharSectno">
    <w:name w:val="CharSectno"/>
    <w:basedOn w:val="OPCCharBase"/>
    <w:qFormat/>
    <w:rsid w:val="00392A24"/>
  </w:style>
  <w:style w:type="character" w:customStyle="1" w:styleId="CharSubdNo">
    <w:name w:val="CharSubdNo"/>
    <w:basedOn w:val="OPCCharBase"/>
    <w:uiPriority w:val="1"/>
    <w:qFormat/>
    <w:rsid w:val="00392A24"/>
  </w:style>
  <w:style w:type="character" w:customStyle="1" w:styleId="CharSubdText">
    <w:name w:val="CharSubdText"/>
    <w:basedOn w:val="OPCCharBase"/>
    <w:uiPriority w:val="1"/>
    <w:qFormat/>
    <w:rsid w:val="00392A24"/>
  </w:style>
  <w:style w:type="paragraph" w:customStyle="1" w:styleId="CTA--">
    <w:name w:val="CTA --"/>
    <w:basedOn w:val="OPCParaBase"/>
    <w:next w:val="Normal"/>
    <w:rsid w:val="00392A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2A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2A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2A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2A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2A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2A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2A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2A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2A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2A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2A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2A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2A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2A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2A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2A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2A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2A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2A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2A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2A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2A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2A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2A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2A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2A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2A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2A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2A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2A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2A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2A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2A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2A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2A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2A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2A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2A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2A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2A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2A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2A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2A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2A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2A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2A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2A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2A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2A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2A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2A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2A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2A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2A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2A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2A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2A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2A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2A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2A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2A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2A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2A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2A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2A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2A24"/>
    <w:rPr>
      <w:sz w:val="16"/>
    </w:rPr>
  </w:style>
  <w:style w:type="table" w:customStyle="1" w:styleId="CFlag">
    <w:name w:val="CFlag"/>
    <w:basedOn w:val="TableNormal"/>
    <w:uiPriority w:val="99"/>
    <w:rsid w:val="00392A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2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2A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2A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2A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2A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2A2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2A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2A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2A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2A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2A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2A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2A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2A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2A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2A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2A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2A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2A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2A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2A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2A24"/>
  </w:style>
  <w:style w:type="character" w:customStyle="1" w:styleId="CharSubPartNoCASA">
    <w:name w:val="CharSubPartNo(CASA)"/>
    <w:basedOn w:val="OPCCharBase"/>
    <w:uiPriority w:val="1"/>
    <w:rsid w:val="00392A24"/>
  </w:style>
  <w:style w:type="paragraph" w:customStyle="1" w:styleId="ENoteTTIndentHeadingSub">
    <w:name w:val="ENoteTTIndentHeadingSub"/>
    <w:aliases w:val="enTTHis"/>
    <w:basedOn w:val="OPCParaBase"/>
    <w:rsid w:val="00392A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2A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2A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2A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2A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2A24"/>
    <w:rPr>
      <w:sz w:val="22"/>
    </w:rPr>
  </w:style>
  <w:style w:type="paragraph" w:customStyle="1" w:styleId="SOTextNote">
    <w:name w:val="SO TextNote"/>
    <w:aliases w:val="sont"/>
    <w:basedOn w:val="SOText"/>
    <w:qFormat/>
    <w:rsid w:val="00392A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2A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2A24"/>
    <w:rPr>
      <w:sz w:val="22"/>
    </w:rPr>
  </w:style>
  <w:style w:type="paragraph" w:customStyle="1" w:styleId="FileName">
    <w:name w:val="FileName"/>
    <w:basedOn w:val="Normal"/>
    <w:rsid w:val="00392A24"/>
  </w:style>
  <w:style w:type="paragraph" w:customStyle="1" w:styleId="TableHeading">
    <w:name w:val="TableHeading"/>
    <w:aliases w:val="th"/>
    <w:basedOn w:val="OPCParaBase"/>
    <w:next w:val="Tabletext"/>
    <w:rsid w:val="00392A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2A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2A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2A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2A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2A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2A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2A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2A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2A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2A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A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A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A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A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A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A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A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A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A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2A24"/>
  </w:style>
  <w:style w:type="paragraph" w:customStyle="1" w:styleId="OPCParaBase">
    <w:name w:val="OPCParaBase"/>
    <w:qFormat/>
    <w:rsid w:val="00392A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2A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2A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2A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2A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2A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2A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2A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2A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2A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2A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2A24"/>
  </w:style>
  <w:style w:type="paragraph" w:customStyle="1" w:styleId="Blocks">
    <w:name w:val="Blocks"/>
    <w:aliases w:val="bb"/>
    <w:basedOn w:val="OPCParaBase"/>
    <w:qFormat/>
    <w:rsid w:val="00392A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2A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2A24"/>
    <w:rPr>
      <w:i/>
    </w:rPr>
  </w:style>
  <w:style w:type="paragraph" w:customStyle="1" w:styleId="BoxList">
    <w:name w:val="BoxList"/>
    <w:aliases w:val="bl"/>
    <w:basedOn w:val="BoxText"/>
    <w:qFormat/>
    <w:rsid w:val="00392A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2A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2A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2A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2A24"/>
  </w:style>
  <w:style w:type="character" w:customStyle="1" w:styleId="CharAmPartText">
    <w:name w:val="CharAmPartText"/>
    <w:basedOn w:val="OPCCharBase"/>
    <w:uiPriority w:val="1"/>
    <w:qFormat/>
    <w:rsid w:val="00392A24"/>
  </w:style>
  <w:style w:type="character" w:customStyle="1" w:styleId="CharAmSchNo">
    <w:name w:val="CharAmSchNo"/>
    <w:basedOn w:val="OPCCharBase"/>
    <w:uiPriority w:val="1"/>
    <w:qFormat/>
    <w:rsid w:val="00392A24"/>
  </w:style>
  <w:style w:type="character" w:customStyle="1" w:styleId="CharAmSchText">
    <w:name w:val="CharAmSchText"/>
    <w:basedOn w:val="OPCCharBase"/>
    <w:uiPriority w:val="1"/>
    <w:qFormat/>
    <w:rsid w:val="00392A24"/>
  </w:style>
  <w:style w:type="character" w:customStyle="1" w:styleId="CharBoldItalic">
    <w:name w:val="CharBoldItalic"/>
    <w:basedOn w:val="OPCCharBase"/>
    <w:uiPriority w:val="1"/>
    <w:qFormat/>
    <w:rsid w:val="00392A24"/>
    <w:rPr>
      <w:b/>
      <w:i/>
    </w:rPr>
  </w:style>
  <w:style w:type="character" w:customStyle="1" w:styleId="CharChapNo">
    <w:name w:val="CharChapNo"/>
    <w:basedOn w:val="OPCCharBase"/>
    <w:qFormat/>
    <w:rsid w:val="00392A24"/>
  </w:style>
  <w:style w:type="character" w:customStyle="1" w:styleId="CharChapText">
    <w:name w:val="CharChapText"/>
    <w:basedOn w:val="OPCCharBase"/>
    <w:qFormat/>
    <w:rsid w:val="00392A24"/>
  </w:style>
  <w:style w:type="character" w:customStyle="1" w:styleId="CharDivNo">
    <w:name w:val="CharDivNo"/>
    <w:basedOn w:val="OPCCharBase"/>
    <w:qFormat/>
    <w:rsid w:val="00392A24"/>
  </w:style>
  <w:style w:type="character" w:customStyle="1" w:styleId="CharDivText">
    <w:name w:val="CharDivText"/>
    <w:basedOn w:val="OPCCharBase"/>
    <w:qFormat/>
    <w:rsid w:val="00392A24"/>
  </w:style>
  <w:style w:type="character" w:customStyle="1" w:styleId="CharItalic">
    <w:name w:val="CharItalic"/>
    <w:basedOn w:val="OPCCharBase"/>
    <w:uiPriority w:val="1"/>
    <w:qFormat/>
    <w:rsid w:val="00392A24"/>
    <w:rPr>
      <w:i/>
    </w:rPr>
  </w:style>
  <w:style w:type="character" w:customStyle="1" w:styleId="CharPartNo">
    <w:name w:val="CharPartNo"/>
    <w:basedOn w:val="OPCCharBase"/>
    <w:qFormat/>
    <w:rsid w:val="00392A24"/>
  </w:style>
  <w:style w:type="character" w:customStyle="1" w:styleId="CharPartText">
    <w:name w:val="CharPartText"/>
    <w:basedOn w:val="OPCCharBase"/>
    <w:qFormat/>
    <w:rsid w:val="00392A24"/>
  </w:style>
  <w:style w:type="character" w:customStyle="1" w:styleId="CharSectno">
    <w:name w:val="CharSectno"/>
    <w:basedOn w:val="OPCCharBase"/>
    <w:qFormat/>
    <w:rsid w:val="00392A24"/>
  </w:style>
  <w:style w:type="character" w:customStyle="1" w:styleId="CharSubdNo">
    <w:name w:val="CharSubdNo"/>
    <w:basedOn w:val="OPCCharBase"/>
    <w:uiPriority w:val="1"/>
    <w:qFormat/>
    <w:rsid w:val="00392A24"/>
  </w:style>
  <w:style w:type="character" w:customStyle="1" w:styleId="CharSubdText">
    <w:name w:val="CharSubdText"/>
    <w:basedOn w:val="OPCCharBase"/>
    <w:uiPriority w:val="1"/>
    <w:qFormat/>
    <w:rsid w:val="00392A24"/>
  </w:style>
  <w:style w:type="paragraph" w:customStyle="1" w:styleId="CTA--">
    <w:name w:val="CTA --"/>
    <w:basedOn w:val="OPCParaBase"/>
    <w:next w:val="Normal"/>
    <w:rsid w:val="00392A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2A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2A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2A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2A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2A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2A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2A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2A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2A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2A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2A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2A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2A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2A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2A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2A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2A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2A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2A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2A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2A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2A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2A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2A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2A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2A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2A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2A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2A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2A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2A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2A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2A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2A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2A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2A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2A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2A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2A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2A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2A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2A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2A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2A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2A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2A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2A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2A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2A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2A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2A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2A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2A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2A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2A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92A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2A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92A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2A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2A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2A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2A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2A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2A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2A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2A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2A24"/>
    <w:rPr>
      <w:sz w:val="16"/>
    </w:rPr>
  </w:style>
  <w:style w:type="table" w:customStyle="1" w:styleId="CFlag">
    <w:name w:val="CFlag"/>
    <w:basedOn w:val="TableNormal"/>
    <w:uiPriority w:val="99"/>
    <w:rsid w:val="00392A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92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2A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2A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2A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2A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2A2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2A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2A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2A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2A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2A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2A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2A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2A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2A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2A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2A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2A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2A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92A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2A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2A24"/>
  </w:style>
  <w:style w:type="character" w:customStyle="1" w:styleId="CharSubPartNoCASA">
    <w:name w:val="CharSubPartNo(CASA)"/>
    <w:basedOn w:val="OPCCharBase"/>
    <w:uiPriority w:val="1"/>
    <w:rsid w:val="00392A24"/>
  </w:style>
  <w:style w:type="paragraph" w:customStyle="1" w:styleId="ENoteTTIndentHeadingSub">
    <w:name w:val="ENoteTTIndentHeadingSub"/>
    <w:aliases w:val="enTTHis"/>
    <w:basedOn w:val="OPCParaBase"/>
    <w:rsid w:val="00392A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2A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2A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2A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2A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2A24"/>
    <w:rPr>
      <w:sz w:val="22"/>
    </w:rPr>
  </w:style>
  <w:style w:type="paragraph" w:customStyle="1" w:styleId="SOTextNote">
    <w:name w:val="SO TextNote"/>
    <w:aliases w:val="sont"/>
    <w:basedOn w:val="SOText"/>
    <w:qFormat/>
    <w:rsid w:val="00392A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2A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2A24"/>
    <w:rPr>
      <w:sz w:val="22"/>
    </w:rPr>
  </w:style>
  <w:style w:type="paragraph" w:customStyle="1" w:styleId="FileName">
    <w:name w:val="FileName"/>
    <w:basedOn w:val="Normal"/>
    <w:rsid w:val="00392A24"/>
  </w:style>
  <w:style w:type="paragraph" w:customStyle="1" w:styleId="TableHeading">
    <w:name w:val="TableHeading"/>
    <w:aliases w:val="th"/>
    <w:basedOn w:val="OPCParaBase"/>
    <w:next w:val="Tabletext"/>
    <w:rsid w:val="00392A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2A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2A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2A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2A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2A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2A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2A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2A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2A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2A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2A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2A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2A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A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A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A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A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A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A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5619-DD66-4C18-8C35-2307D7C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1236</Words>
  <Characters>5835</Characters>
  <Application>Microsoft Office Word</Application>
  <DocSecurity>0</DocSecurity>
  <PresentationFormat/>
  <Lines>201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(IMMI 18/032: Language Test Requirements—Subclass 482 Visa) Instrument 2018</vt:lpstr>
    </vt:vector>
  </TitlesOfParts>
  <Manager/>
  <Company/>
  <LinksUpToDate>false</LinksUpToDate>
  <CharactersWithSpaces>6914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2018-02-27T02:18:00Z</cp:lastPrinted>
  <dcterms:created xsi:type="dcterms:W3CDTF">2018-03-16T03:05:00Z</dcterms:created>
  <dcterms:modified xsi:type="dcterms:W3CDTF">2018-03-16T03:06:00Z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18/032: Language Test Requirements—Subclass 482 Visa)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OPC63218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15 March 2018</vt:lpwstr>
  </property>
</Properties>
</file>