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C7" w:rsidRDefault="007B56C7" w:rsidP="007B56C7">
      <w:r>
        <w:rPr>
          <w:noProof/>
          <w:lang w:eastAsia="zh-CN"/>
        </w:rPr>
        <w:drawing>
          <wp:inline distT="0" distB="0" distL="0" distR="0" wp14:anchorId="11B5A363" wp14:editId="0049BFFF">
            <wp:extent cx="1311275" cy="9918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6C7" w:rsidRPr="006C38EE" w:rsidRDefault="007B56C7" w:rsidP="007B56C7">
      <w:pPr>
        <w:pStyle w:val="Title"/>
        <w:pBdr>
          <w:bottom w:val="single" w:sz="4" w:space="3" w:color="auto"/>
        </w:pBdr>
        <w:rPr>
          <w:b w:val="0"/>
          <w:sz w:val="28"/>
          <w:szCs w:val="28"/>
          <w:vertAlign w:val="superscript"/>
        </w:rPr>
      </w:pPr>
      <w:r w:rsidRPr="006C38EE">
        <w:t>Therapeutic Goods (</w:t>
      </w:r>
      <w:r w:rsidR="00FE03F9" w:rsidRPr="006C38EE">
        <w:t xml:space="preserve">Authorised Supply of Specified </w:t>
      </w:r>
      <w:r w:rsidR="00152A12">
        <w:t>Medicines</w:t>
      </w:r>
      <w:r w:rsidRPr="006C38EE">
        <w:t xml:space="preserve">) </w:t>
      </w:r>
      <w:r w:rsidR="00FE03F9" w:rsidRPr="006C38EE">
        <w:t xml:space="preserve">Rules </w:t>
      </w:r>
      <w:r w:rsidR="000F5B27">
        <w:t>March</w:t>
      </w:r>
      <w:r w:rsidR="00E1723F">
        <w:t xml:space="preserve"> 2018</w:t>
      </w:r>
    </w:p>
    <w:p w:rsidR="007B56C7" w:rsidRDefault="007B56C7" w:rsidP="007B56C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Therapeutic Goods Act 1989</w:t>
      </w:r>
    </w:p>
    <w:p w:rsidR="007B56C7" w:rsidRPr="006C38EE" w:rsidRDefault="007B56C7" w:rsidP="007B56C7">
      <w:pPr>
        <w:spacing w:before="360"/>
        <w:jc w:val="both"/>
      </w:pPr>
      <w:r w:rsidRPr="006C38EE">
        <w:t xml:space="preserve">I, </w:t>
      </w:r>
      <w:r w:rsidR="001F37C4">
        <w:t>LARRY KELLY</w:t>
      </w:r>
      <w:r w:rsidRPr="006C38EE">
        <w:t xml:space="preserve">, </w:t>
      </w:r>
      <w:r w:rsidR="001D3811">
        <w:t xml:space="preserve">a delegate of the </w:t>
      </w:r>
      <w:r w:rsidR="00FE03F9" w:rsidRPr="006C38EE">
        <w:t xml:space="preserve">Minister for </w:t>
      </w:r>
      <w:r w:rsidRPr="006C38EE">
        <w:t>Health</w:t>
      </w:r>
      <w:r w:rsidR="001D3811">
        <w:t xml:space="preserve"> for the purposes of </w:t>
      </w:r>
      <w:r w:rsidR="00FE03F9" w:rsidRPr="006C38EE">
        <w:t>subsection 19(7A)</w:t>
      </w:r>
      <w:r w:rsidRPr="006C38EE">
        <w:t xml:space="preserve"> of the </w:t>
      </w:r>
      <w:r w:rsidRPr="006C38EE">
        <w:rPr>
          <w:i/>
        </w:rPr>
        <w:t>Therapeutic Goods Act 1989</w:t>
      </w:r>
      <w:r w:rsidR="001D3811" w:rsidRPr="001D3811">
        <w:t xml:space="preserve">, </w:t>
      </w:r>
      <w:r w:rsidR="00175C8E">
        <w:t>revoke the Therapeutic Goods (Authorised Supply of Specified Medicines) Rules</w:t>
      </w:r>
      <w:r w:rsidR="00903571">
        <w:t xml:space="preserve"> September</w:t>
      </w:r>
      <w:r w:rsidR="00175C8E">
        <w:t xml:space="preserve"> 2017 that was registered on </w:t>
      </w:r>
      <w:r w:rsidR="00903571">
        <w:t>29</w:t>
      </w:r>
      <w:r w:rsidR="00E1723F">
        <w:t xml:space="preserve"> September</w:t>
      </w:r>
      <w:r w:rsidR="00175C8E">
        <w:t xml:space="preserve"> 2017, and </w:t>
      </w:r>
      <w:r w:rsidR="001D3811" w:rsidRPr="001D3811">
        <w:t>make the following Rules</w:t>
      </w:r>
      <w:r w:rsidRPr="006C38EE">
        <w:t>.</w:t>
      </w:r>
    </w:p>
    <w:p w:rsidR="007B56C7" w:rsidRPr="006C38EE" w:rsidRDefault="007B56C7" w:rsidP="007B56C7">
      <w:pPr>
        <w:spacing w:before="300" w:after="600" w:line="300" w:lineRule="exact"/>
      </w:pPr>
      <w:r w:rsidRPr="006C38EE">
        <w:t>Dated</w:t>
      </w:r>
      <w:bookmarkStart w:id="0" w:name="MadeDate"/>
      <w:bookmarkEnd w:id="0"/>
      <w:r w:rsidR="005F4788">
        <w:tab/>
      </w:r>
      <w:r w:rsidR="006873FF">
        <w:t>12</w:t>
      </w:r>
      <w:r w:rsidR="005F4788">
        <w:tab/>
      </w:r>
      <w:r w:rsidR="000F5B27">
        <w:t>March</w:t>
      </w:r>
      <w:r w:rsidR="00E1723F">
        <w:t xml:space="preserve"> 2018</w:t>
      </w:r>
      <w:bookmarkStart w:id="1" w:name="_GoBack"/>
      <w:bookmarkEnd w:id="1"/>
    </w:p>
    <w:p w:rsidR="007B56C7" w:rsidRDefault="006873FF" w:rsidP="007B56C7">
      <w:pPr>
        <w:tabs>
          <w:tab w:val="left" w:pos="3119"/>
        </w:tabs>
        <w:spacing w:before="300" w:after="600" w:line="300" w:lineRule="atLeast"/>
      </w:pPr>
      <w:r>
        <w:t>(Signed by)</w:t>
      </w:r>
    </w:p>
    <w:p w:rsidR="00EF346D" w:rsidRDefault="00EF346D" w:rsidP="001F37C4">
      <w:pPr>
        <w:pBdr>
          <w:bottom w:val="single" w:sz="4" w:space="12" w:color="auto"/>
        </w:pBdr>
        <w:spacing w:after="120" w:line="240" w:lineRule="exact"/>
        <w:rPr>
          <w:b/>
        </w:rPr>
      </w:pPr>
      <w:bookmarkStart w:id="2" w:name="Minister"/>
    </w:p>
    <w:p w:rsidR="007B56C7" w:rsidRDefault="001F37C4" w:rsidP="001F37C4">
      <w:pPr>
        <w:pBdr>
          <w:bottom w:val="single" w:sz="4" w:space="12" w:color="auto"/>
        </w:pBdr>
        <w:spacing w:after="120" w:line="240" w:lineRule="exact"/>
        <w:rPr>
          <w:b/>
        </w:rPr>
      </w:pPr>
      <w:r>
        <w:rPr>
          <w:b/>
        </w:rPr>
        <w:t>LARRY KELLY</w:t>
      </w:r>
    </w:p>
    <w:p w:rsidR="007B56C7" w:rsidRDefault="001D3811" w:rsidP="007B56C7">
      <w:pPr>
        <w:pBdr>
          <w:bottom w:val="single" w:sz="4" w:space="12" w:color="auto"/>
        </w:pBdr>
        <w:spacing w:line="240" w:lineRule="exact"/>
      </w:pPr>
      <w:r>
        <w:t xml:space="preserve">Delegate of the </w:t>
      </w:r>
      <w:r w:rsidR="00FE03F9">
        <w:t xml:space="preserve">Minister for </w:t>
      </w:r>
      <w:r w:rsidR="007B56C7">
        <w:t>Health</w:t>
      </w:r>
    </w:p>
    <w:bookmarkEnd w:id="2"/>
    <w:p w:rsidR="007B56C7" w:rsidRDefault="007B56C7" w:rsidP="007B56C7">
      <w:pPr>
        <w:sectPr w:rsidR="007B56C7" w:rsidSect="00AA25B9">
          <w:headerReference w:type="default" r:id="rId10"/>
          <w:footerReference w:type="default" r:id="rId11"/>
          <w:pgSz w:w="11907" w:h="16839"/>
          <w:pgMar w:top="1440" w:right="1797" w:bottom="1440" w:left="1797" w:header="709" w:footer="709" w:gutter="0"/>
          <w:cols w:space="720"/>
          <w:titlePg/>
          <w:docGrid w:linePitch="326"/>
        </w:sectPr>
      </w:pPr>
    </w:p>
    <w:p w:rsidR="007B56C7" w:rsidRDefault="007B56C7" w:rsidP="007B56C7">
      <w:pPr>
        <w:pStyle w:val="HR"/>
        <w:pageBreakBefore/>
      </w:pPr>
      <w:bookmarkStart w:id="3" w:name="_Toc244919537"/>
      <w:r>
        <w:rPr>
          <w:rStyle w:val="CharSectno"/>
        </w:rPr>
        <w:lastRenderedPageBreak/>
        <w:t>1</w:t>
      </w:r>
      <w:r>
        <w:tab/>
        <w:t>Name</w:t>
      </w:r>
      <w:bookmarkEnd w:id="3"/>
    </w:p>
    <w:p w:rsidR="007B56C7" w:rsidRDefault="007B56C7" w:rsidP="007B56C7">
      <w:pPr>
        <w:pStyle w:val="R1"/>
      </w:pPr>
      <w:r>
        <w:tab/>
      </w:r>
      <w:r>
        <w:tab/>
        <w:t>Th</w:t>
      </w:r>
      <w:r w:rsidR="006C38EE">
        <w:t>e</w:t>
      </w:r>
      <w:r>
        <w:t>s</w:t>
      </w:r>
      <w:r w:rsidR="006C38EE">
        <w:t>e</w:t>
      </w:r>
      <w:r>
        <w:t xml:space="preserve"> </w:t>
      </w:r>
      <w:r w:rsidR="006C38EE" w:rsidRPr="006C38EE">
        <w:t xml:space="preserve">Rules are </w:t>
      </w:r>
      <w:r>
        <w:t>the</w:t>
      </w:r>
      <w:r w:rsidR="006C38EE">
        <w:t xml:space="preserve"> </w:t>
      </w:r>
      <w:r w:rsidR="006C38EE" w:rsidRPr="006C38EE">
        <w:rPr>
          <w:i/>
        </w:rPr>
        <w:t xml:space="preserve">Therapeutic Goods (Authorised Supply of Specified </w:t>
      </w:r>
      <w:r w:rsidR="008C3D43">
        <w:rPr>
          <w:i/>
        </w:rPr>
        <w:t>Medicines</w:t>
      </w:r>
      <w:r w:rsidR="006C38EE" w:rsidRPr="006C38EE">
        <w:rPr>
          <w:i/>
        </w:rPr>
        <w:t xml:space="preserve">) Rules </w:t>
      </w:r>
      <w:r w:rsidR="000F5B27">
        <w:rPr>
          <w:i/>
        </w:rPr>
        <w:t>March</w:t>
      </w:r>
      <w:r w:rsidR="00E1723F">
        <w:rPr>
          <w:i/>
        </w:rPr>
        <w:t xml:space="preserve"> 2018</w:t>
      </w:r>
      <w:r w:rsidR="006C38EE">
        <w:t>.</w:t>
      </w:r>
    </w:p>
    <w:p w:rsidR="007B56C7" w:rsidRDefault="007B56C7" w:rsidP="007B56C7">
      <w:pPr>
        <w:pStyle w:val="HR"/>
      </w:pPr>
      <w:bookmarkStart w:id="4" w:name="_Toc244919538"/>
      <w:r>
        <w:rPr>
          <w:rStyle w:val="CharSectno"/>
        </w:rPr>
        <w:t>2</w:t>
      </w:r>
      <w:r>
        <w:tab/>
        <w:t>Commencement</w:t>
      </w:r>
      <w:bookmarkEnd w:id="4"/>
    </w:p>
    <w:p w:rsidR="007B56C7" w:rsidRDefault="007B56C7" w:rsidP="007B56C7">
      <w:pPr>
        <w:pStyle w:val="R1"/>
      </w:pPr>
      <w:r>
        <w:tab/>
      </w:r>
      <w:r>
        <w:tab/>
        <w:t>Th</w:t>
      </w:r>
      <w:r w:rsidR="006C38EE">
        <w:t>ese Rules commence</w:t>
      </w:r>
      <w:r>
        <w:t xml:space="preserve"> </w:t>
      </w:r>
      <w:r w:rsidR="00175C8E">
        <w:t>the day after they are registered</w:t>
      </w:r>
      <w:r w:rsidR="006C38EE">
        <w:t>.</w:t>
      </w:r>
    </w:p>
    <w:p w:rsidR="006F3BBB" w:rsidRDefault="007B56C7" w:rsidP="009C2810">
      <w:pPr>
        <w:pStyle w:val="HR"/>
      </w:pPr>
      <w:bookmarkStart w:id="5" w:name="_Toc244919539"/>
      <w:r>
        <w:rPr>
          <w:rStyle w:val="CharSectno"/>
        </w:rPr>
        <w:t>3</w:t>
      </w:r>
      <w:r>
        <w:tab/>
      </w:r>
      <w:bookmarkEnd w:id="5"/>
      <w:r w:rsidR="006F3BBB">
        <w:t>Authority</w:t>
      </w:r>
    </w:p>
    <w:p w:rsidR="006F3BBB" w:rsidRPr="006F3BBB" w:rsidRDefault="006F3BBB" w:rsidP="006F3BBB">
      <w:pPr>
        <w:pStyle w:val="R1"/>
      </w:pPr>
      <w:r>
        <w:tab/>
      </w:r>
      <w:r>
        <w:tab/>
        <w:t xml:space="preserve">These Rules are made under subsection 19(7A) of the </w:t>
      </w:r>
      <w:r>
        <w:rPr>
          <w:i/>
        </w:rPr>
        <w:t>Therapeutic Goods Act 1989</w:t>
      </w:r>
      <w:r>
        <w:t>.</w:t>
      </w:r>
    </w:p>
    <w:p w:rsidR="007B56C7" w:rsidRDefault="006F3BBB" w:rsidP="009C2810">
      <w:pPr>
        <w:pStyle w:val="HR"/>
      </w:pPr>
      <w:r>
        <w:t>4</w:t>
      </w:r>
      <w:r>
        <w:tab/>
      </w:r>
      <w:r w:rsidR="008353A9">
        <w:t>Authorisation</w:t>
      </w:r>
      <w:r>
        <w:t xml:space="preserve"> to supply </w:t>
      </w:r>
      <w:r w:rsidR="008C3D43">
        <w:t>medicines</w:t>
      </w:r>
    </w:p>
    <w:p w:rsidR="00735826" w:rsidRDefault="008353A9" w:rsidP="008353A9">
      <w:pPr>
        <w:pStyle w:val="R1"/>
      </w:pPr>
      <w:r>
        <w:tab/>
        <w:t>(1)</w:t>
      </w:r>
      <w:r>
        <w:tab/>
        <w:t xml:space="preserve">A health practitioner of the </w:t>
      </w:r>
      <w:r w:rsidR="00CC2DBD">
        <w:t>class</w:t>
      </w:r>
      <w:r>
        <w:t xml:space="preserve"> </w:t>
      </w:r>
      <w:r w:rsidR="00437847">
        <w:t xml:space="preserve">specified </w:t>
      </w:r>
      <w:r>
        <w:t xml:space="preserve">in column </w:t>
      </w:r>
      <w:r w:rsidR="00197F2F">
        <w:t>5</w:t>
      </w:r>
      <w:r>
        <w:t xml:space="preserve"> in an item in table 1 is authorised to supply </w:t>
      </w:r>
      <w:r w:rsidR="008C3D43">
        <w:t xml:space="preserve">a medicine </w:t>
      </w:r>
      <w:r w:rsidR="00735826">
        <w:t>that:</w:t>
      </w:r>
    </w:p>
    <w:p w:rsidR="00735826" w:rsidRDefault="00735826" w:rsidP="00437847">
      <w:pPr>
        <w:spacing w:before="60"/>
        <w:ind w:left="1560" w:hanging="567"/>
      </w:pPr>
      <w:r>
        <w:t>(a)</w:t>
      </w:r>
      <w:r>
        <w:tab/>
        <w:t>contain</w:t>
      </w:r>
      <w:r w:rsidR="008C3D43">
        <w:t>s</w:t>
      </w:r>
      <w:r>
        <w:t xml:space="preserve"> </w:t>
      </w:r>
      <w:r w:rsidR="008C3D43">
        <w:t xml:space="preserve">only </w:t>
      </w:r>
      <w:r>
        <w:t>the active ingredient</w:t>
      </w:r>
      <w:r w:rsidR="00727011">
        <w:t xml:space="preserve"> or ingredients</w:t>
      </w:r>
      <w:r w:rsidR="002C2627">
        <w:t>, in the strength or concentration (if any),</w:t>
      </w:r>
      <w:r>
        <w:t xml:space="preserve"> </w:t>
      </w:r>
      <w:r w:rsidR="00437847">
        <w:t xml:space="preserve">specified </w:t>
      </w:r>
      <w:r>
        <w:t>in column 1 in the item; and</w:t>
      </w:r>
    </w:p>
    <w:p w:rsidR="00735826" w:rsidRDefault="00735826" w:rsidP="00437847">
      <w:pPr>
        <w:spacing w:before="60"/>
        <w:ind w:left="1560" w:hanging="567"/>
      </w:pPr>
      <w:r>
        <w:t>(b)</w:t>
      </w:r>
      <w:r>
        <w:tab/>
      </w:r>
      <w:r w:rsidR="00CC2DBD">
        <w:t xml:space="preserve">is </w:t>
      </w:r>
      <w:r>
        <w:t xml:space="preserve">in the dosage form </w:t>
      </w:r>
      <w:r w:rsidR="00437847">
        <w:t xml:space="preserve">specified </w:t>
      </w:r>
      <w:r>
        <w:t>in column 2 in the item;</w:t>
      </w:r>
    </w:p>
    <w:p w:rsidR="00220540" w:rsidRDefault="00735826" w:rsidP="008353A9">
      <w:pPr>
        <w:pStyle w:val="R1"/>
      </w:pPr>
      <w:r>
        <w:tab/>
      </w:r>
      <w:r>
        <w:tab/>
      </w:r>
      <w:r w:rsidR="008353A9">
        <w:t xml:space="preserve">to a </w:t>
      </w:r>
      <w:r w:rsidR="00220540">
        <w:t xml:space="preserve">person </w:t>
      </w:r>
      <w:r w:rsidR="00571C51">
        <w:t>if</w:t>
      </w:r>
      <w:r w:rsidR="00220540">
        <w:t>:</w:t>
      </w:r>
    </w:p>
    <w:p w:rsidR="00220540" w:rsidRDefault="00220540" w:rsidP="00437847">
      <w:pPr>
        <w:spacing w:before="60"/>
        <w:ind w:left="1560" w:hanging="567"/>
      </w:pPr>
      <w:r>
        <w:t>(c)</w:t>
      </w:r>
      <w:r>
        <w:tab/>
      </w:r>
      <w:r w:rsidR="00571C51">
        <w:t xml:space="preserve">the person is </w:t>
      </w:r>
      <w:r>
        <w:t xml:space="preserve">a </w:t>
      </w:r>
      <w:r w:rsidR="008353A9">
        <w:t xml:space="preserve">patient </w:t>
      </w:r>
      <w:r>
        <w:t>of the health practitioner; and</w:t>
      </w:r>
    </w:p>
    <w:p w:rsidR="002C2627" w:rsidRDefault="00437847" w:rsidP="00437847">
      <w:pPr>
        <w:spacing w:before="60"/>
        <w:ind w:left="1560" w:hanging="567"/>
      </w:pPr>
      <w:r>
        <w:t>(</w:t>
      </w:r>
      <w:r w:rsidR="00571C51">
        <w:t>d</w:t>
      </w:r>
      <w:r>
        <w:t>)</w:t>
      </w:r>
      <w:r>
        <w:tab/>
      </w:r>
      <w:r w:rsidR="002C2627">
        <w:t xml:space="preserve">the </w:t>
      </w:r>
      <w:r w:rsidR="00E1288B">
        <w:t>medicine is</w:t>
      </w:r>
      <w:r w:rsidR="002C2627">
        <w:t xml:space="preserve"> to be administered through the route of admi</w:t>
      </w:r>
      <w:r w:rsidR="00197F2F">
        <w:t>nistration specified in column 3</w:t>
      </w:r>
      <w:r w:rsidR="002C2627">
        <w:t xml:space="preserve"> in the item; and</w:t>
      </w:r>
    </w:p>
    <w:p w:rsidR="00437847" w:rsidRDefault="002C2627" w:rsidP="00437847">
      <w:pPr>
        <w:spacing w:before="60"/>
        <w:ind w:left="1560" w:hanging="567"/>
      </w:pPr>
      <w:r>
        <w:t>(e)</w:t>
      </w:r>
      <w:r>
        <w:tab/>
      </w:r>
      <w:r w:rsidR="00437847">
        <w:t xml:space="preserve">the supply is for </w:t>
      </w:r>
      <w:r w:rsidR="00E904DB">
        <w:t>an</w:t>
      </w:r>
      <w:r w:rsidR="00437847">
        <w:t xml:space="preserve"> </w:t>
      </w:r>
      <w:r w:rsidR="00571C51">
        <w:t xml:space="preserve">indication </w:t>
      </w:r>
      <w:r w:rsidR="00437847">
        <w:t xml:space="preserve">specified in column </w:t>
      </w:r>
      <w:r w:rsidR="00197F2F">
        <w:t>4</w:t>
      </w:r>
      <w:r w:rsidR="00437847">
        <w:t xml:space="preserve"> in the item; and</w:t>
      </w:r>
    </w:p>
    <w:p w:rsidR="00571C51" w:rsidRDefault="00571C51" w:rsidP="00571C51">
      <w:pPr>
        <w:spacing w:before="60"/>
        <w:ind w:left="1560" w:hanging="567"/>
      </w:pPr>
      <w:r>
        <w:t>(</w:t>
      </w:r>
      <w:r w:rsidR="00C67FC3">
        <w:t>f</w:t>
      </w:r>
      <w:r>
        <w:t>)</w:t>
      </w:r>
      <w:r>
        <w:tab/>
        <w:t>the following conditions are satisfied:</w:t>
      </w:r>
    </w:p>
    <w:p w:rsidR="00571C51" w:rsidRDefault="00571C51" w:rsidP="00571C51">
      <w:pPr>
        <w:spacing w:before="60"/>
        <w:ind w:left="2127" w:hanging="567"/>
      </w:pPr>
      <w:r>
        <w:t>(i)</w:t>
      </w:r>
      <w:r>
        <w:tab/>
        <w:t xml:space="preserve">the health practitioner must inform the patient, or a parent or guardian of the patient, that the </w:t>
      </w:r>
      <w:r w:rsidR="00E1288B">
        <w:t>medicine is not registered or listed</w:t>
      </w:r>
      <w:r>
        <w:t>;</w:t>
      </w:r>
    </w:p>
    <w:p w:rsidR="00E1288B" w:rsidRDefault="00571C51" w:rsidP="00571C51">
      <w:pPr>
        <w:spacing w:before="60"/>
        <w:ind w:left="2127" w:hanging="567"/>
      </w:pPr>
      <w:r>
        <w:t>(ii)</w:t>
      </w:r>
      <w:r>
        <w:tab/>
        <w:t xml:space="preserve">the health practitioner must ensure that the </w:t>
      </w:r>
      <w:r w:rsidR="00CD4356">
        <w:t xml:space="preserve">medicine is </w:t>
      </w:r>
      <w:r>
        <w:t xml:space="preserve">supplied </w:t>
      </w:r>
      <w:r w:rsidR="00E1288B">
        <w:t xml:space="preserve">only after receiving </w:t>
      </w:r>
      <w:r>
        <w:t xml:space="preserve">informed consent </w:t>
      </w:r>
      <w:r w:rsidR="00E1288B">
        <w:t>from the patient, or a parent or guardian of the patient;</w:t>
      </w:r>
    </w:p>
    <w:p w:rsidR="00571C51" w:rsidRDefault="00CD4356" w:rsidP="00571C51">
      <w:pPr>
        <w:spacing w:before="60"/>
        <w:ind w:left="2127" w:hanging="567"/>
      </w:pPr>
      <w:r>
        <w:t>(iii)</w:t>
      </w:r>
      <w:r>
        <w:tab/>
        <w:t>the health practitioner must ensure that the medicine is supplied</w:t>
      </w:r>
      <w:r w:rsidR="00571C51">
        <w:t xml:space="preserve"> in accordance with good medical practice;</w:t>
      </w:r>
    </w:p>
    <w:p w:rsidR="00571C51" w:rsidRDefault="00571C51" w:rsidP="00571C51">
      <w:pPr>
        <w:spacing w:before="60"/>
        <w:ind w:left="2127" w:hanging="567"/>
      </w:pPr>
      <w:r>
        <w:t>(</w:t>
      </w:r>
      <w:r w:rsidR="00E12770">
        <w:t>i</w:t>
      </w:r>
      <w:r>
        <w:t>v)</w:t>
      </w:r>
      <w:r>
        <w:tab/>
        <w:t>if the health practitioner becomes aware that the patient has suffered a</w:t>
      </w:r>
      <w:r w:rsidR="000C17F9">
        <w:t>n</w:t>
      </w:r>
      <w:r>
        <w:t xml:space="preserve"> adverse </w:t>
      </w:r>
      <w:r w:rsidR="000C17F9">
        <w:t>event in relation to the medicine</w:t>
      </w:r>
      <w:r>
        <w:t>, the health practitioner must notify the Therapeutic Goods Administration</w:t>
      </w:r>
      <w:r w:rsidR="00C67FC3">
        <w:t>, and the sponsor of the medicine</w:t>
      </w:r>
      <w:r w:rsidR="00CC5904">
        <w:t xml:space="preserve">, </w:t>
      </w:r>
      <w:r w:rsidR="00283959">
        <w:t xml:space="preserve">about the adverse event, </w:t>
      </w:r>
      <w:r w:rsidR="00CC5904">
        <w:t>in accordance with subsection (3)</w:t>
      </w:r>
      <w:r>
        <w:t>;</w:t>
      </w:r>
    </w:p>
    <w:p w:rsidR="00571C51" w:rsidRDefault="00571C51" w:rsidP="00571C51">
      <w:pPr>
        <w:spacing w:before="60"/>
        <w:ind w:left="2127" w:hanging="567"/>
      </w:pPr>
      <w:r>
        <w:t>(v)</w:t>
      </w:r>
      <w:r>
        <w:tab/>
        <w:t xml:space="preserve">if the health practitioner becomes aware of any defect in the </w:t>
      </w:r>
      <w:r w:rsidR="00832228">
        <w:t>medicine</w:t>
      </w:r>
      <w:r>
        <w:t xml:space="preserve">, the health practitioner must </w:t>
      </w:r>
      <w:r w:rsidR="00C67FC3">
        <w:t>notify the Therapeutic Goods Administration, and the sponsor of the medicine</w:t>
      </w:r>
      <w:r w:rsidR="00CC5904">
        <w:t xml:space="preserve">, </w:t>
      </w:r>
      <w:r w:rsidR="00283959">
        <w:t xml:space="preserve">about the defect, </w:t>
      </w:r>
      <w:r w:rsidR="00CC5904">
        <w:t>in accordance with subsection (3)</w:t>
      </w:r>
      <w:r>
        <w:t>.</w:t>
      </w:r>
    </w:p>
    <w:p w:rsidR="00437847" w:rsidRDefault="008353A9" w:rsidP="008477E9">
      <w:pPr>
        <w:pStyle w:val="R1"/>
        <w:keepNext/>
        <w:spacing w:before="240"/>
      </w:pPr>
      <w:r>
        <w:tab/>
        <w:t>(2)</w:t>
      </w:r>
      <w:r>
        <w:tab/>
      </w:r>
      <w:r w:rsidR="00437847">
        <w:t xml:space="preserve">A </w:t>
      </w:r>
      <w:r w:rsidR="00571C51">
        <w:t xml:space="preserve">health practitioner </w:t>
      </w:r>
      <w:r w:rsidR="00437847">
        <w:t xml:space="preserve">is authorised to supply </w:t>
      </w:r>
      <w:r w:rsidR="00E904DB">
        <w:t>a medicine</w:t>
      </w:r>
      <w:r w:rsidR="00437847">
        <w:t xml:space="preserve"> that:</w:t>
      </w:r>
    </w:p>
    <w:p w:rsidR="002C2627" w:rsidRDefault="002C2627" w:rsidP="002C2627">
      <w:pPr>
        <w:spacing w:before="60"/>
        <w:ind w:left="1560" w:hanging="567"/>
      </w:pPr>
      <w:r>
        <w:t>(a)</w:t>
      </w:r>
      <w:r>
        <w:tab/>
        <w:t>contain</w:t>
      </w:r>
      <w:r w:rsidR="00E904DB">
        <w:t>s</w:t>
      </w:r>
      <w:r>
        <w:t xml:space="preserve"> </w:t>
      </w:r>
      <w:r w:rsidR="005A4909">
        <w:t xml:space="preserve">only </w:t>
      </w:r>
      <w:r>
        <w:t>the active ingredient</w:t>
      </w:r>
      <w:r w:rsidR="00727011">
        <w:t xml:space="preserve"> or ingredients</w:t>
      </w:r>
      <w:r>
        <w:t xml:space="preserve">, in the strength or concentration (if any), specified in column 1 in </w:t>
      </w:r>
      <w:r w:rsidR="00DD5AC9">
        <w:t>an</w:t>
      </w:r>
      <w:r>
        <w:t xml:space="preserve"> item</w:t>
      </w:r>
      <w:r w:rsidR="00DD5AC9">
        <w:t xml:space="preserve"> in table 1</w:t>
      </w:r>
      <w:r>
        <w:t>; and</w:t>
      </w:r>
    </w:p>
    <w:p w:rsidR="002C2627" w:rsidRDefault="002C2627" w:rsidP="002C2627">
      <w:pPr>
        <w:spacing w:before="60"/>
        <w:ind w:left="1560" w:hanging="567"/>
      </w:pPr>
      <w:r>
        <w:lastRenderedPageBreak/>
        <w:t>(b)</w:t>
      </w:r>
      <w:r>
        <w:tab/>
      </w:r>
      <w:r w:rsidR="00E904DB">
        <w:t xml:space="preserve">is </w:t>
      </w:r>
      <w:r>
        <w:t>in the dosage form specified in column 2 in the item;</w:t>
      </w:r>
    </w:p>
    <w:p w:rsidR="00437847" w:rsidRDefault="00437847" w:rsidP="00437847">
      <w:pPr>
        <w:pStyle w:val="R1"/>
      </w:pPr>
      <w:r>
        <w:tab/>
      </w:r>
      <w:r>
        <w:tab/>
        <w:t xml:space="preserve">to a person </w:t>
      </w:r>
      <w:r w:rsidR="002C2627">
        <w:t>if</w:t>
      </w:r>
      <w:r>
        <w:t>:</w:t>
      </w:r>
    </w:p>
    <w:p w:rsidR="002C2627" w:rsidRDefault="002C2627" w:rsidP="002C2627">
      <w:pPr>
        <w:spacing w:before="60"/>
        <w:ind w:left="1560" w:hanging="567"/>
      </w:pPr>
      <w:r>
        <w:t>(c)</w:t>
      </w:r>
      <w:r>
        <w:tab/>
        <w:t xml:space="preserve">the person is a patient of another health practitioner (the </w:t>
      </w:r>
      <w:r>
        <w:rPr>
          <w:b/>
          <w:i/>
        </w:rPr>
        <w:t>treating practitioner</w:t>
      </w:r>
      <w:r>
        <w:t>); and</w:t>
      </w:r>
    </w:p>
    <w:p w:rsidR="002C2627" w:rsidRDefault="002C2627" w:rsidP="002C2627">
      <w:pPr>
        <w:spacing w:before="60"/>
        <w:ind w:left="1560" w:hanging="567"/>
      </w:pPr>
      <w:r>
        <w:t>(d)</w:t>
      </w:r>
      <w:r>
        <w:tab/>
        <w:t xml:space="preserve">the treating practitioner is a health practitioner of the class specified in column </w:t>
      </w:r>
      <w:r w:rsidR="00197F2F">
        <w:t xml:space="preserve">5 </w:t>
      </w:r>
      <w:r>
        <w:t>in the item; and</w:t>
      </w:r>
    </w:p>
    <w:p w:rsidR="002C2627" w:rsidRDefault="002C2627" w:rsidP="002C2627">
      <w:pPr>
        <w:spacing w:before="60"/>
        <w:ind w:left="1560" w:hanging="567"/>
      </w:pPr>
      <w:r>
        <w:t>(e)</w:t>
      </w:r>
      <w:r>
        <w:tab/>
        <w:t>the supply is requested by the treating practitioner; and</w:t>
      </w:r>
    </w:p>
    <w:p w:rsidR="002C2627" w:rsidRDefault="002C2627" w:rsidP="002C2627">
      <w:pPr>
        <w:spacing w:before="60"/>
        <w:ind w:left="1560" w:hanging="567"/>
      </w:pPr>
      <w:r>
        <w:t>(f)</w:t>
      </w:r>
      <w:r>
        <w:tab/>
        <w:t xml:space="preserve">the </w:t>
      </w:r>
      <w:r w:rsidR="00E904DB">
        <w:t xml:space="preserve">medicine is </w:t>
      </w:r>
      <w:r>
        <w:t xml:space="preserve">to be administered through the route of administration specified in column </w:t>
      </w:r>
      <w:r w:rsidR="00197F2F">
        <w:t>3</w:t>
      </w:r>
      <w:r>
        <w:t xml:space="preserve"> in the item; and</w:t>
      </w:r>
    </w:p>
    <w:p w:rsidR="002C2627" w:rsidRDefault="002C2627" w:rsidP="002C2627">
      <w:pPr>
        <w:spacing w:before="60"/>
        <w:ind w:left="1560" w:hanging="567"/>
      </w:pPr>
      <w:r>
        <w:t>(g)</w:t>
      </w:r>
      <w:r>
        <w:tab/>
        <w:t xml:space="preserve">the supply is for </w:t>
      </w:r>
      <w:r w:rsidR="00E904DB">
        <w:t>an</w:t>
      </w:r>
      <w:r>
        <w:t xml:space="preserve"> indication specified in column </w:t>
      </w:r>
      <w:r w:rsidR="00197F2F">
        <w:t>4</w:t>
      </w:r>
      <w:r>
        <w:t xml:space="preserve"> in the item; and</w:t>
      </w:r>
    </w:p>
    <w:p w:rsidR="002C2627" w:rsidRDefault="002C2627" w:rsidP="002C2627">
      <w:pPr>
        <w:spacing w:before="60"/>
        <w:ind w:left="1560" w:hanging="567"/>
      </w:pPr>
      <w:r>
        <w:t>(</w:t>
      </w:r>
      <w:r w:rsidR="000E23E8">
        <w:t>h</w:t>
      </w:r>
      <w:r>
        <w:t>)</w:t>
      </w:r>
      <w:r>
        <w:tab/>
        <w:t>the following conditions are satisfied:</w:t>
      </w:r>
    </w:p>
    <w:p w:rsidR="002C2627" w:rsidRDefault="002C2627" w:rsidP="002C2627">
      <w:pPr>
        <w:spacing w:before="60"/>
        <w:ind w:left="2127" w:hanging="567"/>
      </w:pPr>
      <w:r>
        <w:t>(i)</w:t>
      </w:r>
      <w:r>
        <w:tab/>
        <w:t xml:space="preserve">if the health practitioner supplying the </w:t>
      </w:r>
      <w:r w:rsidR="00E904DB">
        <w:t xml:space="preserve">medicine </w:t>
      </w:r>
      <w:r>
        <w:t xml:space="preserve">becomes aware that the patient has </w:t>
      </w:r>
      <w:r w:rsidR="000C17F9">
        <w:t>suffered an adverse event in relation to the medicine</w:t>
      </w:r>
      <w:r>
        <w:t xml:space="preserve">, the health practitioner must </w:t>
      </w:r>
      <w:r w:rsidR="00C67FC3">
        <w:t>notify the Therapeutic Goods Administration, and the sponsor of the medicine</w:t>
      </w:r>
      <w:r w:rsidR="00283959">
        <w:t>, about the adverse event, in accordance with subsection (3)</w:t>
      </w:r>
      <w:r>
        <w:t>;</w:t>
      </w:r>
    </w:p>
    <w:p w:rsidR="00D810F4" w:rsidRDefault="00CA4FA1" w:rsidP="00E8423B">
      <w:pPr>
        <w:spacing w:before="60"/>
        <w:ind w:left="2127" w:hanging="567"/>
      </w:pPr>
      <w:r>
        <w:t>(ii</w:t>
      </w:r>
      <w:r w:rsidR="002C2627">
        <w:t>)</w:t>
      </w:r>
      <w:r w:rsidR="002C2627">
        <w:tab/>
      </w:r>
      <w:proofErr w:type="gramStart"/>
      <w:r w:rsidR="002C2627">
        <w:t>if</w:t>
      </w:r>
      <w:proofErr w:type="gramEnd"/>
      <w:r w:rsidR="002C2627">
        <w:t xml:space="preserve"> the health practitioner supplying the </w:t>
      </w:r>
      <w:r w:rsidR="00E904DB">
        <w:t xml:space="preserve">medicine </w:t>
      </w:r>
      <w:r w:rsidR="002C2627">
        <w:t xml:space="preserve">becomes aware of any defect in the </w:t>
      </w:r>
      <w:r w:rsidR="00E904DB">
        <w:t>medicine</w:t>
      </w:r>
      <w:r w:rsidR="002C2627">
        <w:t xml:space="preserve">, the health practitioner must </w:t>
      </w:r>
      <w:r w:rsidR="00C67FC3">
        <w:t>notify the Therapeutic Goods Administration, and the sponsor of the medicine</w:t>
      </w:r>
      <w:r w:rsidR="00283959">
        <w:t>, about the defect, in accordance with subsection (3)</w:t>
      </w:r>
      <w:r w:rsidR="002C2627">
        <w:t>.</w:t>
      </w:r>
    </w:p>
    <w:p w:rsidR="00D810F4" w:rsidRDefault="00CC5904" w:rsidP="00E8423B">
      <w:pPr>
        <w:spacing w:before="240" w:after="200" w:line="276" w:lineRule="auto"/>
        <w:ind w:left="993" w:hanging="426"/>
        <w:sectPr w:rsidR="00D810F4" w:rsidSect="003043A5">
          <w:type w:val="continuous"/>
          <w:pgSz w:w="11907" w:h="16839"/>
          <w:pgMar w:top="1440" w:right="1440" w:bottom="1440" w:left="1440" w:header="709" w:footer="1134" w:gutter="0"/>
          <w:cols w:space="720"/>
          <w:docGrid w:linePitch="326"/>
        </w:sectPr>
      </w:pPr>
      <w:r>
        <w:t>(3)</w:t>
      </w:r>
      <w:r>
        <w:tab/>
        <w:t xml:space="preserve">For the purposes of subparagraphs (1)(f)(iv) and (v) and (2)(h)(i) and (ii), notification must be in accordance with the reporting guidelines set out in the document titled </w:t>
      </w:r>
      <w:r>
        <w:rPr>
          <w:i/>
        </w:rPr>
        <w:t>Special Access Scheme Guidance for health practitioners and sponsors</w:t>
      </w:r>
      <w:r>
        <w:t>, version 1.1, published by the Therapeutic Goods Administration in September 2017.</w:t>
      </w:r>
    </w:p>
    <w:p w:rsidR="00D810F4" w:rsidRDefault="00D810F4" w:rsidP="00D810F4">
      <w:pPr>
        <w:spacing w:before="240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Table 1:</w:t>
      </w:r>
      <w:r>
        <w:rPr>
          <w:rFonts w:ascii="Arial" w:hAnsi="Arial" w:cs="Arial"/>
          <w:b/>
        </w:rPr>
        <w:tab/>
        <w:t xml:space="preserve">Authorised </w:t>
      </w:r>
      <w:r w:rsidR="00571C51">
        <w:rPr>
          <w:rFonts w:ascii="Arial" w:hAnsi="Arial" w:cs="Arial"/>
          <w:b/>
        </w:rPr>
        <w:t>supply of</w:t>
      </w:r>
      <w:r>
        <w:rPr>
          <w:rFonts w:ascii="Arial" w:hAnsi="Arial" w:cs="Arial"/>
          <w:b/>
        </w:rPr>
        <w:t xml:space="preserve"> </w:t>
      </w:r>
      <w:r w:rsidR="00832228">
        <w:rPr>
          <w:rFonts w:ascii="Arial" w:hAnsi="Arial" w:cs="Arial"/>
          <w:b/>
        </w:rPr>
        <w:t>medicines</w:t>
      </w:r>
    </w:p>
    <w:p w:rsidR="006C38EE" w:rsidRDefault="006C38EE" w:rsidP="00D810F4">
      <w:pPr>
        <w:spacing w:after="200" w:line="276" w:lineRule="auto"/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162"/>
        <w:gridCol w:w="1721"/>
        <w:gridCol w:w="2267"/>
        <w:gridCol w:w="4521"/>
        <w:gridCol w:w="2734"/>
      </w:tblGrid>
      <w:tr w:rsidR="00E904DB" w:rsidRPr="007B7CBB" w:rsidTr="006D6EB3">
        <w:trPr>
          <w:tblHeader/>
        </w:trPr>
        <w:tc>
          <w:tcPr>
            <w:tcW w:w="661" w:type="dxa"/>
            <w:tcBorders>
              <w:top w:val="single" w:sz="12" w:space="0" w:color="auto"/>
              <w:bottom w:val="single" w:sz="12" w:space="0" w:color="auto"/>
            </w:tcBorders>
          </w:tcPr>
          <w:p w:rsidR="00E904DB" w:rsidRDefault="00E904DB" w:rsidP="007B7CB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904DB" w:rsidRDefault="00E904DB" w:rsidP="007B7CB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162" w:type="dxa"/>
            <w:tcBorders>
              <w:top w:val="single" w:sz="12" w:space="0" w:color="auto"/>
              <w:bottom w:val="single" w:sz="12" w:space="0" w:color="auto"/>
            </w:tcBorders>
          </w:tcPr>
          <w:p w:rsidR="00E904DB" w:rsidRDefault="00E904DB" w:rsidP="007B7CB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Column 1</w:t>
            </w:r>
          </w:p>
          <w:p w:rsidR="00E904DB" w:rsidRPr="007B7CBB" w:rsidRDefault="00E904DB" w:rsidP="00D810F4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7CB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Active ingredient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(s) and strength or concentration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E904DB" w:rsidRDefault="00E904DB" w:rsidP="007B7CB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Column 2</w:t>
            </w:r>
          </w:p>
          <w:p w:rsidR="00E904DB" w:rsidRPr="007B7CBB" w:rsidRDefault="00E904DB" w:rsidP="009D545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Dosage form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</w:tcPr>
          <w:p w:rsidR="00E904DB" w:rsidRDefault="00E904DB" w:rsidP="007B7CB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Column 3</w:t>
            </w:r>
          </w:p>
          <w:p w:rsidR="00E904DB" w:rsidRDefault="00E904DB" w:rsidP="007B7CB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Route of administration</w:t>
            </w:r>
          </w:p>
        </w:tc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</w:tcPr>
          <w:p w:rsidR="00E904DB" w:rsidRDefault="00E904DB" w:rsidP="007B7CB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Column 4</w:t>
            </w:r>
          </w:p>
          <w:p w:rsidR="00E904DB" w:rsidRPr="007B7CBB" w:rsidRDefault="00E904DB" w:rsidP="00B0362F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Indication</w:t>
            </w:r>
            <w:r w:rsidR="00B0362F">
              <w:rPr>
                <w:rFonts w:ascii="Arial" w:hAnsi="Arial" w:cs="Arial"/>
                <w:b/>
                <w:color w:val="000000"/>
                <w:sz w:val="20"/>
                <w:szCs w:val="20"/>
              </w:rPr>
              <w:t>(s)</w:t>
            </w:r>
          </w:p>
        </w:tc>
        <w:tc>
          <w:tcPr>
            <w:tcW w:w="2734" w:type="dxa"/>
            <w:tcBorders>
              <w:top w:val="single" w:sz="12" w:space="0" w:color="auto"/>
              <w:bottom w:val="single" w:sz="12" w:space="0" w:color="auto"/>
            </w:tcBorders>
          </w:tcPr>
          <w:p w:rsidR="00E904DB" w:rsidRDefault="00E904DB" w:rsidP="007B7CBB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Column 5</w:t>
            </w:r>
          </w:p>
          <w:p w:rsidR="00E904DB" w:rsidRPr="007B7CBB" w:rsidRDefault="00E904DB" w:rsidP="00D810F4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7CB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Authorised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health p</w:t>
            </w:r>
            <w:r w:rsidRPr="007B7CBB">
              <w:rPr>
                <w:rFonts w:ascii="Arial" w:hAnsi="Arial" w:cs="Arial"/>
                <w:b/>
                <w:color w:val="000000"/>
                <w:sz w:val="20"/>
                <w:szCs w:val="20"/>
              </w:rPr>
              <w:t>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Allergens – multiple, various (including control solutions)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Drops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Intradermal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Confirmation of suspected allergic reactions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Allergens – multiple, various (including control solutions)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Drops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Skin prick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Confirmation of suspected allergic reactions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21445F" w:rsidRPr="0008175F" w:rsidTr="006D6EB3">
        <w:trPr>
          <w:cantSplit/>
        </w:trPr>
        <w:tc>
          <w:tcPr>
            <w:tcW w:w="661" w:type="dxa"/>
          </w:tcPr>
          <w:p w:rsidR="002144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2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>Amifampridine (3,4-diaminopyridine)</w:t>
            </w:r>
          </w:p>
        </w:tc>
        <w:tc>
          <w:tcPr>
            <w:tcW w:w="1721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>Treatment of Lambert-Eaton Myasthenic Syndrome</w:t>
            </w:r>
          </w:p>
        </w:tc>
        <w:tc>
          <w:tcPr>
            <w:tcW w:w="2734" w:type="dxa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372E01" w:rsidRPr="0008175F" w:rsidTr="006D6EB3">
        <w:trPr>
          <w:cantSplit/>
        </w:trPr>
        <w:tc>
          <w:tcPr>
            <w:tcW w:w="661" w:type="dxa"/>
          </w:tcPr>
          <w:p w:rsidR="00372E01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2" w:type="dxa"/>
            <w:vAlign w:val="bottom"/>
          </w:tcPr>
          <w:p w:rsidR="00372E01" w:rsidRPr="0008175F" w:rsidRDefault="00E629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Bifidobacterium bifidum &amp; L</w:t>
            </w:r>
            <w:r w:rsidRPr="00372E01">
              <w:rPr>
                <w:rFonts w:ascii="Arial" w:hAnsi="Arial" w:cs="Arial"/>
                <w:color w:val="000000"/>
                <w:sz w:val="20"/>
                <w:szCs w:val="20"/>
              </w:rPr>
              <w:t xml:space="preserve">actobacillus </w:t>
            </w:r>
            <w:r w:rsidR="00372E01" w:rsidRPr="00372E01">
              <w:rPr>
                <w:rFonts w:ascii="Arial" w:hAnsi="Arial" w:cs="Arial"/>
                <w:color w:val="000000"/>
                <w:sz w:val="20"/>
                <w:szCs w:val="20"/>
              </w:rPr>
              <w:t>acidophilus</w:t>
            </w:r>
          </w:p>
        </w:tc>
        <w:tc>
          <w:tcPr>
            <w:tcW w:w="1721" w:type="dxa"/>
            <w:vAlign w:val="bottom"/>
          </w:tcPr>
          <w:p w:rsidR="00372E01" w:rsidRPr="0008175F" w:rsidRDefault="00372E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372E01" w:rsidRPr="0008175F" w:rsidRDefault="00372E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372E01" w:rsidRPr="0008175F" w:rsidRDefault="00372E01" w:rsidP="00372E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Prevention of n</w:t>
            </w:r>
            <w:r w:rsidRPr="00372E01">
              <w:rPr>
                <w:rFonts w:ascii="Arial" w:hAnsi="Arial" w:cs="Arial"/>
                <w:color w:val="000000"/>
                <w:sz w:val="20"/>
                <w:szCs w:val="20"/>
              </w:rPr>
              <w:t xml:space="preserve">ecrotising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72E01">
              <w:rPr>
                <w:rFonts w:ascii="Arial" w:hAnsi="Arial" w:cs="Arial"/>
                <w:color w:val="000000"/>
                <w:sz w:val="20"/>
                <w:szCs w:val="20"/>
              </w:rPr>
              <w:t>nterocolitis</w:t>
            </w:r>
          </w:p>
        </w:tc>
        <w:tc>
          <w:tcPr>
            <w:tcW w:w="2734" w:type="dxa"/>
          </w:tcPr>
          <w:p w:rsidR="00372E01" w:rsidRPr="0008175F" w:rsidRDefault="00372E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8A61D7" w:rsidRPr="0008175F" w:rsidTr="006D6EB3">
        <w:trPr>
          <w:cantSplit/>
        </w:trPr>
        <w:tc>
          <w:tcPr>
            <w:tcW w:w="661" w:type="dxa"/>
          </w:tcPr>
          <w:p w:rsidR="008A61D7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2" w:type="dxa"/>
            <w:vAlign w:val="bottom"/>
          </w:tcPr>
          <w:p w:rsidR="008A61D7" w:rsidRPr="0008175F" w:rsidRDefault="008A61D7" w:rsidP="000151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Betaxolol</w:t>
            </w:r>
            <w:r w:rsidRPr="008A61D7">
              <w:rPr>
                <w:rFonts w:ascii="Arial" w:hAnsi="Arial" w:cs="Arial"/>
                <w:color w:val="000000"/>
                <w:sz w:val="20"/>
                <w:szCs w:val="20"/>
              </w:rPr>
              <w:t xml:space="preserve"> 0.25%</w:t>
            </w:r>
            <w:r w:rsidR="00015151">
              <w:rPr>
                <w:rFonts w:ascii="Arial" w:hAnsi="Arial" w:cs="Arial"/>
                <w:color w:val="000000"/>
                <w:sz w:val="20"/>
                <w:szCs w:val="20"/>
              </w:rPr>
              <w:t xml:space="preserve"> (preservative free) </w:t>
            </w:r>
          </w:p>
        </w:tc>
        <w:tc>
          <w:tcPr>
            <w:tcW w:w="1721" w:type="dxa"/>
            <w:vAlign w:val="bottom"/>
          </w:tcPr>
          <w:p w:rsidR="008A61D7" w:rsidRPr="0008175F" w:rsidRDefault="008A6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Eye drops</w:t>
            </w:r>
            <w:r w:rsidR="000151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vAlign w:val="bottom"/>
          </w:tcPr>
          <w:p w:rsidR="008A61D7" w:rsidRPr="0008175F" w:rsidRDefault="003C5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8A61D7" w:rsidRPr="0008175F" w:rsidRDefault="00015151" w:rsidP="000151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5151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E6294A">
              <w:rPr>
                <w:rFonts w:ascii="Arial" w:hAnsi="Arial" w:cs="Arial"/>
                <w:color w:val="000000"/>
                <w:sz w:val="20"/>
                <w:szCs w:val="20"/>
              </w:rPr>
              <w:t>levated i</w:t>
            </w:r>
            <w:r w:rsidRPr="00015151">
              <w:rPr>
                <w:rFonts w:ascii="Arial" w:hAnsi="Arial" w:cs="Arial"/>
                <w:color w:val="000000"/>
                <w:sz w:val="20"/>
                <w:szCs w:val="20"/>
              </w:rPr>
              <w:t xml:space="preserve">ntraocular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015151">
              <w:rPr>
                <w:rFonts w:ascii="Arial" w:hAnsi="Arial" w:cs="Arial"/>
                <w:color w:val="000000"/>
                <w:sz w:val="20"/>
                <w:szCs w:val="20"/>
              </w:rPr>
              <w:t>ressure where other treatments are inappropriate</w:t>
            </w:r>
          </w:p>
        </w:tc>
        <w:tc>
          <w:tcPr>
            <w:tcW w:w="2734" w:type="dxa"/>
          </w:tcPr>
          <w:p w:rsidR="008A61D7" w:rsidRPr="0008175F" w:rsidRDefault="00CA77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Bismuth subcitrate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 w:rsidP="009D1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resistant </w:t>
            </w:r>
            <w:r w:rsidR="009D1A71" w:rsidRPr="009D1A71">
              <w:rPr>
                <w:rFonts w:ascii="Arial" w:hAnsi="Arial" w:cs="Arial"/>
                <w:i/>
                <w:color w:val="000000"/>
                <w:sz w:val="20"/>
                <w:szCs w:val="20"/>
              </w:rPr>
              <w:t>Helicobacter</w:t>
            </w:r>
            <w:r w:rsidR="009D1A71">
              <w:rPr>
                <w:i/>
                <w:sz w:val="16"/>
                <w:szCs w:val="16"/>
              </w:rPr>
              <w:t xml:space="preserve"> </w:t>
            </w:r>
            <w:r w:rsidR="00473C5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53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>ylori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infection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Buspirone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generalised anxiety disorders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Calcitriol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Liquid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 w:rsidP="007B2B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Prevention of hypophosphatemic rickets in children; Treatment of hypoparathyroidism (with severe hypocalcaemia)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Cholecalciferol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severe vitamin D deficiency and prevention of osteoporosis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Cholecalciferol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Injection 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Intramuscular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severe vitamin D deficiency and prevention of osteoporosis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  <w:trHeight w:val="757"/>
        </w:trPr>
        <w:tc>
          <w:tcPr>
            <w:tcW w:w="661" w:type="dxa"/>
          </w:tcPr>
          <w:p w:rsidR="000817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Cinnarizine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vestibular disorders such as vertigo, tinnitus, nausea and vomiting (including Meniere's disease). 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21445F" w:rsidRPr="0008175F" w:rsidTr="006D6EB3">
        <w:trPr>
          <w:cantSplit/>
        </w:trPr>
        <w:tc>
          <w:tcPr>
            <w:tcW w:w="661" w:type="dxa"/>
          </w:tcPr>
          <w:p w:rsidR="002144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2" w:type="dxa"/>
            <w:vAlign w:val="bottom"/>
          </w:tcPr>
          <w:p w:rsidR="0021445F" w:rsidRPr="0008175F" w:rsidRDefault="0021445F" w:rsidP="00E629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Clobetasol </w:t>
            </w:r>
            <w:r w:rsidR="00E6294A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E6294A" w:rsidRPr="0021445F">
              <w:rPr>
                <w:rFonts w:ascii="Arial" w:hAnsi="Arial" w:cs="Arial"/>
                <w:color w:val="000000"/>
                <w:sz w:val="20"/>
                <w:szCs w:val="20"/>
              </w:rPr>
              <w:t>ropionate</w:t>
            </w: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0.05%</w:t>
            </w:r>
          </w:p>
        </w:tc>
        <w:tc>
          <w:tcPr>
            <w:tcW w:w="1721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2267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Topical</w:t>
            </w:r>
          </w:p>
        </w:tc>
        <w:tc>
          <w:tcPr>
            <w:tcW w:w="4521" w:type="dxa"/>
            <w:vAlign w:val="bottom"/>
          </w:tcPr>
          <w:p w:rsidR="0021445F" w:rsidRPr="0008175F" w:rsidRDefault="0021445F" w:rsidP="00E629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>Treatment</w:t>
            </w:r>
            <w:r w:rsidR="00E6294A">
              <w:rPr>
                <w:rFonts w:ascii="Arial" w:hAnsi="Arial" w:cs="Arial"/>
                <w:color w:val="000000"/>
                <w:sz w:val="20"/>
                <w:szCs w:val="20"/>
              </w:rPr>
              <w:t>, or</w:t>
            </w: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prolongation of flare-free intervals</w:t>
            </w:r>
            <w:r w:rsidR="00E6294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of dermatitis/eczema where other treatments have failed</w:t>
            </w:r>
          </w:p>
        </w:tc>
        <w:tc>
          <w:tcPr>
            <w:tcW w:w="2734" w:type="dxa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21445F" w:rsidRPr="0008175F" w:rsidTr="006D6EB3">
        <w:trPr>
          <w:cantSplit/>
        </w:trPr>
        <w:tc>
          <w:tcPr>
            <w:tcW w:w="661" w:type="dxa"/>
          </w:tcPr>
          <w:p w:rsidR="002144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2" w:type="dxa"/>
            <w:vAlign w:val="bottom"/>
          </w:tcPr>
          <w:p w:rsidR="0021445F" w:rsidRPr="0008175F" w:rsidRDefault="00E629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Clobetasol p</w:t>
            </w: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>ropionate</w:t>
            </w:r>
            <w:r w:rsidR="0021445F"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0.05%</w:t>
            </w:r>
          </w:p>
        </w:tc>
        <w:tc>
          <w:tcPr>
            <w:tcW w:w="1721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Lotion</w:t>
            </w:r>
          </w:p>
        </w:tc>
        <w:tc>
          <w:tcPr>
            <w:tcW w:w="2267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Topical</w:t>
            </w:r>
          </w:p>
        </w:tc>
        <w:tc>
          <w:tcPr>
            <w:tcW w:w="4521" w:type="dxa"/>
            <w:vAlign w:val="bottom"/>
          </w:tcPr>
          <w:p w:rsidR="0021445F" w:rsidRPr="0008175F" w:rsidRDefault="00E6294A" w:rsidP="000042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Treatment,</w:t>
            </w:r>
            <w:r w:rsidR="0021445F"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 </w:t>
            </w:r>
            <w:r w:rsidR="0021445F" w:rsidRPr="0021445F">
              <w:rPr>
                <w:rFonts w:ascii="Arial" w:hAnsi="Arial" w:cs="Arial"/>
                <w:color w:val="000000"/>
                <w:sz w:val="20"/>
                <w:szCs w:val="20"/>
              </w:rPr>
              <w:t>prolongation of flare-free intervals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1445F"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of dermatitis/eczema where other treatments have failed</w:t>
            </w:r>
          </w:p>
        </w:tc>
        <w:tc>
          <w:tcPr>
            <w:tcW w:w="2734" w:type="dxa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21445F" w:rsidRPr="0008175F" w:rsidTr="006D6EB3">
        <w:trPr>
          <w:cantSplit/>
        </w:trPr>
        <w:tc>
          <w:tcPr>
            <w:tcW w:w="661" w:type="dxa"/>
          </w:tcPr>
          <w:p w:rsidR="002144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2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Clobetasol </w:t>
            </w:r>
            <w:r w:rsidR="00E6294A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E6294A" w:rsidRPr="0021445F">
              <w:rPr>
                <w:rFonts w:ascii="Arial" w:hAnsi="Arial" w:cs="Arial"/>
                <w:color w:val="000000"/>
                <w:sz w:val="20"/>
                <w:szCs w:val="20"/>
              </w:rPr>
              <w:t>ropionate</w:t>
            </w: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0.05%</w:t>
            </w:r>
          </w:p>
        </w:tc>
        <w:tc>
          <w:tcPr>
            <w:tcW w:w="1721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Ointment</w:t>
            </w:r>
          </w:p>
        </w:tc>
        <w:tc>
          <w:tcPr>
            <w:tcW w:w="2267" w:type="dxa"/>
            <w:vAlign w:val="bottom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Topical</w:t>
            </w:r>
          </w:p>
        </w:tc>
        <w:tc>
          <w:tcPr>
            <w:tcW w:w="4521" w:type="dxa"/>
            <w:vAlign w:val="bottom"/>
          </w:tcPr>
          <w:p w:rsidR="0021445F" w:rsidRPr="0008175F" w:rsidRDefault="0021445F" w:rsidP="000042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>Treatment</w:t>
            </w:r>
            <w:r w:rsidR="00E6294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or prolongation of flare-free intervals</w:t>
            </w:r>
            <w:r w:rsidR="00E6294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of dermatitis/eczema where other treatments have failed</w:t>
            </w:r>
          </w:p>
        </w:tc>
        <w:tc>
          <w:tcPr>
            <w:tcW w:w="2734" w:type="dxa"/>
          </w:tcPr>
          <w:p w:rsidR="0021445F" w:rsidRPr="0008175F" w:rsidRDefault="00214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Clofazimine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 w:rsidP="000042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Leprosy</w:t>
            </w:r>
            <w:r w:rsidR="00933A0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granulomatous cheilitis, Melkersson Rosenthal Syndrome, </w:t>
            </w:r>
            <w:r w:rsidR="001002AA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confirmed </w:t>
            </w:r>
            <w:r w:rsidR="00534640" w:rsidRPr="0053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53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>ycobacterium avium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paratuberculosis in </w:t>
            </w:r>
            <w:r w:rsidR="00534640">
              <w:rPr>
                <w:rFonts w:ascii="Arial" w:hAnsi="Arial" w:cs="Arial"/>
                <w:color w:val="000000"/>
                <w:sz w:val="20"/>
                <w:szCs w:val="20"/>
              </w:rPr>
              <w:t xml:space="preserve">immunocompromised patients </w:t>
            </w:r>
            <w:r w:rsidR="001002AA">
              <w:rPr>
                <w:rFonts w:ascii="Arial" w:hAnsi="Arial" w:cs="Arial"/>
                <w:color w:val="000000"/>
                <w:sz w:val="20"/>
                <w:szCs w:val="20"/>
              </w:rPr>
              <w:t xml:space="preserve">recommended by an </w:t>
            </w:r>
            <w:r w:rsidR="00640C84">
              <w:rPr>
                <w:rFonts w:ascii="Arial" w:hAnsi="Arial" w:cs="Arial"/>
                <w:color w:val="000000"/>
                <w:sz w:val="20"/>
                <w:szCs w:val="20"/>
              </w:rPr>
              <w:t>infectious</w:t>
            </w:r>
            <w:r w:rsidR="001002AA">
              <w:rPr>
                <w:rFonts w:ascii="Arial" w:hAnsi="Arial" w:cs="Arial"/>
                <w:color w:val="000000"/>
                <w:sz w:val="20"/>
                <w:szCs w:val="20"/>
              </w:rPr>
              <w:t xml:space="preserve"> disease specialist, </w:t>
            </w:r>
            <w:r w:rsidR="001002AA" w:rsidRPr="0008175F">
              <w:rPr>
                <w:rFonts w:ascii="Arial" w:hAnsi="Arial" w:cs="Arial"/>
                <w:color w:val="000000"/>
                <w:sz w:val="20"/>
                <w:szCs w:val="20"/>
              </w:rPr>
              <w:t>erythema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nodosum leprosum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Cyclopentolate, 0.2%, &amp; phenylephrine, 1%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Eye drops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08175F" w:rsidRPr="0008175F" w:rsidRDefault="0008175F" w:rsidP="00534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Production of mydriasis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Cyclosporin, 0.05%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Eye drops, emulsion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08175F" w:rsidRPr="0008175F" w:rsidRDefault="0008175F" w:rsidP="002174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suppressed tear production due to ocular inflammation associated with keratoconjunctivitis sicca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E51E7C" w:rsidRPr="0008175F" w:rsidTr="006D6EB3">
        <w:trPr>
          <w:cantSplit/>
        </w:trPr>
        <w:tc>
          <w:tcPr>
            <w:tcW w:w="661" w:type="dxa"/>
          </w:tcPr>
          <w:p w:rsidR="00E51E7C" w:rsidRPr="0008175F" w:rsidRDefault="0037770C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24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2" w:type="dxa"/>
            <w:vAlign w:val="bottom"/>
          </w:tcPr>
          <w:p w:rsidR="00E51E7C" w:rsidRPr="0008175F" w:rsidRDefault="00E51E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Deflazacort</w:t>
            </w:r>
          </w:p>
        </w:tc>
        <w:tc>
          <w:tcPr>
            <w:tcW w:w="1721" w:type="dxa"/>
            <w:vAlign w:val="bottom"/>
          </w:tcPr>
          <w:p w:rsidR="00E51E7C" w:rsidRPr="0008175F" w:rsidRDefault="00E51E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E51E7C" w:rsidRPr="0008175F" w:rsidRDefault="00E51E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E51E7C" w:rsidRPr="0008175F" w:rsidRDefault="00E51E7C" w:rsidP="000059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E7C">
              <w:rPr>
                <w:rFonts w:ascii="Arial" w:hAnsi="Arial" w:cs="Arial"/>
                <w:color w:val="000000"/>
                <w:sz w:val="20"/>
                <w:szCs w:val="20"/>
              </w:rPr>
              <w:t>Treatment of Duchenne muscular dystrophy</w:t>
            </w:r>
          </w:p>
        </w:tc>
        <w:tc>
          <w:tcPr>
            <w:tcW w:w="2734" w:type="dxa"/>
          </w:tcPr>
          <w:p w:rsidR="00E51E7C" w:rsidRPr="0008175F" w:rsidRDefault="00E51E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Dehydrated ethanol (alcohol) 96% - 100%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Ampoule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Topical</w:t>
            </w:r>
          </w:p>
        </w:tc>
        <w:tc>
          <w:tcPr>
            <w:tcW w:w="4521" w:type="dxa"/>
            <w:vAlign w:val="bottom"/>
          </w:tcPr>
          <w:p w:rsidR="0008175F" w:rsidRPr="0008175F" w:rsidRDefault="0008175F" w:rsidP="000059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progressive keratoconus and intra-operative use in superficial keratectomy</w:t>
            </w:r>
            <w:r w:rsidR="0000593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5933" w:rsidRPr="00005933">
              <w:rPr>
                <w:rFonts w:ascii="Arial" w:hAnsi="Arial" w:cs="Arial"/>
                <w:color w:val="000000"/>
                <w:sz w:val="20"/>
                <w:szCs w:val="20"/>
              </w:rPr>
              <w:t>(single use per procedure).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Diazoxide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hypoglycaemia, hyperinsulinaemia, Beckwith-Weiderman Syndrome and insulinoma 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Diazoxide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hypoglycaemia, hyperinsulinaemia, Beckwith-Weiderman Syndrome and insulinoma 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Diazoxide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hypoglycaemia, hyperinsulinaemia, Beckwith-Weiderman Syndrome and insulinoma 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8D239E" w:rsidRPr="0008175F" w:rsidTr="006D6EB3">
        <w:trPr>
          <w:cantSplit/>
        </w:trPr>
        <w:tc>
          <w:tcPr>
            <w:tcW w:w="661" w:type="dxa"/>
          </w:tcPr>
          <w:p w:rsidR="008D239E" w:rsidRPr="0008175F" w:rsidRDefault="008B136F" w:rsidP="00BE24C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2" w:type="dxa"/>
            <w:vAlign w:val="bottom"/>
          </w:tcPr>
          <w:p w:rsidR="008D239E" w:rsidRPr="0008175F" w:rsidRDefault="008D2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9E">
              <w:rPr>
                <w:rFonts w:ascii="Arial" w:hAnsi="Arial" w:cs="Arial"/>
                <w:color w:val="000000"/>
                <w:sz w:val="20"/>
                <w:szCs w:val="20"/>
              </w:rPr>
              <w:t>Diflunisal</w:t>
            </w:r>
          </w:p>
        </w:tc>
        <w:tc>
          <w:tcPr>
            <w:tcW w:w="1721" w:type="dxa"/>
            <w:vAlign w:val="bottom"/>
          </w:tcPr>
          <w:p w:rsidR="008D239E" w:rsidRPr="0008175F" w:rsidRDefault="008D2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8D239E" w:rsidRPr="0008175F" w:rsidRDefault="008D2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8D239E" w:rsidRPr="0008175F" w:rsidRDefault="008D2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Treatment of a</w:t>
            </w:r>
            <w:r w:rsidRPr="008D239E">
              <w:rPr>
                <w:rFonts w:ascii="Arial" w:hAnsi="Arial" w:cs="Arial"/>
                <w:color w:val="000000"/>
                <w:sz w:val="20"/>
                <w:szCs w:val="20"/>
              </w:rPr>
              <w:t>myloidosis</w:t>
            </w:r>
          </w:p>
        </w:tc>
        <w:tc>
          <w:tcPr>
            <w:tcW w:w="2734" w:type="dxa"/>
          </w:tcPr>
          <w:p w:rsidR="008D239E" w:rsidRPr="0008175F" w:rsidRDefault="008D2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Dimethyl sulfoxide (DMSO)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Solution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Intravesical  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Symptomatic relief of interstitial cystitis 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2" w:type="dxa"/>
            <w:vAlign w:val="bottom"/>
          </w:tcPr>
          <w:p w:rsidR="0008175F" w:rsidRPr="0008175F" w:rsidRDefault="00B91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Flunarizine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797C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6BD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vestibular d</w:t>
            </w:r>
            <w:r w:rsidRPr="00BF56BD">
              <w:rPr>
                <w:rFonts w:ascii="Arial" w:hAnsi="Arial" w:cs="Arial"/>
                <w:color w:val="000000"/>
                <w:sz w:val="20"/>
                <w:szCs w:val="20"/>
              </w:rPr>
              <w:t>isorders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B9154E" w:rsidRPr="0008175F" w:rsidTr="006D6EB3">
        <w:trPr>
          <w:cantSplit/>
        </w:trPr>
        <w:tc>
          <w:tcPr>
            <w:tcW w:w="661" w:type="dxa"/>
          </w:tcPr>
          <w:p w:rsidR="00B9154E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2" w:type="dxa"/>
            <w:vAlign w:val="bottom"/>
          </w:tcPr>
          <w:p w:rsidR="00B9154E" w:rsidRPr="0008175F" w:rsidRDefault="00B91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Flunarizine</w:t>
            </w:r>
          </w:p>
        </w:tc>
        <w:tc>
          <w:tcPr>
            <w:tcW w:w="1721" w:type="dxa"/>
            <w:vAlign w:val="bottom"/>
          </w:tcPr>
          <w:p w:rsidR="00B9154E" w:rsidRPr="0008175F" w:rsidRDefault="00B91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B9154E" w:rsidRPr="0008175F" w:rsidRDefault="00B91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B9154E" w:rsidRPr="0008175F" w:rsidRDefault="00BF56BD" w:rsidP="00BF5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6BD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vestibular d</w:t>
            </w:r>
            <w:r w:rsidRPr="00BF56BD">
              <w:rPr>
                <w:rFonts w:ascii="Arial" w:hAnsi="Arial" w:cs="Arial"/>
                <w:color w:val="000000"/>
                <w:sz w:val="20"/>
                <w:szCs w:val="20"/>
              </w:rPr>
              <w:t>isorders</w:t>
            </w:r>
          </w:p>
        </w:tc>
        <w:tc>
          <w:tcPr>
            <w:tcW w:w="2734" w:type="dxa"/>
          </w:tcPr>
          <w:p w:rsidR="00B9154E" w:rsidRPr="0008175F" w:rsidRDefault="00B91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Furazolidone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9D1A71" w:rsidP="009D1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resistant </w:t>
            </w:r>
            <w:r w:rsidRPr="009D1A7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Helicobacter </w:t>
            </w:r>
            <w:r w:rsidR="0008175F" w:rsidRPr="009D1A71">
              <w:rPr>
                <w:rFonts w:ascii="Arial" w:hAnsi="Arial" w:cs="Arial"/>
                <w:i/>
                <w:color w:val="000000"/>
                <w:sz w:val="20"/>
                <w:szCs w:val="20"/>
              </w:rPr>
              <w:t>Pylori</w:t>
            </w:r>
            <w:r w:rsidR="0008175F"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infection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24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Glycopyrronium bromide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excessive salivation in patients with neurological conditions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62" w:type="dxa"/>
            <w:vAlign w:val="bottom"/>
          </w:tcPr>
          <w:p w:rsidR="0008175F" w:rsidRPr="0008175F" w:rsidRDefault="0008175F" w:rsidP="00240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Hyoscine</w:t>
            </w:r>
            <w:r w:rsidR="00CA2F4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hydrobromide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Patch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Transdermal</w:t>
            </w:r>
          </w:p>
        </w:tc>
        <w:tc>
          <w:tcPr>
            <w:tcW w:w="4521" w:type="dxa"/>
            <w:vAlign w:val="bottom"/>
          </w:tcPr>
          <w:p w:rsidR="0008175F" w:rsidRPr="0008175F" w:rsidRDefault="0008175F" w:rsidP="00B91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excessive salivation 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  <w:tcBorders>
              <w:bottom w:val="single" w:sz="4" w:space="0" w:color="auto"/>
            </w:tcBorders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Hypertonic sodium chloride, 5 %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Eye ointment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Temporary relief of corneal oedema (hypertonicity)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Hypertonic sodium chloride, 5%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Eye drops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Temporary relief of corneal oedema (hypertonicity)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Indigo Carmine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Intravenous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For intraoperative detection of suspected urethral inju</w:t>
            </w:r>
            <w:r w:rsidR="00534640">
              <w:rPr>
                <w:rFonts w:ascii="Arial" w:hAnsi="Arial" w:cs="Arial"/>
                <w:color w:val="000000"/>
                <w:sz w:val="20"/>
                <w:szCs w:val="20"/>
              </w:rPr>
              <w:t>ries during abdominal and pelvic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surgical procedures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8175F" w:rsidRPr="0008175F" w:rsidTr="006D6EB3">
        <w:trPr>
          <w:cantSplit/>
        </w:trPr>
        <w:tc>
          <w:tcPr>
            <w:tcW w:w="661" w:type="dxa"/>
          </w:tcPr>
          <w:p w:rsidR="0008175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2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Indocyanine green dye </w:t>
            </w:r>
          </w:p>
        </w:tc>
        <w:tc>
          <w:tcPr>
            <w:tcW w:w="17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2267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Intravenous </w:t>
            </w:r>
          </w:p>
        </w:tc>
        <w:tc>
          <w:tcPr>
            <w:tcW w:w="4521" w:type="dxa"/>
            <w:vAlign w:val="bottom"/>
          </w:tcPr>
          <w:p w:rsidR="0008175F" w:rsidRPr="0008175F" w:rsidRDefault="0008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For intra-operative diagnostic use</w:t>
            </w:r>
          </w:p>
        </w:tc>
        <w:tc>
          <w:tcPr>
            <w:tcW w:w="2734" w:type="dxa"/>
          </w:tcPr>
          <w:p w:rsidR="0008175F" w:rsidRPr="0008175F" w:rsidRDefault="0008175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5160D9" w:rsidRPr="0008175F" w:rsidTr="006D6EB3">
        <w:trPr>
          <w:cantSplit/>
        </w:trPr>
        <w:tc>
          <w:tcPr>
            <w:tcW w:w="661" w:type="dxa"/>
          </w:tcPr>
          <w:p w:rsidR="005160D9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2" w:type="dxa"/>
            <w:vAlign w:val="bottom"/>
          </w:tcPr>
          <w:p w:rsidR="005160D9" w:rsidRPr="0008175F" w:rsidRDefault="005160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0D9">
              <w:rPr>
                <w:rFonts w:ascii="Arial" w:hAnsi="Arial" w:cs="Arial"/>
                <w:color w:val="000000"/>
                <w:sz w:val="20"/>
                <w:szCs w:val="20"/>
              </w:rPr>
              <w:t>Insulin Neutral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-concentrated (Humulin R U-500)</w:t>
            </w:r>
          </w:p>
        </w:tc>
        <w:tc>
          <w:tcPr>
            <w:tcW w:w="1721" w:type="dxa"/>
            <w:vAlign w:val="bottom"/>
          </w:tcPr>
          <w:p w:rsidR="005160D9" w:rsidRPr="0008175F" w:rsidRDefault="005160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Solution for injection</w:t>
            </w:r>
          </w:p>
        </w:tc>
        <w:tc>
          <w:tcPr>
            <w:tcW w:w="2267" w:type="dxa"/>
            <w:vAlign w:val="bottom"/>
          </w:tcPr>
          <w:p w:rsidR="005160D9" w:rsidRPr="0008175F" w:rsidRDefault="002224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Subcutaneous </w:t>
            </w:r>
          </w:p>
        </w:tc>
        <w:tc>
          <w:tcPr>
            <w:tcW w:w="4521" w:type="dxa"/>
            <w:vAlign w:val="bottom"/>
          </w:tcPr>
          <w:p w:rsidR="005160D9" w:rsidRPr="0008175F" w:rsidRDefault="005160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diabetes </w:t>
            </w:r>
          </w:p>
        </w:tc>
        <w:tc>
          <w:tcPr>
            <w:tcW w:w="2734" w:type="dxa"/>
          </w:tcPr>
          <w:p w:rsidR="005160D9" w:rsidRPr="0008175F" w:rsidRDefault="00DE6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F92748" w:rsidRPr="0008175F" w:rsidTr="006D6EB3">
        <w:trPr>
          <w:cantSplit/>
        </w:trPr>
        <w:tc>
          <w:tcPr>
            <w:tcW w:w="661" w:type="dxa"/>
          </w:tcPr>
          <w:p w:rsidR="00F92748" w:rsidDel="00F92748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2" w:type="dxa"/>
            <w:vAlign w:val="bottom"/>
          </w:tcPr>
          <w:p w:rsidR="00F92748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1721" w:type="dxa"/>
            <w:vAlign w:val="bottom"/>
          </w:tcPr>
          <w:p w:rsidR="00F92748" w:rsidRPr="0008175F" w:rsidRDefault="00F92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F92748" w:rsidRPr="0008175F" w:rsidRDefault="00F92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F92748" w:rsidRPr="0008175F" w:rsidRDefault="00F92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6D0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resistant </w:t>
            </w:r>
            <w:r w:rsidRPr="009D1A71">
              <w:rPr>
                <w:rFonts w:ascii="Arial" w:hAnsi="Arial" w:cs="Arial"/>
                <w:i/>
                <w:color w:val="000000"/>
                <w:sz w:val="20"/>
                <w:szCs w:val="20"/>
              </w:rPr>
              <w:t>Helicobacter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BD06D0">
              <w:rPr>
                <w:rFonts w:ascii="Arial" w:hAnsi="Arial" w:cs="Arial"/>
                <w:i/>
                <w:color w:val="000000"/>
                <w:sz w:val="20"/>
                <w:szCs w:val="20"/>
              </w:rPr>
              <w:t>ylori</w:t>
            </w:r>
            <w:r w:rsidRPr="00BD06D0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infection</w:t>
            </w:r>
          </w:p>
        </w:tc>
        <w:tc>
          <w:tcPr>
            <w:tcW w:w="2734" w:type="dxa"/>
          </w:tcPr>
          <w:p w:rsidR="00F92748" w:rsidRPr="0008175F" w:rsidRDefault="00F92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4D118F" w:rsidRPr="0008175F" w:rsidTr="006D6EB3">
        <w:trPr>
          <w:cantSplit/>
        </w:trPr>
        <w:tc>
          <w:tcPr>
            <w:tcW w:w="661" w:type="dxa"/>
          </w:tcPr>
          <w:p w:rsidR="004D118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2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18F">
              <w:rPr>
                <w:rFonts w:ascii="Arial" w:hAnsi="Arial" w:cs="Arial"/>
                <w:color w:val="000000"/>
                <w:sz w:val="20"/>
                <w:szCs w:val="20"/>
              </w:rPr>
              <w:t>Levomepromazine</w:t>
            </w:r>
          </w:p>
        </w:tc>
        <w:tc>
          <w:tcPr>
            <w:tcW w:w="1721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4D118F" w:rsidRPr="0008175F" w:rsidRDefault="004D118F" w:rsidP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18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nausea and v</w:t>
            </w:r>
            <w:r w:rsidRPr="004D118F">
              <w:rPr>
                <w:rFonts w:ascii="Arial" w:hAnsi="Arial" w:cs="Arial"/>
                <w:color w:val="000000"/>
                <w:sz w:val="20"/>
                <w:szCs w:val="20"/>
              </w:rPr>
              <w:t>omiting</w:t>
            </w:r>
            <w:r w:rsidR="006838CC">
              <w:rPr>
                <w:rFonts w:ascii="Arial" w:hAnsi="Arial" w:cs="Arial"/>
                <w:color w:val="000000"/>
                <w:sz w:val="20"/>
                <w:szCs w:val="20"/>
              </w:rPr>
              <w:t xml:space="preserve"> or agitation</w:t>
            </w:r>
          </w:p>
        </w:tc>
        <w:tc>
          <w:tcPr>
            <w:tcW w:w="2734" w:type="dxa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4D118F" w:rsidRPr="0008175F" w:rsidTr="006D6EB3">
        <w:trPr>
          <w:cantSplit/>
        </w:trPr>
        <w:tc>
          <w:tcPr>
            <w:tcW w:w="661" w:type="dxa"/>
          </w:tcPr>
          <w:p w:rsidR="004D118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2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18F">
              <w:rPr>
                <w:rFonts w:ascii="Arial" w:hAnsi="Arial" w:cs="Arial"/>
                <w:color w:val="000000"/>
                <w:sz w:val="20"/>
                <w:szCs w:val="20"/>
              </w:rPr>
              <w:t>Levomepromazine</w:t>
            </w:r>
          </w:p>
        </w:tc>
        <w:tc>
          <w:tcPr>
            <w:tcW w:w="1721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2267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18F">
              <w:rPr>
                <w:rFonts w:ascii="Arial" w:hAnsi="Arial" w:cs="Arial"/>
                <w:color w:val="000000"/>
                <w:sz w:val="20"/>
                <w:szCs w:val="20"/>
              </w:rPr>
              <w:t>Subcutaneous</w:t>
            </w:r>
          </w:p>
        </w:tc>
        <w:tc>
          <w:tcPr>
            <w:tcW w:w="4521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18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nausea and v</w:t>
            </w:r>
            <w:r w:rsidRPr="004D118F">
              <w:rPr>
                <w:rFonts w:ascii="Arial" w:hAnsi="Arial" w:cs="Arial"/>
                <w:color w:val="000000"/>
                <w:sz w:val="20"/>
                <w:szCs w:val="20"/>
              </w:rPr>
              <w:t>omiting</w:t>
            </w:r>
            <w:r w:rsidR="006838CC">
              <w:rPr>
                <w:rFonts w:ascii="Arial" w:hAnsi="Arial" w:cs="Arial"/>
                <w:color w:val="000000"/>
                <w:sz w:val="20"/>
                <w:szCs w:val="20"/>
              </w:rPr>
              <w:t xml:space="preserve"> or agitation </w:t>
            </w:r>
          </w:p>
        </w:tc>
        <w:tc>
          <w:tcPr>
            <w:tcW w:w="2734" w:type="dxa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0B1B4F" w:rsidRPr="0008175F" w:rsidTr="006D6EB3">
        <w:trPr>
          <w:cantSplit/>
        </w:trPr>
        <w:tc>
          <w:tcPr>
            <w:tcW w:w="661" w:type="dxa"/>
          </w:tcPr>
          <w:p w:rsidR="000B1B4F" w:rsidRPr="0008175F" w:rsidRDefault="008B136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24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2" w:type="dxa"/>
            <w:vAlign w:val="bottom"/>
          </w:tcPr>
          <w:p w:rsidR="000B1B4F" w:rsidRPr="0008175F" w:rsidRDefault="000B1B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B4F">
              <w:rPr>
                <w:rFonts w:ascii="Arial" w:hAnsi="Arial" w:cs="Arial"/>
                <w:color w:val="000000"/>
                <w:sz w:val="20"/>
                <w:szCs w:val="20"/>
              </w:rPr>
              <w:t>Lorazepam</w:t>
            </w:r>
          </w:p>
        </w:tc>
        <w:tc>
          <w:tcPr>
            <w:tcW w:w="1721" w:type="dxa"/>
            <w:vAlign w:val="bottom"/>
          </w:tcPr>
          <w:p w:rsidR="000B1B4F" w:rsidRPr="0008175F" w:rsidRDefault="000B1B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2267" w:type="dxa"/>
            <w:vAlign w:val="bottom"/>
          </w:tcPr>
          <w:p w:rsidR="000B1B4F" w:rsidRPr="0008175F" w:rsidRDefault="000B1B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B4F">
              <w:rPr>
                <w:rFonts w:ascii="Arial" w:hAnsi="Arial" w:cs="Arial"/>
                <w:color w:val="000000"/>
                <w:sz w:val="20"/>
                <w:szCs w:val="20"/>
              </w:rPr>
              <w:t>Parenteral</w:t>
            </w:r>
          </w:p>
        </w:tc>
        <w:tc>
          <w:tcPr>
            <w:tcW w:w="4521" w:type="dxa"/>
            <w:vAlign w:val="bottom"/>
          </w:tcPr>
          <w:p w:rsidR="000B1B4F" w:rsidRPr="0008175F" w:rsidRDefault="000B1B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B4F">
              <w:rPr>
                <w:rFonts w:ascii="Arial" w:hAnsi="Arial" w:cs="Arial"/>
                <w:color w:val="000000"/>
                <w:sz w:val="20"/>
                <w:szCs w:val="20"/>
              </w:rPr>
              <w:t>Treatment of acute severe behavioural episodes in the hospital setting</w:t>
            </w:r>
          </w:p>
        </w:tc>
        <w:tc>
          <w:tcPr>
            <w:tcW w:w="2734" w:type="dxa"/>
          </w:tcPr>
          <w:p w:rsidR="000B1B4F" w:rsidRPr="0008175F" w:rsidRDefault="000B1B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4D118F" w:rsidRPr="0008175F" w:rsidTr="006D6EB3">
        <w:trPr>
          <w:cantSplit/>
        </w:trPr>
        <w:tc>
          <w:tcPr>
            <w:tcW w:w="661" w:type="dxa"/>
          </w:tcPr>
          <w:p w:rsidR="004D118F" w:rsidRPr="0008175F" w:rsidRDefault="00BE24CF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62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Ketotifen</w:t>
            </w:r>
          </w:p>
        </w:tc>
        <w:tc>
          <w:tcPr>
            <w:tcW w:w="1721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4D118F" w:rsidRPr="0008175F" w:rsidRDefault="004D11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allergic conditions</w:t>
            </w:r>
          </w:p>
        </w:tc>
        <w:tc>
          <w:tcPr>
            <w:tcW w:w="2734" w:type="dxa"/>
          </w:tcPr>
          <w:p w:rsidR="004D118F" w:rsidRPr="0008175F" w:rsidRDefault="004D118F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EF01ED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D567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Melatonin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Syrup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sleep disorders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Melatonin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Modified release 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sleep disorders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Melatonin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sleep disorders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Melatonin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Immediate Release 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sleep disorders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Melatonin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Lozenge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sleep disorders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Mexiletine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748">
              <w:rPr>
                <w:rFonts w:ascii="Arial" w:hAnsi="Arial" w:cs="Arial"/>
                <w:color w:val="000000"/>
                <w:sz w:val="20"/>
                <w:szCs w:val="20"/>
              </w:rPr>
              <w:t>Treatment of ventricular arrhythmia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or </w:t>
            </w:r>
            <w:r w:rsidRPr="00F92748">
              <w:rPr>
                <w:rFonts w:ascii="Arial" w:hAnsi="Arial" w:cs="Arial"/>
                <w:color w:val="000000"/>
                <w:sz w:val="20"/>
                <w:szCs w:val="20"/>
              </w:rPr>
              <w:t>myotonic disorders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Del="00F92748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Mexiletine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748">
              <w:rPr>
                <w:rFonts w:ascii="Arial" w:hAnsi="Arial" w:cs="Arial"/>
                <w:color w:val="000000"/>
                <w:sz w:val="20"/>
                <w:szCs w:val="20"/>
              </w:rPr>
              <w:t>Treatment of ventricular arrhythmia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or </w:t>
            </w:r>
            <w:r w:rsidRPr="00F92748">
              <w:rPr>
                <w:rFonts w:ascii="Arial" w:hAnsi="Arial" w:cs="Arial"/>
                <w:color w:val="000000"/>
                <w:sz w:val="20"/>
                <w:szCs w:val="20"/>
              </w:rPr>
              <w:t>myotonic disorders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Del="00F92748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Midodrine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severe 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orthostatic hypotension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85F">
              <w:rPr>
                <w:rFonts w:ascii="Arial" w:hAnsi="Arial" w:cs="Arial"/>
                <w:color w:val="000000"/>
                <w:sz w:val="20"/>
                <w:szCs w:val="20"/>
              </w:rPr>
              <w:t>Moxifloxacin 0.5%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Eye drops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621AF5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Treatment of r</w:t>
            </w:r>
            <w:r w:rsidRPr="00D8685F">
              <w:rPr>
                <w:rFonts w:ascii="Arial" w:hAnsi="Arial" w:cs="Arial"/>
                <w:color w:val="000000"/>
                <w:sz w:val="20"/>
                <w:szCs w:val="20"/>
              </w:rPr>
              <w:t xml:space="preserve">efractory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D8685F">
              <w:rPr>
                <w:rFonts w:ascii="Arial" w:hAnsi="Arial" w:cs="Arial"/>
                <w:color w:val="000000"/>
                <w:sz w:val="20"/>
                <w:szCs w:val="20"/>
              </w:rPr>
              <w:t xml:space="preserve">acterial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8685F">
              <w:rPr>
                <w:rFonts w:ascii="Arial" w:hAnsi="Arial" w:cs="Arial"/>
                <w:color w:val="000000"/>
                <w:sz w:val="20"/>
                <w:szCs w:val="20"/>
              </w:rPr>
              <w:t>onjunctivitis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Nadolol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09C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ventricular t</w:t>
            </w:r>
            <w:r w:rsidRPr="0013309C">
              <w:rPr>
                <w:rFonts w:ascii="Arial" w:hAnsi="Arial" w:cs="Arial"/>
                <w:color w:val="000000"/>
                <w:sz w:val="20"/>
                <w:szCs w:val="20"/>
              </w:rPr>
              <w:t>achycardia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or long QT Syndrome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B4F">
              <w:rPr>
                <w:rFonts w:ascii="Arial" w:hAnsi="Arial" w:cs="Arial"/>
                <w:color w:val="000000"/>
                <w:sz w:val="20"/>
                <w:szCs w:val="20"/>
              </w:rPr>
              <w:t>Natamycin 5%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Eye drops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Treatment of r</w:t>
            </w:r>
            <w:r w:rsidRPr="000B1B4F">
              <w:rPr>
                <w:rFonts w:ascii="Arial" w:hAnsi="Arial" w:cs="Arial"/>
                <w:color w:val="000000"/>
                <w:sz w:val="20"/>
                <w:szCs w:val="20"/>
              </w:rPr>
              <w:t xml:space="preserve">efractory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fungal blepharitis, conjunctivitis or k</w:t>
            </w:r>
            <w:r w:rsidRPr="000B1B4F">
              <w:rPr>
                <w:rFonts w:ascii="Arial" w:hAnsi="Arial" w:cs="Arial"/>
                <w:color w:val="000000"/>
                <w:sz w:val="20"/>
                <w:szCs w:val="20"/>
              </w:rPr>
              <w:t>eratitis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Nitazoxanide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giardiasis, cryptosporidiosis and blastocystis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Nitazoxanide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giardiasis, cryptosporidiosis and blastocystis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Paromomycin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Antiprotozoal treatment of the following amoebic infections: (a) </w:t>
            </w:r>
            <w:r w:rsidRPr="0053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>blastocystis hominis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; (b) </w:t>
            </w:r>
            <w:r w:rsidRPr="0053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>dientomoeba fragilis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; (c) </w:t>
            </w:r>
            <w:r w:rsidRPr="00534640">
              <w:rPr>
                <w:rFonts w:ascii="Arial" w:hAnsi="Arial" w:cs="Arial"/>
                <w:i/>
                <w:color w:val="000000"/>
                <w:sz w:val="20"/>
                <w:szCs w:val="20"/>
              </w:rPr>
              <w:t>entamoeba histolytica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; (d) parasite infection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Pimozide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schizophrenia, chronic psychosis and Tourette syndrome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Pristinamycin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confirmed methicillin-resistant </w:t>
            </w:r>
            <w:r w:rsidRPr="00E67935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Staphylococcus aureus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vancomycin-resistant </w:t>
            </w:r>
            <w:r w:rsidRPr="00E67935">
              <w:rPr>
                <w:rFonts w:ascii="Arial" w:hAnsi="Arial" w:cs="Arial"/>
                <w:i/>
                <w:color w:val="000000"/>
                <w:sz w:val="20"/>
                <w:szCs w:val="20"/>
              </w:rPr>
              <w:t>enterococci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infection where there is history of failed therapy with the other available antibiotics, at sites in relation to bone/joint/prosthesis   </w:t>
            </w:r>
          </w:p>
          <w:p w:rsidR="00621AF5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1AF5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refractory or resistant </w:t>
            </w:r>
            <w:r w:rsidRPr="00217499">
              <w:rPr>
                <w:rFonts w:ascii="Arial" w:hAnsi="Arial" w:cs="Arial"/>
                <w:i/>
                <w:color w:val="000000"/>
                <w:sz w:val="20"/>
                <w:szCs w:val="20"/>
              </w:rPr>
              <w:t>mycoplasma genitalium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infections</w:t>
            </w:r>
          </w:p>
          <w:p w:rsidR="00621AF5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other infections as prescribed by an infectious disease specialist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Pyrazinamide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tuberculosis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Riboflavin, 0.1% in 20% dextran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Eye drops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Intraoperative use in corneal collagen crosslinking (CXL) procedures for the treatment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progressive keratoconus. 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Riboflavin, 0.1% in sodium chloride 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Eye drops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Intraoperative use in corneal collagen crosslinking (CXL) procedures for the treatment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progressive keratoconus. 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3CD">
              <w:rPr>
                <w:rFonts w:ascii="Arial" w:hAnsi="Arial" w:cs="Arial"/>
                <w:color w:val="000000"/>
                <w:sz w:val="20"/>
                <w:szCs w:val="20"/>
              </w:rPr>
              <w:t>Ripasudil 0.4%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Eye drops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527E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1527E">
              <w:rPr>
                <w:rFonts w:ascii="Arial" w:hAnsi="Arial" w:cs="Arial"/>
                <w:color w:val="000000"/>
                <w:sz w:val="20"/>
                <w:szCs w:val="20"/>
              </w:rPr>
              <w:t xml:space="preserve">efractory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1527E">
              <w:rPr>
                <w:rFonts w:ascii="Arial" w:hAnsi="Arial" w:cs="Arial"/>
                <w:color w:val="000000"/>
                <w:sz w:val="20"/>
                <w:szCs w:val="20"/>
              </w:rPr>
              <w:t xml:space="preserve">orneal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1527E">
              <w:rPr>
                <w:rFonts w:ascii="Arial" w:hAnsi="Arial" w:cs="Arial"/>
                <w:color w:val="000000"/>
                <w:sz w:val="20"/>
                <w:szCs w:val="20"/>
              </w:rPr>
              <w:t>edema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or refractory glaucoma 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62" w:type="dxa"/>
            <w:vAlign w:val="bottom"/>
          </w:tcPr>
          <w:p w:rsidR="00621AF5" w:rsidRPr="00EF01ED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1ED">
              <w:rPr>
                <w:rFonts w:ascii="Arial" w:hAnsi="Arial" w:cs="Arial"/>
                <w:color w:val="000000"/>
                <w:sz w:val="20"/>
                <w:szCs w:val="20"/>
              </w:rPr>
              <w:t>Rufinamide</w:t>
            </w:r>
          </w:p>
        </w:tc>
        <w:tc>
          <w:tcPr>
            <w:tcW w:w="1721" w:type="dxa"/>
            <w:vAlign w:val="bottom"/>
          </w:tcPr>
          <w:p w:rsidR="00621AF5" w:rsidRPr="00EF01ED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1ED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EF01ED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1ED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EF01ED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1ED">
              <w:rPr>
                <w:rFonts w:ascii="Arial" w:hAnsi="Arial" w:cs="Arial"/>
                <w:color w:val="000000"/>
                <w:sz w:val="20"/>
                <w:szCs w:val="20"/>
              </w:rPr>
              <w:t>Adjunct treatment of seizures associated with Lennox-Gastaut syndrome in patients over 4 years of age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EF01ED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EF01ED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F01E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Sodium benzoate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Treatment of urea cycle d</w:t>
            </w:r>
            <w:r w:rsidRPr="008A61D7">
              <w:rPr>
                <w:rFonts w:ascii="Arial" w:hAnsi="Arial" w:cs="Arial"/>
                <w:color w:val="000000"/>
                <w:sz w:val="20"/>
                <w:szCs w:val="20"/>
              </w:rPr>
              <w:t>isorders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Stiripentol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intractable epilepsy and Dravet syndrome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71E7">
              <w:rPr>
                <w:rFonts w:ascii="Arial" w:hAnsi="Arial" w:cs="Arial"/>
                <w:color w:val="000000"/>
                <w:sz w:val="20"/>
                <w:szCs w:val="20"/>
              </w:rPr>
              <w:t>(severe myoclonic epilepsy of infancy (SMEI))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Stiripentol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intractable epilepsy and Dravet syndrome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71E7">
              <w:rPr>
                <w:rFonts w:ascii="Arial" w:hAnsi="Arial" w:cs="Arial"/>
                <w:color w:val="000000"/>
                <w:sz w:val="20"/>
                <w:szCs w:val="20"/>
              </w:rPr>
              <w:t>(severe myoclonic epilepsy of infancy (SMEI))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Stiripentol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Sachet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Treatment of intractable epilepsy and Dravet syndrome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71E7">
              <w:rPr>
                <w:rFonts w:ascii="Arial" w:hAnsi="Arial" w:cs="Arial"/>
                <w:color w:val="000000"/>
                <w:sz w:val="20"/>
                <w:szCs w:val="20"/>
              </w:rPr>
              <w:t>(severe myoclonic epilepsy of infancy (SMEI))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527E">
              <w:rPr>
                <w:rFonts w:ascii="Arial" w:hAnsi="Arial" w:cs="Arial"/>
                <w:color w:val="000000"/>
                <w:sz w:val="20"/>
                <w:szCs w:val="20"/>
              </w:rPr>
              <w:t>Tacrolimus 0.03%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Ointment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527E">
              <w:rPr>
                <w:rFonts w:ascii="Arial" w:hAnsi="Arial" w:cs="Arial"/>
                <w:color w:val="000000"/>
                <w:sz w:val="20"/>
                <w:szCs w:val="20"/>
              </w:rPr>
              <w:t>Treatment, or prolongation of flare-free intervals, of moderate to severe atopic dermatitis/eczema in children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Tacrolimus 0.1% 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Ointment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Topical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Treatment, or prolongation of flare-free intervals, of moderate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 severe atopic dermatitis/eczema in a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dults 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1B0A12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0D9">
              <w:rPr>
                <w:rFonts w:ascii="Arial" w:hAnsi="Arial" w:cs="Arial"/>
                <w:color w:val="000000"/>
                <w:sz w:val="20"/>
                <w:szCs w:val="20"/>
              </w:rPr>
              <w:t>Tizanidin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</w:tcPr>
          <w:p w:rsidR="00621AF5" w:rsidRPr="00BD06D0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0D9">
              <w:rPr>
                <w:rFonts w:ascii="Arial" w:hAnsi="Arial" w:cs="Arial"/>
                <w:color w:val="000000"/>
                <w:sz w:val="20"/>
                <w:szCs w:val="20"/>
              </w:rPr>
              <w:t>Treatment of spasticity where other treatments have failed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Tizanidine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</w:tcPr>
          <w:p w:rsidR="00621AF5" w:rsidRPr="00BD06D0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0D9">
              <w:rPr>
                <w:rFonts w:ascii="Arial" w:hAnsi="Arial" w:cs="Arial"/>
                <w:color w:val="000000"/>
                <w:sz w:val="20"/>
                <w:szCs w:val="20"/>
              </w:rPr>
              <w:t>Treatment of spasticity where other treatments have failed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Tetracycline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Capsule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</w:tcPr>
          <w:p w:rsidR="00621AF5" w:rsidRDefault="00621AF5" w:rsidP="008078AA">
            <w:r w:rsidRPr="00BD06D0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resistant </w:t>
            </w:r>
            <w:r w:rsidRPr="009D1A71">
              <w:rPr>
                <w:rFonts w:ascii="Arial" w:hAnsi="Arial" w:cs="Arial"/>
                <w:i/>
                <w:color w:val="000000"/>
                <w:sz w:val="20"/>
                <w:szCs w:val="20"/>
              </w:rPr>
              <w:t>Helicobacter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</w:t>
            </w:r>
            <w:r w:rsidRPr="00BD06D0">
              <w:rPr>
                <w:rFonts w:ascii="Arial" w:hAnsi="Arial" w:cs="Arial"/>
                <w:i/>
                <w:color w:val="000000"/>
                <w:sz w:val="20"/>
                <w:szCs w:val="20"/>
              </w:rPr>
              <w:t>ylori</w:t>
            </w:r>
            <w:r w:rsidRPr="00BD06D0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infection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Tetracycline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4521" w:type="dxa"/>
          </w:tcPr>
          <w:p w:rsidR="00621AF5" w:rsidRDefault="00621AF5" w:rsidP="008078AA">
            <w:r w:rsidRPr="00BD06D0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resistant </w:t>
            </w:r>
            <w:r w:rsidRPr="009D1A71">
              <w:rPr>
                <w:rFonts w:ascii="Arial" w:hAnsi="Arial" w:cs="Arial"/>
                <w:i/>
                <w:color w:val="000000"/>
                <w:sz w:val="20"/>
                <w:szCs w:val="20"/>
              </w:rPr>
              <w:t>Helicobacter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BD06D0">
              <w:rPr>
                <w:rFonts w:ascii="Arial" w:hAnsi="Arial" w:cs="Arial"/>
                <w:i/>
                <w:color w:val="000000"/>
                <w:sz w:val="20"/>
                <w:szCs w:val="20"/>
              </w:rPr>
              <w:t>ylori</w:t>
            </w:r>
            <w:r w:rsidRPr="00BD06D0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infection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1B0A12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Tick-borne Encephalitis Vaccine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Intramuscular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Prevention of tick-borne encephalitis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62" w:type="dxa"/>
            <w:vAlign w:val="bottom"/>
          </w:tcPr>
          <w:p w:rsidR="00621AF5" w:rsidRPr="00D15DF8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DF8">
              <w:rPr>
                <w:rFonts w:ascii="Arial" w:hAnsi="Arial" w:cs="Arial"/>
                <w:color w:val="000000"/>
                <w:sz w:val="20"/>
                <w:szCs w:val="20"/>
              </w:rPr>
              <w:t>Triamcinolone acetonide</w:t>
            </w:r>
          </w:p>
        </w:tc>
        <w:tc>
          <w:tcPr>
            <w:tcW w:w="1721" w:type="dxa"/>
            <w:vAlign w:val="bottom"/>
          </w:tcPr>
          <w:p w:rsidR="00621AF5" w:rsidRPr="00D15DF8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DF8">
              <w:rPr>
                <w:rFonts w:ascii="Arial" w:hAnsi="Arial" w:cs="Arial"/>
                <w:color w:val="000000"/>
                <w:sz w:val="20"/>
                <w:szCs w:val="20"/>
              </w:rPr>
              <w:t>Suspension for injection</w:t>
            </w:r>
          </w:p>
        </w:tc>
        <w:tc>
          <w:tcPr>
            <w:tcW w:w="2267" w:type="dxa"/>
            <w:vAlign w:val="bottom"/>
          </w:tcPr>
          <w:p w:rsidR="00621AF5" w:rsidRPr="00D15DF8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DF8">
              <w:rPr>
                <w:rFonts w:ascii="Arial" w:hAnsi="Arial" w:cs="Arial"/>
                <w:color w:val="000000"/>
                <w:sz w:val="20"/>
                <w:szCs w:val="20"/>
              </w:rPr>
              <w:t>Ophthalmic</w:t>
            </w:r>
          </w:p>
        </w:tc>
        <w:tc>
          <w:tcPr>
            <w:tcW w:w="4521" w:type="dxa"/>
            <w:vAlign w:val="bottom"/>
          </w:tcPr>
          <w:p w:rsidR="00621AF5" w:rsidRPr="00D15DF8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DF8">
              <w:rPr>
                <w:rFonts w:ascii="Arial" w:hAnsi="Arial" w:cs="Arial"/>
                <w:color w:val="000000"/>
                <w:sz w:val="20"/>
                <w:szCs w:val="20"/>
              </w:rPr>
              <w:t xml:space="preserve">Treatment of non-infectious uveitis or visualisation during vitrectomy </w:t>
            </w:r>
          </w:p>
        </w:tc>
        <w:tc>
          <w:tcPr>
            <w:tcW w:w="2734" w:type="dxa"/>
          </w:tcPr>
          <w:p w:rsidR="00621AF5" w:rsidRPr="00D15DF8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D15DF8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D15DF8" w:rsidTr="006D6EB3">
        <w:trPr>
          <w:cantSplit/>
        </w:trPr>
        <w:tc>
          <w:tcPr>
            <w:tcW w:w="661" w:type="dxa"/>
          </w:tcPr>
          <w:p w:rsidR="00621AF5" w:rsidRPr="00D15DF8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Verteporfin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Powder for injection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Intravenous infusion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Photosensitisation </w:t>
            </w: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for photodynamic therapy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  <w:tr w:rsidR="00621AF5" w:rsidRPr="0008175F" w:rsidTr="006D6EB3">
        <w:trPr>
          <w:cantSplit/>
        </w:trPr>
        <w:tc>
          <w:tcPr>
            <w:tcW w:w="661" w:type="dxa"/>
          </w:tcPr>
          <w:p w:rsidR="00621AF5" w:rsidRPr="0008175F" w:rsidRDefault="00621AF5" w:rsidP="007B7CB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62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Yttrium-90 (Y-90) Citrate</w:t>
            </w:r>
          </w:p>
        </w:tc>
        <w:tc>
          <w:tcPr>
            <w:tcW w:w="17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2267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Intraarticular</w:t>
            </w:r>
          </w:p>
        </w:tc>
        <w:tc>
          <w:tcPr>
            <w:tcW w:w="4521" w:type="dxa"/>
            <w:vAlign w:val="bottom"/>
          </w:tcPr>
          <w:p w:rsidR="00621AF5" w:rsidRPr="0008175F" w:rsidRDefault="00621AF5" w:rsidP="008078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Radiosynovectomy treatment </w:t>
            </w:r>
          </w:p>
        </w:tc>
        <w:tc>
          <w:tcPr>
            <w:tcW w:w="2734" w:type="dxa"/>
          </w:tcPr>
          <w:p w:rsidR="00621AF5" w:rsidRPr="0008175F" w:rsidRDefault="00621AF5" w:rsidP="008078AA">
            <w:pPr>
              <w:rPr>
                <w:rFonts w:ascii="Arial" w:hAnsi="Arial" w:cs="Arial"/>
                <w:sz w:val="20"/>
                <w:szCs w:val="20"/>
              </w:rPr>
            </w:pPr>
            <w:r w:rsidRPr="0008175F">
              <w:rPr>
                <w:rFonts w:ascii="Arial" w:hAnsi="Arial" w:cs="Arial"/>
                <w:color w:val="000000"/>
                <w:sz w:val="20"/>
                <w:szCs w:val="20"/>
              </w:rPr>
              <w:t>Medical Practitioner</w:t>
            </w:r>
          </w:p>
        </w:tc>
      </w:tr>
    </w:tbl>
    <w:p w:rsidR="006C38EE" w:rsidRPr="0008175F" w:rsidRDefault="006C38EE" w:rsidP="00C80063">
      <w:pPr>
        <w:spacing w:before="60"/>
        <w:rPr>
          <w:rFonts w:ascii="Arial" w:hAnsi="Arial" w:cs="Arial"/>
          <w:sz w:val="20"/>
          <w:szCs w:val="20"/>
        </w:rPr>
      </w:pPr>
    </w:p>
    <w:sectPr w:rsidR="006C38EE" w:rsidRPr="0008175F" w:rsidSect="002969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0A" w:rsidRDefault="0087280A" w:rsidP="00AA25B9">
      <w:r>
        <w:separator/>
      </w:r>
    </w:p>
  </w:endnote>
  <w:endnote w:type="continuationSeparator" w:id="0">
    <w:p w:rsidR="0087280A" w:rsidRDefault="0087280A" w:rsidP="00AA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379"/>
      <w:gridCol w:w="1701"/>
    </w:tblGrid>
    <w:tr w:rsidR="00CC5904" w:rsidRPr="00D27185" w:rsidTr="00D519BD">
      <w:tc>
        <w:tcPr>
          <w:tcW w:w="1134" w:type="dxa"/>
          <w:shd w:val="clear" w:color="auto" w:fill="auto"/>
        </w:tcPr>
        <w:p w:rsidR="00CC5904" w:rsidRDefault="00CC5904" w:rsidP="00D519BD">
          <w:pPr>
            <w:spacing w:line="240" w:lineRule="exact"/>
          </w:pPr>
        </w:p>
      </w:tc>
      <w:tc>
        <w:tcPr>
          <w:tcW w:w="6379" w:type="dxa"/>
          <w:shd w:val="clear" w:color="auto" w:fill="auto"/>
        </w:tcPr>
        <w:p w:rsidR="00CC5904" w:rsidRPr="002B1BF5" w:rsidRDefault="00CC5904" w:rsidP="00D519BD">
          <w:pPr>
            <w:pStyle w:val="Footer"/>
            <w:tabs>
              <w:tab w:val="center" w:pos="1140"/>
              <w:tab w:val="right" w:pos="5960"/>
            </w:tabs>
            <w:spacing w:before="80"/>
            <w:rPr>
              <w:rFonts w:cs="Arial"/>
              <w:sz w:val="20"/>
              <w:szCs w:val="20"/>
            </w:rPr>
          </w:pPr>
          <w:r w:rsidRPr="002B1BF5">
            <w:rPr>
              <w:i/>
              <w:sz w:val="20"/>
              <w:szCs w:val="20"/>
            </w:rPr>
            <w:t xml:space="preserve">Therapeutic Goods (Authorised Supply of Specified </w:t>
          </w:r>
          <w:r>
            <w:rPr>
              <w:i/>
              <w:sz w:val="20"/>
              <w:szCs w:val="20"/>
            </w:rPr>
            <w:t>Medicines</w:t>
          </w:r>
          <w:r w:rsidRPr="002B1BF5">
            <w:rPr>
              <w:i/>
              <w:sz w:val="20"/>
              <w:szCs w:val="20"/>
            </w:rPr>
            <w:t xml:space="preserve">) Rules </w:t>
          </w:r>
          <w:r>
            <w:rPr>
              <w:i/>
              <w:sz w:val="20"/>
              <w:szCs w:val="20"/>
            </w:rPr>
            <w:br/>
            <w:t>March 2018</w:t>
          </w:r>
        </w:p>
        <w:p w:rsidR="00CC5904" w:rsidRPr="00AB01C9" w:rsidRDefault="00CC5904" w:rsidP="00D519BD">
          <w:pPr>
            <w:pStyle w:val="FooterCitation"/>
            <w:spacing w:before="60"/>
            <w:rPr>
              <w:rFonts w:cs="Arial"/>
              <w:i w:val="0"/>
              <w:szCs w:val="18"/>
            </w:rPr>
          </w:pPr>
        </w:p>
      </w:tc>
      <w:tc>
        <w:tcPr>
          <w:tcW w:w="1701" w:type="dxa"/>
          <w:shd w:val="clear" w:color="auto" w:fill="auto"/>
        </w:tcPr>
        <w:p w:rsidR="00CC5904" w:rsidRPr="004D0CC1" w:rsidRDefault="00CC5904" w:rsidP="00D519BD">
          <w:pPr>
            <w:spacing w:before="80" w:line="240" w:lineRule="exact"/>
            <w:jc w:val="right"/>
            <w:rPr>
              <w:rStyle w:val="PageNumber"/>
              <w:rFonts w:cs="Arial"/>
              <w:sz w:val="18"/>
              <w:szCs w:val="18"/>
            </w:rPr>
          </w:pPr>
          <w:r w:rsidRPr="004D0CC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4D0CC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4D0CC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6873FF">
            <w:rPr>
              <w:rStyle w:val="PageNumber"/>
              <w:rFonts w:cs="Arial"/>
              <w:noProof/>
              <w:sz w:val="18"/>
              <w:szCs w:val="18"/>
            </w:rPr>
            <w:t>9</w:t>
          </w:r>
          <w:r w:rsidRPr="004D0CC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CC5904" w:rsidRDefault="00CC5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0A" w:rsidRDefault="0087280A" w:rsidP="00AA25B9">
      <w:r>
        <w:separator/>
      </w:r>
    </w:p>
  </w:footnote>
  <w:footnote w:type="continuationSeparator" w:id="0">
    <w:p w:rsidR="0087280A" w:rsidRDefault="0087280A" w:rsidP="00AA2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04" w:rsidRDefault="00CC5904" w:rsidP="00AA25B9">
    <w:pPr>
      <w:pStyle w:val="Header"/>
      <w:tabs>
        <w:tab w:val="clear" w:pos="9026"/>
        <w:tab w:val="right" w:pos="9214"/>
      </w:tabs>
      <w:ind w:right="-330"/>
    </w:pPr>
    <w: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22EB5"/>
    <w:multiLevelType w:val="hybridMultilevel"/>
    <w:tmpl w:val="33CA2ABC"/>
    <w:lvl w:ilvl="0" w:tplc="64FC8984">
      <w:start w:val="1"/>
      <w:numFmt w:val="lowerRoman"/>
      <w:lvlText w:val="(%1)"/>
      <w:lvlJc w:val="left"/>
      <w:pPr>
        <w:ind w:left="2160" w:hanging="72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FEE0CD2"/>
    <w:multiLevelType w:val="hybridMultilevel"/>
    <w:tmpl w:val="0874C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E5104"/>
    <w:multiLevelType w:val="hybridMultilevel"/>
    <w:tmpl w:val="18C46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783763"/>
    <w:multiLevelType w:val="hybridMultilevel"/>
    <w:tmpl w:val="2A7EAD10"/>
    <w:lvl w:ilvl="0" w:tplc="365CEEC4">
      <w:start w:val="1"/>
      <w:numFmt w:val="lowerLetter"/>
      <w:lvlText w:val="(%1)"/>
      <w:lvlJc w:val="left"/>
      <w:pPr>
        <w:ind w:left="1320" w:hanging="360"/>
      </w:pPr>
    </w:lvl>
    <w:lvl w:ilvl="1" w:tplc="0C090019">
      <w:start w:val="1"/>
      <w:numFmt w:val="lowerLetter"/>
      <w:lvlText w:val="%2."/>
      <w:lvlJc w:val="left"/>
      <w:pPr>
        <w:ind w:left="2040" w:hanging="360"/>
      </w:pPr>
    </w:lvl>
    <w:lvl w:ilvl="2" w:tplc="0C09001B">
      <w:start w:val="1"/>
      <w:numFmt w:val="lowerRoman"/>
      <w:lvlText w:val="%3."/>
      <w:lvlJc w:val="right"/>
      <w:pPr>
        <w:ind w:left="2760" w:hanging="180"/>
      </w:pPr>
    </w:lvl>
    <w:lvl w:ilvl="3" w:tplc="0C09000F">
      <w:start w:val="1"/>
      <w:numFmt w:val="decimal"/>
      <w:lvlText w:val="%4."/>
      <w:lvlJc w:val="left"/>
      <w:pPr>
        <w:ind w:left="3480" w:hanging="360"/>
      </w:pPr>
    </w:lvl>
    <w:lvl w:ilvl="4" w:tplc="0C090019">
      <w:start w:val="1"/>
      <w:numFmt w:val="lowerLetter"/>
      <w:lvlText w:val="%5."/>
      <w:lvlJc w:val="left"/>
      <w:pPr>
        <w:ind w:left="4200" w:hanging="360"/>
      </w:pPr>
    </w:lvl>
    <w:lvl w:ilvl="5" w:tplc="0C09001B">
      <w:start w:val="1"/>
      <w:numFmt w:val="lowerRoman"/>
      <w:lvlText w:val="%6."/>
      <w:lvlJc w:val="right"/>
      <w:pPr>
        <w:ind w:left="4920" w:hanging="180"/>
      </w:pPr>
    </w:lvl>
    <w:lvl w:ilvl="6" w:tplc="0C09000F">
      <w:start w:val="1"/>
      <w:numFmt w:val="decimal"/>
      <w:lvlText w:val="%7."/>
      <w:lvlJc w:val="left"/>
      <w:pPr>
        <w:ind w:left="5640" w:hanging="360"/>
      </w:pPr>
    </w:lvl>
    <w:lvl w:ilvl="7" w:tplc="0C090019">
      <w:start w:val="1"/>
      <w:numFmt w:val="lowerLetter"/>
      <w:lvlText w:val="%8."/>
      <w:lvlJc w:val="left"/>
      <w:pPr>
        <w:ind w:left="6360" w:hanging="360"/>
      </w:pPr>
    </w:lvl>
    <w:lvl w:ilvl="8" w:tplc="0C09001B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C7"/>
    <w:rsid w:val="00004298"/>
    <w:rsid w:val="00005933"/>
    <w:rsid w:val="00015151"/>
    <w:rsid w:val="0008175F"/>
    <w:rsid w:val="000940D9"/>
    <w:rsid w:val="000B1B4F"/>
    <w:rsid w:val="000C069C"/>
    <w:rsid w:val="000C17F9"/>
    <w:rsid w:val="000E23E8"/>
    <w:rsid w:val="000E3F91"/>
    <w:rsid w:val="000F5B27"/>
    <w:rsid w:val="001000A4"/>
    <w:rsid w:val="001002AA"/>
    <w:rsid w:val="0013309C"/>
    <w:rsid w:val="001437E9"/>
    <w:rsid w:val="00144EFE"/>
    <w:rsid w:val="00152A12"/>
    <w:rsid w:val="001706C4"/>
    <w:rsid w:val="00175C8E"/>
    <w:rsid w:val="001775F5"/>
    <w:rsid w:val="00197F2F"/>
    <w:rsid w:val="001A0A5E"/>
    <w:rsid w:val="001D3811"/>
    <w:rsid w:val="001F37C4"/>
    <w:rsid w:val="0020048A"/>
    <w:rsid w:val="00201D78"/>
    <w:rsid w:val="00212D5B"/>
    <w:rsid w:val="0021445F"/>
    <w:rsid w:val="00217499"/>
    <w:rsid w:val="00220540"/>
    <w:rsid w:val="002224FA"/>
    <w:rsid w:val="0024036F"/>
    <w:rsid w:val="0024322B"/>
    <w:rsid w:val="00265101"/>
    <w:rsid w:val="0028237A"/>
    <w:rsid w:val="00283959"/>
    <w:rsid w:val="0029699E"/>
    <w:rsid w:val="002B0D18"/>
    <w:rsid w:val="002B3DC1"/>
    <w:rsid w:val="002B6F9A"/>
    <w:rsid w:val="002C2627"/>
    <w:rsid w:val="002C56C2"/>
    <w:rsid w:val="002D0E38"/>
    <w:rsid w:val="003043A5"/>
    <w:rsid w:val="00331C7F"/>
    <w:rsid w:val="0033687B"/>
    <w:rsid w:val="0034055F"/>
    <w:rsid w:val="0034187F"/>
    <w:rsid w:val="003715C4"/>
    <w:rsid w:val="00372E01"/>
    <w:rsid w:val="0037770C"/>
    <w:rsid w:val="003C4BAF"/>
    <w:rsid w:val="003C53CD"/>
    <w:rsid w:val="003E4308"/>
    <w:rsid w:val="004143F0"/>
    <w:rsid w:val="00437847"/>
    <w:rsid w:val="00447FCB"/>
    <w:rsid w:val="00451EDC"/>
    <w:rsid w:val="004664FD"/>
    <w:rsid w:val="00473C5A"/>
    <w:rsid w:val="004820D8"/>
    <w:rsid w:val="00487C57"/>
    <w:rsid w:val="004A5DD0"/>
    <w:rsid w:val="004D0B8F"/>
    <w:rsid w:val="004D118F"/>
    <w:rsid w:val="004F15BB"/>
    <w:rsid w:val="004F1CDA"/>
    <w:rsid w:val="005003A1"/>
    <w:rsid w:val="005160D9"/>
    <w:rsid w:val="00516EB2"/>
    <w:rsid w:val="00516F29"/>
    <w:rsid w:val="00534640"/>
    <w:rsid w:val="00571C51"/>
    <w:rsid w:val="005A4909"/>
    <w:rsid w:val="005C7052"/>
    <w:rsid w:val="005D6758"/>
    <w:rsid w:val="005F4788"/>
    <w:rsid w:val="0061518F"/>
    <w:rsid w:val="0061527E"/>
    <w:rsid w:val="00621AF5"/>
    <w:rsid w:val="006248C2"/>
    <w:rsid w:val="00640C84"/>
    <w:rsid w:val="006557D1"/>
    <w:rsid w:val="00661718"/>
    <w:rsid w:val="006663DC"/>
    <w:rsid w:val="00667995"/>
    <w:rsid w:val="00676463"/>
    <w:rsid w:val="006838CC"/>
    <w:rsid w:val="006873FF"/>
    <w:rsid w:val="006A0060"/>
    <w:rsid w:val="006A6216"/>
    <w:rsid w:val="006C38EE"/>
    <w:rsid w:val="006D6EB3"/>
    <w:rsid w:val="006E06E9"/>
    <w:rsid w:val="006F3BBB"/>
    <w:rsid w:val="007219EE"/>
    <w:rsid w:val="00722558"/>
    <w:rsid w:val="00727011"/>
    <w:rsid w:val="00735826"/>
    <w:rsid w:val="00767C76"/>
    <w:rsid w:val="00771A95"/>
    <w:rsid w:val="00794FE1"/>
    <w:rsid w:val="00797C8D"/>
    <w:rsid w:val="007B010A"/>
    <w:rsid w:val="007B2B1C"/>
    <w:rsid w:val="007B2CAC"/>
    <w:rsid w:val="007B56C7"/>
    <w:rsid w:val="007B7CBB"/>
    <w:rsid w:val="007C28C5"/>
    <w:rsid w:val="007D2B47"/>
    <w:rsid w:val="007E1E26"/>
    <w:rsid w:val="00827945"/>
    <w:rsid w:val="00832228"/>
    <w:rsid w:val="008353A9"/>
    <w:rsid w:val="008477E9"/>
    <w:rsid w:val="008528B3"/>
    <w:rsid w:val="0085530E"/>
    <w:rsid w:val="00871D9E"/>
    <w:rsid w:val="0087280A"/>
    <w:rsid w:val="008A523B"/>
    <w:rsid w:val="008A61D7"/>
    <w:rsid w:val="008B136F"/>
    <w:rsid w:val="008C3D43"/>
    <w:rsid w:val="008D239E"/>
    <w:rsid w:val="00903571"/>
    <w:rsid w:val="009176C3"/>
    <w:rsid w:val="00933A08"/>
    <w:rsid w:val="00934452"/>
    <w:rsid w:val="009500C1"/>
    <w:rsid w:val="009501A6"/>
    <w:rsid w:val="00987E5C"/>
    <w:rsid w:val="009A03B3"/>
    <w:rsid w:val="009A1FB0"/>
    <w:rsid w:val="009B4722"/>
    <w:rsid w:val="009C030B"/>
    <w:rsid w:val="009C18CD"/>
    <w:rsid w:val="009C2810"/>
    <w:rsid w:val="009D1A71"/>
    <w:rsid w:val="009D545B"/>
    <w:rsid w:val="009E6B2B"/>
    <w:rsid w:val="00A063E0"/>
    <w:rsid w:val="00A33FC7"/>
    <w:rsid w:val="00A817FB"/>
    <w:rsid w:val="00A92B49"/>
    <w:rsid w:val="00AA25B9"/>
    <w:rsid w:val="00AD78F1"/>
    <w:rsid w:val="00AE5304"/>
    <w:rsid w:val="00AF2DA3"/>
    <w:rsid w:val="00B0078D"/>
    <w:rsid w:val="00B00CB7"/>
    <w:rsid w:val="00B0362F"/>
    <w:rsid w:val="00B126CB"/>
    <w:rsid w:val="00B17F7D"/>
    <w:rsid w:val="00B501E5"/>
    <w:rsid w:val="00B573BE"/>
    <w:rsid w:val="00B74FA2"/>
    <w:rsid w:val="00B9154E"/>
    <w:rsid w:val="00B916C9"/>
    <w:rsid w:val="00BA75D2"/>
    <w:rsid w:val="00BD5675"/>
    <w:rsid w:val="00BE0B85"/>
    <w:rsid w:val="00BE24CF"/>
    <w:rsid w:val="00BE58AF"/>
    <w:rsid w:val="00BF56BD"/>
    <w:rsid w:val="00C139EF"/>
    <w:rsid w:val="00C435E8"/>
    <w:rsid w:val="00C67FC3"/>
    <w:rsid w:val="00C80063"/>
    <w:rsid w:val="00C8372A"/>
    <w:rsid w:val="00CA2F41"/>
    <w:rsid w:val="00CA4FA1"/>
    <w:rsid w:val="00CA7759"/>
    <w:rsid w:val="00CB612F"/>
    <w:rsid w:val="00CB7DB4"/>
    <w:rsid w:val="00CC2DBD"/>
    <w:rsid w:val="00CC31C8"/>
    <w:rsid w:val="00CC5904"/>
    <w:rsid w:val="00CD2B78"/>
    <w:rsid w:val="00CD4356"/>
    <w:rsid w:val="00D15DF8"/>
    <w:rsid w:val="00D21BBB"/>
    <w:rsid w:val="00D519BD"/>
    <w:rsid w:val="00D810F4"/>
    <w:rsid w:val="00D8685F"/>
    <w:rsid w:val="00DB2EB4"/>
    <w:rsid w:val="00DB36EE"/>
    <w:rsid w:val="00DC29F2"/>
    <w:rsid w:val="00DD5AC9"/>
    <w:rsid w:val="00DE6E14"/>
    <w:rsid w:val="00E12770"/>
    <w:rsid w:val="00E1288B"/>
    <w:rsid w:val="00E13DC0"/>
    <w:rsid w:val="00E1723F"/>
    <w:rsid w:val="00E2691D"/>
    <w:rsid w:val="00E371E7"/>
    <w:rsid w:val="00E45A9C"/>
    <w:rsid w:val="00E51E7C"/>
    <w:rsid w:val="00E6294A"/>
    <w:rsid w:val="00E6553C"/>
    <w:rsid w:val="00E67935"/>
    <w:rsid w:val="00E72707"/>
    <w:rsid w:val="00E8423B"/>
    <w:rsid w:val="00E904DB"/>
    <w:rsid w:val="00EA1B26"/>
    <w:rsid w:val="00EA1CDE"/>
    <w:rsid w:val="00EA511B"/>
    <w:rsid w:val="00EC0C36"/>
    <w:rsid w:val="00EF01ED"/>
    <w:rsid w:val="00EF346D"/>
    <w:rsid w:val="00EF5FE5"/>
    <w:rsid w:val="00F23DB6"/>
    <w:rsid w:val="00F61FB7"/>
    <w:rsid w:val="00F92748"/>
    <w:rsid w:val="00FA4A5E"/>
    <w:rsid w:val="00FB0A07"/>
    <w:rsid w:val="00FB16B1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B56C7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56C7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R1">
    <w:name w:val="R1"/>
    <w:aliases w:val="1. or 1.(1)"/>
    <w:basedOn w:val="Normal"/>
    <w:next w:val="Normal"/>
    <w:rsid w:val="007B56C7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HR">
    <w:name w:val="HR"/>
    <w:aliases w:val="Regulation Heading"/>
    <w:basedOn w:val="Normal"/>
    <w:next w:val="R1"/>
    <w:rsid w:val="007B56C7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7B56C7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ZR1">
    <w:name w:val="ZR1"/>
    <w:basedOn w:val="R1"/>
    <w:rsid w:val="007B56C7"/>
    <w:pPr>
      <w:keepNext/>
    </w:pPr>
  </w:style>
  <w:style w:type="character" w:customStyle="1" w:styleId="CharSectno">
    <w:name w:val="CharSectno"/>
    <w:basedOn w:val="DefaultParagraphFont"/>
    <w:rsid w:val="007B56C7"/>
  </w:style>
  <w:style w:type="paragraph" w:styleId="BalloonText">
    <w:name w:val="Balloon Text"/>
    <w:basedOn w:val="Normal"/>
    <w:link w:val="BalloonTextChar"/>
    <w:uiPriority w:val="99"/>
    <w:semiHidden/>
    <w:unhideWhenUsed/>
    <w:rsid w:val="007B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C7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C38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8EE"/>
    <w:rPr>
      <w:color w:val="800080"/>
      <w:u w:val="single"/>
    </w:rPr>
  </w:style>
  <w:style w:type="paragraph" w:customStyle="1" w:styleId="xl64">
    <w:name w:val="xl64"/>
    <w:basedOn w:val="Normal"/>
    <w:rsid w:val="006C38E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C38EE"/>
    <w:pPr>
      <w:shd w:val="clear" w:color="000000" w:fill="FFC7CE"/>
      <w:spacing w:before="100" w:beforeAutospacing="1" w:after="100" w:afterAutospacing="1"/>
    </w:pPr>
    <w:rPr>
      <w:color w:val="9C0006"/>
    </w:rPr>
  </w:style>
  <w:style w:type="paragraph" w:customStyle="1" w:styleId="xl66">
    <w:name w:val="xl66"/>
    <w:basedOn w:val="Normal"/>
    <w:rsid w:val="006C38EE"/>
    <w:pPr>
      <w:shd w:val="clear" w:color="000000" w:fill="FFEB9C"/>
      <w:spacing w:before="100" w:beforeAutospacing="1" w:after="100" w:afterAutospacing="1"/>
    </w:pPr>
    <w:rPr>
      <w:color w:val="9C6500"/>
    </w:rPr>
  </w:style>
  <w:style w:type="paragraph" w:customStyle="1" w:styleId="xl67">
    <w:name w:val="xl67"/>
    <w:basedOn w:val="Normal"/>
    <w:rsid w:val="006C38EE"/>
    <w:pPr>
      <w:shd w:val="clear" w:color="000000" w:fill="C6EFCE"/>
      <w:spacing w:before="100" w:beforeAutospacing="1" w:after="100" w:afterAutospacing="1"/>
    </w:pPr>
    <w:rPr>
      <w:color w:val="006100"/>
    </w:rPr>
  </w:style>
  <w:style w:type="paragraph" w:customStyle="1" w:styleId="xl68">
    <w:name w:val="xl68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FFEB9C"/>
      <w:spacing w:before="100" w:beforeAutospacing="1" w:after="100" w:afterAutospacing="1"/>
    </w:pPr>
    <w:rPr>
      <w:color w:val="9C6500"/>
    </w:rPr>
  </w:style>
  <w:style w:type="paragraph" w:customStyle="1" w:styleId="xl69">
    <w:name w:val="xl69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DCE6F1"/>
      <w:spacing w:before="100" w:beforeAutospacing="1" w:after="100" w:afterAutospacing="1"/>
    </w:pPr>
  </w:style>
  <w:style w:type="paragraph" w:customStyle="1" w:styleId="xl70">
    <w:name w:val="xl70"/>
    <w:basedOn w:val="Normal"/>
    <w:rsid w:val="006C38EE"/>
    <w:pPr>
      <w:shd w:val="clear" w:color="000000" w:fill="DCE6F1"/>
      <w:spacing w:before="100" w:beforeAutospacing="1" w:after="100" w:afterAutospacing="1"/>
    </w:pPr>
  </w:style>
  <w:style w:type="paragraph" w:customStyle="1" w:styleId="xl71">
    <w:name w:val="xl71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73">
    <w:name w:val="xl73"/>
    <w:basedOn w:val="Normal"/>
    <w:rsid w:val="006C38EE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6C38EE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Normal"/>
    <w:rsid w:val="006C38EE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6C38EE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77">
    <w:name w:val="xl77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78">
    <w:name w:val="xl78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</w:pPr>
    <w:rPr>
      <w:color w:val="006100"/>
    </w:rPr>
  </w:style>
  <w:style w:type="paragraph" w:customStyle="1" w:styleId="xl79">
    <w:name w:val="xl79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</w:pPr>
    <w:rPr>
      <w:color w:val="006100"/>
    </w:rPr>
  </w:style>
  <w:style w:type="paragraph" w:customStyle="1" w:styleId="xl81">
    <w:name w:val="xl81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83">
    <w:name w:val="xl83"/>
    <w:basedOn w:val="Normal"/>
    <w:rsid w:val="006C38EE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84">
    <w:name w:val="xl84"/>
    <w:basedOn w:val="Normal"/>
    <w:rsid w:val="006C38EE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5">
    <w:name w:val="xl85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86">
    <w:name w:val="xl86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6C38EE"/>
    <w:pPr>
      <w:pBdr>
        <w:top w:val="single" w:sz="4" w:space="0" w:color="4F81BD"/>
        <w:left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89">
    <w:name w:val="xl89"/>
    <w:basedOn w:val="Normal"/>
    <w:rsid w:val="006C38EE"/>
    <w:pPr>
      <w:pBdr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90">
    <w:name w:val="xl90"/>
    <w:basedOn w:val="Normal"/>
    <w:rsid w:val="006C38EE"/>
    <w:pPr>
      <w:pBdr>
        <w:top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91">
    <w:name w:val="xl91"/>
    <w:basedOn w:val="Normal"/>
    <w:rsid w:val="006C38EE"/>
    <w:pPr>
      <w:pBdr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92">
    <w:name w:val="xl92"/>
    <w:basedOn w:val="Normal"/>
    <w:rsid w:val="006C38EE"/>
    <w:pPr>
      <w:pBdr>
        <w:top w:val="single" w:sz="4" w:space="0" w:color="4F81BD"/>
        <w:bottom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table" w:styleId="TableGrid">
    <w:name w:val="Table Grid"/>
    <w:basedOn w:val="TableNormal"/>
    <w:uiPriority w:val="59"/>
    <w:rsid w:val="006C3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84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AA2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25B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AA2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25B9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AA25B9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AA25B9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character" w:styleId="CommentReference">
    <w:name w:val="annotation reference"/>
    <w:basedOn w:val="DefaultParagraphFont"/>
    <w:unhideWhenUsed/>
    <w:rsid w:val="002823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2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237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37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B56C7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56C7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R1">
    <w:name w:val="R1"/>
    <w:aliases w:val="1. or 1.(1)"/>
    <w:basedOn w:val="Normal"/>
    <w:next w:val="Normal"/>
    <w:rsid w:val="007B56C7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HR">
    <w:name w:val="HR"/>
    <w:aliases w:val="Regulation Heading"/>
    <w:basedOn w:val="Normal"/>
    <w:next w:val="R1"/>
    <w:rsid w:val="007B56C7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7B56C7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ZR1">
    <w:name w:val="ZR1"/>
    <w:basedOn w:val="R1"/>
    <w:rsid w:val="007B56C7"/>
    <w:pPr>
      <w:keepNext/>
    </w:pPr>
  </w:style>
  <w:style w:type="character" w:customStyle="1" w:styleId="CharSectno">
    <w:name w:val="CharSectno"/>
    <w:basedOn w:val="DefaultParagraphFont"/>
    <w:rsid w:val="007B56C7"/>
  </w:style>
  <w:style w:type="paragraph" w:styleId="BalloonText">
    <w:name w:val="Balloon Text"/>
    <w:basedOn w:val="Normal"/>
    <w:link w:val="BalloonTextChar"/>
    <w:uiPriority w:val="99"/>
    <w:semiHidden/>
    <w:unhideWhenUsed/>
    <w:rsid w:val="007B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C7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C38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8EE"/>
    <w:rPr>
      <w:color w:val="800080"/>
      <w:u w:val="single"/>
    </w:rPr>
  </w:style>
  <w:style w:type="paragraph" w:customStyle="1" w:styleId="xl64">
    <w:name w:val="xl64"/>
    <w:basedOn w:val="Normal"/>
    <w:rsid w:val="006C38E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C38EE"/>
    <w:pPr>
      <w:shd w:val="clear" w:color="000000" w:fill="FFC7CE"/>
      <w:spacing w:before="100" w:beforeAutospacing="1" w:after="100" w:afterAutospacing="1"/>
    </w:pPr>
    <w:rPr>
      <w:color w:val="9C0006"/>
    </w:rPr>
  </w:style>
  <w:style w:type="paragraph" w:customStyle="1" w:styleId="xl66">
    <w:name w:val="xl66"/>
    <w:basedOn w:val="Normal"/>
    <w:rsid w:val="006C38EE"/>
    <w:pPr>
      <w:shd w:val="clear" w:color="000000" w:fill="FFEB9C"/>
      <w:spacing w:before="100" w:beforeAutospacing="1" w:after="100" w:afterAutospacing="1"/>
    </w:pPr>
    <w:rPr>
      <w:color w:val="9C6500"/>
    </w:rPr>
  </w:style>
  <w:style w:type="paragraph" w:customStyle="1" w:styleId="xl67">
    <w:name w:val="xl67"/>
    <w:basedOn w:val="Normal"/>
    <w:rsid w:val="006C38EE"/>
    <w:pPr>
      <w:shd w:val="clear" w:color="000000" w:fill="C6EFCE"/>
      <w:spacing w:before="100" w:beforeAutospacing="1" w:after="100" w:afterAutospacing="1"/>
    </w:pPr>
    <w:rPr>
      <w:color w:val="006100"/>
    </w:rPr>
  </w:style>
  <w:style w:type="paragraph" w:customStyle="1" w:styleId="xl68">
    <w:name w:val="xl68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FFEB9C"/>
      <w:spacing w:before="100" w:beforeAutospacing="1" w:after="100" w:afterAutospacing="1"/>
    </w:pPr>
    <w:rPr>
      <w:color w:val="9C6500"/>
    </w:rPr>
  </w:style>
  <w:style w:type="paragraph" w:customStyle="1" w:styleId="xl69">
    <w:name w:val="xl69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DCE6F1"/>
      <w:spacing w:before="100" w:beforeAutospacing="1" w:after="100" w:afterAutospacing="1"/>
    </w:pPr>
  </w:style>
  <w:style w:type="paragraph" w:customStyle="1" w:styleId="xl70">
    <w:name w:val="xl70"/>
    <w:basedOn w:val="Normal"/>
    <w:rsid w:val="006C38EE"/>
    <w:pPr>
      <w:shd w:val="clear" w:color="000000" w:fill="DCE6F1"/>
      <w:spacing w:before="100" w:beforeAutospacing="1" w:after="100" w:afterAutospacing="1"/>
    </w:pPr>
  </w:style>
  <w:style w:type="paragraph" w:customStyle="1" w:styleId="xl71">
    <w:name w:val="xl71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73">
    <w:name w:val="xl73"/>
    <w:basedOn w:val="Normal"/>
    <w:rsid w:val="006C38EE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6C38EE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Normal"/>
    <w:rsid w:val="006C38EE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6C38EE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77">
    <w:name w:val="xl77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78">
    <w:name w:val="xl78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</w:pPr>
    <w:rPr>
      <w:color w:val="006100"/>
    </w:rPr>
  </w:style>
  <w:style w:type="paragraph" w:customStyle="1" w:styleId="xl79">
    <w:name w:val="xl79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</w:pPr>
    <w:rPr>
      <w:color w:val="006100"/>
    </w:rPr>
  </w:style>
  <w:style w:type="paragraph" w:customStyle="1" w:styleId="xl81">
    <w:name w:val="xl81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6C38EE"/>
    <w:pPr>
      <w:pBdr>
        <w:top w:val="single" w:sz="4" w:space="0" w:color="4F81BD"/>
        <w:left w:val="single" w:sz="4" w:space="0" w:color="4F81BD"/>
        <w:bottom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83">
    <w:name w:val="xl83"/>
    <w:basedOn w:val="Normal"/>
    <w:rsid w:val="006C38EE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84">
    <w:name w:val="xl84"/>
    <w:basedOn w:val="Normal"/>
    <w:rsid w:val="006C38EE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5">
    <w:name w:val="xl85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86">
    <w:name w:val="xl86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Normal"/>
    <w:rsid w:val="006C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6C38EE"/>
    <w:pPr>
      <w:pBdr>
        <w:top w:val="single" w:sz="4" w:space="0" w:color="4F81BD"/>
        <w:left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89">
    <w:name w:val="xl89"/>
    <w:basedOn w:val="Normal"/>
    <w:rsid w:val="006C38EE"/>
    <w:pPr>
      <w:pBdr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90">
    <w:name w:val="xl90"/>
    <w:basedOn w:val="Normal"/>
    <w:rsid w:val="006C38EE"/>
    <w:pPr>
      <w:pBdr>
        <w:top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91">
    <w:name w:val="xl91"/>
    <w:basedOn w:val="Normal"/>
    <w:rsid w:val="006C38EE"/>
    <w:pPr>
      <w:pBdr>
        <w:bottom w:val="single" w:sz="4" w:space="0" w:color="4F81BD"/>
        <w:right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paragraph" w:customStyle="1" w:styleId="xl92">
    <w:name w:val="xl92"/>
    <w:basedOn w:val="Normal"/>
    <w:rsid w:val="006C38EE"/>
    <w:pPr>
      <w:pBdr>
        <w:top w:val="single" w:sz="4" w:space="0" w:color="4F81BD"/>
        <w:bottom w:val="single" w:sz="4" w:space="0" w:color="4F81BD"/>
      </w:pBdr>
      <w:shd w:val="clear" w:color="000000" w:fill="C6EFCE"/>
      <w:spacing w:before="100" w:beforeAutospacing="1" w:after="100" w:afterAutospacing="1"/>
      <w:textAlignment w:val="top"/>
    </w:pPr>
    <w:rPr>
      <w:color w:val="006100"/>
    </w:rPr>
  </w:style>
  <w:style w:type="table" w:styleId="TableGrid">
    <w:name w:val="Table Grid"/>
    <w:basedOn w:val="TableNormal"/>
    <w:uiPriority w:val="59"/>
    <w:rsid w:val="006C3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84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AA2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25B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AA2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25B9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AA25B9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AA25B9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character" w:styleId="CommentReference">
    <w:name w:val="annotation reference"/>
    <w:basedOn w:val="DefaultParagraphFont"/>
    <w:unhideWhenUsed/>
    <w:rsid w:val="002823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2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237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37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2B2F-7248-4698-A6F5-7FA2602D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Sant, Chris</dc:creator>
  <cp:lastModifiedBy>TIAN, Junling</cp:lastModifiedBy>
  <cp:revision>2</cp:revision>
  <cp:lastPrinted>2017-09-14T22:43:00Z</cp:lastPrinted>
  <dcterms:created xsi:type="dcterms:W3CDTF">2018-03-13T03:49:00Z</dcterms:created>
  <dcterms:modified xsi:type="dcterms:W3CDTF">2018-03-13T03:49:00Z</dcterms:modified>
</cp:coreProperties>
</file>