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5105E" w14:textId="77777777" w:rsidR="00D84D43" w:rsidRPr="00D84D43" w:rsidRDefault="00D84D43" w:rsidP="00D84D43">
      <w:pPr>
        <w:rPr>
          <w:rFonts w:eastAsia="Times New Roman"/>
          <w:color w:val="000000"/>
        </w:rPr>
      </w:pPr>
      <w:bookmarkStart w:id="0" w:name="_Toc168113228"/>
      <w:r w:rsidRPr="00D84D43">
        <w:rPr>
          <w:rFonts w:eastAsia="Times New Roman"/>
          <w:noProof/>
          <w:color w:val="000000"/>
        </w:rPr>
        <w:drawing>
          <wp:inline distT="0" distB="0" distL="0" distR="0" wp14:anchorId="1DC2452B" wp14:editId="40E43EF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B1B1E8" w14:textId="62729172" w:rsidR="00D84D43" w:rsidRPr="00D84D43" w:rsidRDefault="00D84D43" w:rsidP="00D84D43">
      <w:pPr>
        <w:spacing w:before="480" w:after="0"/>
        <w:rPr>
          <w:rFonts w:ascii="Arial" w:eastAsia="Times New Roman" w:hAnsi="Arial" w:cs="Arial"/>
          <w:b/>
          <w:bCs/>
          <w:color w:val="000000"/>
          <w:sz w:val="40"/>
          <w:szCs w:val="40"/>
          <w:lang w:eastAsia="en-US"/>
        </w:rPr>
      </w:pPr>
      <w:r w:rsidRPr="00D84D43">
        <w:rPr>
          <w:rFonts w:ascii="Arial" w:eastAsia="Times New Roman" w:hAnsi="Arial" w:cs="Arial"/>
          <w:b/>
          <w:bCs/>
          <w:color w:val="000000"/>
          <w:sz w:val="40"/>
          <w:szCs w:val="40"/>
          <w:lang w:eastAsia="en-US"/>
        </w:rPr>
        <w:t>Life insurance (prudential standard</w:t>
      </w:r>
      <w:r w:rsidR="00F040F0">
        <w:rPr>
          <w:rFonts w:ascii="Arial" w:eastAsia="Times New Roman" w:hAnsi="Arial" w:cs="Arial"/>
          <w:b/>
          <w:bCs/>
          <w:color w:val="000000"/>
          <w:sz w:val="40"/>
          <w:szCs w:val="40"/>
          <w:lang w:eastAsia="en-US"/>
        </w:rPr>
        <w:t>s</w:t>
      </w:r>
      <w:r w:rsidRPr="00D84D43">
        <w:rPr>
          <w:rFonts w:ascii="Arial" w:eastAsia="Times New Roman" w:hAnsi="Arial" w:cs="Arial"/>
          <w:b/>
          <w:bCs/>
          <w:color w:val="000000"/>
          <w:sz w:val="40"/>
          <w:szCs w:val="40"/>
          <w:lang w:eastAsia="en-US"/>
        </w:rPr>
        <w:t xml:space="preserve">) determination No. 1 of 2018 </w:t>
      </w:r>
    </w:p>
    <w:p w14:paraId="3002B6E6" w14:textId="77777777" w:rsidR="00D84D43" w:rsidRPr="00D84D43" w:rsidRDefault="00D84D43" w:rsidP="00D84D43">
      <w:pPr>
        <w:spacing w:before="480" w:after="0"/>
        <w:rPr>
          <w:rFonts w:ascii="Arial" w:eastAsia="Times New Roman" w:hAnsi="Arial" w:cs="Arial"/>
          <w:b/>
          <w:bCs/>
          <w:color w:val="000000"/>
          <w:sz w:val="28"/>
          <w:szCs w:val="28"/>
          <w:lang w:eastAsia="en-US"/>
        </w:rPr>
      </w:pPr>
      <w:r w:rsidRPr="00D84D43">
        <w:rPr>
          <w:rFonts w:ascii="Arial" w:eastAsia="Times New Roman" w:hAnsi="Arial" w:cs="Arial"/>
          <w:b/>
          <w:bCs/>
          <w:color w:val="000000"/>
          <w:sz w:val="28"/>
          <w:szCs w:val="28"/>
          <w:lang w:eastAsia="en-US"/>
        </w:rPr>
        <w:t>Prudential Standard LPS 230 Reinsurance Management</w:t>
      </w:r>
    </w:p>
    <w:p w14:paraId="732F5012" w14:textId="77777777" w:rsidR="00D84D43" w:rsidRPr="00D84D43" w:rsidRDefault="00D84D43" w:rsidP="00D84D43">
      <w:pPr>
        <w:pBdr>
          <w:bottom w:val="single" w:sz="4" w:space="3" w:color="auto"/>
        </w:pBdr>
        <w:spacing w:before="480"/>
        <w:rPr>
          <w:rFonts w:ascii="Arial" w:eastAsia="Times New Roman" w:hAnsi="Arial"/>
          <w:i/>
          <w:iCs/>
          <w:color w:val="000000"/>
          <w:sz w:val="28"/>
          <w:szCs w:val="20"/>
        </w:rPr>
      </w:pPr>
      <w:r w:rsidRPr="00D84D43">
        <w:rPr>
          <w:rFonts w:ascii="Arial" w:eastAsia="Times New Roman" w:hAnsi="Arial"/>
          <w:i/>
          <w:iCs/>
          <w:color w:val="000000"/>
          <w:sz w:val="28"/>
          <w:szCs w:val="20"/>
        </w:rPr>
        <w:t>Life Insurance Act 1995</w:t>
      </w:r>
    </w:p>
    <w:p w14:paraId="791FBD6B" w14:textId="77777777" w:rsidR="00D84D43" w:rsidRPr="00D84D43" w:rsidRDefault="00D84D43" w:rsidP="00D84D43">
      <w:pPr>
        <w:spacing w:after="0"/>
        <w:ind w:left="720" w:hanging="720"/>
        <w:rPr>
          <w:rFonts w:eastAsia="Times New Roman"/>
          <w:color w:val="000000"/>
          <w:szCs w:val="20"/>
          <w:lang w:eastAsia="en-US"/>
        </w:rPr>
      </w:pPr>
    </w:p>
    <w:p w14:paraId="51B2ADE0" w14:textId="77777777" w:rsidR="00D84D43" w:rsidRPr="00D84D43" w:rsidRDefault="00D84D43" w:rsidP="00D84D43">
      <w:pPr>
        <w:spacing w:after="0"/>
        <w:jc w:val="both"/>
        <w:rPr>
          <w:rFonts w:eastAsia="Times New Roman"/>
          <w:lang w:eastAsia="en-US"/>
        </w:rPr>
      </w:pPr>
      <w:r w:rsidRPr="00D84D43">
        <w:rPr>
          <w:rFonts w:eastAsia="Times New Roman"/>
          <w:lang w:eastAsia="en-US"/>
        </w:rPr>
        <w:t>I, Geoff Summerhayes, delegate of APRA:</w:t>
      </w:r>
    </w:p>
    <w:p w14:paraId="4EC55BE4" w14:textId="77777777" w:rsidR="00D84D43" w:rsidRPr="00D84D43" w:rsidRDefault="00D84D43" w:rsidP="00D84D43">
      <w:pPr>
        <w:spacing w:after="0"/>
        <w:jc w:val="both"/>
        <w:rPr>
          <w:rFonts w:eastAsia="Times New Roman"/>
          <w:lang w:eastAsia="en-US"/>
        </w:rPr>
      </w:pPr>
    </w:p>
    <w:p w14:paraId="04631ACA" w14:textId="5865EC50" w:rsidR="00D84D43" w:rsidRPr="00D84D43" w:rsidRDefault="00D84D43" w:rsidP="00D84D43">
      <w:pPr>
        <w:numPr>
          <w:ilvl w:val="0"/>
          <w:numId w:val="50"/>
        </w:numPr>
        <w:spacing w:after="0"/>
        <w:ind w:hanging="720"/>
        <w:jc w:val="both"/>
        <w:rPr>
          <w:rFonts w:eastAsia="Times New Roman"/>
          <w:color w:val="000000"/>
          <w:lang w:eastAsia="en-US"/>
        </w:rPr>
      </w:pPr>
      <w:r w:rsidRPr="00D84D43">
        <w:rPr>
          <w:rFonts w:eastAsia="Times New Roman"/>
          <w:color w:val="000000"/>
          <w:lang w:eastAsia="en-US"/>
        </w:rPr>
        <w:t xml:space="preserve">under subsection </w:t>
      </w:r>
      <w:r w:rsidR="000D70D8">
        <w:rPr>
          <w:rFonts w:eastAsia="Times New Roman"/>
          <w:color w:val="000000"/>
          <w:lang w:eastAsia="en-US"/>
        </w:rPr>
        <w:t>230A(5</w:t>
      </w:r>
      <w:r w:rsidRPr="00D84D43">
        <w:rPr>
          <w:rFonts w:eastAsia="Times New Roman"/>
          <w:color w:val="000000"/>
          <w:lang w:eastAsia="en-US"/>
        </w:rPr>
        <w:t xml:space="preserve">) of the Life Insurance Act 1995 (the Act) REVOKE Life insurance (prudential standard) determination No. 12 of 2007, including </w:t>
      </w:r>
      <w:r w:rsidRPr="00D84D43">
        <w:rPr>
          <w:rFonts w:eastAsia="Times New Roman"/>
          <w:i/>
          <w:color w:val="000000"/>
          <w:lang w:eastAsia="en-US"/>
        </w:rPr>
        <w:t>Prudential Standard LPS 230 Reinsurance</w:t>
      </w:r>
      <w:r w:rsidRPr="00D84D43">
        <w:rPr>
          <w:rFonts w:eastAsia="Times New Roman"/>
          <w:color w:val="000000"/>
          <w:lang w:eastAsia="en-US"/>
        </w:rPr>
        <w:t>, made under that Determination; and</w:t>
      </w:r>
    </w:p>
    <w:p w14:paraId="69076C81" w14:textId="5DFF1C4E" w:rsidR="00D84D43" w:rsidRPr="00D84D43" w:rsidRDefault="00D84D43" w:rsidP="00D84D43">
      <w:pPr>
        <w:numPr>
          <w:ilvl w:val="0"/>
          <w:numId w:val="50"/>
        </w:numPr>
        <w:spacing w:before="120" w:after="0"/>
        <w:ind w:hanging="720"/>
        <w:jc w:val="both"/>
        <w:rPr>
          <w:rFonts w:eastAsia="Times New Roman"/>
          <w:color w:val="000000"/>
          <w:lang w:eastAsia="en-US"/>
        </w:rPr>
      </w:pPr>
      <w:r w:rsidRPr="00D84D43">
        <w:rPr>
          <w:rFonts w:eastAsia="Times New Roman"/>
          <w:color w:val="000000"/>
          <w:lang w:eastAsia="en-US"/>
        </w:rPr>
        <w:lastRenderedPageBreak/>
        <w:t xml:space="preserve">under subsection </w:t>
      </w:r>
      <w:r w:rsidR="000D70D8">
        <w:rPr>
          <w:rFonts w:eastAsia="Times New Roman"/>
          <w:color w:val="000000"/>
          <w:lang w:eastAsia="en-US"/>
        </w:rPr>
        <w:t>230A</w:t>
      </w:r>
      <w:r w:rsidRPr="00D84D43">
        <w:rPr>
          <w:rFonts w:eastAsia="Times New Roman"/>
          <w:color w:val="000000"/>
          <w:lang w:eastAsia="en-US"/>
        </w:rPr>
        <w:t xml:space="preserve">(1) of the Act DETERMINE </w:t>
      </w:r>
      <w:r w:rsidRPr="00D84D43">
        <w:rPr>
          <w:rFonts w:eastAsia="Times New Roman"/>
          <w:i/>
          <w:color w:val="000000"/>
          <w:lang w:eastAsia="en-US"/>
        </w:rPr>
        <w:t>Prudential Standard LPS 230 Reinsurance Management</w:t>
      </w:r>
      <w:r w:rsidRPr="00D84D43">
        <w:rPr>
          <w:rFonts w:eastAsia="Times New Roman"/>
          <w:color w:val="000000"/>
          <w:lang w:eastAsia="en-US"/>
        </w:rPr>
        <w:t>, in the form set out in the Schedule, which applies to all life companies.</w:t>
      </w:r>
    </w:p>
    <w:p w14:paraId="5CDA88BF" w14:textId="77777777" w:rsidR="00D84D43" w:rsidRPr="00D84D43" w:rsidRDefault="00D84D43" w:rsidP="00D84D43">
      <w:pPr>
        <w:spacing w:after="0"/>
        <w:jc w:val="both"/>
        <w:rPr>
          <w:rFonts w:eastAsia="Times New Roman"/>
        </w:rPr>
      </w:pPr>
    </w:p>
    <w:p w14:paraId="46BCF934" w14:textId="77777777" w:rsidR="00D84D43" w:rsidRPr="00D84D43" w:rsidRDefault="00D84D43" w:rsidP="00D84D43">
      <w:pPr>
        <w:spacing w:after="0"/>
        <w:jc w:val="both"/>
        <w:rPr>
          <w:rFonts w:eastAsia="Times New Roman"/>
        </w:rPr>
      </w:pPr>
      <w:r w:rsidRPr="00D84D43">
        <w:rPr>
          <w:rFonts w:eastAsia="Times New Roman"/>
        </w:rPr>
        <w:t>This instrument commences on 1 April 2018.</w:t>
      </w:r>
    </w:p>
    <w:p w14:paraId="5AB1165B" w14:textId="77777777" w:rsidR="00D84D43" w:rsidRPr="00D84D43" w:rsidRDefault="00D84D43" w:rsidP="00D84D43">
      <w:pPr>
        <w:spacing w:after="0"/>
        <w:jc w:val="both"/>
        <w:rPr>
          <w:rFonts w:eastAsia="Times New Roman"/>
        </w:rPr>
      </w:pPr>
    </w:p>
    <w:p w14:paraId="56B3926D" w14:textId="007C9EE0" w:rsidR="00D84D43" w:rsidRPr="00D84D43" w:rsidRDefault="000E468C" w:rsidP="00D84D43">
      <w:pPr>
        <w:spacing w:after="0"/>
        <w:jc w:val="both"/>
        <w:rPr>
          <w:rFonts w:eastAsia="Times New Roman"/>
        </w:rPr>
      </w:pPr>
      <w:r>
        <w:rPr>
          <w:rFonts w:eastAsia="Times New Roman"/>
        </w:rPr>
        <w:t xml:space="preserve">Dated: 6 </w:t>
      </w:r>
      <w:r w:rsidR="00F47053">
        <w:rPr>
          <w:rFonts w:eastAsia="Times New Roman"/>
        </w:rPr>
        <w:t>March</w:t>
      </w:r>
      <w:r w:rsidR="00D84D43" w:rsidRPr="00D84D43">
        <w:rPr>
          <w:rFonts w:eastAsia="Times New Roman"/>
        </w:rPr>
        <w:t xml:space="preserve"> 2018 </w:t>
      </w:r>
    </w:p>
    <w:p w14:paraId="4205329E" w14:textId="77777777" w:rsidR="00D84D43" w:rsidRPr="00D84D43" w:rsidRDefault="00D84D43" w:rsidP="00D84D43">
      <w:pPr>
        <w:spacing w:after="0"/>
        <w:jc w:val="both"/>
        <w:rPr>
          <w:rFonts w:eastAsia="Times New Roman"/>
          <w:i/>
        </w:rPr>
      </w:pPr>
    </w:p>
    <w:p w14:paraId="5C73BB20" w14:textId="0521981B" w:rsidR="00D84D43" w:rsidRPr="00D84D43" w:rsidRDefault="000E468C" w:rsidP="00D84D43">
      <w:pPr>
        <w:spacing w:after="0"/>
        <w:jc w:val="both"/>
        <w:rPr>
          <w:rFonts w:eastAsia="Times New Roman"/>
          <w:color w:val="000000"/>
          <w:szCs w:val="20"/>
        </w:rPr>
      </w:pPr>
      <w:r>
        <w:rPr>
          <w:rFonts w:eastAsia="Times New Roman"/>
          <w:color w:val="000000"/>
          <w:szCs w:val="20"/>
        </w:rPr>
        <w:t>[Signed]</w:t>
      </w:r>
      <w:bookmarkStart w:id="1" w:name="_GoBack"/>
      <w:bookmarkEnd w:id="1"/>
    </w:p>
    <w:p w14:paraId="5EDEB1C2" w14:textId="77777777" w:rsidR="00D84D43" w:rsidRPr="00D84D43" w:rsidRDefault="00D84D43" w:rsidP="00D84D43">
      <w:pPr>
        <w:spacing w:after="0"/>
        <w:jc w:val="both"/>
        <w:rPr>
          <w:rFonts w:eastAsia="Times New Roman"/>
          <w:color w:val="000000"/>
          <w:szCs w:val="20"/>
        </w:rPr>
      </w:pPr>
    </w:p>
    <w:p w14:paraId="20565857" w14:textId="77777777" w:rsidR="00D84D43" w:rsidRPr="00D84D43" w:rsidRDefault="00D84D43" w:rsidP="00D84D43">
      <w:pPr>
        <w:spacing w:after="0"/>
        <w:jc w:val="both"/>
        <w:rPr>
          <w:rFonts w:eastAsia="Times New Roman"/>
        </w:rPr>
      </w:pPr>
    </w:p>
    <w:p w14:paraId="2B87B48F" w14:textId="77777777" w:rsidR="00D84D43" w:rsidRPr="00D84D43" w:rsidRDefault="00D84D43" w:rsidP="00D84D43">
      <w:pPr>
        <w:spacing w:after="0"/>
        <w:jc w:val="both"/>
        <w:rPr>
          <w:rFonts w:eastAsia="Times New Roman"/>
        </w:rPr>
      </w:pPr>
      <w:r w:rsidRPr="00D84D43">
        <w:rPr>
          <w:rFonts w:eastAsia="Times New Roman"/>
        </w:rPr>
        <w:t>Geoff Summerhayes</w:t>
      </w:r>
    </w:p>
    <w:p w14:paraId="10269936" w14:textId="77777777" w:rsidR="00D84D43" w:rsidRPr="00D84D43" w:rsidRDefault="00D84D43" w:rsidP="00D84D43">
      <w:pPr>
        <w:spacing w:after="0"/>
        <w:jc w:val="both"/>
        <w:rPr>
          <w:rFonts w:eastAsia="Times New Roman"/>
        </w:rPr>
      </w:pPr>
      <w:r w:rsidRPr="00D84D43">
        <w:rPr>
          <w:rFonts w:eastAsia="Times New Roman"/>
        </w:rPr>
        <w:t>Member</w:t>
      </w:r>
    </w:p>
    <w:p w14:paraId="33D05621" w14:textId="77777777" w:rsidR="00D84D43" w:rsidRPr="00D84D43" w:rsidRDefault="00D84D43" w:rsidP="00D84D43">
      <w:pPr>
        <w:spacing w:after="0"/>
        <w:jc w:val="both"/>
        <w:rPr>
          <w:rFonts w:eastAsia="Times New Roman"/>
        </w:rPr>
      </w:pPr>
    </w:p>
    <w:p w14:paraId="5A84FB97" w14:textId="77777777" w:rsidR="00D84D43" w:rsidRPr="00D84D43" w:rsidRDefault="00D84D43" w:rsidP="00D84D43">
      <w:pPr>
        <w:spacing w:after="0"/>
        <w:jc w:val="both"/>
        <w:rPr>
          <w:rFonts w:eastAsia="Times New Roman"/>
          <w:color w:val="000000"/>
        </w:rPr>
      </w:pPr>
    </w:p>
    <w:p w14:paraId="3AB4B443" w14:textId="77777777" w:rsidR="00D84D43" w:rsidRPr="00D84D43" w:rsidRDefault="00D84D43" w:rsidP="00D84D43">
      <w:pPr>
        <w:keepNext/>
        <w:spacing w:before="480" w:after="0"/>
        <w:rPr>
          <w:rFonts w:eastAsia="Times New Roman"/>
          <w:b/>
          <w:color w:val="000000"/>
          <w:lang w:eastAsia="en-US"/>
        </w:rPr>
      </w:pPr>
      <w:r w:rsidRPr="00D84D43">
        <w:rPr>
          <w:rFonts w:eastAsia="Times New Roman"/>
          <w:b/>
          <w:color w:val="000000"/>
          <w:lang w:eastAsia="en-US"/>
        </w:rPr>
        <w:t>Interpretation</w:t>
      </w:r>
    </w:p>
    <w:p w14:paraId="4174311A" w14:textId="77777777" w:rsidR="00D84D43" w:rsidRPr="00D84D43" w:rsidRDefault="00D84D43" w:rsidP="00D84D43">
      <w:pPr>
        <w:keepNext/>
        <w:tabs>
          <w:tab w:val="right" w:pos="794"/>
        </w:tabs>
        <w:spacing w:before="120" w:after="0" w:line="260" w:lineRule="exact"/>
        <w:ind w:left="964" w:hanging="964"/>
        <w:jc w:val="both"/>
        <w:rPr>
          <w:rFonts w:eastAsia="Times New Roman"/>
          <w:color w:val="000000"/>
          <w:lang w:eastAsia="en-US"/>
        </w:rPr>
      </w:pPr>
      <w:r w:rsidRPr="00D84D43">
        <w:rPr>
          <w:rFonts w:eastAsia="Times New Roman"/>
          <w:color w:val="000000"/>
          <w:lang w:eastAsia="en-US"/>
        </w:rPr>
        <w:t>In this Determination:</w:t>
      </w:r>
    </w:p>
    <w:p w14:paraId="218C8638" w14:textId="77777777" w:rsidR="00D84D43" w:rsidRPr="00D84D43" w:rsidRDefault="00D84D43" w:rsidP="00D84D43">
      <w:pPr>
        <w:spacing w:before="120" w:after="0"/>
        <w:jc w:val="both"/>
        <w:rPr>
          <w:rFonts w:eastAsia="Times New Roman"/>
          <w:color w:val="000000"/>
          <w:lang w:eastAsia="en-US"/>
        </w:rPr>
      </w:pPr>
      <w:r w:rsidRPr="00D84D43">
        <w:rPr>
          <w:rFonts w:eastAsia="Times New Roman"/>
          <w:b/>
          <w:i/>
          <w:color w:val="000000"/>
          <w:lang w:eastAsia="en-US"/>
        </w:rPr>
        <w:t>APRA</w:t>
      </w:r>
      <w:r w:rsidRPr="00D84D43">
        <w:rPr>
          <w:rFonts w:eastAsia="Times New Roman"/>
          <w:color w:val="000000"/>
          <w:lang w:eastAsia="en-US"/>
        </w:rPr>
        <w:t xml:space="preserve"> means the Australian Prudential Regulation Authority.</w:t>
      </w:r>
    </w:p>
    <w:p w14:paraId="2705C8AB" w14:textId="77777777" w:rsidR="00D84D43" w:rsidRPr="00D84D43" w:rsidRDefault="00D84D43" w:rsidP="00D84D43">
      <w:pPr>
        <w:spacing w:before="120" w:after="0"/>
        <w:jc w:val="both"/>
        <w:rPr>
          <w:rFonts w:eastAsia="Times New Roman"/>
          <w:color w:val="000000"/>
          <w:lang w:eastAsia="en-US"/>
        </w:rPr>
      </w:pPr>
      <w:r w:rsidRPr="00D84D43">
        <w:rPr>
          <w:rFonts w:eastAsia="Times New Roman"/>
          <w:b/>
          <w:i/>
          <w:color w:val="000000"/>
          <w:lang w:eastAsia="en-US"/>
        </w:rPr>
        <w:t xml:space="preserve">Life company </w:t>
      </w:r>
      <w:r w:rsidRPr="00D84D43">
        <w:rPr>
          <w:rFonts w:eastAsia="Times New Roman"/>
          <w:color w:val="000000"/>
          <w:lang w:eastAsia="en-US"/>
        </w:rPr>
        <w:t>has the meaning given in the schedule to the Act.</w:t>
      </w:r>
    </w:p>
    <w:p w14:paraId="23F0160C" w14:textId="77777777" w:rsidR="00D84D43" w:rsidRPr="00D84D43" w:rsidRDefault="00D84D43" w:rsidP="00D84D43">
      <w:pPr>
        <w:keepNext/>
        <w:autoSpaceDE w:val="0"/>
        <w:autoSpaceDN w:val="0"/>
        <w:spacing w:before="480" w:after="0"/>
        <w:rPr>
          <w:rFonts w:ascii="Arial" w:eastAsia="Times New Roman" w:hAnsi="Arial" w:cs="Arial"/>
          <w:b/>
          <w:bCs/>
          <w:color w:val="000000"/>
          <w:sz w:val="32"/>
          <w:szCs w:val="32"/>
        </w:rPr>
      </w:pPr>
      <w:r w:rsidRPr="00D84D43">
        <w:rPr>
          <w:rFonts w:ascii="Arial" w:eastAsia="Times New Roman" w:hAnsi="Arial" w:cs="Arial"/>
          <w:b/>
          <w:bCs/>
          <w:color w:val="000000"/>
          <w:sz w:val="32"/>
          <w:szCs w:val="32"/>
        </w:rPr>
        <w:lastRenderedPageBreak/>
        <w:t xml:space="preserve">Schedule </w:t>
      </w:r>
    </w:p>
    <w:p w14:paraId="4C8AA09A" w14:textId="77777777" w:rsidR="00D84D43" w:rsidRPr="00D84D43" w:rsidRDefault="00D84D43" w:rsidP="00D84D43">
      <w:pPr>
        <w:keepNext/>
        <w:autoSpaceDE w:val="0"/>
        <w:autoSpaceDN w:val="0"/>
        <w:spacing w:before="60" w:after="0" w:line="200" w:lineRule="exact"/>
        <w:ind w:left="2410"/>
        <w:rPr>
          <w:rFonts w:ascii="Arial" w:eastAsia="Times New Roman" w:hAnsi="Arial" w:cs="Arial"/>
          <w:color w:val="000000"/>
          <w:sz w:val="18"/>
          <w:szCs w:val="18"/>
        </w:rPr>
      </w:pPr>
    </w:p>
    <w:p w14:paraId="7D401067" w14:textId="222BCDCD" w:rsidR="00D84D43" w:rsidRPr="00D84D43" w:rsidRDefault="00D84D43" w:rsidP="00D84D43">
      <w:pPr>
        <w:tabs>
          <w:tab w:val="center" w:pos="4153"/>
          <w:tab w:val="right" w:pos="8306"/>
        </w:tabs>
        <w:spacing w:after="0"/>
        <w:jc w:val="both"/>
        <w:rPr>
          <w:rFonts w:eastAsia="Times New Roman"/>
          <w:bCs/>
        </w:rPr>
      </w:pPr>
      <w:r w:rsidRPr="00D84D43">
        <w:rPr>
          <w:rFonts w:eastAsia="Times New Roman"/>
          <w:i/>
          <w:color w:val="000000"/>
        </w:rPr>
        <w:t xml:space="preserve">Prudential Standard LPS 230 Reinsurance Management </w:t>
      </w:r>
      <w:r w:rsidRPr="00D84D43">
        <w:rPr>
          <w:rFonts w:eastAsia="Times New Roman"/>
          <w:bCs/>
        </w:rPr>
        <w:t xml:space="preserve">comprises the </w:t>
      </w:r>
      <w:r>
        <w:rPr>
          <w:rFonts w:eastAsia="Times New Roman"/>
          <w:bCs/>
        </w:rPr>
        <w:t>9</w:t>
      </w:r>
      <w:r w:rsidRPr="00D84D43">
        <w:rPr>
          <w:rFonts w:eastAsia="Times New Roman"/>
          <w:bCs/>
        </w:rPr>
        <w:t xml:space="preserve"> pages commencing on the following page.</w:t>
      </w:r>
      <w:bookmarkEnd w:id="0"/>
    </w:p>
    <w:p w14:paraId="7205645B" w14:textId="4F3D91DF" w:rsidR="00D84D43" w:rsidRDefault="00D84D43" w:rsidP="00091B23">
      <w:pPr>
        <w:spacing w:after="0"/>
        <w:jc w:val="both"/>
      </w:pPr>
    </w:p>
    <w:p w14:paraId="46A8AF57" w14:textId="69B922FC" w:rsidR="00D84D43" w:rsidRPr="00D84D43" w:rsidRDefault="00D84D43" w:rsidP="00D84D43"/>
    <w:p w14:paraId="6165935E" w14:textId="77777777" w:rsidR="00D84D43" w:rsidRPr="00D84D43" w:rsidRDefault="00D84D43" w:rsidP="00D84D43"/>
    <w:p w14:paraId="184C879C" w14:textId="77777777" w:rsidR="00D84D43" w:rsidRPr="00D84D43" w:rsidRDefault="00D84D43" w:rsidP="00D84D43"/>
    <w:p w14:paraId="1F3A22BA" w14:textId="77777777" w:rsidR="00D84D43" w:rsidRPr="00D84D43" w:rsidRDefault="00D84D43" w:rsidP="00D84D43"/>
    <w:p w14:paraId="51619D39" w14:textId="77777777" w:rsidR="00D84D43" w:rsidRPr="00D84D43" w:rsidRDefault="00D84D43" w:rsidP="00D84D43"/>
    <w:p w14:paraId="38214779" w14:textId="77777777" w:rsidR="00D84D43" w:rsidRPr="00D84D43" w:rsidRDefault="00D84D43" w:rsidP="00D84D43"/>
    <w:p w14:paraId="28ED0C4B" w14:textId="77777777" w:rsidR="00D84D43" w:rsidRPr="00D84D43" w:rsidRDefault="00D84D43" w:rsidP="00D84D43"/>
    <w:p w14:paraId="1E4623E4" w14:textId="77777777" w:rsidR="00D84D43" w:rsidRPr="00D84D43" w:rsidRDefault="00D84D43" w:rsidP="00D84D43"/>
    <w:p w14:paraId="1BF58C40" w14:textId="77777777" w:rsidR="00D84D43" w:rsidRPr="00D84D43" w:rsidRDefault="00D84D43" w:rsidP="00D84D43"/>
    <w:p w14:paraId="71DD39CF" w14:textId="77777777" w:rsidR="00D84D43" w:rsidRPr="00D84D43" w:rsidRDefault="00D84D43" w:rsidP="00D84D43"/>
    <w:p w14:paraId="08120004" w14:textId="4EFFA652" w:rsidR="00D84D43" w:rsidRDefault="00D84D43" w:rsidP="00D84D43"/>
    <w:p w14:paraId="409C75D3" w14:textId="4D60F7EB" w:rsidR="00D84D43" w:rsidRDefault="00D84D43" w:rsidP="00D84D43"/>
    <w:p w14:paraId="1C13CB2A" w14:textId="589BF99E" w:rsidR="00D84D43" w:rsidRDefault="00D84D43" w:rsidP="00D84D43">
      <w:pPr>
        <w:tabs>
          <w:tab w:val="left" w:pos="7515"/>
        </w:tabs>
      </w:pPr>
      <w:r>
        <w:tab/>
      </w:r>
    </w:p>
    <w:p w14:paraId="6193F6CD" w14:textId="7D0E5E18" w:rsidR="00D84D43" w:rsidRPr="00D84D43" w:rsidRDefault="00D84D43" w:rsidP="00D84D43">
      <w:pPr>
        <w:tabs>
          <w:tab w:val="left" w:pos="7515"/>
        </w:tabs>
        <w:sectPr w:rsidR="00D84D43" w:rsidRPr="00D84D43" w:rsidSect="000D63A8">
          <w:headerReference w:type="default" r:id="rId14"/>
          <w:pgSz w:w="11906" w:h="16838" w:code="9"/>
          <w:pgMar w:top="1440" w:right="1797" w:bottom="1440" w:left="1797" w:header="709" w:footer="709" w:gutter="0"/>
          <w:cols w:space="708"/>
          <w:docGrid w:linePitch="360"/>
        </w:sectPr>
      </w:pPr>
      <w:r>
        <w:lastRenderedPageBreak/>
        <w:tab/>
      </w:r>
    </w:p>
    <w:p w14:paraId="7D57B7BA" w14:textId="1358B4EE" w:rsidR="003B52EB" w:rsidRDefault="00506079" w:rsidP="00091B23">
      <w:pPr>
        <w:spacing w:after="0"/>
        <w:jc w:val="both"/>
      </w:pPr>
      <w:r>
        <w:rPr>
          <w:noProof/>
        </w:rPr>
        <w:lastRenderedPageBreak/>
        <w:drawing>
          <wp:anchor distT="0" distB="0" distL="114300" distR="114300" simplePos="0" relativeHeight="251658240" behindDoc="0" locked="0" layoutInCell="1" allowOverlap="1" wp14:anchorId="68EB24AF" wp14:editId="77304F22">
            <wp:simplePos x="1143000"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r w:rsidR="00D84D43">
        <w:br w:type="textWrapping" w:clear="all"/>
      </w:r>
    </w:p>
    <w:p w14:paraId="29304964" w14:textId="280184B2" w:rsidR="00DA3651" w:rsidRPr="009B6212" w:rsidRDefault="006A6A52" w:rsidP="00091B23">
      <w:pPr>
        <w:pStyle w:val="Title"/>
        <w:jc w:val="both"/>
      </w:pPr>
      <w:bookmarkStart w:id="2" w:name="_Toc326937696"/>
      <w:r w:rsidRPr="001F6B8D">
        <w:t>Prudential</w:t>
      </w:r>
      <w:r w:rsidRPr="009B6212">
        <w:t xml:space="preserve"> Standard</w:t>
      </w:r>
      <w:r w:rsidRPr="00E07F40">
        <w:rPr>
          <w:rStyle w:val="PSNofieldtext"/>
        </w:rPr>
        <w:t xml:space="preserve"> </w:t>
      </w:r>
      <w:r w:rsidR="00D96DF9">
        <w:rPr>
          <w:rStyle w:val="PSNofieldtext"/>
        </w:rPr>
        <w:t xml:space="preserve">LPS 230 </w:t>
      </w:r>
    </w:p>
    <w:bookmarkEnd w:id="2"/>
    <w:p w14:paraId="3C7C4DAE" w14:textId="232A4764" w:rsidR="00BC2D08" w:rsidRPr="00110917" w:rsidRDefault="00D96DF9" w:rsidP="00091B23">
      <w:pPr>
        <w:pStyle w:val="Title"/>
        <w:jc w:val="both"/>
      </w:pPr>
      <w:r>
        <w:rPr>
          <w:rStyle w:val="PSNamefieldtext"/>
        </w:rPr>
        <w:t>Reinsurance Management</w:t>
      </w:r>
    </w:p>
    <w:tbl>
      <w:tblPr>
        <w:tblStyle w:val="TableGrid"/>
        <w:tblW w:w="0" w:type="auto"/>
        <w:shd w:val="clear" w:color="auto" w:fill="DDDDDD"/>
        <w:tblLook w:val="04A0" w:firstRow="1" w:lastRow="0" w:firstColumn="1" w:lastColumn="0" w:noHBand="0" w:noVBand="1"/>
      </w:tblPr>
      <w:tblGrid>
        <w:gridCol w:w="8302"/>
      </w:tblGrid>
      <w:tr w:rsidR="0048511B" w14:paraId="34CADAA6" w14:textId="77777777" w:rsidTr="00DF539C">
        <w:tc>
          <w:tcPr>
            <w:tcW w:w="8528" w:type="dxa"/>
            <w:shd w:val="clear" w:color="auto" w:fill="DDDDDD"/>
          </w:tcPr>
          <w:p w14:paraId="07BCE993" w14:textId="77777777" w:rsidR="003C46D7" w:rsidRPr="00B37C03" w:rsidRDefault="003C46D7" w:rsidP="00091B23">
            <w:pPr>
              <w:pStyle w:val="BoxHeading"/>
              <w:jc w:val="both"/>
            </w:pPr>
            <w:r w:rsidRPr="00B37C03">
              <w:t xml:space="preserve">Objectives and key requirements of this Prudential </w:t>
            </w:r>
            <w:r w:rsidRPr="00173A04">
              <w:t>Standard</w:t>
            </w:r>
          </w:p>
          <w:p w14:paraId="75596C50" w14:textId="18675B73" w:rsidR="0048511B" w:rsidRDefault="0048511B" w:rsidP="00091B23">
            <w:pPr>
              <w:jc w:val="both"/>
            </w:pPr>
            <w:r>
              <w:t xml:space="preserve">This Prudential Standard </w:t>
            </w:r>
            <w:r w:rsidR="00D96DF9" w:rsidRPr="003B6DC5">
              <w:t>is designed to ensure that reinsurance arrangements of life companies are subject to minimum standards of independent oversight</w:t>
            </w:r>
            <w:r w:rsidR="006D56F0">
              <w:t xml:space="preserve"> by APRA.</w:t>
            </w:r>
            <w:r w:rsidR="00D96DF9" w:rsidRPr="003B6DC5">
              <w:t xml:space="preserve"> </w:t>
            </w:r>
            <w:r w:rsidR="006D56F0">
              <w:t>To that end, i</w:t>
            </w:r>
            <w:r w:rsidR="00D96DF9" w:rsidRPr="003B6DC5">
              <w:t xml:space="preserve">t addresses the regular reporting of reinsurance arrangements to APRA, and APRA’s oversight of </w:t>
            </w:r>
            <w:r w:rsidR="00B7689A">
              <w:t xml:space="preserve">Referable Reinsurance </w:t>
            </w:r>
            <w:r w:rsidR="00F93C7E" w:rsidRPr="00F93C7E">
              <w:t>Arrangements</w:t>
            </w:r>
            <w:r w:rsidR="00D96DF9" w:rsidRPr="00F93C7E">
              <w:t>.</w:t>
            </w:r>
          </w:p>
          <w:p w14:paraId="029D36F2" w14:textId="77777777" w:rsidR="0048511B" w:rsidRDefault="0048511B" w:rsidP="00091B23">
            <w:pPr>
              <w:jc w:val="both"/>
            </w:pPr>
            <w:r>
              <w:t>The key requirements of this Prudential Standard include:</w:t>
            </w:r>
          </w:p>
          <w:p w14:paraId="4B06288A" w14:textId="46CD51D1" w:rsidR="00D96DF9" w:rsidRPr="003B6DC5" w:rsidRDefault="00D96DF9" w:rsidP="00091B23">
            <w:pPr>
              <w:pStyle w:val="BoxBullet"/>
              <w:jc w:val="both"/>
            </w:pPr>
            <w:r w:rsidRPr="003B6DC5">
              <w:t xml:space="preserve">a life company must report on </w:t>
            </w:r>
            <w:r w:rsidR="00DD66FE">
              <w:t xml:space="preserve">prescribed matters in relation to </w:t>
            </w:r>
            <w:r w:rsidRPr="003B6DC5">
              <w:t>its reinsurance arrangements annually;</w:t>
            </w:r>
          </w:p>
          <w:p w14:paraId="78992478" w14:textId="502C1149" w:rsidR="00214363" w:rsidRDefault="00D96DF9" w:rsidP="00DF250C">
            <w:pPr>
              <w:pStyle w:val="BoxBullet"/>
              <w:jc w:val="both"/>
            </w:pPr>
            <w:r w:rsidRPr="00867A81">
              <w:t>a life company must not enter into</w:t>
            </w:r>
            <w:r w:rsidR="00DD66FE">
              <w:t xml:space="preserve"> a</w:t>
            </w:r>
            <w:r w:rsidRPr="00867A81">
              <w:t xml:space="preserve"> </w:t>
            </w:r>
            <w:r w:rsidR="00B7689A">
              <w:t xml:space="preserve">Referable Reinsurance </w:t>
            </w:r>
            <w:r w:rsidR="00F93C7E">
              <w:t>Arrangement</w:t>
            </w:r>
            <w:r w:rsidRPr="00867A81">
              <w:t xml:space="preserve"> unless </w:t>
            </w:r>
            <w:r w:rsidR="00DD66FE">
              <w:t xml:space="preserve">prior written </w:t>
            </w:r>
            <w:r w:rsidRPr="00867A81">
              <w:t>approval has been granted by APRA</w:t>
            </w:r>
            <w:r w:rsidR="00214363">
              <w:t>; and</w:t>
            </w:r>
          </w:p>
          <w:p w14:paraId="29C2E4A8" w14:textId="65180F9C" w:rsidR="00173A04" w:rsidRDefault="00CC1204" w:rsidP="0059411D">
            <w:pPr>
              <w:pStyle w:val="BoxBullet"/>
              <w:jc w:val="both"/>
            </w:pPr>
            <w:r>
              <w:t>a</w:t>
            </w:r>
            <w:r w:rsidR="0059411D">
              <w:t xml:space="preserve"> life company must comply with any condition imposed by APRA in respect of an approved reinsurance or financing arrangement</w:t>
            </w:r>
            <w:r w:rsidR="00D96DF9" w:rsidRPr="00867A81">
              <w:t>.</w:t>
            </w:r>
          </w:p>
        </w:tc>
      </w:tr>
    </w:tbl>
    <w:p w14:paraId="6532CF12" w14:textId="77777777" w:rsidR="00BC2D08" w:rsidRDefault="00BC2D08" w:rsidP="00091B23">
      <w:pPr>
        <w:spacing w:after="0"/>
        <w:jc w:val="both"/>
      </w:pPr>
    </w:p>
    <w:p w14:paraId="693ECB4A" w14:textId="77777777" w:rsidR="00C67A76" w:rsidRDefault="00C67A76" w:rsidP="00091B23">
      <w:pPr>
        <w:jc w:val="both"/>
      </w:pPr>
    </w:p>
    <w:p w14:paraId="2909C959" w14:textId="4A4BE40E" w:rsidR="00C67A76" w:rsidRDefault="00C67A76" w:rsidP="00091B23">
      <w:pPr>
        <w:jc w:val="both"/>
        <w:sectPr w:rsidR="00C67A76" w:rsidSect="00D84D43">
          <w:headerReference w:type="default" r:id="rId16"/>
          <w:footerReference w:type="default" r:id="rId17"/>
          <w:pgSz w:w="11906" w:h="16838" w:code="9"/>
          <w:pgMar w:top="1440" w:right="1797" w:bottom="1440" w:left="1797" w:header="709" w:footer="709" w:gutter="0"/>
          <w:pgNumType w:start="1"/>
          <w:cols w:space="708"/>
          <w:docGrid w:linePitch="360"/>
        </w:sectPr>
      </w:pPr>
    </w:p>
    <w:p w14:paraId="777E31A5" w14:textId="77777777" w:rsidR="00C6788C" w:rsidRDefault="009D467A" w:rsidP="00091B23">
      <w:pPr>
        <w:pStyle w:val="TOCHeading"/>
        <w:jc w:val="both"/>
      </w:pPr>
      <w:bookmarkStart w:id="3" w:name="_Toc326676936"/>
      <w:bookmarkStart w:id="4" w:name="_Toc326756341"/>
      <w:bookmarkStart w:id="5" w:name="_Toc256519850"/>
      <w:r>
        <w:lastRenderedPageBreak/>
        <w:t>Table of Contents</w:t>
      </w:r>
    </w:p>
    <w:p w14:paraId="73B92627" w14:textId="77777777" w:rsidR="00B7689A"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502646444" w:history="1">
        <w:r w:rsidR="00B7689A" w:rsidRPr="00CE05F5">
          <w:rPr>
            <w:rStyle w:val="Hyperlink"/>
          </w:rPr>
          <w:t>Authority</w:t>
        </w:r>
        <w:r w:rsidR="00B7689A">
          <w:rPr>
            <w:webHidden/>
          </w:rPr>
          <w:tab/>
        </w:r>
        <w:r w:rsidR="00B7689A">
          <w:rPr>
            <w:webHidden/>
          </w:rPr>
          <w:fldChar w:fldCharType="begin"/>
        </w:r>
        <w:r w:rsidR="00B7689A">
          <w:rPr>
            <w:webHidden/>
          </w:rPr>
          <w:instrText xml:space="preserve"> PAGEREF _Toc502646444 \h </w:instrText>
        </w:r>
        <w:r w:rsidR="00B7689A">
          <w:rPr>
            <w:webHidden/>
          </w:rPr>
        </w:r>
        <w:r w:rsidR="00B7689A">
          <w:rPr>
            <w:webHidden/>
          </w:rPr>
          <w:fldChar w:fldCharType="separate"/>
        </w:r>
        <w:r w:rsidR="00F47053">
          <w:rPr>
            <w:webHidden/>
          </w:rPr>
          <w:t>3</w:t>
        </w:r>
        <w:r w:rsidR="00B7689A">
          <w:rPr>
            <w:webHidden/>
          </w:rPr>
          <w:fldChar w:fldCharType="end"/>
        </w:r>
      </w:hyperlink>
    </w:p>
    <w:p w14:paraId="20F98BB3" w14:textId="77777777" w:rsidR="00B7689A" w:rsidRDefault="000E468C">
      <w:pPr>
        <w:pStyle w:val="TOC1"/>
        <w:rPr>
          <w:rFonts w:asciiTheme="minorHAnsi" w:eastAsiaTheme="minorEastAsia" w:hAnsiTheme="minorHAnsi" w:cstheme="minorBidi"/>
          <w:sz w:val="22"/>
          <w:szCs w:val="22"/>
        </w:rPr>
      </w:pPr>
      <w:hyperlink w:anchor="_Toc502646445" w:history="1">
        <w:r w:rsidR="00B7689A" w:rsidRPr="00CE05F5">
          <w:rPr>
            <w:rStyle w:val="Hyperlink"/>
          </w:rPr>
          <w:t>Application</w:t>
        </w:r>
        <w:r w:rsidR="00B7689A">
          <w:rPr>
            <w:webHidden/>
          </w:rPr>
          <w:tab/>
        </w:r>
        <w:r w:rsidR="00B7689A">
          <w:rPr>
            <w:webHidden/>
          </w:rPr>
          <w:fldChar w:fldCharType="begin"/>
        </w:r>
        <w:r w:rsidR="00B7689A">
          <w:rPr>
            <w:webHidden/>
          </w:rPr>
          <w:instrText xml:space="preserve"> PAGEREF _Toc502646445 \h </w:instrText>
        </w:r>
        <w:r w:rsidR="00B7689A">
          <w:rPr>
            <w:webHidden/>
          </w:rPr>
        </w:r>
        <w:r w:rsidR="00B7689A">
          <w:rPr>
            <w:webHidden/>
          </w:rPr>
          <w:fldChar w:fldCharType="separate"/>
        </w:r>
        <w:r w:rsidR="00F47053">
          <w:rPr>
            <w:webHidden/>
          </w:rPr>
          <w:t>3</w:t>
        </w:r>
        <w:r w:rsidR="00B7689A">
          <w:rPr>
            <w:webHidden/>
          </w:rPr>
          <w:fldChar w:fldCharType="end"/>
        </w:r>
      </w:hyperlink>
    </w:p>
    <w:p w14:paraId="20710A4D" w14:textId="77777777" w:rsidR="00B7689A" w:rsidRDefault="000E468C">
      <w:pPr>
        <w:pStyle w:val="TOC1"/>
        <w:rPr>
          <w:rFonts w:asciiTheme="minorHAnsi" w:eastAsiaTheme="minorEastAsia" w:hAnsiTheme="minorHAnsi" w:cstheme="minorBidi"/>
          <w:sz w:val="22"/>
          <w:szCs w:val="22"/>
        </w:rPr>
      </w:pPr>
      <w:hyperlink w:anchor="_Toc502646446" w:history="1">
        <w:r w:rsidR="00B7689A" w:rsidRPr="00CE05F5">
          <w:rPr>
            <w:rStyle w:val="Hyperlink"/>
          </w:rPr>
          <w:t>Interpretation</w:t>
        </w:r>
        <w:r w:rsidR="00B7689A">
          <w:rPr>
            <w:webHidden/>
          </w:rPr>
          <w:tab/>
        </w:r>
        <w:r w:rsidR="00B7689A">
          <w:rPr>
            <w:webHidden/>
          </w:rPr>
          <w:fldChar w:fldCharType="begin"/>
        </w:r>
        <w:r w:rsidR="00B7689A">
          <w:rPr>
            <w:webHidden/>
          </w:rPr>
          <w:instrText xml:space="preserve"> PAGEREF _Toc502646446 \h </w:instrText>
        </w:r>
        <w:r w:rsidR="00B7689A">
          <w:rPr>
            <w:webHidden/>
          </w:rPr>
        </w:r>
        <w:r w:rsidR="00B7689A">
          <w:rPr>
            <w:webHidden/>
          </w:rPr>
          <w:fldChar w:fldCharType="separate"/>
        </w:r>
        <w:r w:rsidR="00F47053">
          <w:rPr>
            <w:webHidden/>
          </w:rPr>
          <w:t>3</w:t>
        </w:r>
        <w:r w:rsidR="00B7689A">
          <w:rPr>
            <w:webHidden/>
          </w:rPr>
          <w:fldChar w:fldCharType="end"/>
        </w:r>
      </w:hyperlink>
    </w:p>
    <w:p w14:paraId="2BA4EF43" w14:textId="77777777" w:rsidR="00B7689A" w:rsidRDefault="000E468C">
      <w:pPr>
        <w:pStyle w:val="TOC1"/>
        <w:rPr>
          <w:rFonts w:asciiTheme="minorHAnsi" w:eastAsiaTheme="minorEastAsia" w:hAnsiTheme="minorHAnsi" w:cstheme="minorBidi"/>
          <w:sz w:val="22"/>
          <w:szCs w:val="22"/>
        </w:rPr>
      </w:pPr>
      <w:hyperlink w:anchor="_Toc502646447" w:history="1">
        <w:r w:rsidR="00B7689A" w:rsidRPr="00CE05F5">
          <w:rPr>
            <w:rStyle w:val="Hyperlink"/>
          </w:rPr>
          <w:t>Reinsurance reporting</w:t>
        </w:r>
        <w:r w:rsidR="00B7689A">
          <w:rPr>
            <w:webHidden/>
          </w:rPr>
          <w:tab/>
        </w:r>
        <w:r w:rsidR="00B7689A">
          <w:rPr>
            <w:webHidden/>
          </w:rPr>
          <w:fldChar w:fldCharType="begin"/>
        </w:r>
        <w:r w:rsidR="00B7689A">
          <w:rPr>
            <w:webHidden/>
          </w:rPr>
          <w:instrText xml:space="preserve"> PAGEREF _Toc502646447 \h </w:instrText>
        </w:r>
        <w:r w:rsidR="00B7689A">
          <w:rPr>
            <w:webHidden/>
          </w:rPr>
        </w:r>
        <w:r w:rsidR="00B7689A">
          <w:rPr>
            <w:webHidden/>
          </w:rPr>
          <w:fldChar w:fldCharType="separate"/>
        </w:r>
        <w:r w:rsidR="00F47053">
          <w:rPr>
            <w:webHidden/>
          </w:rPr>
          <w:t>3</w:t>
        </w:r>
        <w:r w:rsidR="00B7689A">
          <w:rPr>
            <w:webHidden/>
          </w:rPr>
          <w:fldChar w:fldCharType="end"/>
        </w:r>
      </w:hyperlink>
    </w:p>
    <w:p w14:paraId="717B9529" w14:textId="77777777" w:rsidR="00B7689A" w:rsidRDefault="000E468C">
      <w:pPr>
        <w:pStyle w:val="TOC1"/>
        <w:rPr>
          <w:rFonts w:asciiTheme="minorHAnsi" w:eastAsiaTheme="minorEastAsia" w:hAnsiTheme="minorHAnsi" w:cstheme="minorBidi"/>
          <w:sz w:val="22"/>
          <w:szCs w:val="22"/>
        </w:rPr>
      </w:pPr>
      <w:hyperlink w:anchor="_Toc502646448" w:history="1">
        <w:r w:rsidR="00B7689A" w:rsidRPr="00CE05F5">
          <w:rPr>
            <w:rStyle w:val="Hyperlink"/>
          </w:rPr>
          <w:t>Referable Reinsurance Arrangements</w:t>
        </w:r>
        <w:r w:rsidR="00B7689A">
          <w:rPr>
            <w:webHidden/>
          </w:rPr>
          <w:tab/>
        </w:r>
        <w:r w:rsidR="00B7689A">
          <w:rPr>
            <w:webHidden/>
          </w:rPr>
          <w:fldChar w:fldCharType="begin"/>
        </w:r>
        <w:r w:rsidR="00B7689A">
          <w:rPr>
            <w:webHidden/>
          </w:rPr>
          <w:instrText xml:space="preserve"> PAGEREF _Toc502646448 \h </w:instrText>
        </w:r>
        <w:r w:rsidR="00B7689A">
          <w:rPr>
            <w:webHidden/>
          </w:rPr>
        </w:r>
        <w:r w:rsidR="00B7689A">
          <w:rPr>
            <w:webHidden/>
          </w:rPr>
          <w:fldChar w:fldCharType="separate"/>
        </w:r>
        <w:r w:rsidR="00F47053">
          <w:rPr>
            <w:webHidden/>
          </w:rPr>
          <w:t>3</w:t>
        </w:r>
        <w:r w:rsidR="00B7689A">
          <w:rPr>
            <w:webHidden/>
          </w:rPr>
          <w:fldChar w:fldCharType="end"/>
        </w:r>
      </w:hyperlink>
    </w:p>
    <w:p w14:paraId="2D162C19" w14:textId="77777777" w:rsidR="00B7689A" w:rsidRDefault="000E468C">
      <w:pPr>
        <w:pStyle w:val="TOC1"/>
        <w:rPr>
          <w:rFonts w:asciiTheme="minorHAnsi" w:eastAsiaTheme="minorEastAsia" w:hAnsiTheme="minorHAnsi" w:cstheme="minorBidi"/>
          <w:sz w:val="22"/>
          <w:szCs w:val="22"/>
        </w:rPr>
      </w:pPr>
      <w:hyperlink w:anchor="_Toc502646449" w:history="1">
        <w:r w:rsidR="00B7689A" w:rsidRPr="00CE05F5">
          <w:rPr>
            <w:rStyle w:val="Hyperlink"/>
          </w:rPr>
          <w:t>Adjustments and exclusions</w:t>
        </w:r>
        <w:r w:rsidR="00B7689A">
          <w:rPr>
            <w:webHidden/>
          </w:rPr>
          <w:tab/>
        </w:r>
        <w:r w:rsidR="00B7689A">
          <w:rPr>
            <w:webHidden/>
          </w:rPr>
          <w:fldChar w:fldCharType="begin"/>
        </w:r>
        <w:r w:rsidR="00B7689A">
          <w:rPr>
            <w:webHidden/>
          </w:rPr>
          <w:instrText xml:space="preserve"> PAGEREF _Toc502646449 \h </w:instrText>
        </w:r>
        <w:r w:rsidR="00B7689A">
          <w:rPr>
            <w:webHidden/>
          </w:rPr>
        </w:r>
        <w:r w:rsidR="00B7689A">
          <w:rPr>
            <w:webHidden/>
          </w:rPr>
          <w:fldChar w:fldCharType="separate"/>
        </w:r>
        <w:r w:rsidR="00F47053">
          <w:rPr>
            <w:webHidden/>
          </w:rPr>
          <w:t>4</w:t>
        </w:r>
        <w:r w:rsidR="00B7689A">
          <w:rPr>
            <w:webHidden/>
          </w:rPr>
          <w:fldChar w:fldCharType="end"/>
        </w:r>
      </w:hyperlink>
    </w:p>
    <w:p w14:paraId="46A68BA1" w14:textId="77777777" w:rsidR="00B7689A" w:rsidRDefault="000E468C">
      <w:pPr>
        <w:pStyle w:val="TOC1"/>
        <w:rPr>
          <w:rFonts w:asciiTheme="minorHAnsi" w:eastAsiaTheme="minorEastAsia" w:hAnsiTheme="minorHAnsi" w:cstheme="minorBidi"/>
          <w:sz w:val="22"/>
          <w:szCs w:val="22"/>
        </w:rPr>
      </w:pPr>
      <w:hyperlink w:anchor="_Toc502646450" w:history="1">
        <w:r w:rsidR="00B7689A" w:rsidRPr="00CE05F5">
          <w:rPr>
            <w:rStyle w:val="Hyperlink"/>
          </w:rPr>
          <w:t>Determinations made under previous prudential standards</w:t>
        </w:r>
        <w:r w:rsidR="00B7689A">
          <w:rPr>
            <w:webHidden/>
          </w:rPr>
          <w:tab/>
        </w:r>
        <w:r w:rsidR="00B7689A">
          <w:rPr>
            <w:webHidden/>
          </w:rPr>
          <w:fldChar w:fldCharType="begin"/>
        </w:r>
        <w:r w:rsidR="00B7689A">
          <w:rPr>
            <w:webHidden/>
          </w:rPr>
          <w:instrText xml:space="preserve"> PAGEREF _Toc502646450 \h </w:instrText>
        </w:r>
        <w:r w:rsidR="00B7689A">
          <w:rPr>
            <w:webHidden/>
          </w:rPr>
        </w:r>
        <w:r w:rsidR="00B7689A">
          <w:rPr>
            <w:webHidden/>
          </w:rPr>
          <w:fldChar w:fldCharType="separate"/>
        </w:r>
        <w:r w:rsidR="00F47053">
          <w:rPr>
            <w:webHidden/>
          </w:rPr>
          <w:t>4</w:t>
        </w:r>
        <w:r w:rsidR="00B7689A">
          <w:rPr>
            <w:webHidden/>
          </w:rPr>
          <w:fldChar w:fldCharType="end"/>
        </w:r>
      </w:hyperlink>
    </w:p>
    <w:p w14:paraId="7E478370" w14:textId="77777777" w:rsidR="00B7689A" w:rsidRDefault="000E468C">
      <w:pPr>
        <w:pStyle w:val="TOC2"/>
        <w:rPr>
          <w:rFonts w:asciiTheme="minorHAnsi" w:eastAsiaTheme="minorEastAsia" w:hAnsiTheme="minorHAnsi" w:cstheme="minorBidi"/>
          <w:sz w:val="22"/>
          <w:szCs w:val="22"/>
        </w:rPr>
      </w:pPr>
      <w:hyperlink w:anchor="_Toc502646451" w:history="1">
        <w:r w:rsidR="00B7689A" w:rsidRPr="00CE05F5">
          <w:rPr>
            <w:rStyle w:val="Hyperlink"/>
          </w:rPr>
          <w:t>Attachment A - particulars of reinsurance arrangements to be set out in reinsurance report</w:t>
        </w:r>
        <w:r w:rsidR="00B7689A">
          <w:rPr>
            <w:webHidden/>
          </w:rPr>
          <w:tab/>
        </w:r>
        <w:r w:rsidR="00B7689A">
          <w:rPr>
            <w:webHidden/>
          </w:rPr>
          <w:fldChar w:fldCharType="begin"/>
        </w:r>
        <w:r w:rsidR="00B7689A">
          <w:rPr>
            <w:webHidden/>
          </w:rPr>
          <w:instrText xml:space="preserve"> PAGEREF _Toc502646451 \h </w:instrText>
        </w:r>
        <w:r w:rsidR="00B7689A">
          <w:rPr>
            <w:webHidden/>
          </w:rPr>
        </w:r>
        <w:r w:rsidR="00B7689A">
          <w:rPr>
            <w:webHidden/>
          </w:rPr>
          <w:fldChar w:fldCharType="separate"/>
        </w:r>
        <w:r w:rsidR="00F47053">
          <w:rPr>
            <w:webHidden/>
          </w:rPr>
          <w:t>5</w:t>
        </w:r>
        <w:r w:rsidR="00B7689A">
          <w:rPr>
            <w:webHidden/>
          </w:rPr>
          <w:fldChar w:fldCharType="end"/>
        </w:r>
      </w:hyperlink>
    </w:p>
    <w:p w14:paraId="188A6BBB" w14:textId="77777777" w:rsidR="00B7689A" w:rsidRDefault="000E468C">
      <w:pPr>
        <w:pStyle w:val="TOC2"/>
        <w:rPr>
          <w:rFonts w:asciiTheme="minorHAnsi" w:eastAsiaTheme="minorEastAsia" w:hAnsiTheme="minorHAnsi" w:cstheme="minorBidi"/>
          <w:sz w:val="22"/>
          <w:szCs w:val="22"/>
        </w:rPr>
      </w:pPr>
      <w:hyperlink w:anchor="_Toc502646452" w:history="1">
        <w:r w:rsidR="00B7689A" w:rsidRPr="00CE05F5">
          <w:rPr>
            <w:rStyle w:val="Hyperlink"/>
          </w:rPr>
          <w:t>Attachment B - Referable Reinsurance Arrangements</w:t>
        </w:r>
        <w:r w:rsidR="00B7689A">
          <w:rPr>
            <w:webHidden/>
          </w:rPr>
          <w:tab/>
        </w:r>
        <w:r w:rsidR="00B7689A">
          <w:rPr>
            <w:webHidden/>
          </w:rPr>
          <w:fldChar w:fldCharType="begin"/>
        </w:r>
        <w:r w:rsidR="00B7689A">
          <w:rPr>
            <w:webHidden/>
          </w:rPr>
          <w:instrText xml:space="preserve"> PAGEREF _Toc502646452 \h </w:instrText>
        </w:r>
        <w:r w:rsidR="00B7689A">
          <w:rPr>
            <w:webHidden/>
          </w:rPr>
        </w:r>
        <w:r w:rsidR="00B7689A">
          <w:rPr>
            <w:webHidden/>
          </w:rPr>
          <w:fldChar w:fldCharType="separate"/>
        </w:r>
        <w:r w:rsidR="00F47053">
          <w:rPr>
            <w:webHidden/>
          </w:rPr>
          <w:t>7</w:t>
        </w:r>
        <w:r w:rsidR="00B7689A">
          <w:rPr>
            <w:webHidden/>
          </w:rPr>
          <w:fldChar w:fldCharType="end"/>
        </w:r>
      </w:hyperlink>
    </w:p>
    <w:p w14:paraId="3C38A189" w14:textId="77777777" w:rsidR="009D467A" w:rsidRDefault="009B0A33" w:rsidP="00091B23">
      <w:pPr>
        <w:pStyle w:val="NoSpacing"/>
        <w:jc w:val="both"/>
      </w:pPr>
      <w:r>
        <w:fldChar w:fldCharType="end"/>
      </w:r>
      <w:bookmarkStart w:id="6" w:name="_Toc326937698"/>
      <w:bookmarkStart w:id="7" w:name="_Toc326938615"/>
      <w:bookmarkStart w:id="8" w:name="_Toc326938830"/>
      <w:bookmarkEnd w:id="3"/>
      <w:bookmarkEnd w:id="4"/>
    </w:p>
    <w:p w14:paraId="6399E4C1" w14:textId="77777777" w:rsidR="00E96B6D" w:rsidRDefault="00E96B6D" w:rsidP="00091B23">
      <w:pPr>
        <w:pStyle w:val="Heading1"/>
        <w:jc w:val="both"/>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p w14:paraId="21E99B61" w14:textId="77777777" w:rsidR="00E07F40" w:rsidRPr="001F6B8D" w:rsidRDefault="00E07F40" w:rsidP="00091B23">
      <w:pPr>
        <w:pStyle w:val="Heading1"/>
        <w:jc w:val="both"/>
      </w:pPr>
      <w:bookmarkStart w:id="11" w:name="_Toc502646444"/>
      <w:r w:rsidRPr="00B37C03">
        <w:lastRenderedPageBreak/>
        <w:t>Authority</w:t>
      </w:r>
      <w:bookmarkEnd w:id="9"/>
      <w:bookmarkEnd w:id="10"/>
      <w:bookmarkEnd w:id="11"/>
    </w:p>
    <w:p w14:paraId="19FA94DC" w14:textId="4F981495" w:rsidR="00E07F40" w:rsidRDefault="00E07F40" w:rsidP="00091B23">
      <w:pPr>
        <w:pStyle w:val="BodyText1"/>
      </w:pPr>
      <w:r w:rsidRPr="00B37C03">
        <w:t xml:space="preserve">This Prudential Standard is made under </w:t>
      </w:r>
      <w:r w:rsidR="00D96DF9" w:rsidRPr="0058254A">
        <w:t xml:space="preserve">subsection 230A(1) of the </w:t>
      </w:r>
      <w:r w:rsidR="00D96DF9" w:rsidRPr="0058254A">
        <w:rPr>
          <w:i/>
        </w:rPr>
        <w:t>Life</w:t>
      </w:r>
      <w:r w:rsidR="00D96DF9" w:rsidRPr="0058254A">
        <w:t> </w:t>
      </w:r>
      <w:r w:rsidR="00D96DF9" w:rsidRPr="0058254A">
        <w:rPr>
          <w:i/>
        </w:rPr>
        <w:t>Insurance Act 1995</w:t>
      </w:r>
      <w:r w:rsidR="00D96DF9" w:rsidRPr="0058254A">
        <w:t xml:space="preserve"> (</w:t>
      </w:r>
      <w:r w:rsidR="00867A81" w:rsidRPr="00091B23">
        <w:t>the</w:t>
      </w:r>
      <w:r w:rsidR="00D96DF9" w:rsidRPr="00091B23">
        <w:t xml:space="preserve"> Act</w:t>
      </w:r>
      <w:r w:rsidR="00D96DF9" w:rsidRPr="0058254A">
        <w:t>).</w:t>
      </w:r>
      <w:r w:rsidR="00E96B6D">
        <w:t xml:space="preserve"> </w:t>
      </w:r>
    </w:p>
    <w:p w14:paraId="3D2D6D60" w14:textId="77777777" w:rsidR="00E07F40" w:rsidRDefault="00E07F40" w:rsidP="00091B23">
      <w:pPr>
        <w:pStyle w:val="Heading1"/>
        <w:jc w:val="both"/>
      </w:pPr>
      <w:bookmarkStart w:id="12" w:name="_Toc314733118"/>
      <w:bookmarkStart w:id="13" w:name="_Toc341686775"/>
      <w:bookmarkStart w:id="14" w:name="_Toc502646445"/>
      <w:r w:rsidRPr="00B37C03">
        <w:t>Application</w:t>
      </w:r>
      <w:bookmarkEnd w:id="12"/>
      <w:bookmarkEnd w:id="13"/>
      <w:bookmarkEnd w:id="14"/>
    </w:p>
    <w:p w14:paraId="33A17AA9" w14:textId="77777777" w:rsidR="00D96DF9" w:rsidRDefault="00D96DF9" w:rsidP="00091B23">
      <w:pPr>
        <w:pStyle w:val="BodyText1"/>
      </w:pPr>
      <w:r w:rsidRPr="0058254A">
        <w:t>This Prudential Standard applies to all life companies, including friendly societies, registered under the Act.</w:t>
      </w:r>
    </w:p>
    <w:p w14:paraId="26789AB6" w14:textId="3C7C8622" w:rsidR="00DF2796" w:rsidRPr="0058254A" w:rsidRDefault="00DF2796" w:rsidP="00091B23">
      <w:pPr>
        <w:pStyle w:val="BodyText1"/>
      </w:pPr>
      <w:r>
        <w:t>This Prudential Standard commences on 1 April 2018 (the commencement date).</w:t>
      </w:r>
    </w:p>
    <w:p w14:paraId="166AFC23" w14:textId="77777777" w:rsidR="00C80C63" w:rsidRPr="00C80C63" w:rsidRDefault="00C80C63" w:rsidP="00091B23">
      <w:pPr>
        <w:pStyle w:val="Heading1"/>
        <w:jc w:val="both"/>
      </w:pPr>
      <w:bookmarkStart w:id="15" w:name="_Toc502646446"/>
      <w:r w:rsidRPr="00C80C63">
        <w:t>Interpretation</w:t>
      </w:r>
      <w:bookmarkEnd w:id="15"/>
      <w:r w:rsidRPr="00C80C63">
        <w:t xml:space="preserve"> </w:t>
      </w:r>
    </w:p>
    <w:p w14:paraId="2157822A" w14:textId="507D9C07" w:rsidR="00C80C63" w:rsidRDefault="00C80C63" w:rsidP="00091B23">
      <w:pPr>
        <w:pStyle w:val="BodyText1"/>
      </w:pPr>
      <w:r>
        <w:t xml:space="preserve">Terms that are defined in </w:t>
      </w:r>
      <w:r w:rsidR="003472F1">
        <w:t>L</w:t>
      </w:r>
      <w:r>
        <w:t xml:space="preserve">PS 001 appear in bold the first time they are used in this Prudential Standard. </w:t>
      </w:r>
    </w:p>
    <w:p w14:paraId="3529489F" w14:textId="77777777" w:rsidR="00C80C63" w:rsidRDefault="00C80C63" w:rsidP="00091B23">
      <w:pPr>
        <w:pStyle w:val="BodyText1"/>
      </w:pPr>
      <w:r>
        <w:t xml:space="preserve">Where this Prudential Standard provides for APRA to exercise a power or discretion, this power or discretion is to be exercised in writing. </w:t>
      </w:r>
    </w:p>
    <w:p w14:paraId="07703C76" w14:textId="77777777" w:rsidR="00D96DF9" w:rsidRPr="00C80C63" w:rsidRDefault="00D96DF9" w:rsidP="00091B23">
      <w:pPr>
        <w:pStyle w:val="Heading1"/>
        <w:jc w:val="both"/>
      </w:pPr>
      <w:bookmarkStart w:id="16" w:name="_Toc502646447"/>
      <w:r w:rsidRPr="00C80C63">
        <w:t>Reinsurance reporting</w:t>
      </w:r>
      <w:bookmarkEnd w:id="16"/>
    </w:p>
    <w:p w14:paraId="77CC23A0" w14:textId="7399E6ED" w:rsidR="00D96DF9" w:rsidRPr="0058254A" w:rsidRDefault="00D96DF9" w:rsidP="00091B23">
      <w:pPr>
        <w:pStyle w:val="BodyText1"/>
      </w:pPr>
      <w:r w:rsidRPr="0058254A">
        <w:t xml:space="preserve">A life company must give APRA a reinsurance report relating to the financial year of the company within 3 months after </w:t>
      </w:r>
      <w:r w:rsidR="0059411D">
        <w:t xml:space="preserve">the end of </w:t>
      </w:r>
      <w:r w:rsidRPr="0058254A">
        <w:t>each financial year.</w:t>
      </w:r>
      <w:r w:rsidR="006D56F0">
        <w:rPr>
          <w:rStyle w:val="FootnoteReference"/>
        </w:rPr>
        <w:footnoteReference w:id="2"/>
      </w:r>
    </w:p>
    <w:p w14:paraId="6D7FAA22" w14:textId="0C3DD0EF" w:rsidR="00D96DF9" w:rsidRPr="0058254A" w:rsidRDefault="00D96DF9" w:rsidP="00091B23">
      <w:pPr>
        <w:pStyle w:val="BodyText1"/>
      </w:pPr>
      <w:r w:rsidRPr="0058254A">
        <w:lastRenderedPageBreak/>
        <w:t>The reinsurance report must set out the particulars of each reinsurance cont</w:t>
      </w:r>
      <w:r w:rsidR="00216468">
        <w:t>r</w:t>
      </w:r>
      <w:r w:rsidRPr="0058254A">
        <w:t>act or group of reinsurance cont</w:t>
      </w:r>
      <w:r w:rsidR="00216468">
        <w:t>r</w:t>
      </w:r>
      <w:r w:rsidRPr="0058254A">
        <w:t xml:space="preserve">acts in force between the company and a </w:t>
      </w:r>
      <w:r w:rsidRPr="00DD66FE">
        <w:rPr>
          <w:b/>
        </w:rPr>
        <w:t>reinsurer</w:t>
      </w:r>
      <w:r w:rsidRPr="0058254A">
        <w:t xml:space="preserve"> during the financial year. The particulars are outlined under Attachment A.</w:t>
      </w:r>
    </w:p>
    <w:p w14:paraId="0AE464D2" w14:textId="77A952C9" w:rsidR="00867A81" w:rsidRPr="00C80C63" w:rsidRDefault="007065C9" w:rsidP="00091B23">
      <w:pPr>
        <w:pStyle w:val="Heading1"/>
        <w:jc w:val="both"/>
      </w:pPr>
      <w:bookmarkStart w:id="17" w:name="_Toc502646448"/>
      <w:r>
        <w:t>Referable Reinsurance</w:t>
      </w:r>
      <w:r w:rsidR="00867A81" w:rsidRPr="00C80C63">
        <w:t xml:space="preserve"> Arrangements</w:t>
      </w:r>
      <w:bookmarkEnd w:id="17"/>
      <w:r w:rsidR="00867A81" w:rsidRPr="00C80C63">
        <w:t xml:space="preserve"> </w:t>
      </w:r>
    </w:p>
    <w:p w14:paraId="670D6730" w14:textId="77777777" w:rsidR="00363417" w:rsidRDefault="005A734C" w:rsidP="00091B23">
      <w:pPr>
        <w:pStyle w:val="BodyText1"/>
      </w:pPr>
      <w:r>
        <w:t>A life company may only enter into</w:t>
      </w:r>
      <w:r w:rsidR="00363417">
        <w:t>:</w:t>
      </w:r>
    </w:p>
    <w:p w14:paraId="4AEC4D0A" w14:textId="0D0FD477" w:rsidR="00363417" w:rsidRPr="00E679DE" w:rsidRDefault="00363417" w:rsidP="00363417">
      <w:pPr>
        <w:pStyle w:val="BodyText2"/>
        <w:jc w:val="both"/>
      </w:pPr>
      <w:r>
        <w:t>a proposed ‘</w:t>
      </w:r>
      <w:r w:rsidR="007065C9">
        <w:t>Referable Reinsurance</w:t>
      </w:r>
      <w:r>
        <w:t xml:space="preserve"> Arrangement’;</w:t>
      </w:r>
      <w:r w:rsidR="00783124">
        <w:rPr>
          <w:rStyle w:val="FootnoteReference"/>
        </w:rPr>
        <w:footnoteReference w:id="3"/>
      </w:r>
      <w:r>
        <w:t xml:space="preserve"> or</w:t>
      </w:r>
    </w:p>
    <w:p w14:paraId="6654577D" w14:textId="33568E6E" w:rsidR="00363417" w:rsidRDefault="00363417" w:rsidP="00363417">
      <w:pPr>
        <w:pStyle w:val="BodyText2"/>
        <w:jc w:val="both"/>
      </w:pPr>
      <w:r>
        <w:t xml:space="preserve">a proposed modification to an existing arrangement that would, if undertaken, result in the existence of a </w:t>
      </w:r>
      <w:r w:rsidR="007065C9">
        <w:t xml:space="preserve">Referable Reinsurance </w:t>
      </w:r>
      <w:r>
        <w:t>Arrangement</w:t>
      </w:r>
    </w:p>
    <w:p w14:paraId="31C4C338" w14:textId="33AAF836" w:rsidR="005A734C" w:rsidRDefault="005A734C" w:rsidP="00363417">
      <w:pPr>
        <w:pStyle w:val="BodyText1"/>
        <w:numPr>
          <w:ilvl w:val="0"/>
          <w:numId w:val="0"/>
        </w:numPr>
        <w:ind w:left="567"/>
      </w:pPr>
      <w:r>
        <w:t xml:space="preserve">with the prior </w:t>
      </w:r>
      <w:r w:rsidR="00DD66FE">
        <w:t xml:space="preserve">written </w:t>
      </w:r>
      <w:r>
        <w:t>approval of APRA.</w:t>
      </w:r>
      <w:r w:rsidR="001A5BC1">
        <w:t xml:space="preserve">  </w:t>
      </w:r>
    </w:p>
    <w:p w14:paraId="76FC7F76" w14:textId="38A947F8" w:rsidR="00867A81" w:rsidRDefault="003472F1" w:rsidP="00D2701D">
      <w:pPr>
        <w:pStyle w:val="BodyText1"/>
      </w:pPr>
      <w:r>
        <w:t>A life company</w:t>
      </w:r>
      <w:r w:rsidR="00867A81">
        <w:t xml:space="preserve"> </w:t>
      </w:r>
      <w:r w:rsidR="00363417">
        <w:t>may apply to APRA for approval under paragraph 8.</w:t>
      </w:r>
      <w:r w:rsidR="005613C2">
        <w:rPr>
          <w:rStyle w:val="FootnoteReference"/>
        </w:rPr>
        <w:footnoteReference w:id="4"/>
      </w:r>
      <w:r w:rsidR="001A5BC1">
        <w:t xml:space="preserve">  </w:t>
      </w:r>
      <w:r w:rsidR="00DD66FE">
        <w:t>Any</w:t>
      </w:r>
      <w:r w:rsidR="00363417">
        <w:t xml:space="preserve"> application </w:t>
      </w:r>
      <w:r w:rsidR="00DD66FE">
        <w:t xml:space="preserve">by a life company seeking APRA’s approval </w:t>
      </w:r>
      <w:r w:rsidR="00363417">
        <w:t>must be submitted prior to entering into the arrangement or modification and address the matters detailed in Attachment B.</w:t>
      </w:r>
    </w:p>
    <w:p w14:paraId="4FB2D464" w14:textId="77092B78" w:rsidR="00867A81" w:rsidRDefault="00A42296" w:rsidP="00091B23">
      <w:pPr>
        <w:pStyle w:val="BodyText1"/>
      </w:pPr>
      <w:r>
        <w:t xml:space="preserve">Where </w:t>
      </w:r>
      <w:r w:rsidR="00867A81">
        <w:t xml:space="preserve">APRA </w:t>
      </w:r>
      <w:r>
        <w:t xml:space="preserve">approves </w:t>
      </w:r>
      <w:r w:rsidR="00867A81">
        <w:t xml:space="preserve">a </w:t>
      </w:r>
      <w:r w:rsidR="007065C9">
        <w:t xml:space="preserve">Referable Reinsurance </w:t>
      </w:r>
      <w:r w:rsidR="00867A81">
        <w:t xml:space="preserve">Arrangement </w:t>
      </w:r>
      <w:r>
        <w:t xml:space="preserve">it may do so </w:t>
      </w:r>
      <w:r w:rsidR="00867A81">
        <w:t xml:space="preserve">as either a reinsurance arrangement or a financing arrangement. </w:t>
      </w:r>
      <w:r w:rsidR="00825D01">
        <w:lastRenderedPageBreak/>
        <w:t xml:space="preserve">This approval may be subject to </w:t>
      </w:r>
      <w:r w:rsidR="00825D01" w:rsidRPr="007137F4">
        <w:t xml:space="preserve">conditions that require </w:t>
      </w:r>
      <w:r w:rsidR="00DD66FE" w:rsidRPr="007137F4">
        <w:t xml:space="preserve">the life company </w:t>
      </w:r>
      <w:r w:rsidRPr="007137F4">
        <w:t>to modify</w:t>
      </w:r>
      <w:r>
        <w:t xml:space="preserve"> </w:t>
      </w:r>
      <w:r w:rsidR="00DD66FE">
        <w:t>the proposed arrangement</w:t>
      </w:r>
      <w:r w:rsidR="00AE5255">
        <w:t xml:space="preserve">. </w:t>
      </w:r>
      <w:r w:rsidR="00DD66FE" w:rsidRPr="00DD66FE">
        <w:t>These conditions may involve the life company being required to modify the proposed arrangement in a manner which will result in two arrangements, one to be approved as a reinsurance arrangement and the other as a financing arrangement</w:t>
      </w:r>
      <w:r w:rsidR="00825D01">
        <w:t>.</w:t>
      </w:r>
    </w:p>
    <w:p w14:paraId="1A8AEA5B" w14:textId="049922E6" w:rsidR="00867A81" w:rsidRDefault="00867A81" w:rsidP="00091B23">
      <w:pPr>
        <w:pStyle w:val="BodyText1"/>
      </w:pPr>
      <w:r>
        <w:t xml:space="preserve">APRA will generally consider a </w:t>
      </w:r>
      <w:r w:rsidR="007065C9">
        <w:t xml:space="preserve">Referable Reinsurance </w:t>
      </w:r>
      <w:r>
        <w:t>Arrangement to be a reinsurance arrangement where the purpose and effect of the arrangement is to genuinely transfer</w:t>
      </w:r>
      <w:r w:rsidR="00590608">
        <w:t xml:space="preserve"> </w:t>
      </w:r>
      <w:r>
        <w:t xml:space="preserve">significant insurance risk from the </w:t>
      </w:r>
      <w:r w:rsidR="003472F1">
        <w:t>life company</w:t>
      </w:r>
      <w:r>
        <w:t xml:space="preserve"> </w:t>
      </w:r>
      <w:r w:rsidRPr="003472F1">
        <w:t xml:space="preserve">to </w:t>
      </w:r>
      <w:r w:rsidR="0077108E">
        <w:t>the</w:t>
      </w:r>
      <w:r w:rsidR="0077108E" w:rsidRPr="003472F1">
        <w:t xml:space="preserve"> </w:t>
      </w:r>
      <w:r w:rsidR="003472F1" w:rsidRPr="003472F1">
        <w:t>reinsurer</w:t>
      </w:r>
      <w:r w:rsidRPr="003472F1">
        <w:t xml:space="preserve">. </w:t>
      </w:r>
    </w:p>
    <w:p w14:paraId="5E4D595B" w14:textId="01DC8F60" w:rsidR="00867A81" w:rsidRDefault="00867A81" w:rsidP="00091B23">
      <w:pPr>
        <w:pStyle w:val="BodyText1"/>
      </w:pPr>
      <w:r>
        <w:t xml:space="preserve">A </w:t>
      </w:r>
      <w:r w:rsidR="007065C9">
        <w:t xml:space="preserve">Referable Reinsurance </w:t>
      </w:r>
      <w:r>
        <w:t>Arrangement</w:t>
      </w:r>
      <w:r w:rsidR="003C04FB">
        <w:t xml:space="preserve"> (or part thereof)</w:t>
      </w:r>
      <w:r>
        <w:t xml:space="preserve"> that is approved by APRA as a reinsurance arrangement must be treated accordingly by the </w:t>
      </w:r>
      <w:r w:rsidR="003472F1">
        <w:t>life company</w:t>
      </w:r>
      <w:r>
        <w:t xml:space="preserve"> for prudential purposes.</w:t>
      </w:r>
      <w:r w:rsidR="00302400">
        <w:rPr>
          <w:rStyle w:val="FootnoteReference"/>
        </w:rPr>
        <w:footnoteReference w:id="5"/>
      </w:r>
      <w:r w:rsidRPr="00867A81">
        <w:rPr>
          <w:vertAlign w:val="superscript"/>
        </w:rPr>
        <w:t xml:space="preserve"> </w:t>
      </w:r>
    </w:p>
    <w:p w14:paraId="5869F005" w14:textId="057503BC" w:rsidR="00867A81" w:rsidRDefault="00867A81" w:rsidP="00091B23">
      <w:pPr>
        <w:pStyle w:val="BodyText1"/>
      </w:pPr>
      <w:r>
        <w:t xml:space="preserve">A </w:t>
      </w:r>
      <w:r w:rsidR="007065C9">
        <w:t xml:space="preserve">Referable Reinsurance </w:t>
      </w:r>
      <w:r>
        <w:t xml:space="preserve">Arrangement </w:t>
      </w:r>
      <w:r w:rsidR="003C04FB">
        <w:t xml:space="preserve">(or part thereof) </w:t>
      </w:r>
      <w:r>
        <w:t xml:space="preserve">that is approved by APRA as a financing arrangement must be accounted for by the </w:t>
      </w:r>
      <w:r w:rsidR="003472F1">
        <w:t>life company</w:t>
      </w:r>
      <w:r>
        <w:t xml:space="preserve"> so that: </w:t>
      </w:r>
    </w:p>
    <w:p w14:paraId="7329C23C" w14:textId="6C39BFF0" w:rsidR="00867A81" w:rsidRDefault="00867A81" w:rsidP="00091B23">
      <w:pPr>
        <w:pStyle w:val="BodyText2"/>
        <w:jc w:val="both"/>
      </w:pPr>
      <w:r>
        <w:t xml:space="preserve">the arrangement has a legitimate purpose and effect; and </w:t>
      </w:r>
    </w:p>
    <w:p w14:paraId="70A98B68" w14:textId="336F09B1" w:rsidR="00867A81" w:rsidRPr="00867A81" w:rsidRDefault="00867A81" w:rsidP="00091B23">
      <w:pPr>
        <w:pStyle w:val="BodyText2"/>
        <w:jc w:val="both"/>
      </w:pPr>
      <w:r w:rsidRPr="00867A81">
        <w:lastRenderedPageBreak/>
        <w:t xml:space="preserve">the arrangement </w:t>
      </w:r>
      <w:r w:rsidR="005D115B">
        <w:t>is</w:t>
      </w:r>
      <w:r w:rsidR="005D115B" w:rsidRPr="00867A81">
        <w:t xml:space="preserve"> </w:t>
      </w:r>
      <w:r w:rsidRPr="00867A81">
        <w:t>not</w:t>
      </w:r>
      <w:r w:rsidR="005D115B">
        <w:t xml:space="preserve"> likely to</w:t>
      </w:r>
      <w:r w:rsidRPr="00867A81">
        <w:t xml:space="preserve"> misrepresent, or is not designed to disguise a material risk to</w:t>
      </w:r>
      <w:r w:rsidR="00E27C5C">
        <w:t>,</w:t>
      </w:r>
      <w:r w:rsidRPr="00867A81">
        <w:t xml:space="preserve"> the </w:t>
      </w:r>
      <w:r w:rsidR="003472F1">
        <w:t>life company</w:t>
      </w:r>
      <w:r w:rsidRPr="00867A81">
        <w:t xml:space="preserve">’s current or continuing profitability, </w:t>
      </w:r>
      <w:r w:rsidR="00BB0EB7">
        <w:t xml:space="preserve">financial position, </w:t>
      </w:r>
      <w:r w:rsidRPr="00867A81">
        <w:t xml:space="preserve">solvency or capital adequacy. </w:t>
      </w:r>
    </w:p>
    <w:p w14:paraId="09448FBA" w14:textId="45D3A19E" w:rsidR="00867A81" w:rsidRPr="00867A81" w:rsidRDefault="00867A81" w:rsidP="00091B23">
      <w:pPr>
        <w:pStyle w:val="BodyText1"/>
      </w:pPr>
      <w:r w:rsidRPr="00867A81">
        <w:t xml:space="preserve">Where APRA </w:t>
      </w:r>
      <w:r w:rsidR="00505C66">
        <w:t>approves</w:t>
      </w:r>
      <w:r w:rsidRPr="00867A81">
        <w:t xml:space="preserve"> a </w:t>
      </w:r>
      <w:r w:rsidR="00B7689A">
        <w:t xml:space="preserve">Referable Reinsurance </w:t>
      </w:r>
      <w:r w:rsidRPr="00867A81">
        <w:t>Arrangement</w:t>
      </w:r>
      <w:r w:rsidR="006D6FEB">
        <w:t xml:space="preserve"> (or part thereof)</w:t>
      </w:r>
      <w:r w:rsidRPr="00867A81">
        <w:t xml:space="preserve"> </w:t>
      </w:r>
      <w:r w:rsidR="00505C66">
        <w:t>a</w:t>
      </w:r>
      <w:r w:rsidRPr="00867A81">
        <w:t xml:space="preserve">s </w:t>
      </w:r>
      <w:r w:rsidR="003472F1">
        <w:t>a financing arrangement, the life company</w:t>
      </w:r>
      <w:r w:rsidRPr="00867A81">
        <w:t xml:space="preserve"> must not </w:t>
      </w:r>
      <w:r w:rsidR="00C833C4">
        <w:t>account for</w:t>
      </w:r>
      <w:r w:rsidR="00C833C4" w:rsidRPr="00867A81">
        <w:t xml:space="preserve"> </w:t>
      </w:r>
      <w:r w:rsidRPr="00867A81">
        <w:t xml:space="preserve">the arrangement as </w:t>
      </w:r>
      <w:r w:rsidR="0097414D">
        <w:t xml:space="preserve">a </w:t>
      </w:r>
      <w:r w:rsidR="00C833C4">
        <w:t xml:space="preserve">reinsured </w:t>
      </w:r>
      <w:r w:rsidR="0097414D">
        <w:t>policy liability</w:t>
      </w:r>
      <w:r w:rsidR="0097414D" w:rsidRPr="00867A81">
        <w:t xml:space="preserve"> </w:t>
      </w:r>
      <w:r w:rsidRPr="00867A81">
        <w:t>for the purpose</w:t>
      </w:r>
      <w:r w:rsidR="0097414D">
        <w:t>s</w:t>
      </w:r>
      <w:r w:rsidRPr="00867A81">
        <w:t xml:space="preserve"> of determining its </w:t>
      </w:r>
      <w:r w:rsidR="0097414D">
        <w:rPr>
          <w:b/>
        </w:rPr>
        <w:t xml:space="preserve">capital base </w:t>
      </w:r>
      <w:r w:rsidR="0097414D">
        <w:t xml:space="preserve">or </w:t>
      </w:r>
      <w:r w:rsidRPr="00867A81">
        <w:rPr>
          <w:b/>
          <w:bCs/>
        </w:rPr>
        <w:t xml:space="preserve">prescribed capital amount </w:t>
      </w:r>
      <w:r w:rsidRPr="00867A81">
        <w:t xml:space="preserve">under the </w:t>
      </w:r>
      <w:r w:rsidRPr="00867A81">
        <w:rPr>
          <w:b/>
          <w:bCs/>
        </w:rPr>
        <w:t xml:space="preserve">capital </w:t>
      </w:r>
      <w:r w:rsidR="00F93C7E">
        <w:rPr>
          <w:b/>
          <w:bCs/>
        </w:rPr>
        <w:t xml:space="preserve">adequacy </w:t>
      </w:r>
      <w:r w:rsidRPr="00867A81">
        <w:rPr>
          <w:b/>
          <w:bCs/>
        </w:rPr>
        <w:t xml:space="preserve">standards </w:t>
      </w:r>
      <w:r w:rsidRPr="00867A81">
        <w:t xml:space="preserve">or </w:t>
      </w:r>
      <w:r w:rsidR="00C833C4">
        <w:t>treat the arrang</w:t>
      </w:r>
      <w:r w:rsidR="00201C0F">
        <w:t xml:space="preserve">ement </w:t>
      </w:r>
      <w:r w:rsidRPr="00867A81">
        <w:t xml:space="preserve">as reinsurance for any other purpose. </w:t>
      </w:r>
    </w:p>
    <w:p w14:paraId="264A8E84" w14:textId="77777777" w:rsidR="00867A81" w:rsidRPr="00C80C63" w:rsidRDefault="00867A81" w:rsidP="00091B23">
      <w:pPr>
        <w:pStyle w:val="Heading1"/>
        <w:jc w:val="both"/>
      </w:pPr>
      <w:bookmarkStart w:id="18" w:name="_Toc502646449"/>
      <w:r w:rsidRPr="00C80C63">
        <w:t>Adjustments and exclusions</w:t>
      </w:r>
      <w:bookmarkEnd w:id="18"/>
      <w:r w:rsidRPr="00C80C63">
        <w:t xml:space="preserve"> </w:t>
      </w:r>
    </w:p>
    <w:p w14:paraId="154A1D6C" w14:textId="099DAAB8" w:rsidR="00867A81" w:rsidRPr="00867A81" w:rsidRDefault="00867A81" w:rsidP="00091B23">
      <w:pPr>
        <w:pStyle w:val="BodyText1"/>
      </w:pPr>
      <w:r w:rsidRPr="00867A81">
        <w:t xml:space="preserve">APRA may adjust or exclude a specific requirement in this Prudential Standard in relation to a </w:t>
      </w:r>
      <w:r w:rsidR="003472F1">
        <w:t>life company</w:t>
      </w:r>
      <w:r w:rsidRPr="00867A81">
        <w:t xml:space="preserve">. </w:t>
      </w:r>
    </w:p>
    <w:p w14:paraId="4EEEA0BF" w14:textId="77777777" w:rsidR="00867A81" w:rsidRPr="00C80C63" w:rsidRDefault="00867A81" w:rsidP="00091B23">
      <w:pPr>
        <w:pStyle w:val="Heading1"/>
        <w:jc w:val="both"/>
      </w:pPr>
      <w:bookmarkStart w:id="19" w:name="_Toc502646450"/>
      <w:r w:rsidRPr="00C80C63">
        <w:t>Determinations made under previous prudential standards</w:t>
      </w:r>
      <w:bookmarkEnd w:id="19"/>
      <w:r w:rsidRPr="00C80C63">
        <w:t xml:space="preserve"> </w:t>
      </w:r>
    </w:p>
    <w:p w14:paraId="75FDA2B6" w14:textId="77777777" w:rsidR="00322DFB" w:rsidRDefault="007C1D39" w:rsidP="007C1D39">
      <w:pPr>
        <w:pStyle w:val="BodyText1"/>
        <w:sectPr w:rsidR="00322DFB" w:rsidSect="000D63A8">
          <w:footerReference w:type="default" r:id="rId18"/>
          <w:pgSz w:w="11906" w:h="16838" w:code="9"/>
          <w:pgMar w:top="1440" w:right="1797" w:bottom="1440" w:left="1797" w:header="709" w:footer="709" w:gutter="0"/>
          <w:cols w:space="708"/>
          <w:docGrid w:linePitch="360"/>
        </w:sectPr>
      </w:pPr>
      <w:r w:rsidRPr="007C1D39">
        <w:t>This Prudential Standard only applies to new reinsurance contracts (or material changes to existi</w:t>
      </w:r>
      <w:r>
        <w:t xml:space="preserve">ng reinsurance contracts) made </w:t>
      </w:r>
      <w:r w:rsidRPr="007C1D39">
        <w:t>on or after the commencement date.</w:t>
      </w:r>
      <w:r>
        <w:t xml:space="preserve"> </w:t>
      </w:r>
      <w:r w:rsidRPr="00042134">
        <w:t xml:space="preserve">An insurer must </w:t>
      </w:r>
      <w:r>
        <w:t>notify APRA in the reinsurance report required under paragraph 6</w:t>
      </w:r>
      <w:r w:rsidRPr="00042134">
        <w:t xml:space="preserve"> if it seeks to place reliance, </w:t>
      </w:r>
      <w:r w:rsidR="00A42296">
        <w:t xml:space="preserve">in respect of a reinsurance contract entered into before the commencement of this </w:t>
      </w:r>
      <w:r w:rsidR="008467B0">
        <w:t>P</w:t>
      </w:r>
      <w:r w:rsidR="00A42296">
        <w:t xml:space="preserve">rudential </w:t>
      </w:r>
      <w:r w:rsidR="008467B0">
        <w:t>S</w:t>
      </w:r>
      <w:r w:rsidR="00A42296">
        <w:t xml:space="preserve">tandard, </w:t>
      </w:r>
      <w:r w:rsidRPr="00042134">
        <w:t xml:space="preserve">for the purposes of complying with this Prudential Standard, on a previous </w:t>
      </w:r>
      <w:r>
        <w:t>approval</w:t>
      </w:r>
      <w:r w:rsidRPr="00042134">
        <w:t xml:space="preserve"> or other exercise of </w:t>
      </w:r>
      <w:r w:rsidRPr="00042134">
        <w:lastRenderedPageBreak/>
        <w:t xml:space="preserve">discretion by APRA </w:t>
      </w:r>
      <w:r>
        <w:t xml:space="preserve">under a previous version of </w:t>
      </w:r>
      <w:r w:rsidRPr="00042134">
        <w:rPr>
          <w:i/>
        </w:rPr>
        <w:t>LPS 230 Reinsurance</w:t>
      </w:r>
      <w:r>
        <w:t>.</w:t>
      </w:r>
      <w:r>
        <w:rPr>
          <w:rStyle w:val="FootnoteReference"/>
        </w:rPr>
        <w:footnoteReference w:id="6"/>
      </w:r>
    </w:p>
    <w:p w14:paraId="5E6FFA22" w14:textId="4093ABFF" w:rsidR="0038413F" w:rsidRPr="001F6B8D" w:rsidRDefault="00E16DD9" w:rsidP="00042CFC">
      <w:pPr>
        <w:pStyle w:val="Heading2"/>
        <w:tabs>
          <w:tab w:val="left" w:pos="2910"/>
        </w:tabs>
      </w:pPr>
      <w:bookmarkStart w:id="20" w:name="_Toc502646451"/>
      <w:r w:rsidRPr="001F6B8D">
        <w:lastRenderedPageBreak/>
        <w:t xml:space="preserve">Attachment </w:t>
      </w:r>
      <w:r w:rsidR="00867A81">
        <w:rPr>
          <w:rStyle w:val="Attachmentfieldtext"/>
        </w:rPr>
        <w:t>A</w:t>
      </w:r>
      <w:r w:rsidR="001F6B8D" w:rsidRPr="001F6B8D">
        <w:t xml:space="preserve"> - </w:t>
      </w:r>
      <w:r w:rsidR="00867A81">
        <w:t>p</w:t>
      </w:r>
      <w:r w:rsidR="00867A81" w:rsidRPr="00867A81">
        <w:t>articulars of reinsurance arrangements to be set out in reinsurance report</w:t>
      </w:r>
      <w:bookmarkEnd w:id="20"/>
    </w:p>
    <w:p w14:paraId="764C914E" w14:textId="77777777" w:rsidR="00867A81" w:rsidRPr="0058254A" w:rsidRDefault="00867A81" w:rsidP="00091B23">
      <w:pPr>
        <w:pStyle w:val="BodyText1"/>
        <w:numPr>
          <w:ilvl w:val="0"/>
          <w:numId w:val="34"/>
        </w:numPr>
      </w:pPr>
      <w:r w:rsidRPr="0058254A">
        <w:t>The particulars are:</w:t>
      </w:r>
    </w:p>
    <w:p w14:paraId="726F6075" w14:textId="77777777" w:rsidR="00867A81" w:rsidRPr="0058254A" w:rsidRDefault="00867A81" w:rsidP="00091B23">
      <w:pPr>
        <w:pStyle w:val="BodyText2"/>
        <w:jc w:val="both"/>
      </w:pPr>
      <w:r w:rsidRPr="0058254A">
        <w:t>the name of the reinsurer and, if it was not a life company registered under the Act, the following details about it:</w:t>
      </w:r>
    </w:p>
    <w:p w14:paraId="35D463E9" w14:textId="77777777" w:rsidR="00867A81" w:rsidRPr="0058254A" w:rsidRDefault="00867A81" w:rsidP="00091B23">
      <w:pPr>
        <w:pStyle w:val="paragraphsub"/>
        <w:numPr>
          <w:ilvl w:val="0"/>
          <w:numId w:val="28"/>
        </w:numPr>
        <w:spacing w:before="0" w:after="240"/>
        <w:jc w:val="both"/>
        <w:rPr>
          <w:sz w:val="24"/>
          <w:szCs w:val="24"/>
        </w:rPr>
      </w:pPr>
      <w:r w:rsidRPr="0058254A">
        <w:rPr>
          <w:sz w:val="24"/>
          <w:szCs w:val="24"/>
        </w:rPr>
        <w:t>its Australian Company Number or Australian Registered Body Number (if any);</w:t>
      </w:r>
    </w:p>
    <w:p w14:paraId="3009C1C7" w14:textId="62EC0DD4" w:rsidR="00867A81" w:rsidRPr="0058254A" w:rsidRDefault="00867A81" w:rsidP="00091B23">
      <w:pPr>
        <w:pStyle w:val="paragraphsub"/>
        <w:numPr>
          <w:ilvl w:val="0"/>
          <w:numId w:val="28"/>
        </w:numPr>
        <w:spacing w:before="0" w:after="240"/>
        <w:jc w:val="both"/>
        <w:rPr>
          <w:sz w:val="24"/>
          <w:szCs w:val="24"/>
        </w:rPr>
      </w:pPr>
      <w:r w:rsidRPr="0058254A">
        <w:rPr>
          <w:sz w:val="24"/>
          <w:szCs w:val="24"/>
        </w:rPr>
        <w:t>if it was a foreign entity</w:t>
      </w:r>
      <w:r w:rsidRPr="008C437F">
        <w:rPr>
          <w:sz w:val="24"/>
          <w:szCs w:val="24"/>
        </w:rPr>
        <w:t xml:space="preserve">, </w:t>
      </w:r>
      <w:r w:rsidR="00317B5F" w:rsidRPr="008C437F">
        <w:rPr>
          <w:sz w:val="24"/>
          <w:szCs w:val="24"/>
        </w:rPr>
        <w:t xml:space="preserve">its place of </w:t>
      </w:r>
      <w:r w:rsidR="00714FD4" w:rsidRPr="008C437F">
        <w:rPr>
          <w:sz w:val="24"/>
          <w:szCs w:val="24"/>
        </w:rPr>
        <w:t>business</w:t>
      </w:r>
      <w:r w:rsidR="00317B5F" w:rsidRPr="008C437F">
        <w:rPr>
          <w:sz w:val="24"/>
          <w:szCs w:val="24"/>
        </w:rPr>
        <w:t xml:space="preserve"> </w:t>
      </w:r>
      <w:r w:rsidR="00317B5F">
        <w:rPr>
          <w:sz w:val="24"/>
          <w:szCs w:val="24"/>
        </w:rPr>
        <w:t xml:space="preserve">and </w:t>
      </w:r>
      <w:r w:rsidRPr="0058254A">
        <w:rPr>
          <w:sz w:val="24"/>
          <w:szCs w:val="24"/>
        </w:rPr>
        <w:t xml:space="preserve">any number under which it was registered in its place of </w:t>
      </w:r>
      <w:r w:rsidR="00714FD4">
        <w:rPr>
          <w:sz w:val="24"/>
          <w:szCs w:val="24"/>
        </w:rPr>
        <w:t>business</w:t>
      </w:r>
      <w:r w:rsidRPr="0058254A">
        <w:rPr>
          <w:sz w:val="24"/>
          <w:szCs w:val="24"/>
        </w:rPr>
        <w:t>;</w:t>
      </w:r>
    </w:p>
    <w:p w14:paraId="015BCADC" w14:textId="77777777" w:rsidR="00867A81" w:rsidRPr="0058254A" w:rsidRDefault="00867A81" w:rsidP="00091B23">
      <w:pPr>
        <w:pStyle w:val="paragraphsub"/>
        <w:numPr>
          <w:ilvl w:val="0"/>
          <w:numId w:val="28"/>
        </w:numPr>
        <w:spacing w:before="0" w:after="240"/>
        <w:jc w:val="both"/>
        <w:rPr>
          <w:sz w:val="24"/>
          <w:szCs w:val="24"/>
        </w:rPr>
      </w:pPr>
      <w:r w:rsidRPr="0058254A">
        <w:rPr>
          <w:sz w:val="24"/>
          <w:szCs w:val="24"/>
        </w:rPr>
        <w:t>the address of its registered office or, if it had no registered office, the address of its principal place of business;</w:t>
      </w:r>
    </w:p>
    <w:p w14:paraId="39820C0D" w14:textId="77777777" w:rsidR="00867A81" w:rsidRPr="0058254A" w:rsidRDefault="00867A81" w:rsidP="00091B23">
      <w:pPr>
        <w:pStyle w:val="paragraphsub"/>
        <w:numPr>
          <w:ilvl w:val="0"/>
          <w:numId w:val="28"/>
        </w:numPr>
        <w:spacing w:before="0" w:after="240"/>
        <w:jc w:val="both"/>
        <w:rPr>
          <w:sz w:val="24"/>
          <w:szCs w:val="24"/>
        </w:rPr>
      </w:pPr>
      <w:r w:rsidRPr="0058254A">
        <w:rPr>
          <w:sz w:val="24"/>
          <w:szCs w:val="24"/>
        </w:rPr>
        <w:t xml:space="preserve">any business name it used in </w:t>
      </w:r>
      <w:smartTag w:uri="urn:schemas-microsoft-com:office:smarttags" w:element="country-region">
        <w:smartTag w:uri="urn:schemas-microsoft-com:office:smarttags" w:element="place">
          <w:r w:rsidRPr="0058254A">
            <w:rPr>
              <w:sz w:val="24"/>
              <w:szCs w:val="24"/>
            </w:rPr>
            <w:t>Australia</w:t>
          </w:r>
        </w:smartTag>
      </w:smartTag>
      <w:r w:rsidRPr="0058254A">
        <w:rPr>
          <w:sz w:val="24"/>
          <w:szCs w:val="24"/>
        </w:rPr>
        <w:t>; and</w:t>
      </w:r>
    </w:p>
    <w:p w14:paraId="4D15160E" w14:textId="77777777" w:rsidR="00867A81" w:rsidRPr="0058254A" w:rsidRDefault="00867A81" w:rsidP="00091B23">
      <w:pPr>
        <w:pStyle w:val="paragraphsub"/>
        <w:numPr>
          <w:ilvl w:val="0"/>
          <w:numId w:val="28"/>
        </w:numPr>
        <w:spacing w:before="0" w:after="240"/>
        <w:jc w:val="both"/>
        <w:rPr>
          <w:sz w:val="24"/>
          <w:szCs w:val="24"/>
        </w:rPr>
      </w:pPr>
      <w:r w:rsidRPr="0058254A">
        <w:rPr>
          <w:sz w:val="24"/>
          <w:szCs w:val="24"/>
        </w:rPr>
        <w:t>the name of any life company registered under the Act to which it was related (within the meaning of section 16 of the Act);</w:t>
      </w:r>
    </w:p>
    <w:p w14:paraId="3CFBF964" w14:textId="77777777" w:rsidR="00867A81" w:rsidRPr="0058254A" w:rsidRDefault="00867A81" w:rsidP="00091B23">
      <w:pPr>
        <w:pStyle w:val="BodyText2"/>
        <w:jc w:val="both"/>
      </w:pPr>
      <w:r w:rsidRPr="0058254A">
        <w:t>the type of reinsurance provided for by the reinsurance contract or group of reinsurance contracts (for example, treaty reinsurance or facultative reinsurance);</w:t>
      </w:r>
    </w:p>
    <w:p w14:paraId="299B5728" w14:textId="77777777" w:rsidR="00867A81" w:rsidRPr="0058254A" w:rsidRDefault="00867A81" w:rsidP="00091B23">
      <w:pPr>
        <w:pStyle w:val="BodyText2"/>
        <w:jc w:val="both"/>
      </w:pPr>
      <w:r w:rsidRPr="0058254A">
        <w:lastRenderedPageBreak/>
        <w:t xml:space="preserve">the main features of the reinsurance contract or group of reinsurance contracts; </w:t>
      </w:r>
    </w:p>
    <w:p w14:paraId="476B6D9A" w14:textId="77777777" w:rsidR="00867A81" w:rsidRPr="0058254A" w:rsidRDefault="00867A81" w:rsidP="00091B23">
      <w:pPr>
        <w:pStyle w:val="BodyText2"/>
        <w:jc w:val="both"/>
      </w:pPr>
      <w:r w:rsidRPr="0058254A">
        <w:t xml:space="preserve">the classes of life insurance business that were reinsured; </w:t>
      </w:r>
    </w:p>
    <w:p w14:paraId="7F587F23" w14:textId="77777777" w:rsidR="00867A81" w:rsidRPr="0058254A" w:rsidRDefault="00867A81" w:rsidP="00091B23">
      <w:pPr>
        <w:pStyle w:val="BodyText2"/>
        <w:jc w:val="both"/>
      </w:pPr>
      <w:r w:rsidRPr="0058254A">
        <w:t xml:space="preserve">the categories of life insurance business within each of those classes that were reinsured; </w:t>
      </w:r>
    </w:p>
    <w:p w14:paraId="01126BE3" w14:textId="77777777" w:rsidR="00867A81" w:rsidRPr="0058254A" w:rsidRDefault="00867A81" w:rsidP="00091B23">
      <w:pPr>
        <w:pStyle w:val="BodyText2"/>
        <w:jc w:val="both"/>
      </w:pPr>
      <w:r w:rsidRPr="0058254A">
        <w:t>the kinds of policies written by the company within those categories that were reinsured;</w:t>
      </w:r>
    </w:p>
    <w:p w14:paraId="3AC194D8" w14:textId="77777777" w:rsidR="00867A81" w:rsidRPr="0058254A" w:rsidRDefault="00867A81" w:rsidP="00091B23">
      <w:pPr>
        <w:pStyle w:val="BodyText2"/>
        <w:jc w:val="both"/>
      </w:pPr>
      <w:r w:rsidRPr="0058254A">
        <w:t>the extent of the reinsurance cover provided (including the company’s retention parameters);</w:t>
      </w:r>
    </w:p>
    <w:p w14:paraId="2F77F0D9" w14:textId="77777777" w:rsidR="00867A81" w:rsidRPr="0058254A" w:rsidRDefault="00867A81" w:rsidP="00091B23">
      <w:pPr>
        <w:pStyle w:val="BodyText2"/>
        <w:jc w:val="both"/>
      </w:pPr>
      <w:r w:rsidRPr="0058254A">
        <w:t>in the case of a reinsurance contract that does not solely provide facultative reinsurance - how any commission payable by the reinsurer was determined (including selection discount terms);</w:t>
      </w:r>
    </w:p>
    <w:p w14:paraId="275F73A0" w14:textId="77777777" w:rsidR="00867A81" w:rsidRPr="0058254A" w:rsidRDefault="00867A81" w:rsidP="00091B23">
      <w:pPr>
        <w:pStyle w:val="BodyText2"/>
        <w:jc w:val="both"/>
      </w:pPr>
      <w:r w:rsidRPr="0058254A">
        <w:t xml:space="preserve">in the case of a reinsurance contract that does not solely provide facultative reinsurance - the date on which the contract was entered into; </w:t>
      </w:r>
    </w:p>
    <w:p w14:paraId="13E37CD9" w14:textId="3190E9BA" w:rsidR="00867A81" w:rsidRPr="0058254A" w:rsidRDefault="00867A81" w:rsidP="00091B23">
      <w:pPr>
        <w:pStyle w:val="BodyText2"/>
        <w:jc w:val="both"/>
      </w:pPr>
      <w:r w:rsidRPr="0058254A">
        <w:t>in the case of a reinsurance contract that was still in force at the end of the financial year - the circumstances in which the contract may be terminated;</w:t>
      </w:r>
    </w:p>
    <w:p w14:paraId="565C7564" w14:textId="77777777" w:rsidR="00D614EB" w:rsidRDefault="00867A81" w:rsidP="00091B23">
      <w:pPr>
        <w:pStyle w:val="BodyText2"/>
        <w:jc w:val="both"/>
      </w:pPr>
      <w:r w:rsidRPr="0058254A">
        <w:t>in the case of a reinsurance contract that was not in force at the end of the financial year - the date on which the contract ceased to be in force</w:t>
      </w:r>
      <w:r w:rsidR="00D614EB">
        <w:t>; and</w:t>
      </w:r>
    </w:p>
    <w:p w14:paraId="19393B65" w14:textId="32A3685F" w:rsidR="00867A81" w:rsidRPr="0058254A" w:rsidRDefault="00D614EB" w:rsidP="00091B23">
      <w:pPr>
        <w:pStyle w:val="BodyText2"/>
        <w:jc w:val="both"/>
      </w:pPr>
      <w:r>
        <w:lastRenderedPageBreak/>
        <w:t xml:space="preserve">whether the contract contains terms that would require the </w:t>
      </w:r>
      <w:r w:rsidR="00DD66FE">
        <w:t xml:space="preserve">life company </w:t>
      </w:r>
      <w:r>
        <w:t>to seek APRA’s prior approval under this Prudential Standard and a statement regarding whether such approval has been applied for and granted</w:t>
      </w:r>
      <w:r w:rsidR="00867A81" w:rsidRPr="0058254A">
        <w:t>.</w:t>
      </w:r>
    </w:p>
    <w:p w14:paraId="37A953EB" w14:textId="77777777" w:rsidR="00271E22" w:rsidRDefault="00867A81" w:rsidP="00091B23">
      <w:pPr>
        <w:pStyle w:val="BodyText1"/>
        <w:numPr>
          <w:ilvl w:val="0"/>
          <w:numId w:val="20"/>
        </w:numPr>
        <w:rPr>
          <w:rFonts w:ascii="Arial" w:hAnsi="Arial" w:cs="Arial"/>
          <w:b/>
        </w:rPr>
        <w:sectPr w:rsidR="00271E22" w:rsidSect="000D63A8">
          <w:footerReference w:type="default" r:id="rId19"/>
          <w:pgSz w:w="11906" w:h="16838" w:code="9"/>
          <w:pgMar w:top="1440" w:right="1797" w:bottom="1440" w:left="1797" w:header="709" w:footer="709" w:gutter="0"/>
          <w:cols w:space="708"/>
          <w:docGrid w:linePitch="360"/>
        </w:sectPr>
      </w:pPr>
      <w:r w:rsidRPr="0058254A">
        <w:rPr>
          <w:rFonts w:ascii="Arial" w:hAnsi="Arial" w:cs="Arial"/>
          <w:b/>
        </w:rPr>
        <w:br w:type="page"/>
      </w:r>
    </w:p>
    <w:p w14:paraId="0F97B570" w14:textId="14DB5948" w:rsidR="00867A81" w:rsidRPr="00867A81" w:rsidRDefault="0038413F" w:rsidP="00091B23">
      <w:pPr>
        <w:pStyle w:val="Heading2"/>
        <w:jc w:val="both"/>
      </w:pPr>
      <w:bookmarkStart w:id="21" w:name="_Toc502646452"/>
      <w:r>
        <w:lastRenderedPageBreak/>
        <w:t xml:space="preserve">Attachment </w:t>
      </w:r>
      <w:r w:rsidR="00867A81" w:rsidRPr="00867A81">
        <w:t>B</w:t>
      </w:r>
      <w:r w:rsidR="001F6B8D" w:rsidRPr="00867A81">
        <w:t xml:space="preserve"> -</w:t>
      </w:r>
      <w:r w:rsidR="00867A81" w:rsidRPr="00867A81">
        <w:t xml:space="preserve"> </w:t>
      </w:r>
      <w:r w:rsidR="00B7689A">
        <w:t>Referable Reinsurance</w:t>
      </w:r>
      <w:r w:rsidR="00867A81" w:rsidRPr="00867A81">
        <w:t xml:space="preserve"> Arrangements</w:t>
      </w:r>
      <w:bookmarkEnd w:id="21"/>
      <w:r w:rsidR="00867A81" w:rsidRPr="00867A81">
        <w:t xml:space="preserve"> </w:t>
      </w:r>
    </w:p>
    <w:p w14:paraId="4A185464" w14:textId="6D06AE41" w:rsidR="00867A81" w:rsidRPr="00867A81" w:rsidRDefault="00867A81" w:rsidP="00091B23">
      <w:pPr>
        <w:keepNext/>
        <w:spacing w:beforeLines="120" w:before="288"/>
        <w:jc w:val="both"/>
        <w:rPr>
          <w:rFonts w:ascii="Arial" w:hAnsi="Arial" w:cs="Arial"/>
          <w:b/>
        </w:rPr>
      </w:pPr>
      <w:r w:rsidRPr="00867A81">
        <w:rPr>
          <w:rFonts w:ascii="Arial" w:hAnsi="Arial" w:cs="Arial"/>
          <w:b/>
        </w:rPr>
        <w:t xml:space="preserve">Definition of </w:t>
      </w:r>
      <w:r w:rsidR="00B7689A">
        <w:rPr>
          <w:rFonts w:ascii="Arial" w:hAnsi="Arial" w:cs="Arial"/>
          <w:b/>
        </w:rPr>
        <w:t>Referable Reinsurance</w:t>
      </w:r>
      <w:r w:rsidRPr="00867A81">
        <w:rPr>
          <w:rFonts w:ascii="Arial" w:hAnsi="Arial" w:cs="Arial"/>
          <w:b/>
        </w:rPr>
        <w:t xml:space="preserve"> Arrangements </w:t>
      </w:r>
    </w:p>
    <w:p w14:paraId="03C0075B" w14:textId="3457E774" w:rsidR="00505C66" w:rsidRDefault="00B7689A" w:rsidP="00091B23">
      <w:pPr>
        <w:pStyle w:val="BodyText1"/>
        <w:numPr>
          <w:ilvl w:val="0"/>
          <w:numId w:val="36"/>
        </w:numPr>
      </w:pPr>
      <w:r>
        <w:t xml:space="preserve">Referable Reinsurance </w:t>
      </w:r>
      <w:r w:rsidR="00867A81" w:rsidRPr="00BF1955">
        <w:t>Arrangements typically</w:t>
      </w:r>
      <w:r w:rsidR="00505C66">
        <w:t>:</w:t>
      </w:r>
    </w:p>
    <w:p w14:paraId="700F5A62" w14:textId="067DC0DF" w:rsidR="00505C66" w:rsidRDefault="00867A81" w:rsidP="007F09AC">
      <w:pPr>
        <w:pStyle w:val="BodyText2"/>
        <w:jc w:val="both"/>
      </w:pPr>
      <w:r w:rsidRPr="00BF1955">
        <w:t>do not involve significant transfer of insurance risk</w:t>
      </w:r>
      <w:r w:rsidR="00505C66">
        <w:t xml:space="preserve">; </w:t>
      </w:r>
      <w:r w:rsidR="00F43B6E">
        <w:t>and/</w:t>
      </w:r>
      <w:r w:rsidR="007F09AC">
        <w:t>or</w:t>
      </w:r>
    </w:p>
    <w:p w14:paraId="03BD3B50" w14:textId="26E53312" w:rsidR="00505C66" w:rsidRDefault="00505C66" w:rsidP="007F09AC">
      <w:pPr>
        <w:pStyle w:val="BodyText2"/>
        <w:jc w:val="both"/>
      </w:pPr>
      <w:r>
        <w:t>involve significant financing elements</w:t>
      </w:r>
      <w:r w:rsidR="00867A81" w:rsidRPr="00BF1955">
        <w:t xml:space="preserve">. </w:t>
      </w:r>
    </w:p>
    <w:p w14:paraId="226A5DD7" w14:textId="0D9929F5" w:rsidR="00867A81" w:rsidRDefault="00867A81" w:rsidP="00505C66">
      <w:pPr>
        <w:pStyle w:val="BodyText2"/>
        <w:numPr>
          <w:ilvl w:val="0"/>
          <w:numId w:val="0"/>
        </w:numPr>
        <w:ind w:left="567"/>
        <w:jc w:val="both"/>
      </w:pPr>
      <w:r w:rsidRPr="00BF1955">
        <w:t>An arrangement may involve one contract, or a combination of two or more individual contracts and/or side letters</w:t>
      </w:r>
      <w:r w:rsidR="008B6405">
        <w:t xml:space="preserve"> or other forms of agreement</w:t>
      </w:r>
      <w:r w:rsidRPr="00BF1955">
        <w:t xml:space="preserve">. </w:t>
      </w:r>
    </w:p>
    <w:p w14:paraId="5291F16E" w14:textId="270652AE" w:rsidR="00116EE6" w:rsidRPr="00BF1955" w:rsidRDefault="00116EE6" w:rsidP="00091B23">
      <w:pPr>
        <w:pStyle w:val="BodyText1"/>
        <w:numPr>
          <w:ilvl w:val="0"/>
          <w:numId w:val="36"/>
        </w:numPr>
      </w:pPr>
      <w:r>
        <w:t xml:space="preserve">An arrangement may be a </w:t>
      </w:r>
      <w:r w:rsidR="00B7689A">
        <w:t xml:space="preserve">Referable Reinsurance </w:t>
      </w:r>
      <w:r>
        <w:t xml:space="preserve">Arrangement even if there is significant risk transfer on commencement, if there are features of the arrangement that act to limit the extent of risk transfer at certain points over the life of the contract, or on the happening of certain contingencies. Arrangements </w:t>
      </w:r>
      <w:r w:rsidR="00E27C5C">
        <w:t xml:space="preserve">with significant risk transfer that also include </w:t>
      </w:r>
      <w:r>
        <w:t xml:space="preserve"> significant financing elements are </w:t>
      </w:r>
      <w:r w:rsidR="009A1492">
        <w:t xml:space="preserve">also </w:t>
      </w:r>
      <w:r>
        <w:t xml:space="preserve">likely to be </w:t>
      </w:r>
      <w:r w:rsidR="00B7689A">
        <w:t xml:space="preserve">Referable Reinsurance </w:t>
      </w:r>
      <w:r>
        <w:t>Arrangements</w:t>
      </w:r>
      <w:r w:rsidR="003C04FB">
        <w:t>, including arrangements where the reinsurer funds a share of</w:t>
      </w:r>
      <w:r w:rsidR="003C04FB" w:rsidRPr="003C04FB">
        <w:t xml:space="preserve"> the insurer’s </w:t>
      </w:r>
      <w:r w:rsidR="003C04FB" w:rsidRPr="008C437F">
        <w:rPr>
          <w:b/>
        </w:rPr>
        <w:t xml:space="preserve">acquisition </w:t>
      </w:r>
      <w:r w:rsidR="00D64858" w:rsidRPr="008C437F">
        <w:rPr>
          <w:b/>
        </w:rPr>
        <w:t>expenses</w:t>
      </w:r>
      <w:r w:rsidR="003C04FB" w:rsidRPr="008C437F">
        <w:rPr>
          <w:b/>
        </w:rPr>
        <w:t xml:space="preserve"> </w:t>
      </w:r>
      <w:r w:rsidR="003C04FB">
        <w:t xml:space="preserve">that </w:t>
      </w:r>
      <w:r w:rsidR="00DB6063">
        <w:t>exceeds</w:t>
      </w:r>
      <w:r w:rsidR="003C04FB" w:rsidRPr="003C04FB">
        <w:t xml:space="preserve"> the </w:t>
      </w:r>
      <w:r w:rsidR="00201C0F">
        <w:t xml:space="preserve">share of </w:t>
      </w:r>
      <w:r w:rsidR="00535042">
        <w:t xml:space="preserve">the insurer’s </w:t>
      </w:r>
      <w:r w:rsidR="00201C0F">
        <w:t>gr</w:t>
      </w:r>
      <w:r w:rsidR="00DB6063">
        <w:t>oss claims</w:t>
      </w:r>
      <w:r w:rsidR="003C04FB" w:rsidRPr="003C04FB">
        <w:t xml:space="preserve"> ceded </w:t>
      </w:r>
      <w:r w:rsidR="00DB6063">
        <w:t>to</w:t>
      </w:r>
      <w:r w:rsidR="003C04FB" w:rsidRPr="003C04FB">
        <w:t xml:space="preserve"> the </w:t>
      </w:r>
      <w:r w:rsidR="00DB6063">
        <w:t>re</w:t>
      </w:r>
      <w:r w:rsidR="003C04FB" w:rsidRPr="003C04FB">
        <w:t>insurer</w:t>
      </w:r>
      <w:r>
        <w:t>.</w:t>
      </w:r>
      <w:r w:rsidR="003C04FB">
        <w:t xml:space="preserve"> </w:t>
      </w:r>
    </w:p>
    <w:p w14:paraId="659ECEF4" w14:textId="6C79DB89" w:rsidR="00867A81" w:rsidRPr="00BF1955" w:rsidRDefault="00B7689A" w:rsidP="00091B23">
      <w:pPr>
        <w:pStyle w:val="BodyText1"/>
        <w:numPr>
          <w:ilvl w:val="0"/>
          <w:numId w:val="34"/>
        </w:numPr>
      </w:pPr>
      <w:r>
        <w:t xml:space="preserve">Referable Reinsurance </w:t>
      </w:r>
      <w:r w:rsidR="00116EE6">
        <w:t>A</w:t>
      </w:r>
      <w:r w:rsidR="00867A81" w:rsidRPr="00BF1955">
        <w:t xml:space="preserve">rrangements are often characterised by requirements placed on the </w:t>
      </w:r>
      <w:r w:rsidR="003472F1">
        <w:t xml:space="preserve">life company </w:t>
      </w:r>
      <w:r w:rsidR="00FD677D">
        <w:t>to limit</w:t>
      </w:r>
      <w:r w:rsidR="00867A81" w:rsidRPr="00BF1955">
        <w:t xml:space="preserve"> loss experienced by the </w:t>
      </w:r>
      <w:r w:rsidR="00867A81" w:rsidRPr="00BF1955">
        <w:lastRenderedPageBreak/>
        <w:t xml:space="preserve">reinsurer over a </w:t>
      </w:r>
      <w:r w:rsidR="001D0912">
        <w:t>certain</w:t>
      </w:r>
      <w:r w:rsidR="001D0912" w:rsidRPr="00BF1955">
        <w:t xml:space="preserve"> </w:t>
      </w:r>
      <w:r w:rsidR="00867A81" w:rsidRPr="00BF1955">
        <w:t xml:space="preserve">period of time. </w:t>
      </w:r>
      <w:r w:rsidR="00F95089">
        <w:t xml:space="preserve">This may include arrangements designed to </w:t>
      </w:r>
      <w:r w:rsidR="009E4712">
        <w:t>allow</w:t>
      </w:r>
      <w:r w:rsidR="00F95089">
        <w:t xml:space="preserve"> the reinsurer </w:t>
      </w:r>
      <w:r w:rsidR="00B65EC2">
        <w:t xml:space="preserve">to </w:t>
      </w:r>
      <w:r w:rsidR="00F95089">
        <w:t>achiev</w:t>
      </w:r>
      <w:r w:rsidR="00B65EC2">
        <w:t>e</w:t>
      </w:r>
      <w:r w:rsidR="00F95089">
        <w:t xml:space="preserve"> a specified level of return or benefit from the contract regardless of actual experience.</w:t>
      </w:r>
      <w:r w:rsidR="00FB1522">
        <w:t xml:space="preserve"> This may be relevant where there are contingent events that could lead to the early termination of the reinsurance arrangement</w:t>
      </w:r>
      <w:r w:rsidR="00B0147A">
        <w:t>, particularly if there is provision for the</w:t>
      </w:r>
      <w:r w:rsidR="00FB1522">
        <w:t xml:space="preserve"> subsequent recapture of the business transferred.</w:t>
      </w:r>
      <w:r w:rsidR="00E22127">
        <w:t xml:space="preserve">  The matters listed in paragraph </w:t>
      </w:r>
      <w:r w:rsidR="00DA6396">
        <w:t xml:space="preserve">7 </w:t>
      </w:r>
      <w:r w:rsidR="00E22127">
        <w:t xml:space="preserve">of this Attachment provide further guidance on factors that could indicate the existence of a </w:t>
      </w:r>
      <w:r>
        <w:t xml:space="preserve">Referable Reinsurance </w:t>
      </w:r>
      <w:r w:rsidR="00E22127">
        <w:t>Arrangement.</w:t>
      </w:r>
    </w:p>
    <w:p w14:paraId="18765C48" w14:textId="19E7F87B" w:rsidR="00867A81" w:rsidRPr="00BF1955" w:rsidRDefault="00867A81" w:rsidP="00091B23">
      <w:pPr>
        <w:pStyle w:val="BodyText1"/>
        <w:numPr>
          <w:ilvl w:val="0"/>
          <w:numId w:val="34"/>
        </w:numPr>
      </w:pPr>
      <w:r w:rsidRPr="00BF1955">
        <w:t xml:space="preserve">While the main purpose of such arrangements is usually financing, </w:t>
      </w:r>
      <w:r w:rsidR="00B7689A">
        <w:t xml:space="preserve">Referable Reinsurance </w:t>
      </w:r>
      <w:r w:rsidRPr="00BF1955">
        <w:t xml:space="preserve">Arrangements can be used to affect the presentation of financial results. This can lead to a misrepresentation of the true financial position of the </w:t>
      </w:r>
      <w:r w:rsidR="003472F1">
        <w:t xml:space="preserve">life company </w:t>
      </w:r>
      <w:r w:rsidRPr="00BF1955">
        <w:t xml:space="preserve">that may ultimately pose risks to </w:t>
      </w:r>
      <w:r w:rsidR="003F3599" w:rsidRPr="00BF1955">
        <w:t>policy</w:t>
      </w:r>
      <w:r w:rsidR="003F3599">
        <w:t xml:space="preserve"> owners</w:t>
      </w:r>
      <w:r w:rsidRPr="00BF1955">
        <w:t xml:space="preserve">. </w:t>
      </w:r>
    </w:p>
    <w:p w14:paraId="2B1871E3" w14:textId="733434C3" w:rsidR="00867A81" w:rsidRPr="00BF1955" w:rsidRDefault="00867A81" w:rsidP="00091B23">
      <w:pPr>
        <w:keepNext/>
        <w:spacing w:beforeLines="120" w:before="288"/>
        <w:jc w:val="both"/>
        <w:rPr>
          <w:rFonts w:ascii="Arial" w:hAnsi="Arial" w:cs="Arial"/>
          <w:b/>
        </w:rPr>
      </w:pPr>
      <w:r w:rsidRPr="00BF1955">
        <w:rPr>
          <w:rFonts w:ascii="Arial" w:hAnsi="Arial" w:cs="Arial"/>
          <w:b/>
        </w:rPr>
        <w:t>A</w:t>
      </w:r>
      <w:r w:rsidR="00315710">
        <w:rPr>
          <w:rFonts w:ascii="Arial" w:hAnsi="Arial" w:cs="Arial"/>
          <w:b/>
        </w:rPr>
        <w:t>pplications for a</w:t>
      </w:r>
      <w:r w:rsidRPr="00BF1955">
        <w:rPr>
          <w:rFonts w:ascii="Arial" w:hAnsi="Arial" w:cs="Arial"/>
          <w:b/>
        </w:rPr>
        <w:t xml:space="preserve">pproval of </w:t>
      </w:r>
      <w:r w:rsidR="00B7689A">
        <w:rPr>
          <w:rFonts w:ascii="Arial" w:hAnsi="Arial" w:cs="Arial"/>
          <w:b/>
        </w:rPr>
        <w:t>Referable Reinsurance</w:t>
      </w:r>
      <w:r w:rsidRPr="00BF1955">
        <w:rPr>
          <w:rFonts w:ascii="Arial" w:hAnsi="Arial" w:cs="Arial"/>
          <w:b/>
        </w:rPr>
        <w:t xml:space="preserve"> Arrangements </w:t>
      </w:r>
    </w:p>
    <w:p w14:paraId="63D5D13A" w14:textId="2E1CD14B" w:rsidR="00867A81" w:rsidRPr="00BF1955" w:rsidRDefault="00867A81" w:rsidP="00091B23">
      <w:pPr>
        <w:pStyle w:val="BodyText1"/>
        <w:numPr>
          <w:ilvl w:val="0"/>
          <w:numId w:val="34"/>
        </w:numPr>
      </w:pPr>
      <w:r w:rsidRPr="00BF1955">
        <w:t xml:space="preserve">At a minimum, the </w:t>
      </w:r>
      <w:r w:rsidR="00315710">
        <w:t>application</w:t>
      </w:r>
      <w:r w:rsidR="00315710" w:rsidRPr="00BF1955">
        <w:t xml:space="preserve"> </w:t>
      </w:r>
      <w:r w:rsidRPr="00BF1955">
        <w:t xml:space="preserve">for approval must include: </w:t>
      </w:r>
    </w:p>
    <w:p w14:paraId="1CC88E04" w14:textId="4E5F4529" w:rsidR="00867A81" w:rsidRPr="00BF1955" w:rsidRDefault="00867A81" w:rsidP="00091B23">
      <w:pPr>
        <w:pStyle w:val="BodyText2"/>
        <w:jc w:val="both"/>
      </w:pPr>
      <w:r w:rsidRPr="00BF1955">
        <w:t xml:space="preserve">a draft contract wording or other draft proposed agreement and collateral or ‘side’ agreements, and any other documentation or </w:t>
      </w:r>
      <w:r w:rsidRPr="00BF1955">
        <w:lastRenderedPageBreak/>
        <w:t>information relevant to the transaction (including a written description of any verbal understandings and/or undertakings that are material to the operation of the arrangement);</w:t>
      </w:r>
      <w:r w:rsidR="00EF6525">
        <w:rPr>
          <w:rStyle w:val="FootnoteReference"/>
        </w:rPr>
        <w:footnoteReference w:id="7"/>
      </w:r>
      <w:r w:rsidRPr="00BF1955">
        <w:t xml:space="preserve"> </w:t>
      </w:r>
    </w:p>
    <w:p w14:paraId="41DD6109" w14:textId="2DE6A9DE" w:rsidR="00CC6F6D" w:rsidRDefault="00867A81" w:rsidP="00091B23">
      <w:pPr>
        <w:pStyle w:val="BodyText2"/>
        <w:jc w:val="both"/>
      </w:pPr>
      <w:r w:rsidRPr="00BF1955">
        <w:t>details of the proposed accounting treatment and the effect of the proposed arrangement on the statement of financial position</w:t>
      </w:r>
      <w:r w:rsidR="00302400">
        <w:rPr>
          <w:rStyle w:val="FootnoteReference"/>
        </w:rPr>
        <w:footnoteReference w:id="8"/>
      </w:r>
      <w:r w:rsidR="00551B63">
        <w:t>,</w:t>
      </w:r>
      <w:r w:rsidRPr="00BF1955">
        <w:t xml:space="preserve"> capital </w:t>
      </w:r>
      <w:r w:rsidR="00551B63">
        <w:t>base and prescribed capital amount</w:t>
      </w:r>
      <w:r w:rsidRPr="00BF1955">
        <w:t xml:space="preserve"> of the </w:t>
      </w:r>
      <w:r w:rsidR="003472F1">
        <w:t>life company</w:t>
      </w:r>
      <w:r w:rsidRPr="00BF1955">
        <w:t xml:space="preserve"> over the full period of the arrangement</w:t>
      </w:r>
      <w:r w:rsidR="0097414D">
        <w:t xml:space="preserve">; </w:t>
      </w:r>
    </w:p>
    <w:p w14:paraId="44914E39" w14:textId="7BDF21B1" w:rsidR="0097414D" w:rsidRDefault="00CC6F6D" w:rsidP="00091B23">
      <w:pPr>
        <w:pStyle w:val="BodyText2"/>
        <w:jc w:val="both"/>
      </w:pPr>
      <w:r>
        <w:t xml:space="preserve">an explanation of how the proposed arrangement meets the criteria in paragraph 8 of this Attachment and complies with the Act (for example sections 32 and 48 of the Act); </w:t>
      </w:r>
      <w:r w:rsidR="0097414D">
        <w:t>and</w:t>
      </w:r>
    </w:p>
    <w:p w14:paraId="54FCF12A" w14:textId="3CF4A4EE" w:rsidR="00867A81" w:rsidRPr="00BF1955" w:rsidRDefault="0097414D" w:rsidP="00091B23">
      <w:pPr>
        <w:pStyle w:val="BodyText2"/>
        <w:jc w:val="both"/>
      </w:pPr>
      <w:r>
        <w:t xml:space="preserve">a </w:t>
      </w:r>
      <w:r w:rsidR="00AD1442">
        <w:t xml:space="preserve">copy </w:t>
      </w:r>
      <w:r>
        <w:t>of any actuarial advice on the proposed arrangement</w:t>
      </w:r>
      <w:r w:rsidR="00867A81" w:rsidRPr="00BF1955">
        <w:t xml:space="preserve">. </w:t>
      </w:r>
    </w:p>
    <w:p w14:paraId="11C106F8" w14:textId="4E4E627A" w:rsidR="00867A81" w:rsidRPr="00BF1955" w:rsidRDefault="00867A81" w:rsidP="00091B23">
      <w:pPr>
        <w:pStyle w:val="BodyText1"/>
        <w:numPr>
          <w:ilvl w:val="0"/>
          <w:numId w:val="34"/>
        </w:numPr>
      </w:pPr>
      <w:r w:rsidRPr="00BF1955">
        <w:t xml:space="preserve">When seeking approval, the </w:t>
      </w:r>
      <w:r w:rsidR="003472F1">
        <w:t>life company</w:t>
      </w:r>
      <w:r w:rsidRPr="00BF1955">
        <w:t xml:space="preserve"> must demonstrate to APRA that it has formal written policies and procedures addressing the purpose, nature and use of </w:t>
      </w:r>
      <w:r w:rsidR="00B7689A">
        <w:t xml:space="preserve">the proposed Referable Reinsurance </w:t>
      </w:r>
      <w:r w:rsidRPr="00BF1955">
        <w:t xml:space="preserve">Arrangement. Specifically, the </w:t>
      </w:r>
      <w:r w:rsidR="003472F1">
        <w:t>life company</w:t>
      </w:r>
      <w:r w:rsidRPr="00BF1955">
        <w:t xml:space="preserve"> must, at a minimum, demonstrate that: </w:t>
      </w:r>
    </w:p>
    <w:p w14:paraId="353520C6" w14:textId="0EB78706" w:rsidR="00867A81" w:rsidRPr="00BF1955" w:rsidRDefault="00867A81" w:rsidP="00091B23">
      <w:pPr>
        <w:pStyle w:val="BodyText2"/>
        <w:jc w:val="both"/>
      </w:pPr>
      <w:r w:rsidRPr="00BF1955">
        <w:lastRenderedPageBreak/>
        <w:t xml:space="preserve">the purpose and effect of </w:t>
      </w:r>
      <w:r w:rsidR="00B7689A">
        <w:t>the</w:t>
      </w:r>
      <w:r w:rsidR="00B7689A" w:rsidRPr="00BF1955">
        <w:t xml:space="preserve"> </w:t>
      </w:r>
      <w:r w:rsidR="00B7689A">
        <w:t xml:space="preserve">Referable Reinsurance </w:t>
      </w:r>
      <w:r w:rsidRPr="00BF1955">
        <w:t xml:space="preserve">Arrangement is fully understood; </w:t>
      </w:r>
    </w:p>
    <w:p w14:paraId="0FD98741" w14:textId="77777777" w:rsidR="00DC1AEB" w:rsidRDefault="00867A81" w:rsidP="00091B23">
      <w:pPr>
        <w:pStyle w:val="BodyText2"/>
        <w:jc w:val="both"/>
      </w:pPr>
      <w:r w:rsidRPr="00BF1955">
        <w:t>the associated risks have been identified and addressed;</w:t>
      </w:r>
    </w:p>
    <w:p w14:paraId="6D30E932" w14:textId="01DD207D" w:rsidR="00DC1AEB" w:rsidRDefault="0097414D" w:rsidP="00091B23">
      <w:pPr>
        <w:pStyle w:val="BodyText2"/>
        <w:jc w:val="both"/>
      </w:pPr>
      <w:r>
        <w:t xml:space="preserve">appropriate </w:t>
      </w:r>
      <w:r w:rsidR="00DC1AEB">
        <w:t>internal approvals have been identified and implemented;</w:t>
      </w:r>
    </w:p>
    <w:p w14:paraId="33FC4189" w14:textId="2B799CC5" w:rsidR="006B00D2" w:rsidRDefault="0097414D" w:rsidP="00091B23">
      <w:pPr>
        <w:pStyle w:val="BodyText2"/>
        <w:jc w:val="both"/>
      </w:pPr>
      <w:r>
        <w:t xml:space="preserve">the </w:t>
      </w:r>
      <w:r w:rsidR="006B00D2" w:rsidRPr="006B00D2">
        <w:rPr>
          <w:b/>
        </w:rPr>
        <w:t>Appointed Actuary</w:t>
      </w:r>
      <w:r w:rsidR="006B00D2">
        <w:t xml:space="preserve"> </w:t>
      </w:r>
      <w:r w:rsidR="007E65DA">
        <w:t xml:space="preserve">has provided advice on the </w:t>
      </w:r>
      <w:r w:rsidR="00B7689A">
        <w:t xml:space="preserve">Referable Reinsurance </w:t>
      </w:r>
      <w:r w:rsidR="006B00D2">
        <w:t>Arrangement</w:t>
      </w:r>
      <w:r w:rsidR="00FB67A7">
        <w:t xml:space="preserve">; </w:t>
      </w:r>
      <w:r w:rsidR="006B00D2">
        <w:t>and</w:t>
      </w:r>
    </w:p>
    <w:p w14:paraId="7A894370" w14:textId="5AECCD92" w:rsidR="00DC1AEB" w:rsidRPr="00DC1AEB" w:rsidRDefault="0097414D" w:rsidP="00091B23">
      <w:pPr>
        <w:pStyle w:val="BodyText2"/>
        <w:jc w:val="both"/>
      </w:pPr>
      <w:r>
        <w:t xml:space="preserve">all </w:t>
      </w:r>
      <w:r w:rsidR="006B00D2">
        <w:t>documentation has been scrutinised by suitably qualified and experienced persons.</w:t>
      </w:r>
      <w:r w:rsidR="00DC1AEB">
        <w:tab/>
      </w:r>
    </w:p>
    <w:p w14:paraId="1BD40476" w14:textId="737FEE08" w:rsidR="00867A81" w:rsidRPr="00BA2F62" w:rsidRDefault="00867A81" w:rsidP="00091B23">
      <w:pPr>
        <w:pStyle w:val="BodyText1"/>
        <w:numPr>
          <w:ilvl w:val="0"/>
          <w:numId w:val="34"/>
        </w:numPr>
      </w:pPr>
      <w:r w:rsidRPr="00BA2F62">
        <w:t xml:space="preserve">APRA will only approve a </w:t>
      </w:r>
      <w:r w:rsidR="00B7689A">
        <w:t xml:space="preserve">Referable Reinsurance </w:t>
      </w:r>
      <w:r w:rsidRPr="00BA2F62">
        <w:t>Arrangement where</w:t>
      </w:r>
      <w:r w:rsidR="00946B6E">
        <w:t xml:space="preserve"> </w:t>
      </w:r>
      <w:r w:rsidR="00DC4EE9">
        <w:t xml:space="preserve">it is </w:t>
      </w:r>
      <w:r w:rsidR="00946B6E">
        <w:t>satisfied that</w:t>
      </w:r>
      <w:r w:rsidRPr="00BA2F62">
        <w:t xml:space="preserve"> the following criteria are met: </w:t>
      </w:r>
    </w:p>
    <w:p w14:paraId="2FBBDA3E" w14:textId="4910EAA6" w:rsidR="00867A81" w:rsidRPr="00BA2F62" w:rsidRDefault="00867A81" w:rsidP="00091B23">
      <w:pPr>
        <w:pStyle w:val="BodyText2"/>
        <w:jc w:val="both"/>
      </w:pPr>
      <w:r w:rsidRPr="00BA2F62">
        <w:t xml:space="preserve">the arrangement has a legitimate purpose and effect; </w:t>
      </w:r>
    </w:p>
    <w:p w14:paraId="54B038EA" w14:textId="5F1C1797" w:rsidR="00867A81" w:rsidRPr="00BA2F62" w:rsidRDefault="007E65DA" w:rsidP="00091B23">
      <w:pPr>
        <w:pStyle w:val="BodyText2"/>
        <w:jc w:val="both"/>
      </w:pPr>
      <w:r w:rsidRPr="00867A81">
        <w:t xml:space="preserve">the arrangement </w:t>
      </w:r>
      <w:r w:rsidR="005D115B">
        <w:t xml:space="preserve">is </w:t>
      </w:r>
      <w:r w:rsidRPr="00867A81">
        <w:t xml:space="preserve">not </w:t>
      </w:r>
      <w:r w:rsidR="005D115B">
        <w:t xml:space="preserve">likely to </w:t>
      </w:r>
      <w:r w:rsidRPr="00867A81">
        <w:t>misrepresent, or is not designed to disguise a material risk to</w:t>
      </w:r>
      <w:r>
        <w:t>,</w:t>
      </w:r>
      <w:r w:rsidRPr="00867A81">
        <w:t xml:space="preserve"> the </w:t>
      </w:r>
      <w:r>
        <w:t>life company</w:t>
      </w:r>
      <w:r w:rsidRPr="00867A81">
        <w:t xml:space="preserve">’s current or continuing profitability, </w:t>
      </w:r>
      <w:r>
        <w:t xml:space="preserve">financial position, </w:t>
      </w:r>
      <w:r w:rsidRPr="00867A81">
        <w:t>solvency or capital adequacy</w:t>
      </w:r>
      <w:r w:rsidR="00867A81" w:rsidRPr="00BA2F62">
        <w:t xml:space="preserve">; </w:t>
      </w:r>
    </w:p>
    <w:p w14:paraId="07845249" w14:textId="75329E50" w:rsidR="00867A81" w:rsidRPr="00BA2F62" w:rsidRDefault="00867A81" w:rsidP="00091B23">
      <w:pPr>
        <w:pStyle w:val="BodyText2"/>
        <w:jc w:val="both"/>
      </w:pPr>
      <w:r w:rsidRPr="00BA2F62">
        <w:t>the financial costs and benefits of the arrangement, and the nature and potential quantum of any potential risks to policy</w:t>
      </w:r>
      <w:r w:rsidR="0047170F">
        <w:t xml:space="preserve"> owners</w:t>
      </w:r>
      <w:r w:rsidRPr="00BA2F62">
        <w:t xml:space="preserve">, are reflected in the application for approval and the proposed accounting and disclosure arrangements; </w:t>
      </w:r>
    </w:p>
    <w:p w14:paraId="7A5575DC" w14:textId="53C1F0E4" w:rsidR="00867A81" w:rsidRPr="00BA2F62" w:rsidRDefault="00867A81" w:rsidP="00091B23">
      <w:pPr>
        <w:pStyle w:val="BodyText2"/>
        <w:jc w:val="both"/>
      </w:pPr>
      <w:r w:rsidRPr="00BA2F62">
        <w:lastRenderedPageBreak/>
        <w:t>there will be no</w:t>
      </w:r>
      <w:r w:rsidR="009D7389">
        <w:t xml:space="preserve"> </w:t>
      </w:r>
      <w:r w:rsidR="000708CB">
        <w:t xml:space="preserve">inappropriate </w:t>
      </w:r>
      <w:r w:rsidRPr="00BA2F62">
        <w:t xml:space="preserve">adverse effect on the </w:t>
      </w:r>
      <w:r w:rsidR="003472F1">
        <w:t>life company</w:t>
      </w:r>
      <w:r w:rsidRPr="00BA2F62">
        <w:t>’s balance sheet and capital position in any one period or over the entire term of the arrangement</w:t>
      </w:r>
      <w:r w:rsidR="00DC4EE9">
        <w:t>,</w:t>
      </w:r>
      <w:r w:rsidR="00007A06">
        <w:t xml:space="preserve"> or in the event that any contingency provided for in the arrangement </w:t>
      </w:r>
      <w:r w:rsidR="002E54BB">
        <w:t>occurs</w:t>
      </w:r>
      <w:r w:rsidRPr="00BA2F62">
        <w:t>;</w:t>
      </w:r>
      <w:r w:rsidR="001A5BC1">
        <w:t xml:space="preserve">  </w:t>
      </w:r>
    </w:p>
    <w:p w14:paraId="3B9773BB" w14:textId="500848CD" w:rsidR="00867A81" w:rsidRPr="00BA2F62" w:rsidRDefault="00867A81" w:rsidP="00091B23">
      <w:pPr>
        <w:pStyle w:val="BodyText2"/>
        <w:jc w:val="both"/>
      </w:pPr>
      <w:r w:rsidRPr="00BA2F62">
        <w:t xml:space="preserve">the </w:t>
      </w:r>
      <w:r w:rsidR="003472F1">
        <w:t>life company</w:t>
      </w:r>
      <w:r w:rsidRPr="00BA2F62">
        <w:t xml:space="preserve"> has reviewed the effect of the arrangement within the context of its overall risk management and control systems</w:t>
      </w:r>
      <w:r w:rsidR="00BD27A4">
        <w:t xml:space="preserve"> and its Internal Capital Adequacy Assessment Process</w:t>
      </w:r>
      <w:r w:rsidRPr="00BA2F62">
        <w:t xml:space="preserve">; and </w:t>
      </w:r>
    </w:p>
    <w:p w14:paraId="3C3F9BAF" w14:textId="52435064" w:rsidR="00867A81" w:rsidRPr="00BA2F62" w:rsidRDefault="00867A81" w:rsidP="00091B23">
      <w:pPr>
        <w:pStyle w:val="BodyText2"/>
        <w:jc w:val="both"/>
      </w:pPr>
      <w:r w:rsidRPr="00BA2F62">
        <w:t xml:space="preserve">the arrangement will not </w:t>
      </w:r>
      <w:r w:rsidR="001D696A">
        <w:t>overall</w:t>
      </w:r>
      <w:r w:rsidR="009D7389">
        <w:t xml:space="preserve"> </w:t>
      </w:r>
      <w:r w:rsidRPr="00BA2F62">
        <w:t>adversely affect the interests of policy</w:t>
      </w:r>
      <w:r w:rsidR="0047170F">
        <w:t xml:space="preserve"> owners</w:t>
      </w:r>
      <w:r w:rsidRPr="00BA2F62">
        <w:t xml:space="preserve">. </w:t>
      </w:r>
    </w:p>
    <w:p w14:paraId="6F445EBD" w14:textId="61069517" w:rsidR="00867A81" w:rsidRPr="00BA2F62" w:rsidRDefault="00867A81" w:rsidP="00091B23">
      <w:pPr>
        <w:pStyle w:val="BodyText1"/>
        <w:numPr>
          <w:ilvl w:val="0"/>
          <w:numId w:val="34"/>
        </w:numPr>
      </w:pPr>
      <w:r w:rsidRPr="00BA2F62">
        <w:t>For applications which are approved, APRA will consider the nature and purpose of the arrangement and deem the arrangement</w:t>
      </w:r>
      <w:r w:rsidR="00007A06">
        <w:t xml:space="preserve"> (or parts thereof</w:t>
      </w:r>
      <w:r w:rsidR="00FB1522">
        <w:t xml:space="preserve"> where APRA requires the arrangement to be restructured as a condition of approval)</w:t>
      </w:r>
      <w:r w:rsidRPr="00BA2F62">
        <w:t xml:space="preserve"> to be either reinsurance or financing (as appropriate) for the purposes of: </w:t>
      </w:r>
    </w:p>
    <w:p w14:paraId="2CF37485" w14:textId="5499E0BD" w:rsidR="00867A81" w:rsidRPr="00BA2F62" w:rsidRDefault="00867A81" w:rsidP="00091B23">
      <w:pPr>
        <w:pStyle w:val="BodyText2"/>
        <w:jc w:val="both"/>
      </w:pPr>
      <w:r w:rsidRPr="00BA2F62">
        <w:t xml:space="preserve">the calculation of the </w:t>
      </w:r>
      <w:r w:rsidR="008173FE">
        <w:t>life company</w:t>
      </w:r>
      <w:r w:rsidRPr="00BA2F62">
        <w:t xml:space="preserve">’s prescribed capital amount; and </w:t>
      </w:r>
    </w:p>
    <w:p w14:paraId="12C9CF89" w14:textId="71E9CEB9" w:rsidR="00867A81" w:rsidRPr="00BA2F62" w:rsidRDefault="00867A81" w:rsidP="00091B23">
      <w:pPr>
        <w:pStyle w:val="BodyText2"/>
        <w:jc w:val="both"/>
      </w:pPr>
      <w:r w:rsidRPr="00BA2F62">
        <w:t xml:space="preserve">reporting under reporting standards made under the </w:t>
      </w:r>
      <w:r w:rsidRPr="00BA2F62">
        <w:rPr>
          <w:i/>
        </w:rPr>
        <w:t>Financial Sector (Collection of Data) Act 20</w:t>
      </w:r>
      <w:r w:rsidR="00BA2F62">
        <w:rPr>
          <w:i/>
        </w:rPr>
        <w:t>0</w:t>
      </w:r>
      <w:r w:rsidRPr="00BA2F62">
        <w:rPr>
          <w:i/>
        </w:rPr>
        <w:t>1</w:t>
      </w:r>
      <w:r w:rsidRPr="00BA2F62">
        <w:t xml:space="preserve">. </w:t>
      </w:r>
    </w:p>
    <w:p w14:paraId="2D2214F3" w14:textId="0672E36E" w:rsidR="001F6B8D" w:rsidRPr="007D2D7F" w:rsidRDefault="001F6B8D" w:rsidP="005E5643">
      <w:pPr>
        <w:pStyle w:val="BodyText1"/>
        <w:numPr>
          <w:ilvl w:val="0"/>
          <w:numId w:val="0"/>
        </w:numPr>
        <w:ind w:left="567"/>
      </w:pPr>
    </w:p>
    <w:sectPr w:rsidR="001F6B8D" w:rsidRPr="007D2D7F" w:rsidSect="000D63A8">
      <w:footerReference w:type="default" r:id="rId2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7871" w14:textId="77777777" w:rsidR="00F20ADB" w:rsidRDefault="00F20ADB" w:rsidP="006A6A52">
      <w:pPr>
        <w:spacing w:after="0"/>
      </w:pPr>
      <w:r>
        <w:separator/>
      </w:r>
    </w:p>
  </w:endnote>
  <w:endnote w:type="continuationSeparator" w:id="0">
    <w:p w14:paraId="54831058" w14:textId="77777777" w:rsidR="00F20ADB" w:rsidRDefault="00F20ADB" w:rsidP="006A6A52">
      <w:pPr>
        <w:spacing w:after="0"/>
      </w:pPr>
      <w:r>
        <w:continuationSeparator/>
      </w:r>
    </w:p>
  </w:endnote>
  <w:endnote w:type="continuationNotice" w:id="1">
    <w:p w14:paraId="5E0DB31D" w14:textId="77777777" w:rsidR="00F20ADB" w:rsidRDefault="00F20A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F4F0" w14:textId="77777777" w:rsidR="00D84D43" w:rsidRPr="00842FBD" w:rsidRDefault="00F47053" w:rsidP="00842FBD">
    <w:pPr>
      <w:pStyle w:val="Footer"/>
    </w:pPr>
    <w:fldSimple w:instr=" STYLEREF  &quot;PS No. field text&quot;  \* MERGEFORMAT ">
      <w:r w:rsidR="000E468C">
        <w:rPr>
          <w:noProof/>
        </w:rPr>
        <w:t>LPS 230</w:t>
      </w:r>
    </w:fldSimple>
    <w:r w:rsidR="00D84D43">
      <w:t xml:space="preserve"> - </w:t>
    </w:r>
    <w:r w:rsidR="00D84D43" w:rsidRPr="00842FBD">
      <w:fldChar w:fldCharType="begin"/>
    </w:r>
    <w:r w:rsidR="00D84D43" w:rsidRPr="00842FBD">
      <w:instrText xml:space="preserve"> PAGE </w:instrText>
    </w:r>
    <w:r w:rsidR="00D84D43" w:rsidRPr="00842FBD">
      <w:fldChar w:fldCharType="separate"/>
    </w:r>
    <w:r w:rsidR="000E468C">
      <w:rPr>
        <w:noProof/>
      </w:rPr>
      <w:t>2</w:t>
    </w:r>
    <w:r w:rsidR="00D84D43"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8BEC4" w14:textId="3D10F7A3" w:rsidR="00F20ADB" w:rsidRPr="00842FBD" w:rsidRDefault="00F47053" w:rsidP="00842FBD">
    <w:pPr>
      <w:pStyle w:val="Footer"/>
    </w:pPr>
    <w:fldSimple w:instr=" STYLEREF  &quot;PS No. field text&quot;  \* MERGEFORMAT ">
      <w:r w:rsidR="000E468C">
        <w:rPr>
          <w:noProof/>
        </w:rPr>
        <w:t>LPS 230</w:t>
      </w:r>
    </w:fldSimple>
    <w:r w:rsidR="00322DFB">
      <w:rPr>
        <w:noProof/>
      </w:rPr>
      <w:t xml:space="preserve"> </w:t>
    </w:r>
    <w:r w:rsidR="00F20ADB">
      <w:t xml:space="preserve">- </w:t>
    </w:r>
    <w:r w:rsidR="00F20ADB" w:rsidRPr="00842FBD">
      <w:fldChar w:fldCharType="begin"/>
    </w:r>
    <w:r w:rsidR="00F20ADB" w:rsidRPr="00842FBD">
      <w:instrText xml:space="preserve"> PAGE </w:instrText>
    </w:r>
    <w:r w:rsidR="00F20ADB" w:rsidRPr="00842FBD">
      <w:fldChar w:fldCharType="separate"/>
    </w:r>
    <w:r w:rsidR="000E468C">
      <w:rPr>
        <w:noProof/>
      </w:rPr>
      <w:t>4</w:t>
    </w:r>
    <w:r w:rsidR="00F20ADB"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BB49" w14:textId="77777777" w:rsidR="00322DFB" w:rsidRPr="00842FBD" w:rsidRDefault="000E468C" w:rsidP="00842FBD">
    <w:pPr>
      <w:pStyle w:val="Footer"/>
    </w:pPr>
    <w:r>
      <w:fldChar w:fldCharType="begin"/>
    </w:r>
    <w:r>
      <w:instrText xml:space="preserve"> STYLEREF  "PS No. field text"  \* MERGEFORMAT </w:instrText>
    </w:r>
    <w:r>
      <w:fldChar w:fldCharType="separate"/>
    </w:r>
    <w:r>
      <w:rPr>
        <w:noProof/>
      </w:rPr>
      <w:t>LPS 230</w:t>
    </w:r>
    <w:r>
      <w:rPr>
        <w:noProof/>
      </w:rPr>
      <w:fldChar w:fldCharType="end"/>
    </w:r>
    <w:r w:rsidR="00322DFB">
      <w:rPr>
        <w:noProof/>
      </w:rPr>
      <w:t xml:space="preserve"> – Attachment A</w:t>
    </w:r>
    <w:r w:rsidR="00322DFB">
      <w:t xml:space="preserve"> - </w:t>
    </w:r>
    <w:r w:rsidR="00322DFB" w:rsidRPr="00842FBD">
      <w:fldChar w:fldCharType="begin"/>
    </w:r>
    <w:r w:rsidR="00322DFB" w:rsidRPr="00842FBD">
      <w:instrText xml:space="preserve"> PAGE </w:instrText>
    </w:r>
    <w:r w:rsidR="00322DFB" w:rsidRPr="00842FBD">
      <w:fldChar w:fldCharType="separate"/>
    </w:r>
    <w:r>
      <w:rPr>
        <w:noProof/>
      </w:rPr>
      <w:t>6</w:t>
    </w:r>
    <w:r w:rsidR="00322DFB" w:rsidRPr="00842FB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64CB" w14:textId="7163746A" w:rsidR="00F20ADB" w:rsidRPr="00842FBD" w:rsidRDefault="00F47053" w:rsidP="00842FBD">
    <w:pPr>
      <w:pStyle w:val="Footer"/>
    </w:pPr>
    <w:fldSimple w:instr=" STYLEREF  &quot;PS No. field text&quot;  \* MERGEFORMAT ">
      <w:r w:rsidR="000E468C">
        <w:rPr>
          <w:noProof/>
        </w:rPr>
        <w:t>LPS 230</w:t>
      </w:r>
    </w:fldSimple>
    <w:r w:rsidR="00F20ADB">
      <w:t xml:space="preserve"> – Attachment B - </w:t>
    </w:r>
    <w:r w:rsidR="00F20ADB" w:rsidRPr="00842FBD">
      <w:fldChar w:fldCharType="begin"/>
    </w:r>
    <w:r w:rsidR="00F20ADB" w:rsidRPr="00842FBD">
      <w:instrText xml:space="preserve"> PAGE </w:instrText>
    </w:r>
    <w:r w:rsidR="00F20ADB" w:rsidRPr="00842FBD">
      <w:fldChar w:fldCharType="separate"/>
    </w:r>
    <w:r w:rsidR="000E468C">
      <w:rPr>
        <w:noProof/>
      </w:rPr>
      <w:t>8</w:t>
    </w:r>
    <w:r w:rsidR="00F20ADB"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372D" w14:textId="77777777" w:rsidR="00F20ADB" w:rsidRDefault="00F20ADB" w:rsidP="006A6A52">
      <w:pPr>
        <w:spacing w:after="0"/>
      </w:pPr>
      <w:r>
        <w:separator/>
      </w:r>
    </w:p>
  </w:footnote>
  <w:footnote w:type="continuationSeparator" w:id="0">
    <w:p w14:paraId="466E6A1C" w14:textId="77777777" w:rsidR="00F20ADB" w:rsidRDefault="00F20ADB" w:rsidP="006A6A52">
      <w:pPr>
        <w:spacing w:after="0"/>
      </w:pPr>
      <w:r>
        <w:continuationSeparator/>
      </w:r>
    </w:p>
  </w:footnote>
  <w:footnote w:type="continuationNotice" w:id="1">
    <w:p w14:paraId="5EE89B89" w14:textId="77777777" w:rsidR="00F20ADB" w:rsidRDefault="00F20ADB">
      <w:pPr>
        <w:spacing w:after="0"/>
      </w:pPr>
    </w:p>
  </w:footnote>
  <w:footnote w:id="2">
    <w:p w14:paraId="2E8C6423" w14:textId="7B6FE5F0" w:rsidR="00F20ADB" w:rsidRDefault="00F20ADB">
      <w:pPr>
        <w:pStyle w:val="FootnoteText"/>
      </w:pPr>
      <w:r>
        <w:rPr>
          <w:rStyle w:val="FootnoteReference"/>
        </w:rPr>
        <w:footnoteRef/>
      </w:r>
      <w:r>
        <w:t xml:space="preserve"> </w:t>
      </w:r>
      <w:r>
        <w:tab/>
        <w:t>This report may be provided as part of another report required to be submitted to APRA (including the Financial Condition Report) or separately.</w:t>
      </w:r>
    </w:p>
  </w:footnote>
  <w:footnote w:id="3">
    <w:p w14:paraId="7CF9D67A" w14:textId="0ED531AF" w:rsidR="00F20ADB" w:rsidRDefault="00F20ADB" w:rsidP="00783124">
      <w:pPr>
        <w:pStyle w:val="FootnoteText"/>
      </w:pPr>
      <w:r>
        <w:rPr>
          <w:rStyle w:val="FootnoteReference"/>
        </w:rPr>
        <w:footnoteRef/>
      </w:r>
      <w:r>
        <w:t xml:space="preserve"> </w:t>
      </w:r>
      <w:r>
        <w:tab/>
        <w:t xml:space="preserve">Referable Reinsurance Arrangement is defined in Attachment B. </w:t>
      </w:r>
    </w:p>
  </w:footnote>
  <w:footnote w:id="4">
    <w:p w14:paraId="513ACBC9" w14:textId="7D16CCE1" w:rsidR="00F20ADB" w:rsidRDefault="00F20ADB">
      <w:pPr>
        <w:pStyle w:val="FootnoteText"/>
      </w:pPr>
      <w:r>
        <w:rPr>
          <w:rStyle w:val="FootnoteReference"/>
        </w:rPr>
        <w:footnoteRef/>
      </w:r>
      <w:r>
        <w:t xml:space="preserve"> </w:t>
      </w:r>
      <w:r>
        <w:tab/>
        <w:t>For the avoidance of doubt, the requirement to apply for approval is on the cedant life company under the proposed arrangement, not the reinsurer.</w:t>
      </w:r>
    </w:p>
  </w:footnote>
  <w:footnote w:id="5">
    <w:p w14:paraId="5081E366" w14:textId="6AC2956C" w:rsidR="00F20ADB" w:rsidRDefault="00F20ADB">
      <w:pPr>
        <w:pStyle w:val="FootnoteText"/>
      </w:pPr>
      <w:r>
        <w:rPr>
          <w:rStyle w:val="FootnoteReference"/>
        </w:rPr>
        <w:footnoteRef/>
      </w:r>
      <w:r>
        <w:t xml:space="preserve"> </w:t>
      </w:r>
      <w:r>
        <w:tab/>
      </w:r>
      <w:r>
        <w:rPr>
          <w:szCs w:val="20"/>
        </w:rPr>
        <w:t xml:space="preserve">Refer to the </w:t>
      </w:r>
      <w:r>
        <w:rPr>
          <w:b/>
          <w:bCs/>
          <w:szCs w:val="20"/>
        </w:rPr>
        <w:t xml:space="preserve">capital standards </w:t>
      </w:r>
      <w:r>
        <w:rPr>
          <w:szCs w:val="20"/>
        </w:rPr>
        <w:t xml:space="preserve">and reporting standards made under the </w:t>
      </w:r>
      <w:r>
        <w:rPr>
          <w:i/>
          <w:iCs/>
          <w:szCs w:val="20"/>
        </w:rPr>
        <w:t xml:space="preserve">Financial Sector (Collection of Data) Act 2001. </w:t>
      </w:r>
    </w:p>
  </w:footnote>
  <w:footnote w:id="6">
    <w:p w14:paraId="4052D7D0" w14:textId="77777777" w:rsidR="00F20ADB" w:rsidRDefault="00F20ADB" w:rsidP="007C1D39">
      <w:pPr>
        <w:pStyle w:val="FootnoteText"/>
      </w:pPr>
      <w:r>
        <w:rPr>
          <w:rStyle w:val="FootnoteReference"/>
        </w:rPr>
        <w:footnoteRef/>
      </w:r>
      <w:r>
        <w:t xml:space="preserve"> </w:t>
      </w:r>
      <w:r>
        <w:tab/>
        <w:t>Refer to subparagraph 1(l) of Attachment A of this Prudential Standard.</w:t>
      </w:r>
    </w:p>
  </w:footnote>
  <w:footnote w:id="7">
    <w:p w14:paraId="37ED1FFE" w14:textId="6C280907" w:rsidR="00F20ADB" w:rsidRDefault="00F20ADB" w:rsidP="00EF6525">
      <w:pPr>
        <w:pStyle w:val="BodyText1"/>
        <w:numPr>
          <w:ilvl w:val="0"/>
          <w:numId w:val="0"/>
        </w:numPr>
        <w:ind w:left="567" w:hanging="567"/>
      </w:pPr>
      <w:r>
        <w:rPr>
          <w:rStyle w:val="FootnoteReference"/>
        </w:rPr>
        <w:footnoteRef/>
      </w:r>
      <w:r>
        <w:t xml:space="preserve"> </w:t>
      </w:r>
      <w:r>
        <w:tab/>
      </w:r>
      <w:r w:rsidRPr="00EF6525">
        <w:rPr>
          <w:sz w:val="20"/>
          <w:szCs w:val="20"/>
        </w:rPr>
        <w:t xml:space="preserve">Where </w:t>
      </w:r>
      <w:r>
        <w:rPr>
          <w:sz w:val="20"/>
          <w:szCs w:val="20"/>
        </w:rPr>
        <w:t>5</w:t>
      </w:r>
      <w:r w:rsidRPr="00EF6525">
        <w:rPr>
          <w:sz w:val="20"/>
          <w:szCs w:val="20"/>
        </w:rPr>
        <w:t>(a) is not available, the life company must submit to APRA a comprehensive description of the proposed arrangement including details of any risk transfer and financing elements.</w:t>
      </w:r>
      <w:r w:rsidRPr="00BF1955">
        <w:t xml:space="preserve"> </w:t>
      </w:r>
    </w:p>
  </w:footnote>
  <w:footnote w:id="8">
    <w:p w14:paraId="5A6C6704" w14:textId="6EE9F0D3" w:rsidR="00F20ADB" w:rsidRDefault="00F20ADB">
      <w:pPr>
        <w:pStyle w:val="FootnoteText"/>
      </w:pPr>
      <w:r>
        <w:rPr>
          <w:rStyle w:val="FootnoteReference"/>
        </w:rPr>
        <w:footnoteRef/>
      </w:r>
      <w:r>
        <w:t xml:space="preserve"> </w:t>
      </w:r>
      <w:r>
        <w:tab/>
      </w:r>
      <w:r>
        <w:rPr>
          <w:szCs w:val="20"/>
        </w:rPr>
        <w:t xml:space="preserve">Prepared with regard to reporting standards made under the </w:t>
      </w:r>
      <w:r>
        <w:rPr>
          <w:i/>
          <w:iCs/>
          <w:szCs w:val="20"/>
        </w:rPr>
        <w:t xml:space="preserve">Financial Sector (Collection of Data) Act 2001.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8"/>
    </w:tblGrid>
    <w:tr w:rsidR="00D84D43" w14:paraId="48173C1B" w14:textId="77777777" w:rsidTr="00D84D43">
      <w:tc>
        <w:tcPr>
          <w:tcW w:w="4148" w:type="dxa"/>
          <w:tcBorders>
            <w:top w:val="nil"/>
            <w:left w:val="nil"/>
            <w:bottom w:val="nil"/>
            <w:right w:val="nil"/>
          </w:tcBorders>
        </w:tcPr>
        <w:p w14:paraId="307EE5AB" w14:textId="1E4F6FAE" w:rsidR="00D84D43" w:rsidRDefault="00D84D43" w:rsidP="00FF513E">
          <w:pPr>
            <w:pStyle w:val="Header"/>
          </w:pPr>
        </w:p>
      </w:tc>
    </w:tr>
  </w:tbl>
  <w:p w14:paraId="3E69A86F" w14:textId="492291FE" w:rsidR="00F20ADB" w:rsidRDefault="00F20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8"/>
      <w:gridCol w:w="4164"/>
    </w:tblGrid>
    <w:tr w:rsidR="00D84D43" w14:paraId="4F307578" w14:textId="77777777" w:rsidTr="000D63A8">
      <w:tc>
        <w:tcPr>
          <w:tcW w:w="4264" w:type="dxa"/>
          <w:tcBorders>
            <w:top w:val="nil"/>
            <w:left w:val="nil"/>
            <w:bottom w:val="nil"/>
            <w:right w:val="nil"/>
          </w:tcBorders>
        </w:tcPr>
        <w:p w14:paraId="5E227524" w14:textId="77777777" w:rsidR="00D84D43" w:rsidRDefault="00D84D43" w:rsidP="00FF513E">
          <w:pPr>
            <w:pStyle w:val="Header"/>
          </w:pPr>
        </w:p>
      </w:tc>
      <w:tc>
        <w:tcPr>
          <w:tcW w:w="4264" w:type="dxa"/>
          <w:tcBorders>
            <w:top w:val="nil"/>
            <w:left w:val="nil"/>
            <w:bottom w:val="nil"/>
            <w:right w:val="nil"/>
          </w:tcBorders>
        </w:tcPr>
        <w:p w14:paraId="6AF4DF89" w14:textId="77777777" w:rsidR="00D84D43" w:rsidRDefault="00D84D43" w:rsidP="000D63A8">
          <w:pPr>
            <w:pStyle w:val="Header"/>
          </w:pPr>
          <w:r>
            <w:t>April 2018</w:t>
          </w:r>
        </w:p>
      </w:tc>
    </w:tr>
  </w:tbl>
  <w:p w14:paraId="11174940" w14:textId="77777777" w:rsidR="00D84D43" w:rsidRDefault="00D84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377E90"/>
    <w:multiLevelType w:val="hybridMultilevel"/>
    <w:tmpl w:val="6A0603E2"/>
    <w:lvl w:ilvl="0" w:tplc="2320DC3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6526F3"/>
    <w:multiLevelType w:val="hybridMultilevel"/>
    <w:tmpl w:val="F7C85032"/>
    <w:lvl w:ilvl="0" w:tplc="2320DC38">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10" w15:restartNumberingAfterBreak="0">
    <w:nsid w:val="22BF2E01"/>
    <w:multiLevelType w:val="hybridMultilevel"/>
    <w:tmpl w:val="53D8E7C2"/>
    <w:lvl w:ilvl="0" w:tplc="6F686FAE">
      <w:start w:val="1"/>
      <w:numFmt w:val="bullet"/>
      <w:lvlText w:val=""/>
      <w:lvlJc w:val="left"/>
      <w:pPr>
        <w:tabs>
          <w:tab w:val="num" w:pos="567"/>
        </w:tabs>
        <w:ind w:left="567" w:hanging="567"/>
      </w:pPr>
      <w:rPr>
        <w:rFonts w:ascii="Symbol" w:hAnsi="Symbol" w:hint="default"/>
        <w:b w:val="0"/>
        <w:i w:val="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A6B57F5"/>
    <w:multiLevelType w:val="hybridMultilevel"/>
    <w:tmpl w:val="9CB2E130"/>
    <w:lvl w:ilvl="0" w:tplc="A4B41436">
      <w:start w:val="1"/>
      <w:numFmt w:val="lowerRoman"/>
      <w:lvlText w:val="(%1)"/>
      <w:lvlJc w:val="left"/>
      <w:pPr>
        <w:tabs>
          <w:tab w:val="num" w:pos="1701"/>
        </w:tabs>
        <w:ind w:left="1701" w:hanging="567"/>
      </w:pPr>
      <w:rPr>
        <w:rFonts w:hint="default"/>
      </w:rPr>
    </w:lvl>
    <w:lvl w:ilvl="1" w:tplc="8702BF78">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B0952A2"/>
    <w:multiLevelType w:val="hybridMultilevel"/>
    <w:tmpl w:val="D17E8522"/>
    <w:lvl w:ilvl="0" w:tplc="2E5E4690">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B476FE"/>
    <w:multiLevelType w:val="hybridMultilevel"/>
    <w:tmpl w:val="6298C646"/>
    <w:lvl w:ilvl="0" w:tplc="FFFFFFFF">
      <w:start w:val="1"/>
      <w:numFmt w:val="lowerLetter"/>
      <w:lvlText w:val="(%1)"/>
      <w:lvlJc w:val="left"/>
      <w:pPr>
        <w:tabs>
          <w:tab w:val="num" w:pos="1137"/>
        </w:tabs>
        <w:ind w:left="1137"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131F1"/>
    <w:multiLevelType w:val="singleLevel"/>
    <w:tmpl w:val="9A542436"/>
    <w:lvl w:ilvl="0">
      <w:start w:val="1"/>
      <w:numFmt w:val="decimal"/>
      <w:lvlText w:val="%1."/>
      <w:lvlJc w:val="left"/>
      <w:pPr>
        <w:tabs>
          <w:tab w:val="num" w:pos="567"/>
        </w:tabs>
        <w:ind w:left="567" w:hanging="567"/>
      </w:pPr>
      <w:rPr>
        <w:rFonts w:ascii="Times New Roman" w:hAnsi="Times New Roman" w:cs="Times New Roman" w:hint="default"/>
        <w:b w:val="0"/>
        <w:i w:val="0"/>
        <w:strike w:val="0"/>
      </w:rPr>
    </w:lvl>
  </w:abstractNum>
  <w:abstractNum w:abstractNumId="27"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6"/>
  </w:num>
  <w:num w:numId="4">
    <w:abstractNumId w:val="12"/>
  </w:num>
  <w:num w:numId="5">
    <w:abstractNumId w:val="27"/>
  </w:num>
  <w:num w:numId="6">
    <w:abstractNumId w:val="11"/>
  </w:num>
  <w:num w:numId="7">
    <w:abstractNumId w:val="24"/>
  </w:num>
  <w:num w:numId="8">
    <w:abstractNumId w:val="22"/>
  </w:num>
  <w:num w:numId="9">
    <w:abstractNumId w:val="23"/>
  </w:num>
  <w:num w:numId="10">
    <w:abstractNumId w:val="20"/>
  </w:num>
  <w:num w:numId="11">
    <w:abstractNumId w:val="4"/>
  </w:num>
  <w:num w:numId="12">
    <w:abstractNumId w:val="0"/>
  </w:num>
  <w:num w:numId="13">
    <w:abstractNumId w:val="3"/>
  </w:num>
  <w:num w:numId="14">
    <w:abstractNumId w:val="1"/>
  </w:num>
  <w:num w:numId="15">
    <w:abstractNumId w:val="19"/>
  </w:num>
  <w:num w:numId="16">
    <w:abstractNumId w:val="7"/>
  </w:num>
  <w:num w:numId="17">
    <w:abstractNumId w:val="16"/>
  </w:num>
  <w:num w:numId="18">
    <w:abstractNumId w:val="15"/>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26"/>
  </w:num>
  <w:num w:numId="25">
    <w:abstractNumId w:val="8"/>
  </w:num>
  <w:num w:numId="26">
    <w:abstractNumId w:val="18"/>
  </w:num>
  <w:num w:numId="27">
    <w:abstractNumId w:val="5"/>
  </w:num>
  <w:num w:numId="28">
    <w:abstractNumId w:val="13"/>
  </w:num>
  <w:num w:numId="29">
    <w:abstractNumId w:val="9"/>
  </w:num>
  <w:num w:numId="30">
    <w:abstractNumId w:val="8"/>
  </w:num>
  <w:num w:numId="31">
    <w:abstractNumId w:val="8"/>
  </w:num>
  <w:num w:numId="32">
    <w:abstractNumId w:val="8"/>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16"/>
  </w:num>
  <w:num w:numId="48">
    <w:abstractNumId w:val="8"/>
  </w:num>
  <w:num w:numId="49">
    <w:abstractNumId w:val="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FA"/>
    <w:rsid w:val="0000183A"/>
    <w:rsid w:val="00001D43"/>
    <w:rsid w:val="00007A06"/>
    <w:rsid w:val="00042134"/>
    <w:rsid w:val="00042CFC"/>
    <w:rsid w:val="00045173"/>
    <w:rsid w:val="000518B9"/>
    <w:rsid w:val="000529CA"/>
    <w:rsid w:val="000540DE"/>
    <w:rsid w:val="0006337F"/>
    <w:rsid w:val="000708CB"/>
    <w:rsid w:val="00076375"/>
    <w:rsid w:val="000770FA"/>
    <w:rsid w:val="00087D3E"/>
    <w:rsid w:val="00091B23"/>
    <w:rsid w:val="000D00E3"/>
    <w:rsid w:val="000D29B2"/>
    <w:rsid w:val="000D6211"/>
    <w:rsid w:val="000D63A8"/>
    <w:rsid w:val="000D70D8"/>
    <w:rsid w:val="000D7A9C"/>
    <w:rsid w:val="000E468C"/>
    <w:rsid w:val="000F6599"/>
    <w:rsid w:val="00110917"/>
    <w:rsid w:val="00110A0F"/>
    <w:rsid w:val="001126B8"/>
    <w:rsid w:val="0011395E"/>
    <w:rsid w:val="00116EE6"/>
    <w:rsid w:val="00131357"/>
    <w:rsid w:val="0013237B"/>
    <w:rsid w:val="00136ECA"/>
    <w:rsid w:val="00141CA6"/>
    <w:rsid w:val="001442FA"/>
    <w:rsid w:val="00173A04"/>
    <w:rsid w:val="00182FA1"/>
    <w:rsid w:val="001A121F"/>
    <w:rsid w:val="001A5BC1"/>
    <w:rsid w:val="001C297B"/>
    <w:rsid w:val="001C755C"/>
    <w:rsid w:val="001D0912"/>
    <w:rsid w:val="001D1230"/>
    <w:rsid w:val="001D696A"/>
    <w:rsid w:val="001E7EA9"/>
    <w:rsid w:val="001F6B8D"/>
    <w:rsid w:val="002005CB"/>
    <w:rsid w:val="00201C0F"/>
    <w:rsid w:val="002035DA"/>
    <w:rsid w:val="00214363"/>
    <w:rsid w:val="00216468"/>
    <w:rsid w:val="00245A54"/>
    <w:rsid w:val="00246387"/>
    <w:rsid w:val="00247582"/>
    <w:rsid w:val="002500F9"/>
    <w:rsid w:val="002714E3"/>
    <w:rsid w:val="00271E22"/>
    <w:rsid w:val="00271F9C"/>
    <w:rsid w:val="00291939"/>
    <w:rsid w:val="0029455F"/>
    <w:rsid w:val="0029794D"/>
    <w:rsid w:val="002A07F8"/>
    <w:rsid w:val="002B6F92"/>
    <w:rsid w:val="002D03E7"/>
    <w:rsid w:val="002E54BB"/>
    <w:rsid w:val="002F10D8"/>
    <w:rsid w:val="00302400"/>
    <w:rsid w:val="00312796"/>
    <w:rsid w:val="00315710"/>
    <w:rsid w:val="00316405"/>
    <w:rsid w:val="00317B5F"/>
    <w:rsid w:val="00322DFB"/>
    <w:rsid w:val="0032414D"/>
    <w:rsid w:val="00325D00"/>
    <w:rsid w:val="003472F1"/>
    <w:rsid w:val="00363417"/>
    <w:rsid w:val="0037343B"/>
    <w:rsid w:val="0038413F"/>
    <w:rsid w:val="00391AD7"/>
    <w:rsid w:val="003936EA"/>
    <w:rsid w:val="00396EDE"/>
    <w:rsid w:val="003B4F90"/>
    <w:rsid w:val="003B52EB"/>
    <w:rsid w:val="003C04FB"/>
    <w:rsid w:val="003C46D7"/>
    <w:rsid w:val="003D5032"/>
    <w:rsid w:val="003E6B05"/>
    <w:rsid w:val="003F3599"/>
    <w:rsid w:val="00407A8E"/>
    <w:rsid w:val="00413413"/>
    <w:rsid w:val="00430034"/>
    <w:rsid w:val="00431111"/>
    <w:rsid w:val="004323FD"/>
    <w:rsid w:val="004524DD"/>
    <w:rsid w:val="00453E3A"/>
    <w:rsid w:val="004560E3"/>
    <w:rsid w:val="00462E99"/>
    <w:rsid w:val="0046499A"/>
    <w:rsid w:val="0047087F"/>
    <w:rsid w:val="0047170F"/>
    <w:rsid w:val="004776D4"/>
    <w:rsid w:val="0048511B"/>
    <w:rsid w:val="004A593E"/>
    <w:rsid w:val="004B6F36"/>
    <w:rsid w:val="004C3D07"/>
    <w:rsid w:val="004F0FA3"/>
    <w:rsid w:val="004F2AC1"/>
    <w:rsid w:val="005050E8"/>
    <w:rsid w:val="00505C66"/>
    <w:rsid w:val="00506079"/>
    <w:rsid w:val="005105DA"/>
    <w:rsid w:val="00517D7D"/>
    <w:rsid w:val="00521673"/>
    <w:rsid w:val="00534FFE"/>
    <w:rsid w:val="00535042"/>
    <w:rsid w:val="00544072"/>
    <w:rsid w:val="00551B63"/>
    <w:rsid w:val="00551C22"/>
    <w:rsid w:val="00555DC2"/>
    <w:rsid w:val="00560087"/>
    <w:rsid w:val="00560F5F"/>
    <w:rsid w:val="005613C2"/>
    <w:rsid w:val="00561B9D"/>
    <w:rsid w:val="00576882"/>
    <w:rsid w:val="00590608"/>
    <w:rsid w:val="0059411D"/>
    <w:rsid w:val="005A734C"/>
    <w:rsid w:val="005A75C6"/>
    <w:rsid w:val="005B6DC2"/>
    <w:rsid w:val="005D115B"/>
    <w:rsid w:val="005D28D6"/>
    <w:rsid w:val="005E1E75"/>
    <w:rsid w:val="005E2D23"/>
    <w:rsid w:val="005E5643"/>
    <w:rsid w:val="005E5663"/>
    <w:rsid w:val="005E5910"/>
    <w:rsid w:val="005F0993"/>
    <w:rsid w:val="005F535A"/>
    <w:rsid w:val="005F6F74"/>
    <w:rsid w:val="00603FE0"/>
    <w:rsid w:val="00622480"/>
    <w:rsid w:val="00647D58"/>
    <w:rsid w:val="00656D42"/>
    <w:rsid w:val="00674306"/>
    <w:rsid w:val="00684F73"/>
    <w:rsid w:val="00687CDB"/>
    <w:rsid w:val="00696AFB"/>
    <w:rsid w:val="00696E43"/>
    <w:rsid w:val="006A6A52"/>
    <w:rsid w:val="006B00D2"/>
    <w:rsid w:val="006B4C94"/>
    <w:rsid w:val="006B735C"/>
    <w:rsid w:val="006C06E6"/>
    <w:rsid w:val="006C6796"/>
    <w:rsid w:val="006D56F0"/>
    <w:rsid w:val="006D6FEB"/>
    <w:rsid w:val="006E4D37"/>
    <w:rsid w:val="006E5DD8"/>
    <w:rsid w:val="007031F4"/>
    <w:rsid w:val="007065C9"/>
    <w:rsid w:val="007137F4"/>
    <w:rsid w:val="00714FD4"/>
    <w:rsid w:val="00725AA6"/>
    <w:rsid w:val="007273CD"/>
    <w:rsid w:val="007344D4"/>
    <w:rsid w:val="00737E39"/>
    <w:rsid w:val="00745B81"/>
    <w:rsid w:val="00751D8B"/>
    <w:rsid w:val="00763EC6"/>
    <w:rsid w:val="00765CAE"/>
    <w:rsid w:val="0077108E"/>
    <w:rsid w:val="00776D66"/>
    <w:rsid w:val="00777ACD"/>
    <w:rsid w:val="00781E82"/>
    <w:rsid w:val="00783124"/>
    <w:rsid w:val="00787FA9"/>
    <w:rsid w:val="007918C4"/>
    <w:rsid w:val="0079784C"/>
    <w:rsid w:val="007A069B"/>
    <w:rsid w:val="007A2B5C"/>
    <w:rsid w:val="007A33E6"/>
    <w:rsid w:val="007A53AC"/>
    <w:rsid w:val="007A5F55"/>
    <w:rsid w:val="007B4A8D"/>
    <w:rsid w:val="007C0DBD"/>
    <w:rsid w:val="007C1D39"/>
    <w:rsid w:val="007D0199"/>
    <w:rsid w:val="007D2D7F"/>
    <w:rsid w:val="007E2167"/>
    <w:rsid w:val="007E65DA"/>
    <w:rsid w:val="007F09AC"/>
    <w:rsid w:val="0081112D"/>
    <w:rsid w:val="008173FE"/>
    <w:rsid w:val="0082093B"/>
    <w:rsid w:val="00825D01"/>
    <w:rsid w:val="00827102"/>
    <w:rsid w:val="008353C1"/>
    <w:rsid w:val="00842FBD"/>
    <w:rsid w:val="008467B0"/>
    <w:rsid w:val="0086194F"/>
    <w:rsid w:val="00867092"/>
    <w:rsid w:val="00867A81"/>
    <w:rsid w:val="00887222"/>
    <w:rsid w:val="008B5186"/>
    <w:rsid w:val="008B6405"/>
    <w:rsid w:val="008B7833"/>
    <w:rsid w:val="008C3D9F"/>
    <w:rsid w:val="008C437F"/>
    <w:rsid w:val="008D76C5"/>
    <w:rsid w:val="008F1275"/>
    <w:rsid w:val="009101E1"/>
    <w:rsid w:val="00946B6E"/>
    <w:rsid w:val="00950B53"/>
    <w:rsid w:val="0096257F"/>
    <w:rsid w:val="00971180"/>
    <w:rsid w:val="009727F9"/>
    <w:rsid w:val="0097414D"/>
    <w:rsid w:val="00981DFE"/>
    <w:rsid w:val="009871FB"/>
    <w:rsid w:val="009A1492"/>
    <w:rsid w:val="009A1F43"/>
    <w:rsid w:val="009B0A33"/>
    <w:rsid w:val="009B28A5"/>
    <w:rsid w:val="009B6212"/>
    <w:rsid w:val="009C5368"/>
    <w:rsid w:val="009C62A9"/>
    <w:rsid w:val="009C77A0"/>
    <w:rsid w:val="009C7D6F"/>
    <w:rsid w:val="009D467A"/>
    <w:rsid w:val="009D7389"/>
    <w:rsid w:val="009E30A2"/>
    <w:rsid w:val="009E4712"/>
    <w:rsid w:val="009E76B1"/>
    <w:rsid w:val="009F4487"/>
    <w:rsid w:val="009F7699"/>
    <w:rsid w:val="00A41E51"/>
    <w:rsid w:val="00A42296"/>
    <w:rsid w:val="00A4579D"/>
    <w:rsid w:val="00A50372"/>
    <w:rsid w:val="00A5159D"/>
    <w:rsid w:val="00A63A2B"/>
    <w:rsid w:val="00A73F76"/>
    <w:rsid w:val="00A75A8D"/>
    <w:rsid w:val="00A97802"/>
    <w:rsid w:val="00AC2517"/>
    <w:rsid w:val="00AC3B8E"/>
    <w:rsid w:val="00AC5338"/>
    <w:rsid w:val="00AD0B67"/>
    <w:rsid w:val="00AD1442"/>
    <w:rsid w:val="00AE1650"/>
    <w:rsid w:val="00AE5255"/>
    <w:rsid w:val="00B0147A"/>
    <w:rsid w:val="00B03235"/>
    <w:rsid w:val="00B04B20"/>
    <w:rsid w:val="00B06573"/>
    <w:rsid w:val="00B37FE8"/>
    <w:rsid w:val="00B47BD7"/>
    <w:rsid w:val="00B6068B"/>
    <w:rsid w:val="00B65EC2"/>
    <w:rsid w:val="00B766FA"/>
    <w:rsid w:val="00B7689A"/>
    <w:rsid w:val="00B76AB1"/>
    <w:rsid w:val="00B872F5"/>
    <w:rsid w:val="00BA2F62"/>
    <w:rsid w:val="00BA4C45"/>
    <w:rsid w:val="00BA6D10"/>
    <w:rsid w:val="00BA7E94"/>
    <w:rsid w:val="00BB0EB7"/>
    <w:rsid w:val="00BC2D08"/>
    <w:rsid w:val="00BC6D2E"/>
    <w:rsid w:val="00BD27A4"/>
    <w:rsid w:val="00BE59F9"/>
    <w:rsid w:val="00BF1955"/>
    <w:rsid w:val="00BF2D2C"/>
    <w:rsid w:val="00BF6CDF"/>
    <w:rsid w:val="00C0120F"/>
    <w:rsid w:val="00C01322"/>
    <w:rsid w:val="00C03581"/>
    <w:rsid w:val="00C03D2A"/>
    <w:rsid w:val="00C05A1A"/>
    <w:rsid w:val="00C0772F"/>
    <w:rsid w:val="00C14367"/>
    <w:rsid w:val="00C16D57"/>
    <w:rsid w:val="00C17074"/>
    <w:rsid w:val="00C21A2A"/>
    <w:rsid w:val="00C302FA"/>
    <w:rsid w:val="00C50BCF"/>
    <w:rsid w:val="00C5520C"/>
    <w:rsid w:val="00C5686C"/>
    <w:rsid w:val="00C6788C"/>
    <w:rsid w:val="00C67A76"/>
    <w:rsid w:val="00C74819"/>
    <w:rsid w:val="00C80C63"/>
    <w:rsid w:val="00C833C4"/>
    <w:rsid w:val="00C86748"/>
    <w:rsid w:val="00CA6032"/>
    <w:rsid w:val="00CA6CB3"/>
    <w:rsid w:val="00CB7762"/>
    <w:rsid w:val="00CC1204"/>
    <w:rsid w:val="00CC6F6D"/>
    <w:rsid w:val="00CD5919"/>
    <w:rsid w:val="00CD5FE8"/>
    <w:rsid w:val="00D01427"/>
    <w:rsid w:val="00D0427E"/>
    <w:rsid w:val="00D124EA"/>
    <w:rsid w:val="00D15BDB"/>
    <w:rsid w:val="00D22147"/>
    <w:rsid w:val="00D2701D"/>
    <w:rsid w:val="00D3278A"/>
    <w:rsid w:val="00D355C9"/>
    <w:rsid w:val="00D47051"/>
    <w:rsid w:val="00D526B9"/>
    <w:rsid w:val="00D614EB"/>
    <w:rsid w:val="00D62EFA"/>
    <w:rsid w:val="00D64858"/>
    <w:rsid w:val="00D64906"/>
    <w:rsid w:val="00D84D43"/>
    <w:rsid w:val="00D857C7"/>
    <w:rsid w:val="00D93A89"/>
    <w:rsid w:val="00D96DF9"/>
    <w:rsid w:val="00DA35FB"/>
    <w:rsid w:val="00DA3651"/>
    <w:rsid w:val="00DA6396"/>
    <w:rsid w:val="00DB6063"/>
    <w:rsid w:val="00DC1AEB"/>
    <w:rsid w:val="00DC4EE9"/>
    <w:rsid w:val="00DC52E3"/>
    <w:rsid w:val="00DD0EA0"/>
    <w:rsid w:val="00DD1BB1"/>
    <w:rsid w:val="00DD66FE"/>
    <w:rsid w:val="00DE26B1"/>
    <w:rsid w:val="00DE3174"/>
    <w:rsid w:val="00DF250C"/>
    <w:rsid w:val="00DF2796"/>
    <w:rsid w:val="00DF539C"/>
    <w:rsid w:val="00DF7456"/>
    <w:rsid w:val="00E05BC3"/>
    <w:rsid w:val="00E07F40"/>
    <w:rsid w:val="00E13287"/>
    <w:rsid w:val="00E15497"/>
    <w:rsid w:val="00E16DD9"/>
    <w:rsid w:val="00E201A8"/>
    <w:rsid w:val="00E22127"/>
    <w:rsid w:val="00E27C5C"/>
    <w:rsid w:val="00E679DE"/>
    <w:rsid w:val="00E83A76"/>
    <w:rsid w:val="00E90C89"/>
    <w:rsid w:val="00E96B6D"/>
    <w:rsid w:val="00EC5653"/>
    <w:rsid w:val="00ED7834"/>
    <w:rsid w:val="00EF225D"/>
    <w:rsid w:val="00EF27DE"/>
    <w:rsid w:val="00EF6525"/>
    <w:rsid w:val="00F040F0"/>
    <w:rsid w:val="00F12069"/>
    <w:rsid w:val="00F16D46"/>
    <w:rsid w:val="00F20ADB"/>
    <w:rsid w:val="00F22F40"/>
    <w:rsid w:val="00F31B2C"/>
    <w:rsid w:val="00F32E8D"/>
    <w:rsid w:val="00F43B6E"/>
    <w:rsid w:val="00F47053"/>
    <w:rsid w:val="00F6431E"/>
    <w:rsid w:val="00F6720C"/>
    <w:rsid w:val="00F70C87"/>
    <w:rsid w:val="00F7706D"/>
    <w:rsid w:val="00F81DDA"/>
    <w:rsid w:val="00F86281"/>
    <w:rsid w:val="00F908D4"/>
    <w:rsid w:val="00F93C7E"/>
    <w:rsid w:val="00F95089"/>
    <w:rsid w:val="00FA5345"/>
    <w:rsid w:val="00FB1522"/>
    <w:rsid w:val="00FB67A7"/>
    <w:rsid w:val="00FD677D"/>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01"/>
    <o:shapelayout v:ext="edit">
      <o:idmap v:ext="edit" data="1"/>
    </o:shapelayout>
  </w:shapeDefaults>
  <w:decimalSymbol w:val="."/>
  <w:listSeparator w:val=","/>
  <w14:docId w14:val="27E73000"/>
  <w15:docId w15:val="{D6789C3D-3DBB-4087-AF0C-8D4C3A46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customStyle="1" w:styleId="stylebodytext13ptcharcharchar">
    <w:name w:val="stylebodytext13ptcharcharchar"/>
    <w:basedOn w:val="DefaultParagraphFont"/>
    <w:rsid w:val="00D96DF9"/>
    <w:rPr>
      <w:rFonts w:ascii="Trebuchet MS" w:hAnsi="Trebuchet MS" w:hint="default"/>
    </w:rPr>
  </w:style>
  <w:style w:type="paragraph" w:customStyle="1" w:styleId="Default">
    <w:name w:val="Default"/>
    <w:rsid w:val="00867A81"/>
    <w:pPr>
      <w:autoSpaceDE w:val="0"/>
      <w:autoSpaceDN w:val="0"/>
      <w:adjustRightInd w:val="0"/>
      <w:spacing w:after="0"/>
    </w:pPr>
    <w:rPr>
      <w:rFonts w:ascii="Arial" w:hAnsi="Arial" w:cs="Arial"/>
      <w:color w:val="000000"/>
    </w:rPr>
  </w:style>
  <w:style w:type="paragraph" w:customStyle="1" w:styleId="indenta">
    <w:name w:val="indent(a)"/>
    <w:aliases w:val="a,paragraph"/>
    <w:basedOn w:val="Normal"/>
    <w:rsid w:val="00867A81"/>
    <w:pPr>
      <w:tabs>
        <w:tab w:val="right" w:pos="1531"/>
      </w:tabs>
      <w:spacing w:before="40" w:after="0" w:line="260" w:lineRule="atLeast"/>
      <w:ind w:left="1644" w:hanging="1644"/>
      <w:jc w:val="both"/>
    </w:pPr>
    <w:rPr>
      <w:rFonts w:ascii="Times" w:eastAsia="Times New Roman" w:hAnsi="Times"/>
      <w:sz w:val="22"/>
      <w:szCs w:val="20"/>
      <w:lang w:eastAsia="en-US"/>
    </w:rPr>
  </w:style>
  <w:style w:type="paragraph" w:customStyle="1" w:styleId="PSHeading3">
    <w:name w:val="PS Heading 3"/>
    <w:basedOn w:val="Normal"/>
    <w:rsid w:val="00867A81"/>
    <w:pPr>
      <w:keepNext/>
      <w:widowControl w:val="0"/>
      <w:outlineLvl w:val="0"/>
    </w:pPr>
    <w:rPr>
      <w:rFonts w:ascii="Arial" w:eastAsia="Times New Roman" w:hAnsi="Arial"/>
      <w:b/>
      <w:szCs w:val="20"/>
      <w:lang w:val="en-US"/>
    </w:rPr>
  </w:style>
  <w:style w:type="paragraph" w:customStyle="1" w:styleId="paragraphsub">
    <w:name w:val="paragraphsub"/>
    <w:basedOn w:val="Normal"/>
    <w:rsid w:val="00867A81"/>
    <w:pPr>
      <w:spacing w:before="40" w:after="0"/>
      <w:ind w:left="2098" w:hanging="2098"/>
    </w:pPr>
    <w:rPr>
      <w:rFonts w:eastAsia="Times New Roman"/>
      <w:sz w:val="22"/>
      <w:szCs w:val="22"/>
    </w:rPr>
  </w:style>
  <w:style w:type="character" w:styleId="CommentReference">
    <w:name w:val="annotation reference"/>
    <w:basedOn w:val="DefaultParagraphFont"/>
    <w:uiPriority w:val="49"/>
    <w:semiHidden/>
    <w:unhideWhenUsed/>
    <w:rsid w:val="00BF1955"/>
    <w:rPr>
      <w:sz w:val="16"/>
      <w:szCs w:val="16"/>
    </w:rPr>
  </w:style>
  <w:style w:type="paragraph" w:styleId="CommentText">
    <w:name w:val="annotation text"/>
    <w:basedOn w:val="Normal"/>
    <w:link w:val="CommentTextChar"/>
    <w:uiPriority w:val="49"/>
    <w:unhideWhenUsed/>
    <w:rsid w:val="00BF1955"/>
    <w:rPr>
      <w:sz w:val="20"/>
      <w:szCs w:val="20"/>
    </w:rPr>
  </w:style>
  <w:style w:type="character" w:customStyle="1" w:styleId="CommentTextChar">
    <w:name w:val="Comment Text Char"/>
    <w:basedOn w:val="DefaultParagraphFont"/>
    <w:link w:val="CommentText"/>
    <w:uiPriority w:val="49"/>
    <w:rsid w:val="00BF1955"/>
    <w:rPr>
      <w:sz w:val="20"/>
      <w:szCs w:val="20"/>
    </w:rPr>
  </w:style>
  <w:style w:type="paragraph" w:styleId="CommentSubject">
    <w:name w:val="annotation subject"/>
    <w:basedOn w:val="CommentText"/>
    <w:next w:val="CommentText"/>
    <w:link w:val="CommentSubjectChar"/>
    <w:uiPriority w:val="49"/>
    <w:semiHidden/>
    <w:unhideWhenUsed/>
    <w:rsid w:val="00BF1955"/>
    <w:rPr>
      <w:b/>
      <w:bCs/>
    </w:rPr>
  </w:style>
  <w:style w:type="character" w:customStyle="1" w:styleId="CommentSubjectChar">
    <w:name w:val="Comment Subject Char"/>
    <w:basedOn w:val="CommentTextChar"/>
    <w:link w:val="CommentSubject"/>
    <w:uiPriority w:val="49"/>
    <w:semiHidden/>
    <w:rsid w:val="00BF1955"/>
    <w:rPr>
      <w:b/>
      <w:bCs/>
      <w:sz w:val="20"/>
      <w:szCs w:val="20"/>
    </w:rPr>
  </w:style>
  <w:style w:type="paragraph" w:styleId="EndnoteText">
    <w:name w:val="endnote text"/>
    <w:basedOn w:val="Normal"/>
    <w:link w:val="EndnoteTextChar"/>
    <w:uiPriority w:val="49"/>
    <w:semiHidden/>
    <w:unhideWhenUsed/>
    <w:rsid w:val="009C7D6F"/>
    <w:pPr>
      <w:spacing w:after="0"/>
    </w:pPr>
    <w:rPr>
      <w:sz w:val="20"/>
      <w:szCs w:val="20"/>
    </w:rPr>
  </w:style>
  <w:style w:type="character" w:customStyle="1" w:styleId="EndnoteTextChar">
    <w:name w:val="Endnote Text Char"/>
    <w:basedOn w:val="DefaultParagraphFont"/>
    <w:link w:val="EndnoteText"/>
    <w:uiPriority w:val="49"/>
    <w:semiHidden/>
    <w:rsid w:val="009C7D6F"/>
    <w:rPr>
      <w:sz w:val="20"/>
      <w:szCs w:val="20"/>
    </w:rPr>
  </w:style>
  <w:style w:type="character" w:styleId="EndnoteReference">
    <w:name w:val="endnote reference"/>
    <w:basedOn w:val="DefaultParagraphFont"/>
    <w:uiPriority w:val="49"/>
    <w:semiHidden/>
    <w:unhideWhenUsed/>
    <w:rsid w:val="009C7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2018-03-05T13:00:00+00:00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24</Value>
      <Value>134</Value>
      <Value>58</Value>
      <Value>19</Value>
      <Value>93</Value>
      <Value>171</Value>
      <Value>10</Value>
      <Value>158</Value>
      <Value>83</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LPS 230 Reinsurance Management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5JENXJJSCC7A-445999044-6911</_dlc_DocId>
    <_dlc_DocIdUrl xmlns="814d62cb-2db6-4c25-ab62-b9075facbc11">
      <Url>https://im/teams/LEGAL/_layouts/15/DocIdRedir.aspx?ID=5JENXJJSCC7A-445999044-6911</Url>
      <Description>5JENXJJSCC7A-445999044-6911</Description>
    </_dlc_DocIdUrl>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CA5-FF25-44EB-9F22-13BC540CEFF1}">
  <ds:schemaRefs>
    <ds:schemaRef ds:uri="http://purl.org/dc/elements/1.1/"/>
    <ds:schemaRef ds:uri="814d62cb-2db6-4c25-ab62-b9075facbc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E6B96AD9-623F-4745-A819-71202D0BF3DF}">
  <ds:schemaRefs>
    <ds:schemaRef ds:uri="Microsoft.SharePoint.Taxonomy.ContentTypeSync"/>
  </ds:schemaRefs>
</ds:datastoreItem>
</file>

<file path=customXml/itemProps3.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4.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5.xml><?xml version="1.0" encoding="utf-8"?>
<ds:datastoreItem xmlns:ds="http://schemas.openxmlformats.org/officeDocument/2006/customXml" ds:itemID="{9DD3FF93-D2B9-4FE7-B217-BBB5AD8C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29B79E-EFB3-4C42-97E5-A8CB4CDB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3</TotalTime>
  <Pages>11</Pages>
  <Words>2175</Words>
  <Characters>11943</Characters>
  <Application>Microsoft Office Word</Application>
  <DocSecurity>0</DocSecurity>
  <Lines>284</Lines>
  <Paragraphs>138</Paragraphs>
  <ScaleCrop>false</ScaleCrop>
  <HeadingPairs>
    <vt:vector size="2" baseType="variant">
      <vt:variant>
        <vt:lpstr>Title</vt:lpstr>
      </vt:variant>
      <vt:variant>
        <vt:i4>1</vt:i4>
      </vt:variant>
    </vt:vector>
  </HeadingPairs>
  <TitlesOfParts>
    <vt:vector size="1" baseType="lpstr">
      <vt:lpstr>LPS 230 Draft Standard</vt:lpstr>
    </vt:vector>
  </TitlesOfParts>
  <Company>APRA</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Insurance (prudential standard) determination No. 1 of 2018</dc:title>
  <dc:creator>Kohlhagen, Peter</dc:creator>
  <cp:keywords>[SEC=UNCLASSIFIED]</cp:keywords>
  <cp:lastModifiedBy>Toni Michalis</cp:lastModifiedBy>
  <cp:revision>2</cp:revision>
  <cp:lastPrinted>2018-03-05T22:16:00Z</cp:lastPrinted>
  <dcterms:created xsi:type="dcterms:W3CDTF">2018-03-06T21:48:00Z</dcterms:created>
  <dcterms:modified xsi:type="dcterms:W3CDTF">2018-03-06T21:48:00Z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A7EA34AA8E4CEF0B5863D0F95A8B0B50</vt:lpwstr>
  </property>
  <property fmtid="{D5CDD505-2E9C-101B-9397-08002B2CF9AE}" pid="10" name="PM_Hash_SHA1">
    <vt:lpwstr>CCE05D72435625D36B156AAD27351440AD5A30B9</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FA79F4B5069DA63C1545A1DDD2515464</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9CDD4A8A38FF4D3681F9F9DB8CFE362E</vt:lpwstr>
  </property>
  <property fmtid="{D5CDD505-2E9C-101B-9397-08002B2CF9AE}" pid="22" name="PM_OriginationTimeStamp">
    <vt:lpwstr>2018-03-06T21:45:33Z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eerGroup">
    <vt:lpwstr/>
  </property>
  <property fmtid="{D5CDD505-2E9C-101B-9397-08002B2CF9AE}" pid="29" name="APRADocumentType">
    <vt:lpwstr>142;#Prudential standard|6ce5a155-9ab2-41e3-9b2a-5baab4b7f1d1;#58;#Legal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ReportingGroup">
    <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TemplateType">
    <vt:lpwstr>23;#Policy|f1d41970-be64-43ea-8d6f-300cb1384ee7</vt:lpwstr>
  </property>
  <property fmtid="{D5CDD505-2E9C-101B-9397-08002B2CF9AE}" pid="36" name="APRAYear">
    <vt:lpwstr>171;#2018|337d548e-be9a-4363-bbb3-ec2b7c3daa90</vt:lpwstr>
  </property>
  <property fmtid="{D5CDD505-2E9C-101B-9397-08002B2CF9AE}" pid="37" name="APRAIndustry">
    <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e8649892-ed91-4980-8221-7d5f62bb7a4f</vt:lpwstr>
  </property>
  <property fmtid="{D5CDD505-2E9C-101B-9397-08002B2CF9AE}" pid="43" name="IsLocked">
    <vt:lpwstr>False</vt:lpwstr>
  </property>
  <property fmtid="{D5CDD505-2E9C-101B-9397-08002B2CF9AE}" pid="44" name="RecordPoint_WorkflowType">
    <vt:lpwstr>ActiveSubmitStub</vt:lpwstr>
  </property>
  <property fmtid="{D5CDD505-2E9C-101B-9397-08002B2CF9AE}" pid="45" name="RecordPoint_ActiveItemUniqueId">
    <vt:lpwstr>{e8649892-ed91-4980-8221-7d5f62bb7a4f}</vt:lpwstr>
  </property>
  <property fmtid="{D5CDD505-2E9C-101B-9397-08002B2CF9AE}" pid="46" name="RecordPoint_SubmissionCompleted">
    <vt:lpwstr>2018-03-07T09:15:50.6086690+11:00</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WebId">
    <vt:lpwstr>{75a71c27-8d66-4282-ae60-1bfc22a83be1}</vt:lpwstr>
  </property>
  <property fmtid="{D5CDD505-2E9C-101B-9397-08002B2CF9AE}" pid="50" name="RecordPoint_RecordNumberSubmitted">
    <vt:lpwstr>R0000317299</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ies>
</file>