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4C114" w14:textId="77777777" w:rsidR="006C4A30" w:rsidRDefault="006C4A30" w:rsidP="006C4A30">
      <w:pPr>
        <w:pStyle w:val="ttCrest"/>
        <w:rPr>
          <w:sz w:val="19"/>
        </w:rPr>
      </w:pPr>
      <w:r>
        <w:rPr>
          <w:noProof/>
          <w:lang w:eastAsia="en-AU"/>
        </w:rPr>
        <w:drawing>
          <wp:inline distT="0" distB="0" distL="0" distR="0" wp14:anchorId="52DA08C3" wp14:editId="118EF92F">
            <wp:extent cx="1498600" cy="110172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FDA61" w14:textId="77777777" w:rsidR="00C92564" w:rsidRPr="00C020E2" w:rsidRDefault="00C92564" w:rsidP="00C92564">
      <w:pPr>
        <w:rPr>
          <w:sz w:val="19"/>
        </w:rPr>
      </w:pPr>
    </w:p>
    <w:p w14:paraId="6159AB54" w14:textId="77777777" w:rsidR="00C92564" w:rsidRDefault="00C92564" w:rsidP="006C4A30">
      <w:pPr>
        <w:pStyle w:val="ttCrest"/>
        <w:rPr>
          <w:sz w:val="19"/>
        </w:rPr>
      </w:pPr>
    </w:p>
    <w:p w14:paraId="480EAB87" w14:textId="6DAB3738" w:rsidR="00F81A21" w:rsidRDefault="00225D68" w:rsidP="00F81A21">
      <w:pPr>
        <w:pStyle w:val="ShortT"/>
      </w:pPr>
      <w:r>
        <w:t>Carbon Credits (Carbon Farming Initiative—</w:t>
      </w:r>
      <w:r w:rsidR="00DE3FDA">
        <w:t>CFI Mapping Tool</w:t>
      </w:r>
      <w:r w:rsidR="00062C32">
        <w:t xml:space="preserve"> and Minor Corrections</w:t>
      </w:r>
      <w:r>
        <w:t xml:space="preserve">) </w:t>
      </w:r>
      <w:r w:rsidR="00743F2D">
        <w:t xml:space="preserve">Methodology </w:t>
      </w:r>
      <w:r w:rsidR="007C5D96" w:rsidRPr="00737B55">
        <w:t xml:space="preserve">Determination </w:t>
      </w:r>
      <w:r w:rsidR="00743F2D">
        <w:t xml:space="preserve">Variation </w:t>
      </w:r>
      <w:r w:rsidR="00582CB6">
        <w:t>2018</w:t>
      </w:r>
    </w:p>
    <w:p w14:paraId="75D7371A" w14:textId="77777777" w:rsidR="00F81A21" w:rsidRPr="002A0313" w:rsidRDefault="00F81A21" w:rsidP="00F81A21">
      <w:pPr>
        <w:pStyle w:val="SignCoverPageStart"/>
        <w:rPr>
          <w:szCs w:val="22"/>
        </w:rPr>
      </w:pPr>
      <w:r w:rsidRPr="002A0313">
        <w:rPr>
          <w:szCs w:val="22"/>
        </w:rPr>
        <w:t xml:space="preserve">I, </w:t>
      </w:r>
      <w:r w:rsidR="00DE3FDA" w:rsidRPr="00B83A61">
        <w:rPr>
          <w:szCs w:val="22"/>
        </w:rPr>
        <w:t>Josh Frydenberg, Minister for the Environment and Energy</w:t>
      </w:r>
      <w:r w:rsidR="00DE3FDA" w:rsidRPr="002A0313">
        <w:rPr>
          <w:szCs w:val="22"/>
        </w:rPr>
        <w:t xml:space="preserve">, </w:t>
      </w:r>
      <w:r w:rsidRPr="002A0313">
        <w:rPr>
          <w:szCs w:val="22"/>
        </w:rPr>
        <w:t xml:space="preserve">make the following </w:t>
      </w:r>
      <w:r w:rsidR="000E770B">
        <w:rPr>
          <w:szCs w:val="22"/>
        </w:rPr>
        <w:t>legislative instrument</w:t>
      </w:r>
      <w:r w:rsidRPr="002A0313">
        <w:rPr>
          <w:szCs w:val="22"/>
        </w:rPr>
        <w:t>.</w:t>
      </w:r>
    </w:p>
    <w:p w14:paraId="5C69D136" w14:textId="34226522" w:rsidR="006302DF" w:rsidRDefault="00F81A21" w:rsidP="00F81A21">
      <w:pPr>
        <w:keepNext/>
        <w:spacing w:before="300" w:line="240" w:lineRule="atLeast"/>
        <w:ind w:right="397"/>
        <w:jc w:val="both"/>
        <w:rPr>
          <w:szCs w:val="22"/>
        </w:rPr>
      </w:pPr>
      <w:r w:rsidRPr="002A0313">
        <w:rPr>
          <w:szCs w:val="22"/>
        </w:rPr>
        <w:t>Dated</w:t>
      </w:r>
      <w:bookmarkStart w:id="0" w:name="BKCheck15B_1"/>
      <w:bookmarkEnd w:id="0"/>
      <w:r w:rsidR="00B32E64">
        <w:rPr>
          <w:szCs w:val="22"/>
        </w:rPr>
        <w:t xml:space="preserve"> 8/2/2018</w:t>
      </w:r>
      <w:bookmarkStart w:id="1" w:name="_GoBack"/>
      <w:bookmarkEnd w:id="1"/>
    </w:p>
    <w:p w14:paraId="628BECB1" w14:textId="77777777" w:rsidR="00DE3FDA" w:rsidRPr="002A0313" w:rsidRDefault="00DE3FDA" w:rsidP="00DE3FDA">
      <w:pPr>
        <w:keepNext/>
        <w:tabs>
          <w:tab w:val="left" w:pos="3402"/>
          <w:tab w:val="left" w:pos="6506"/>
        </w:tabs>
        <w:spacing w:before="1440" w:line="300" w:lineRule="atLeast"/>
        <w:ind w:right="397"/>
        <w:rPr>
          <w:szCs w:val="22"/>
        </w:rPr>
      </w:pPr>
      <w:r w:rsidRPr="00B83A61">
        <w:rPr>
          <w:szCs w:val="22"/>
        </w:rPr>
        <w:t>Josh Frydenberg</w:t>
      </w:r>
    </w:p>
    <w:p w14:paraId="2D04279B" w14:textId="77777777" w:rsidR="00DE3FDA" w:rsidRPr="002A0313" w:rsidRDefault="00DE3FDA" w:rsidP="00DE3FDA">
      <w:pPr>
        <w:pStyle w:val="SignCoverPageEnd"/>
        <w:rPr>
          <w:szCs w:val="22"/>
        </w:rPr>
      </w:pPr>
      <w:r w:rsidRPr="00B83A61">
        <w:rPr>
          <w:szCs w:val="22"/>
        </w:rPr>
        <w:t>Minister for the Environment and Energy</w:t>
      </w:r>
    </w:p>
    <w:p w14:paraId="13702EF7" w14:textId="77777777" w:rsidR="00F47AAB" w:rsidRDefault="00F47AAB">
      <w:pPr>
        <w:spacing w:line="240" w:lineRule="auto"/>
      </w:pPr>
      <w:r>
        <w:br w:type="page"/>
      </w:r>
    </w:p>
    <w:p w14:paraId="51C68269" w14:textId="77777777" w:rsidR="00F81A21" w:rsidRPr="002A0313" w:rsidRDefault="00F81A21" w:rsidP="00F81A21"/>
    <w:p w14:paraId="4785D754" w14:textId="77777777" w:rsidR="00F81A21" w:rsidRPr="002A0313" w:rsidRDefault="00F81A21" w:rsidP="00F81A21">
      <w:pPr>
        <w:pStyle w:val="Header"/>
        <w:tabs>
          <w:tab w:val="clear" w:pos="4150"/>
          <w:tab w:val="clear" w:pos="8307"/>
        </w:tabs>
      </w:pPr>
      <w:r w:rsidRPr="002A0313">
        <w:rPr>
          <w:rStyle w:val="CharChapNo"/>
        </w:rPr>
        <w:t xml:space="preserve"> </w:t>
      </w:r>
      <w:r w:rsidRPr="002A0313">
        <w:rPr>
          <w:rStyle w:val="CharChapText"/>
        </w:rPr>
        <w:t xml:space="preserve"> </w:t>
      </w:r>
    </w:p>
    <w:p w14:paraId="74A27B8B" w14:textId="77777777" w:rsidR="00F47AAB" w:rsidRPr="002A0313" w:rsidRDefault="00F47AAB" w:rsidP="00F47AAB">
      <w:pPr>
        <w:rPr>
          <w:sz w:val="36"/>
        </w:rPr>
      </w:pPr>
      <w:r w:rsidRPr="002A0313">
        <w:rPr>
          <w:sz w:val="36"/>
        </w:rPr>
        <w:t>Contents</w:t>
      </w:r>
    </w:p>
    <w:bookmarkStart w:id="2" w:name="BKCheck15B_2"/>
    <w:bookmarkEnd w:id="2"/>
    <w:p w14:paraId="186A6F05" w14:textId="77777777" w:rsidR="00A43434" w:rsidRDefault="00DE3FD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24"/>
        </w:rPr>
        <w:fldChar w:fldCharType="begin"/>
      </w:r>
      <w:r>
        <w:instrText xml:space="preserve"> TOC \o1-9 </w:instrText>
      </w:r>
      <w:r>
        <w:rPr>
          <w:b/>
          <w:sz w:val="24"/>
        </w:rPr>
        <w:fldChar w:fldCharType="separate"/>
      </w:r>
      <w:r w:rsidR="00A43434">
        <w:rPr>
          <w:noProof/>
        </w:rPr>
        <w:t>1  Name</w:t>
      </w:r>
      <w:r w:rsidR="00A43434">
        <w:rPr>
          <w:noProof/>
        </w:rPr>
        <w:tab/>
      </w:r>
      <w:r w:rsidR="00A43434">
        <w:rPr>
          <w:noProof/>
        </w:rPr>
        <w:fldChar w:fldCharType="begin"/>
      </w:r>
      <w:r w:rsidR="00A43434">
        <w:rPr>
          <w:noProof/>
        </w:rPr>
        <w:instrText xml:space="preserve"> PAGEREF _Toc500948374 \h </w:instrText>
      </w:r>
      <w:r w:rsidR="00A43434">
        <w:rPr>
          <w:noProof/>
        </w:rPr>
      </w:r>
      <w:r w:rsidR="00A43434">
        <w:rPr>
          <w:noProof/>
        </w:rPr>
        <w:fldChar w:fldCharType="separate"/>
      </w:r>
      <w:r w:rsidR="00A43434">
        <w:rPr>
          <w:noProof/>
        </w:rPr>
        <w:t>3</w:t>
      </w:r>
      <w:r w:rsidR="00A43434">
        <w:rPr>
          <w:noProof/>
        </w:rPr>
        <w:fldChar w:fldCharType="end"/>
      </w:r>
    </w:p>
    <w:p w14:paraId="4631DF78" w14:textId="77777777" w:rsidR="00A43434" w:rsidRDefault="00A434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256D178" w14:textId="77777777" w:rsidR="00A43434" w:rsidRDefault="00A434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7AE9806" w14:textId="77777777" w:rsidR="00A43434" w:rsidRDefault="00A434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Amendment of methodology determinations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00AF732" w14:textId="77777777" w:rsidR="00A43434" w:rsidRDefault="00A4343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1—Amendments of the</w:t>
      </w:r>
      <w:r w:rsidRPr="00EA7E35">
        <w:rPr>
          <w:i/>
          <w:noProof/>
        </w:rPr>
        <w:t xml:space="preserve"> Carbon Credits (Carbon Farming Initiative) (Reforestation by Environmental or Mallee Plantings—FullCAM) Methodology Determination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FBA21EB" w14:textId="77777777" w:rsidR="00A43434" w:rsidRDefault="00A4343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2—Amendments of the</w:t>
      </w:r>
      <w:r w:rsidRPr="00EA7E35">
        <w:rPr>
          <w:i/>
          <w:noProof/>
        </w:rPr>
        <w:t xml:space="preserve"> Carbon Credits (Carbon Farming Initiative) (Human-Induced Regeneration of a Permanent Even-Aged Native Forest—1.1) Methodology Determination 2013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2B3E54D" w14:textId="77777777" w:rsidR="00A43434" w:rsidRDefault="00A4343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Schedule 3—Amendments of the </w:t>
      </w:r>
      <w:r w:rsidRPr="00EA7E35">
        <w:rPr>
          <w:i/>
          <w:noProof/>
        </w:rPr>
        <w:t>Carbon Credits (Carbon Farming Initiative) (Native Forest from Managed Regrowth) Methodology Determination 2013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A7085E8" w14:textId="77777777" w:rsidR="00A43434" w:rsidRDefault="00A4343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4—Amendments of the</w:t>
      </w:r>
      <w:r w:rsidRPr="00EA7E35">
        <w:rPr>
          <w:i/>
          <w:noProof/>
        </w:rPr>
        <w:t xml:space="preserve"> Carbon Credits (Carbon Farming Initiative—Avoided Clearing of Native Regrowth) Methodology Determination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19CDBAF9" w14:textId="77777777" w:rsidR="00A43434" w:rsidRDefault="00A4343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5—Amendments of the</w:t>
      </w:r>
      <w:r w:rsidRPr="00EA7E35">
        <w:rPr>
          <w:i/>
          <w:noProof/>
        </w:rPr>
        <w:t xml:space="preserve"> Carbon Credits (Carbon Farming Initiative—Estimating Sequestration of Carbon in Soil Using Default Values) Methodology Determination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48AA3F3" w14:textId="77777777" w:rsidR="00A43434" w:rsidRDefault="00A4343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6—Amendments of the</w:t>
      </w:r>
      <w:r w:rsidRPr="00EA7E35">
        <w:rPr>
          <w:i/>
          <w:noProof/>
        </w:rPr>
        <w:t xml:space="preserve"> Carbon Credits (Carbon Farming Initiative—Reducing Greenhouse Gas Emissions from Fertiliser in Irrigated Cotton) Methodology Determination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55C04B50" w14:textId="77777777" w:rsidR="00A43434" w:rsidRDefault="00A4343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7—Amendments of the</w:t>
      </w:r>
      <w:r w:rsidRPr="00EA7E35">
        <w:rPr>
          <w:i/>
          <w:noProof/>
        </w:rPr>
        <w:t xml:space="preserve"> Carbon Credits (Carbon Farming Initiative) (Sequestering Carbon in Soils in Grazing Systems) Methodology Determination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_Toc500948388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4D161214" w14:textId="77777777" w:rsidR="002214E7" w:rsidRPr="002214E7" w:rsidRDefault="00DE3FDA" w:rsidP="002214E7">
      <w:pPr>
        <w:pStyle w:val="TOC1"/>
        <w:rPr>
          <w:i/>
          <w:noProof/>
        </w:rPr>
      </w:pPr>
      <w:r>
        <w:fldChar w:fldCharType="end"/>
      </w:r>
    </w:p>
    <w:p w14:paraId="62C0772F" w14:textId="77777777" w:rsidR="003360EB" w:rsidRPr="003360EB" w:rsidRDefault="003360EB" w:rsidP="003360EB">
      <w:pPr>
        <w:rPr>
          <w:lang w:eastAsia="en-AU"/>
        </w:rPr>
      </w:pPr>
    </w:p>
    <w:p w14:paraId="0CA931D3" w14:textId="77777777" w:rsidR="003360EB" w:rsidRPr="003360EB" w:rsidRDefault="003360EB" w:rsidP="003360EB">
      <w:pPr>
        <w:rPr>
          <w:lang w:eastAsia="en-AU"/>
        </w:rPr>
      </w:pPr>
    </w:p>
    <w:p w14:paraId="51E926C5" w14:textId="77777777" w:rsidR="00536929" w:rsidRDefault="00536929" w:rsidP="00536929">
      <w:pPr>
        <w:spacing w:line="240" w:lineRule="auto"/>
      </w:pPr>
      <w:r>
        <w:br w:type="page"/>
      </w:r>
    </w:p>
    <w:p w14:paraId="78813977" w14:textId="77777777" w:rsidR="00F47AAB" w:rsidRPr="002A0313" w:rsidRDefault="00A43434" w:rsidP="00DE3FDA">
      <w:pPr>
        <w:pStyle w:val="h5Section"/>
      </w:pPr>
      <w:bookmarkStart w:id="3" w:name="_Toc405889305"/>
      <w:bookmarkStart w:id="4" w:name="_Toc440270508"/>
      <w:bookmarkStart w:id="5" w:name="_Toc500948374"/>
      <w:r>
        <w:lastRenderedPageBreak/>
        <w:t>1</w:t>
      </w:r>
      <w:r w:rsidR="00DE3FDA">
        <w:t xml:space="preserve">  </w:t>
      </w:r>
      <w:r w:rsidR="00F47AAB" w:rsidRPr="002A0313">
        <w:t>Name</w:t>
      </w:r>
      <w:bookmarkEnd w:id="3"/>
      <w:bookmarkEnd w:id="4"/>
      <w:bookmarkEnd w:id="5"/>
    </w:p>
    <w:p w14:paraId="10868BA3" w14:textId="28446C94" w:rsidR="00F47AAB" w:rsidRDefault="00F47AAB" w:rsidP="00F47AAB">
      <w:pPr>
        <w:pStyle w:val="tMain"/>
      </w:pPr>
      <w:r w:rsidRPr="002A0313">
        <w:tab/>
      </w:r>
      <w:r w:rsidRPr="002A0313">
        <w:tab/>
        <w:t xml:space="preserve">This is the </w:t>
      </w:r>
      <w:bookmarkStart w:id="6" w:name="BKCheck15B_3"/>
      <w:bookmarkEnd w:id="6"/>
      <w:r w:rsidR="00A43434">
        <w:rPr>
          <w:i/>
          <w:noProof/>
        </w:rPr>
        <w:t xml:space="preserve">Carbon Credits (Carbon Farming Initiative—CFI Mapping Tool and Minor Corrections) Methodology Determination Variation </w:t>
      </w:r>
      <w:r w:rsidR="00582CB6">
        <w:rPr>
          <w:i/>
          <w:noProof/>
        </w:rPr>
        <w:t>2018</w:t>
      </w:r>
      <w:r w:rsidRPr="002A0313">
        <w:t>.</w:t>
      </w:r>
    </w:p>
    <w:p w14:paraId="14A79401" w14:textId="77777777" w:rsidR="00AD7BE4" w:rsidRPr="002A0313" w:rsidRDefault="00A43434" w:rsidP="00DE3FDA">
      <w:pPr>
        <w:pStyle w:val="h5Section"/>
      </w:pPr>
      <w:bookmarkStart w:id="7" w:name="_Toc405889306"/>
      <w:bookmarkStart w:id="8" w:name="_Toc440270509"/>
      <w:bookmarkStart w:id="9" w:name="_Toc500948375"/>
      <w:r>
        <w:t>2</w:t>
      </w:r>
      <w:r w:rsidR="00DE3FDA">
        <w:t xml:space="preserve">  </w:t>
      </w:r>
      <w:r w:rsidR="00AD7BE4" w:rsidRPr="002A0313">
        <w:t>Commencement</w:t>
      </w:r>
      <w:bookmarkEnd w:id="7"/>
      <w:bookmarkEnd w:id="8"/>
      <w:bookmarkEnd w:id="9"/>
    </w:p>
    <w:p w14:paraId="7BE5AF25" w14:textId="77777777" w:rsidR="005131AB" w:rsidRPr="00274759" w:rsidRDefault="005131AB" w:rsidP="00F14C47">
      <w:pPr>
        <w:pStyle w:val="tMain"/>
        <w:spacing w:after="120"/>
      </w:pPr>
      <w:r>
        <w:tab/>
      </w:r>
      <w:r w:rsidR="00A43434">
        <w:t>(1)</w:t>
      </w:r>
      <w:r>
        <w:tab/>
      </w:r>
      <w:r w:rsidRPr="00274759"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0" w:type="auto"/>
        <w:tblInd w:w="1385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5131AB" w:rsidRPr="00274759" w14:paraId="1A97C281" w14:textId="77777777" w:rsidTr="00F14C4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57D14E7" w14:textId="77777777" w:rsidR="005131AB" w:rsidRPr="00274759" w:rsidRDefault="005131AB" w:rsidP="00FD166F">
            <w:pPr>
              <w:pStyle w:val="TableHeading"/>
            </w:pPr>
            <w:r w:rsidRPr="00274759">
              <w:t>Commencement information</w:t>
            </w:r>
          </w:p>
        </w:tc>
      </w:tr>
      <w:tr w:rsidR="005131AB" w:rsidRPr="00274759" w14:paraId="408B5D4A" w14:textId="77777777" w:rsidTr="00F14C47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4B0D8782" w14:textId="77777777" w:rsidR="005131AB" w:rsidRPr="00274759" w:rsidRDefault="005131AB" w:rsidP="00FD166F">
            <w:pPr>
              <w:pStyle w:val="TableHeading"/>
            </w:pPr>
            <w:r w:rsidRPr="0027475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61146C5A" w14:textId="77777777" w:rsidR="005131AB" w:rsidRPr="00274759" w:rsidRDefault="005131AB" w:rsidP="00FD166F">
            <w:pPr>
              <w:pStyle w:val="TableHeading"/>
            </w:pPr>
            <w:r w:rsidRPr="00274759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678DA8A3" w14:textId="77777777" w:rsidR="005131AB" w:rsidRPr="00274759" w:rsidRDefault="005131AB" w:rsidP="00FD166F">
            <w:pPr>
              <w:pStyle w:val="TableHeading"/>
            </w:pPr>
            <w:r w:rsidRPr="00274759">
              <w:t>Column 3</w:t>
            </w:r>
          </w:p>
        </w:tc>
      </w:tr>
      <w:tr w:rsidR="005131AB" w:rsidRPr="00274759" w14:paraId="02FE5364" w14:textId="77777777" w:rsidTr="00F14C47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3D86C530" w14:textId="77777777" w:rsidR="005131AB" w:rsidRPr="00274759" w:rsidRDefault="005131AB" w:rsidP="00FD166F">
            <w:pPr>
              <w:pStyle w:val="TableHeading"/>
            </w:pPr>
            <w:r w:rsidRPr="0027475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76478C17" w14:textId="77777777" w:rsidR="005131AB" w:rsidRPr="00274759" w:rsidRDefault="005131AB" w:rsidP="00FD166F">
            <w:pPr>
              <w:pStyle w:val="TableHeading"/>
            </w:pPr>
            <w:r w:rsidRPr="00274759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31D63D67" w14:textId="77777777" w:rsidR="005131AB" w:rsidRPr="00274759" w:rsidRDefault="005131AB" w:rsidP="00FD166F">
            <w:pPr>
              <w:pStyle w:val="TableHeading"/>
            </w:pPr>
            <w:r w:rsidRPr="00274759">
              <w:t>Date/Details</w:t>
            </w:r>
          </w:p>
        </w:tc>
      </w:tr>
      <w:tr w:rsidR="005131AB" w:rsidRPr="00274759" w14:paraId="63E000D9" w14:textId="77777777" w:rsidTr="00F14C4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1D1D4EE" w14:textId="77777777" w:rsidR="005131AB" w:rsidRPr="00274759" w:rsidRDefault="005131AB" w:rsidP="00FD166F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9E291BF" w14:textId="77777777" w:rsidR="005131AB" w:rsidRPr="00274759" w:rsidRDefault="005131AB" w:rsidP="00FD166F">
            <w:pPr>
              <w:pStyle w:val="Tabletext"/>
            </w:pPr>
            <w:r w:rsidRPr="00274759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</w:tcPr>
          <w:p w14:paraId="23FE0A5B" w14:textId="77777777" w:rsidR="005131AB" w:rsidRPr="00274759" w:rsidRDefault="005131AB" w:rsidP="00FD166F">
            <w:pPr>
              <w:pStyle w:val="Tabletext"/>
            </w:pPr>
          </w:p>
        </w:tc>
      </w:tr>
    </w:tbl>
    <w:p w14:paraId="238D8317" w14:textId="77777777" w:rsidR="005131AB" w:rsidRPr="00274759" w:rsidRDefault="005131AB" w:rsidP="005131AB">
      <w:pPr>
        <w:pStyle w:val="nMain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06EABF4F" w14:textId="77777777" w:rsidR="005131AB" w:rsidRDefault="005131AB" w:rsidP="005131AB">
      <w:pPr>
        <w:pStyle w:val="tMain"/>
      </w:pPr>
      <w:r>
        <w:tab/>
      </w:r>
      <w:r w:rsidR="00A43434">
        <w:t>(2)</w:t>
      </w:r>
      <w:r>
        <w:tab/>
      </w:r>
      <w:r w:rsidRPr="00274759">
        <w:t>Any information in column 3 of the table is not part of this instrument. Information may be inserted in this column, or information in it may be edited, in any published version of this instrument.</w:t>
      </w:r>
    </w:p>
    <w:p w14:paraId="76B9E4C8" w14:textId="77777777" w:rsidR="00AD7BE4" w:rsidRPr="002A0313" w:rsidRDefault="00A43434" w:rsidP="00DE3FDA">
      <w:pPr>
        <w:pStyle w:val="h5Section"/>
      </w:pPr>
      <w:bookmarkStart w:id="10" w:name="_Toc405889307"/>
      <w:bookmarkStart w:id="11" w:name="_Toc440270510"/>
      <w:bookmarkStart w:id="12" w:name="_Toc500948376"/>
      <w:r>
        <w:t>3</w:t>
      </w:r>
      <w:r w:rsidR="00DE3FDA">
        <w:t xml:space="preserve">  </w:t>
      </w:r>
      <w:r w:rsidR="00AD7BE4" w:rsidRPr="002A0313">
        <w:t>Authority</w:t>
      </w:r>
      <w:bookmarkEnd w:id="10"/>
      <w:bookmarkEnd w:id="11"/>
      <w:bookmarkEnd w:id="12"/>
    </w:p>
    <w:p w14:paraId="548AB781" w14:textId="77777777" w:rsidR="00AD7BE4" w:rsidRPr="002A0313" w:rsidRDefault="00AD7BE4" w:rsidP="00AD7BE4">
      <w:pPr>
        <w:pStyle w:val="tMain"/>
      </w:pPr>
      <w:r>
        <w:tab/>
      </w:r>
      <w:r>
        <w:tab/>
      </w:r>
      <w:r w:rsidRPr="002A0313">
        <w:t xml:space="preserve">This </w:t>
      </w:r>
      <w:r w:rsidR="00622212">
        <w:t>instrument is</w:t>
      </w:r>
      <w:r w:rsidRPr="002A0313">
        <w:t xml:space="preserve"> made under subsection 1</w:t>
      </w:r>
      <w:r w:rsidR="00622212">
        <w:t>14</w:t>
      </w:r>
      <w:r w:rsidRPr="002A0313">
        <w:t xml:space="preserve">(1) of the </w:t>
      </w:r>
      <w:r w:rsidRPr="002A0313">
        <w:rPr>
          <w:i/>
        </w:rPr>
        <w:t>Carbon Credits (Carbon Farming Initiative) Act 2011</w:t>
      </w:r>
      <w:r w:rsidRPr="002A0313">
        <w:t>.</w:t>
      </w:r>
    </w:p>
    <w:p w14:paraId="68AEAA99" w14:textId="77777777" w:rsidR="00AD7BE4" w:rsidRPr="002A0313" w:rsidRDefault="00A43434" w:rsidP="00DE3FDA">
      <w:pPr>
        <w:pStyle w:val="h5Section"/>
      </w:pPr>
      <w:bookmarkStart w:id="13" w:name="_Toc405889308"/>
      <w:bookmarkStart w:id="14" w:name="_Toc440270511"/>
      <w:bookmarkStart w:id="15" w:name="_Toc500948377"/>
      <w:r>
        <w:t>4</w:t>
      </w:r>
      <w:r w:rsidR="00DE3FDA">
        <w:t xml:space="preserve">  </w:t>
      </w:r>
      <w:r w:rsidR="00743F2D">
        <w:t>Amendment of methodology determination</w:t>
      </w:r>
      <w:bookmarkEnd w:id="13"/>
      <w:bookmarkEnd w:id="14"/>
      <w:r w:rsidR="003360EB">
        <w:t>s</w:t>
      </w:r>
      <w:bookmarkEnd w:id="15"/>
    </w:p>
    <w:p w14:paraId="0FD3AE84" w14:textId="77777777" w:rsidR="00743F2D" w:rsidRPr="003B36F0" w:rsidRDefault="00AD7BE4" w:rsidP="00AD7BE4">
      <w:pPr>
        <w:pStyle w:val="tMain"/>
      </w:pPr>
      <w:r w:rsidRPr="003538F7">
        <w:tab/>
      </w:r>
      <w:r w:rsidRPr="003538F7">
        <w:tab/>
      </w:r>
      <w:r w:rsidR="00242F65" w:rsidRPr="00242F65">
        <w:t>Each instrument that is specified in a Schedule to this instrument is amended or revoked as set out in the applicable items in the Schedule concerned, and any other item in a Schedule to this instrument ha</w:t>
      </w:r>
      <w:r w:rsidR="00242F65">
        <w:t>s effect according to its terms</w:t>
      </w:r>
      <w:r w:rsidR="00743F2D" w:rsidRPr="003B36F0">
        <w:t>.</w:t>
      </w:r>
    </w:p>
    <w:p w14:paraId="46DAA5E4" w14:textId="77777777" w:rsidR="00B31997" w:rsidRDefault="00A43434" w:rsidP="009644CF">
      <w:pPr>
        <w:pStyle w:val="h1Chap"/>
        <w:rPr>
          <w:i/>
        </w:rPr>
      </w:pPr>
      <w:bookmarkStart w:id="16" w:name="_Toc440270512"/>
      <w:bookmarkStart w:id="17" w:name="_Toc500948378"/>
      <w:r>
        <w:lastRenderedPageBreak/>
        <w:t>Schedule 1</w:t>
      </w:r>
      <w:r w:rsidR="00743F2D" w:rsidRPr="00C92564">
        <w:t>—Amendments</w:t>
      </w:r>
      <w:r w:rsidR="003538F7" w:rsidRPr="00C92564">
        <w:t xml:space="preserve"> of the</w:t>
      </w:r>
      <w:r w:rsidR="003538F7" w:rsidRPr="00C92564">
        <w:rPr>
          <w:i/>
        </w:rPr>
        <w:t xml:space="preserve"> </w:t>
      </w:r>
      <w:bookmarkEnd w:id="16"/>
      <w:r w:rsidR="00BA3D2E" w:rsidRPr="00BA3D2E">
        <w:rPr>
          <w:i/>
        </w:rPr>
        <w:t>Carbon Credits (Carbon Farming Initiative) (Reforestation by Environmental or Mallee Plantings—FullCAM) Methodology Determination 2014</w:t>
      </w:r>
      <w:bookmarkEnd w:id="17"/>
    </w:p>
    <w:p w14:paraId="4D1AEE8C" w14:textId="77777777" w:rsidR="00A3577C" w:rsidRPr="00347133" w:rsidRDefault="00A43434" w:rsidP="00A3577C">
      <w:pPr>
        <w:pStyle w:val="h5SchItem"/>
      </w:pPr>
      <w:r>
        <w:t>[1]</w:t>
      </w:r>
      <w:r w:rsidR="00A3577C" w:rsidRPr="00347133">
        <w:tab/>
        <w:t>Paragraph 1.2(a)</w:t>
      </w:r>
    </w:p>
    <w:p w14:paraId="1D3E5F15" w14:textId="77777777" w:rsidR="00A3577C" w:rsidRPr="00347133" w:rsidRDefault="00A3577C" w:rsidP="00A3577C">
      <w:pPr>
        <w:pStyle w:val="tMain"/>
      </w:pPr>
      <w:r w:rsidRPr="00347133">
        <w:tab/>
      </w:r>
      <w:r w:rsidRPr="00347133">
        <w:tab/>
        <w:t>Omit “Legislative Instruments”, substitute “Legislation”.</w:t>
      </w:r>
    </w:p>
    <w:p w14:paraId="7CD26385" w14:textId="77777777" w:rsidR="00A3577C" w:rsidRPr="00347133" w:rsidRDefault="00A43434" w:rsidP="00A3577C">
      <w:pPr>
        <w:pStyle w:val="h5SchItem"/>
      </w:pPr>
      <w:r>
        <w:t>[2]</w:t>
      </w:r>
      <w:r w:rsidR="00A3577C" w:rsidRPr="00347133">
        <w:tab/>
        <w:t>Paragraph 1.2(b)</w:t>
      </w:r>
    </w:p>
    <w:p w14:paraId="2E40DCAE" w14:textId="77777777" w:rsidR="00A3577C" w:rsidRPr="00347133" w:rsidRDefault="00A3577C" w:rsidP="00A3577C">
      <w:pPr>
        <w:pStyle w:val="tMain"/>
      </w:pPr>
      <w:r w:rsidRPr="00347133">
        <w:tab/>
      </w:r>
      <w:r w:rsidRPr="00347133">
        <w:tab/>
        <w:t>Omit “</w:t>
      </w:r>
      <w:r w:rsidRPr="00347133">
        <w:rPr>
          <w:i/>
        </w:rPr>
        <w:t>Legislative Instruments Act 2003</w:t>
      </w:r>
      <w:r w:rsidRPr="00347133">
        <w:t>”, substitute “</w:t>
      </w:r>
      <w:r w:rsidRPr="00347133">
        <w:rPr>
          <w:i/>
        </w:rPr>
        <w:t>Legislation Act 2003</w:t>
      </w:r>
      <w:r w:rsidRPr="00347133">
        <w:t>”.</w:t>
      </w:r>
    </w:p>
    <w:p w14:paraId="095EC054" w14:textId="77777777" w:rsidR="00F03041" w:rsidRDefault="00A43434" w:rsidP="00F03041">
      <w:pPr>
        <w:pStyle w:val="h5SchItem"/>
      </w:pPr>
      <w:r>
        <w:t>[3]</w:t>
      </w:r>
      <w:r w:rsidR="00F03041" w:rsidRPr="0066407A">
        <w:tab/>
      </w:r>
      <w:r w:rsidR="0053304C">
        <w:t xml:space="preserve">Section 1.3 (definition of </w:t>
      </w:r>
      <w:r w:rsidR="0053304C" w:rsidRPr="0053304C">
        <w:rPr>
          <w:i/>
        </w:rPr>
        <w:t xml:space="preserve">CFI </w:t>
      </w:r>
      <w:r w:rsidR="00BB39AD">
        <w:rPr>
          <w:i/>
        </w:rPr>
        <w:t>M</w:t>
      </w:r>
      <w:r w:rsidR="0053304C" w:rsidRPr="0053304C">
        <w:rPr>
          <w:i/>
        </w:rPr>
        <w:t xml:space="preserve">apping </w:t>
      </w:r>
      <w:r w:rsidR="00BB39AD">
        <w:rPr>
          <w:i/>
        </w:rPr>
        <w:t>T</w:t>
      </w:r>
      <w:r w:rsidR="0053304C" w:rsidRPr="0053304C">
        <w:rPr>
          <w:i/>
        </w:rPr>
        <w:t>ool</w:t>
      </w:r>
      <w:r w:rsidR="0053304C">
        <w:t>)</w:t>
      </w:r>
    </w:p>
    <w:p w14:paraId="13050413" w14:textId="77777777" w:rsidR="0053304C" w:rsidRPr="0053304C" w:rsidRDefault="0053304C" w:rsidP="0053304C">
      <w:pPr>
        <w:pStyle w:val="tMain"/>
      </w:pPr>
      <w:r>
        <w:tab/>
      </w:r>
      <w:r>
        <w:tab/>
        <w:t>Repeal the definition.</w:t>
      </w:r>
    </w:p>
    <w:p w14:paraId="427A112A" w14:textId="77777777" w:rsidR="0053304C" w:rsidRDefault="00A43434" w:rsidP="0053304C">
      <w:pPr>
        <w:pStyle w:val="h5SchItem"/>
      </w:pPr>
      <w:r>
        <w:t>[4]</w:t>
      </w:r>
      <w:r w:rsidR="0053304C" w:rsidRPr="0066407A">
        <w:tab/>
      </w:r>
      <w:r w:rsidR="009B5F1D">
        <w:t>Subsection 2.3(6)</w:t>
      </w:r>
    </w:p>
    <w:p w14:paraId="5FF13DF1" w14:textId="77777777" w:rsidR="0053304C" w:rsidRDefault="009B5F1D" w:rsidP="009B5F1D">
      <w:pPr>
        <w:pStyle w:val="tMain"/>
      </w:pPr>
      <w:r>
        <w:tab/>
      </w:r>
      <w:r>
        <w:tab/>
      </w:r>
      <w:r w:rsidR="001052DB">
        <w:t>Omit “</w:t>
      </w:r>
      <w:r w:rsidR="001052DB" w:rsidRPr="00374785">
        <w:t>long term average rainfall map layer in the CFI Mapping Tool</w:t>
      </w:r>
      <w:r w:rsidR="001052DB">
        <w:t>”, substitute “Long Term Average Rainfall Map Layer”.</w:t>
      </w:r>
    </w:p>
    <w:p w14:paraId="44E21D8B" w14:textId="77777777" w:rsidR="001052DB" w:rsidRDefault="00A43434" w:rsidP="0053304C">
      <w:pPr>
        <w:pStyle w:val="h5SchItem"/>
      </w:pPr>
      <w:r>
        <w:t>[5]</w:t>
      </w:r>
      <w:r w:rsidR="0053304C" w:rsidRPr="0066407A">
        <w:tab/>
      </w:r>
      <w:r w:rsidR="001052DB">
        <w:t>After subsection 2.3(6)</w:t>
      </w:r>
    </w:p>
    <w:p w14:paraId="319432EA" w14:textId="77777777" w:rsidR="0053304C" w:rsidRDefault="001052DB" w:rsidP="001052DB">
      <w:pPr>
        <w:pStyle w:val="tMain"/>
      </w:pPr>
      <w:r>
        <w:tab/>
      </w:r>
      <w:r>
        <w:tab/>
        <w:t>Insert:</w:t>
      </w:r>
    </w:p>
    <w:p w14:paraId="1D72178C" w14:textId="77777777" w:rsidR="001052DB" w:rsidRDefault="001052DB" w:rsidP="001052DB">
      <w:pPr>
        <w:pStyle w:val="tMain"/>
      </w:pPr>
      <w:r>
        <w:tab/>
        <w:t>(6A)</w:t>
      </w:r>
      <w:r>
        <w:tab/>
        <w:t xml:space="preserve">In </w:t>
      </w:r>
      <w:r w:rsidR="00C91D2F">
        <w:t>subsection (6)</w:t>
      </w:r>
      <w:r>
        <w:t>:</w:t>
      </w:r>
    </w:p>
    <w:p w14:paraId="3CFE15D9" w14:textId="77777777" w:rsidR="0053304C" w:rsidRDefault="001052DB" w:rsidP="001052DB">
      <w:pPr>
        <w:pStyle w:val="tDefn"/>
      </w:pPr>
      <w:r>
        <w:rPr>
          <w:b/>
          <w:i/>
        </w:rPr>
        <w:t>Long Term Average Rainfall Map Layer</w:t>
      </w:r>
      <w:r>
        <w:t xml:space="preserve"> means the online data layer of that name, as published on the Department’s website and as in force from time to time.</w:t>
      </w:r>
    </w:p>
    <w:p w14:paraId="7A990450" w14:textId="10CD0B4F" w:rsidR="001052DB" w:rsidRDefault="001052DB" w:rsidP="001052DB">
      <w:pPr>
        <w:pStyle w:val="nMain"/>
      </w:pPr>
      <w:r>
        <w:t>Note:</w:t>
      </w:r>
      <w:r>
        <w:tab/>
        <w:t xml:space="preserve">In </w:t>
      </w:r>
      <w:r w:rsidR="00582CB6">
        <w:t>2018</w:t>
      </w:r>
      <w:r>
        <w:t xml:space="preserve">, the Department’s website was </w:t>
      </w:r>
      <w:r w:rsidRPr="001052DB">
        <w:t>http://www.environment.gov.au</w:t>
      </w:r>
      <w:r>
        <w:t>.</w:t>
      </w:r>
    </w:p>
    <w:p w14:paraId="5B477323" w14:textId="77777777" w:rsidR="009B48F9" w:rsidRPr="00347133" w:rsidRDefault="00A43434" w:rsidP="009B48F9">
      <w:pPr>
        <w:pStyle w:val="h5SchItem"/>
      </w:pPr>
      <w:r>
        <w:t>[6]</w:t>
      </w:r>
      <w:r w:rsidR="009B48F9" w:rsidRPr="00347133">
        <w:tab/>
        <w:t>Section 4.1</w:t>
      </w:r>
    </w:p>
    <w:p w14:paraId="5F18EC24" w14:textId="77777777" w:rsidR="009B48F9" w:rsidRPr="00347133" w:rsidRDefault="009B48F9" w:rsidP="009B48F9">
      <w:pPr>
        <w:pStyle w:val="tMain"/>
      </w:pPr>
      <w:r w:rsidRPr="00347133">
        <w:tab/>
      </w:r>
      <w:r w:rsidRPr="00347133">
        <w:tab/>
        <w:t>Omit “the project area”, substitute “all project areas”.</w:t>
      </w:r>
    </w:p>
    <w:p w14:paraId="5A280688" w14:textId="77777777" w:rsidR="00062C32" w:rsidRDefault="00A43434" w:rsidP="00062C32">
      <w:pPr>
        <w:pStyle w:val="h5SchItem"/>
      </w:pPr>
      <w:r>
        <w:t>[7]</w:t>
      </w:r>
      <w:r w:rsidR="00062C32" w:rsidRPr="00C92564">
        <w:tab/>
      </w:r>
      <w:r w:rsidR="00FD166F">
        <w:t>Subsection 4.9(1)</w:t>
      </w:r>
    </w:p>
    <w:p w14:paraId="4C8F66FF" w14:textId="77777777" w:rsidR="00FD166F" w:rsidRDefault="00FD166F" w:rsidP="00FD166F">
      <w:pPr>
        <w:pStyle w:val="tMain"/>
      </w:pPr>
      <w:r>
        <w:tab/>
      </w:r>
      <w:r>
        <w:tab/>
        <w:t>Omit “subsection (2)”, substitute “subsection 4.8(2)</w:t>
      </w:r>
      <w:r w:rsidR="000829E2">
        <w:t xml:space="preserve"> </w:t>
      </w:r>
      <w:r w:rsidR="000829E2" w:rsidRPr="000C7553">
        <w:t>or subsection 4.8(</w:t>
      </w:r>
      <w:r w:rsidR="003709BE" w:rsidRPr="00D13565">
        <w:t>3</w:t>
      </w:r>
      <w:r w:rsidR="000829E2" w:rsidRPr="000C7553">
        <w:t>)</w:t>
      </w:r>
      <w:r w:rsidRPr="000C7553">
        <w:t>”.</w:t>
      </w:r>
    </w:p>
    <w:p w14:paraId="346F2B70" w14:textId="77777777" w:rsidR="00E75B7B" w:rsidRPr="00347133" w:rsidRDefault="00A43434" w:rsidP="00E75B7B">
      <w:pPr>
        <w:pStyle w:val="h5SchItem"/>
      </w:pPr>
      <w:r>
        <w:t>[8]</w:t>
      </w:r>
      <w:r w:rsidR="00E75B7B" w:rsidRPr="00347133">
        <w:tab/>
        <w:t>Section 4.10 (heading)</w:t>
      </w:r>
    </w:p>
    <w:p w14:paraId="27E2499F" w14:textId="77777777" w:rsidR="00E75B7B" w:rsidRPr="00347133" w:rsidRDefault="00E75B7B" w:rsidP="00E75B7B">
      <w:pPr>
        <w:pStyle w:val="tMain"/>
      </w:pPr>
      <w:r w:rsidRPr="00347133">
        <w:tab/>
      </w:r>
      <w:r w:rsidRPr="00347133">
        <w:tab/>
        <w:t>Repeal the heading, substitute:</w:t>
      </w:r>
    </w:p>
    <w:p w14:paraId="2F2F1BC0" w14:textId="77777777" w:rsidR="00E75B7B" w:rsidRPr="00347133" w:rsidRDefault="00E75B7B" w:rsidP="00E75B7B">
      <w:pPr>
        <w:pStyle w:val="h5Section"/>
      </w:pPr>
      <w:bookmarkStart w:id="18" w:name="_Toc500238528"/>
      <w:bookmarkStart w:id="19" w:name="_Toc500948379"/>
      <w:r w:rsidRPr="00347133">
        <w:t>4.10</w:t>
      </w:r>
      <w:r w:rsidRPr="00347133">
        <w:tab/>
        <w:t>Calculating initial carbon stock for project area</w:t>
      </w:r>
      <w:bookmarkEnd w:id="18"/>
      <w:bookmarkEnd w:id="19"/>
    </w:p>
    <w:p w14:paraId="3D485710" w14:textId="77777777" w:rsidR="00633421" w:rsidRPr="00633421" w:rsidRDefault="00A43434" w:rsidP="00633421">
      <w:pPr>
        <w:pStyle w:val="h5SchItem"/>
        <w:rPr>
          <w:color w:val="000000" w:themeColor="text1"/>
        </w:rPr>
      </w:pPr>
      <w:r>
        <w:rPr>
          <w:color w:val="000000" w:themeColor="text1"/>
        </w:rPr>
        <w:t>[9]</w:t>
      </w:r>
      <w:r w:rsidR="00633421" w:rsidRPr="00633421">
        <w:rPr>
          <w:color w:val="000000" w:themeColor="text1"/>
        </w:rPr>
        <w:tab/>
        <w:t>Subsection 4.10(2)</w:t>
      </w:r>
    </w:p>
    <w:p w14:paraId="1B40D123" w14:textId="77777777" w:rsidR="00633421" w:rsidRDefault="00633421" w:rsidP="00633421">
      <w:pPr>
        <w:pStyle w:val="tMain"/>
        <w:rPr>
          <w:color w:val="000000" w:themeColor="text1"/>
        </w:rPr>
      </w:pPr>
      <w:r w:rsidRPr="00633421">
        <w:rPr>
          <w:color w:val="000000" w:themeColor="text1"/>
        </w:rPr>
        <w:tab/>
      </w:r>
      <w:r w:rsidRPr="00633421">
        <w:rPr>
          <w:color w:val="000000" w:themeColor="text1"/>
        </w:rPr>
        <w:tab/>
        <w:t>Omit “the first offsets report”, substitute “</w:t>
      </w:r>
      <w:r w:rsidR="00263A33" w:rsidRPr="00347133">
        <w:t>a project area</w:t>
      </w:r>
      <w:r w:rsidRPr="00633421">
        <w:rPr>
          <w:color w:val="000000" w:themeColor="text1"/>
        </w:rPr>
        <w:t>”.</w:t>
      </w:r>
    </w:p>
    <w:p w14:paraId="20A3FAC4" w14:textId="77777777" w:rsidR="002C4B5B" w:rsidRPr="00347133" w:rsidRDefault="00A43434" w:rsidP="002C4B5B">
      <w:pPr>
        <w:pStyle w:val="h5SchItem"/>
      </w:pPr>
      <w:r>
        <w:lastRenderedPageBreak/>
        <w:t>[10]</w:t>
      </w:r>
      <w:r w:rsidR="002C4B5B" w:rsidRPr="00347133">
        <w:tab/>
      </w:r>
      <w:r w:rsidR="00B774F1" w:rsidRPr="00347133">
        <w:t>Paragraph </w:t>
      </w:r>
      <w:r w:rsidR="002C4B5B" w:rsidRPr="00347133">
        <w:t>4.10(2)</w:t>
      </w:r>
      <w:r w:rsidR="00B774F1" w:rsidRPr="00347133">
        <w:t>(a)</w:t>
      </w:r>
    </w:p>
    <w:p w14:paraId="4DD7FCE1" w14:textId="77777777" w:rsidR="00294C30" w:rsidRPr="00347133" w:rsidRDefault="00294C30" w:rsidP="00294C30">
      <w:pPr>
        <w:pStyle w:val="tMain"/>
      </w:pPr>
      <w:r w:rsidRPr="00347133">
        <w:tab/>
      </w:r>
      <w:r w:rsidRPr="00347133">
        <w:tab/>
        <w:t>Repeal the paragraph, substitute:</w:t>
      </w:r>
    </w:p>
    <w:p w14:paraId="720D2F1C" w14:textId="77777777" w:rsidR="00294C30" w:rsidRPr="00347133" w:rsidRDefault="00294C30" w:rsidP="00294C30">
      <w:pPr>
        <w:pStyle w:val="tPara"/>
      </w:pPr>
      <w:r w:rsidRPr="00347133">
        <w:tab/>
        <w:t>(a)</w:t>
      </w:r>
      <w:r w:rsidRPr="00347133">
        <w:tab/>
        <w:t>if:</w:t>
      </w:r>
    </w:p>
    <w:p w14:paraId="7ED52A2C" w14:textId="77777777" w:rsidR="00294C30" w:rsidRPr="00347133" w:rsidRDefault="00294C30" w:rsidP="00294C30">
      <w:pPr>
        <w:pStyle w:val="tSubpara"/>
      </w:pPr>
      <w:r w:rsidRPr="00347133">
        <w:tab/>
        <w:t>(i)</w:t>
      </w:r>
      <w:r w:rsidRPr="00347133">
        <w:tab/>
        <w:t>the project area was a project area of an eligible offsets project to which this Determination applied at the declaration date of that project; and</w:t>
      </w:r>
    </w:p>
    <w:p w14:paraId="52BFD47E" w14:textId="77777777" w:rsidR="00294C30" w:rsidRPr="00347133" w:rsidRDefault="00294C30" w:rsidP="00294C30">
      <w:pPr>
        <w:pStyle w:val="tSubpara"/>
      </w:pPr>
      <w:r w:rsidRPr="00347133">
        <w:tab/>
        <w:t>(ii)</w:t>
      </w:r>
      <w:r w:rsidRPr="00347133">
        <w:tab/>
        <w:t>the project commenced in that project area before th</w:t>
      </w:r>
      <w:r w:rsidR="00B31A59" w:rsidRPr="00347133">
        <w:t>at</w:t>
      </w:r>
      <w:r w:rsidRPr="00347133">
        <w:t xml:space="preserve"> date;</w:t>
      </w:r>
    </w:p>
    <w:p w14:paraId="2447BF04" w14:textId="77777777" w:rsidR="00294C30" w:rsidRPr="00347133" w:rsidRDefault="00294C30" w:rsidP="00294C30">
      <w:pPr>
        <w:pStyle w:val="tPara"/>
      </w:pPr>
      <w:r w:rsidRPr="00347133">
        <w:tab/>
      </w:r>
      <w:r w:rsidRPr="00347133">
        <w:tab/>
        <w:t xml:space="preserve">equal to the carbon stock for the project area </w:t>
      </w:r>
      <w:r w:rsidR="00643C97" w:rsidRPr="00347133">
        <w:t>calculated in accordance with subsection (3)</w:t>
      </w:r>
      <w:r w:rsidRPr="00347133">
        <w:t>; and</w:t>
      </w:r>
    </w:p>
    <w:p w14:paraId="6F77BCBD" w14:textId="77777777" w:rsidR="002C4B5B" w:rsidRPr="00347133" w:rsidRDefault="00A43434" w:rsidP="002C4B5B">
      <w:pPr>
        <w:pStyle w:val="h5SchItem"/>
      </w:pPr>
      <w:r>
        <w:t>[11]</w:t>
      </w:r>
      <w:r w:rsidR="002C4B5B" w:rsidRPr="00347133">
        <w:tab/>
      </w:r>
      <w:r w:rsidR="00B774F1" w:rsidRPr="00347133">
        <w:t>Paragraph</w:t>
      </w:r>
      <w:r w:rsidR="002C4B5B" w:rsidRPr="00347133">
        <w:t> 4.10(2)</w:t>
      </w:r>
      <w:r w:rsidR="00B774F1" w:rsidRPr="00347133">
        <w:t>(b)</w:t>
      </w:r>
    </w:p>
    <w:p w14:paraId="5F909904" w14:textId="77777777" w:rsidR="002C4B5B" w:rsidRPr="00347133" w:rsidRDefault="002C4B5B" w:rsidP="002C4B5B">
      <w:pPr>
        <w:pStyle w:val="tMain"/>
      </w:pPr>
      <w:r w:rsidRPr="00347133">
        <w:tab/>
      </w:r>
      <w:r w:rsidRPr="00347133">
        <w:tab/>
        <w:t>Omit “</w:t>
      </w:r>
      <w:r w:rsidR="00AC3737" w:rsidRPr="00347133">
        <w:t>projects</w:t>
      </w:r>
      <w:r w:rsidRPr="00347133">
        <w:t>”, substitute “project area</w:t>
      </w:r>
      <w:r w:rsidR="00B774F1" w:rsidRPr="00347133">
        <w:t>s</w:t>
      </w:r>
      <w:r w:rsidRPr="00347133">
        <w:t>”.</w:t>
      </w:r>
    </w:p>
    <w:p w14:paraId="494B201E" w14:textId="77777777" w:rsidR="00633421" w:rsidRPr="00347133" w:rsidRDefault="00A43434" w:rsidP="00633421">
      <w:pPr>
        <w:pStyle w:val="h5SchItem"/>
      </w:pPr>
      <w:r>
        <w:t>[12]</w:t>
      </w:r>
      <w:r w:rsidR="00633421" w:rsidRPr="00347133">
        <w:tab/>
        <w:t>Subsection 4.10(3)</w:t>
      </w:r>
    </w:p>
    <w:p w14:paraId="621C0DCA" w14:textId="77777777" w:rsidR="00633421" w:rsidRPr="00347133" w:rsidRDefault="00633421" w:rsidP="00633421">
      <w:pPr>
        <w:pStyle w:val="tMain"/>
      </w:pPr>
      <w:r w:rsidRPr="00347133">
        <w:tab/>
      </w:r>
      <w:r w:rsidRPr="00347133">
        <w:tab/>
        <w:t xml:space="preserve">Omit “The initial carbon stock specified in paragraph (2)(a) must be calculated for each reporting period”, </w:t>
      </w:r>
      <w:r w:rsidR="009B5122" w:rsidRPr="00347133">
        <w:t>substitute</w:t>
      </w:r>
      <w:r w:rsidRPr="00347133">
        <w:t xml:space="preserve"> “For paragraph (2)(a), the initial carbon stock</w:t>
      </w:r>
      <w:r w:rsidR="00643C97" w:rsidRPr="00347133">
        <w:t xml:space="preserve"> for the project area </w:t>
      </w:r>
      <w:r w:rsidRPr="00347133">
        <w:t>must be calculated”.</w:t>
      </w:r>
    </w:p>
    <w:p w14:paraId="6949F7FD" w14:textId="77777777" w:rsidR="00CC41F9" w:rsidRPr="00347133" w:rsidRDefault="00A43434" w:rsidP="00CC41F9">
      <w:pPr>
        <w:pStyle w:val="h5SchItem"/>
      </w:pPr>
      <w:r>
        <w:t>[13]</w:t>
      </w:r>
      <w:r w:rsidR="00CC41F9" w:rsidRPr="00347133">
        <w:tab/>
        <w:t xml:space="preserve">Subsection 4.10(3) (table for equation 11a—cell at item, value of </w:t>
      </w:r>
      <w:r w:rsidR="00CC41F9" w:rsidRPr="00347133">
        <w:rPr>
          <w:i/>
        </w:rPr>
        <w:t>C</w:t>
      </w:r>
      <w:r w:rsidR="00CC41F9" w:rsidRPr="00347133">
        <w:rPr>
          <w:i/>
          <w:vertAlign w:val="subscript"/>
        </w:rPr>
        <w:t>Di</w:t>
      </w:r>
      <w:r w:rsidR="00CC41F9" w:rsidRPr="00347133">
        <w:t>)</w:t>
      </w:r>
    </w:p>
    <w:p w14:paraId="55BB9D8B" w14:textId="77777777" w:rsidR="00CC41F9" w:rsidRPr="00347133" w:rsidRDefault="00CC41F9" w:rsidP="00CC41F9">
      <w:pPr>
        <w:pStyle w:val="tMain"/>
      </w:pPr>
      <w:r w:rsidRPr="00347133">
        <w:tab/>
      </w:r>
      <w:r w:rsidRPr="00347133">
        <w:tab/>
        <w:t>Repeal the cell, substitute:</w:t>
      </w:r>
    </w:p>
    <w:p w14:paraId="1997C846" w14:textId="77777777" w:rsidR="00CC41F9" w:rsidRPr="00347133" w:rsidRDefault="00CC41F9" w:rsidP="00CC41F9">
      <w:pPr>
        <w:pStyle w:val="tMain"/>
      </w:pPr>
      <w:r w:rsidRPr="00347133">
        <w:tab/>
      </w:r>
      <w:r w:rsidRPr="00347133">
        <w:tab/>
        <w:t xml:space="preserve">initial carbon stock for the </w:t>
      </w:r>
      <m:oMath>
        <m:r>
          <w:rPr>
            <w:rFonts w:ascii="Cambria Math" w:hAnsi="Cambria Math"/>
          </w:rPr>
          <m:t>i</m:t>
        </m:r>
      </m:oMath>
      <w:r w:rsidRPr="00347133">
        <w:rPr>
          <w:vertAlign w:val="superscript"/>
        </w:rPr>
        <w:t>th</w:t>
      </w:r>
      <w:r w:rsidRPr="00347133">
        <w:t xml:space="preserve"> carbon estimation area </w:t>
      </w:r>
      <w:r w:rsidRPr="00347133">
        <w:rPr>
          <w:iCs/>
        </w:rPr>
        <w:t xml:space="preserve">at the </w:t>
      </w:r>
      <w:r w:rsidR="00016EA3" w:rsidRPr="00347133">
        <w:rPr>
          <w:iCs/>
        </w:rPr>
        <w:t xml:space="preserve">relevant </w:t>
      </w:r>
      <w:r w:rsidRPr="00347133">
        <w:rPr>
          <w:iCs/>
        </w:rPr>
        <w:t xml:space="preserve">declaration date, </w:t>
      </w:r>
      <m:oMath>
        <m:r>
          <w:rPr>
            <w:rFonts w:ascii="Cambria Math" w:hAnsi="Cambria Math"/>
          </w:rPr>
          <m:t>D</m:t>
        </m:r>
      </m:oMath>
      <w:r w:rsidRPr="00347133">
        <w:rPr>
          <w:iCs/>
        </w:rPr>
        <w:t xml:space="preserve"> (in tonnes C)—see Equation 12a</w:t>
      </w:r>
      <w:r w:rsidRPr="00347133">
        <w:t>.</w:t>
      </w:r>
    </w:p>
    <w:p w14:paraId="6EEAD2AF" w14:textId="77777777" w:rsidR="00597029" w:rsidRPr="00347133" w:rsidRDefault="00A43434" w:rsidP="00597029">
      <w:pPr>
        <w:pStyle w:val="h5SchItem"/>
      </w:pPr>
      <w:r>
        <w:t>[14]</w:t>
      </w:r>
      <w:r w:rsidR="00597029" w:rsidRPr="00347133">
        <w:tab/>
        <w:t>Subsection 4.10(3) (table for equation 11a—</w:t>
      </w:r>
      <w:r w:rsidR="00B31A59" w:rsidRPr="00347133">
        <w:t xml:space="preserve">cell at </w:t>
      </w:r>
      <w:r w:rsidR="00597029" w:rsidRPr="00347133">
        <w:t xml:space="preserve">item, value of </w:t>
      </w:r>
      <w:r w:rsidR="00597029" w:rsidRPr="00347133">
        <w:rPr>
          <w:i/>
        </w:rPr>
        <w:t>n</w:t>
      </w:r>
      <w:r w:rsidR="00597029" w:rsidRPr="00347133">
        <w:rPr>
          <w:i/>
          <w:vertAlign w:val="subscript"/>
        </w:rPr>
        <w:t>D</w:t>
      </w:r>
      <w:r w:rsidR="00597029" w:rsidRPr="00347133">
        <w:t>)</w:t>
      </w:r>
    </w:p>
    <w:p w14:paraId="41A178B0" w14:textId="77777777" w:rsidR="00EA62DC" w:rsidRPr="002B0C79" w:rsidRDefault="00EA62DC" w:rsidP="00597029">
      <w:pPr>
        <w:pStyle w:val="tMain"/>
      </w:pPr>
      <w:r w:rsidRPr="002B0C79">
        <w:tab/>
      </w:r>
      <w:r w:rsidRPr="002B0C79">
        <w:tab/>
        <w:t>Omit the table item, substitute:</w:t>
      </w:r>
    </w:p>
    <w:tbl>
      <w:tblPr>
        <w:tblStyle w:val="TableGrid"/>
        <w:tblW w:w="0" w:type="auto"/>
        <w:tblInd w:w="964" w:type="dxa"/>
        <w:tblLook w:val="04A0" w:firstRow="1" w:lastRow="0" w:firstColumn="1" w:lastColumn="0" w:noHBand="0" w:noVBand="1"/>
      </w:tblPr>
      <w:tblGrid>
        <w:gridCol w:w="1116"/>
        <w:gridCol w:w="6936"/>
      </w:tblGrid>
      <w:tr w:rsidR="002B0C79" w:rsidRPr="002B0C79" w14:paraId="4475525E" w14:textId="77777777" w:rsidTr="00DE0C1E">
        <w:tc>
          <w:tcPr>
            <w:tcW w:w="1116" w:type="dxa"/>
          </w:tcPr>
          <w:p w14:paraId="6A9FCE2D" w14:textId="77777777" w:rsidR="00EA62DC" w:rsidRPr="002B0C79" w:rsidRDefault="00B32E64" w:rsidP="00EA62DC">
            <w:pPr>
              <w:pStyle w:val="tMain"/>
              <w:ind w:left="0" w:firstLine="0"/>
              <w:jc w:val="right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eastAsia="en-US"/>
                  </w:rPr>
                  <m:t>=</m:t>
                </m:r>
              </m:oMath>
            </m:oMathPara>
          </w:p>
        </w:tc>
        <w:tc>
          <w:tcPr>
            <w:tcW w:w="6936" w:type="dxa"/>
          </w:tcPr>
          <w:p w14:paraId="0FB5972D" w14:textId="77777777" w:rsidR="00EA62DC" w:rsidRPr="002B0C79" w:rsidRDefault="00EA62DC" w:rsidP="00EA62DC">
            <w:pPr>
              <w:pStyle w:val="tMain"/>
              <w:ind w:left="0" w:firstLine="0"/>
              <w:rPr>
                <w:iCs/>
              </w:rPr>
            </w:pPr>
            <w:r w:rsidRPr="002B0C79">
              <w:rPr>
                <w:iCs/>
              </w:rPr>
              <w:t xml:space="preserve">total number of carbon estimation areas </w:t>
            </w:r>
            <w:r w:rsidRPr="002B0C79">
              <w:t>in the project area</w:t>
            </w:r>
            <w:r w:rsidRPr="002B0C79">
              <w:rPr>
                <w:iCs/>
              </w:rPr>
              <w:t xml:space="preserve"> at the relevant declaration date </w:t>
            </w:r>
            <m:oMath>
              <m:r>
                <w:rPr>
                  <w:rFonts w:ascii="Cambria Math" w:hAnsi="Cambria Math"/>
                </w:rPr>
                <m:t>D</m:t>
              </m:r>
            </m:oMath>
            <w:r w:rsidRPr="002B0C79">
              <w:t>.</w:t>
            </w:r>
          </w:p>
        </w:tc>
      </w:tr>
    </w:tbl>
    <w:p w14:paraId="63E5C2C1" w14:textId="77777777" w:rsidR="004A58F6" w:rsidRPr="00347133" w:rsidRDefault="00A43434" w:rsidP="004A58F6">
      <w:pPr>
        <w:pStyle w:val="h5SchItem"/>
      </w:pPr>
      <w:r>
        <w:t>[15]</w:t>
      </w:r>
      <w:r w:rsidR="004A58F6" w:rsidRPr="00347133">
        <w:tab/>
        <w:t xml:space="preserve">Section 4.11 (table for equation 11b—item, value of </w:t>
      </w:r>
      <w:r w:rsidR="004A58F6" w:rsidRPr="00347133">
        <w:rPr>
          <w:i/>
        </w:rPr>
        <w:t>n</w:t>
      </w:r>
      <w:r w:rsidR="004A58F6" w:rsidRPr="00347133">
        <w:t>)</w:t>
      </w:r>
    </w:p>
    <w:p w14:paraId="006D4174" w14:textId="77777777" w:rsidR="004A58F6" w:rsidRPr="00347133" w:rsidRDefault="004A58F6" w:rsidP="004A58F6">
      <w:pPr>
        <w:pStyle w:val="tMain"/>
      </w:pPr>
      <w:r w:rsidRPr="00347133">
        <w:tab/>
      </w:r>
      <w:r w:rsidRPr="00347133">
        <w:tab/>
        <w:t>After “carbon estimation areas”, insert “in the project area”.</w:t>
      </w:r>
    </w:p>
    <w:p w14:paraId="7A74C2B9" w14:textId="77777777" w:rsidR="00633421" w:rsidRPr="009B5122" w:rsidRDefault="00A43434" w:rsidP="00633421">
      <w:pPr>
        <w:pStyle w:val="h5SchItem"/>
        <w:rPr>
          <w:color w:val="000000" w:themeColor="text1"/>
        </w:rPr>
      </w:pPr>
      <w:r>
        <w:rPr>
          <w:color w:val="000000" w:themeColor="text1"/>
        </w:rPr>
        <w:t>[16]</w:t>
      </w:r>
      <w:r w:rsidR="00633421" w:rsidRPr="009B5122">
        <w:rPr>
          <w:color w:val="000000" w:themeColor="text1"/>
        </w:rPr>
        <w:tab/>
        <w:t>Subsection 4.12(1)</w:t>
      </w:r>
    </w:p>
    <w:p w14:paraId="6C5F2D44" w14:textId="77777777" w:rsidR="00633421" w:rsidRPr="009B5122" w:rsidRDefault="00633421" w:rsidP="00633421">
      <w:pPr>
        <w:pStyle w:val="tMain"/>
        <w:rPr>
          <w:color w:val="000000" w:themeColor="text1"/>
        </w:rPr>
      </w:pPr>
      <w:r w:rsidRPr="009B5122">
        <w:rPr>
          <w:color w:val="000000" w:themeColor="text1"/>
        </w:rPr>
        <w:tab/>
      </w:r>
      <w:r w:rsidRPr="009B5122">
        <w:rPr>
          <w:color w:val="000000" w:themeColor="text1"/>
        </w:rPr>
        <w:tab/>
        <w:t xml:space="preserve">Omit “For each reporting period, the”, </w:t>
      </w:r>
      <w:r w:rsidR="009B5122" w:rsidRPr="009B5122">
        <w:rPr>
          <w:color w:val="000000" w:themeColor="text1"/>
        </w:rPr>
        <w:t>substitute</w:t>
      </w:r>
      <w:r w:rsidRPr="009B5122">
        <w:rPr>
          <w:color w:val="000000" w:themeColor="text1"/>
        </w:rPr>
        <w:t xml:space="preserve"> “The”.</w:t>
      </w:r>
    </w:p>
    <w:p w14:paraId="1A586B0A" w14:textId="77777777" w:rsidR="00633421" w:rsidRPr="009B5122" w:rsidRDefault="00A43434" w:rsidP="00633421">
      <w:pPr>
        <w:pStyle w:val="h5SchItem"/>
        <w:rPr>
          <w:color w:val="000000" w:themeColor="text1"/>
        </w:rPr>
      </w:pPr>
      <w:r>
        <w:rPr>
          <w:color w:val="000000" w:themeColor="text1"/>
        </w:rPr>
        <w:t>[17]</w:t>
      </w:r>
      <w:r w:rsidR="00633421" w:rsidRPr="009B5122">
        <w:rPr>
          <w:color w:val="000000" w:themeColor="text1"/>
        </w:rPr>
        <w:tab/>
        <w:t xml:space="preserve">Subsection 4.12(1) (table for equation 12a—item, value of </w:t>
      </w:r>
      <w:r w:rsidR="00633421" w:rsidRPr="009B5122">
        <w:rPr>
          <w:i/>
          <w:color w:val="000000" w:themeColor="text1"/>
        </w:rPr>
        <w:t>C</w:t>
      </w:r>
      <w:r w:rsidR="00633421" w:rsidRPr="009B5122">
        <w:rPr>
          <w:i/>
          <w:color w:val="000000" w:themeColor="text1"/>
          <w:vertAlign w:val="subscript"/>
        </w:rPr>
        <w:t>Di</w:t>
      </w:r>
      <w:r w:rsidR="00633421" w:rsidRPr="009B5122">
        <w:rPr>
          <w:color w:val="000000" w:themeColor="text1"/>
        </w:rPr>
        <w:t>)</w:t>
      </w:r>
    </w:p>
    <w:p w14:paraId="4D0F104F" w14:textId="77777777" w:rsidR="00633421" w:rsidRDefault="00633421" w:rsidP="00633421">
      <w:pPr>
        <w:pStyle w:val="tMain"/>
        <w:rPr>
          <w:color w:val="000000" w:themeColor="text1"/>
        </w:rPr>
      </w:pPr>
      <w:r w:rsidRPr="009B5122">
        <w:rPr>
          <w:color w:val="000000" w:themeColor="text1"/>
        </w:rPr>
        <w:tab/>
      </w:r>
      <w:r w:rsidRPr="009B5122">
        <w:rPr>
          <w:color w:val="000000" w:themeColor="text1"/>
        </w:rPr>
        <w:tab/>
        <w:t>Omit “the beginning of the first reporting period”, substitute “</w:t>
      </w:r>
      <w:r w:rsidRPr="009B5122">
        <w:rPr>
          <w:iCs/>
          <w:color w:val="000000" w:themeColor="text1"/>
        </w:rPr>
        <w:t xml:space="preserve">the declaration date </w:t>
      </w:r>
      <m:oMath>
        <m:r>
          <w:rPr>
            <w:rFonts w:ascii="Cambria Math" w:hAnsi="Cambria Math"/>
            <w:color w:val="000000" w:themeColor="text1"/>
          </w:rPr>
          <m:t>D</m:t>
        </m:r>
      </m:oMath>
      <w:r w:rsidRPr="009B5122">
        <w:rPr>
          <w:color w:val="000000" w:themeColor="text1"/>
        </w:rPr>
        <w:t>”.</w:t>
      </w:r>
    </w:p>
    <w:p w14:paraId="55F190F2" w14:textId="77777777" w:rsidR="00631B73" w:rsidRPr="00347133" w:rsidRDefault="00A43434" w:rsidP="00631B73">
      <w:pPr>
        <w:pStyle w:val="h5SchItem"/>
      </w:pPr>
      <w:r>
        <w:t>[18]</w:t>
      </w:r>
      <w:r w:rsidR="00631B73" w:rsidRPr="00347133">
        <w:tab/>
        <w:t>Division 4.4 (heading)</w:t>
      </w:r>
    </w:p>
    <w:p w14:paraId="2F52837C" w14:textId="77777777" w:rsidR="00631B73" w:rsidRPr="00347133" w:rsidRDefault="00631B73" w:rsidP="00631B73">
      <w:pPr>
        <w:pStyle w:val="tMain"/>
      </w:pPr>
      <w:r w:rsidRPr="00347133">
        <w:tab/>
      </w:r>
      <w:r w:rsidRPr="00347133">
        <w:tab/>
        <w:t>Repeal the heading, substitute:</w:t>
      </w:r>
    </w:p>
    <w:p w14:paraId="0B8AF149" w14:textId="77777777" w:rsidR="00631B73" w:rsidRPr="00347133" w:rsidRDefault="00631B73" w:rsidP="00631B73">
      <w:pPr>
        <w:pStyle w:val="h3Div"/>
      </w:pPr>
      <w:bookmarkStart w:id="20" w:name="_Toc500238529"/>
      <w:bookmarkStart w:id="21" w:name="_Toc500948380"/>
      <w:r w:rsidRPr="00347133">
        <w:lastRenderedPageBreak/>
        <w:t xml:space="preserve">Division </w:t>
      </w:r>
      <w:r w:rsidR="002B1A07" w:rsidRPr="00347133">
        <w:t>4.4</w:t>
      </w:r>
      <w:r w:rsidRPr="00347133">
        <w:t>—</w:t>
      </w:r>
      <w:r w:rsidR="002B1A07" w:rsidRPr="00347133">
        <w:t xml:space="preserve">Calculation of </w:t>
      </w:r>
      <w:r w:rsidRPr="00347133">
        <w:t>project area</w:t>
      </w:r>
      <w:r w:rsidR="002B1A07" w:rsidRPr="00347133">
        <w:t xml:space="preserve"> emissions</w:t>
      </w:r>
      <w:bookmarkEnd w:id="20"/>
      <w:bookmarkEnd w:id="21"/>
    </w:p>
    <w:p w14:paraId="6C572AB3" w14:textId="77777777" w:rsidR="00217E3A" w:rsidRPr="00347133" w:rsidRDefault="00A43434" w:rsidP="00217E3A">
      <w:pPr>
        <w:pStyle w:val="h5SchItem"/>
      </w:pPr>
      <w:r>
        <w:t>[19]</w:t>
      </w:r>
      <w:r w:rsidR="00217E3A" w:rsidRPr="00347133">
        <w:tab/>
        <w:t>Before subsection 4.15(1)</w:t>
      </w:r>
    </w:p>
    <w:p w14:paraId="670E032B" w14:textId="77777777" w:rsidR="00217E3A" w:rsidRPr="00347133" w:rsidRDefault="00217E3A" w:rsidP="00217E3A">
      <w:pPr>
        <w:pStyle w:val="tMain"/>
      </w:pPr>
      <w:r w:rsidRPr="00347133">
        <w:tab/>
      </w:r>
      <w:r w:rsidRPr="00347133">
        <w:tab/>
        <w:t>Insert:</w:t>
      </w:r>
    </w:p>
    <w:p w14:paraId="1F9C896D" w14:textId="77777777" w:rsidR="00217E3A" w:rsidRPr="00347133" w:rsidRDefault="00217E3A" w:rsidP="00BD389F">
      <w:pPr>
        <w:pStyle w:val="tMain"/>
      </w:pPr>
      <w:r w:rsidRPr="00347133">
        <w:tab/>
        <w:t>(1A)</w:t>
      </w:r>
      <w:r w:rsidRPr="00347133">
        <w:tab/>
        <w:t xml:space="preserve">The carbon dioxide equivalent net amount for the reporting period for </w:t>
      </w:r>
      <w:r w:rsidR="001D7BEE" w:rsidRPr="00347133">
        <w:t xml:space="preserve">an eligible offsets </w:t>
      </w:r>
      <w:r w:rsidRPr="00347133">
        <w:t xml:space="preserve">project </w:t>
      </w:r>
      <w:r w:rsidR="001D7BEE" w:rsidRPr="00347133">
        <w:t xml:space="preserve">to which this Determination applies </w:t>
      </w:r>
      <w:r w:rsidRPr="00347133">
        <w:t>is equal to</w:t>
      </w:r>
      <w:r w:rsidR="00BD389F" w:rsidRPr="00347133">
        <w:t xml:space="preserve"> </w:t>
      </w:r>
      <w:r w:rsidRPr="00347133">
        <w:t xml:space="preserve">the sum of the amounts </w:t>
      </w:r>
      <w:r w:rsidRPr="00347133">
        <w:rPr>
          <w:i/>
        </w:rPr>
        <w:t xml:space="preserve">A </w:t>
      </w:r>
      <w:r w:rsidRPr="00347133">
        <w:t>calculated in accordance with subsection (1) for each project area.</w:t>
      </w:r>
    </w:p>
    <w:p w14:paraId="5350D74A" w14:textId="77777777" w:rsidR="000E1A2F" w:rsidRPr="00347133" w:rsidRDefault="00A43434" w:rsidP="000E1A2F">
      <w:pPr>
        <w:pStyle w:val="h5SchItem"/>
      </w:pPr>
      <w:r>
        <w:t>[20]</w:t>
      </w:r>
      <w:r w:rsidR="000E1A2F" w:rsidRPr="00347133">
        <w:tab/>
        <w:t>Subsection 4.15(1)</w:t>
      </w:r>
    </w:p>
    <w:p w14:paraId="5F6010AA" w14:textId="77777777" w:rsidR="000E1A2F" w:rsidRPr="00347133" w:rsidRDefault="000E1A2F" w:rsidP="000E1A2F">
      <w:pPr>
        <w:pStyle w:val="tMain"/>
      </w:pPr>
      <w:r w:rsidRPr="00347133">
        <w:tab/>
      </w:r>
      <w:r w:rsidRPr="00347133">
        <w:tab/>
        <w:t>After “net abatement amount for”, insert “a project area of”.</w:t>
      </w:r>
    </w:p>
    <w:p w14:paraId="036C4159" w14:textId="77777777" w:rsidR="00633421" w:rsidRPr="009B5122" w:rsidRDefault="00A43434" w:rsidP="00633421">
      <w:pPr>
        <w:pStyle w:val="h5SchItem"/>
        <w:rPr>
          <w:color w:val="000000" w:themeColor="text1"/>
        </w:rPr>
      </w:pPr>
      <w:r>
        <w:rPr>
          <w:color w:val="000000" w:themeColor="text1"/>
        </w:rPr>
        <w:t>[21]</w:t>
      </w:r>
      <w:r w:rsidR="00633421" w:rsidRPr="009B5122">
        <w:rPr>
          <w:color w:val="000000" w:themeColor="text1"/>
        </w:rPr>
        <w:tab/>
        <w:t>Subsection 4.15(1) (equation 18)</w:t>
      </w:r>
    </w:p>
    <w:p w14:paraId="6B13A2E9" w14:textId="77777777" w:rsidR="00633421" w:rsidRPr="009B5122" w:rsidRDefault="00633421" w:rsidP="00633421">
      <w:pPr>
        <w:pStyle w:val="tMain"/>
        <w:rPr>
          <w:color w:val="000000" w:themeColor="text1"/>
        </w:rPr>
      </w:pPr>
      <w:r w:rsidRPr="009B5122">
        <w:rPr>
          <w:color w:val="000000" w:themeColor="text1"/>
        </w:rPr>
        <w:tab/>
      </w:r>
      <w:r w:rsidRPr="009B5122">
        <w:rPr>
          <w:color w:val="000000" w:themeColor="text1"/>
        </w:rPr>
        <w:tab/>
        <w:t>Omit “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N</m:t>
            </m:r>
          </m:sub>
        </m:sSub>
        <m:r>
          <w:rPr>
            <w:rFonts w:ascii="Cambria Math" w:hAnsi="Cambria Math"/>
            <w:color w:val="000000" w:themeColor="text1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V</m:t>
            </m:r>
          </m:sub>
        </m:sSub>
      </m:oMath>
      <w:r w:rsidRPr="009B5122">
        <w:rPr>
          <w:color w:val="000000" w:themeColor="text1"/>
        </w:rPr>
        <w:t>” , substitute “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Prev</m:t>
            </m:r>
          </m:sub>
        </m:sSub>
      </m:oMath>
      <w:r w:rsidRPr="009B5122">
        <w:rPr>
          <w:color w:val="000000" w:themeColor="text1"/>
        </w:rPr>
        <w:t>”.</w:t>
      </w:r>
      <w:r w:rsidRPr="009B5122">
        <w:rPr>
          <w:color w:val="000000" w:themeColor="text1"/>
        </w:rPr>
        <w:tab/>
      </w:r>
    </w:p>
    <w:p w14:paraId="6B5DAB98" w14:textId="77777777" w:rsidR="00633421" w:rsidRPr="009B5122" w:rsidRDefault="00A43434" w:rsidP="00633421">
      <w:pPr>
        <w:pStyle w:val="h5SchItem"/>
        <w:rPr>
          <w:color w:val="000000" w:themeColor="text1"/>
        </w:rPr>
      </w:pPr>
      <w:r>
        <w:rPr>
          <w:color w:val="000000" w:themeColor="text1"/>
        </w:rPr>
        <w:t>[22]</w:t>
      </w:r>
      <w:r w:rsidR="00633421" w:rsidRPr="009B5122">
        <w:rPr>
          <w:color w:val="000000" w:themeColor="text1"/>
        </w:rPr>
        <w:tab/>
        <w:t xml:space="preserve">Subsection 4.15(1) (table for equation 18—items, values of </w:t>
      </w:r>
      <w:r w:rsidR="00633421" w:rsidRPr="009B5122">
        <w:rPr>
          <w:i/>
          <w:color w:val="000000" w:themeColor="text1"/>
        </w:rPr>
        <w:t>C</w:t>
      </w:r>
      <w:r w:rsidR="00633421" w:rsidRPr="009B5122">
        <w:rPr>
          <w:i/>
          <w:color w:val="000000" w:themeColor="text1"/>
          <w:vertAlign w:val="subscript"/>
        </w:rPr>
        <w:t xml:space="preserve">N </w:t>
      </w:r>
      <w:r w:rsidR="00633421" w:rsidRPr="009B5122">
        <w:rPr>
          <w:color w:val="000000" w:themeColor="text1"/>
        </w:rPr>
        <w:t xml:space="preserve">and </w:t>
      </w:r>
      <w:r w:rsidR="00633421" w:rsidRPr="009B5122">
        <w:rPr>
          <w:i/>
          <w:color w:val="000000" w:themeColor="text1"/>
        </w:rPr>
        <w:t>C</w:t>
      </w:r>
      <w:r w:rsidR="00633421" w:rsidRPr="009B5122">
        <w:rPr>
          <w:i/>
          <w:color w:val="000000" w:themeColor="text1"/>
          <w:vertAlign w:val="subscript"/>
        </w:rPr>
        <w:t>V</w:t>
      </w:r>
      <w:r w:rsidR="00633421" w:rsidRPr="009B5122">
        <w:rPr>
          <w:color w:val="000000" w:themeColor="text1"/>
        </w:rPr>
        <w:t>)</w:t>
      </w:r>
    </w:p>
    <w:p w14:paraId="038CD63E" w14:textId="77777777" w:rsidR="00633421" w:rsidRPr="009B5122" w:rsidRDefault="00633421" w:rsidP="00041E0D">
      <w:pPr>
        <w:pStyle w:val="tMain"/>
        <w:spacing w:after="120"/>
        <w:rPr>
          <w:color w:val="000000" w:themeColor="text1"/>
        </w:rPr>
      </w:pPr>
      <w:r w:rsidRPr="009B5122">
        <w:rPr>
          <w:color w:val="000000" w:themeColor="text1"/>
        </w:rPr>
        <w:tab/>
      </w:r>
      <w:r w:rsidRPr="009B5122">
        <w:rPr>
          <w:color w:val="000000" w:themeColor="text1"/>
        </w:rPr>
        <w:tab/>
        <w:t xml:space="preserve">Omit the table items, </w:t>
      </w:r>
      <w:r w:rsidR="009B5122" w:rsidRPr="009B5122">
        <w:rPr>
          <w:color w:val="000000" w:themeColor="text1"/>
        </w:rPr>
        <w:t>substitute</w:t>
      </w:r>
      <w:r w:rsidRPr="009B5122">
        <w:rPr>
          <w:color w:val="000000" w:themeColor="text1"/>
        </w:rPr>
        <w:t>:</w:t>
      </w:r>
    </w:p>
    <w:tbl>
      <w:tblPr>
        <w:tblStyle w:val="TableGrid"/>
        <w:tblW w:w="0" w:type="auto"/>
        <w:tblInd w:w="964" w:type="dxa"/>
        <w:tblLook w:val="04A0" w:firstRow="1" w:lastRow="0" w:firstColumn="1" w:lastColumn="0" w:noHBand="0" w:noVBand="1"/>
      </w:tblPr>
      <w:tblGrid>
        <w:gridCol w:w="1116"/>
        <w:gridCol w:w="6936"/>
      </w:tblGrid>
      <w:tr w:rsidR="009B5122" w:rsidRPr="009B5122" w14:paraId="4628795F" w14:textId="77777777" w:rsidTr="00C5636F">
        <w:tc>
          <w:tcPr>
            <w:tcW w:w="1116" w:type="dxa"/>
          </w:tcPr>
          <w:p w14:paraId="4D03AAEA" w14:textId="77777777" w:rsidR="00633421" w:rsidRPr="009B5122" w:rsidRDefault="00B32E64" w:rsidP="00C5636F">
            <w:pPr>
              <w:pStyle w:val="tMain"/>
              <w:ind w:left="0" w:firstLine="0"/>
              <w:jc w:val="right"/>
              <w:rPr>
                <w:color w:val="000000" w:themeColor="text1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Prev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color w:val="000000" w:themeColor="text1"/>
                    <w:lang w:eastAsia="en-US"/>
                  </w:rPr>
                  <m:t>=</m:t>
                </m:r>
              </m:oMath>
            </m:oMathPara>
          </w:p>
        </w:tc>
        <w:tc>
          <w:tcPr>
            <w:tcW w:w="6936" w:type="dxa"/>
          </w:tcPr>
          <w:p w14:paraId="20C0BB29" w14:textId="77777777" w:rsidR="00633421" w:rsidRPr="009B5122" w:rsidRDefault="00633421" w:rsidP="00C5636F">
            <w:pPr>
              <w:pStyle w:val="tMain"/>
              <w:ind w:left="454" w:hanging="454"/>
              <w:rPr>
                <w:iCs/>
                <w:color w:val="000000" w:themeColor="text1"/>
              </w:rPr>
            </w:pPr>
            <w:r w:rsidRPr="009B5122">
              <w:rPr>
                <w:iCs/>
                <w:color w:val="000000" w:themeColor="text1"/>
              </w:rPr>
              <w:t>(a)</w:t>
            </w:r>
            <w:r w:rsidRPr="009B5122">
              <w:rPr>
                <w:color w:val="000000" w:themeColor="text1"/>
              </w:rPr>
              <w:t xml:space="preserve"> </w:t>
            </w:r>
            <w:r w:rsidRPr="009B5122">
              <w:rPr>
                <w:color w:val="000000" w:themeColor="text1"/>
              </w:rPr>
              <w:tab/>
            </w:r>
            <w:r w:rsidRPr="009B5122">
              <w:rPr>
                <w:iCs/>
                <w:color w:val="000000" w:themeColor="text1"/>
              </w:rPr>
              <w:t>for the first reporting period</w:t>
            </w:r>
            <w:r w:rsidR="007D5126" w:rsidRPr="00FE605D">
              <w:rPr>
                <w:iCs/>
              </w:rPr>
              <w:t xml:space="preserve"> in which the project area has been reported on</w:t>
            </w:r>
            <w:r w:rsidRPr="009B5122">
              <w:rPr>
                <w:iCs/>
                <w:color w:val="000000" w:themeColor="text1"/>
              </w:rPr>
              <w:t>—the initial carbon stock for the project area</w:t>
            </w:r>
            <w:r w:rsidR="00524482">
              <w:rPr>
                <w:iCs/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oMath>
            <w:r w:rsidRPr="009B5122">
              <w:rPr>
                <w:iCs/>
                <w:color w:val="000000" w:themeColor="text1"/>
              </w:rPr>
              <w:t xml:space="preserve"> (in tonnes CO</w:t>
            </w:r>
            <w:r w:rsidRPr="009B5122">
              <w:rPr>
                <w:iCs/>
                <w:color w:val="000000" w:themeColor="text1"/>
                <w:vertAlign w:val="subscript"/>
              </w:rPr>
              <w:t>2</w:t>
            </w:r>
            <w:r w:rsidRPr="009B5122">
              <w:rPr>
                <w:iCs/>
                <w:color w:val="000000" w:themeColor="text1"/>
              </w:rPr>
              <w:t>-e) (</w:t>
            </w:r>
            <w:r w:rsidR="009B5122" w:rsidRPr="009B5122">
              <w:rPr>
                <w:iCs/>
                <w:color w:val="000000" w:themeColor="text1"/>
              </w:rPr>
              <w:t>s</w:t>
            </w:r>
            <w:r w:rsidRPr="009B5122">
              <w:rPr>
                <w:iCs/>
                <w:color w:val="000000" w:themeColor="text1"/>
              </w:rPr>
              <w:t>ee subsection</w:t>
            </w:r>
            <w:r w:rsidR="00524482">
              <w:rPr>
                <w:iCs/>
                <w:color w:val="000000" w:themeColor="text1"/>
              </w:rPr>
              <w:t>s</w:t>
            </w:r>
            <w:r w:rsidRPr="009B5122">
              <w:rPr>
                <w:iCs/>
                <w:color w:val="000000" w:themeColor="text1"/>
              </w:rPr>
              <w:t xml:space="preserve"> 4.10(2)</w:t>
            </w:r>
            <w:r w:rsidR="00524482">
              <w:rPr>
                <w:iCs/>
                <w:color w:val="000000" w:themeColor="text1"/>
              </w:rPr>
              <w:t xml:space="preserve"> and (3)</w:t>
            </w:r>
            <w:r w:rsidRPr="009B5122">
              <w:rPr>
                <w:iCs/>
                <w:color w:val="000000" w:themeColor="text1"/>
              </w:rPr>
              <w:t>); and</w:t>
            </w:r>
          </w:p>
          <w:p w14:paraId="1CD8D9CE" w14:textId="77777777" w:rsidR="00633421" w:rsidRPr="009B5122" w:rsidRDefault="00633421" w:rsidP="00DE0C1E">
            <w:pPr>
              <w:pStyle w:val="tMain"/>
              <w:ind w:left="454" w:hanging="454"/>
              <w:rPr>
                <w:iCs/>
                <w:color w:val="000000" w:themeColor="text1"/>
              </w:rPr>
            </w:pPr>
            <w:r w:rsidRPr="009B5122">
              <w:rPr>
                <w:iCs/>
                <w:color w:val="000000" w:themeColor="text1"/>
              </w:rPr>
              <w:t>(b)</w:t>
            </w:r>
            <w:r w:rsidRPr="009B5122">
              <w:rPr>
                <w:color w:val="000000" w:themeColor="text1"/>
              </w:rPr>
              <w:tab/>
            </w:r>
            <w:r w:rsidRPr="009B5122">
              <w:rPr>
                <w:iCs/>
                <w:color w:val="000000" w:themeColor="text1"/>
              </w:rPr>
              <w:t>for a later reporting period</w:t>
            </w:r>
            <w:r w:rsidR="00FB0878" w:rsidRPr="009B5122">
              <w:rPr>
                <w:iCs/>
                <w:color w:val="000000" w:themeColor="text1"/>
              </w:rPr>
              <w:t>—</w:t>
            </w:r>
            <w:r w:rsidR="000C7553" w:rsidRPr="009B5122">
              <w:rPr>
                <w:iCs/>
                <w:color w:val="000000" w:themeColor="text1"/>
              </w:rPr>
              <w:t xml:space="preserve">the carbon stock for the project </w:t>
            </w:r>
            <w:r w:rsidR="000C7553" w:rsidRPr="000C7553">
              <w:rPr>
                <w:iCs/>
              </w:rPr>
              <w:t xml:space="preserve">area </w:t>
            </w:r>
            <w:r w:rsidR="000C7553" w:rsidRPr="009B5122">
              <w:rPr>
                <w:iCs/>
                <w:color w:val="000000" w:themeColor="text1"/>
              </w:rPr>
              <w:t>at the end of the previous reporting period (in tonnes CO</w:t>
            </w:r>
            <w:r w:rsidR="000C7553" w:rsidRPr="009B5122">
              <w:rPr>
                <w:iCs/>
                <w:color w:val="000000" w:themeColor="text1"/>
                <w:vertAlign w:val="subscript"/>
              </w:rPr>
              <w:t>2</w:t>
            </w:r>
            <w:r w:rsidR="000C7553" w:rsidRPr="009B5122">
              <w:rPr>
                <w:iCs/>
                <w:color w:val="000000" w:themeColor="text1"/>
              </w:rPr>
              <w:t>-e) (see the carbon stock value reported in the previous offsets report).</w:t>
            </w:r>
          </w:p>
        </w:tc>
      </w:tr>
    </w:tbl>
    <w:p w14:paraId="19C4FA92" w14:textId="77777777" w:rsidR="009B5122" w:rsidRPr="009B5122" w:rsidRDefault="00A43434" w:rsidP="009B5122">
      <w:pPr>
        <w:pStyle w:val="h5SchItem"/>
        <w:rPr>
          <w:color w:val="000000" w:themeColor="text1"/>
        </w:rPr>
      </w:pPr>
      <w:r>
        <w:rPr>
          <w:color w:val="000000" w:themeColor="text1"/>
        </w:rPr>
        <w:t>[23]</w:t>
      </w:r>
      <w:r w:rsidR="009B5122" w:rsidRPr="009B5122">
        <w:rPr>
          <w:color w:val="000000" w:themeColor="text1"/>
        </w:rPr>
        <w:tab/>
        <w:t>Subsection 4.15(2) (second note)</w:t>
      </w:r>
    </w:p>
    <w:p w14:paraId="34CD6A56" w14:textId="77777777" w:rsidR="009B5122" w:rsidRDefault="009B5122" w:rsidP="009B5122">
      <w:pPr>
        <w:pStyle w:val="tMain"/>
        <w:rPr>
          <w:bCs/>
          <w:iCs/>
          <w:color w:val="000000" w:themeColor="text1"/>
        </w:rPr>
      </w:pPr>
      <w:r w:rsidRPr="009B5122">
        <w:rPr>
          <w:bCs/>
          <w:iCs/>
          <w:color w:val="000000" w:themeColor="text1"/>
        </w:rPr>
        <w:tab/>
      </w:r>
      <w:r w:rsidRPr="009B5122">
        <w:rPr>
          <w:bCs/>
          <w:iCs/>
          <w:color w:val="000000" w:themeColor="text1"/>
        </w:rPr>
        <w:tab/>
      </w:r>
      <w:r w:rsidR="00CC432F">
        <w:rPr>
          <w:bCs/>
          <w:iCs/>
          <w:color w:val="000000" w:themeColor="text1"/>
        </w:rPr>
        <w:t>Repeal the note.</w:t>
      </w:r>
    </w:p>
    <w:p w14:paraId="47754107" w14:textId="77777777" w:rsidR="00C05ED1" w:rsidRPr="00347133" w:rsidRDefault="00A43434" w:rsidP="00C05ED1">
      <w:pPr>
        <w:pStyle w:val="h5SchItem"/>
      </w:pPr>
      <w:r>
        <w:t>[24]</w:t>
      </w:r>
      <w:r w:rsidR="00C05ED1" w:rsidRPr="00347133">
        <w:tab/>
        <w:t>Section 5.2</w:t>
      </w:r>
    </w:p>
    <w:p w14:paraId="784C96EF" w14:textId="77777777" w:rsidR="00C05ED1" w:rsidRPr="00347133" w:rsidRDefault="00C05ED1" w:rsidP="00C05ED1">
      <w:pPr>
        <w:pStyle w:val="tMain"/>
      </w:pPr>
      <w:r w:rsidRPr="00347133">
        <w:tab/>
      </w:r>
      <w:r w:rsidRPr="00347133">
        <w:tab/>
        <w:t>Omit “The CFI Mapping Tool or a”, substitute “A”.</w:t>
      </w:r>
    </w:p>
    <w:p w14:paraId="2D475685" w14:textId="77777777" w:rsidR="00353624" w:rsidRPr="00347133" w:rsidRDefault="00A43434" w:rsidP="00353624">
      <w:pPr>
        <w:pStyle w:val="h5SchItem"/>
      </w:pPr>
      <w:r>
        <w:t>[25]</w:t>
      </w:r>
      <w:r w:rsidR="00353624" w:rsidRPr="00347133">
        <w:tab/>
        <w:t>Section 5.8</w:t>
      </w:r>
    </w:p>
    <w:p w14:paraId="24CF045C" w14:textId="77777777" w:rsidR="00353624" w:rsidRPr="00347133" w:rsidRDefault="00353624" w:rsidP="00353624">
      <w:pPr>
        <w:pStyle w:val="tMain"/>
      </w:pPr>
      <w:r w:rsidRPr="00347133">
        <w:tab/>
      </w:r>
      <w:r w:rsidRPr="00347133">
        <w:tab/>
        <w:t>After “the first offsets report for”, insert “each project area of”.</w:t>
      </w:r>
    </w:p>
    <w:p w14:paraId="34E7014F" w14:textId="77777777" w:rsidR="00353624" w:rsidRPr="00347133" w:rsidRDefault="00A43434" w:rsidP="00353624">
      <w:pPr>
        <w:pStyle w:val="h5SchItem"/>
      </w:pPr>
      <w:r>
        <w:t>[26]</w:t>
      </w:r>
      <w:r w:rsidR="00353624" w:rsidRPr="00347133">
        <w:tab/>
        <w:t>Section 5.9</w:t>
      </w:r>
    </w:p>
    <w:p w14:paraId="1D29FCE8" w14:textId="77777777" w:rsidR="00353624" w:rsidRPr="00347133" w:rsidRDefault="00353624" w:rsidP="00C05ED1">
      <w:pPr>
        <w:pStyle w:val="tMain"/>
      </w:pPr>
      <w:r w:rsidRPr="00347133">
        <w:tab/>
      </w:r>
      <w:r w:rsidRPr="00347133">
        <w:tab/>
        <w:t>After “subsequent offsets reports for”, insert “each project area of”.</w:t>
      </w:r>
    </w:p>
    <w:p w14:paraId="6ED81583" w14:textId="77777777" w:rsidR="00FE605D" w:rsidRPr="002B0C79" w:rsidRDefault="00A43434" w:rsidP="00FE605D">
      <w:pPr>
        <w:pStyle w:val="h5SchItem"/>
      </w:pPr>
      <w:r>
        <w:t>[27]</w:t>
      </w:r>
      <w:r w:rsidR="00FE605D" w:rsidRPr="002B0C79">
        <w:tab/>
        <w:t>Section 5.10</w:t>
      </w:r>
    </w:p>
    <w:p w14:paraId="72BE3C7F" w14:textId="77777777" w:rsidR="00FE605D" w:rsidRPr="002B0C79" w:rsidRDefault="00FE605D" w:rsidP="00FE605D">
      <w:pPr>
        <w:pStyle w:val="tMain"/>
      </w:pPr>
      <w:r w:rsidRPr="002B0C79">
        <w:tab/>
      </w:r>
      <w:r w:rsidRPr="002B0C79">
        <w:tab/>
        <w:t>Repeal the section, substitute:</w:t>
      </w:r>
    </w:p>
    <w:p w14:paraId="0723C25C" w14:textId="77777777" w:rsidR="00FE605D" w:rsidRPr="002B0C79" w:rsidRDefault="00FE605D" w:rsidP="00FE605D">
      <w:pPr>
        <w:pStyle w:val="h5Section"/>
      </w:pPr>
      <w:bookmarkStart w:id="22" w:name="_Toc500948381"/>
      <w:r w:rsidRPr="002B0C79">
        <w:lastRenderedPageBreak/>
        <w:t>5.10  No division of project area</w:t>
      </w:r>
      <w:bookmarkEnd w:id="22"/>
    </w:p>
    <w:p w14:paraId="01E3FE65" w14:textId="77777777" w:rsidR="00FE605D" w:rsidRPr="002B0C79" w:rsidRDefault="00FE605D" w:rsidP="00FE605D">
      <w:pPr>
        <w:pStyle w:val="tMain"/>
      </w:pPr>
      <w:r w:rsidRPr="002B0C79">
        <w:tab/>
      </w:r>
      <w:r w:rsidRPr="002B0C79">
        <w:tab/>
        <w:t>For subsection 77A(2) of the Act, the division of the overall project must not result in the division of a project area.</w:t>
      </w:r>
    </w:p>
    <w:p w14:paraId="22A31A4C" w14:textId="77777777" w:rsidR="00EC21C7" w:rsidRPr="002B0C79" w:rsidRDefault="00A43434" w:rsidP="00EC21C7">
      <w:pPr>
        <w:pStyle w:val="h5SchItem"/>
      </w:pPr>
      <w:r>
        <w:t>[28]</w:t>
      </w:r>
      <w:r w:rsidR="00EC21C7" w:rsidRPr="002B0C79">
        <w:tab/>
        <w:t xml:space="preserve">Amendments of listed provisions—references to project area </w:t>
      </w:r>
    </w:p>
    <w:p w14:paraId="66349287" w14:textId="77777777" w:rsidR="00EC21C7" w:rsidRPr="002B0C79" w:rsidRDefault="00EC21C7" w:rsidP="00EC21C7">
      <w:pPr>
        <w:pStyle w:val="tMain"/>
      </w:pPr>
      <w:r w:rsidRPr="002B0C79">
        <w:tab/>
      </w:r>
      <w:r w:rsidRPr="002B0C79">
        <w:tab/>
      </w:r>
      <w:r w:rsidRPr="002B0C79">
        <w:rPr>
          <w:bCs/>
          <w:iCs/>
        </w:rPr>
        <w:t xml:space="preserve">Omit “the project area”, substitute “a project area” </w:t>
      </w:r>
      <w:r w:rsidRPr="002B0C79">
        <w:t>in the following provisions:</w:t>
      </w:r>
    </w:p>
    <w:p w14:paraId="09E62960" w14:textId="77777777" w:rsidR="00EC21C7" w:rsidRPr="002B0C79" w:rsidRDefault="00EC21C7" w:rsidP="00EC21C7">
      <w:pPr>
        <w:pStyle w:val="tPara"/>
      </w:pPr>
      <w:r w:rsidRPr="002B0C79">
        <w:tab/>
        <w:t>(a)</w:t>
      </w:r>
      <w:r w:rsidRPr="002B0C79">
        <w:tab/>
        <w:t>section 1.3 (definition of “carbon estimation area</w:t>
      </w:r>
      <w:r w:rsidR="00822D30" w:rsidRPr="002B0C79">
        <w:t xml:space="preserve"> (CEA)</w:t>
      </w:r>
      <w:r w:rsidRPr="002B0C79">
        <w:t>”);</w:t>
      </w:r>
    </w:p>
    <w:p w14:paraId="5DCE03AB" w14:textId="77777777" w:rsidR="00EC21C7" w:rsidRPr="00347133" w:rsidRDefault="00EC21C7" w:rsidP="00EC21C7">
      <w:pPr>
        <w:pStyle w:val="tPara"/>
      </w:pPr>
      <w:r w:rsidRPr="00347133">
        <w:tab/>
        <w:t>(b)</w:t>
      </w:r>
      <w:r w:rsidRPr="00347133">
        <w:tab/>
        <w:t>section 1.3 (definition of “stratification”);</w:t>
      </w:r>
    </w:p>
    <w:p w14:paraId="436F8F03" w14:textId="77777777" w:rsidR="00EC21C7" w:rsidRPr="00347133" w:rsidRDefault="00EC21C7" w:rsidP="00EC21C7">
      <w:pPr>
        <w:pStyle w:val="tPara"/>
      </w:pPr>
      <w:r w:rsidRPr="00347133">
        <w:tab/>
        <w:t>(c)</w:t>
      </w:r>
      <w:r w:rsidRPr="00347133">
        <w:tab/>
        <w:t>paragraph 5.4(a).</w:t>
      </w:r>
    </w:p>
    <w:p w14:paraId="29CE4267" w14:textId="77777777" w:rsidR="005E55B9" w:rsidRPr="00347133" w:rsidRDefault="00A43434" w:rsidP="005E55B9">
      <w:pPr>
        <w:pStyle w:val="h5SchItem"/>
      </w:pPr>
      <w:r>
        <w:t>[29]</w:t>
      </w:r>
      <w:r w:rsidR="005E55B9" w:rsidRPr="00347133">
        <w:tab/>
        <w:t xml:space="preserve">Amendments of listed provisions—references to project area </w:t>
      </w:r>
    </w:p>
    <w:p w14:paraId="68D63ADD" w14:textId="77777777" w:rsidR="005E55B9" w:rsidRPr="00347133" w:rsidRDefault="005E55B9" w:rsidP="005E55B9">
      <w:pPr>
        <w:pStyle w:val="tMain"/>
      </w:pPr>
      <w:r w:rsidRPr="00347133">
        <w:tab/>
      </w:r>
      <w:r w:rsidRPr="00347133">
        <w:tab/>
      </w:r>
      <w:r w:rsidRPr="00347133">
        <w:rPr>
          <w:bCs/>
          <w:iCs/>
        </w:rPr>
        <w:t xml:space="preserve">Omit “the project area”, substitute “each project area” </w:t>
      </w:r>
      <w:r w:rsidRPr="00347133">
        <w:t>in the following provisions:</w:t>
      </w:r>
    </w:p>
    <w:p w14:paraId="7D9D1B21" w14:textId="77777777" w:rsidR="005E55B9" w:rsidRPr="00347133" w:rsidRDefault="005E55B9" w:rsidP="005E55B9">
      <w:pPr>
        <w:pStyle w:val="tPara"/>
      </w:pPr>
      <w:r w:rsidRPr="00347133">
        <w:tab/>
      </w:r>
      <w:r w:rsidR="0003777B" w:rsidRPr="00347133">
        <w:t>(a)</w:t>
      </w:r>
      <w:r w:rsidRPr="00347133">
        <w:tab/>
        <w:t>section 2.4;</w:t>
      </w:r>
    </w:p>
    <w:p w14:paraId="0F26C1F1" w14:textId="77777777" w:rsidR="005E55B9" w:rsidRPr="00347133" w:rsidRDefault="005E55B9" w:rsidP="005E55B9">
      <w:pPr>
        <w:pStyle w:val="tPara"/>
      </w:pPr>
      <w:r w:rsidRPr="00347133">
        <w:tab/>
      </w:r>
      <w:r w:rsidR="0003777B" w:rsidRPr="00347133">
        <w:t>(b)</w:t>
      </w:r>
      <w:r w:rsidRPr="00347133">
        <w:tab/>
        <w:t>section 3.2;</w:t>
      </w:r>
    </w:p>
    <w:p w14:paraId="5CEB0541" w14:textId="77777777" w:rsidR="005E55B9" w:rsidRPr="00347133" w:rsidRDefault="005E55B9" w:rsidP="005E55B9">
      <w:pPr>
        <w:pStyle w:val="tPara"/>
      </w:pPr>
      <w:r w:rsidRPr="00347133">
        <w:tab/>
      </w:r>
      <w:r w:rsidR="0003777B" w:rsidRPr="00347133">
        <w:t>(c)</w:t>
      </w:r>
      <w:r w:rsidRPr="00347133">
        <w:tab/>
        <w:t>section 3.7;</w:t>
      </w:r>
    </w:p>
    <w:p w14:paraId="3F356C20" w14:textId="77777777" w:rsidR="00EC21C7" w:rsidRPr="00347133" w:rsidRDefault="005E55B9" w:rsidP="005E55B9">
      <w:pPr>
        <w:pStyle w:val="tPara"/>
      </w:pPr>
      <w:r w:rsidRPr="00347133">
        <w:tab/>
      </w:r>
      <w:r w:rsidR="0003777B" w:rsidRPr="00347133">
        <w:t>(d)</w:t>
      </w:r>
      <w:r w:rsidRPr="00347133">
        <w:tab/>
      </w:r>
      <w:r w:rsidR="00EC21C7" w:rsidRPr="00347133">
        <w:t>paragraph 5.3(1)(c);</w:t>
      </w:r>
    </w:p>
    <w:p w14:paraId="7F81D579" w14:textId="77777777" w:rsidR="00EC21C7" w:rsidRPr="00347133" w:rsidRDefault="00EC21C7" w:rsidP="00EC21C7">
      <w:pPr>
        <w:pStyle w:val="tPara"/>
      </w:pPr>
      <w:r w:rsidRPr="00347133">
        <w:tab/>
        <w:t>(d)</w:t>
      </w:r>
      <w:r w:rsidRPr="00347133">
        <w:tab/>
        <w:t>paragraph 5.3(1)(d);</w:t>
      </w:r>
    </w:p>
    <w:p w14:paraId="32E77898" w14:textId="77777777" w:rsidR="00EC21C7" w:rsidRPr="00347133" w:rsidRDefault="00EC21C7" w:rsidP="00EC21C7">
      <w:pPr>
        <w:pStyle w:val="tPara"/>
      </w:pPr>
      <w:r w:rsidRPr="00347133">
        <w:tab/>
        <w:t>(e)</w:t>
      </w:r>
      <w:r w:rsidRPr="00347133">
        <w:tab/>
        <w:t>paragraph 5.4(c);</w:t>
      </w:r>
    </w:p>
    <w:p w14:paraId="750A3FF3" w14:textId="77777777" w:rsidR="005E55B9" w:rsidRPr="00347133" w:rsidRDefault="00EC21C7" w:rsidP="005E55B9">
      <w:pPr>
        <w:pStyle w:val="tPara"/>
      </w:pPr>
      <w:r w:rsidRPr="00347133">
        <w:tab/>
        <w:t>(</w:t>
      </w:r>
      <w:r w:rsidR="00F52744" w:rsidRPr="00347133">
        <w:t>f</w:t>
      </w:r>
      <w:r w:rsidRPr="00347133">
        <w:t>)</w:t>
      </w:r>
      <w:r w:rsidRPr="00347133">
        <w:tab/>
      </w:r>
      <w:r w:rsidR="005E55B9" w:rsidRPr="00347133">
        <w:t>section 5.7</w:t>
      </w:r>
      <w:r w:rsidR="00C10BAA" w:rsidRPr="00347133">
        <w:t xml:space="preserve"> (first occurrence)</w:t>
      </w:r>
      <w:r w:rsidR="005E55B9" w:rsidRPr="00347133">
        <w:t>.</w:t>
      </w:r>
    </w:p>
    <w:p w14:paraId="25443A3A" w14:textId="77777777" w:rsidR="000E1A2F" w:rsidRPr="00347133" w:rsidRDefault="00A43434" w:rsidP="000E1A2F">
      <w:pPr>
        <w:pStyle w:val="h5SchItem"/>
      </w:pPr>
      <w:r>
        <w:t>[30]</w:t>
      </w:r>
      <w:r w:rsidR="000E1A2F" w:rsidRPr="00347133">
        <w:tab/>
        <w:t xml:space="preserve">Amendments of listed provisions—references to project area </w:t>
      </w:r>
    </w:p>
    <w:p w14:paraId="457A7ABE" w14:textId="77777777" w:rsidR="000E1A2F" w:rsidRPr="00347133" w:rsidRDefault="000E1A2F" w:rsidP="000E1A2F">
      <w:pPr>
        <w:pStyle w:val="tMain"/>
      </w:pPr>
      <w:r w:rsidRPr="00347133">
        <w:tab/>
      </w:r>
      <w:r w:rsidRPr="00347133">
        <w:tab/>
        <w:t>After “project”, insert “area” in the following provisions:</w:t>
      </w:r>
    </w:p>
    <w:p w14:paraId="06C3A34B" w14:textId="77777777" w:rsidR="000E1A2F" w:rsidRPr="00347133" w:rsidRDefault="000E1A2F" w:rsidP="000E1A2F">
      <w:pPr>
        <w:pStyle w:val="tPara"/>
      </w:pPr>
      <w:r w:rsidRPr="00347133">
        <w:tab/>
      </w:r>
      <w:r w:rsidR="0003777B" w:rsidRPr="00347133">
        <w:t>(a)</w:t>
      </w:r>
      <w:r w:rsidRPr="00347133">
        <w:tab/>
        <w:t>subsection 4.10(1);</w:t>
      </w:r>
    </w:p>
    <w:p w14:paraId="1A5C26AD" w14:textId="77777777" w:rsidR="000E1A2F" w:rsidRPr="00347133" w:rsidRDefault="000E1A2F" w:rsidP="000E1A2F">
      <w:pPr>
        <w:pStyle w:val="tPara"/>
      </w:pPr>
      <w:r w:rsidRPr="00347133">
        <w:tab/>
      </w:r>
      <w:r w:rsidR="0003777B" w:rsidRPr="00347133">
        <w:t>(b)</w:t>
      </w:r>
      <w:r w:rsidRPr="00347133">
        <w:tab/>
        <w:t>subsection 4.13(1);</w:t>
      </w:r>
    </w:p>
    <w:p w14:paraId="5C4477B0" w14:textId="77777777" w:rsidR="000E1A2F" w:rsidRPr="00347133" w:rsidRDefault="000E1A2F" w:rsidP="000E1A2F">
      <w:pPr>
        <w:pStyle w:val="tPara"/>
      </w:pPr>
      <w:r w:rsidRPr="00347133">
        <w:tab/>
      </w:r>
      <w:r w:rsidR="0003777B" w:rsidRPr="00347133">
        <w:t>(c)</w:t>
      </w:r>
      <w:r w:rsidRPr="00347133">
        <w:tab/>
        <w:t xml:space="preserve">subsection 4.13(1) (table for equation 13—item,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CH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sub>
        </m:sSub>
      </m:oMath>
      <w:r w:rsidRPr="00347133">
        <w:t>);</w:t>
      </w:r>
    </w:p>
    <w:p w14:paraId="49B087A8" w14:textId="77777777" w:rsidR="000E1A2F" w:rsidRPr="00347133" w:rsidRDefault="000E1A2F" w:rsidP="000E1A2F">
      <w:pPr>
        <w:pStyle w:val="tPara"/>
      </w:pPr>
      <w:r w:rsidRPr="00347133">
        <w:tab/>
      </w:r>
      <w:r w:rsidR="0003777B" w:rsidRPr="00347133">
        <w:t>(d)</w:t>
      </w:r>
      <w:r w:rsidRPr="00347133">
        <w:tab/>
        <w:t xml:space="preserve">subsection 4.13(2) (table for equation 14—item,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</m:t>
            </m:r>
          </m:sub>
        </m:sSub>
      </m:oMath>
      <w:r w:rsidRPr="00347133">
        <w:t>);</w:t>
      </w:r>
    </w:p>
    <w:p w14:paraId="14512761" w14:textId="77777777" w:rsidR="000E1A2F" w:rsidRPr="00347133" w:rsidRDefault="000E1A2F" w:rsidP="000E1A2F">
      <w:pPr>
        <w:pStyle w:val="tPara"/>
      </w:pPr>
      <w:r w:rsidRPr="00347133">
        <w:tab/>
      </w:r>
      <w:r w:rsidR="0003777B" w:rsidRPr="00347133">
        <w:t>(e)</w:t>
      </w:r>
      <w:r w:rsidRPr="00347133">
        <w:tab/>
        <w:t>subsection 4.13(3);</w:t>
      </w:r>
    </w:p>
    <w:p w14:paraId="08606492" w14:textId="77777777" w:rsidR="000E1A2F" w:rsidRPr="00347133" w:rsidRDefault="000E1A2F" w:rsidP="000E1A2F">
      <w:pPr>
        <w:pStyle w:val="tPara"/>
      </w:pPr>
      <w:r w:rsidRPr="00347133">
        <w:tab/>
      </w:r>
      <w:r w:rsidR="0003777B" w:rsidRPr="00347133">
        <w:t>(f)</w:t>
      </w:r>
      <w:r w:rsidRPr="00347133">
        <w:tab/>
        <w:t>subsection 4.13(</w:t>
      </w:r>
      <w:r w:rsidR="00C10BAA" w:rsidRPr="00347133">
        <w:t>3</w:t>
      </w:r>
      <w:r w:rsidRPr="00347133">
        <w:t xml:space="preserve">) (table for equation 15—item,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347133">
        <w:t>);</w:t>
      </w:r>
    </w:p>
    <w:p w14:paraId="74FEEE95" w14:textId="77777777" w:rsidR="000E1A2F" w:rsidRPr="00347133" w:rsidRDefault="000E1A2F" w:rsidP="000E1A2F">
      <w:pPr>
        <w:pStyle w:val="tPara"/>
      </w:pPr>
      <w:r w:rsidRPr="00347133">
        <w:tab/>
      </w:r>
      <w:r w:rsidR="0003777B" w:rsidRPr="00347133">
        <w:t>(g)</w:t>
      </w:r>
      <w:r w:rsidRPr="00347133">
        <w:tab/>
        <w:t>subsection 4.13(</w:t>
      </w:r>
      <w:r w:rsidR="00C10BAA" w:rsidRPr="00347133">
        <w:t>3</w:t>
      </w:r>
      <w:r w:rsidRPr="00347133">
        <w:t xml:space="preserve">) (table for equation 15—item,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CH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sub>
        </m:sSub>
      </m:oMath>
      <w:r w:rsidRPr="00347133">
        <w:t>);</w:t>
      </w:r>
    </w:p>
    <w:p w14:paraId="7313B726" w14:textId="77777777" w:rsidR="0051315C" w:rsidRPr="00347133" w:rsidRDefault="000E1A2F" w:rsidP="000E1A2F">
      <w:pPr>
        <w:pStyle w:val="tPara"/>
      </w:pPr>
      <w:r w:rsidRPr="00347133">
        <w:tab/>
      </w:r>
      <w:r w:rsidR="0003777B" w:rsidRPr="00347133">
        <w:t>(h)</w:t>
      </w:r>
      <w:r w:rsidRPr="00347133">
        <w:tab/>
        <w:t>subsection 4.13(</w:t>
      </w:r>
      <w:r w:rsidR="00C10BAA" w:rsidRPr="00347133">
        <w:t>3</w:t>
      </w:r>
      <w:r w:rsidRPr="00347133">
        <w:t xml:space="preserve">) (table for equation 15—item,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</m:t>
            </m:r>
          </m:sub>
        </m:sSub>
      </m:oMath>
      <w:r w:rsidRPr="00347133">
        <w:t>)</w:t>
      </w:r>
      <w:r w:rsidR="0051315C" w:rsidRPr="00347133">
        <w:t>;</w:t>
      </w:r>
    </w:p>
    <w:p w14:paraId="566611BB" w14:textId="77777777" w:rsidR="000E1A2F" w:rsidRPr="00347133" w:rsidRDefault="0051315C" w:rsidP="0051315C">
      <w:pPr>
        <w:pStyle w:val="tPara"/>
      </w:pPr>
      <w:r w:rsidRPr="00347133">
        <w:tab/>
      </w:r>
      <w:r w:rsidR="0003777B" w:rsidRPr="00347133">
        <w:t>(i)</w:t>
      </w:r>
      <w:r w:rsidRPr="00347133">
        <w:tab/>
        <w:t xml:space="preserve">subsection 4.15(1) (table for equation 18—item, value of </w:t>
      </w:r>
      <w:r w:rsidRPr="00347133">
        <w:rPr>
          <w:i/>
        </w:rPr>
        <w:t>A</w:t>
      </w:r>
      <w:r w:rsidRPr="00347133">
        <w:t>);</w:t>
      </w:r>
    </w:p>
    <w:p w14:paraId="24C3268D" w14:textId="77777777" w:rsidR="0051315C" w:rsidRPr="00347133" w:rsidRDefault="0051315C" w:rsidP="0051315C">
      <w:pPr>
        <w:pStyle w:val="tPara"/>
      </w:pPr>
      <w:r w:rsidRPr="00347133">
        <w:tab/>
      </w:r>
      <w:r w:rsidR="0003777B" w:rsidRPr="00347133">
        <w:t>(j)</w:t>
      </w:r>
      <w:r w:rsidRPr="00347133">
        <w:tab/>
        <w:t>subsection 4.15(1) (table for equation 18</w:t>
      </w:r>
      <w:r w:rsidR="00E63B16" w:rsidRPr="00347133">
        <w:t>—item, value</w:t>
      </w:r>
      <w:r w:rsidRPr="00347133">
        <w:t xml:space="preserve"> of </w:t>
      </w:r>
      <w:r w:rsidRPr="00347133">
        <w:rPr>
          <w:i/>
        </w:rPr>
        <w:t>C</w:t>
      </w:r>
      <w:r w:rsidRPr="00347133">
        <w:rPr>
          <w:i/>
          <w:vertAlign w:val="subscript"/>
        </w:rPr>
        <w:t>P</w:t>
      </w:r>
      <w:r w:rsidRPr="00347133">
        <w:t>);</w:t>
      </w:r>
    </w:p>
    <w:p w14:paraId="6DAAAD1C" w14:textId="77777777" w:rsidR="0051315C" w:rsidRPr="00347133" w:rsidRDefault="0051315C" w:rsidP="0051315C">
      <w:pPr>
        <w:pStyle w:val="tPara"/>
      </w:pPr>
      <w:r w:rsidRPr="00347133">
        <w:tab/>
      </w:r>
      <w:r w:rsidR="0003777B" w:rsidRPr="00347133">
        <w:t>(k)</w:t>
      </w:r>
      <w:r w:rsidRPr="00347133">
        <w:tab/>
        <w:t xml:space="preserve">subsection 4.15(1) (table for equation 18—item, value of </w:t>
      </w:r>
      <w:r w:rsidRPr="00347133">
        <w:rPr>
          <w:i/>
        </w:rPr>
        <w:t>E</w:t>
      </w:r>
      <w:r w:rsidRPr="00347133">
        <w:rPr>
          <w:i/>
          <w:vertAlign w:val="subscript"/>
        </w:rPr>
        <w:t>B</w:t>
      </w:r>
      <w:r w:rsidR="00C10BAA" w:rsidRPr="00347133">
        <w:t>, second occurrence</w:t>
      </w:r>
      <w:r w:rsidRPr="00347133">
        <w:t>);</w:t>
      </w:r>
    </w:p>
    <w:p w14:paraId="47C00CB9" w14:textId="77777777" w:rsidR="0051315C" w:rsidRPr="00347133" w:rsidRDefault="0051315C" w:rsidP="0051315C">
      <w:pPr>
        <w:pStyle w:val="tPara"/>
      </w:pPr>
      <w:r w:rsidRPr="00347133">
        <w:tab/>
      </w:r>
      <w:r w:rsidR="0003777B" w:rsidRPr="00347133">
        <w:t>(l)</w:t>
      </w:r>
      <w:r w:rsidRPr="00347133">
        <w:tab/>
        <w:t xml:space="preserve">subsection 4.15(1) (table for equation 18—item, value of </w:t>
      </w:r>
      <w:r w:rsidRPr="00347133">
        <w:rPr>
          <w:i/>
        </w:rPr>
        <w:t>E</w:t>
      </w:r>
      <w:r w:rsidRPr="00347133">
        <w:rPr>
          <w:i/>
          <w:vertAlign w:val="subscript"/>
        </w:rPr>
        <w:t>F</w:t>
      </w:r>
      <w:r w:rsidR="00C10BAA" w:rsidRPr="00347133">
        <w:t>, second occurrence</w:t>
      </w:r>
      <w:r w:rsidRPr="00347133">
        <w:t>);</w:t>
      </w:r>
    </w:p>
    <w:p w14:paraId="2DB4F14C" w14:textId="77777777" w:rsidR="00102406" w:rsidRPr="00347133" w:rsidRDefault="003871A5" w:rsidP="0051315C">
      <w:pPr>
        <w:pStyle w:val="tPara"/>
      </w:pPr>
      <w:r w:rsidRPr="00347133">
        <w:tab/>
      </w:r>
      <w:r w:rsidR="0003777B" w:rsidRPr="00347133">
        <w:t>(m)</w:t>
      </w:r>
      <w:r w:rsidRPr="00347133">
        <w:tab/>
        <w:t>subsection 4.15(2) (definition of “previous offsets report”</w:t>
      </w:r>
      <w:r w:rsidR="00C10BAA" w:rsidRPr="00347133">
        <w:t>, first occurrence</w:t>
      </w:r>
      <w:r w:rsidRPr="00347133">
        <w:t>)</w:t>
      </w:r>
      <w:r w:rsidR="00363A8F" w:rsidRPr="00347133">
        <w:t>.</w:t>
      </w:r>
    </w:p>
    <w:p w14:paraId="1199AD28" w14:textId="77777777" w:rsidR="000E1A2F" w:rsidRPr="0041723D" w:rsidRDefault="00A43434" w:rsidP="000E1A2F">
      <w:pPr>
        <w:pStyle w:val="h5SchItem"/>
      </w:pPr>
      <w:r>
        <w:t>[31]</w:t>
      </w:r>
      <w:r w:rsidR="000E1A2F" w:rsidRPr="0041723D">
        <w:tab/>
        <w:t xml:space="preserve">Amendments of listed provisions—references to project area </w:t>
      </w:r>
    </w:p>
    <w:p w14:paraId="4F948204" w14:textId="77777777" w:rsidR="000E1A2F" w:rsidRPr="0041723D" w:rsidRDefault="000E1A2F" w:rsidP="000E1A2F">
      <w:pPr>
        <w:pStyle w:val="tMain"/>
      </w:pPr>
      <w:r w:rsidRPr="0041723D">
        <w:tab/>
      </w:r>
      <w:r w:rsidRPr="0041723D">
        <w:tab/>
        <w:t>Insert “for the project area” in the following provisions:</w:t>
      </w:r>
    </w:p>
    <w:p w14:paraId="0F4CACEC" w14:textId="77777777" w:rsidR="000E1A2F" w:rsidRPr="0041723D" w:rsidRDefault="000E1A2F" w:rsidP="000E1A2F">
      <w:pPr>
        <w:pStyle w:val="tPara"/>
      </w:pPr>
      <w:r w:rsidRPr="0041723D">
        <w:tab/>
      </w:r>
      <w:r w:rsidR="0003777B" w:rsidRPr="0041723D">
        <w:t>(a)</w:t>
      </w:r>
      <w:r w:rsidRPr="0041723D">
        <w:tab/>
        <w:t>in subsection 4.13(2), after “the reporting period”;</w:t>
      </w:r>
    </w:p>
    <w:p w14:paraId="0B928891" w14:textId="77777777" w:rsidR="000E1A2F" w:rsidRPr="0041723D" w:rsidRDefault="000E1A2F" w:rsidP="000E1A2F">
      <w:pPr>
        <w:pStyle w:val="tPara"/>
      </w:pPr>
      <w:r w:rsidRPr="0041723D">
        <w:lastRenderedPageBreak/>
        <w:tab/>
      </w:r>
      <w:r w:rsidR="0003777B" w:rsidRPr="0041723D">
        <w:t>(b)</w:t>
      </w:r>
      <w:r w:rsidRPr="0041723D">
        <w:tab/>
        <w:t>in subsection 4.14(1), after “fuel use”;</w:t>
      </w:r>
    </w:p>
    <w:p w14:paraId="0F8DEA4F" w14:textId="77777777" w:rsidR="000E1A2F" w:rsidRPr="0041723D" w:rsidRDefault="000E1A2F" w:rsidP="000E1A2F">
      <w:pPr>
        <w:pStyle w:val="tPara"/>
      </w:pPr>
      <w:r w:rsidRPr="0041723D">
        <w:tab/>
      </w:r>
      <w:r w:rsidR="0003777B" w:rsidRPr="0041723D">
        <w:t>(c)</w:t>
      </w:r>
      <w:r w:rsidRPr="0041723D">
        <w:tab/>
        <w:t>in subsection 4.14(2), after “for the reporting period”;</w:t>
      </w:r>
    </w:p>
    <w:p w14:paraId="5262A50D" w14:textId="77777777" w:rsidR="000E1A2F" w:rsidRPr="0041723D" w:rsidRDefault="000E1A2F" w:rsidP="000E1A2F">
      <w:pPr>
        <w:pStyle w:val="tPara"/>
      </w:pPr>
      <w:r w:rsidRPr="0041723D">
        <w:tab/>
      </w:r>
      <w:r w:rsidR="0003777B" w:rsidRPr="0041723D">
        <w:t>(d)</w:t>
      </w:r>
      <w:r w:rsidRPr="0041723D">
        <w:tab/>
        <w:t xml:space="preserve">in subsection 4.14(2) (table for equation 16—item, value of </w:t>
      </w:r>
      <w:r w:rsidRPr="0041723D">
        <w:rPr>
          <w:i/>
        </w:rPr>
        <w:t>E</w:t>
      </w:r>
      <w:r w:rsidRPr="0041723D">
        <w:rPr>
          <w:i/>
          <w:vertAlign w:val="subscript"/>
        </w:rPr>
        <w:t>fk</w:t>
      </w:r>
      <w:r w:rsidRPr="0041723D">
        <w:t>), after “the reporting period”;</w:t>
      </w:r>
    </w:p>
    <w:p w14:paraId="2D62C116" w14:textId="77777777" w:rsidR="000E1A2F" w:rsidRPr="0041723D" w:rsidRDefault="000E1A2F" w:rsidP="000E1A2F">
      <w:pPr>
        <w:pStyle w:val="tPara"/>
      </w:pPr>
      <w:r w:rsidRPr="0041723D">
        <w:tab/>
      </w:r>
      <w:r w:rsidR="0003777B" w:rsidRPr="0041723D">
        <w:t>(e)</w:t>
      </w:r>
      <w:r w:rsidRPr="0041723D">
        <w:tab/>
        <w:t xml:space="preserve">in subsection 4.14(2) (table for equation 16—item, value of </w:t>
      </w:r>
      <w:r w:rsidRPr="0041723D">
        <w:rPr>
          <w:i/>
        </w:rPr>
        <w:t>Q</w:t>
      </w:r>
      <w:r w:rsidRPr="0041723D">
        <w:rPr>
          <w:i/>
          <w:vertAlign w:val="subscript"/>
        </w:rPr>
        <w:t>f</w:t>
      </w:r>
      <w:r w:rsidRPr="0041723D">
        <w:t>), after “the reporting period”;</w:t>
      </w:r>
    </w:p>
    <w:p w14:paraId="409628E8" w14:textId="77777777" w:rsidR="000E1A2F" w:rsidRPr="0041723D" w:rsidRDefault="000E1A2F" w:rsidP="000E1A2F">
      <w:pPr>
        <w:pStyle w:val="tPara"/>
      </w:pPr>
      <w:r w:rsidRPr="0041723D">
        <w:tab/>
      </w:r>
      <w:r w:rsidR="0003777B" w:rsidRPr="0041723D">
        <w:t>(f)</w:t>
      </w:r>
      <w:r w:rsidRPr="0041723D">
        <w:tab/>
        <w:t>in subsection 4.14(3), after “the reporting period”;</w:t>
      </w:r>
    </w:p>
    <w:p w14:paraId="5BAC23CC" w14:textId="77777777" w:rsidR="000E1A2F" w:rsidRPr="0041723D" w:rsidRDefault="000E1A2F" w:rsidP="000E1A2F">
      <w:pPr>
        <w:pStyle w:val="tPara"/>
      </w:pPr>
      <w:r w:rsidRPr="0041723D">
        <w:tab/>
      </w:r>
      <w:r w:rsidR="0003777B" w:rsidRPr="0041723D">
        <w:t>(g)</w:t>
      </w:r>
      <w:r w:rsidRPr="0041723D">
        <w:tab/>
        <w:t xml:space="preserve">in subsection 4.14(3) (table for equation 17—item, value of </w:t>
      </w:r>
      <w:r w:rsidRPr="0041723D">
        <w:rPr>
          <w:i/>
        </w:rPr>
        <w:t>E</w:t>
      </w:r>
      <w:r w:rsidRPr="0041723D">
        <w:rPr>
          <w:i/>
          <w:vertAlign w:val="subscript"/>
        </w:rPr>
        <w:t>f</w:t>
      </w:r>
      <w:r w:rsidRPr="0041723D">
        <w:t>), after “total fuel emissions”;</w:t>
      </w:r>
    </w:p>
    <w:p w14:paraId="75E628F1" w14:textId="77777777" w:rsidR="000E1A2F" w:rsidRPr="0041723D" w:rsidRDefault="000E1A2F" w:rsidP="000E1A2F">
      <w:pPr>
        <w:pStyle w:val="tPara"/>
      </w:pPr>
      <w:r w:rsidRPr="0041723D">
        <w:tab/>
      </w:r>
      <w:r w:rsidR="0003777B" w:rsidRPr="0041723D">
        <w:t>(h)</w:t>
      </w:r>
      <w:r w:rsidRPr="0041723D">
        <w:tab/>
        <w:t xml:space="preserve">in subsection 4.14(3) (table for equation 17—item, value of </w:t>
      </w:r>
      <w:r w:rsidRPr="0041723D">
        <w:rPr>
          <w:i/>
        </w:rPr>
        <w:t>E</w:t>
      </w:r>
      <w:r w:rsidRPr="0041723D">
        <w:rPr>
          <w:i/>
          <w:vertAlign w:val="subscript"/>
        </w:rPr>
        <w:t>fk</w:t>
      </w:r>
      <w:r w:rsidRPr="0041723D">
        <w:t>), after “the reporting period”</w:t>
      </w:r>
      <w:r w:rsidR="00363A8F" w:rsidRPr="0041723D">
        <w:t>.</w:t>
      </w:r>
    </w:p>
    <w:p w14:paraId="19BD8B9B" w14:textId="77777777" w:rsidR="00242F65" w:rsidRPr="00BA3D2E" w:rsidRDefault="00A43434" w:rsidP="00242F65">
      <w:pPr>
        <w:pStyle w:val="h1Chap"/>
      </w:pPr>
      <w:bookmarkStart w:id="23" w:name="_Toc500948382"/>
      <w:r>
        <w:lastRenderedPageBreak/>
        <w:t>Schedule 2</w:t>
      </w:r>
      <w:r w:rsidR="00242F65" w:rsidRPr="00C92564">
        <w:t>—Amendments of the</w:t>
      </w:r>
      <w:r w:rsidR="00242F65" w:rsidRPr="00C92564">
        <w:rPr>
          <w:i/>
        </w:rPr>
        <w:t xml:space="preserve"> </w:t>
      </w:r>
      <w:r w:rsidR="00BA3D2E" w:rsidRPr="00BA3D2E">
        <w:rPr>
          <w:i/>
        </w:rPr>
        <w:t>Carbon Credits (Carbon Farming Initiative) (Human-Induced Regeneration of a Permanent Even-Aged Native Forest—1.1) Methodology Determination 2013</w:t>
      </w:r>
      <w:bookmarkEnd w:id="23"/>
    </w:p>
    <w:p w14:paraId="17A17C13" w14:textId="77777777" w:rsidR="009B00D7" w:rsidRDefault="00A43434" w:rsidP="009B00D7">
      <w:pPr>
        <w:pStyle w:val="h5SchItem"/>
      </w:pPr>
      <w:r>
        <w:t>[1]</w:t>
      </w:r>
      <w:r w:rsidR="00242F65" w:rsidRPr="00C92564">
        <w:tab/>
      </w:r>
      <w:r w:rsidR="009B00D7">
        <w:t xml:space="preserve">Section 3 (definition of </w:t>
      </w:r>
      <w:r w:rsidR="009B00D7" w:rsidRPr="0053304C">
        <w:rPr>
          <w:i/>
        </w:rPr>
        <w:t>CFI mapping tool</w:t>
      </w:r>
      <w:r w:rsidR="009B00D7">
        <w:t>)</w:t>
      </w:r>
    </w:p>
    <w:p w14:paraId="29219250" w14:textId="77777777" w:rsidR="00242F65" w:rsidRPr="00C92564" w:rsidRDefault="009B00D7" w:rsidP="00242F65">
      <w:pPr>
        <w:pStyle w:val="tMain"/>
      </w:pPr>
      <w:r>
        <w:tab/>
      </w:r>
      <w:r>
        <w:tab/>
        <w:t>Repeal the definition (including the note).</w:t>
      </w:r>
    </w:p>
    <w:p w14:paraId="07F6BD64" w14:textId="77777777" w:rsidR="0053304C" w:rsidRDefault="00A43434" w:rsidP="0053304C">
      <w:pPr>
        <w:pStyle w:val="h5SchItem"/>
      </w:pPr>
      <w:r>
        <w:t>[2]</w:t>
      </w:r>
      <w:r w:rsidR="0053304C" w:rsidRPr="0066407A">
        <w:tab/>
      </w:r>
      <w:r w:rsidR="009B00D7">
        <w:t>Section 24</w:t>
      </w:r>
    </w:p>
    <w:p w14:paraId="1FCC4CE4" w14:textId="77777777" w:rsidR="0053304C" w:rsidRDefault="0053304C" w:rsidP="0053304C">
      <w:pPr>
        <w:pStyle w:val="tMain"/>
      </w:pPr>
      <w:r>
        <w:tab/>
      </w:r>
      <w:r w:rsidR="009B00D7">
        <w:tab/>
        <w:t>Repeal</w:t>
      </w:r>
      <w:r w:rsidR="00AB6C81">
        <w:t xml:space="preserve"> the section</w:t>
      </w:r>
      <w:r w:rsidR="009B00D7">
        <w:t>, substitute:</w:t>
      </w:r>
    </w:p>
    <w:p w14:paraId="7BAE9D11" w14:textId="77777777" w:rsidR="00B77502" w:rsidRDefault="00B77502" w:rsidP="00B77502">
      <w:pPr>
        <w:pStyle w:val="h5Section"/>
      </w:pPr>
      <w:bookmarkStart w:id="24" w:name="_Toc495417994"/>
      <w:bookmarkStart w:id="25" w:name="_Toc495929155"/>
      <w:bookmarkStart w:id="26" w:name="_Toc498603683"/>
      <w:bookmarkStart w:id="27" w:name="_Toc500238531"/>
      <w:bookmarkStart w:id="28" w:name="_Toc500948383"/>
      <w:r>
        <w:t>24  Mapping requirements</w:t>
      </w:r>
      <w:bookmarkEnd w:id="24"/>
      <w:bookmarkEnd w:id="25"/>
      <w:bookmarkEnd w:id="26"/>
      <w:bookmarkEnd w:id="27"/>
      <w:bookmarkEnd w:id="28"/>
    </w:p>
    <w:p w14:paraId="74CC97FF" w14:textId="77777777" w:rsidR="009B00D7" w:rsidRPr="0053304C" w:rsidRDefault="009B00D7" w:rsidP="0053304C">
      <w:pPr>
        <w:pStyle w:val="tMain"/>
      </w:pPr>
      <w:r>
        <w:tab/>
      </w:r>
      <w:r>
        <w:tab/>
        <w:t>For sections 10 and 17, mapping must be done using a geographic information system that meets the relevant geospatial information requirements of the CFI mapping guidelines.</w:t>
      </w:r>
    </w:p>
    <w:p w14:paraId="67F01788" w14:textId="77777777" w:rsidR="0028144F" w:rsidRDefault="0028144F">
      <w:pPr>
        <w:spacing w:line="240" w:lineRule="auto"/>
        <w:rPr>
          <w:rFonts w:eastAsia="Times New Roman"/>
          <w:lang w:eastAsia="en-AU"/>
        </w:rPr>
      </w:pPr>
      <w:r>
        <w:br w:type="page"/>
      </w:r>
    </w:p>
    <w:p w14:paraId="00C3AD07" w14:textId="77777777" w:rsidR="0028144F" w:rsidRPr="00BA3D2E" w:rsidRDefault="00A43434" w:rsidP="0028144F">
      <w:pPr>
        <w:pStyle w:val="h1Chap"/>
      </w:pPr>
      <w:bookmarkStart w:id="29" w:name="_Toc500948384"/>
      <w:r>
        <w:lastRenderedPageBreak/>
        <w:t>Schedule 3</w:t>
      </w:r>
      <w:r w:rsidR="0028144F" w:rsidRPr="00C92564">
        <w:t>—Amendments of the</w:t>
      </w:r>
      <w:r w:rsidR="0028144F" w:rsidRPr="00BA3D2E">
        <w:t xml:space="preserve"> </w:t>
      </w:r>
      <w:r w:rsidR="00BA3D2E" w:rsidRPr="00BA3D2E">
        <w:rPr>
          <w:i/>
        </w:rPr>
        <w:t>Carbon Credits (Carbon Farming Initiative) (Native Forest from Managed Regrowth) Methodology Determination 2013</w:t>
      </w:r>
      <w:bookmarkEnd w:id="29"/>
    </w:p>
    <w:p w14:paraId="6DD1993E" w14:textId="77777777" w:rsidR="00CA7774" w:rsidRPr="009E0C16" w:rsidRDefault="00A43434" w:rsidP="00CA7774">
      <w:pPr>
        <w:pStyle w:val="h5SchItem"/>
      </w:pPr>
      <w:r>
        <w:t>[1]</w:t>
      </w:r>
      <w:r w:rsidR="00CA7774" w:rsidRPr="009E0C16">
        <w:tab/>
        <w:t>Paragraph 1.2(a)</w:t>
      </w:r>
    </w:p>
    <w:p w14:paraId="1CF0C61B" w14:textId="77777777" w:rsidR="00CA7774" w:rsidRPr="009E0C16" w:rsidRDefault="00CA7774" w:rsidP="00CA7774">
      <w:pPr>
        <w:pStyle w:val="tMain"/>
      </w:pPr>
      <w:r w:rsidRPr="009E0C16">
        <w:tab/>
      </w:r>
      <w:r w:rsidRPr="009E0C16">
        <w:tab/>
        <w:t>Omit “Legislative Instruments”, substitute “Legislation”.</w:t>
      </w:r>
    </w:p>
    <w:p w14:paraId="5BECAC16" w14:textId="77777777" w:rsidR="00CA7774" w:rsidRPr="009E0C16" w:rsidRDefault="00A43434" w:rsidP="00CA7774">
      <w:pPr>
        <w:pStyle w:val="h5SchItem"/>
      </w:pPr>
      <w:r>
        <w:t>[2]</w:t>
      </w:r>
      <w:r w:rsidR="00CA7774" w:rsidRPr="009E0C16">
        <w:tab/>
        <w:t>Paragraph 1.2(b)</w:t>
      </w:r>
    </w:p>
    <w:p w14:paraId="21929D43" w14:textId="77777777" w:rsidR="00CA7774" w:rsidRPr="009E0C16" w:rsidRDefault="00CA7774" w:rsidP="00CA7774">
      <w:pPr>
        <w:pStyle w:val="tMain"/>
      </w:pPr>
      <w:r w:rsidRPr="009E0C16">
        <w:tab/>
      </w:r>
      <w:r w:rsidRPr="009E0C16">
        <w:tab/>
        <w:t>Omit “</w:t>
      </w:r>
      <w:r w:rsidRPr="009E0C16">
        <w:rPr>
          <w:i/>
        </w:rPr>
        <w:t>Legislative Instruments Act 2003</w:t>
      </w:r>
      <w:r w:rsidRPr="009E0C16">
        <w:t>”, substitute “</w:t>
      </w:r>
      <w:r w:rsidRPr="009E0C16">
        <w:rPr>
          <w:i/>
        </w:rPr>
        <w:t>Legislation Act 2003</w:t>
      </w:r>
      <w:r w:rsidRPr="009E0C16">
        <w:t>”.</w:t>
      </w:r>
    </w:p>
    <w:p w14:paraId="10A7E1F1" w14:textId="77777777" w:rsidR="00447272" w:rsidRDefault="00A43434" w:rsidP="00447272">
      <w:pPr>
        <w:pStyle w:val="h5SchItem"/>
      </w:pPr>
      <w:r>
        <w:t>[3]</w:t>
      </w:r>
      <w:r w:rsidR="00447272" w:rsidRPr="0066407A">
        <w:tab/>
      </w:r>
      <w:r w:rsidR="00447272">
        <w:t xml:space="preserve">Section 1.3 (definition of </w:t>
      </w:r>
      <w:r w:rsidR="00447272" w:rsidRPr="0053304C">
        <w:rPr>
          <w:i/>
        </w:rPr>
        <w:t xml:space="preserve">CFI </w:t>
      </w:r>
      <w:r w:rsidR="003503E1">
        <w:rPr>
          <w:i/>
        </w:rPr>
        <w:t>M</w:t>
      </w:r>
      <w:r w:rsidR="00447272" w:rsidRPr="0053304C">
        <w:rPr>
          <w:i/>
        </w:rPr>
        <w:t xml:space="preserve">apping </w:t>
      </w:r>
      <w:r w:rsidR="003503E1">
        <w:rPr>
          <w:i/>
        </w:rPr>
        <w:t>T</w:t>
      </w:r>
      <w:r w:rsidR="00447272" w:rsidRPr="0053304C">
        <w:rPr>
          <w:i/>
        </w:rPr>
        <w:t>ool</w:t>
      </w:r>
      <w:r w:rsidR="00447272">
        <w:t>)</w:t>
      </w:r>
    </w:p>
    <w:p w14:paraId="1393A2C9" w14:textId="77777777" w:rsidR="00447272" w:rsidRDefault="00447272" w:rsidP="00447272">
      <w:pPr>
        <w:pStyle w:val="tMain"/>
      </w:pPr>
      <w:r>
        <w:tab/>
      </w:r>
      <w:r>
        <w:tab/>
        <w:t>Repeal the definition.</w:t>
      </w:r>
    </w:p>
    <w:p w14:paraId="21D8B065" w14:textId="77777777" w:rsidR="0053304C" w:rsidRDefault="00A43434" w:rsidP="0053304C">
      <w:pPr>
        <w:pStyle w:val="h5SchItem"/>
      </w:pPr>
      <w:r>
        <w:t>[4]</w:t>
      </w:r>
      <w:r w:rsidR="0053304C" w:rsidRPr="0066407A">
        <w:tab/>
      </w:r>
      <w:r w:rsidR="003503E1">
        <w:t>Paragraph 2.5(4)(a)</w:t>
      </w:r>
    </w:p>
    <w:p w14:paraId="10F3CF16" w14:textId="77777777" w:rsidR="00CC432F" w:rsidRPr="00CC432F" w:rsidRDefault="00CC432F" w:rsidP="00CC432F">
      <w:pPr>
        <w:pStyle w:val="tMain"/>
        <w:rPr>
          <w:color w:val="000000" w:themeColor="text1"/>
        </w:rPr>
      </w:pPr>
      <w:r w:rsidRPr="00CC432F">
        <w:rPr>
          <w:color w:val="000000" w:themeColor="text1"/>
        </w:rPr>
        <w:tab/>
      </w:r>
      <w:r w:rsidRPr="00CC432F">
        <w:rPr>
          <w:color w:val="000000" w:themeColor="text1"/>
        </w:rPr>
        <w:tab/>
        <w:t>Repeal the paragraph, substitute:</w:t>
      </w:r>
    </w:p>
    <w:p w14:paraId="745C41E6" w14:textId="77777777" w:rsidR="00CC432F" w:rsidRPr="00CC432F" w:rsidRDefault="00CC432F" w:rsidP="00CC432F">
      <w:pPr>
        <w:pStyle w:val="tPara"/>
        <w:rPr>
          <w:color w:val="000000" w:themeColor="text1"/>
        </w:rPr>
      </w:pPr>
      <w:r w:rsidRPr="00CC432F">
        <w:rPr>
          <w:color w:val="000000" w:themeColor="text1"/>
        </w:rPr>
        <w:tab/>
        <w:t>(a)</w:t>
      </w:r>
      <w:r w:rsidRPr="00CC432F">
        <w:rPr>
          <w:color w:val="000000" w:themeColor="text1"/>
        </w:rPr>
        <w:tab/>
        <w:t>the</w:t>
      </w:r>
      <w:r>
        <w:rPr>
          <w:color w:val="000000" w:themeColor="text1"/>
        </w:rPr>
        <w:t xml:space="preserve"> 1990 forest extent layer; and</w:t>
      </w:r>
    </w:p>
    <w:p w14:paraId="12591CA1" w14:textId="77777777" w:rsidR="0053304C" w:rsidRDefault="00A43434" w:rsidP="0053304C">
      <w:pPr>
        <w:pStyle w:val="h5SchItem"/>
      </w:pPr>
      <w:r>
        <w:t>[5]</w:t>
      </w:r>
      <w:r w:rsidR="0053304C" w:rsidRPr="0066407A">
        <w:tab/>
      </w:r>
      <w:r w:rsidR="003503E1">
        <w:t>After subsection 2.5(4)</w:t>
      </w:r>
    </w:p>
    <w:p w14:paraId="7FABFA91" w14:textId="77777777" w:rsidR="003503E1" w:rsidRDefault="0053304C" w:rsidP="0053304C">
      <w:pPr>
        <w:pStyle w:val="tMain"/>
      </w:pPr>
      <w:r>
        <w:tab/>
      </w:r>
      <w:r>
        <w:tab/>
      </w:r>
      <w:r w:rsidR="003503E1">
        <w:t>Insert:</w:t>
      </w:r>
    </w:p>
    <w:p w14:paraId="03B881B8" w14:textId="77777777" w:rsidR="0053304C" w:rsidRDefault="003503E1" w:rsidP="003503E1">
      <w:pPr>
        <w:pStyle w:val="tMain"/>
      </w:pPr>
      <w:r>
        <w:tab/>
        <w:t>(5)</w:t>
      </w:r>
      <w:r>
        <w:tab/>
        <w:t>In subsection (4):</w:t>
      </w:r>
    </w:p>
    <w:p w14:paraId="585518D4" w14:textId="77777777" w:rsidR="003503E1" w:rsidRDefault="003503E1" w:rsidP="003503E1">
      <w:pPr>
        <w:pStyle w:val="tDefn"/>
      </w:pPr>
      <w:r>
        <w:rPr>
          <w:b/>
          <w:i/>
        </w:rPr>
        <w:t xml:space="preserve">1990 forest extent layer </w:t>
      </w:r>
      <w:r>
        <w:t>means the online data layer of that name, as published on the Department’s website and as in force from time to time.</w:t>
      </w:r>
    </w:p>
    <w:p w14:paraId="53A66491" w14:textId="5ECA12B1" w:rsidR="003503E1" w:rsidRDefault="003503E1" w:rsidP="003503E1">
      <w:pPr>
        <w:pStyle w:val="nMain"/>
      </w:pPr>
      <w:r>
        <w:t>Note:</w:t>
      </w:r>
      <w:r>
        <w:tab/>
        <w:t xml:space="preserve">In </w:t>
      </w:r>
      <w:r w:rsidR="00582CB6">
        <w:t>2018</w:t>
      </w:r>
      <w:r>
        <w:t xml:space="preserve">, the Department’s website was </w:t>
      </w:r>
      <w:r w:rsidRPr="001052DB">
        <w:t>http://www.environment.gov.au</w:t>
      </w:r>
      <w:r>
        <w:t>.</w:t>
      </w:r>
    </w:p>
    <w:p w14:paraId="316CE991" w14:textId="77777777" w:rsidR="0053304C" w:rsidRDefault="00A43434" w:rsidP="0053304C">
      <w:pPr>
        <w:pStyle w:val="h5SchItem"/>
      </w:pPr>
      <w:r>
        <w:t>[6]</w:t>
      </w:r>
      <w:r w:rsidR="0053304C" w:rsidRPr="0066407A">
        <w:tab/>
      </w:r>
      <w:r w:rsidR="003503E1">
        <w:t>Section 5.2</w:t>
      </w:r>
    </w:p>
    <w:p w14:paraId="3A491FD1" w14:textId="77777777" w:rsidR="006F153C" w:rsidRPr="00C01EB2" w:rsidRDefault="003503E1" w:rsidP="000A68A6">
      <w:pPr>
        <w:pStyle w:val="tMain"/>
      </w:pPr>
      <w:r>
        <w:tab/>
      </w:r>
      <w:r>
        <w:tab/>
        <w:t>Omit “The CFI Mapping Tool or a”, substitute “A”.</w:t>
      </w:r>
    </w:p>
    <w:p w14:paraId="22565AFC" w14:textId="77777777" w:rsidR="00BF4FA6" w:rsidRPr="00BA3D2E" w:rsidRDefault="00A43434" w:rsidP="00BF4FA6">
      <w:pPr>
        <w:pStyle w:val="h1Chap"/>
      </w:pPr>
      <w:bookmarkStart w:id="30" w:name="_Toc500948385"/>
      <w:r>
        <w:lastRenderedPageBreak/>
        <w:t>Schedule 4</w:t>
      </w:r>
      <w:r w:rsidR="00BF4FA6" w:rsidRPr="00C92564">
        <w:t>—Amendments of the</w:t>
      </w:r>
      <w:r w:rsidR="00BF4FA6" w:rsidRPr="00C92564">
        <w:rPr>
          <w:i/>
        </w:rPr>
        <w:t xml:space="preserve"> </w:t>
      </w:r>
      <w:r w:rsidR="00BA3D2E" w:rsidRPr="00BA3D2E">
        <w:rPr>
          <w:i/>
        </w:rPr>
        <w:t>Carbon Credits (Carbon Farming Initiative—Avoided Clearing of Native Regrowth) Methodology Determination 2015</w:t>
      </w:r>
      <w:bookmarkEnd w:id="30"/>
    </w:p>
    <w:p w14:paraId="65ED4904" w14:textId="77777777" w:rsidR="00CA7774" w:rsidRPr="009E0C16" w:rsidRDefault="00A43434" w:rsidP="00CA7774">
      <w:pPr>
        <w:pStyle w:val="h5SchItem"/>
      </w:pPr>
      <w:r>
        <w:t>[1]</w:t>
      </w:r>
      <w:r w:rsidR="00CA7774" w:rsidRPr="009E0C16">
        <w:tab/>
        <w:t>Paragraph 4(b)</w:t>
      </w:r>
    </w:p>
    <w:p w14:paraId="5B1705A1" w14:textId="77777777" w:rsidR="00CA7774" w:rsidRPr="009E0C16" w:rsidRDefault="00CA7774" w:rsidP="00CA7774">
      <w:pPr>
        <w:pStyle w:val="tMain"/>
      </w:pPr>
      <w:r w:rsidRPr="009E0C16">
        <w:tab/>
      </w:r>
      <w:r w:rsidRPr="009E0C16">
        <w:tab/>
        <w:t>Omit “</w:t>
      </w:r>
      <w:r w:rsidRPr="009E0C16">
        <w:rPr>
          <w:i/>
        </w:rPr>
        <w:t>Legislative Instruments Act 2003</w:t>
      </w:r>
      <w:r w:rsidRPr="009E0C16">
        <w:t>”, substitute “</w:t>
      </w:r>
      <w:r w:rsidRPr="009E0C16">
        <w:rPr>
          <w:i/>
        </w:rPr>
        <w:t>Legislation Act 2003</w:t>
      </w:r>
      <w:r w:rsidRPr="009E0C16">
        <w:t>”.</w:t>
      </w:r>
    </w:p>
    <w:p w14:paraId="1D3FCFE6" w14:textId="77777777" w:rsidR="00BA3D2E" w:rsidRDefault="00A43434" w:rsidP="00BA3D2E">
      <w:pPr>
        <w:pStyle w:val="h5SchItem"/>
      </w:pPr>
      <w:r>
        <w:t>[2]</w:t>
      </w:r>
      <w:r w:rsidR="00BF4FA6" w:rsidRPr="00C92564">
        <w:tab/>
      </w:r>
      <w:r w:rsidR="004A07C8">
        <w:t xml:space="preserve">Section 5 (definition of </w:t>
      </w:r>
      <w:r w:rsidR="004A07C8">
        <w:rPr>
          <w:i/>
        </w:rPr>
        <w:t>Carbon Farming Mapping Tool</w:t>
      </w:r>
      <w:r w:rsidR="004A07C8">
        <w:t>)</w:t>
      </w:r>
    </w:p>
    <w:p w14:paraId="34177F4D" w14:textId="77777777" w:rsidR="004A07C8" w:rsidRPr="004A07C8" w:rsidRDefault="004A07C8" w:rsidP="004A07C8">
      <w:pPr>
        <w:pStyle w:val="tMain"/>
      </w:pPr>
      <w:r>
        <w:tab/>
      </w:r>
      <w:r>
        <w:tab/>
        <w:t>Repeal the definition.</w:t>
      </w:r>
    </w:p>
    <w:p w14:paraId="047B7129" w14:textId="77777777" w:rsidR="00957CF3" w:rsidRDefault="00A43434" w:rsidP="00957CF3">
      <w:pPr>
        <w:pStyle w:val="h5SchItem"/>
      </w:pPr>
      <w:r>
        <w:t>[3]</w:t>
      </w:r>
      <w:r w:rsidR="00957CF3" w:rsidRPr="00C92564">
        <w:tab/>
      </w:r>
      <w:r w:rsidR="004A07C8">
        <w:t>Paragraph 10(3)(b)</w:t>
      </w:r>
    </w:p>
    <w:p w14:paraId="0EB0F09D" w14:textId="77777777" w:rsidR="004A07C8" w:rsidRDefault="004A07C8" w:rsidP="004A07C8">
      <w:pPr>
        <w:pStyle w:val="tMain"/>
      </w:pPr>
      <w:r>
        <w:tab/>
      </w:r>
      <w:r>
        <w:tab/>
        <w:t>Repeal</w:t>
      </w:r>
      <w:r w:rsidR="006C7080">
        <w:t xml:space="preserve"> the paragraph</w:t>
      </w:r>
      <w:r>
        <w:t>, substitute:</w:t>
      </w:r>
    </w:p>
    <w:p w14:paraId="350B6BC9" w14:textId="77777777" w:rsidR="004A07C8" w:rsidRPr="004A07C8" w:rsidRDefault="004A07C8" w:rsidP="004A07C8">
      <w:pPr>
        <w:pStyle w:val="tPara"/>
      </w:pPr>
      <w:r>
        <w:tab/>
        <w:t>(b)</w:t>
      </w:r>
      <w:r>
        <w:tab/>
        <w:t>the forest cover data layer.</w:t>
      </w:r>
    </w:p>
    <w:p w14:paraId="1232D311" w14:textId="77777777" w:rsidR="0053304C" w:rsidRDefault="00A43434" w:rsidP="0053304C">
      <w:pPr>
        <w:pStyle w:val="h5SchItem"/>
      </w:pPr>
      <w:r>
        <w:t>[4]</w:t>
      </w:r>
      <w:r w:rsidR="0053304C" w:rsidRPr="0066407A">
        <w:tab/>
      </w:r>
      <w:r w:rsidR="004A07C8">
        <w:t xml:space="preserve">After </w:t>
      </w:r>
      <w:r w:rsidR="006C7080">
        <w:t>s</w:t>
      </w:r>
      <w:r w:rsidR="00D25E70">
        <w:t>ubsection 10(</w:t>
      </w:r>
      <w:r w:rsidR="006C7080">
        <w:t>4</w:t>
      </w:r>
      <w:r w:rsidR="00D25E70">
        <w:t>)</w:t>
      </w:r>
    </w:p>
    <w:p w14:paraId="42D7ECDF" w14:textId="77777777" w:rsidR="00D25E70" w:rsidRDefault="00D25E70" w:rsidP="00D25E70">
      <w:pPr>
        <w:pStyle w:val="tMain"/>
      </w:pPr>
      <w:r>
        <w:tab/>
      </w:r>
      <w:r>
        <w:tab/>
        <w:t>Insert:</w:t>
      </w:r>
    </w:p>
    <w:p w14:paraId="70A6FB9A" w14:textId="77777777" w:rsidR="00D25E70" w:rsidRDefault="00D25E70" w:rsidP="00D25E70">
      <w:pPr>
        <w:pStyle w:val="tMain"/>
      </w:pPr>
      <w:r>
        <w:tab/>
        <w:t>(</w:t>
      </w:r>
      <w:r w:rsidR="006C7080">
        <w:t>5</w:t>
      </w:r>
      <w:r>
        <w:t>)</w:t>
      </w:r>
      <w:r>
        <w:tab/>
        <w:t>In paragraph 10(3)(b):</w:t>
      </w:r>
    </w:p>
    <w:p w14:paraId="510F45EB" w14:textId="77777777" w:rsidR="00D25E70" w:rsidRPr="009E0C16" w:rsidRDefault="00D25E70" w:rsidP="00D25E70">
      <w:pPr>
        <w:pStyle w:val="tDefn"/>
      </w:pPr>
      <w:r w:rsidRPr="009E0C16">
        <w:rPr>
          <w:b/>
          <w:i/>
        </w:rPr>
        <w:t xml:space="preserve">forest cover data layer </w:t>
      </w:r>
      <w:r w:rsidRPr="009E0C16">
        <w:t xml:space="preserve">means the </w:t>
      </w:r>
      <w:r w:rsidR="00366467" w:rsidRPr="009E0C16">
        <w:t xml:space="preserve">document described as the forest cover data layer and </w:t>
      </w:r>
      <w:r w:rsidRPr="009E0C16">
        <w:t>as published on the Department’s website</w:t>
      </w:r>
      <w:r w:rsidR="00366467" w:rsidRPr="009E0C16">
        <w:t>,</w:t>
      </w:r>
      <w:r w:rsidRPr="009E0C16">
        <w:t xml:space="preserve"> as in force from time to time.</w:t>
      </w:r>
    </w:p>
    <w:p w14:paraId="51FA35B1" w14:textId="5AE2B521" w:rsidR="00D25E70" w:rsidRDefault="00D25E70" w:rsidP="00D25E70">
      <w:pPr>
        <w:pStyle w:val="nMain"/>
      </w:pPr>
      <w:r>
        <w:t>Note:</w:t>
      </w:r>
      <w:r>
        <w:tab/>
        <w:t xml:space="preserve">In </w:t>
      </w:r>
      <w:r w:rsidR="00582CB6">
        <w:t>2018</w:t>
      </w:r>
      <w:r>
        <w:t xml:space="preserve">, the Department’s website was </w:t>
      </w:r>
      <w:r w:rsidRPr="001052DB">
        <w:t>http://www.environment.gov.au</w:t>
      </w:r>
      <w:r>
        <w:t>.</w:t>
      </w:r>
    </w:p>
    <w:p w14:paraId="06EAA1AB" w14:textId="77777777" w:rsidR="00247ACE" w:rsidRPr="00BA3D2E" w:rsidRDefault="00A43434" w:rsidP="00247ACE">
      <w:pPr>
        <w:pStyle w:val="h1Chap"/>
      </w:pPr>
      <w:bookmarkStart w:id="31" w:name="_Toc500948386"/>
      <w:r>
        <w:lastRenderedPageBreak/>
        <w:t>Schedule 5</w:t>
      </w:r>
      <w:r w:rsidR="00247ACE" w:rsidRPr="00C92564">
        <w:t>—Amendments of the</w:t>
      </w:r>
      <w:r w:rsidR="00247ACE" w:rsidRPr="00C92564">
        <w:rPr>
          <w:i/>
        </w:rPr>
        <w:t xml:space="preserve"> </w:t>
      </w:r>
      <w:r w:rsidR="00247ACE" w:rsidRPr="00247ACE">
        <w:rPr>
          <w:i/>
        </w:rPr>
        <w:t>Carbon Credits (Carbon Farming Initiative—Estimating Sequestration of Carbon in Soil Using Default Values) Methodology Determination 2015</w:t>
      </w:r>
      <w:bookmarkEnd w:id="31"/>
    </w:p>
    <w:p w14:paraId="7248D2D8" w14:textId="77777777" w:rsidR="003E2B5A" w:rsidRPr="009E0C16" w:rsidRDefault="00A43434" w:rsidP="003E2B5A">
      <w:pPr>
        <w:pStyle w:val="h5SchItem"/>
      </w:pPr>
      <w:r>
        <w:t>[1]</w:t>
      </w:r>
      <w:r w:rsidR="003E2B5A" w:rsidRPr="009E0C16">
        <w:tab/>
        <w:t>Paragraph 4(b)</w:t>
      </w:r>
    </w:p>
    <w:p w14:paraId="6ECD8B5F" w14:textId="77777777" w:rsidR="003E2B5A" w:rsidRPr="009E0C16" w:rsidRDefault="003E2B5A" w:rsidP="003E2B5A">
      <w:pPr>
        <w:pStyle w:val="tMain"/>
      </w:pPr>
      <w:r w:rsidRPr="009E0C16">
        <w:tab/>
      </w:r>
      <w:r w:rsidRPr="009E0C16">
        <w:tab/>
        <w:t>Omit “</w:t>
      </w:r>
      <w:r w:rsidRPr="009E0C16">
        <w:rPr>
          <w:i/>
        </w:rPr>
        <w:t>Legislative Instruments Act 2003</w:t>
      </w:r>
      <w:r w:rsidRPr="009E0C16">
        <w:t>”, substitute “</w:t>
      </w:r>
      <w:r w:rsidRPr="009E0C16">
        <w:rPr>
          <w:i/>
        </w:rPr>
        <w:t>Legislation Act 2003</w:t>
      </w:r>
      <w:r w:rsidRPr="009E0C16">
        <w:t>”.</w:t>
      </w:r>
    </w:p>
    <w:p w14:paraId="5E68B2B9" w14:textId="77777777" w:rsidR="00247ACE" w:rsidRDefault="00A43434" w:rsidP="00247ACE">
      <w:pPr>
        <w:pStyle w:val="h5SchItem"/>
      </w:pPr>
      <w:r>
        <w:t>[2]</w:t>
      </w:r>
      <w:r w:rsidR="00247ACE" w:rsidRPr="00C92564">
        <w:tab/>
      </w:r>
      <w:r w:rsidR="00210A41">
        <w:t xml:space="preserve">Section 5 (definition of </w:t>
      </w:r>
      <w:r w:rsidR="00210A41">
        <w:rPr>
          <w:i/>
        </w:rPr>
        <w:t>CFI Mapping Tool</w:t>
      </w:r>
      <w:r w:rsidR="00210A41">
        <w:t>)</w:t>
      </w:r>
    </w:p>
    <w:p w14:paraId="719D3CBE" w14:textId="77777777" w:rsidR="00210A41" w:rsidRPr="00210A41" w:rsidRDefault="00210A41" w:rsidP="00210A41">
      <w:pPr>
        <w:pStyle w:val="tMain"/>
      </w:pPr>
      <w:r>
        <w:tab/>
      </w:r>
      <w:r>
        <w:tab/>
        <w:t>Repeal the definition (including the note).</w:t>
      </w:r>
    </w:p>
    <w:p w14:paraId="3830478D" w14:textId="77777777" w:rsidR="00247ACE" w:rsidRDefault="00A43434" w:rsidP="00247ACE">
      <w:pPr>
        <w:pStyle w:val="h5SchItem"/>
      </w:pPr>
      <w:r>
        <w:t>[3]</w:t>
      </w:r>
      <w:r w:rsidR="00247ACE" w:rsidRPr="00C92564">
        <w:tab/>
      </w:r>
      <w:r w:rsidR="00210A41">
        <w:t>Section 5</w:t>
      </w:r>
    </w:p>
    <w:p w14:paraId="2F35AFE2" w14:textId="77777777" w:rsidR="00210A41" w:rsidRDefault="00210A41" w:rsidP="00210A41">
      <w:pPr>
        <w:pStyle w:val="tMain"/>
      </w:pPr>
      <w:r>
        <w:tab/>
      </w:r>
      <w:r>
        <w:tab/>
        <w:t>Insert:</w:t>
      </w:r>
    </w:p>
    <w:p w14:paraId="39A94BC4" w14:textId="77777777" w:rsidR="00210A41" w:rsidRPr="009E0C16" w:rsidRDefault="00880DEA" w:rsidP="00210A41">
      <w:pPr>
        <w:pStyle w:val="tDefn"/>
        <w:rPr>
          <w:b/>
        </w:rPr>
      </w:pPr>
      <w:r w:rsidRPr="009E0C16">
        <w:rPr>
          <w:b/>
          <w:i/>
        </w:rPr>
        <w:t>Sequestration Value Maps</w:t>
      </w:r>
      <w:r w:rsidR="00210A41" w:rsidRPr="009E0C16">
        <w:rPr>
          <w:b/>
          <w:i/>
        </w:rPr>
        <w:t xml:space="preserve"> </w:t>
      </w:r>
      <w:r w:rsidR="00210A41" w:rsidRPr="009E0C16">
        <w:t xml:space="preserve">means </w:t>
      </w:r>
      <w:r w:rsidR="00912B9B" w:rsidRPr="009E0C16">
        <w:t xml:space="preserve">the </w:t>
      </w:r>
      <w:r w:rsidR="00210A41" w:rsidRPr="009E0C16">
        <w:t>document</w:t>
      </w:r>
      <w:r w:rsidR="00912B9B" w:rsidRPr="009E0C16">
        <w:t>s</w:t>
      </w:r>
      <w:r w:rsidR="00210A41" w:rsidRPr="009E0C16">
        <w:t xml:space="preserve"> </w:t>
      </w:r>
      <w:r w:rsidR="00912B9B" w:rsidRPr="009E0C16">
        <w:t xml:space="preserve">described as </w:t>
      </w:r>
      <w:r w:rsidRPr="009E0C16">
        <w:t xml:space="preserve">sequestration value </w:t>
      </w:r>
      <w:r w:rsidR="00912B9B" w:rsidRPr="009E0C16">
        <w:t>map</w:t>
      </w:r>
      <w:r w:rsidR="00604D3C" w:rsidRPr="009E0C16">
        <w:t>s and</w:t>
      </w:r>
      <w:r w:rsidR="00210A41" w:rsidRPr="009E0C16">
        <w:t xml:space="preserve"> as published on the Department’s website</w:t>
      </w:r>
      <w:r w:rsidR="00604D3C" w:rsidRPr="009E0C16">
        <w:t>,</w:t>
      </w:r>
      <w:r w:rsidR="00210A41" w:rsidRPr="009E0C16">
        <w:t xml:space="preserve"> as in force from time to time.</w:t>
      </w:r>
    </w:p>
    <w:p w14:paraId="2ECC6FCD" w14:textId="5B49B3FB" w:rsidR="00E50FFC" w:rsidRDefault="00E50FFC" w:rsidP="00E50FFC">
      <w:pPr>
        <w:pStyle w:val="nMain"/>
      </w:pPr>
      <w:r>
        <w:t>Note:</w:t>
      </w:r>
      <w:r>
        <w:tab/>
        <w:t xml:space="preserve">In </w:t>
      </w:r>
      <w:r w:rsidR="00582CB6">
        <w:t>2018</w:t>
      </w:r>
      <w:r>
        <w:t xml:space="preserve">, the Department’s website was </w:t>
      </w:r>
      <w:r w:rsidRPr="001052DB">
        <w:t>http://www.environment.gov.au</w:t>
      </w:r>
      <w:r>
        <w:t>.</w:t>
      </w:r>
    </w:p>
    <w:p w14:paraId="73E9DDE4" w14:textId="77777777" w:rsidR="0053304C" w:rsidRDefault="00A43434" w:rsidP="0053304C">
      <w:pPr>
        <w:pStyle w:val="h5SchItem"/>
      </w:pPr>
      <w:r>
        <w:t>[4]</w:t>
      </w:r>
      <w:r w:rsidR="0053304C" w:rsidRPr="0066407A">
        <w:tab/>
      </w:r>
      <w:r w:rsidR="00EC0303">
        <w:t xml:space="preserve">Section 5 (definition of </w:t>
      </w:r>
      <w:r w:rsidR="00EC0303">
        <w:rPr>
          <w:i/>
        </w:rPr>
        <w:t>SA2 region</w:t>
      </w:r>
      <w:r w:rsidR="00EC0303">
        <w:t>)</w:t>
      </w:r>
    </w:p>
    <w:p w14:paraId="6DF26C89" w14:textId="77777777" w:rsidR="00EC0303" w:rsidRPr="009E0C16" w:rsidRDefault="00EC0303" w:rsidP="00EC0303">
      <w:pPr>
        <w:pStyle w:val="tMain"/>
      </w:pPr>
      <w:r w:rsidRPr="009E0C16">
        <w:tab/>
      </w:r>
      <w:r w:rsidRPr="009E0C16">
        <w:tab/>
        <w:t>Omit “soil carbon maps published on the CFI Mapping Tool”, substitute “</w:t>
      </w:r>
      <w:r w:rsidR="005D6011" w:rsidRPr="009E0C16">
        <w:t>Sequestration Value Maps</w:t>
      </w:r>
      <w:r w:rsidRPr="009E0C16">
        <w:t>”.</w:t>
      </w:r>
    </w:p>
    <w:p w14:paraId="083AB597" w14:textId="77777777" w:rsidR="0053304C" w:rsidRPr="00EC0303" w:rsidRDefault="00A43434" w:rsidP="0053304C">
      <w:pPr>
        <w:pStyle w:val="h5SchItem"/>
      </w:pPr>
      <w:r>
        <w:t>[5]</w:t>
      </w:r>
      <w:r w:rsidR="0053304C" w:rsidRPr="0066407A">
        <w:tab/>
      </w:r>
      <w:r w:rsidR="00EC0303">
        <w:t xml:space="preserve">Section 5 (definition of </w:t>
      </w:r>
      <w:r w:rsidR="00EC0303">
        <w:rPr>
          <w:i/>
        </w:rPr>
        <w:t>sequestration value</w:t>
      </w:r>
      <w:r w:rsidR="00EC0303">
        <w:t>)</w:t>
      </w:r>
    </w:p>
    <w:p w14:paraId="4F551209" w14:textId="77777777" w:rsidR="0053304C" w:rsidRDefault="00EC0303" w:rsidP="0053304C">
      <w:pPr>
        <w:pStyle w:val="tMain"/>
      </w:pPr>
      <w:r>
        <w:tab/>
      </w:r>
      <w:r>
        <w:tab/>
        <w:t>Omit “</w:t>
      </w:r>
      <w:r w:rsidRPr="00A85E3F">
        <w:rPr>
          <w:color w:val="000000" w:themeColor="text1"/>
        </w:rPr>
        <w:t>CFI Mapping Tool in accordance with the CFI Mapping Guidelines</w:t>
      </w:r>
      <w:r>
        <w:rPr>
          <w:color w:val="000000" w:themeColor="text1"/>
        </w:rPr>
        <w:t>”, substitute “</w:t>
      </w:r>
      <w:r w:rsidR="001F358D">
        <w:rPr>
          <w:color w:val="000000" w:themeColor="text1"/>
        </w:rPr>
        <w:t xml:space="preserve">relevant </w:t>
      </w:r>
      <w:r w:rsidR="00307F0F" w:rsidRPr="009E0C16">
        <w:t>Sequestration Value Maps</w:t>
      </w:r>
      <w:r w:rsidR="00347F68">
        <w:rPr>
          <w:color w:val="000000" w:themeColor="text1"/>
        </w:rPr>
        <w:t>”</w:t>
      </w:r>
      <w:r w:rsidR="0053304C">
        <w:t>.</w:t>
      </w:r>
    </w:p>
    <w:p w14:paraId="0DA1B53F" w14:textId="77777777" w:rsidR="0053304C" w:rsidRDefault="00A43434" w:rsidP="0053304C">
      <w:pPr>
        <w:pStyle w:val="h5SchItem"/>
      </w:pPr>
      <w:r>
        <w:t>[6]</w:t>
      </w:r>
      <w:r w:rsidR="0053304C" w:rsidRPr="0066407A">
        <w:tab/>
      </w:r>
      <w:r w:rsidR="002470FE">
        <w:t>Subsection 47(2) (note)</w:t>
      </w:r>
    </w:p>
    <w:p w14:paraId="0FB2DA6D" w14:textId="77777777" w:rsidR="00307F0F" w:rsidRPr="009E0C16" w:rsidRDefault="00307F0F" w:rsidP="0053304C">
      <w:pPr>
        <w:pStyle w:val="tMain"/>
      </w:pPr>
      <w:r w:rsidRPr="009E0C16">
        <w:tab/>
      </w:r>
      <w:r w:rsidRPr="009E0C16">
        <w:tab/>
        <w:t>Omit “CFI Mapping Tool”, substitute “Sequestration Value Maps”.</w:t>
      </w:r>
    </w:p>
    <w:p w14:paraId="5B724556" w14:textId="77777777" w:rsidR="0020419D" w:rsidRDefault="00A43434" w:rsidP="0068459E">
      <w:pPr>
        <w:pStyle w:val="h5SchItem"/>
      </w:pPr>
      <w:r>
        <w:t>[7]</w:t>
      </w:r>
      <w:r w:rsidR="0068459E" w:rsidRPr="00C92564">
        <w:tab/>
      </w:r>
      <w:r w:rsidR="0020419D">
        <w:t>Amendments of listed provisions</w:t>
      </w:r>
      <w:r w:rsidR="005C7FEA">
        <w:t>—</w:t>
      </w:r>
      <w:r w:rsidR="004A051C">
        <w:t xml:space="preserve">Replacement of </w:t>
      </w:r>
      <w:r w:rsidR="005C7FEA">
        <w:t>table to section 101</w:t>
      </w:r>
    </w:p>
    <w:p w14:paraId="49DAE7DB" w14:textId="77777777" w:rsidR="0020419D" w:rsidRPr="00B05D01" w:rsidRDefault="0020419D" w:rsidP="0020419D">
      <w:pPr>
        <w:pStyle w:val="tMain"/>
      </w:pPr>
      <w:r>
        <w:tab/>
      </w:r>
      <w:r>
        <w:tab/>
        <w:t>Omit “CFI Mapping Tool” and substitute “</w:t>
      </w:r>
      <w:r w:rsidR="00307F0F" w:rsidRPr="009E0C16">
        <w:t>Sequestration Value Maps</w:t>
      </w:r>
      <w:r>
        <w:t>” in the following provisions:</w:t>
      </w:r>
    </w:p>
    <w:p w14:paraId="6DFDA0CF" w14:textId="77777777" w:rsidR="0020419D" w:rsidRDefault="0020419D" w:rsidP="0020419D">
      <w:pPr>
        <w:pStyle w:val="tPara"/>
      </w:pPr>
      <w:r>
        <w:tab/>
      </w:r>
      <w:r w:rsidR="00A43434">
        <w:t>(a)</w:t>
      </w:r>
      <w:r>
        <w:tab/>
        <w:t>s</w:t>
      </w:r>
      <w:r w:rsidR="00B05D01">
        <w:t>ection 101 (table item 1, column headed “Description”)</w:t>
      </w:r>
      <w:r>
        <w:t>;</w:t>
      </w:r>
    </w:p>
    <w:p w14:paraId="360F26C0" w14:textId="77777777" w:rsidR="0068459E" w:rsidRDefault="0020419D" w:rsidP="0020419D">
      <w:pPr>
        <w:pStyle w:val="tPara"/>
      </w:pPr>
      <w:r>
        <w:tab/>
      </w:r>
      <w:r w:rsidR="00A43434">
        <w:t>(b)</w:t>
      </w:r>
      <w:r>
        <w:tab/>
        <w:t>s</w:t>
      </w:r>
      <w:r w:rsidR="00B05D01">
        <w:t>ection 101 (table item 1, column headed “Measurement procedure (including frequency as required)”)</w:t>
      </w:r>
      <w:r>
        <w:t>;</w:t>
      </w:r>
    </w:p>
    <w:p w14:paraId="7E4E6FD5" w14:textId="77777777" w:rsidR="00B05D01" w:rsidRDefault="0020419D" w:rsidP="0020419D">
      <w:pPr>
        <w:pStyle w:val="tPara"/>
      </w:pPr>
      <w:r>
        <w:tab/>
      </w:r>
      <w:r w:rsidR="00A43434">
        <w:t>(c)</w:t>
      </w:r>
      <w:r>
        <w:tab/>
        <w:t>s</w:t>
      </w:r>
      <w:r w:rsidR="00B05D01">
        <w:t>ection 101 (table item 2, column headed “Measurement procedure (including frequency as required)”)</w:t>
      </w:r>
      <w:r>
        <w:t>.</w:t>
      </w:r>
    </w:p>
    <w:p w14:paraId="222547A6" w14:textId="77777777" w:rsidR="00B05D01" w:rsidRDefault="00A43434" w:rsidP="00B05D01">
      <w:pPr>
        <w:pStyle w:val="h5SchItem"/>
      </w:pPr>
      <w:r>
        <w:lastRenderedPageBreak/>
        <w:t>[8]</w:t>
      </w:r>
      <w:r w:rsidR="0068459E" w:rsidRPr="0066407A">
        <w:tab/>
      </w:r>
      <w:r w:rsidR="00B05D01">
        <w:t>Section 101 (</w:t>
      </w:r>
      <w:r w:rsidR="00B7675B">
        <w:t xml:space="preserve">cell at </w:t>
      </w:r>
      <w:r w:rsidR="00B05D01">
        <w:t>table item 1</w:t>
      </w:r>
      <w:r w:rsidR="0029111A">
        <w:t>3</w:t>
      </w:r>
      <w:r w:rsidR="00B05D01">
        <w:t>, column headed “Measurement procedure (including frequency as required)”)</w:t>
      </w:r>
    </w:p>
    <w:p w14:paraId="0B3A7C28" w14:textId="77777777" w:rsidR="00B05D01" w:rsidRDefault="00B05D01" w:rsidP="00B05D01">
      <w:pPr>
        <w:pStyle w:val="tMain"/>
      </w:pPr>
      <w:r>
        <w:tab/>
      </w:r>
      <w:r>
        <w:tab/>
      </w:r>
      <w:r w:rsidR="00B7675B">
        <w:t>Repeal the cell,</w:t>
      </w:r>
      <w:r>
        <w:t xml:space="preserve"> substitute</w:t>
      </w:r>
      <w:r w:rsidR="00B7675B">
        <w:t>:</w:t>
      </w:r>
    </w:p>
    <w:p w14:paraId="5DB9BDA2" w14:textId="77777777" w:rsidR="00B7675B" w:rsidRDefault="00B7675B" w:rsidP="00B7675B">
      <w:pPr>
        <w:pStyle w:val="tMain"/>
      </w:pPr>
      <w:r>
        <w:tab/>
      </w:r>
      <w:r>
        <w:tab/>
      </w:r>
      <w:r w:rsidRPr="00B7675B">
        <w:t>Based on a geographic information system that meets the requirements of the CFI Mapping Guidelines</w:t>
      </w:r>
    </w:p>
    <w:p w14:paraId="39ACC50C" w14:textId="77777777" w:rsidR="004A051C" w:rsidRDefault="00A43434" w:rsidP="004A051C">
      <w:pPr>
        <w:pStyle w:val="h5SchItem"/>
      </w:pPr>
      <w:r>
        <w:t>[9]</w:t>
      </w:r>
      <w:r w:rsidR="004A051C" w:rsidRPr="0066407A">
        <w:tab/>
      </w:r>
      <w:r w:rsidR="004A051C">
        <w:t xml:space="preserve">Replacement of references to “soil carbon maps published on the </w:t>
      </w:r>
      <w:r w:rsidR="004A051C" w:rsidRPr="00A85E3F">
        <w:rPr>
          <w:color w:val="000000" w:themeColor="text1"/>
        </w:rPr>
        <w:t>CFI Mapping Tool</w:t>
      </w:r>
      <w:r w:rsidR="004A051C">
        <w:rPr>
          <w:color w:val="000000" w:themeColor="text1"/>
        </w:rPr>
        <w:t>”</w:t>
      </w:r>
    </w:p>
    <w:p w14:paraId="341024FE" w14:textId="77777777" w:rsidR="004A051C" w:rsidRDefault="004A051C" w:rsidP="004A051C">
      <w:pPr>
        <w:pStyle w:val="tMain"/>
        <w:rPr>
          <w:color w:val="000000" w:themeColor="text1"/>
        </w:rPr>
      </w:pPr>
      <w:r>
        <w:tab/>
      </w:r>
      <w:r>
        <w:tab/>
        <w:t xml:space="preserve">Omit “soil carbon maps published on the </w:t>
      </w:r>
      <w:r w:rsidRPr="00A85E3F">
        <w:rPr>
          <w:color w:val="000000" w:themeColor="text1"/>
        </w:rPr>
        <w:t>CFI Mapping Tool</w:t>
      </w:r>
      <w:r>
        <w:rPr>
          <w:color w:val="000000" w:themeColor="text1"/>
        </w:rPr>
        <w:t>” and substitute “</w:t>
      </w:r>
      <w:r w:rsidR="00307F0F" w:rsidRPr="009E0C16">
        <w:t>Sequestration Value Maps</w:t>
      </w:r>
      <w:r>
        <w:rPr>
          <w:color w:val="000000" w:themeColor="text1"/>
        </w:rPr>
        <w:t>” in the following provisions:</w:t>
      </w:r>
    </w:p>
    <w:p w14:paraId="6A67F0A0" w14:textId="77777777" w:rsidR="004A051C" w:rsidRDefault="004A051C" w:rsidP="004A051C">
      <w:pPr>
        <w:pStyle w:val="tPara"/>
      </w:pPr>
      <w:r>
        <w:tab/>
        <w:t>(a)</w:t>
      </w:r>
      <w:r>
        <w:tab/>
        <w:t>subsection 12(2);</w:t>
      </w:r>
    </w:p>
    <w:p w14:paraId="3087077D" w14:textId="77777777" w:rsidR="004A051C" w:rsidRDefault="004A051C" w:rsidP="004A051C">
      <w:pPr>
        <w:pStyle w:val="tPara"/>
      </w:pPr>
      <w:r>
        <w:tab/>
        <w:t>(b)</w:t>
      </w:r>
      <w:r>
        <w:tab/>
        <w:t>subsection 49(1).</w:t>
      </w:r>
    </w:p>
    <w:p w14:paraId="47370653" w14:textId="77777777" w:rsidR="004A051C" w:rsidRDefault="00A43434" w:rsidP="004A051C">
      <w:pPr>
        <w:pStyle w:val="h5SchItem"/>
      </w:pPr>
      <w:r>
        <w:t>[10]</w:t>
      </w:r>
      <w:r w:rsidR="004A051C" w:rsidRPr="0066407A">
        <w:tab/>
      </w:r>
      <w:r w:rsidR="004A051C">
        <w:t xml:space="preserve">Replacement of references to “soil carbon maps published on the </w:t>
      </w:r>
      <w:r w:rsidR="004A051C" w:rsidRPr="00A85E3F">
        <w:rPr>
          <w:color w:val="000000" w:themeColor="text1"/>
        </w:rPr>
        <w:t>CFI Mapping Tool</w:t>
      </w:r>
      <w:r w:rsidR="004A051C">
        <w:rPr>
          <w:color w:val="000000" w:themeColor="text1"/>
        </w:rPr>
        <w:t>”</w:t>
      </w:r>
    </w:p>
    <w:p w14:paraId="24FA75AC" w14:textId="77777777" w:rsidR="004A051C" w:rsidRDefault="004A051C" w:rsidP="004A051C">
      <w:pPr>
        <w:pStyle w:val="tMain"/>
        <w:rPr>
          <w:color w:val="000000" w:themeColor="text1"/>
        </w:rPr>
      </w:pPr>
      <w:r>
        <w:tab/>
      </w:r>
      <w:r>
        <w:tab/>
        <w:t xml:space="preserve">Omit “soil carbon maps published on the </w:t>
      </w:r>
      <w:r w:rsidRPr="00A85E3F">
        <w:rPr>
          <w:color w:val="000000" w:themeColor="text1"/>
        </w:rPr>
        <w:t>CFI Mapping Tool</w:t>
      </w:r>
      <w:r>
        <w:rPr>
          <w:color w:val="000000" w:themeColor="text1"/>
        </w:rPr>
        <w:t xml:space="preserve">” and substitute “relevant </w:t>
      </w:r>
      <w:r w:rsidR="00307F0F" w:rsidRPr="009E0C16">
        <w:t>Sequestration Value Map</w:t>
      </w:r>
      <w:r>
        <w:rPr>
          <w:color w:val="000000" w:themeColor="text1"/>
        </w:rPr>
        <w:t>” in the following provisions:</w:t>
      </w:r>
    </w:p>
    <w:p w14:paraId="378100F5" w14:textId="77777777" w:rsidR="004A051C" w:rsidRDefault="004A051C" w:rsidP="004A051C">
      <w:pPr>
        <w:pStyle w:val="tPara"/>
      </w:pPr>
      <w:r>
        <w:tab/>
        <w:t>(a)</w:t>
      </w:r>
      <w:r>
        <w:tab/>
        <w:t>subsection 49(3) (definition of “</w:t>
      </w:r>
      <w:r w:rsidRPr="004A051C">
        <w:t>Sequestration value</w:t>
      </w:r>
      <w:r>
        <w:t>”);</w:t>
      </w:r>
    </w:p>
    <w:p w14:paraId="6B0E76B1" w14:textId="77777777" w:rsidR="004A051C" w:rsidRDefault="004A051C" w:rsidP="004A051C">
      <w:pPr>
        <w:pStyle w:val="tPara"/>
      </w:pPr>
      <w:r w:rsidRPr="004A74F7">
        <w:t xml:space="preserve"> </w:t>
      </w:r>
      <w:r>
        <w:tab/>
        <w:t>(b)</w:t>
      </w:r>
      <w:r>
        <w:tab/>
        <w:t>subsection 49(4) (definition of “</w:t>
      </w:r>
      <w:r w:rsidRPr="004A051C">
        <w:t>Sequestration value</w:t>
      </w:r>
      <w:r>
        <w:t>”).</w:t>
      </w:r>
    </w:p>
    <w:p w14:paraId="24EC4D47" w14:textId="77777777" w:rsidR="004A051C" w:rsidRDefault="004A051C" w:rsidP="00B7675B">
      <w:pPr>
        <w:pStyle w:val="tMain"/>
      </w:pPr>
    </w:p>
    <w:p w14:paraId="185D62B4" w14:textId="77777777" w:rsidR="0099229D" w:rsidRPr="00BA3D2E" w:rsidRDefault="00A43434" w:rsidP="0099229D">
      <w:pPr>
        <w:pStyle w:val="h1Chap"/>
      </w:pPr>
      <w:bookmarkStart w:id="32" w:name="_Toc500948387"/>
      <w:r>
        <w:lastRenderedPageBreak/>
        <w:t>Schedule 6</w:t>
      </w:r>
      <w:r w:rsidR="0099229D" w:rsidRPr="00C92564">
        <w:t>—Amendments of the</w:t>
      </w:r>
      <w:r w:rsidR="0099229D" w:rsidRPr="00C92564">
        <w:rPr>
          <w:i/>
        </w:rPr>
        <w:t xml:space="preserve"> </w:t>
      </w:r>
      <w:r w:rsidR="0099229D" w:rsidRPr="0099229D">
        <w:rPr>
          <w:i/>
        </w:rPr>
        <w:t>Carbon Credits (Carbon Farming Initiative—Reducing Greenhouse Gas Emissions from Fertiliser in Irrigated Cotton) Methodology Determination 2015</w:t>
      </w:r>
      <w:bookmarkEnd w:id="32"/>
    </w:p>
    <w:p w14:paraId="51A058EC" w14:textId="77777777" w:rsidR="003E2B5A" w:rsidRPr="009E0C16" w:rsidRDefault="00A43434" w:rsidP="003E2B5A">
      <w:pPr>
        <w:pStyle w:val="h5SchItem"/>
      </w:pPr>
      <w:r>
        <w:t>[1]</w:t>
      </w:r>
      <w:r w:rsidR="003E2B5A" w:rsidRPr="009E0C16">
        <w:tab/>
        <w:t>Paragraph 4(b)</w:t>
      </w:r>
    </w:p>
    <w:p w14:paraId="0F804528" w14:textId="77777777" w:rsidR="003E2B5A" w:rsidRPr="009E0C16" w:rsidRDefault="003E2B5A" w:rsidP="003E2B5A">
      <w:pPr>
        <w:pStyle w:val="tMain"/>
      </w:pPr>
      <w:r w:rsidRPr="009E0C16">
        <w:tab/>
      </w:r>
      <w:r w:rsidRPr="009E0C16">
        <w:tab/>
        <w:t>Omit “</w:t>
      </w:r>
      <w:r w:rsidRPr="009E0C16">
        <w:rPr>
          <w:i/>
        </w:rPr>
        <w:t>Legislative Instruments Act 2003</w:t>
      </w:r>
      <w:r w:rsidRPr="009E0C16">
        <w:t>”, substitute “</w:t>
      </w:r>
      <w:r w:rsidRPr="009E0C16">
        <w:rPr>
          <w:i/>
        </w:rPr>
        <w:t>Legislation Act 2003</w:t>
      </w:r>
      <w:r w:rsidRPr="009E0C16">
        <w:t>”.</w:t>
      </w:r>
    </w:p>
    <w:p w14:paraId="46E9C6D4" w14:textId="77777777" w:rsidR="0099229D" w:rsidRDefault="00A43434" w:rsidP="0099229D">
      <w:pPr>
        <w:pStyle w:val="h5SchItem"/>
      </w:pPr>
      <w:r>
        <w:t>[2]</w:t>
      </w:r>
      <w:r w:rsidR="0099229D" w:rsidRPr="00C92564">
        <w:tab/>
      </w:r>
      <w:r w:rsidR="0099229D">
        <w:t>Section 14 (note 1)</w:t>
      </w:r>
    </w:p>
    <w:p w14:paraId="117D8ECE" w14:textId="77777777" w:rsidR="0099229D" w:rsidRDefault="0099229D" w:rsidP="0099229D">
      <w:pPr>
        <w:pStyle w:val="tMain"/>
      </w:pPr>
      <w:r>
        <w:tab/>
      </w:r>
      <w:r>
        <w:tab/>
        <w:t>Repeal the note.</w:t>
      </w:r>
    </w:p>
    <w:p w14:paraId="18DC3BDF" w14:textId="77777777" w:rsidR="0099229D" w:rsidRDefault="00A43434" w:rsidP="0099229D">
      <w:pPr>
        <w:pStyle w:val="h5SchItem"/>
      </w:pPr>
      <w:r>
        <w:t>[3]</w:t>
      </w:r>
      <w:r w:rsidR="0099229D" w:rsidRPr="00C92564">
        <w:tab/>
      </w:r>
      <w:r w:rsidR="0099229D">
        <w:t>Section 14 (note 2)</w:t>
      </w:r>
    </w:p>
    <w:p w14:paraId="53F194FB" w14:textId="77777777" w:rsidR="0099229D" w:rsidRDefault="0099229D" w:rsidP="0099229D">
      <w:pPr>
        <w:pStyle w:val="tMain"/>
      </w:pPr>
      <w:r>
        <w:tab/>
      </w:r>
      <w:r>
        <w:tab/>
        <w:t>Omit “Note 2”, substitute “Note”.</w:t>
      </w:r>
    </w:p>
    <w:p w14:paraId="75ED3925" w14:textId="77777777" w:rsidR="00307F0F" w:rsidRPr="009E0C16" w:rsidRDefault="00A43434" w:rsidP="00307F0F">
      <w:pPr>
        <w:pStyle w:val="h1Chap"/>
        <w:rPr>
          <w:i/>
        </w:rPr>
      </w:pPr>
      <w:bookmarkStart w:id="33" w:name="_Toc500948388"/>
      <w:r>
        <w:lastRenderedPageBreak/>
        <w:t>Schedule 7</w:t>
      </w:r>
      <w:r w:rsidR="00307F0F" w:rsidRPr="009E0C16">
        <w:t>—Amendments of the</w:t>
      </w:r>
      <w:r w:rsidR="00307F0F" w:rsidRPr="009E0C16">
        <w:rPr>
          <w:i/>
        </w:rPr>
        <w:t xml:space="preserve"> Carbon Credits (Carbon Farming Initiative) (Sequestering Carbon in Soils in Grazing Systems) Methodology Determination 2014</w:t>
      </w:r>
      <w:bookmarkEnd w:id="33"/>
    </w:p>
    <w:p w14:paraId="28B64A16" w14:textId="77777777" w:rsidR="007D7775" w:rsidRPr="009E0C16" w:rsidRDefault="00A43434" w:rsidP="007D7775">
      <w:pPr>
        <w:pStyle w:val="h5SchItem"/>
      </w:pPr>
      <w:r>
        <w:t>[1]</w:t>
      </w:r>
      <w:r w:rsidR="007D7775" w:rsidRPr="009E0C16">
        <w:tab/>
        <w:t>Paragraph 1.2(a)</w:t>
      </w:r>
    </w:p>
    <w:p w14:paraId="7444FB64" w14:textId="77777777" w:rsidR="007D7775" w:rsidRPr="009E0C16" w:rsidRDefault="007D7775" w:rsidP="007D7775">
      <w:pPr>
        <w:pStyle w:val="tMain"/>
      </w:pPr>
      <w:r w:rsidRPr="009E0C16">
        <w:tab/>
      </w:r>
      <w:r w:rsidRPr="009E0C16">
        <w:tab/>
        <w:t>Omit “Legislative Instruments”, substitute “Legislation”.</w:t>
      </w:r>
    </w:p>
    <w:p w14:paraId="156D1D86" w14:textId="77777777" w:rsidR="007D7775" w:rsidRPr="009E0C16" w:rsidRDefault="00A43434" w:rsidP="007D7775">
      <w:pPr>
        <w:pStyle w:val="h5SchItem"/>
      </w:pPr>
      <w:r>
        <w:t>[2]</w:t>
      </w:r>
      <w:r w:rsidR="007D7775" w:rsidRPr="009E0C16">
        <w:tab/>
        <w:t>Paragraph 1.2(b)</w:t>
      </w:r>
    </w:p>
    <w:p w14:paraId="16124A44" w14:textId="77777777" w:rsidR="007D7775" w:rsidRPr="009E0C16" w:rsidRDefault="007D7775" w:rsidP="007D7775">
      <w:pPr>
        <w:pStyle w:val="tMain"/>
      </w:pPr>
      <w:r w:rsidRPr="009E0C16">
        <w:tab/>
      </w:r>
      <w:r w:rsidRPr="009E0C16">
        <w:tab/>
        <w:t>Omit “</w:t>
      </w:r>
      <w:r w:rsidRPr="009E0C16">
        <w:rPr>
          <w:i/>
        </w:rPr>
        <w:t>Legislative Instruments</w:t>
      </w:r>
      <w:r w:rsidRPr="009E0C16">
        <w:t>”, substitute “</w:t>
      </w:r>
      <w:r w:rsidRPr="009E0C16">
        <w:rPr>
          <w:i/>
        </w:rPr>
        <w:t>Legislation</w:t>
      </w:r>
      <w:r w:rsidRPr="009E0C16">
        <w:t>”.</w:t>
      </w:r>
    </w:p>
    <w:p w14:paraId="56B7C91A" w14:textId="77777777" w:rsidR="007D7775" w:rsidRPr="009E0C16" w:rsidRDefault="00A43434" w:rsidP="007D7775">
      <w:pPr>
        <w:pStyle w:val="h5SchItem"/>
      </w:pPr>
      <w:r>
        <w:t>[3]</w:t>
      </w:r>
      <w:r w:rsidR="007D7775" w:rsidRPr="009E0C16">
        <w:tab/>
        <w:t xml:space="preserve">Section 1.3 (definition of </w:t>
      </w:r>
      <w:r w:rsidR="007D7775" w:rsidRPr="009E0C16">
        <w:rPr>
          <w:i/>
        </w:rPr>
        <w:t>CFI Mapping Tool</w:t>
      </w:r>
      <w:r w:rsidR="007D7775" w:rsidRPr="009E0C16">
        <w:t>)</w:t>
      </w:r>
    </w:p>
    <w:p w14:paraId="63AABF56" w14:textId="77777777" w:rsidR="007D7775" w:rsidRPr="009E0C16" w:rsidRDefault="007D7775" w:rsidP="007D7775">
      <w:pPr>
        <w:pStyle w:val="tMain"/>
      </w:pPr>
      <w:r w:rsidRPr="009E0C16">
        <w:tab/>
      </w:r>
      <w:r w:rsidRPr="009E0C16">
        <w:tab/>
        <w:t>Repeal the definition.</w:t>
      </w:r>
    </w:p>
    <w:p w14:paraId="287B3EBB" w14:textId="77777777" w:rsidR="007D7775" w:rsidRPr="009E0C16" w:rsidRDefault="00A43434" w:rsidP="007D7775">
      <w:pPr>
        <w:pStyle w:val="h5SchItem"/>
      </w:pPr>
      <w:r>
        <w:t>[4]</w:t>
      </w:r>
      <w:r w:rsidR="007D7775" w:rsidRPr="009E0C16">
        <w:tab/>
        <w:t>Subsection 6.8(1) (Equation SC24)</w:t>
      </w:r>
    </w:p>
    <w:p w14:paraId="1B224269" w14:textId="77777777" w:rsidR="007D7775" w:rsidRPr="009E0C16" w:rsidRDefault="007D7775" w:rsidP="007D7775">
      <w:pPr>
        <w:pStyle w:val="tMain"/>
        <w:keepNext/>
        <w:keepLines/>
      </w:pPr>
      <w:r w:rsidRPr="009E0C16">
        <w:tab/>
      </w:r>
      <w:r w:rsidRPr="009E0C16">
        <w:tab/>
        <w:t>Omit “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SD</m:t>
            </m:r>
          </m:e>
          <m:sub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SOC_cor</m:t>
                    </m:r>
                  </m:e>
                </m:acc>
              </m:e>
              <m: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l</m:t>
                </m:r>
              </m:sub>
            </m:sSub>
          </m:sub>
        </m:sSub>
      </m:oMath>
      <w:r w:rsidRPr="009E0C16">
        <w:t>”, substitute “</w:t>
      </w:r>
      <m:oMath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SD</m:t>
            </m:r>
          </m:e>
          <m:sub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SOC_cor</m:t>
                    </m:r>
                  </m:e>
                </m:acc>
              </m:e>
              <m: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l</m:t>
                </m:r>
              </m:sub>
            </m:sSub>
          </m:sub>
        </m:sSub>
      </m:oMath>
      <w:r w:rsidRPr="009E0C16">
        <w:t>”.</w:t>
      </w:r>
    </w:p>
    <w:p w14:paraId="0C5A6BA6" w14:textId="77777777" w:rsidR="007D7775" w:rsidRPr="009E0C16" w:rsidRDefault="00A43434" w:rsidP="007D7775">
      <w:pPr>
        <w:pStyle w:val="h5SchItem"/>
      </w:pPr>
      <w:r>
        <w:t>[5]</w:t>
      </w:r>
      <w:r w:rsidR="007D7775" w:rsidRPr="009E0C16">
        <w:tab/>
        <w:t>Subsection 6.18(1) (Equation SC37)</w:t>
      </w:r>
    </w:p>
    <w:p w14:paraId="03E066F2" w14:textId="77777777" w:rsidR="007D7775" w:rsidRPr="009E0C16" w:rsidRDefault="007D7775" w:rsidP="007D7775">
      <w:pPr>
        <w:pStyle w:val="tMain"/>
        <w:keepNext/>
        <w:keepLines/>
      </w:pPr>
      <w:r w:rsidRPr="009E0C16">
        <w:tab/>
      </w:r>
      <w:r w:rsidRPr="009E0C16">
        <w:tab/>
        <w:t>Omit “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</m:oMath>
      <w:r w:rsidRPr="009E0C16">
        <w:t>”, substitute “</w:t>
      </w:r>
      <m:oMath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</m:oMath>
      <w:r w:rsidRPr="009E0C16">
        <w:t>”.</w:t>
      </w:r>
    </w:p>
    <w:sectPr w:rsidR="007D7775" w:rsidRPr="009E0C16" w:rsidSect="00B13564">
      <w:footerReference w:type="defaul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DE04C" w14:textId="77777777" w:rsidR="00DE0C1E" w:rsidRDefault="00DE0C1E">
      <w:r>
        <w:separator/>
      </w:r>
    </w:p>
  </w:endnote>
  <w:endnote w:type="continuationSeparator" w:id="0">
    <w:p w14:paraId="4A421BAE" w14:textId="77777777" w:rsidR="00DE0C1E" w:rsidRDefault="00DE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939"/>
      <w:docPartObj>
        <w:docPartGallery w:val="Page Numbers (Bottom of Page)"/>
        <w:docPartUnique/>
      </w:docPartObj>
    </w:sdtPr>
    <w:sdtEndPr/>
    <w:sdtContent>
      <w:p w14:paraId="609E82F9" w14:textId="77777777" w:rsidR="00DE0C1E" w:rsidRDefault="00DE0C1E" w:rsidP="009818F6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E6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C13862A" w14:textId="77777777" w:rsidR="00DE0C1E" w:rsidRDefault="00B32E64" w:rsidP="009818F6">
    <w:pPr>
      <w:pStyle w:val="Header"/>
      <w:rPr>
        <w:noProof/>
      </w:rPr>
    </w:pPr>
    <w:r>
      <w:fldChar w:fldCharType="begin"/>
    </w:r>
    <w:r>
      <w:instrText xml:space="preserve"> STYLEREF  ShortT  \* MERGEFORMAT </w:instrText>
    </w:r>
    <w:r>
      <w:fldChar w:fldCharType="separate"/>
    </w:r>
    <w:r>
      <w:rPr>
        <w:noProof/>
      </w:rPr>
      <w:t>Carbon Credits (Carbon Farming Initiative—CFI Mapping Tool and Minor Corrections) Methodology Determination Variation 2018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00787" w14:textId="77777777" w:rsidR="00DE0C1E" w:rsidRDefault="00DE0C1E">
    <w:pPr>
      <w:pStyle w:val="Footer"/>
    </w:pPr>
  </w:p>
  <w:p w14:paraId="052DC114" w14:textId="77777777" w:rsidR="00DE0C1E" w:rsidRDefault="00DE0C1E" w:rsidP="00DC6A6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B8FAD" w14:textId="77777777" w:rsidR="00DE0C1E" w:rsidRDefault="00DE0C1E">
      <w:r>
        <w:separator/>
      </w:r>
    </w:p>
  </w:footnote>
  <w:footnote w:type="continuationSeparator" w:id="0">
    <w:p w14:paraId="751A255F" w14:textId="77777777" w:rsidR="00DE0C1E" w:rsidRDefault="00DE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FA8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FDA2F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8B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167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AB2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F65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700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42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1" w15:restartNumberingAfterBreak="0">
    <w:nsid w:val="0C3B54AE"/>
    <w:multiLevelType w:val="hybridMultilevel"/>
    <w:tmpl w:val="CEE23A1C"/>
    <w:lvl w:ilvl="0" w:tplc="0C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2" w15:restartNumberingAfterBreak="0">
    <w:nsid w:val="1A9A3EDC"/>
    <w:multiLevelType w:val="multilevel"/>
    <w:tmpl w:val="A7A0206E"/>
    <w:lvl w:ilvl="0">
      <w:start w:val="1"/>
      <w:numFmt w:val="decimal"/>
      <w:lvlRestart w:val="0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Division 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Subdivision 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Restart w:val="1"/>
      <w:lvlText w:val="[%5]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upperLetter"/>
      <w:lvlText w:val="(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18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9B902E0"/>
    <w:multiLevelType w:val="hybridMultilevel"/>
    <w:tmpl w:val="E3ACC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95CE9"/>
    <w:multiLevelType w:val="hybridMultilevel"/>
    <w:tmpl w:val="32F443EA"/>
    <w:lvl w:ilvl="0" w:tplc="0C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5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29902BE"/>
    <w:multiLevelType w:val="hybridMultilevel"/>
    <w:tmpl w:val="DC462D3E"/>
    <w:lvl w:ilvl="0" w:tplc="0C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7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CC3E94"/>
    <w:multiLevelType w:val="hybridMultilevel"/>
    <w:tmpl w:val="A8F0A872"/>
    <w:lvl w:ilvl="0" w:tplc="1D7A3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11F0A7D"/>
    <w:multiLevelType w:val="hybridMultilevel"/>
    <w:tmpl w:val="400C7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17DE3"/>
    <w:multiLevelType w:val="hybridMultilevel"/>
    <w:tmpl w:val="8E98F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F21A9"/>
    <w:multiLevelType w:val="hybridMultilevel"/>
    <w:tmpl w:val="2ECE2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8"/>
  </w:num>
  <w:num w:numId="5">
    <w:abstractNumId w:val="30"/>
  </w:num>
  <w:num w:numId="6">
    <w:abstractNumId w:val="21"/>
  </w:num>
  <w:num w:numId="7">
    <w:abstractNumId w:val="14"/>
  </w:num>
  <w:num w:numId="8">
    <w:abstractNumId w:val="20"/>
  </w:num>
  <w:num w:numId="9">
    <w:abstractNumId w:val="40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0"/>
  </w:num>
  <w:num w:numId="19">
    <w:abstractNumId w:val="10"/>
  </w:num>
  <w:num w:numId="20">
    <w:abstractNumId w:val="13"/>
  </w:num>
  <w:num w:numId="21">
    <w:abstractNumId w:val="18"/>
  </w:num>
  <w:num w:numId="22">
    <w:abstractNumId w:val="26"/>
  </w:num>
  <w:num w:numId="23">
    <w:abstractNumId w:val="36"/>
  </w:num>
  <w:num w:numId="24">
    <w:abstractNumId w:val="31"/>
  </w:num>
  <w:num w:numId="25">
    <w:abstractNumId w:val="37"/>
  </w:num>
  <w:num w:numId="26">
    <w:abstractNumId w:val="39"/>
  </w:num>
  <w:num w:numId="27">
    <w:abstractNumId w:val="23"/>
  </w:num>
  <w:num w:numId="28">
    <w:abstractNumId w:val="11"/>
  </w:num>
  <w:num w:numId="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B"/>
    <w:rsid w:val="00002024"/>
    <w:rsid w:val="000039D7"/>
    <w:rsid w:val="00003E3F"/>
    <w:rsid w:val="000069F3"/>
    <w:rsid w:val="00010CDE"/>
    <w:rsid w:val="000114B4"/>
    <w:rsid w:val="00012088"/>
    <w:rsid w:val="00012928"/>
    <w:rsid w:val="00012B72"/>
    <w:rsid w:val="00013D13"/>
    <w:rsid w:val="00014257"/>
    <w:rsid w:val="00016EA3"/>
    <w:rsid w:val="00020B76"/>
    <w:rsid w:val="000234D1"/>
    <w:rsid w:val="00023E8A"/>
    <w:rsid w:val="000248C7"/>
    <w:rsid w:val="0002490D"/>
    <w:rsid w:val="000258A0"/>
    <w:rsid w:val="00031189"/>
    <w:rsid w:val="000320F2"/>
    <w:rsid w:val="00036984"/>
    <w:rsid w:val="00036FEC"/>
    <w:rsid w:val="00037055"/>
    <w:rsid w:val="0003757F"/>
    <w:rsid w:val="0003764D"/>
    <w:rsid w:val="0003777B"/>
    <w:rsid w:val="00041037"/>
    <w:rsid w:val="00041E0D"/>
    <w:rsid w:val="00041E62"/>
    <w:rsid w:val="0004373B"/>
    <w:rsid w:val="000438B1"/>
    <w:rsid w:val="00043B47"/>
    <w:rsid w:val="0004479F"/>
    <w:rsid w:val="00044D8C"/>
    <w:rsid w:val="000453D0"/>
    <w:rsid w:val="00046078"/>
    <w:rsid w:val="00046216"/>
    <w:rsid w:val="00050664"/>
    <w:rsid w:val="00051826"/>
    <w:rsid w:val="00051EA8"/>
    <w:rsid w:val="0005423E"/>
    <w:rsid w:val="00054DA4"/>
    <w:rsid w:val="00055F1C"/>
    <w:rsid w:val="00056020"/>
    <w:rsid w:val="00057DAD"/>
    <w:rsid w:val="00060287"/>
    <w:rsid w:val="00062C32"/>
    <w:rsid w:val="00063C97"/>
    <w:rsid w:val="00064759"/>
    <w:rsid w:val="00064F51"/>
    <w:rsid w:val="00066A91"/>
    <w:rsid w:val="00070920"/>
    <w:rsid w:val="000731B2"/>
    <w:rsid w:val="00073D97"/>
    <w:rsid w:val="00074AB4"/>
    <w:rsid w:val="00075861"/>
    <w:rsid w:val="000779C7"/>
    <w:rsid w:val="000813F8"/>
    <w:rsid w:val="0008219B"/>
    <w:rsid w:val="000829E2"/>
    <w:rsid w:val="00082BCD"/>
    <w:rsid w:val="00084AFA"/>
    <w:rsid w:val="000870DD"/>
    <w:rsid w:val="00090D8B"/>
    <w:rsid w:val="000914FC"/>
    <w:rsid w:val="00091680"/>
    <w:rsid w:val="00094C49"/>
    <w:rsid w:val="000967FA"/>
    <w:rsid w:val="00097203"/>
    <w:rsid w:val="000974E1"/>
    <w:rsid w:val="000978C5"/>
    <w:rsid w:val="000A15E4"/>
    <w:rsid w:val="000A1A15"/>
    <w:rsid w:val="000A25C2"/>
    <w:rsid w:val="000A4314"/>
    <w:rsid w:val="000A68A6"/>
    <w:rsid w:val="000A71D4"/>
    <w:rsid w:val="000A7903"/>
    <w:rsid w:val="000B042A"/>
    <w:rsid w:val="000B177D"/>
    <w:rsid w:val="000B2B15"/>
    <w:rsid w:val="000B4DA5"/>
    <w:rsid w:val="000B5DCB"/>
    <w:rsid w:val="000C0E48"/>
    <w:rsid w:val="000C2287"/>
    <w:rsid w:val="000C2440"/>
    <w:rsid w:val="000C4934"/>
    <w:rsid w:val="000C499F"/>
    <w:rsid w:val="000C61CF"/>
    <w:rsid w:val="000C7553"/>
    <w:rsid w:val="000D054B"/>
    <w:rsid w:val="000D2D22"/>
    <w:rsid w:val="000D2FFA"/>
    <w:rsid w:val="000D305F"/>
    <w:rsid w:val="000D40E2"/>
    <w:rsid w:val="000D5F02"/>
    <w:rsid w:val="000D628D"/>
    <w:rsid w:val="000D7205"/>
    <w:rsid w:val="000E0C12"/>
    <w:rsid w:val="000E1A2F"/>
    <w:rsid w:val="000E2406"/>
    <w:rsid w:val="000E2A53"/>
    <w:rsid w:val="000E2AF3"/>
    <w:rsid w:val="000E2E9E"/>
    <w:rsid w:val="000E4D39"/>
    <w:rsid w:val="000E750C"/>
    <w:rsid w:val="000E770B"/>
    <w:rsid w:val="000F0319"/>
    <w:rsid w:val="000F081D"/>
    <w:rsid w:val="000F28FF"/>
    <w:rsid w:val="000F2EBE"/>
    <w:rsid w:val="000F302A"/>
    <w:rsid w:val="000F31F8"/>
    <w:rsid w:val="000F39FE"/>
    <w:rsid w:val="001007CB"/>
    <w:rsid w:val="001016A5"/>
    <w:rsid w:val="00102406"/>
    <w:rsid w:val="00102896"/>
    <w:rsid w:val="0010410E"/>
    <w:rsid w:val="001052DB"/>
    <w:rsid w:val="00107E81"/>
    <w:rsid w:val="001104D5"/>
    <w:rsid w:val="0011343D"/>
    <w:rsid w:val="00115291"/>
    <w:rsid w:val="00121A23"/>
    <w:rsid w:val="00123118"/>
    <w:rsid w:val="00123B86"/>
    <w:rsid w:val="00124559"/>
    <w:rsid w:val="001245D0"/>
    <w:rsid w:val="00126A8D"/>
    <w:rsid w:val="001300B0"/>
    <w:rsid w:val="001369B9"/>
    <w:rsid w:val="00137A06"/>
    <w:rsid w:val="00140EBC"/>
    <w:rsid w:val="001426E3"/>
    <w:rsid w:val="00142EC4"/>
    <w:rsid w:val="0014387D"/>
    <w:rsid w:val="00143CB0"/>
    <w:rsid w:val="001443B4"/>
    <w:rsid w:val="00144E82"/>
    <w:rsid w:val="001476F6"/>
    <w:rsid w:val="0015223A"/>
    <w:rsid w:val="0015314C"/>
    <w:rsid w:val="001532D6"/>
    <w:rsid w:val="00154AA1"/>
    <w:rsid w:val="001601D0"/>
    <w:rsid w:val="0016651E"/>
    <w:rsid w:val="00167C2D"/>
    <w:rsid w:val="00170675"/>
    <w:rsid w:val="00172839"/>
    <w:rsid w:val="001733AA"/>
    <w:rsid w:val="00173D09"/>
    <w:rsid w:val="00174847"/>
    <w:rsid w:val="0017505D"/>
    <w:rsid w:val="001776B2"/>
    <w:rsid w:val="00182E3C"/>
    <w:rsid w:val="00182E6C"/>
    <w:rsid w:val="00182F90"/>
    <w:rsid w:val="00183EA3"/>
    <w:rsid w:val="00183EDE"/>
    <w:rsid w:val="00184268"/>
    <w:rsid w:val="00184B5E"/>
    <w:rsid w:val="00185D74"/>
    <w:rsid w:val="00186D69"/>
    <w:rsid w:val="00190AB5"/>
    <w:rsid w:val="00193C50"/>
    <w:rsid w:val="00194039"/>
    <w:rsid w:val="00195069"/>
    <w:rsid w:val="00196DA5"/>
    <w:rsid w:val="001979DC"/>
    <w:rsid w:val="001A15AC"/>
    <w:rsid w:val="001A562A"/>
    <w:rsid w:val="001A5CB2"/>
    <w:rsid w:val="001A6DC4"/>
    <w:rsid w:val="001B0571"/>
    <w:rsid w:val="001B0B41"/>
    <w:rsid w:val="001B2D72"/>
    <w:rsid w:val="001B4173"/>
    <w:rsid w:val="001B5C93"/>
    <w:rsid w:val="001B644D"/>
    <w:rsid w:val="001B7250"/>
    <w:rsid w:val="001B7C15"/>
    <w:rsid w:val="001C002C"/>
    <w:rsid w:val="001C0352"/>
    <w:rsid w:val="001C0768"/>
    <w:rsid w:val="001C1A73"/>
    <w:rsid w:val="001C333A"/>
    <w:rsid w:val="001C3392"/>
    <w:rsid w:val="001C3521"/>
    <w:rsid w:val="001C3788"/>
    <w:rsid w:val="001C49D5"/>
    <w:rsid w:val="001C6AD2"/>
    <w:rsid w:val="001C7ADA"/>
    <w:rsid w:val="001C7CFF"/>
    <w:rsid w:val="001D07AE"/>
    <w:rsid w:val="001D0A9C"/>
    <w:rsid w:val="001D2FBE"/>
    <w:rsid w:val="001D4F8C"/>
    <w:rsid w:val="001D7BEE"/>
    <w:rsid w:val="001E0960"/>
    <w:rsid w:val="001E1B02"/>
    <w:rsid w:val="001E4824"/>
    <w:rsid w:val="001E6205"/>
    <w:rsid w:val="001E647F"/>
    <w:rsid w:val="001F358D"/>
    <w:rsid w:val="001F373E"/>
    <w:rsid w:val="001F43D4"/>
    <w:rsid w:val="001F50EC"/>
    <w:rsid w:val="001F5AF2"/>
    <w:rsid w:val="001F65C9"/>
    <w:rsid w:val="001F7A8D"/>
    <w:rsid w:val="00201A33"/>
    <w:rsid w:val="0020419D"/>
    <w:rsid w:val="002052B0"/>
    <w:rsid w:val="00210328"/>
    <w:rsid w:val="00210A41"/>
    <w:rsid w:val="00210C28"/>
    <w:rsid w:val="0021145F"/>
    <w:rsid w:val="002128DE"/>
    <w:rsid w:val="002129F7"/>
    <w:rsid w:val="00213788"/>
    <w:rsid w:val="002146BA"/>
    <w:rsid w:val="0021736E"/>
    <w:rsid w:val="0021764C"/>
    <w:rsid w:val="00217A90"/>
    <w:rsid w:val="00217C89"/>
    <w:rsid w:val="00217E3A"/>
    <w:rsid w:val="0022029C"/>
    <w:rsid w:val="00220F1C"/>
    <w:rsid w:val="00221332"/>
    <w:rsid w:val="002214E7"/>
    <w:rsid w:val="00221918"/>
    <w:rsid w:val="002221BC"/>
    <w:rsid w:val="00223A01"/>
    <w:rsid w:val="00225D68"/>
    <w:rsid w:val="0022621E"/>
    <w:rsid w:val="00226C0E"/>
    <w:rsid w:val="002274CF"/>
    <w:rsid w:val="002309B3"/>
    <w:rsid w:val="00232210"/>
    <w:rsid w:val="00232329"/>
    <w:rsid w:val="00233BC0"/>
    <w:rsid w:val="00234173"/>
    <w:rsid w:val="002345E8"/>
    <w:rsid w:val="00235E1E"/>
    <w:rsid w:val="00236DF8"/>
    <w:rsid w:val="0023754B"/>
    <w:rsid w:val="00240E9E"/>
    <w:rsid w:val="0024155A"/>
    <w:rsid w:val="00241798"/>
    <w:rsid w:val="00242F65"/>
    <w:rsid w:val="002432A9"/>
    <w:rsid w:val="00243924"/>
    <w:rsid w:val="00243FF6"/>
    <w:rsid w:val="00244741"/>
    <w:rsid w:val="00244A56"/>
    <w:rsid w:val="00246A83"/>
    <w:rsid w:val="00246C4C"/>
    <w:rsid w:val="002470FE"/>
    <w:rsid w:val="002472BC"/>
    <w:rsid w:val="00247ACE"/>
    <w:rsid w:val="00251DBF"/>
    <w:rsid w:val="00254817"/>
    <w:rsid w:val="0025482D"/>
    <w:rsid w:val="00255070"/>
    <w:rsid w:val="00256D58"/>
    <w:rsid w:val="00257581"/>
    <w:rsid w:val="00257896"/>
    <w:rsid w:val="00260399"/>
    <w:rsid w:val="00263A33"/>
    <w:rsid w:val="00264A10"/>
    <w:rsid w:val="00265192"/>
    <w:rsid w:val="00266307"/>
    <w:rsid w:val="00266DC8"/>
    <w:rsid w:val="00267DC0"/>
    <w:rsid w:val="002709AD"/>
    <w:rsid w:val="00271697"/>
    <w:rsid w:val="00273226"/>
    <w:rsid w:val="00274E2B"/>
    <w:rsid w:val="00276942"/>
    <w:rsid w:val="0028055F"/>
    <w:rsid w:val="00280B8E"/>
    <w:rsid w:val="0028144F"/>
    <w:rsid w:val="002832F4"/>
    <w:rsid w:val="0028385E"/>
    <w:rsid w:val="00283FD0"/>
    <w:rsid w:val="0028502C"/>
    <w:rsid w:val="00286FC6"/>
    <w:rsid w:val="00290F38"/>
    <w:rsid w:val="0029111A"/>
    <w:rsid w:val="00292197"/>
    <w:rsid w:val="00293143"/>
    <w:rsid w:val="00293320"/>
    <w:rsid w:val="00294058"/>
    <w:rsid w:val="00294245"/>
    <w:rsid w:val="00294C30"/>
    <w:rsid w:val="00294DE8"/>
    <w:rsid w:val="00296718"/>
    <w:rsid w:val="002A0596"/>
    <w:rsid w:val="002A18C9"/>
    <w:rsid w:val="002A31A6"/>
    <w:rsid w:val="002A3283"/>
    <w:rsid w:val="002A38ED"/>
    <w:rsid w:val="002A5322"/>
    <w:rsid w:val="002A6992"/>
    <w:rsid w:val="002A6FBA"/>
    <w:rsid w:val="002A7E6F"/>
    <w:rsid w:val="002B0C79"/>
    <w:rsid w:val="002B0EAC"/>
    <w:rsid w:val="002B1A07"/>
    <w:rsid w:val="002B3521"/>
    <w:rsid w:val="002C3465"/>
    <w:rsid w:val="002C4B5B"/>
    <w:rsid w:val="002C6A7A"/>
    <w:rsid w:val="002C7F91"/>
    <w:rsid w:val="002D106F"/>
    <w:rsid w:val="002D352D"/>
    <w:rsid w:val="002E0E22"/>
    <w:rsid w:val="002E24F1"/>
    <w:rsid w:val="002E2E64"/>
    <w:rsid w:val="002E39E0"/>
    <w:rsid w:val="002E54A0"/>
    <w:rsid w:val="002E5B96"/>
    <w:rsid w:val="002E7EE0"/>
    <w:rsid w:val="002F0C47"/>
    <w:rsid w:val="002F1A4E"/>
    <w:rsid w:val="002F242B"/>
    <w:rsid w:val="002F31F3"/>
    <w:rsid w:val="002F3868"/>
    <w:rsid w:val="002F4A68"/>
    <w:rsid w:val="002F56CF"/>
    <w:rsid w:val="002F664A"/>
    <w:rsid w:val="00301367"/>
    <w:rsid w:val="00301C22"/>
    <w:rsid w:val="00305E60"/>
    <w:rsid w:val="003065D0"/>
    <w:rsid w:val="00306EFA"/>
    <w:rsid w:val="00307F0F"/>
    <w:rsid w:val="0031117B"/>
    <w:rsid w:val="003127F8"/>
    <w:rsid w:val="00320A60"/>
    <w:rsid w:val="00321884"/>
    <w:rsid w:val="00322CCD"/>
    <w:rsid w:val="003238B8"/>
    <w:rsid w:val="00324449"/>
    <w:rsid w:val="00325380"/>
    <w:rsid w:val="003257CA"/>
    <w:rsid w:val="0032598E"/>
    <w:rsid w:val="00327822"/>
    <w:rsid w:val="00331757"/>
    <w:rsid w:val="0033258A"/>
    <w:rsid w:val="00332C18"/>
    <w:rsid w:val="00332C68"/>
    <w:rsid w:val="00333135"/>
    <w:rsid w:val="00333A4F"/>
    <w:rsid w:val="00333B1D"/>
    <w:rsid w:val="00335540"/>
    <w:rsid w:val="003360EB"/>
    <w:rsid w:val="0033736E"/>
    <w:rsid w:val="003376BB"/>
    <w:rsid w:val="00340668"/>
    <w:rsid w:val="00340AA4"/>
    <w:rsid w:val="003412E1"/>
    <w:rsid w:val="00341D63"/>
    <w:rsid w:val="00347133"/>
    <w:rsid w:val="0034760F"/>
    <w:rsid w:val="00347CB7"/>
    <w:rsid w:val="00347E78"/>
    <w:rsid w:val="00347F68"/>
    <w:rsid w:val="00350078"/>
    <w:rsid w:val="003502B8"/>
    <w:rsid w:val="003503E1"/>
    <w:rsid w:val="0035186D"/>
    <w:rsid w:val="00352B83"/>
    <w:rsid w:val="00353624"/>
    <w:rsid w:val="003538F7"/>
    <w:rsid w:val="003545BD"/>
    <w:rsid w:val="00354602"/>
    <w:rsid w:val="00354E4F"/>
    <w:rsid w:val="00357CA4"/>
    <w:rsid w:val="00362A19"/>
    <w:rsid w:val="00363A8F"/>
    <w:rsid w:val="00364922"/>
    <w:rsid w:val="00365568"/>
    <w:rsid w:val="00366467"/>
    <w:rsid w:val="003709BE"/>
    <w:rsid w:val="00371E2D"/>
    <w:rsid w:val="003736F8"/>
    <w:rsid w:val="00377DAC"/>
    <w:rsid w:val="00380FB2"/>
    <w:rsid w:val="003819A4"/>
    <w:rsid w:val="00382069"/>
    <w:rsid w:val="00382276"/>
    <w:rsid w:val="00385986"/>
    <w:rsid w:val="00385B78"/>
    <w:rsid w:val="003871A5"/>
    <w:rsid w:val="0039016F"/>
    <w:rsid w:val="00390A97"/>
    <w:rsid w:val="00390B03"/>
    <w:rsid w:val="003939A2"/>
    <w:rsid w:val="00395E71"/>
    <w:rsid w:val="0039749E"/>
    <w:rsid w:val="003A080E"/>
    <w:rsid w:val="003A1B9B"/>
    <w:rsid w:val="003A34AE"/>
    <w:rsid w:val="003A3B95"/>
    <w:rsid w:val="003A4CFF"/>
    <w:rsid w:val="003A57EE"/>
    <w:rsid w:val="003A6158"/>
    <w:rsid w:val="003A635E"/>
    <w:rsid w:val="003A644D"/>
    <w:rsid w:val="003A72A8"/>
    <w:rsid w:val="003A7424"/>
    <w:rsid w:val="003A7B2D"/>
    <w:rsid w:val="003B114C"/>
    <w:rsid w:val="003B36F0"/>
    <w:rsid w:val="003B3DB9"/>
    <w:rsid w:val="003B4E23"/>
    <w:rsid w:val="003B7386"/>
    <w:rsid w:val="003B777A"/>
    <w:rsid w:val="003C1E61"/>
    <w:rsid w:val="003C2EEA"/>
    <w:rsid w:val="003C32EE"/>
    <w:rsid w:val="003C452F"/>
    <w:rsid w:val="003C51C3"/>
    <w:rsid w:val="003C6EC0"/>
    <w:rsid w:val="003D1FE2"/>
    <w:rsid w:val="003D29C0"/>
    <w:rsid w:val="003D40EF"/>
    <w:rsid w:val="003D7C75"/>
    <w:rsid w:val="003E0AF3"/>
    <w:rsid w:val="003E1765"/>
    <w:rsid w:val="003E284A"/>
    <w:rsid w:val="003E2B5A"/>
    <w:rsid w:val="003E2DCB"/>
    <w:rsid w:val="003E3108"/>
    <w:rsid w:val="003E352A"/>
    <w:rsid w:val="003E49CC"/>
    <w:rsid w:val="003E6641"/>
    <w:rsid w:val="003E7BF9"/>
    <w:rsid w:val="003F06D9"/>
    <w:rsid w:val="003F0A07"/>
    <w:rsid w:val="003F3CB6"/>
    <w:rsid w:val="003F5189"/>
    <w:rsid w:val="003F58A1"/>
    <w:rsid w:val="003F61C0"/>
    <w:rsid w:val="003F72A2"/>
    <w:rsid w:val="003F7EBA"/>
    <w:rsid w:val="003F7EF1"/>
    <w:rsid w:val="0040186F"/>
    <w:rsid w:val="00402812"/>
    <w:rsid w:val="004040B2"/>
    <w:rsid w:val="00404E41"/>
    <w:rsid w:val="0040665C"/>
    <w:rsid w:val="00406C4A"/>
    <w:rsid w:val="004077A2"/>
    <w:rsid w:val="00407A73"/>
    <w:rsid w:val="00411A34"/>
    <w:rsid w:val="00412EE5"/>
    <w:rsid w:val="00416635"/>
    <w:rsid w:val="00416EC3"/>
    <w:rsid w:val="0041700D"/>
    <w:rsid w:val="0041723D"/>
    <w:rsid w:val="004175E4"/>
    <w:rsid w:val="00420657"/>
    <w:rsid w:val="004209C2"/>
    <w:rsid w:val="0042254C"/>
    <w:rsid w:val="00422756"/>
    <w:rsid w:val="00423DA5"/>
    <w:rsid w:val="00430D5F"/>
    <w:rsid w:val="00431C67"/>
    <w:rsid w:val="004327A6"/>
    <w:rsid w:val="00433AE2"/>
    <w:rsid w:val="00435726"/>
    <w:rsid w:val="00435B3D"/>
    <w:rsid w:val="00435DA0"/>
    <w:rsid w:val="00436098"/>
    <w:rsid w:val="00436219"/>
    <w:rsid w:val="00436C5C"/>
    <w:rsid w:val="00441379"/>
    <w:rsid w:val="00442227"/>
    <w:rsid w:val="004428F7"/>
    <w:rsid w:val="00442D45"/>
    <w:rsid w:val="00444507"/>
    <w:rsid w:val="00444584"/>
    <w:rsid w:val="004457BF"/>
    <w:rsid w:val="00447272"/>
    <w:rsid w:val="004473B9"/>
    <w:rsid w:val="004503EC"/>
    <w:rsid w:val="00452C13"/>
    <w:rsid w:val="00452F5B"/>
    <w:rsid w:val="00463E97"/>
    <w:rsid w:val="004654B2"/>
    <w:rsid w:val="00466598"/>
    <w:rsid w:val="00475500"/>
    <w:rsid w:val="00475CF2"/>
    <w:rsid w:val="00476141"/>
    <w:rsid w:val="00476C74"/>
    <w:rsid w:val="0047745E"/>
    <w:rsid w:val="00477BB5"/>
    <w:rsid w:val="004803D4"/>
    <w:rsid w:val="00487A1A"/>
    <w:rsid w:val="00487B34"/>
    <w:rsid w:val="00491433"/>
    <w:rsid w:val="004938A3"/>
    <w:rsid w:val="004971E4"/>
    <w:rsid w:val="004973EE"/>
    <w:rsid w:val="004A051C"/>
    <w:rsid w:val="004A07C8"/>
    <w:rsid w:val="004A37E5"/>
    <w:rsid w:val="004A4369"/>
    <w:rsid w:val="004A4AC8"/>
    <w:rsid w:val="004A58F6"/>
    <w:rsid w:val="004A6AF1"/>
    <w:rsid w:val="004A74F7"/>
    <w:rsid w:val="004B3649"/>
    <w:rsid w:val="004B4B55"/>
    <w:rsid w:val="004B4EA7"/>
    <w:rsid w:val="004B5B4A"/>
    <w:rsid w:val="004B644E"/>
    <w:rsid w:val="004B7151"/>
    <w:rsid w:val="004C1309"/>
    <w:rsid w:val="004C144E"/>
    <w:rsid w:val="004C15D1"/>
    <w:rsid w:val="004C1A87"/>
    <w:rsid w:val="004C42A9"/>
    <w:rsid w:val="004C5AFE"/>
    <w:rsid w:val="004C625C"/>
    <w:rsid w:val="004C6902"/>
    <w:rsid w:val="004D256F"/>
    <w:rsid w:val="004D3C99"/>
    <w:rsid w:val="004E1067"/>
    <w:rsid w:val="004F0122"/>
    <w:rsid w:val="004F0BCD"/>
    <w:rsid w:val="004F17F7"/>
    <w:rsid w:val="004F2FAE"/>
    <w:rsid w:val="004F5362"/>
    <w:rsid w:val="00500012"/>
    <w:rsid w:val="005006C7"/>
    <w:rsid w:val="00502DD0"/>
    <w:rsid w:val="00504285"/>
    <w:rsid w:val="00505EE9"/>
    <w:rsid w:val="00505FCA"/>
    <w:rsid w:val="00507791"/>
    <w:rsid w:val="00511EAF"/>
    <w:rsid w:val="0051315C"/>
    <w:rsid w:val="005131AB"/>
    <w:rsid w:val="00513645"/>
    <w:rsid w:val="00514B98"/>
    <w:rsid w:val="00515BAE"/>
    <w:rsid w:val="00517E97"/>
    <w:rsid w:val="00520807"/>
    <w:rsid w:val="00521933"/>
    <w:rsid w:val="0052375D"/>
    <w:rsid w:val="00524482"/>
    <w:rsid w:val="0052481C"/>
    <w:rsid w:val="00526FC6"/>
    <w:rsid w:val="005276E4"/>
    <w:rsid w:val="005315D3"/>
    <w:rsid w:val="00531C0C"/>
    <w:rsid w:val="00532D74"/>
    <w:rsid w:val="0053304C"/>
    <w:rsid w:val="0053374F"/>
    <w:rsid w:val="00534242"/>
    <w:rsid w:val="00534D86"/>
    <w:rsid w:val="00534EA2"/>
    <w:rsid w:val="005352DD"/>
    <w:rsid w:val="00535C59"/>
    <w:rsid w:val="00536832"/>
    <w:rsid w:val="00536929"/>
    <w:rsid w:val="00537B4E"/>
    <w:rsid w:val="00537E10"/>
    <w:rsid w:val="00540465"/>
    <w:rsid w:val="0054287C"/>
    <w:rsid w:val="00544A9F"/>
    <w:rsid w:val="005459E7"/>
    <w:rsid w:val="005467AF"/>
    <w:rsid w:val="00547D1F"/>
    <w:rsid w:val="00547E30"/>
    <w:rsid w:val="0055370A"/>
    <w:rsid w:val="00554B06"/>
    <w:rsid w:val="005556A2"/>
    <w:rsid w:val="005564A6"/>
    <w:rsid w:val="005601A8"/>
    <w:rsid w:val="00562634"/>
    <w:rsid w:val="00571A32"/>
    <w:rsid w:val="00571ACA"/>
    <w:rsid w:val="00574A68"/>
    <w:rsid w:val="00574D2B"/>
    <w:rsid w:val="00582C28"/>
    <w:rsid w:val="00582CB6"/>
    <w:rsid w:val="00583629"/>
    <w:rsid w:val="00584F3F"/>
    <w:rsid w:val="0058653A"/>
    <w:rsid w:val="00586C23"/>
    <w:rsid w:val="005909AB"/>
    <w:rsid w:val="00591474"/>
    <w:rsid w:val="00592125"/>
    <w:rsid w:val="00592607"/>
    <w:rsid w:val="00594537"/>
    <w:rsid w:val="00595849"/>
    <w:rsid w:val="00597029"/>
    <w:rsid w:val="005970CD"/>
    <w:rsid w:val="005A0240"/>
    <w:rsid w:val="005A074F"/>
    <w:rsid w:val="005A0814"/>
    <w:rsid w:val="005A6EA9"/>
    <w:rsid w:val="005A7DFD"/>
    <w:rsid w:val="005A7E9F"/>
    <w:rsid w:val="005B29AD"/>
    <w:rsid w:val="005B2CB9"/>
    <w:rsid w:val="005B42FE"/>
    <w:rsid w:val="005B5048"/>
    <w:rsid w:val="005B52E3"/>
    <w:rsid w:val="005B5536"/>
    <w:rsid w:val="005B63B2"/>
    <w:rsid w:val="005B7033"/>
    <w:rsid w:val="005C3148"/>
    <w:rsid w:val="005C6443"/>
    <w:rsid w:val="005C7FEA"/>
    <w:rsid w:val="005D17C6"/>
    <w:rsid w:val="005D1FCA"/>
    <w:rsid w:val="005D21A4"/>
    <w:rsid w:val="005D245E"/>
    <w:rsid w:val="005D3D40"/>
    <w:rsid w:val="005D4CA5"/>
    <w:rsid w:val="005D6011"/>
    <w:rsid w:val="005D6703"/>
    <w:rsid w:val="005D7C25"/>
    <w:rsid w:val="005D7CDA"/>
    <w:rsid w:val="005E017E"/>
    <w:rsid w:val="005E0910"/>
    <w:rsid w:val="005E2D9A"/>
    <w:rsid w:val="005E3B93"/>
    <w:rsid w:val="005E434D"/>
    <w:rsid w:val="005E4601"/>
    <w:rsid w:val="005E4C67"/>
    <w:rsid w:val="005E55B9"/>
    <w:rsid w:val="005E736A"/>
    <w:rsid w:val="005F03B0"/>
    <w:rsid w:val="005F06DA"/>
    <w:rsid w:val="005F1426"/>
    <w:rsid w:val="005F1DF4"/>
    <w:rsid w:val="005F253E"/>
    <w:rsid w:val="005F2554"/>
    <w:rsid w:val="005F27EF"/>
    <w:rsid w:val="005F60DB"/>
    <w:rsid w:val="005F6542"/>
    <w:rsid w:val="006006CF"/>
    <w:rsid w:val="006014F7"/>
    <w:rsid w:val="00602E88"/>
    <w:rsid w:val="00604125"/>
    <w:rsid w:val="00604D3C"/>
    <w:rsid w:val="00604F19"/>
    <w:rsid w:val="00605ADC"/>
    <w:rsid w:val="00606ADD"/>
    <w:rsid w:val="0061013A"/>
    <w:rsid w:val="00610DA3"/>
    <w:rsid w:val="006122E1"/>
    <w:rsid w:val="0061231C"/>
    <w:rsid w:val="006144FC"/>
    <w:rsid w:val="006147BE"/>
    <w:rsid w:val="006161F8"/>
    <w:rsid w:val="00616491"/>
    <w:rsid w:val="00620EC8"/>
    <w:rsid w:val="00622212"/>
    <w:rsid w:val="00623FA5"/>
    <w:rsid w:val="0062440A"/>
    <w:rsid w:val="00624A40"/>
    <w:rsid w:val="0062512C"/>
    <w:rsid w:val="00626104"/>
    <w:rsid w:val="006302DF"/>
    <w:rsid w:val="00631B73"/>
    <w:rsid w:val="00632C8B"/>
    <w:rsid w:val="00633421"/>
    <w:rsid w:val="0063445A"/>
    <w:rsid w:val="00636657"/>
    <w:rsid w:val="006376CC"/>
    <w:rsid w:val="00641007"/>
    <w:rsid w:val="00642695"/>
    <w:rsid w:val="00642C1E"/>
    <w:rsid w:val="00643925"/>
    <w:rsid w:val="00643C97"/>
    <w:rsid w:val="006448E4"/>
    <w:rsid w:val="0064647A"/>
    <w:rsid w:val="0064667D"/>
    <w:rsid w:val="00646D73"/>
    <w:rsid w:val="0065007D"/>
    <w:rsid w:val="0065130D"/>
    <w:rsid w:val="00652BBE"/>
    <w:rsid w:val="0065413D"/>
    <w:rsid w:val="006574AB"/>
    <w:rsid w:val="00657952"/>
    <w:rsid w:val="00662B72"/>
    <w:rsid w:val="00663613"/>
    <w:rsid w:val="00663ADA"/>
    <w:rsid w:val="00663E7E"/>
    <w:rsid w:val="00663F79"/>
    <w:rsid w:val="00665AEC"/>
    <w:rsid w:val="006662A2"/>
    <w:rsid w:val="00666AB2"/>
    <w:rsid w:val="0066733F"/>
    <w:rsid w:val="006738A8"/>
    <w:rsid w:val="006775C7"/>
    <w:rsid w:val="006805B6"/>
    <w:rsid w:val="0068239C"/>
    <w:rsid w:val="006829B7"/>
    <w:rsid w:val="0068345A"/>
    <w:rsid w:val="0068442B"/>
    <w:rsid w:val="0068459E"/>
    <w:rsid w:val="00685DC9"/>
    <w:rsid w:val="00687877"/>
    <w:rsid w:val="00690CF9"/>
    <w:rsid w:val="00692892"/>
    <w:rsid w:val="00694773"/>
    <w:rsid w:val="006948D4"/>
    <w:rsid w:val="006961BC"/>
    <w:rsid w:val="00696AD7"/>
    <w:rsid w:val="006A0A1F"/>
    <w:rsid w:val="006A0E83"/>
    <w:rsid w:val="006A1924"/>
    <w:rsid w:val="006A1C9E"/>
    <w:rsid w:val="006A302C"/>
    <w:rsid w:val="006A37A5"/>
    <w:rsid w:val="006A44B5"/>
    <w:rsid w:val="006A45FF"/>
    <w:rsid w:val="006A554E"/>
    <w:rsid w:val="006B0BE8"/>
    <w:rsid w:val="006B17DB"/>
    <w:rsid w:val="006B2863"/>
    <w:rsid w:val="006B2C0F"/>
    <w:rsid w:val="006B404D"/>
    <w:rsid w:val="006B428B"/>
    <w:rsid w:val="006B545C"/>
    <w:rsid w:val="006C030F"/>
    <w:rsid w:val="006C1A2E"/>
    <w:rsid w:val="006C1EA8"/>
    <w:rsid w:val="006C2838"/>
    <w:rsid w:val="006C4A30"/>
    <w:rsid w:val="006C531A"/>
    <w:rsid w:val="006C5417"/>
    <w:rsid w:val="006C6B61"/>
    <w:rsid w:val="006C7080"/>
    <w:rsid w:val="006C7992"/>
    <w:rsid w:val="006C7D26"/>
    <w:rsid w:val="006C7EEA"/>
    <w:rsid w:val="006D0A68"/>
    <w:rsid w:val="006D15FD"/>
    <w:rsid w:val="006D21B9"/>
    <w:rsid w:val="006D315F"/>
    <w:rsid w:val="006D6000"/>
    <w:rsid w:val="006D6BBE"/>
    <w:rsid w:val="006D7611"/>
    <w:rsid w:val="006E06E2"/>
    <w:rsid w:val="006E0848"/>
    <w:rsid w:val="006E12A9"/>
    <w:rsid w:val="006E2406"/>
    <w:rsid w:val="006E4A24"/>
    <w:rsid w:val="006E5FE6"/>
    <w:rsid w:val="006E7502"/>
    <w:rsid w:val="006F05FC"/>
    <w:rsid w:val="006F153C"/>
    <w:rsid w:val="006F166C"/>
    <w:rsid w:val="006F1BB4"/>
    <w:rsid w:val="006F335D"/>
    <w:rsid w:val="006F39FC"/>
    <w:rsid w:val="006F3F95"/>
    <w:rsid w:val="006F59B9"/>
    <w:rsid w:val="006F680C"/>
    <w:rsid w:val="006F6CBF"/>
    <w:rsid w:val="006F7EF6"/>
    <w:rsid w:val="00700043"/>
    <w:rsid w:val="00700F03"/>
    <w:rsid w:val="00701760"/>
    <w:rsid w:val="00701FD7"/>
    <w:rsid w:val="007042B4"/>
    <w:rsid w:val="00704F31"/>
    <w:rsid w:val="00706059"/>
    <w:rsid w:val="00706B3E"/>
    <w:rsid w:val="00711DAC"/>
    <w:rsid w:val="0071412A"/>
    <w:rsid w:val="00714FDE"/>
    <w:rsid w:val="00720B8F"/>
    <w:rsid w:val="00722E06"/>
    <w:rsid w:val="007241BD"/>
    <w:rsid w:val="0072459D"/>
    <w:rsid w:val="007249E6"/>
    <w:rsid w:val="00725F96"/>
    <w:rsid w:val="0072656B"/>
    <w:rsid w:val="007275FE"/>
    <w:rsid w:val="0073065D"/>
    <w:rsid w:val="00730DC0"/>
    <w:rsid w:val="007330A3"/>
    <w:rsid w:val="007351F3"/>
    <w:rsid w:val="0073649F"/>
    <w:rsid w:val="00736EED"/>
    <w:rsid w:val="00736F58"/>
    <w:rsid w:val="00737B55"/>
    <w:rsid w:val="00740D98"/>
    <w:rsid w:val="00741738"/>
    <w:rsid w:val="0074223F"/>
    <w:rsid w:val="00743AB1"/>
    <w:rsid w:val="00743F2D"/>
    <w:rsid w:val="00745C43"/>
    <w:rsid w:val="00746DC8"/>
    <w:rsid w:val="00747AD3"/>
    <w:rsid w:val="0075093B"/>
    <w:rsid w:val="00754E6A"/>
    <w:rsid w:val="007551B7"/>
    <w:rsid w:val="007557A9"/>
    <w:rsid w:val="007565BD"/>
    <w:rsid w:val="00757BFF"/>
    <w:rsid w:val="00757CD7"/>
    <w:rsid w:val="007661CD"/>
    <w:rsid w:val="00767F90"/>
    <w:rsid w:val="007701BF"/>
    <w:rsid w:val="0077116C"/>
    <w:rsid w:val="0077308C"/>
    <w:rsid w:val="00773A07"/>
    <w:rsid w:val="00774156"/>
    <w:rsid w:val="00774850"/>
    <w:rsid w:val="00775514"/>
    <w:rsid w:val="00775C14"/>
    <w:rsid w:val="007760FD"/>
    <w:rsid w:val="00777BB6"/>
    <w:rsid w:val="0078128C"/>
    <w:rsid w:val="00784C5C"/>
    <w:rsid w:val="00785341"/>
    <w:rsid w:val="007856B2"/>
    <w:rsid w:val="00786800"/>
    <w:rsid w:val="007934F1"/>
    <w:rsid w:val="007963EC"/>
    <w:rsid w:val="00797355"/>
    <w:rsid w:val="007A0C44"/>
    <w:rsid w:val="007A15D9"/>
    <w:rsid w:val="007A2AF9"/>
    <w:rsid w:val="007A2B63"/>
    <w:rsid w:val="007A337B"/>
    <w:rsid w:val="007A43B6"/>
    <w:rsid w:val="007A4C5E"/>
    <w:rsid w:val="007A5A4C"/>
    <w:rsid w:val="007A6FD4"/>
    <w:rsid w:val="007A740A"/>
    <w:rsid w:val="007B0407"/>
    <w:rsid w:val="007B17ED"/>
    <w:rsid w:val="007B1945"/>
    <w:rsid w:val="007B1C64"/>
    <w:rsid w:val="007B4D6D"/>
    <w:rsid w:val="007B5D87"/>
    <w:rsid w:val="007C1BD0"/>
    <w:rsid w:val="007C1C1D"/>
    <w:rsid w:val="007C31EF"/>
    <w:rsid w:val="007C5D94"/>
    <w:rsid w:val="007C5D96"/>
    <w:rsid w:val="007C6401"/>
    <w:rsid w:val="007C6E3D"/>
    <w:rsid w:val="007C7BBD"/>
    <w:rsid w:val="007D2827"/>
    <w:rsid w:val="007D4C13"/>
    <w:rsid w:val="007D4D08"/>
    <w:rsid w:val="007D50BB"/>
    <w:rsid w:val="007D5126"/>
    <w:rsid w:val="007D6E07"/>
    <w:rsid w:val="007D7127"/>
    <w:rsid w:val="007D729A"/>
    <w:rsid w:val="007D7775"/>
    <w:rsid w:val="007D798D"/>
    <w:rsid w:val="007E1384"/>
    <w:rsid w:val="007E1530"/>
    <w:rsid w:val="007E238A"/>
    <w:rsid w:val="007E6966"/>
    <w:rsid w:val="007E753F"/>
    <w:rsid w:val="007F096A"/>
    <w:rsid w:val="007F11B3"/>
    <w:rsid w:val="007F3183"/>
    <w:rsid w:val="007F396D"/>
    <w:rsid w:val="007F434A"/>
    <w:rsid w:val="007F63F2"/>
    <w:rsid w:val="007F65F6"/>
    <w:rsid w:val="007F6621"/>
    <w:rsid w:val="007F748A"/>
    <w:rsid w:val="0080020C"/>
    <w:rsid w:val="00801703"/>
    <w:rsid w:val="00801D13"/>
    <w:rsid w:val="00805150"/>
    <w:rsid w:val="0080541C"/>
    <w:rsid w:val="008060CA"/>
    <w:rsid w:val="00806905"/>
    <w:rsid w:val="008071C8"/>
    <w:rsid w:val="008077BA"/>
    <w:rsid w:val="00810255"/>
    <w:rsid w:val="00810ED1"/>
    <w:rsid w:val="00812F65"/>
    <w:rsid w:val="008145A8"/>
    <w:rsid w:val="0081483E"/>
    <w:rsid w:val="00814DB1"/>
    <w:rsid w:val="00816DFC"/>
    <w:rsid w:val="0081779B"/>
    <w:rsid w:val="008205BA"/>
    <w:rsid w:val="008206AE"/>
    <w:rsid w:val="008210F9"/>
    <w:rsid w:val="00821543"/>
    <w:rsid w:val="0082171E"/>
    <w:rsid w:val="00821EAC"/>
    <w:rsid w:val="00822056"/>
    <w:rsid w:val="00822668"/>
    <w:rsid w:val="00822D30"/>
    <w:rsid w:val="00824B62"/>
    <w:rsid w:val="00826400"/>
    <w:rsid w:val="008274FC"/>
    <w:rsid w:val="00830224"/>
    <w:rsid w:val="00830D65"/>
    <w:rsid w:val="00831BAE"/>
    <w:rsid w:val="0083235A"/>
    <w:rsid w:val="00832BF7"/>
    <w:rsid w:val="00834803"/>
    <w:rsid w:val="00841A5F"/>
    <w:rsid w:val="008454E9"/>
    <w:rsid w:val="00851E2D"/>
    <w:rsid w:val="00852794"/>
    <w:rsid w:val="00854F9C"/>
    <w:rsid w:val="008551BA"/>
    <w:rsid w:val="00855DE5"/>
    <w:rsid w:val="00856E2A"/>
    <w:rsid w:val="00857B4E"/>
    <w:rsid w:val="00862F94"/>
    <w:rsid w:val="008637AB"/>
    <w:rsid w:val="00863979"/>
    <w:rsid w:val="00866271"/>
    <w:rsid w:val="008671B1"/>
    <w:rsid w:val="008678EB"/>
    <w:rsid w:val="00870824"/>
    <w:rsid w:val="00872A40"/>
    <w:rsid w:val="00873E84"/>
    <w:rsid w:val="00874699"/>
    <w:rsid w:val="00876AE2"/>
    <w:rsid w:val="00880AB9"/>
    <w:rsid w:val="00880DEA"/>
    <w:rsid w:val="008814CF"/>
    <w:rsid w:val="00881881"/>
    <w:rsid w:val="008858BF"/>
    <w:rsid w:val="008868DF"/>
    <w:rsid w:val="00886D9E"/>
    <w:rsid w:val="00887023"/>
    <w:rsid w:val="00887919"/>
    <w:rsid w:val="0089355C"/>
    <w:rsid w:val="00895A75"/>
    <w:rsid w:val="008A14A4"/>
    <w:rsid w:val="008A1585"/>
    <w:rsid w:val="008A17E3"/>
    <w:rsid w:val="008A28B4"/>
    <w:rsid w:val="008A2E7F"/>
    <w:rsid w:val="008A37ED"/>
    <w:rsid w:val="008A4262"/>
    <w:rsid w:val="008A6BE6"/>
    <w:rsid w:val="008B23EF"/>
    <w:rsid w:val="008B3176"/>
    <w:rsid w:val="008B3541"/>
    <w:rsid w:val="008B3830"/>
    <w:rsid w:val="008B3BA5"/>
    <w:rsid w:val="008B5D95"/>
    <w:rsid w:val="008B6020"/>
    <w:rsid w:val="008C28F6"/>
    <w:rsid w:val="008C42DC"/>
    <w:rsid w:val="008C6C78"/>
    <w:rsid w:val="008C7007"/>
    <w:rsid w:val="008C7668"/>
    <w:rsid w:val="008C7EE7"/>
    <w:rsid w:val="008D3A0A"/>
    <w:rsid w:val="008D3B2B"/>
    <w:rsid w:val="008D6654"/>
    <w:rsid w:val="008D6A9D"/>
    <w:rsid w:val="008E1C73"/>
    <w:rsid w:val="008E2251"/>
    <w:rsid w:val="008E24DA"/>
    <w:rsid w:val="008E3803"/>
    <w:rsid w:val="008E38D7"/>
    <w:rsid w:val="008F1572"/>
    <w:rsid w:val="008F3A94"/>
    <w:rsid w:val="008F4E42"/>
    <w:rsid w:val="008F58D2"/>
    <w:rsid w:val="00900876"/>
    <w:rsid w:val="009014C7"/>
    <w:rsid w:val="00902A2B"/>
    <w:rsid w:val="00903370"/>
    <w:rsid w:val="00903A45"/>
    <w:rsid w:val="00904115"/>
    <w:rsid w:val="0090466A"/>
    <w:rsid w:val="00905441"/>
    <w:rsid w:val="0090576A"/>
    <w:rsid w:val="00906987"/>
    <w:rsid w:val="00910CDE"/>
    <w:rsid w:val="00910CE9"/>
    <w:rsid w:val="009121A5"/>
    <w:rsid w:val="00912B9B"/>
    <w:rsid w:val="00912F84"/>
    <w:rsid w:val="00913D7D"/>
    <w:rsid w:val="00915D39"/>
    <w:rsid w:val="0091668E"/>
    <w:rsid w:val="0091674D"/>
    <w:rsid w:val="00917469"/>
    <w:rsid w:val="009218BA"/>
    <w:rsid w:val="009249F0"/>
    <w:rsid w:val="00931772"/>
    <w:rsid w:val="009317A2"/>
    <w:rsid w:val="0093199E"/>
    <w:rsid w:val="009319D5"/>
    <w:rsid w:val="00933869"/>
    <w:rsid w:val="009354E9"/>
    <w:rsid w:val="0093569B"/>
    <w:rsid w:val="009359F9"/>
    <w:rsid w:val="009363D9"/>
    <w:rsid w:val="00945645"/>
    <w:rsid w:val="00945EC4"/>
    <w:rsid w:val="00947F60"/>
    <w:rsid w:val="00952109"/>
    <w:rsid w:val="0095384A"/>
    <w:rsid w:val="00953ABB"/>
    <w:rsid w:val="00953FD6"/>
    <w:rsid w:val="00954A20"/>
    <w:rsid w:val="0095755E"/>
    <w:rsid w:val="00957CF3"/>
    <w:rsid w:val="00962449"/>
    <w:rsid w:val="00962A76"/>
    <w:rsid w:val="0096406F"/>
    <w:rsid w:val="009644CF"/>
    <w:rsid w:val="009646BA"/>
    <w:rsid w:val="00964948"/>
    <w:rsid w:val="009651FB"/>
    <w:rsid w:val="009676EF"/>
    <w:rsid w:val="009679CE"/>
    <w:rsid w:val="00974EE4"/>
    <w:rsid w:val="009768DD"/>
    <w:rsid w:val="0097758B"/>
    <w:rsid w:val="009778BB"/>
    <w:rsid w:val="00977CBC"/>
    <w:rsid w:val="009817E2"/>
    <w:rsid w:val="009818F6"/>
    <w:rsid w:val="00981B44"/>
    <w:rsid w:val="00982D68"/>
    <w:rsid w:val="0098596B"/>
    <w:rsid w:val="009902F7"/>
    <w:rsid w:val="00991372"/>
    <w:rsid w:val="009917F3"/>
    <w:rsid w:val="0099229D"/>
    <w:rsid w:val="00993854"/>
    <w:rsid w:val="00994F08"/>
    <w:rsid w:val="00996158"/>
    <w:rsid w:val="009A0F10"/>
    <w:rsid w:val="009A0F26"/>
    <w:rsid w:val="009A130C"/>
    <w:rsid w:val="009A274B"/>
    <w:rsid w:val="009A2C83"/>
    <w:rsid w:val="009A6872"/>
    <w:rsid w:val="009B00D7"/>
    <w:rsid w:val="009B0BA1"/>
    <w:rsid w:val="009B24AC"/>
    <w:rsid w:val="009B36F4"/>
    <w:rsid w:val="009B4188"/>
    <w:rsid w:val="009B46FB"/>
    <w:rsid w:val="009B48F9"/>
    <w:rsid w:val="009B50F0"/>
    <w:rsid w:val="009B5122"/>
    <w:rsid w:val="009B5F1D"/>
    <w:rsid w:val="009B7C92"/>
    <w:rsid w:val="009C2745"/>
    <w:rsid w:val="009C6F1A"/>
    <w:rsid w:val="009D0428"/>
    <w:rsid w:val="009D5229"/>
    <w:rsid w:val="009D5A86"/>
    <w:rsid w:val="009D7DF2"/>
    <w:rsid w:val="009E012E"/>
    <w:rsid w:val="009E0C16"/>
    <w:rsid w:val="009E1396"/>
    <w:rsid w:val="009E270B"/>
    <w:rsid w:val="009E39EB"/>
    <w:rsid w:val="009E5AE6"/>
    <w:rsid w:val="009E5BD0"/>
    <w:rsid w:val="009E5F58"/>
    <w:rsid w:val="009E7EF5"/>
    <w:rsid w:val="009F02DE"/>
    <w:rsid w:val="009F1BBC"/>
    <w:rsid w:val="009F3A92"/>
    <w:rsid w:val="009F6BF2"/>
    <w:rsid w:val="009F75F7"/>
    <w:rsid w:val="00A0120A"/>
    <w:rsid w:val="00A03A35"/>
    <w:rsid w:val="00A03D2A"/>
    <w:rsid w:val="00A04A21"/>
    <w:rsid w:val="00A061D1"/>
    <w:rsid w:val="00A1071F"/>
    <w:rsid w:val="00A1077C"/>
    <w:rsid w:val="00A11EA3"/>
    <w:rsid w:val="00A14C78"/>
    <w:rsid w:val="00A15609"/>
    <w:rsid w:val="00A16B76"/>
    <w:rsid w:val="00A170DC"/>
    <w:rsid w:val="00A17767"/>
    <w:rsid w:val="00A17A59"/>
    <w:rsid w:val="00A20C49"/>
    <w:rsid w:val="00A20CE7"/>
    <w:rsid w:val="00A22771"/>
    <w:rsid w:val="00A22C2F"/>
    <w:rsid w:val="00A2382C"/>
    <w:rsid w:val="00A23C0F"/>
    <w:rsid w:val="00A23F5C"/>
    <w:rsid w:val="00A24756"/>
    <w:rsid w:val="00A252F3"/>
    <w:rsid w:val="00A265A4"/>
    <w:rsid w:val="00A26941"/>
    <w:rsid w:val="00A33215"/>
    <w:rsid w:val="00A3577C"/>
    <w:rsid w:val="00A362C4"/>
    <w:rsid w:val="00A3639A"/>
    <w:rsid w:val="00A41BAB"/>
    <w:rsid w:val="00A41D37"/>
    <w:rsid w:val="00A42666"/>
    <w:rsid w:val="00A427A3"/>
    <w:rsid w:val="00A42F93"/>
    <w:rsid w:val="00A43434"/>
    <w:rsid w:val="00A438B5"/>
    <w:rsid w:val="00A44024"/>
    <w:rsid w:val="00A4428B"/>
    <w:rsid w:val="00A4441F"/>
    <w:rsid w:val="00A44801"/>
    <w:rsid w:val="00A44F49"/>
    <w:rsid w:val="00A46D59"/>
    <w:rsid w:val="00A50A76"/>
    <w:rsid w:val="00A5656D"/>
    <w:rsid w:val="00A56B83"/>
    <w:rsid w:val="00A57120"/>
    <w:rsid w:val="00A607E1"/>
    <w:rsid w:val="00A60A98"/>
    <w:rsid w:val="00A6106E"/>
    <w:rsid w:val="00A66511"/>
    <w:rsid w:val="00A67FE0"/>
    <w:rsid w:val="00A703BA"/>
    <w:rsid w:val="00A7572D"/>
    <w:rsid w:val="00A7617A"/>
    <w:rsid w:val="00A7756F"/>
    <w:rsid w:val="00A77A5B"/>
    <w:rsid w:val="00A8032B"/>
    <w:rsid w:val="00A80659"/>
    <w:rsid w:val="00A81153"/>
    <w:rsid w:val="00A81445"/>
    <w:rsid w:val="00A81C2C"/>
    <w:rsid w:val="00A82D98"/>
    <w:rsid w:val="00A82DA0"/>
    <w:rsid w:val="00A8320B"/>
    <w:rsid w:val="00A853AC"/>
    <w:rsid w:val="00A8563B"/>
    <w:rsid w:val="00A87458"/>
    <w:rsid w:val="00A874C1"/>
    <w:rsid w:val="00A967B5"/>
    <w:rsid w:val="00A97217"/>
    <w:rsid w:val="00AA1056"/>
    <w:rsid w:val="00AA1B9A"/>
    <w:rsid w:val="00AA27E9"/>
    <w:rsid w:val="00AA3422"/>
    <w:rsid w:val="00AA4455"/>
    <w:rsid w:val="00AA567F"/>
    <w:rsid w:val="00AA795C"/>
    <w:rsid w:val="00AA7F8E"/>
    <w:rsid w:val="00AB20E2"/>
    <w:rsid w:val="00AB24D7"/>
    <w:rsid w:val="00AB3A76"/>
    <w:rsid w:val="00AB55B1"/>
    <w:rsid w:val="00AB5C77"/>
    <w:rsid w:val="00AB6123"/>
    <w:rsid w:val="00AB6C81"/>
    <w:rsid w:val="00AB7971"/>
    <w:rsid w:val="00AC3737"/>
    <w:rsid w:val="00AC386C"/>
    <w:rsid w:val="00AC4663"/>
    <w:rsid w:val="00AC5CE2"/>
    <w:rsid w:val="00AC65BD"/>
    <w:rsid w:val="00AC698F"/>
    <w:rsid w:val="00AC6CAD"/>
    <w:rsid w:val="00AC751E"/>
    <w:rsid w:val="00AC7BFF"/>
    <w:rsid w:val="00AD012D"/>
    <w:rsid w:val="00AD2D6F"/>
    <w:rsid w:val="00AD421E"/>
    <w:rsid w:val="00AD5224"/>
    <w:rsid w:val="00AD570C"/>
    <w:rsid w:val="00AD69C3"/>
    <w:rsid w:val="00AD6B86"/>
    <w:rsid w:val="00AD6E58"/>
    <w:rsid w:val="00AD75C7"/>
    <w:rsid w:val="00AD7BE4"/>
    <w:rsid w:val="00AD7C65"/>
    <w:rsid w:val="00AE0494"/>
    <w:rsid w:val="00AE0499"/>
    <w:rsid w:val="00AE146D"/>
    <w:rsid w:val="00AE3C71"/>
    <w:rsid w:val="00AE417E"/>
    <w:rsid w:val="00AE5361"/>
    <w:rsid w:val="00AE6939"/>
    <w:rsid w:val="00AF0943"/>
    <w:rsid w:val="00AF1FE5"/>
    <w:rsid w:val="00AF2EE9"/>
    <w:rsid w:val="00AF57AE"/>
    <w:rsid w:val="00AF5854"/>
    <w:rsid w:val="00AF61A3"/>
    <w:rsid w:val="00B0196D"/>
    <w:rsid w:val="00B0289B"/>
    <w:rsid w:val="00B035A6"/>
    <w:rsid w:val="00B035DD"/>
    <w:rsid w:val="00B03609"/>
    <w:rsid w:val="00B041FA"/>
    <w:rsid w:val="00B0477A"/>
    <w:rsid w:val="00B04ED0"/>
    <w:rsid w:val="00B05D01"/>
    <w:rsid w:val="00B068A1"/>
    <w:rsid w:val="00B07066"/>
    <w:rsid w:val="00B109B4"/>
    <w:rsid w:val="00B11161"/>
    <w:rsid w:val="00B11DFD"/>
    <w:rsid w:val="00B1217F"/>
    <w:rsid w:val="00B12B69"/>
    <w:rsid w:val="00B131A2"/>
    <w:rsid w:val="00B13564"/>
    <w:rsid w:val="00B14C0F"/>
    <w:rsid w:val="00B213B0"/>
    <w:rsid w:val="00B233DF"/>
    <w:rsid w:val="00B242D8"/>
    <w:rsid w:val="00B2616A"/>
    <w:rsid w:val="00B26513"/>
    <w:rsid w:val="00B26582"/>
    <w:rsid w:val="00B31997"/>
    <w:rsid w:val="00B31A59"/>
    <w:rsid w:val="00B32E64"/>
    <w:rsid w:val="00B34972"/>
    <w:rsid w:val="00B34B31"/>
    <w:rsid w:val="00B3561B"/>
    <w:rsid w:val="00B3769C"/>
    <w:rsid w:val="00B4148E"/>
    <w:rsid w:val="00B427F4"/>
    <w:rsid w:val="00B429AE"/>
    <w:rsid w:val="00B435E8"/>
    <w:rsid w:val="00B4554B"/>
    <w:rsid w:val="00B461D5"/>
    <w:rsid w:val="00B46542"/>
    <w:rsid w:val="00B50554"/>
    <w:rsid w:val="00B515EC"/>
    <w:rsid w:val="00B52136"/>
    <w:rsid w:val="00B57BDA"/>
    <w:rsid w:val="00B62FCB"/>
    <w:rsid w:val="00B63CFC"/>
    <w:rsid w:val="00B65044"/>
    <w:rsid w:val="00B66073"/>
    <w:rsid w:val="00B67AB5"/>
    <w:rsid w:val="00B67F74"/>
    <w:rsid w:val="00B70C55"/>
    <w:rsid w:val="00B72F79"/>
    <w:rsid w:val="00B74C48"/>
    <w:rsid w:val="00B76435"/>
    <w:rsid w:val="00B7675B"/>
    <w:rsid w:val="00B774F1"/>
    <w:rsid w:val="00B77502"/>
    <w:rsid w:val="00B80BF6"/>
    <w:rsid w:val="00B81F73"/>
    <w:rsid w:val="00B82F09"/>
    <w:rsid w:val="00B83263"/>
    <w:rsid w:val="00B83E51"/>
    <w:rsid w:val="00B85F75"/>
    <w:rsid w:val="00B9319C"/>
    <w:rsid w:val="00B93881"/>
    <w:rsid w:val="00B9396B"/>
    <w:rsid w:val="00B94217"/>
    <w:rsid w:val="00B949E1"/>
    <w:rsid w:val="00B95097"/>
    <w:rsid w:val="00B9645B"/>
    <w:rsid w:val="00B9648D"/>
    <w:rsid w:val="00B97EC5"/>
    <w:rsid w:val="00BA253E"/>
    <w:rsid w:val="00BA3D2E"/>
    <w:rsid w:val="00BA538F"/>
    <w:rsid w:val="00BA5974"/>
    <w:rsid w:val="00BA6EBB"/>
    <w:rsid w:val="00BA7D73"/>
    <w:rsid w:val="00BB0081"/>
    <w:rsid w:val="00BB2215"/>
    <w:rsid w:val="00BB39AD"/>
    <w:rsid w:val="00BB5377"/>
    <w:rsid w:val="00BB63A0"/>
    <w:rsid w:val="00BB66BB"/>
    <w:rsid w:val="00BB6C06"/>
    <w:rsid w:val="00BB6C1B"/>
    <w:rsid w:val="00BB70D5"/>
    <w:rsid w:val="00BB72BA"/>
    <w:rsid w:val="00BC066A"/>
    <w:rsid w:val="00BC08D8"/>
    <w:rsid w:val="00BC1CEF"/>
    <w:rsid w:val="00BC1D22"/>
    <w:rsid w:val="00BC394B"/>
    <w:rsid w:val="00BC5541"/>
    <w:rsid w:val="00BC5BAD"/>
    <w:rsid w:val="00BC5FEC"/>
    <w:rsid w:val="00BC6176"/>
    <w:rsid w:val="00BD028E"/>
    <w:rsid w:val="00BD1DEF"/>
    <w:rsid w:val="00BD389F"/>
    <w:rsid w:val="00BD3EFC"/>
    <w:rsid w:val="00BD4771"/>
    <w:rsid w:val="00BD5D8A"/>
    <w:rsid w:val="00BE2F59"/>
    <w:rsid w:val="00BE3866"/>
    <w:rsid w:val="00BE4B17"/>
    <w:rsid w:val="00BE4D1D"/>
    <w:rsid w:val="00BE5C95"/>
    <w:rsid w:val="00BE5ECB"/>
    <w:rsid w:val="00BF0B49"/>
    <w:rsid w:val="00BF267A"/>
    <w:rsid w:val="00BF3151"/>
    <w:rsid w:val="00BF4FA6"/>
    <w:rsid w:val="00BF5A69"/>
    <w:rsid w:val="00BF6FAD"/>
    <w:rsid w:val="00C015F9"/>
    <w:rsid w:val="00C01EB2"/>
    <w:rsid w:val="00C033C8"/>
    <w:rsid w:val="00C0452A"/>
    <w:rsid w:val="00C05ED1"/>
    <w:rsid w:val="00C10A8A"/>
    <w:rsid w:val="00C10BAA"/>
    <w:rsid w:val="00C10D9D"/>
    <w:rsid w:val="00C1110C"/>
    <w:rsid w:val="00C138BA"/>
    <w:rsid w:val="00C15E51"/>
    <w:rsid w:val="00C17E8C"/>
    <w:rsid w:val="00C224FF"/>
    <w:rsid w:val="00C22728"/>
    <w:rsid w:val="00C24192"/>
    <w:rsid w:val="00C24200"/>
    <w:rsid w:val="00C24437"/>
    <w:rsid w:val="00C25DDA"/>
    <w:rsid w:val="00C30B6A"/>
    <w:rsid w:val="00C317B3"/>
    <w:rsid w:val="00C32253"/>
    <w:rsid w:val="00C3317E"/>
    <w:rsid w:val="00C33C4D"/>
    <w:rsid w:val="00C354F5"/>
    <w:rsid w:val="00C35C9F"/>
    <w:rsid w:val="00C41A14"/>
    <w:rsid w:val="00C4311A"/>
    <w:rsid w:val="00C448DB"/>
    <w:rsid w:val="00C45216"/>
    <w:rsid w:val="00C46149"/>
    <w:rsid w:val="00C46F76"/>
    <w:rsid w:val="00C4706E"/>
    <w:rsid w:val="00C4756B"/>
    <w:rsid w:val="00C51861"/>
    <w:rsid w:val="00C53AF7"/>
    <w:rsid w:val="00C557D7"/>
    <w:rsid w:val="00C55AEA"/>
    <w:rsid w:val="00C5636F"/>
    <w:rsid w:val="00C621AF"/>
    <w:rsid w:val="00C6226B"/>
    <w:rsid w:val="00C65A78"/>
    <w:rsid w:val="00C660AA"/>
    <w:rsid w:val="00C70056"/>
    <w:rsid w:val="00C70485"/>
    <w:rsid w:val="00C70F97"/>
    <w:rsid w:val="00C726E9"/>
    <w:rsid w:val="00C746A5"/>
    <w:rsid w:val="00C7473B"/>
    <w:rsid w:val="00C75BDA"/>
    <w:rsid w:val="00C77C70"/>
    <w:rsid w:val="00C823F0"/>
    <w:rsid w:val="00C83B62"/>
    <w:rsid w:val="00C83BE1"/>
    <w:rsid w:val="00C8407F"/>
    <w:rsid w:val="00C84119"/>
    <w:rsid w:val="00C857AB"/>
    <w:rsid w:val="00C90E89"/>
    <w:rsid w:val="00C91D2F"/>
    <w:rsid w:val="00C92564"/>
    <w:rsid w:val="00C9544E"/>
    <w:rsid w:val="00C958CD"/>
    <w:rsid w:val="00C96389"/>
    <w:rsid w:val="00C9649C"/>
    <w:rsid w:val="00CA18FA"/>
    <w:rsid w:val="00CA23C6"/>
    <w:rsid w:val="00CA3877"/>
    <w:rsid w:val="00CA38F1"/>
    <w:rsid w:val="00CA394E"/>
    <w:rsid w:val="00CA4DA1"/>
    <w:rsid w:val="00CA63C6"/>
    <w:rsid w:val="00CA6694"/>
    <w:rsid w:val="00CA7091"/>
    <w:rsid w:val="00CA72BF"/>
    <w:rsid w:val="00CA7774"/>
    <w:rsid w:val="00CB0396"/>
    <w:rsid w:val="00CB0DAA"/>
    <w:rsid w:val="00CB1905"/>
    <w:rsid w:val="00CB2E79"/>
    <w:rsid w:val="00CB5128"/>
    <w:rsid w:val="00CB6981"/>
    <w:rsid w:val="00CB7296"/>
    <w:rsid w:val="00CC0A47"/>
    <w:rsid w:val="00CC1713"/>
    <w:rsid w:val="00CC1C01"/>
    <w:rsid w:val="00CC41F9"/>
    <w:rsid w:val="00CC432F"/>
    <w:rsid w:val="00CC4A1B"/>
    <w:rsid w:val="00CC4FB2"/>
    <w:rsid w:val="00CC51D0"/>
    <w:rsid w:val="00CC525F"/>
    <w:rsid w:val="00CC66AF"/>
    <w:rsid w:val="00CC7A76"/>
    <w:rsid w:val="00CC7D50"/>
    <w:rsid w:val="00CD2B2D"/>
    <w:rsid w:val="00CD41FC"/>
    <w:rsid w:val="00CD52AD"/>
    <w:rsid w:val="00CD718B"/>
    <w:rsid w:val="00CD7982"/>
    <w:rsid w:val="00CE087F"/>
    <w:rsid w:val="00CE0E1B"/>
    <w:rsid w:val="00CE1252"/>
    <w:rsid w:val="00CE3E1D"/>
    <w:rsid w:val="00CE4770"/>
    <w:rsid w:val="00CE53C6"/>
    <w:rsid w:val="00CE5B29"/>
    <w:rsid w:val="00CE61EF"/>
    <w:rsid w:val="00CE6CEE"/>
    <w:rsid w:val="00CF0278"/>
    <w:rsid w:val="00CF0D0C"/>
    <w:rsid w:val="00CF1717"/>
    <w:rsid w:val="00D00957"/>
    <w:rsid w:val="00D037C8"/>
    <w:rsid w:val="00D03CA0"/>
    <w:rsid w:val="00D04550"/>
    <w:rsid w:val="00D07184"/>
    <w:rsid w:val="00D108A8"/>
    <w:rsid w:val="00D10D6A"/>
    <w:rsid w:val="00D11105"/>
    <w:rsid w:val="00D11416"/>
    <w:rsid w:val="00D1154E"/>
    <w:rsid w:val="00D116C1"/>
    <w:rsid w:val="00D1186A"/>
    <w:rsid w:val="00D11A96"/>
    <w:rsid w:val="00D130AB"/>
    <w:rsid w:val="00D13565"/>
    <w:rsid w:val="00D14D2D"/>
    <w:rsid w:val="00D15268"/>
    <w:rsid w:val="00D152BC"/>
    <w:rsid w:val="00D1660C"/>
    <w:rsid w:val="00D17C79"/>
    <w:rsid w:val="00D22A70"/>
    <w:rsid w:val="00D23282"/>
    <w:rsid w:val="00D252D6"/>
    <w:rsid w:val="00D25E70"/>
    <w:rsid w:val="00D27AE6"/>
    <w:rsid w:val="00D34349"/>
    <w:rsid w:val="00D36752"/>
    <w:rsid w:val="00D41D4E"/>
    <w:rsid w:val="00D41EFA"/>
    <w:rsid w:val="00D431D9"/>
    <w:rsid w:val="00D4330B"/>
    <w:rsid w:val="00D44F78"/>
    <w:rsid w:val="00D45207"/>
    <w:rsid w:val="00D4588D"/>
    <w:rsid w:val="00D45B25"/>
    <w:rsid w:val="00D45CD7"/>
    <w:rsid w:val="00D46EEB"/>
    <w:rsid w:val="00D4701E"/>
    <w:rsid w:val="00D50478"/>
    <w:rsid w:val="00D511AE"/>
    <w:rsid w:val="00D518B9"/>
    <w:rsid w:val="00D51A48"/>
    <w:rsid w:val="00D51F4E"/>
    <w:rsid w:val="00D5274D"/>
    <w:rsid w:val="00D5358F"/>
    <w:rsid w:val="00D544CB"/>
    <w:rsid w:val="00D54D63"/>
    <w:rsid w:val="00D60C75"/>
    <w:rsid w:val="00D613F8"/>
    <w:rsid w:val="00D62499"/>
    <w:rsid w:val="00D631D8"/>
    <w:rsid w:val="00D65D78"/>
    <w:rsid w:val="00D67B29"/>
    <w:rsid w:val="00D67D67"/>
    <w:rsid w:val="00D71798"/>
    <w:rsid w:val="00D7186D"/>
    <w:rsid w:val="00D72330"/>
    <w:rsid w:val="00D73EE1"/>
    <w:rsid w:val="00D74CD2"/>
    <w:rsid w:val="00D7573B"/>
    <w:rsid w:val="00D76B53"/>
    <w:rsid w:val="00D77B2A"/>
    <w:rsid w:val="00D80172"/>
    <w:rsid w:val="00D81708"/>
    <w:rsid w:val="00D83F22"/>
    <w:rsid w:val="00D841AA"/>
    <w:rsid w:val="00D868F7"/>
    <w:rsid w:val="00D87FA9"/>
    <w:rsid w:val="00D904B2"/>
    <w:rsid w:val="00D91AFB"/>
    <w:rsid w:val="00D95B92"/>
    <w:rsid w:val="00DA33CA"/>
    <w:rsid w:val="00DA3D2D"/>
    <w:rsid w:val="00DA6407"/>
    <w:rsid w:val="00DA741B"/>
    <w:rsid w:val="00DB33AC"/>
    <w:rsid w:val="00DB51E8"/>
    <w:rsid w:val="00DB6A32"/>
    <w:rsid w:val="00DC1D23"/>
    <w:rsid w:val="00DC1DD3"/>
    <w:rsid w:val="00DC26AB"/>
    <w:rsid w:val="00DC518B"/>
    <w:rsid w:val="00DC51B8"/>
    <w:rsid w:val="00DC5391"/>
    <w:rsid w:val="00DC5705"/>
    <w:rsid w:val="00DC6A63"/>
    <w:rsid w:val="00DC7F39"/>
    <w:rsid w:val="00DD0B81"/>
    <w:rsid w:val="00DD1216"/>
    <w:rsid w:val="00DD179D"/>
    <w:rsid w:val="00DD1855"/>
    <w:rsid w:val="00DD19B7"/>
    <w:rsid w:val="00DD2247"/>
    <w:rsid w:val="00DD320E"/>
    <w:rsid w:val="00DD409F"/>
    <w:rsid w:val="00DD56E5"/>
    <w:rsid w:val="00DD7024"/>
    <w:rsid w:val="00DD7FCE"/>
    <w:rsid w:val="00DE0439"/>
    <w:rsid w:val="00DE0C1E"/>
    <w:rsid w:val="00DE2861"/>
    <w:rsid w:val="00DE2A48"/>
    <w:rsid w:val="00DE398E"/>
    <w:rsid w:val="00DE3F7E"/>
    <w:rsid w:val="00DE3FDA"/>
    <w:rsid w:val="00DE483A"/>
    <w:rsid w:val="00DE4D9D"/>
    <w:rsid w:val="00DE5158"/>
    <w:rsid w:val="00DE54F4"/>
    <w:rsid w:val="00DE6D67"/>
    <w:rsid w:val="00DE781C"/>
    <w:rsid w:val="00DF0A63"/>
    <w:rsid w:val="00DF37F4"/>
    <w:rsid w:val="00DF4B1F"/>
    <w:rsid w:val="00DF61A5"/>
    <w:rsid w:val="00DF6B41"/>
    <w:rsid w:val="00DF6D02"/>
    <w:rsid w:val="00E00E5A"/>
    <w:rsid w:val="00E03555"/>
    <w:rsid w:val="00E05CDC"/>
    <w:rsid w:val="00E062EC"/>
    <w:rsid w:val="00E071E3"/>
    <w:rsid w:val="00E1180C"/>
    <w:rsid w:val="00E11868"/>
    <w:rsid w:val="00E126A8"/>
    <w:rsid w:val="00E1350C"/>
    <w:rsid w:val="00E1642F"/>
    <w:rsid w:val="00E21569"/>
    <w:rsid w:val="00E21D92"/>
    <w:rsid w:val="00E223E4"/>
    <w:rsid w:val="00E24EB7"/>
    <w:rsid w:val="00E2515D"/>
    <w:rsid w:val="00E2567C"/>
    <w:rsid w:val="00E2756B"/>
    <w:rsid w:val="00E3004D"/>
    <w:rsid w:val="00E3018C"/>
    <w:rsid w:val="00E3491E"/>
    <w:rsid w:val="00E3505D"/>
    <w:rsid w:val="00E442FA"/>
    <w:rsid w:val="00E451FE"/>
    <w:rsid w:val="00E456B7"/>
    <w:rsid w:val="00E460EF"/>
    <w:rsid w:val="00E46ACF"/>
    <w:rsid w:val="00E4776F"/>
    <w:rsid w:val="00E500A9"/>
    <w:rsid w:val="00E50FFC"/>
    <w:rsid w:val="00E5497B"/>
    <w:rsid w:val="00E6010F"/>
    <w:rsid w:val="00E61DB3"/>
    <w:rsid w:val="00E63B16"/>
    <w:rsid w:val="00E6481B"/>
    <w:rsid w:val="00E64AAF"/>
    <w:rsid w:val="00E65927"/>
    <w:rsid w:val="00E65F0D"/>
    <w:rsid w:val="00E66C13"/>
    <w:rsid w:val="00E676FC"/>
    <w:rsid w:val="00E67D61"/>
    <w:rsid w:val="00E70D20"/>
    <w:rsid w:val="00E71606"/>
    <w:rsid w:val="00E721F7"/>
    <w:rsid w:val="00E751CC"/>
    <w:rsid w:val="00E75B7B"/>
    <w:rsid w:val="00E75C0C"/>
    <w:rsid w:val="00E76371"/>
    <w:rsid w:val="00E77A18"/>
    <w:rsid w:val="00E85523"/>
    <w:rsid w:val="00E85790"/>
    <w:rsid w:val="00E86BC7"/>
    <w:rsid w:val="00E86D84"/>
    <w:rsid w:val="00E87266"/>
    <w:rsid w:val="00E91055"/>
    <w:rsid w:val="00E9130A"/>
    <w:rsid w:val="00E916B9"/>
    <w:rsid w:val="00E919B1"/>
    <w:rsid w:val="00E91CA9"/>
    <w:rsid w:val="00E9251D"/>
    <w:rsid w:val="00E929A7"/>
    <w:rsid w:val="00E95A42"/>
    <w:rsid w:val="00E95AD0"/>
    <w:rsid w:val="00E9729D"/>
    <w:rsid w:val="00E972B0"/>
    <w:rsid w:val="00EA1178"/>
    <w:rsid w:val="00EA1C89"/>
    <w:rsid w:val="00EA2681"/>
    <w:rsid w:val="00EA2FEC"/>
    <w:rsid w:val="00EA31CD"/>
    <w:rsid w:val="00EA396A"/>
    <w:rsid w:val="00EA62DC"/>
    <w:rsid w:val="00EA64C3"/>
    <w:rsid w:val="00EB05FE"/>
    <w:rsid w:val="00EB0BA5"/>
    <w:rsid w:val="00EB0FEA"/>
    <w:rsid w:val="00EB19B1"/>
    <w:rsid w:val="00EB46A7"/>
    <w:rsid w:val="00EB56B1"/>
    <w:rsid w:val="00EB580C"/>
    <w:rsid w:val="00EB6664"/>
    <w:rsid w:val="00EC0303"/>
    <w:rsid w:val="00EC1DDF"/>
    <w:rsid w:val="00EC21C7"/>
    <w:rsid w:val="00EC2D2B"/>
    <w:rsid w:val="00EC3426"/>
    <w:rsid w:val="00EC3CA7"/>
    <w:rsid w:val="00EC4093"/>
    <w:rsid w:val="00EC4E1C"/>
    <w:rsid w:val="00EC5131"/>
    <w:rsid w:val="00EC60D1"/>
    <w:rsid w:val="00EC69E0"/>
    <w:rsid w:val="00ED045B"/>
    <w:rsid w:val="00ED107D"/>
    <w:rsid w:val="00ED1958"/>
    <w:rsid w:val="00ED353D"/>
    <w:rsid w:val="00ED3F58"/>
    <w:rsid w:val="00ED5E56"/>
    <w:rsid w:val="00ED6AF5"/>
    <w:rsid w:val="00ED7A59"/>
    <w:rsid w:val="00EE0535"/>
    <w:rsid w:val="00EE21DA"/>
    <w:rsid w:val="00EE252D"/>
    <w:rsid w:val="00EE2A83"/>
    <w:rsid w:val="00EE3CA7"/>
    <w:rsid w:val="00EE59A0"/>
    <w:rsid w:val="00EE680B"/>
    <w:rsid w:val="00EF158B"/>
    <w:rsid w:val="00EF2A67"/>
    <w:rsid w:val="00EF335F"/>
    <w:rsid w:val="00EF3ED7"/>
    <w:rsid w:val="00EF4EA0"/>
    <w:rsid w:val="00EF5257"/>
    <w:rsid w:val="00EF577F"/>
    <w:rsid w:val="00F00132"/>
    <w:rsid w:val="00F00661"/>
    <w:rsid w:val="00F00AF4"/>
    <w:rsid w:val="00F01417"/>
    <w:rsid w:val="00F02887"/>
    <w:rsid w:val="00F03041"/>
    <w:rsid w:val="00F036E7"/>
    <w:rsid w:val="00F05AF8"/>
    <w:rsid w:val="00F071AA"/>
    <w:rsid w:val="00F07FCE"/>
    <w:rsid w:val="00F1019A"/>
    <w:rsid w:val="00F10AF5"/>
    <w:rsid w:val="00F1173A"/>
    <w:rsid w:val="00F11AA5"/>
    <w:rsid w:val="00F11BEE"/>
    <w:rsid w:val="00F14C47"/>
    <w:rsid w:val="00F15CBA"/>
    <w:rsid w:val="00F204D1"/>
    <w:rsid w:val="00F20663"/>
    <w:rsid w:val="00F22B39"/>
    <w:rsid w:val="00F23209"/>
    <w:rsid w:val="00F24565"/>
    <w:rsid w:val="00F24B8E"/>
    <w:rsid w:val="00F258D4"/>
    <w:rsid w:val="00F26496"/>
    <w:rsid w:val="00F27A4B"/>
    <w:rsid w:val="00F32661"/>
    <w:rsid w:val="00F363D1"/>
    <w:rsid w:val="00F36BF5"/>
    <w:rsid w:val="00F36BF7"/>
    <w:rsid w:val="00F44F07"/>
    <w:rsid w:val="00F466E3"/>
    <w:rsid w:val="00F47AAB"/>
    <w:rsid w:val="00F47F70"/>
    <w:rsid w:val="00F52744"/>
    <w:rsid w:val="00F53F72"/>
    <w:rsid w:val="00F54515"/>
    <w:rsid w:val="00F546A6"/>
    <w:rsid w:val="00F54777"/>
    <w:rsid w:val="00F5502C"/>
    <w:rsid w:val="00F55476"/>
    <w:rsid w:val="00F56B03"/>
    <w:rsid w:val="00F61D74"/>
    <w:rsid w:val="00F65787"/>
    <w:rsid w:val="00F67704"/>
    <w:rsid w:val="00F70555"/>
    <w:rsid w:val="00F7166E"/>
    <w:rsid w:val="00F71C56"/>
    <w:rsid w:val="00F72871"/>
    <w:rsid w:val="00F72BBC"/>
    <w:rsid w:val="00F740FB"/>
    <w:rsid w:val="00F74A75"/>
    <w:rsid w:val="00F754ED"/>
    <w:rsid w:val="00F75E3A"/>
    <w:rsid w:val="00F76C83"/>
    <w:rsid w:val="00F77E3B"/>
    <w:rsid w:val="00F81A21"/>
    <w:rsid w:val="00F8292D"/>
    <w:rsid w:val="00F82AEF"/>
    <w:rsid w:val="00F8623A"/>
    <w:rsid w:val="00F86E27"/>
    <w:rsid w:val="00F874F7"/>
    <w:rsid w:val="00F87CFE"/>
    <w:rsid w:val="00F87E5A"/>
    <w:rsid w:val="00F9005A"/>
    <w:rsid w:val="00F9020D"/>
    <w:rsid w:val="00F91213"/>
    <w:rsid w:val="00F91E13"/>
    <w:rsid w:val="00F9743A"/>
    <w:rsid w:val="00FA05F4"/>
    <w:rsid w:val="00FA07AA"/>
    <w:rsid w:val="00FA2D3A"/>
    <w:rsid w:val="00FA313C"/>
    <w:rsid w:val="00FA59B5"/>
    <w:rsid w:val="00FA5BB2"/>
    <w:rsid w:val="00FB0858"/>
    <w:rsid w:val="00FB0878"/>
    <w:rsid w:val="00FB2137"/>
    <w:rsid w:val="00FB5AB0"/>
    <w:rsid w:val="00FB67DB"/>
    <w:rsid w:val="00FB6BA0"/>
    <w:rsid w:val="00FB73E7"/>
    <w:rsid w:val="00FC0165"/>
    <w:rsid w:val="00FC061A"/>
    <w:rsid w:val="00FC08C9"/>
    <w:rsid w:val="00FC10AD"/>
    <w:rsid w:val="00FC216E"/>
    <w:rsid w:val="00FC2581"/>
    <w:rsid w:val="00FC3534"/>
    <w:rsid w:val="00FC4314"/>
    <w:rsid w:val="00FC6116"/>
    <w:rsid w:val="00FC724B"/>
    <w:rsid w:val="00FC7502"/>
    <w:rsid w:val="00FC7871"/>
    <w:rsid w:val="00FC7DCF"/>
    <w:rsid w:val="00FD166F"/>
    <w:rsid w:val="00FD1BA2"/>
    <w:rsid w:val="00FD279E"/>
    <w:rsid w:val="00FD343F"/>
    <w:rsid w:val="00FD3A91"/>
    <w:rsid w:val="00FD3F90"/>
    <w:rsid w:val="00FD54B2"/>
    <w:rsid w:val="00FD5602"/>
    <w:rsid w:val="00FD6428"/>
    <w:rsid w:val="00FD6C39"/>
    <w:rsid w:val="00FD7512"/>
    <w:rsid w:val="00FD7584"/>
    <w:rsid w:val="00FE005B"/>
    <w:rsid w:val="00FE167E"/>
    <w:rsid w:val="00FE522A"/>
    <w:rsid w:val="00FE552C"/>
    <w:rsid w:val="00FE5D5A"/>
    <w:rsid w:val="00FE605D"/>
    <w:rsid w:val="00FE63E0"/>
    <w:rsid w:val="00FF167D"/>
    <w:rsid w:val="00FF1EB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52151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8" w:unhideWhenUsed="1"/>
    <w:lsdException w:name="heading 7" w:semiHidden="1" w:uiPriority="9" w:unhideWhenUsed="1"/>
    <w:lsdException w:name="heading 8" w:semiHidden="1" w:uiPriority="9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7B29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F71C56"/>
    <w:pPr>
      <w:keepNext/>
      <w:keepLines/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F71C56"/>
    <w:pPr>
      <w:keepNext/>
      <w:keepLines/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F71C56"/>
    <w:pPr>
      <w:keepNext/>
      <w:keepLines/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F71C56"/>
    <w:pPr>
      <w:keepNext/>
      <w:keepLines/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F71C56"/>
    <w:pPr>
      <w:keepNext/>
      <w:keepLines/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71C5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C144E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C144E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C144E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C144E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C144E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C144E"/>
    <w:rPr>
      <w:rFonts w:ascii="Arial" w:hAnsi="Arial" w:cs="Arial"/>
      <w:sz w:val="22"/>
      <w:szCs w:val="22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uiPriority w:val="99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2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115291"/>
    <w:pPr>
      <w:pageBreakBefore/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E919B1"/>
    <w:pPr>
      <w:pageBreakBefore/>
    </w:pPr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basedOn w:val="NormalBase"/>
    <w:uiPriority w:val="1"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120" w:line="240" w:lineRule="auto"/>
      <w:ind w:left="1474" w:right="1021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120" w:line="240" w:lineRule="auto"/>
      <w:ind w:left="879" w:right="1021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80" w:line="240" w:lineRule="auto"/>
      <w:ind w:left="1604" w:right="1021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2183" w:right="1021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40" w:line="240" w:lineRule="auto"/>
      <w:ind w:left="1985" w:right="1021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120" w:line="240" w:lineRule="auto"/>
      <w:ind w:left="1344" w:right="1021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120" w:line="240" w:lineRule="auto"/>
      <w:ind w:left="1253" w:right="1021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1900" w:right="1021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851" w:right="1021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uiPriority w:val="98"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"/>
    <w:basedOn w:val="OPCParaBase"/>
    <w:next w:val="Normal"/>
    <w:qFormat/>
    <w:rsid w:val="00115291"/>
    <w:pPr>
      <w:keepNext/>
      <w:keepLines/>
      <w:pageBreakBefore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"/>
    <w:basedOn w:val="OPCParaBase"/>
    <w:next w:val="Normal"/>
    <w:qFormat/>
    <w:rsid w:val="00115291"/>
    <w:pPr>
      <w:keepNext/>
      <w:keepLines/>
      <w:pageBreakBefore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uiPriority w:val="99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uiPriority w:val="1"/>
    <w:qFormat/>
    <w:rsid w:val="00D67B29"/>
  </w:style>
  <w:style w:type="character" w:customStyle="1" w:styleId="CharAmSchText">
    <w:name w:val="CharAmSchText"/>
    <w:basedOn w:val="OPCCharBase"/>
    <w:uiPriority w:val="1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iPriority w:val="99"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semiHidden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"/>
    <w:basedOn w:val="OPCParaBase"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"/>
    <w:basedOn w:val="OPCParaBase"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link w:val="notetextChar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qFormat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"/>
    <w:basedOn w:val="OPCParaBase"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qFormat/>
    <w:rsid w:val="00D67B29"/>
    <w:rPr>
      <w:i/>
    </w:rPr>
  </w:style>
  <w:style w:type="paragraph" w:customStyle="1" w:styleId="SOPara">
    <w:name w:val="SO Para"/>
    <w:aliases w:val="soa"/>
    <w:basedOn w:val="SOText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"/>
    <w:basedOn w:val="OPCParaBase"/>
    <w:link w:val="subsectionChar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"/>
    <w:basedOn w:val="OPCParaBase"/>
    <w:next w:val="tMain"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iPriority w:val="99"/>
    <w:semiHidden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C518B"/>
  </w:style>
  <w:style w:type="character" w:customStyle="1" w:styleId="DateChar">
    <w:name w:val="Date Char"/>
    <w:basedOn w:val="DefaultParagraphFont"/>
    <w:link w:val="Date"/>
    <w:uiPriority w:val="99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C518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C518B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DC518B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DC518B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518B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518B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518B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DC518B"/>
    <w:pPr>
      <w:contextualSpacing/>
    </w:pPr>
  </w:style>
  <w:style w:type="paragraph" w:styleId="ListNumber2">
    <w:name w:val="List Number 2"/>
    <w:basedOn w:val="Normal"/>
    <w:uiPriority w:val="98"/>
    <w:semiHidden/>
    <w:unhideWhenUsed/>
    <w:rsid w:val="00DC518B"/>
    <w:pPr>
      <w:contextualSpacing/>
    </w:pPr>
  </w:style>
  <w:style w:type="paragraph" w:styleId="ListNumber3">
    <w:name w:val="List Number 3"/>
    <w:basedOn w:val="Normal"/>
    <w:uiPriority w:val="98"/>
    <w:semiHidden/>
    <w:unhideWhenUsed/>
    <w:rsid w:val="00DC518B"/>
    <w:pPr>
      <w:contextualSpacing/>
    </w:pPr>
  </w:style>
  <w:style w:type="paragraph" w:styleId="ListNumber4">
    <w:name w:val="List Number 4"/>
    <w:basedOn w:val="Normal"/>
    <w:uiPriority w:val="98"/>
    <w:semiHidden/>
    <w:unhideWhenUsed/>
    <w:rsid w:val="00DC518B"/>
    <w:pPr>
      <w:contextualSpacing/>
    </w:pPr>
  </w:style>
  <w:style w:type="paragraph" w:styleId="ListNumber5">
    <w:name w:val="List Number 5"/>
    <w:basedOn w:val="Normal"/>
    <w:uiPriority w:val="98"/>
    <w:semiHidden/>
    <w:unhideWhenUsed/>
    <w:rsid w:val="00DC518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51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518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C5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518B"/>
  </w:style>
  <w:style w:type="paragraph" w:styleId="Title">
    <w:name w:val="Title"/>
    <w:basedOn w:val="Normal"/>
    <w:next w:val="Normal"/>
    <w:link w:val="TitleChar"/>
    <w:uiPriority w:val="98"/>
    <w:semiHidden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tFormula">
    <w:name w:val="t_Formula"/>
    <w:basedOn w:val="Normal"/>
    <w:qFormat/>
    <w:rsid w:val="003E284A"/>
    <w:pPr>
      <w:tabs>
        <w:tab w:val="center" w:pos="3969"/>
        <w:tab w:val="right" w:pos="8789"/>
      </w:tabs>
      <w:spacing w:before="120" w:after="60" w:line="240" w:lineRule="auto"/>
      <w:ind w:left="1134" w:hanging="1134"/>
    </w:pPr>
    <w:rPr>
      <w:rFonts w:eastAsia="Times New Roman"/>
      <w:b/>
      <w:i/>
      <w:lang w:eastAsia="en-AU"/>
    </w:rPr>
  </w:style>
  <w:style w:type="paragraph" w:customStyle="1" w:styleId="tParameter">
    <w:name w:val="t_Parameter"/>
    <w:basedOn w:val="Normal"/>
    <w:rsid w:val="003E284A"/>
    <w:pPr>
      <w:tabs>
        <w:tab w:val="right" w:pos="1985"/>
      </w:tabs>
      <w:spacing w:before="40" w:line="240" w:lineRule="auto"/>
      <w:ind w:left="2098" w:hanging="454"/>
    </w:pPr>
    <w:rPr>
      <w:rFonts w:eastAsia="Times New Roman"/>
      <w:lang w:eastAsia="en-AU"/>
    </w:rPr>
  </w:style>
  <w:style w:type="character" w:customStyle="1" w:styleId="paragraphChar">
    <w:name w:val="paragraph Char"/>
    <w:aliases w:val="a Char"/>
    <w:basedOn w:val="DefaultParagraphFont"/>
    <w:link w:val="tPara"/>
    <w:rsid w:val="00ED6AF5"/>
    <w:rPr>
      <w:sz w:val="22"/>
    </w:rPr>
  </w:style>
  <w:style w:type="paragraph" w:customStyle="1" w:styleId="definition">
    <w:name w:val="definition"/>
    <w:basedOn w:val="Normal"/>
    <w:rsid w:val="00B04E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notetext">
    <w:name w:val="notetext"/>
    <w:basedOn w:val="Normal"/>
    <w:rsid w:val="00B04E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Main"/>
    <w:rsid w:val="00694773"/>
    <w:rPr>
      <w:sz w:val="18"/>
    </w:rPr>
  </w:style>
  <w:style w:type="character" w:customStyle="1" w:styleId="subsectionChar">
    <w:name w:val="subsection Char"/>
    <w:aliases w:val="ss Char"/>
    <w:basedOn w:val="DefaultParagraphFont"/>
    <w:link w:val="tMain"/>
    <w:locked/>
    <w:rsid w:val="0069477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02DF"/>
    <w:rPr>
      <w:sz w:val="16"/>
      <w:szCs w:val="16"/>
    </w:rPr>
  </w:style>
  <w:style w:type="paragraph" w:customStyle="1" w:styleId="Default">
    <w:name w:val="Default"/>
    <w:rsid w:val="00AC65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ubsectionhead">
    <w:name w:val="subsectionhead"/>
    <w:basedOn w:val="Normal"/>
    <w:rsid w:val="00AC6C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4786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8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3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16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9728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05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4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5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828282"/>
                                <w:left w:val="single" w:sz="8" w:space="0" w:color="828282"/>
                                <w:bottom w:val="single" w:sz="8" w:space="0" w:color="828282"/>
                                <w:right w:val="single" w:sz="8" w:space="0" w:color="828282"/>
                              </w:divBdr>
                              <w:divsChild>
                                <w:div w:id="1238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0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66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32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6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28282"/>
                                <w:left w:val="single" w:sz="4" w:space="0" w:color="828282"/>
                                <w:bottom w:val="single" w:sz="4" w:space="0" w:color="828282"/>
                                <w:right w:val="single" w:sz="4" w:space="0" w:color="828282"/>
                              </w:divBdr>
                              <w:divsChild>
                                <w:div w:id="152169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4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3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2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53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8688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2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5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2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205291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9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53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1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828282"/>
                                <w:left w:val="single" w:sz="8" w:space="0" w:color="828282"/>
                                <w:bottom w:val="single" w:sz="8" w:space="0" w:color="828282"/>
                                <w:right w:val="single" w:sz="8" w:space="0" w:color="828282"/>
                              </w:divBdr>
                              <w:divsChild>
                                <w:div w:id="116077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9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0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1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9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25894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4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91970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5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5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0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8430d0f-47e2-4fb7-b3bb-dd4f7c79b414" xsi:nil="true"/>
    <IconOverlay xmlns="http://schemas.microsoft.com/sharepoint/v4" xsi:nil="true"/>
    <Approval xmlns="d8430d0f-47e2-4fb7-b3bb-dd4f7c79b414" xsi:nil="true"/>
    <Function xmlns="d8430d0f-47e2-4fb7-b3bb-dd4f7c79b414" xsi:nil="true"/>
    <DocumentDescription xmlns="d8430d0f-47e2-4fb7-b3bb-dd4f7c79b4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53158623521E02459344FD72CDD99ED600D1B310B496D2C44A972BD639ABA79F5B" ma:contentTypeVersion="5" ma:contentTypeDescription="SPIRE Document" ma:contentTypeScope="" ma:versionID="c224006759f97c733486744f6b320423">
  <xsd:schema xmlns:xsd="http://www.w3.org/2001/XMLSchema" xmlns:xs="http://www.w3.org/2001/XMLSchema" xmlns:p="http://schemas.microsoft.com/office/2006/metadata/properties" xmlns:ns2="d8430d0f-47e2-4fb7-b3bb-dd4f7c79b414" xmlns:ns3="http://schemas.microsoft.com/sharepoint/v4" targetNamespace="http://schemas.microsoft.com/office/2006/metadata/properties" ma:root="true" ma:fieldsID="ee8aa7ae0f54bfa02f0e90901ac4df53" ns2:_="" ns3:_="">
    <xsd:import namespace="d8430d0f-47e2-4fb7-b3bb-dd4f7c79b4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0d0f-47e2-4fb7-b3bb-dd4f7c79b41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67985E6C-191B-44D6-AF8C-58F62455475A}">
  <ds:schemaRefs>
    <ds:schemaRef ds:uri="http://schemas.microsoft.com/office/2006/documentManagement/types"/>
    <ds:schemaRef ds:uri="http://purl.org/dc/terms/"/>
    <ds:schemaRef ds:uri="http://purl.org/dc/dcmitype/"/>
    <ds:schemaRef ds:uri="d8430d0f-47e2-4fb7-b3bb-dd4f7c79b414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04FA55-D4D8-41E2-BE02-8B60E4A1E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289B4-83DD-4A0C-AD0A-29FC61D9C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30d0f-47e2-4fb7-b3bb-dd4f7c79b4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8AD8D-4DFF-49CF-A10A-CDE4F63DB25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E6356FE-9EC6-403E-8148-D62EAFEAA6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C4528602</Template>
  <TotalTime>0</TotalTime>
  <Pages>15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2018-02-13T01:20:00Z</dcterms:created>
  <dcterms:modified xsi:type="dcterms:W3CDTF">2018-02-13T01:26:00Z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0x01010053158623521E02459344FD72CDD99ED600D1B310B496D2C44A972BD639ABA79F5B</vt:lpwstr>
  </property>
  <property fmtid="{D5CDD505-2E9C-101B-9397-08002B2CF9AE}" pid="5" name="RecordPoint_ActiveItemUniqueId">
    <vt:lpwstr>{b4d54abe-57d0-4e1c-bb0e-07bedd8b36d8}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SiteId">
    <vt:lpwstr>{65a9c67d-8621-4daf-8c18-51b91f4b20f6}</vt:lpwstr>
  </property>
  <property fmtid="{D5CDD505-2E9C-101B-9397-08002B2CF9AE}" pid="9" name="RecordPoint_ActiveItemListId">
    <vt:lpwstr>{454a8853-a5b6-4938-a86d-3dc4acef5103}</vt:lpwstr>
  </property>
  <property fmtid="{D5CDD505-2E9C-101B-9397-08002B2CF9AE}" pid="10" name="RecordPoint_ActiveItemWebId">
    <vt:lpwstr>{cad10a62-87e6-42dc-86ca-7501b0731301}</vt:lpwstr>
  </property>
</Properties>
</file>