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D4550" w14:textId="77777777" w:rsidR="000715D1" w:rsidRPr="005C0EBD" w:rsidRDefault="00B13EA8" w:rsidP="00674B00">
      <w:r w:rsidRPr="005C0EBD">
        <w:rPr>
          <w:noProof/>
        </w:rPr>
        <w:drawing>
          <wp:inline distT="0" distB="0" distL="0" distR="0" wp14:anchorId="73A27AA1" wp14:editId="3B475BD7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8DB2A" w14:textId="77777777" w:rsidR="007627C8" w:rsidRPr="00A93A53" w:rsidRDefault="007627C8" w:rsidP="007627C8">
      <w:pPr>
        <w:pStyle w:val="ShortT"/>
      </w:pPr>
      <w:r w:rsidRPr="00A93A53">
        <w:t xml:space="preserve">Autonomous Sanctions (Designated Persons and Entities and Declared Persons – </w:t>
      </w:r>
      <w:r>
        <w:t xml:space="preserve">Libya) </w:t>
      </w:r>
      <w:r w:rsidR="002A58DA">
        <w:t xml:space="preserve">Continuing Effect Declaration and Revocation </w:t>
      </w:r>
      <w:r w:rsidR="00001A83">
        <w:t xml:space="preserve">Instrument </w:t>
      </w:r>
      <w:r w:rsidR="002A58DA">
        <w:t>2018</w:t>
      </w:r>
    </w:p>
    <w:p w14:paraId="155CB094" w14:textId="77777777" w:rsidR="007627C8" w:rsidRPr="00A93A53" w:rsidRDefault="007627C8" w:rsidP="007627C8">
      <w:pPr>
        <w:pStyle w:val="SignCoverPageStart"/>
        <w:spacing w:before="240"/>
        <w:ind w:right="91"/>
        <w:rPr>
          <w:i/>
          <w:szCs w:val="22"/>
        </w:rPr>
      </w:pPr>
      <w:r w:rsidRPr="00A93A53">
        <w:rPr>
          <w:szCs w:val="22"/>
        </w:rPr>
        <w:t xml:space="preserve">I, JULIE BISHOP, Minister for Foreign Affairs, make </w:t>
      </w:r>
      <w:r>
        <w:rPr>
          <w:szCs w:val="22"/>
        </w:rPr>
        <w:t>the following legislative instrument</w:t>
      </w:r>
      <w:r w:rsidRPr="00A93A53">
        <w:rPr>
          <w:i/>
          <w:szCs w:val="22"/>
        </w:rPr>
        <w:t>.</w:t>
      </w:r>
    </w:p>
    <w:p w14:paraId="1FEEDAD6" w14:textId="77777777" w:rsidR="005B1167" w:rsidRDefault="005B1167" w:rsidP="007627C8">
      <w:pPr>
        <w:keepNext/>
        <w:spacing w:before="300" w:line="240" w:lineRule="atLeast"/>
        <w:ind w:right="397"/>
        <w:jc w:val="both"/>
      </w:pPr>
    </w:p>
    <w:p w14:paraId="294DF8A5" w14:textId="3F32049A" w:rsidR="007627C8" w:rsidRPr="00A93A53" w:rsidRDefault="007627C8" w:rsidP="007627C8">
      <w:pPr>
        <w:keepNext/>
        <w:spacing w:before="300" w:line="240" w:lineRule="atLeast"/>
        <w:ind w:right="397"/>
        <w:jc w:val="both"/>
      </w:pPr>
      <w:r w:rsidRPr="00A93A53">
        <w:t>Dated</w:t>
      </w:r>
      <w:r w:rsidRPr="00A93A53">
        <w:tab/>
      </w:r>
      <w:r w:rsidRPr="00A93A53">
        <w:tab/>
      </w:r>
      <w:r w:rsidR="00D6527D">
        <w:t>6 February 2018</w:t>
      </w:r>
      <w:bookmarkStart w:id="0" w:name="_GoBack"/>
      <w:bookmarkEnd w:id="0"/>
    </w:p>
    <w:p w14:paraId="2F488E8F" w14:textId="77777777" w:rsidR="007627C8" w:rsidRPr="00A93A53" w:rsidRDefault="007627C8" w:rsidP="007627C8">
      <w:pPr>
        <w:pStyle w:val="SignCoverPageEnd"/>
        <w:pBdr>
          <w:bottom w:val="none" w:sz="0" w:space="0" w:color="auto"/>
        </w:pBdr>
        <w:ind w:right="91"/>
        <w:rPr>
          <w:sz w:val="22"/>
        </w:rPr>
      </w:pPr>
    </w:p>
    <w:p w14:paraId="0D91DBC5" w14:textId="77777777" w:rsidR="007627C8" w:rsidRPr="00A93A53" w:rsidRDefault="007627C8" w:rsidP="007627C8">
      <w:pPr>
        <w:pStyle w:val="SignCoverPageEnd"/>
        <w:pBdr>
          <w:bottom w:val="none" w:sz="0" w:space="0" w:color="auto"/>
        </w:pBdr>
        <w:ind w:right="91"/>
        <w:rPr>
          <w:sz w:val="22"/>
        </w:rPr>
      </w:pPr>
    </w:p>
    <w:p w14:paraId="2FA8C38C" w14:textId="77777777" w:rsidR="007627C8" w:rsidRPr="00A93A53" w:rsidRDefault="007627C8" w:rsidP="007627C8">
      <w:pPr>
        <w:pStyle w:val="SignCoverPageEnd"/>
        <w:pBdr>
          <w:bottom w:val="none" w:sz="0" w:space="0" w:color="auto"/>
        </w:pBdr>
        <w:ind w:right="91"/>
        <w:rPr>
          <w:sz w:val="22"/>
        </w:rPr>
      </w:pPr>
    </w:p>
    <w:p w14:paraId="7862A76D" w14:textId="77777777" w:rsidR="007627C8" w:rsidRPr="00A93A53" w:rsidRDefault="007627C8" w:rsidP="007627C8">
      <w:pPr>
        <w:pStyle w:val="SignCoverPageEnd"/>
        <w:pBdr>
          <w:bottom w:val="none" w:sz="0" w:space="0" w:color="auto"/>
        </w:pBdr>
        <w:ind w:right="91"/>
        <w:rPr>
          <w:sz w:val="22"/>
        </w:rPr>
      </w:pPr>
    </w:p>
    <w:p w14:paraId="7BBDEB11" w14:textId="77777777" w:rsidR="007627C8" w:rsidRPr="00A93A53" w:rsidRDefault="007627C8" w:rsidP="007627C8">
      <w:pPr>
        <w:pStyle w:val="SignCoverPageEnd"/>
        <w:pBdr>
          <w:bottom w:val="none" w:sz="0" w:space="0" w:color="auto"/>
        </w:pBdr>
        <w:ind w:right="91"/>
        <w:rPr>
          <w:sz w:val="22"/>
        </w:rPr>
      </w:pPr>
    </w:p>
    <w:p w14:paraId="3FEFEFB9" w14:textId="77777777" w:rsidR="007627C8" w:rsidRPr="00A93A53" w:rsidRDefault="007627C8" w:rsidP="007627C8">
      <w:pPr>
        <w:pStyle w:val="SignCoverPageEnd"/>
        <w:pBdr>
          <w:bottom w:val="none" w:sz="0" w:space="0" w:color="auto"/>
        </w:pBdr>
        <w:ind w:right="91"/>
        <w:rPr>
          <w:sz w:val="22"/>
        </w:rPr>
      </w:pPr>
      <w:r w:rsidRPr="00A93A53">
        <w:rPr>
          <w:sz w:val="22"/>
        </w:rPr>
        <w:t>JULIE BISHOP</w:t>
      </w:r>
    </w:p>
    <w:p w14:paraId="72CC727B" w14:textId="77777777" w:rsidR="007627C8" w:rsidRPr="00A93A53" w:rsidRDefault="007627C8" w:rsidP="007627C8">
      <w:pPr>
        <w:pBdr>
          <w:bottom w:val="single" w:sz="4" w:space="1" w:color="auto"/>
        </w:pBdr>
      </w:pPr>
    </w:p>
    <w:p w14:paraId="2850D691" w14:textId="77777777" w:rsidR="007627C8" w:rsidRDefault="007627C8" w:rsidP="007627C8">
      <w:pPr>
        <w:pBdr>
          <w:bottom w:val="single" w:sz="4" w:space="1" w:color="auto"/>
        </w:pBdr>
      </w:pPr>
      <w:r w:rsidRPr="00A93A53">
        <w:t xml:space="preserve">Minister for Foreign Affairs </w:t>
      </w:r>
    </w:p>
    <w:p w14:paraId="40443225" w14:textId="77777777" w:rsidR="005B1167" w:rsidRPr="00A93A53" w:rsidRDefault="005B1167" w:rsidP="007627C8">
      <w:pPr>
        <w:pBdr>
          <w:bottom w:val="single" w:sz="4" w:space="1" w:color="auto"/>
        </w:pBdr>
      </w:pPr>
    </w:p>
    <w:p w14:paraId="13449B7F" w14:textId="77777777" w:rsidR="007627C8" w:rsidRPr="00A93A53" w:rsidRDefault="007627C8" w:rsidP="007627C8"/>
    <w:p w14:paraId="4A0E19BF" w14:textId="77777777" w:rsidR="007627C8" w:rsidRPr="00A93A53" w:rsidRDefault="007627C8" w:rsidP="007627C8"/>
    <w:p w14:paraId="19FEA096" w14:textId="77777777" w:rsidR="007627C8" w:rsidRDefault="007627C8">
      <w:r>
        <w:br w:type="page"/>
      </w:r>
    </w:p>
    <w:p w14:paraId="5863590E" w14:textId="77777777" w:rsidR="007627C8" w:rsidRPr="007627C8" w:rsidRDefault="007627C8" w:rsidP="007627C8">
      <w:pPr>
        <w:rPr>
          <w:sz w:val="36"/>
        </w:rPr>
      </w:pPr>
      <w:r w:rsidRPr="007627C8">
        <w:rPr>
          <w:sz w:val="36"/>
        </w:rPr>
        <w:lastRenderedPageBreak/>
        <w:t>Contents</w:t>
      </w:r>
    </w:p>
    <w:bookmarkStart w:id="1" w:name="BKCheck15B_2" w:displacedByCustomXml="next"/>
    <w:bookmarkEnd w:id="1" w:displacedByCustomXml="next"/>
    <w:sdt>
      <w:sdtPr>
        <w:rPr>
          <w:rFonts w:ascii="Times New Roman" w:eastAsiaTheme="minorHAnsi" w:hAnsi="Times New Roman"/>
          <w:b w:val="0"/>
          <w:sz w:val="20"/>
          <w:szCs w:val="20"/>
          <w:lang w:eastAsia="en-AU"/>
        </w:rPr>
        <w:id w:val="-1377612454"/>
        <w:docPartObj>
          <w:docPartGallery w:val="Table of Contents"/>
          <w:docPartUnique/>
        </w:docPartObj>
      </w:sdtPr>
      <w:sdtEndPr>
        <w:rPr>
          <w:rFonts w:eastAsia="Times New Roman"/>
          <w:bCs/>
          <w:noProof/>
        </w:rPr>
      </w:sdtEndPr>
      <w:sdtContent>
        <w:p w14:paraId="765C619F" w14:textId="4A059A7B" w:rsidR="007018EF" w:rsidRPr="007018EF" w:rsidRDefault="007627C8">
          <w:pPr>
            <w:pStyle w:val="TOC2"/>
            <w:rPr>
              <w:rFonts w:ascii="Times New Roman" w:eastAsiaTheme="minorEastAsia" w:hAnsi="Times New Roman"/>
              <w:b w:val="0"/>
              <w:noProof/>
              <w:sz w:val="22"/>
              <w:szCs w:val="22"/>
              <w:lang w:eastAsia="en-AU"/>
            </w:rPr>
          </w:pPr>
          <w:r w:rsidRPr="00966580">
            <w:rPr>
              <w:rFonts w:ascii="Times New Roman" w:hAnsi="Times New Roman"/>
              <w:b w:val="0"/>
              <w:kern w:val="28"/>
              <w:sz w:val="20"/>
              <w:szCs w:val="20"/>
              <w:lang w:eastAsia="en-AU"/>
            </w:rPr>
            <w:fldChar w:fldCharType="begin"/>
          </w:r>
          <w:r w:rsidRPr="00966580">
            <w:rPr>
              <w:rFonts w:ascii="Times New Roman" w:hAnsi="Times New Roman"/>
              <w:b w:val="0"/>
              <w:sz w:val="20"/>
              <w:szCs w:val="20"/>
            </w:rPr>
            <w:instrText xml:space="preserve"> TOC \o "1-3" \h \z \u </w:instrText>
          </w:r>
          <w:r w:rsidRPr="00966580">
            <w:rPr>
              <w:rFonts w:ascii="Times New Roman" w:hAnsi="Times New Roman"/>
              <w:b w:val="0"/>
              <w:kern w:val="28"/>
              <w:sz w:val="20"/>
              <w:szCs w:val="20"/>
              <w:lang w:eastAsia="en-AU"/>
            </w:rPr>
            <w:fldChar w:fldCharType="separate"/>
          </w:r>
          <w:hyperlink w:anchor="_Toc504991622" w:history="1"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1</w:t>
            </w:r>
            <w:r w:rsidR="007018EF" w:rsidRPr="007018EF">
              <w:rPr>
                <w:rFonts w:ascii="Times New Roman" w:eastAsiaTheme="minorEastAsia" w:hAnsi="Times New Roman"/>
                <w:b w:val="0"/>
                <w:noProof/>
                <w:sz w:val="22"/>
                <w:szCs w:val="22"/>
                <w:lang w:eastAsia="en-AU"/>
              </w:rPr>
              <w:tab/>
            </w:r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Name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ab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instrText xml:space="preserve"> PAGEREF _Toc504991622 \h </w:instrTex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73F04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>3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1A1469" w14:textId="3F9FA95D" w:rsidR="007018EF" w:rsidRPr="007018EF" w:rsidRDefault="00D6527D">
          <w:pPr>
            <w:pStyle w:val="TOC2"/>
            <w:rPr>
              <w:rFonts w:ascii="Times New Roman" w:eastAsiaTheme="minorEastAsia" w:hAnsi="Times New Roman"/>
              <w:b w:val="0"/>
              <w:noProof/>
              <w:sz w:val="22"/>
              <w:szCs w:val="22"/>
              <w:lang w:eastAsia="en-AU"/>
            </w:rPr>
          </w:pPr>
          <w:hyperlink w:anchor="_Toc504991623" w:history="1"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2</w:t>
            </w:r>
            <w:r w:rsidR="007018EF" w:rsidRPr="007018EF">
              <w:rPr>
                <w:rFonts w:ascii="Times New Roman" w:eastAsiaTheme="minorEastAsia" w:hAnsi="Times New Roman"/>
                <w:b w:val="0"/>
                <w:noProof/>
                <w:sz w:val="22"/>
                <w:szCs w:val="22"/>
                <w:lang w:eastAsia="en-AU"/>
              </w:rPr>
              <w:tab/>
            </w:r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Commencement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ab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instrText xml:space="preserve"> PAGEREF _Toc504991623 \h </w:instrTex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73F04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>3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8DDF87" w14:textId="0593FBC6" w:rsidR="007018EF" w:rsidRPr="007018EF" w:rsidRDefault="00D6527D">
          <w:pPr>
            <w:pStyle w:val="TOC2"/>
            <w:rPr>
              <w:rFonts w:ascii="Times New Roman" w:eastAsiaTheme="minorEastAsia" w:hAnsi="Times New Roman"/>
              <w:b w:val="0"/>
              <w:noProof/>
              <w:sz w:val="22"/>
              <w:szCs w:val="22"/>
              <w:lang w:eastAsia="en-AU"/>
            </w:rPr>
          </w:pPr>
          <w:hyperlink w:anchor="_Toc504991624" w:history="1"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3</w:t>
            </w:r>
            <w:r w:rsidR="007018EF" w:rsidRPr="007018EF">
              <w:rPr>
                <w:rFonts w:ascii="Times New Roman" w:eastAsiaTheme="minorEastAsia" w:hAnsi="Times New Roman"/>
                <w:b w:val="0"/>
                <w:noProof/>
                <w:sz w:val="22"/>
                <w:szCs w:val="22"/>
                <w:lang w:eastAsia="en-AU"/>
              </w:rPr>
              <w:tab/>
            </w:r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Authority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ab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instrText xml:space="preserve"> PAGEREF _Toc504991624 \h </w:instrTex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73F04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>3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C520A7" w14:textId="26A2DFE4" w:rsidR="007018EF" w:rsidRPr="007018EF" w:rsidRDefault="00D6527D">
          <w:pPr>
            <w:pStyle w:val="TOC2"/>
            <w:rPr>
              <w:rFonts w:ascii="Times New Roman" w:eastAsiaTheme="minorEastAsia" w:hAnsi="Times New Roman"/>
              <w:b w:val="0"/>
              <w:noProof/>
              <w:sz w:val="22"/>
              <w:szCs w:val="22"/>
              <w:lang w:eastAsia="en-AU"/>
            </w:rPr>
          </w:pPr>
          <w:hyperlink w:anchor="_Toc504991625" w:history="1"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4</w:t>
            </w:r>
            <w:r w:rsidR="007018EF" w:rsidRPr="007018EF">
              <w:rPr>
                <w:rFonts w:ascii="Times New Roman" w:eastAsiaTheme="minorEastAsia" w:hAnsi="Times New Roman"/>
                <w:b w:val="0"/>
                <w:noProof/>
                <w:sz w:val="22"/>
                <w:szCs w:val="22"/>
                <w:lang w:eastAsia="en-AU"/>
              </w:rPr>
              <w:tab/>
            </w:r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Designations and declarations to continue to have effect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ab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instrText xml:space="preserve"> PAGEREF _Toc504991625 \h </w:instrTex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73F04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>3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825BA4" w14:textId="35275CDF" w:rsidR="007018EF" w:rsidRPr="007018EF" w:rsidRDefault="00D6527D">
          <w:pPr>
            <w:pStyle w:val="TOC2"/>
            <w:rPr>
              <w:rFonts w:ascii="Times New Roman" w:eastAsiaTheme="minorEastAsia" w:hAnsi="Times New Roman"/>
              <w:b w:val="0"/>
              <w:noProof/>
              <w:sz w:val="22"/>
              <w:szCs w:val="22"/>
              <w:lang w:eastAsia="en-AU"/>
            </w:rPr>
          </w:pPr>
          <w:hyperlink w:anchor="_Toc504991626" w:history="1"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5</w:t>
            </w:r>
            <w:r w:rsidR="007018EF" w:rsidRPr="007018EF">
              <w:rPr>
                <w:rFonts w:ascii="Times New Roman" w:eastAsiaTheme="minorEastAsia" w:hAnsi="Times New Roman"/>
                <w:b w:val="0"/>
                <w:noProof/>
                <w:sz w:val="22"/>
                <w:szCs w:val="22"/>
                <w:lang w:eastAsia="en-AU"/>
              </w:rPr>
              <w:tab/>
            </w:r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Designations to continue to have effect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ab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instrText xml:space="preserve"> PAGEREF _Toc504991626 \h </w:instrTex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73F04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>3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A028C87" w14:textId="7CDA17BC" w:rsidR="007018EF" w:rsidRPr="007018EF" w:rsidRDefault="00D6527D">
          <w:pPr>
            <w:pStyle w:val="TOC2"/>
            <w:rPr>
              <w:rFonts w:ascii="Times New Roman" w:eastAsiaTheme="minorEastAsia" w:hAnsi="Times New Roman"/>
              <w:b w:val="0"/>
              <w:noProof/>
              <w:sz w:val="22"/>
              <w:szCs w:val="22"/>
              <w:lang w:eastAsia="en-AU"/>
            </w:rPr>
          </w:pPr>
          <w:hyperlink w:anchor="_Toc504991627" w:history="1"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6</w:t>
            </w:r>
            <w:r w:rsidR="007018EF" w:rsidRPr="007018EF">
              <w:rPr>
                <w:rFonts w:ascii="Times New Roman" w:eastAsiaTheme="minorEastAsia" w:hAnsi="Times New Roman"/>
                <w:b w:val="0"/>
                <w:noProof/>
                <w:sz w:val="22"/>
                <w:szCs w:val="22"/>
                <w:lang w:eastAsia="en-AU"/>
              </w:rPr>
              <w:tab/>
            </w:r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Revocation of designation and declaration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ab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instrText xml:space="preserve"> PAGEREF _Toc504991627 \h </w:instrTex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73F04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>3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D5EABC" w14:textId="5CCAAFB4" w:rsidR="007018EF" w:rsidRPr="007018EF" w:rsidRDefault="00D6527D">
          <w:pPr>
            <w:pStyle w:val="TOC2"/>
            <w:rPr>
              <w:rFonts w:ascii="Times New Roman" w:eastAsiaTheme="minorEastAsia" w:hAnsi="Times New Roman"/>
              <w:b w:val="0"/>
              <w:noProof/>
              <w:sz w:val="22"/>
              <w:szCs w:val="22"/>
              <w:lang w:eastAsia="en-AU"/>
            </w:rPr>
          </w:pPr>
          <w:hyperlink w:anchor="_Toc504991628" w:history="1"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7</w:t>
            </w:r>
            <w:r w:rsidR="007018EF" w:rsidRPr="007018EF">
              <w:rPr>
                <w:rFonts w:ascii="Times New Roman" w:eastAsiaTheme="minorEastAsia" w:hAnsi="Times New Roman"/>
                <w:b w:val="0"/>
                <w:noProof/>
                <w:sz w:val="22"/>
                <w:szCs w:val="22"/>
                <w:lang w:eastAsia="en-AU"/>
              </w:rPr>
              <w:tab/>
            </w:r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 xml:space="preserve">Amendment of the </w:t>
            </w:r>
            <w:r w:rsidR="007018EF" w:rsidRPr="007018EF">
              <w:rPr>
                <w:rStyle w:val="Hyperlink"/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Autonomous Sanctions (Designated Persons and Entities and Declared Persons – Libya) List 2012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ab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instrText xml:space="preserve"> PAGEREF _Toc504991628 \h </w:instrTex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73F04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>4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9B2A61" w14:textId="04AAB888" w:rsidR="007018EF" w:rsidRPr="007018EF" w:rsidRDefault="00D6527D">
          <w:pPr>
            <w:pStyle w:val="TOC2"/>
            <w:rPr>
              <w:rFonts w:ascii="Times New Roman" w:eastAsiaTheme="minorEastAsia" w:hAnsi="Times New Roman"/>
              <w:b w:val="0"/>
              <w:noProof/>
              <w:sz w:val="22"/>
              <w:szCs w:val="22"/>
              <w:lang w:eastAsia="en-AU"/>
            </w:rPr>
          </w:pPr>
          <w:hyperlink w:anchor="_Toc504991629" w:history="1"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Schedule 1</w:t>
            </w:r>
            <w:r w:rsidR="007018EF" w:rsidRPr="007018EF">
              <w:rPr>
                <w:rFonts w:ascii="Times New Roman" w:eastAsiaTheme="minorEastAsia" w:hAnsi="Times New Roman"/>
                <w:b w:val="0"/>
                <w:noProof/>
                <w:sz w:val="22"/>
                <w:szCs w:val="22"/>
                <w:lang w:eastAsia="en-AU"/>
              </w:rPr>
              <w:tab/>
            </w:r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Designations and declarations declared to continue to have effect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ab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instrText xml:space="preserve"> PAGEREF _Toc504991629 \h </w:instrTex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73F04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>5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B59D4A" w14:textId="32DF4ABA" w:rsidR="007018EF" w:rsidRPr="007018EF" w:rsidRDefault="00D6527D">
          <w:pPr>
            <w:pStyle w:val="TOC2"/>
            <w:rPr>
              <w:rFonts w:ascii="Times New Roman" w:eastAsiaTheme="minorEastAsia" w:hAnsi="Times New Roman"/>
              <w:b w:val="0"/>
              <w:noProof/>
              <w:sz w:val="22"/>
              <w:szCs w:val="22"/>
              <w:lang w:eastAsia="en-AU"/>
            </w:rPr>
          </w:pPr>
          <w:hyperlink w:anchor="_Toc504991630" w:history="1"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 xml:space="preserve">Schedule 2 </w:t>
            </w:r>
            <w:r w:rsidR="007018EF" w:rsidRPr="007018EF">
              <w:rPr>
                <w:rFonts w:ascii="Times New Roman" w:eastAsiaTheme="minorEastAsia" w:hAnsi="Times New Roman"/>
                <w:b w:val="0"/>
                <w:noProof/>
                <w:sz w:val="22"/>
                <w:szCs w:val="22"/>
                <w:lang w:eastAsia="en-AU"/>
              </w:rPr>
              <w:tab/>
            </w:r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Designations declared to continue to have effect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ab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instrText xml:space="preserve"> PAGEREF _Toc504991630 \h </w:instrTex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73F04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>7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5FCF63" w14:textId="63507A4A" w:rsidR="007018EF" w:rsidRPr="007018EF" w:rsidRDefault="00D6527D">
          <w:pPr>
            <w:pStyle w:val="TOC2"/>
            <w:rPr>
              <w:rFonts w:ascii="Times New Roman" w:eastAsiaTheme="minorEastAsia" w:hAnsi="Times New Roman"/>
              <w:b w:val="0"/>
              <w:noProof/>
              <w:sz w:val="22"/>
              <w:szCs w:val="22"/>
              <w:lang w:eastAsia="en-AU"/>
            </w:rPr>
          </w:pPr>
          <w:hyperlink w:anchor="_Toc504991631" w:history="1"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 xml:space="preserve">Schedule 3 </w:t>
            </w:r>
            <w:r w:rsidR="007018EF" w:rsidRPr="007018EF">
              <w:rPr>
                <w:rFonts w:ascii="Times New Roman" w:eastAsiaTheme="minorEastAsia" w:hAnsi="Times New Roman"/>
                <w:b w:val="0"/>
                <w:noProof/>
                <w:sz w:val="22"/>
                <w:szCs w:val="22"/>
                <w:lang w:eastAsia="en-AU"/>
              </w:rPr>
              <w:tab/>
            </w:r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Revocation of designation and declaration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ab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instrText xml:space="preserve"> PAGEREF _Toc504991631 \h </w:instrTex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73F04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>9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A3E8F3" w14:textId="001C274E" w:rsidR="007018EF" w:rsidRDefault="00D6527D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504991632" w:history="1"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 xml:space="preserve">Schedule 4 </w:t>
            </w:r>
            <w:r w:rsidR="007018EF" w:rsidRPr="007018EF">
              <w:rPr>
                <w:rFonts w:ascii="Times New Roman" w:eastAsiaTheme="minorEastAsia" w:hAnsi="Times New Roman"/>
                <w:b w:val="0"/>
                <w:noProof/>
                <w:sz w:val="22"/>
                <w:szCs w:val="22"/>
                <w:lang w:eastAsia="en-AU"/>
              </w:rPr>
              <w:tab/>
            </w:r>
            <w:r w:rsidR="007018EF" w:rsidRPr="007018EF">
              <w:rPr>
                <w:rStyle w:val="Hyperlink"/>
                <w:rFonts w:ascii="Times New Roman" w:hAnsi="Times New Roman"/>
                <w:b w:val="0"/>
                <w:noProof/>
                <w:sz w:val="22"/>
                <w:szCs w:val="22"/>
              </w:rPr>
              <w:t>Amendments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ab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instrText xml:space="preserve"> PAGEREF _Toc504991632 \h </w:instrTex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73F04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t>9</w:t>
            </w:r>
            <w:r w:rsidR="007018EF" w:rsidRPr="007018EF">
              <w:rPr>
                <w:rFonts w:ascii="Times New Roman" w:hAnsi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2C7FE7" w14:textId="77777777" w:rsidR="007627C8" w:rsidRPr="00966580" w:rsidRDefault="007627C8" w:rsidP="007627C8">
          <w:pPr>
            <w:rPr>
              <w:sz w:val="20"/>
              <w:szCs w:val="20"/>
            </w:rPr>
          </w:pPr>
          <w:r w:rsidRPr="00966580">
            <w:rPr>
              <w:bCs/>
              <w:noProof/>
              <w:sz w:val="20"/>
              <w:szCs w:val="20"/>
            </w:rPr>
            <w:fldChar w:fldCharType="end"/>
          </w:r>
        </w:p>
      </w:sdtContent>
    </w:sdt>
    <w:p w14:paraId="1333A1A7" w14:textId="77777777" w:rsidR="007627C8" w:rsidRPr="00966580" w:rsidRDefault="007627C8" w:rsidP="007627C8">
      <w:pPr>
        <w:rPr>
          <w:sz w:val="20"/>
          <w:szCs w:val="20"/>
        </w:rPr>
      </w:pPr>
      <w:r w:rsidRPr="00966580">
        <w:rPr>
          <w:sz w:val="20"/>
          <w:szCs w:val="20"/>
        </w:rPr>
        <w:t xml:space="preserve"> </w:t>
      </w:r>
      <w:r w:rsidRPr="00966580">
        <w:rPr>
          <w:sz w:val="20"/>
          <w:szCs w:val="20"/>
        </w:rPr>
        <w:br w:type="page"/>
      </w:r>
    </w:p>
    <w:p w14:paraId="3ECD4A40" w14:textId="77777777" w:rsidR="007627C8" w:rsidRPr="00966580" w:rsidRDefault="007627C8" w:rsidP="007627C8">
      <w:pPr>
        <w:rPr>
          <w:sz w:val="20"/>
          <w:szCs w:val="20"/>
        </w:rPr>
        <w:sectPr w:rsidR="007627C8" w:rsidRPr="00966580" w:rsidSect="007627C8">
          <w:headerReference w:type="even" r:id="rId12"/>
          <w:footerReference w:type="even" r:id="rId13"/>
          <w:footerReference w:type="defaul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4A65722" w14:textId="77777777" w:rsidR="007627C8" w:rsidRPr="00A93A53" w:rsidRDefault="007627C8" w:rsidP="007627C8">
      <w:pPr>
        <w:pStyle w:val="ActHead8"/>
        <w:spacing w:before="120"/>
        <w:ind w:left="851" w:hanging="851"/>
        <w:outlineLvl w:val="1"/>
        <w:rPr>
          <w:rFonts w:ascii="Times New Roman" w:hAnsi="Times New Roman"/>
        </w:rPr>
      </w:pPr>
      <w:bookmarkStart w:id="2" w:name="_Toc504991622"/>
      <w:r w:rsidRPr="00A93A53">
        <w:rPr>
          <w:rStyle w:val="CharSectno"/>
          <w:rFonts w:ascii="Times New Roman" w:hAnsi="Times New Roman"/>
        </w:rPr>
        <w:lastRenderedPageBreak/>
        <w:t>1</w:t>
      </w:r>
      <w:r w:rsidRPr="00A93A53">
        <w:rPr>
          <w:rFonts w:ascii="Times New Roman" w:hAnsi="Times New Roman"/>
        </w:rPr>
        <w:tab/>
        <w:t>Name</w:t>
      </w:r>
      <w:bookmarkEnd w:id="2"/>
    </w:p>
    <w:p w14:paraId="5C69A40B" w14:textId="77777777" w:rsidR="007627C8" w:rsidRPr="00A93A53" w:rsidRDefault="007627C8" w:rsidP="007627C8">
      <w:pPr>
        <w:pStyle w:val="subsection"/>
        <w:ind w:left="851" w:hanging="851"/>
      </w:pPr>
      <w:r w:rsidRPr="00A93A53">
        <w:tab/>
      </w:r>
      <w:r w:rsidRPr="00A93A53">
        <w:tab/>
        <w:t xml:space="preserve">This instrument is the </w:t>
      </w:r>
      <w:bookmarkStart w:id="3" w:name="BKCheck15B_3"/>
      <w:bookmarkEnd w:id="3"/>
      <w:r w:rsidRPr="007627C8">
        <w:rPr>
          <w:i/>
        </w:rPr>
        <w:t xml:space="preserve">Autonomous Sanctions (Designated Persons and Entities and Declared Persons – Libya) </w:t>
      </w:r>
      <w:r w:rsidR="002A58DA">
        <w:rPr>
          <w:i/>
        </w:rPr>
        <w:t>Continuing Effect Declaration and Revocation</w:t>
      </w:r>
      <w:r w:rsidR="00792F36">
        <w:rPr>
          <w:i/>
        </w:rPr>
        <w:t xml:space="preserve"> Instrument</w:t>
      </w:r>
      <w:r w:rsidR="002A58DA">
        <w:rPr>
          <w:i/>
        </w:rPr>
        <w:t xml:space="preserve"> 2018.</w:t>
      </w:r>
    </w:p>
    <w:p w14:paraId="5BC71B07" w14:textId="77777777" w:rsidR="007627C8" w:rsidRPr="00A93A53" w:rsidRDefault="007627C8" w:rsidP="007627C8">
      <w:pPr>
        <w:pStyle w:val="ActHead8"/>
        <w:ind w:left="851" w:hanging="851"/>
        <w:outlineLvl w:val="1"/>
        <w:rPr>
          <w:rFonts w:ascii="Times New Roman" w:hAnsi="Times New Roman"/>
        </w:rPr>
      </w:pPr>
      <w:bookmarkStart w:id="4" w:name="_Toc504991623"/>
      <w:r w:rsidRPr="00A93A53">
        <w:rPr>
          <w:rStyle w:val="CharSectno"/>
          <w:rFonts w:ascii="Times New Roman" w:hAnsi="Times New Roman"/>
        </w:rPr>
        <w:t>2</w:t>
      </w:r>
      <w:r w:rsidRPr="00A93A53">
        <w:rPr>
          <w:rFonts w:ascii="Times New Roman" w:hAnsi="Times New Roman"/>
        </w:rPr>
        <w:tab/>
        <w:t>Commencement</w:t>
      </w:r>
      <w:bookmarkEnd w:id="4"/>
    </w:p>
    <w:p w14:paraId="0064BE01" w14:textId="77777777" w:rsidR="007627C8" w:rsidRDefault="007627C8" w:rsidP="007627C8">
      <w:pPr>
        <w:pStyle w:val="subsection"/>
        <w:ind w:left="851" w:hanging="851"/>
      </w:pPr>
      <w:r w:rsidRPr="00A93A53">
        <w:tab/>
      </w:r>
      <w:r w:rsidRPr="00A93A53">
        <w:tab/>
        <w:t>This instrument commences on the day after it is registered.</w:t>
      </w:r>
    </w:p>
    <w:p w14:paraId="33D9D367" w14:textId="77777777" w:rsidR="007627C8" w:rsidRPr="00A93A53" w:rsidRDefault="007627C8" w:rsidP="007627C8">
      <w:pPr>
        <w:pStyle w:val="ActHead8"/>
        <w:ind w:left="851" w:hanging="851"/>
        <w:outlineLvl w:val="1"/>
        <w:rPr>
          <w:rFonts w:ascii="Times New Roman" w:hAnsi="Times New Roman"/>
        </w:rPr>
      </w:pPr>
      <w:bookmarkStart w:id="5" w:name="_Toc504991624"/>
      <w:r>
        <w:rPr>
          <w:rStyle w:val="CharSectno"/>
          <w:rFonts w:ascii="Times New Roman" w:hAnsi="Times New Roman"/>
        </w:rPr>
        <w:t>3</w:t>
      </w:r>
      <w:r w:rsidRPr="00A93A53">
        <w:rPr>
          <w:rFonts w:ascii="Times New Roman" w:hAnsi="Times New Roman"/>
        </w:rPr>
        <w:tab/>
      </w:r>
      <w:r>
        <w:rPr>
          <w:rFonts w:ascii="Times New Roman" w:hAnsi="Times New Roman"/>
        </w:rPr>
        <w:t>Authority</w:t>
      </w:r>
      <w:bookmarkEnd w:id="5"/>
      <w:r>
        <w:rPr>
          <w:rFonts w:ascii="Times New Roman" w:hAnsi="Times New Roman"/>
        </w:rPr>
        <w:t xml:space="preserve"> </w:t>
      </w:r>
    </w:p>
    <w:p w14:paraId="468FE23F" w14:textId="77777777" w:rsidR="007627C8" w:rsidRPr="00604A62" w:rsidRDefault="007627C8" w:rsidP="007627C8">
      <w:pPr>
        <w:pStyle w:val="subsection"/>
        <w:ind w:left="851" w:hanging="851"/>
      </w:pPr>
      <w:r>
        <w:tab/>
        <w:t>This instrument is made under subregulation</w:t>
      </w:r>
      <w:r w:rsidR="002A58DA">
        <w:t>s</w:t>
      </w:r>
      <w:r>
        <w:t xml:space="preserve"> 9(3) </w:t>
      </w:r>
      <w:r w:rsidR="002A58DA">
        <w:t xml:space="preserve">and 10(1) </w:t>
      </w:r>
      <w:r>
        <w:t xml:space="preserve">of the </w:t>
      </w:r>
      <w:r>
        <w:rPr>
          <w:i/>
        </w:rPr>
        <w:t>Autonomous Sanctions Regulations 2011</w:t>
      </w:r>
      <w:r>
        <w:t xml:space="preserve">. </w:t>
      </w:r>
    </w:p>
    <w:p w14:paraId="18E76C39" w14:textId="77777777" w:rsidR="007627C8" w:rsidRPr="00A93A53" w:rsidRDefault="007627C8" w:rsidP="007627C8">
      <w:pPr>
        <w:pStyle w:val="ActHead8"/>
        <w:ind w:left="851" w:hanging="851"/>
        <w:outlineLvl w:val="1"/>
        <w:rPr>
          <w:rFonts w:ascii="Times New Roman" w:hAnsi="Times New Roman"/>
          <w:i/>
        </w:rPr>
      </w:pPr>
      <w:bookmarkStart w:id="6" w:name="_Toc504991625"/>
      <w:r>
        <w:rPr>
          <w:rStyle w:val="CharSectno"/>
          <w:rFonts w:ascii="Times New Roman" w:hAnsi="Times New Roman"/>
        </w:rPr>
        <w:t>4</w:t>
      </w:r>
      <w:r w:rsidRPr="00A93A53">
        <w:rPr>
          <w:rFonts w:ascii="Times New Roman" w:hAnsi="Times New Roman"/>
        </w:rPr>
        <w:tab/>
        <w:t>Designations and declarations to continue to have effect</w:t>
      </w:r>
      <w:bookmarkEnd w:id="6"/>
      <w:r w:rsidRPr="00A93A53">
        <w:rPr>
          <w:rFonts w:ascii="Times New Roman" w:hAnsi="Times New Roman"/>
        </w:rPr>
        <w:t xml:space="preserve"> </w:t>
      </w:r>
    </w:p>
    <w:p w14:paraId="012F7850" w14:textId="77777777" w:rsidR="007627C8" w:rsidRPr="007B059A" w:rsidRDefault="007627C8" w:rsidP="00387EA2">
      <w:pPr>
        <w:pStyle w:val="subsection"/>
        <w:ind w:left="851" w:hanging="851"/>
      </w:pPr>
      <w:r w:rsidRPr="00A93A53">
        <w:tab/>
      </w:r>
      <w:r w:rsidRPr="00A93A53">
        <w:tab/>
        <w:t xml:space="preserve">For </w:t>
      </w:r>
      <w:r>
        <w:t>sub</w:t>
      </w:r>
      <w:r w:rsidRPr="00A93A53">
        <w:t>regulation 9</w:t>
      </w:r>
      <w:r>
        <w:t>(3)</w:t>
      </w:r>
      <w:r w:rsidRPr="00A93A53">
        <w:t xml:space="preserve"> of the </w:t>
      </w:r>
      <w:r w:rsidRPr="00A93A53">
        <w:rPr>
          <w:i/>
        </w:rPr>
        <w:t>Autonomous Sanctions Regulations 2011</w:t>
      </w:r>
      <w:r w:rsidRPr="00A93A53">
        <w:t xml:space="preserve">, each of the persons listed in Schedule 1 is </w:t>
      </w:r>
      <w:r w:rsidR="00C413CB" w:rsidRPr="00C413CB">
        <w:t xml:space="preserve">a person who the Minister is satisfied </w:t>
      </w:r>
      <w:r w:rsidR="00B74FD7">
        <w:t xml:space="preserve">(a) </w:t>
      </w:r>
      <w:r w:rsidR="00C413CB" w:rsidRPr="00C413CB">
        <w:t>was a close associate of the former Qadhafi regime</w:t>
      </w:r>
      <w:r w:rsidR="00B74FD7">
        <w:t xml:space="preserve">; and/or (b) </w:t>
      </w:r>
      <w:r w:rsidR="00C413CB" w:rsidRPr="00C413CB">
        <w:t>has assisted, or is ass</w:t>
      </w:r>
      <w:r w:rsidR="00B74FD7">
        <w:t>isting, in the violation of</w:t>
      </w:r>
      <w:r w:rsidR="00C413CB" w:rsidRPr="00C413CB">
        <w:t xml:space="preserve"> Resolution 1970 or 1973 of the U</w:t>
      </w:r>
      <w:r w:rsidR="00B74FD7">
        <w:t xml:space="preserve">nited Nations Security Council </w:t>
      </w:r>
      <w:r w:rsidR="00C413CB" w:rsidRPr="00C413CB">
        <w:t xml:space="preserve">or a subsequent resolution relevant to a resolution </w:t>
      </w:r>
      <w:r w:rsidR="00B74FD7">
        <w:t xml:space="preserve">mentioned above; and/or (c) is </w:t>
      </w:r>
      <w:r w:rsidR="00C413CB" w:rsidRPr="00C413CB">
        <w:t xml:space="preserve">an immediate family member of a person </w:t>
      </w:r>
      <w:r w:rsidR="00905639">
        <w:t xml:space="preserve">mentioned in </w:t>
      </w:r>
      <w:r w:rsidR="00B74FD7">
        <w:t>one or more of the two criteria set out above.</w:t>
      </w:r>
      <w:r w:rsidR="00387EA2">
        <w:t xml:space="preserve"> </w:t>
      </w:r>
      <w:r w:rsidR="007B059A">
        <w:t xml:space="preserve">Each person’s designation as a designated person and declaration as a declared person in Schedule 1, Part 1 of the </w:t>
      </w:r>
      <w:r w:rsidR="007B059A" w:rsidRPr="007B059A">
        <w:rPr>
          <w:i/>
        </w:rPr>
        <w:t>Autonomous Sanctions (Designated Persons and Entities and Declared Persons - Libya) List 2012</w:t>
      </w:r>
      <w:r w:rsidR="007B059A">
        <w:t xml:space="preserve"> is declared to continue to have effect.</w:t>
      </w:r>
    </w:p>
    <w:p w14:paraId="152751FB" w14:textId="77777777" w:rsidR="007627C8" w:rsidRPr="00A93A53" w:rsidRDefault="007627C8" w:rsidP="007627C8">
      <w:pPr>
        <w:pStyle w:val="ActHead8"/>
        <w:ind w:left="851" w:hanging="851"/>
        <w:outlineLvl w:val="1"/>
        <w:rPr>
          <w:rFonts w:ascii="Times New Roman" w:hAnsi="Times New Roman"/>
          <w:i/>
        </w:rPr>
      </w:pPr>
      <w:bookmarkStart w:id="7" w:name="_Toc504991626"/>
      <w:r>
        <w:rPr>
          <w:rStyle w:val="CharSectno"/>
          <w:rFonts w:ascii="Times New Roman" w:hAnsi="Times New Roman"/>
        </w:rPr>
        <w:t>5</w:t>
      </w:r>
      <w:r w:rsidRPr="00A93A53">
        <w:rPr>
          <w:rFonts w:ascii="Times New Roman" w:hAnsi="Times New Roman"/>
        </w:rPr>
        <w:tab/>
        <w:t>Designations to continue to have effect</w:t>
      </w:r>
      <w:bookmarkEnd w:id="7"/>
      <w:r w:rsidRPr="00A93A53">
        <w:rPr>
          <w:rFonts w:ascii="Times New Roman" w:hAnsi="Times New Roman"/>
        </w:rPr>
        <w:t xml:space="preserve"> </w:t>
      </w:r>
    </w:p>
    <w:p w14:paraId="2080D783" w14:textId="77777777" w:rsidR="007B059A" w:rsidRPr="007B059A" w:rsidRDefault="007627C8" w:rsidP="007B059A">
      <w:pPr>
        <w:pStyle w:val="subsection"/>
        <w:ind w:left="851" w:hanging="851"/>
      </w:pPr>
      <w:r w:rsidRPr="00A93A53">
        <w:tab/>
      </w:r>
      <w:r w:rsidRPr="00A93A53">
        <w:tab/>
        <w:t xml:space="preserve">For </w:t>
      </w:r>
      <w:r>
        <w:t>sub</w:t>
      </w:r>
      <w:r w:rsidRPr="00A93A53">
        <w:t>regulation 9</w:t>
      </w:r>
      <w:r>
        <w:t>(3)</w:t>
      </w:r>
      <w:r w:rsidRPr="00A93A53">
        <w:t xml:space="preserve"> of the </w:t>
      </w:r>
      <w:r w:rsidRPr="00A93A53">
        <w:rPr>
          <w:i/>
        </w:rPr>
        <w:t>Autonomous Sanctions Regulations 2011</w:t>
      </w:r>
      <w:r w:rsidRPr="00A93A53">
        <w:t xml:space="preserve">, each of the entities listed in Schedule 2 is </w:t>
      </w:r>
      <w:r w:rsidR="00C413CB" w:rsidRPr="00C413CB">
        <w:t xml:space="preserve">an entity that the Minister is satisfied is under the control of one or more members of Muammar Qadhafi’s family; </w:t>
      </w:r>
      <w:r w:rsidR="00B74FD7">
        <w:t xml:space="preserve">and/or </w:t>
      </w:r>
      <w:r w:rsidR="00C413CB" w:rsidRPr="00C413CB">
        <w:t>has assisted, or is assi</w:t>
      </w:r>
      <w:r w:rsidR="00B74FD7">
        <w:t xml:space="preserve">sting, in the violation of </w:t>
      </w:r>
      <w:r w:rsidR="00C413CB" w:rsidRPr="00C413CB">
        <w:t>Resolution 1970 or 1973 of the Unit</w:t>
      </w:r>
      <w:r w:rsidR="00B74FD7">
        <w:t xml:space="preserve">ed Nations Security Council or </w:t>
      </w:r>
      <w:r w:rsidR="00C413CB" w:rsidRPr="00C413CB">
        <w:t xml:space="preserve">a subsequent resolution relevant to a resolution mentioned </w:t>
      </w:r>
      <w:r w:rsidR="00B74FD7">
        <w:t>above.</w:t>
      </w:r>
      <w:r w:rsidR="007B059A">
        <w:t xml:space="preserve"> Each entity’s designation as a designated entity in Schedule 1, Part 2 of the </w:t>
      </w:r>
      <w:r w:rsidR="007B059A" w:rsidRPr="007B059A">
        <w:rPr>
          <w:i/>
        </w:rPr>
        <w:t>Autonomous Sanctions (Designated Persons and Entities and Declared Persons - Libya) List 2012</w:t>
      </w:r>
      <w:r w:rsidR="007B059A">
        <w:t xml:space="preserve"> is declared to continue to have effect.</w:t>
      </w:r>
    </w:p>
    <w:p w14:paraId="09D88CF4" w14:textId="77777777" w:rsidR="00BD4F95" w:rsidRPr="00A93A53" w:rsidRDefault="00BD4F95" w:rsidP="00BD4F95">
      <w:pPr>
        <w:pStyle w:val="ActHead8"/>
        <w:ind w:left="851" w:hanging="851"/>
        <w:outlineLvl w:val="1"/>
        <w:rPr>
          <w:rFonts w:ascii="Times New Roman" w:hAnsi="Times New Roman"/>
        </w:rPr>
      </w:pPr>
      <w:bookmarkStart w:id="8" w:name="_Toc504991627"/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ab/>
        <w:t>Revocation</w:t>
      </w:r>
      <w:r w:rsidR="00B611E7">
        <w:rPr>
          <w:rFonts w:ascii="Times New Roman" w:hAnsi="Times New Roman"/>
        </w:rPr>
        <w:t xml:space="preserve"> of designation</w:t>
      </w:r>
      <w:r w:rsidRPr="00A93A53">
        <w:rPr>
          <w:rFonts w:ascii="Times New Roman" w:hAnsi="Times New Roman"/>
        </w:rPr>
        <w:t xml:space="preserve"> and declaration</w:t>
      </w:r>
      <w:bookmarkEnd w:id="8"/>
    </w:p>
    <w:p w14:paraId="53A42BFE" w14:textId="77777777" w:rsidR="00BD4F95" w:rsidRPr="00A93A53" w:rsidRDefault="00BD4F95" w:rsidP="00BD4F95">
      <w:pPr>
        <w:pStyle w:val="subsection"/>
        <w:ind w:left="851" w:hanging="851"/>
      </w:pPr>
      <w:r w:rsidRPr="00A93A53">
        <w:tab/>
      </w:r>
      <w:r>
        <w:t xml:space="preserve">For subregulation 10(1) of the </w:t>
      </w:r>
      <w:r>
        <w:rPr>
          <w:i/>
        </w:rPr>
        <w:t xml:space="preserve">Autonomous Sanctions Regulations 2011, </w:t>
      </w:r>
      <w:r>
        <w:t>the designation and declaration of the person</w:t>
      </w:r>
      <w:r w:rsidR="008A4311">
        <w:t xml:space="preserve"> </w:t>
      </w:r>
      <w:r>
        <w:t xml:space="preserve">mentioned in Schedule 3 is revoked. </w:t>
      </w:r>
    </w:p>
    <w:p w14:paraId="5C388C12" w14:textId="77777777" w:rsidR="00B363EE" w:rsidRDefault="00B363EE">
      <w:pPr>
        <w:rPr>
          <w:rStyle w:val="CharSectno"/>
          <w:b/>
          <w:kern w:val="28"/>
          <w:sz w:val="26"/>
          <w:szCs w:val="20"/>
        </w:rPr>
      </w:pPr>
      <w:r>
        <w:rPr>
          <w:rStyle w:val="CharSectno"/>
        </w:rPr>
        <w:br w:type="page"/>
      </w:r>
    </w:p>
    <w:p w14:paraId="00627A24" w14:textId="77777777" w:rsidR="007627C8" w:rsidRDefault="00BD4F95" w:rsidP="00051B72">
      <w:pPr>
        <w:pStyle w:val="ActHead8"/>
        <w:ind w:left="851" w:hanging="851"/>
        <w:outlineLvl w:val="1"/>
        <w:rPr>
          <w:rFonts w:ascii="Times New Roman" w:hAnsi="Times New Roman"/>
          <w:i/>
        </w:rPr>
      </w:pPr>
      <w:bookmarkStart w:id="9" w:name="_Toc504991628"/>
      <w:r>
        <w:rPr>
          <w:rStyle w:val="CharSectno"/>
          <w:rFonts w:ascii="Times New Roman" w:hAnsi="Times New Roman"/>
        </w:rPr>
        <w:lastRenderedPageBreak/>
        <w:t>7</w:t>
      </w:r>
      <w:r w:rsidR="007627C8" w:rsidRPr="00A93A53">
        <w:rPr>
          <w:rFonts w:ascii="Times New Roman" w:hAnsi="Times New Roman"/>
        </w:rPr>
        <w:tab/>
        <w:t xml:space="preserve">Amendment of the </w:t>
      </w:r>
      <w:r w:rsidR="00051B72" w:rsidRPr="00051B72">
        <w:rPr>
          <w:rFonts w:ascii="Times New Roman" w:hAnsi="Times New Roman"/>
          <w:i/>
        </w:rPr>
        <w:t>Autonomous Sanctions (Designated Persons and</w:t>
      </w:r>
      <w:r w:rsidR="00051B72">
        <w:rPr>
          <w:rFonts w:ascii="Times New Roman" w:hAnsi="Times New Roman"/>
          <w:i/>
        </w:rPr>
        <w:t xml:space="preserve"> Entities and Declared Persons –</w:t>
      </w:r>
      <w:r w:rsidR="00051B72" w:rsidRPr="00051B72">
        <w:rPr>
          <w:rFonts w:ascii="Times New Roman" w:hAnsi="Times New Roman"/>
          <w:i/>
        </w:rPr>
        <w:t xml:space="preserve"> Libya) List 2012</w:t>
      </w:r>
      <w:bookmarkEnd w:id="9"/>
    </w:p>
    <w:p w14:paraId="5CF46442" w14:textId="77777777" w:rsidR="007B059A" w:rsidRPr="007B059A" w:rsidRDefault="007B059A" w:rsidP="007B059A"/>
    <w:p w14:paraId="26B72620" w14:textId="77777777" w:rsidR="007627C8" w:rsidRPr="00BD4F95" w:rsidRDefault="00BD4F95" w:rsidP="007627C8">
      <w:pPr>
        <w:ind w:left="851" w:hanging="851"/>
        <w:rPr>
          <w:i/>
          <w:sz w:val="22"/>
          <w:szCs w:val="22"/>
        </w:rPr>
      </w:pPr>
      <w:r>
        <w:rPr>
          <w:sz w:val="22"/>
          <w:szCs w:val="22"/>
        </w:rPr>
        <w:tab/>
        <w:t>Schedule 4</w:t>
      </w:r>
      <w:r w:rsidR="007627C8" w:rsidRPr="00BD4F95">
        <w:rPr>
          <w:sz w:val="22"/>
          <w:szCs w:val="22"/>
        </w:rPr>
        <w:t xml:space="preserve"> amends the </w:t>
      </w:r>
      <w:r w:rsidR="00303EB4" w:rsidRPr="00BD4F95">
        <w:rPr>
          <w:i/>
          <w:sz w:val="22"/>
          <w:szCs w:val="22"/>
        </w:rPr>
        <w:t xml:space="preserve">Autonomous Sanctions (Designated Persons and Entities and Declared Persons </w:t>
      </w:r>
      <w:r w:rsidR="00051B72" w:rsidRPr="00BD4F95">
        <w:rPr>
          <w:i/>
          <w:sz w:val="22"/>
          <w:szCs w:val="22"/>
        </w:rPr>
        <w:t xml:space="preserve">– </w:t>
      </w:r>
      <w:r w:rsidR="00303EB4" w:rsidRPr="00BD4F95">
        <w:rPr>
          <w:i/>
          <w:sz w:val="22"/>
          <w:szCs w:val="22"/>
        </w:rPr>
        <w:t>Libya) List 2012</w:t>
      </w:r>
      <w:r w:rsidR="007627C8" w:rsidRPr="00BD4F95">
        <w:rPr>
          <w:i/>
          <w:sz w:val="22"/>
          <w:szCs w:val="22"/>
        </w:rPr>
        <w:t xml:space="preserve">. </w:t>
      </w:r>
    </w:p>
    <w:p w14:paraId="5B3E5BEF" w14:textId="77777777" w:rsidR="007627C8" w:rsidRDefault="007627C8" w:rsidP="007627C8">
      <w:pPr>
        <w:pStyle w:val="subsection"/>
        <w:ind w:left="0" w:firstLine="0"/>
      </w:pPr>
      <w:r w:rsidRPr="00A93A53">
        <w:t xml:space="preserve">Note: Subregulation 9(1) and 9(2) of the </w:t>
      </w:r>
      <w:r w:rsidRPr="00A93A53">
        <w:rPr>
          <w:i/>
        </w:rPr>
        <w:t xml:space="preserve">Autonomous Sanctions Regulations 2011 </w:t>
      </w:r>
      <w:r>
        <w:t xml:space="preserve">(the Regulations) </w:t>
      </w:r>
      <w:r w:rsidRPr="00A93A53">
        <w:t>provide that de</w:t>
      </w:r>
      <w:r>
        <w:t>signations under paragraph 6(1)</w:t>
      </w:r>
      <w:r w:rsidRPr="00A93A53">
        <w:t xml:space="preserve">(a) of the Regulations and declarations under paragraph 6(1)(b) of the Regulations cease to have effect on the </w:t>
      </w:r>
      <w:r>
        <w:t xml:space="preserve">third </w:t>
      </w:r>
      <w:r w:rsidRPr="00A93A53">
        <w:t xml:space="preserve">anniversary of the day on which the designation or declaration took effect </w:t>
      </w:r>
      <w:r>
        <w:t xml:space="preserve">(if no declaration under subregulation 9(3) has been made in relation to the designation or declaration) </w:t>
      </w:r>
      <w:r w:rsidRPr="00A93A53">
        <w:t>or</w:t>
      </w:r>
      <w:r>
        <w:t>, otherwise,</w:t>
      </w:r>
      <w:r w:rsidRPr="00A93A53">
        <w:t xml:space="preserve"> the third anniversary of the making of the most recent declaration in relation to the designation or declaration. </w:t>
      </w:r>
    </w:p>
    <w:p w14:paraId="0259D684" w14:textId="77777777" w:rsidR="007627C8" w:rsidRDefault="007627C8">
      <w:r>
        <w:br w:type="page"/>
      </w:r>
    </w:p>
    <w:p w14:paraId="4B872EA4" w14:textId="77777777" w:rsidR="007627C8" w:rsidRDefault="007627C8" w:rsidP="007627C8">
      <w:pPr>
        <w:pStyle w:val="subsection"/>
        <w:ind w:left="0" w:firstLine="0"/>
      </w:pPr>
    </w:p>
    <w:p w14:paraId="1C151543" w14:textId="77777777" w:rsidR="007627C8" w:rsidRPr="00BD4F95" w:rsidRDefault="007627C8" w:rsidP="007627C8">
      <w:pPr>
        <w:pStyle w:val="ActHead6"/>
        <w:ind w:left="2160" w:hanging="2160"/>
        <w:outlineLvl w:val="1"/>
        <w:rPr>
          <w:rFonts w:ascii="Times New Roman" w:hAnsi="Times New Roman"/>
        </w:rPr>
      </w:pPr>
      <w:bookmarkStart w:id="10" w:name="_Toc504991629"/>
      <w:r w:rsidRPr="00BD4F95">
        <w:rPr>
          <w:rStyle w:val="CharAmSchNo"/>
          <w:rFonts w:ascii="Times New Roman" w:hAnsi="Times New Roman"/>
        </w:rPr>
        <w:t>Schedule 1</w:t>
      </w:r>
      <w:r w:rsidRPr="00BD4F95">
        <w:rPr>
          <w:rFonts w:ascii="Times New Roman" w:hAnsi="Times New Roman"/>
        </w:rPr>
        <w:tab/>
      </w:r>
      <w:r w:rsidRPr="00BD4F95">
        <w:rPr>
          <w:rStyle w:val="CharAmSchText"/>
          <w:rFonts w:ascii="Times New Roman" w:hAnsi="Times New Roman"/>
        </w:rPr>
        <w:t>Designations and declarations declared to continue to have effect</w:t>
      </w:r>
      <w:bookmarkEnd w:id="10"/>
      <w:r w:rsidRPr="00BD4F95">
        <w:rPr>
          <w:rStyle w:val="CharAmSchText"/>
          <w:rFonts w:ascii="Times New Roman" w:hAnsi="Times New Roman"/>
        </w:rPr>
        <w:t xml:space="preserve"> </w:t>
      </w:r>
    </w:p>
    <w:p w14:paraId="6FDD60FC" w14:textId="77777777" w:rsidR="007627C8" w:rsidRPr="00BD4F95" w:rsidRDefault="007627C8" w:rsidP="007627C8">
      <w:pPr>
        <w:pStyle w:val="Schedulepart"/>
        <w:spacing w:before="120"/>
        <w:ind w:left="0" w:firstLine="0"/>
        <w:contextualSpacing/>
        <w:rPr>
          <w:rStyle w:val="CharSchPTNo"/>
          <w:rFonts w:ascii="Times New Roman" w:hAnsi="Times New Roman"/>
          <w:sz w:val="32"/>
        </w:rPr>
      </w:pPr>
      <w:r w:rsidRPr="00BD4F95">
        <w:rPr>
          <w:rStyle w:val="CharPartText"/>
          <w:rFonts w:ascii="Times New Roman" w:hAnsi="Times New Roman"/>
        </w:rPr>
        <w:t>Designated and declared persons</w:t>
      </w:r>
      <w:r w:rsidRPr="00BD4F95">
        <w:rPr>
          <w:rStyle w:val="CharSchPTNo"/>
          <w:rFonts w:ascii="Times New Roman" w:hAnsi="Times New Roman"/>
        </w:rPr>
        <w:t xml:space="preserve"> </w:t>
      </w:r>
    </w:p>
    <w:p w14:paraId="1ADEA5DA" w14:textId="77777777" w:rsidR="00F4713A" w:rsidRPr="00BD4F95" w:rsidRDefault="00F4713A" w:rsidP="00F4713A">
      <w:pPr>
        <w:pStyle w:val="A2S"/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762"/>
        <w:gridCol w:w="2552"/>
        <w:gridCol w:w="5441"/>
      </w:tblGrid>
      <w:tr w:rsidR="00933FBA" w:rsidRPr="00BD4F95" w14:paraId="38DE1CFC" w14:textId="77777777" w:rsidTr="00F54A56">
        <w:trPr>
          <w:trHeight w:val="20"/>
        </w:trPr>
        <w:tc>
          <w:tcPr>
            <w:tcW w:w="762" w:type="dxa"/>
            <w:tcBorders>
              <w:bottom w:val="single" w:sz="4" w:space="0" w:color="auto"/>
            </w:tcBorders>
          </w:tcPr>
          <w:p w14:paraId="6A8D4AE0" w14:textId="77777777" w:rsidR="00933FBA" w:rsidRPr="00BD4F95" w:rsidRDefault="00933FBA" w:rsidP="00F54A56">
            <w:pPr>
              <w:pStyle w:val="TableText"/>
              <w:spacing w:before="0" w:after="0"/>
              <w:rPr>
                <w:b/>
                <w:szCs w:val="22"/>
              </w:rPr>
            </w:pPr>
            <w:r w:rsidRPr="00BD4F95">
              <w:rPr>
                <w:b/>
                <w:szCs w:val="22"/>
              </w:rPr>
              <w:t>Item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7E536F" w14:textId="77777777" w:rsidR="00933FBA" w:rsidRPr="00BD4F95" w:rsidRDefault="00F454F2" w:rsidP="00F54A56">
            <w:pPr>
              <w:pStyle w:val="TableText"/>
              <w:spacing w:before="0" w:after="0"/>
              <w:rPr>
                <w:b/>
                <w:szCs w:val="22"/>
              </w:rPr>
            </w:pPr>
            <w:r w:rsidRPr="00BD4F95">
              <w:rPr>
                <w:b/>
                <w:szCs w:val="22"/>
              </w:rPr>
              <w:t>Description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14:paraId="0E539DEC" w14:textId="77777777" w:rsidR="00933FBA" w:rsidRPr="00BD4F95" w:rsidRDefault="00933FBA" w:rsidP="00F54A56">
            <w:pPr>
              <w:pStyle w:val="TableText"/>
              <w:spacing w:before="0" w:after="0"/>
              <w:rPr>
                <w:b/>
                <w:szCs w:val="22"/>
              </w:rPr>
            </w:pPr>
          </w:p>
        </w:tc>
      </w:tr>
      <w:tr w:rsidR="00F54A56" w:rsidRPr="00BD4F95" w14:paraId="51328F70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C0AB681" w14:textId="77777777" w:rsidR="00F54A56" w:rsidRPr="00BD4F95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084D3B" w14:textId="77777777" w:rsidR="00F54A56" w:rsidRPr="00BD4F95" w:rsidRDefault="00F54A56" w:rsidP="00F54A56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878629" w14:textId="77777777" w:rsidR="00F54A56" w:rsidRPr="00BD4F95" w:rsidRDefault="00F54A56" w:rsidP="00F54A56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Abdallah MANSOUR</w:t>
            </w:r>
          </w:p>
        </w:tc>
      </w:tr>
      <w:tr w:rsidR="00F54A56" w:rsidRPr="005C0EBD" w14:paraId="388E3528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BB5A38A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224FB588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6F3F86C" w14:textId="77777777" w:rsidR="00F54A56" w:rsidRPr="005C0EBD" w:rsidRDefault="007B059A" w:rsidP="00F54A5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Senior role in security servic</w:t>
            </w:r>
            <w:r w:rsidR="00F54A56" w:rsidRPr="005C0EBD">
              <w:rPr>
                <w:noProof/>
                <w:color w:val="000000"/>
                <w:sz w:val="22"/>
                <w:szCs w:val="22"/>
              </w:rPr>
              <w:t>es and former Director of Radio and Television</w:t>
            </w:r>
            <w:r w:rsidR="005C0EBD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F54A56" w:rsidRPr="005C0EBD" w14:paraId="5FED6B19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29A04EA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29BB667E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1557AF51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2011LBY0029</w:t>
            </w:r>
          </w:p>
        </w:tc>
      </w:tr>
      <w:tr w:rsidR="00F54A56" w:rsidRPr="005C0EBD" w14:paraId="39312B31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2329286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92BDC7F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02B6C85C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806DD6" w14:paraId="22439FE7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E52D25E" w14:textId="77777777" w:rsidR="00F54A56" w:rsidRPr="00806DD6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  <w:r w:rsidRPr="00806D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A5D2947" w14:textId="77777777" w:rsidR="00F54A56" w:rsidRPr="00806DD6" w:rsidRDefault="00F54A56" w:rsidP="00F54A56">
            <w:pPr>
              <w:rPr>
                <w:color w:val="000000"/>
                <w:sz w:val="22"/>
                <w:szCs w:val="22"/>
              </w:rPr>
            </w:pPr>
            <w:r w:rsidRPr="00806DD6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3056D6C" w14:textId="77777777" w:rsidR="00F54A56" w:rsidRPr="00806DD6" w:rsidRDefault="00F54A56" w:rsidP="00852B8F">
            <w:pPr>
              <w:rPr>
                <w:color w:val="000000"/>
                <w:sz w:val="22"/>
                <w:szCs w:val="22"/>
              </w:rPr>
            </w:pPr>
            <w:r w:rsidRPr="00806DD6">
              <w:rPr>
                <w:noProof/>
                <w:color w:val="000000"/>
                <w:sz w:val="22"/>
                <w:szCs w:val="22"/>
              </w:rPr>
              <w:t>Abdelha</w:t>
            </w:r>
            <w:r w:rsidR="00852B8F">
              <w:rPr>
                <w:noProof/>
                <w:color w:val="000000"/>
                <w:sz w:val="22"/>
                <w:szCs w:val="22"/>
              </w:rPr>
              <w:t>f</w:t>
            </w:r>
            <w:r w:rsidRPr="00806DD6">
              <w:rPr>
                <w:noProof/>
                <w:color w:val="000000"/>
                <w:sz w:val="22"/>
                <w:szCs w:val="22"/>
              </w:rPr>
              <w:t>iz ZLITNI</w:t>
            </w:r>
          </w:p>
        </w:tc>
      </w:tr>
      <w:tr w:rsidR="00F54A56" w:rsidRPr="00806DD6" w14:paraId="2368DF96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75A2854" w14:textId="77777777" w:rsidR="00F54A56" w:rsidRPr="00806DD6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8C9D5F6" w14:textId="77777777" w:rsidR="00F54A56" w:rsidRPr="00806DD6" w:rsidRDefault="00F54A56" w:rsidP="00F54A56">
            <w:pPr>
              <w:rPr>
                <w:color w:val="000000"/>
                <w:sz w:val="22"/>
                <w:szCs w:val="22"/>
              </w:rPr>
            </w:pPr>
            <w:r w:rsidRPr="00806DD6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72222817" w14:textId="77777777" w:rsidR="00F54A56" w:rsidRPr="00806DD6" w:rsidRDefault="00F54A56" w:rsidP="00354719">
            <w:pPr>
              <w:rPr>
                <w:color w:val="000000"/>
                <w:sz w:val="22"/>
                <w:szCs w:val="22"/>
              </w:rPr>
            </w:pPr>
            <w:r w:rsidRPr="00806DD6">
              <w:rPr>
                <w:noProof/>
                <w:color w:val="000000"/>
                <w:sz w:val="22"/>
                <w:szCs w:val="22"/>
              </w:rPr>
              <w:t xml:space="preserve">Minister for Planning and Finance in </w:t>
            </w:r>
            <w:r w:rsidR="00354719">
              <w:rPr>
                <w:noProof/>
                <w:color w:val="000000"/>
                <w:sz w:val="22"/>
                <w:szCs w:val="22"/>
              </w:rPr>
              <w:t>Muammar</w:t>
            </w:r>
            <w:r w:rsidRPr="00806DD6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456D65" w:rsidRPr="00806DD6">
              <w:rPr>
                <w:noProof/>
                <w:color w:val="000000"/>
                <w:sz w:val="22"/>
                <w:szCs w:val="22"/>
              </w:rPr>
              <w:t>Qadhafi</w:t>
            </w:r>
            <w:r w:rsidRPr="00806DD6">
              <w:rPr>
                <w:noProof/>
                <w:color w:val="000000"/>
                <w:sz w:val="22"/>
                <w:szCs w:val="22"/>
              </w:rPr>
              <w:t>’s Government</w:t>
            </w:r>
            <w:r w:rsidR="005C0EBD" w:rsidRPr="00806DD6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F54A56" w:rsidRPr="005C0EBD" w14:paraId="7855D9CE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9564042" w14:textId="77777777" w:rsidR="00F54A56" w:rsidRPr="00806DD6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CEBD162" w14:textId="77777777" w:rsidR="00F54A56" w:rsidRPr="00806DD6" w:rsidRDefault="00F54A56" w:rsidP="00F54A56">
            <w:pPr>
              <w:rPr>
                <w:color w:val="000000"/>
                <w:sz w:val="22"/>
                <w:szCs w:val="22"/>
              </w:rPr>
            </w:pPr>
            <w:r w:rsidRPr="00806DD6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DCC794B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806DD6">
              <w:rPr>
                <w:noProof/>
                <w:color w:val="000000"/>
                <w:sz w:val="22"/>
                <w:szCs w:val="22"/>
              </w:rPr>
              <w:t>Formerly listed on the RBA Consolidated List as 2011LBY0034</w:t>
            </w:r>
          </w:p>
        </w:tc>
      </w:tr>
      <w:tr w:rsidR="00F54A56" w:rsidRPr="005C0EBD" w14:paraId="29E2EFF4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091B072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02ABB96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426B4FD8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33977313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21C3F5B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0B74620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209F8B7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Abdelkebir Mohamad FAKHIRI</w:t>
            </w:r>
          </w:p>
        </w:tc>
      </w:tr>
      <w:tr w:rsidR="00F54A56" w:rsidRPr="005C0EBD" w14:paraId="752456DA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4267DA3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3AEB8F8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0FAEB5E" w14:textId="77777777" w:rsidR="00F54A56" w:rsidRPr="005C0EBD" w:rsidRDefault="00F54A56" w:rsidP="00354719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Minister for Education, Higher Education and Research in </w:t>
            </w:r>
            <w:r w:rsidR="00354719">
              <w:rPr>
                <w:noProof/>
                <w:color w:val="000000"/>
                <w:sz w:val="22"/>
                <w:szCs w:val="22"/>
              </w:rPr>
              <w:t>Muammar</w:t>
            </w:r>
            <w:r w:rsidRPr="005C0EBD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456D65">
              <w:rPr>
                <w:noProof/>
                <w:color w:val="000000"/>
                <w:sz w:val="22"/>
                <w:szCs w:val="22"/>
              </w:rPr>
              <w:t>Qadhafi</w:t>
            </w:r>
            <w:r w:rsidRPr="005C0EBD">
              <w:rPr>
                <w:noProof/>
                <w:color w:val="000000"/>
                <w:sz w:val="22"/>
                <w:szCs w:val="22"/>
              </w:rPr>
              <w:t>’s Government</w:t>
            </w:r>
            <w:r w:rsidR="005C0EBD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F54A56" w:rsidRPr="005C0EBD" w14:paraId="1B1F55E3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E24E402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384BC91D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E6F33B4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2011LBY0024</w:t>
            </w:r>
          </w:p>
        </w:tc>
      </w:tr>
      <w:tr w:rsidR="00F54A56" w:rsidRPr="005C0EBD" w14:paraId="4EA9EA77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C2EA29C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420F68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3F9EEAFE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6F5B3B41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794A90D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D263F0C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F4D9BB4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Abdelmajid AL-GAOUD</w:t>
            </w:r>
          </w:p>
        </w:tc>
      </w:tr>
      <w:tr w:rsidR="00F54A56" w:rsidRPr="005C0EBD" w14:paraId="4739FB1C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9FD17EA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D8B23AF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7DE4A279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Minister for Agriculture, Animal and Maritime Resources in Colonel </w:t>
            </w:r>
            <w:r w:rsidR="00456D65">
              <w:rPr>
                <w:noProof/>
                <w:color w:val="000000"/>
                <w:sz w:val="22"/>
                <w:szCs w:val="22"/>
              </w:rPr>
              <w:t>Qadhafi</w:t>
            </w:r>
            <w:r w:rsidRPr="005C0EBD">
              <w:rPr>
                <w:noProof/>
                <w:color w:val="000000"/>
                <w:sz w:val="22"/>
                <w:szCs w:val="22"/>
              </w:rPr>
              <w:t>’s Government</w:t>
            </w:r>
            <w:r w:rsidR="005C0EBD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F54A56" w:rsidRPr="005C0EBD" w14:paraId="33403449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6634474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945E377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9343775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2011LBY0021</w:t>
            </w:r>
          </w:p>
        </w:tc>
      </w:tr>
      <w:tr w:rsidR="00F54A56" w:rsidRPr="005C0EBD" w14:paraId="4421E555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1229183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63522E2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1F881F35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6D03CF8E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367C6BE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F405133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177D3C5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Abdulqader Yusef DIBRI</w:t>
            </w:r>
          </w:p>
        </w:tc>
      </w:tr>
      <w:tr w:rsidR="00F54A56" w:rsidRPr="005C0EBD" w14:paraId="62A542A9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63E741F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4F9A01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577FF34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1946</w:t>
            </w:r>
          </w:p>
        </w:tc>
      </w:tr>
      <w:tr w:rsidR="00F54A56" w:rsidRPr="005C0EBD" w14:paraId="15FFEF7B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8FB32FF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7E0462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51F097E4" w14:textId="77777777" w:rsidR="00F54A56" w:rsidRPr="005C0EBD" w:rsidRDefault="00354719" w:rsidP="00F54A5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Houn, Libya</w:t>
            </w:r>
          </w:p>
        </w:tc>
      </w:tr>
      <w:tr w:rsidR="00F54A56" w:rsidRPr="005C0EBD" w14:paraId="52A93929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692F982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F7AB011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0C14CB9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Head of Muammar Qadhafi’s personal security. Responsibility for regime security. History of directing violence against dissidents.</w:t>
            </w:r>
          </w:p>
        </w:tc>
      </w:tr>
      <w:tr w:rsidR="00F54A56" w:rsidRPr="005C0EBD" w14:paraId="34B31E4F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102BF93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217C308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45ED236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2011LBY0002</w:t>
            </w:r>
          </w:p>
        </w:tc>
      </w:tr>
      <w:tr w:rsidR="00F54A56" w:rsidRPr="005C0EBD" w14:paraId="524CA9AD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69E9B7C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DBFB546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5E99EE02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1E71B1A7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21641B7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AE3EA97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4AB65E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Abdussalam Mohammed ABDUSSALAM</w:t>
            </w:r>
          </w:p>
        </w:tc>
      </w:tr>
      <w:tr w:rsidR="00F54A56" w:rsidRPr="005C0EBD" w14:paraId="793DAA4F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AB91FE0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B087D6F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FC0F9D9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c1952</w:t>
            </w:r>
          </w:p>
        </w:tc>
      </w:tr>
      <w:tr w:rsidR="00F54A56" w:rsidRPr="005C0EBD" w14:paraId="7934C236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DBB868B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2E25676D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BFD8DC5" w14:textId="77777777" w:rsidR="00F54A56" w:rsidRPr="005C0EBD" w:rsidRDefault="00354719" w:rsidP="00F54A5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Tripoli, Libya</w:t>
            </w:r>
          </w:p>
        </w:tc>
      </w:tr>
      <w:tr w:rsidR="00F54A56" w:rsidRPr="005C0EBD" w14:paraId="22C19D8B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80B975C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FBAAD77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79D909C" w14:textId="77777777" w:rsidR="00F54A56" w:rsidRPr="005C0EBD" w:rsidRDefault="00F54A56" w:rsidP="00354719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Head of Counter-Terrorism, External Security Organisation. Prominent Revolutionary Committee member. Close associate of Muammar Qadhafi.</w:t>
            </w:r>
          </w:p>
        </w:tc>
      </w:tr>
      <w:tr w:rsidR="00F54A56" w:rsidRPr="005C0EBD" w14:paraId="4C89A83E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8C5B469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3A714F5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BDBDBBC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2011LBY0012</w:t>
            </w:r>
          </w:p>
        </w:tc>
      </w:tr>
      <w:tr w:rsidR="00F54A56" w:rsidRPr="005C0EBD" w14:paraId="0FBEAC5F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8083068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D35F679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2A3D60FE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011AFDE3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0E75F8D" w14:textId="77777777" w:rsidR="00F54A56" w:rsidRPr="005C0EBD" w:rsidRDefault="00D904DE" w:rsidP="00F54A56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749700C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75C75AC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Bachir SALEH</w:t>
            </w:r>
          </w:p>
        </w:tc>
      </w:tr>
      <w:tr w:rsidR="00011803" w:rsidRPr="005C0EBD" w14:paraId="504E092E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</w:tcPr>
          <w:p w14:paraId="038A9C00" w14:textId="77777777" w:rsidR="00011803" w:rsidRPr="005C0EBD" w:rsidRDefault="00011803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14:paraId="778F57C2" w14:textId="77777777" w:rsidR="00011803" w:rsidRPr="005C0EBD" w:rsidRDefault="00011803" w:rsidP="00F54A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441" w:type="dxa"/>
            <w:shd w:val="clear" w:color="auto" w:fill="auto"/>
            <w:noWrap/>
          </w:tcPr>
          <w:p w14:paraId="512695CF" w14:textId="77777777" w:rsidR="00011803" w:rsidRPr="005C0EBD" w:rsidRDefault="00011803" w:rsidP="00F54A56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Bashir Saleh BASHIR</w:t>
            </w:r>
          </w:p>
        </w:tc>
      </w:tr>
      <w:tr w:rsidR="00F54A56" w:rsidRPr="005C0EBD" w14:paraId="30ECFFE1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CC30187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01E6D63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A574488" w14:textId="77777777" w:rsidR="00F54A56" w:rsidRPr="005C0EBD" w:rsidRDefault="00F54A56" w:rsidP="00354719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Head of Cabinet of the Leader</w:t>
            </w:r>
            <w:r w:rsidR="00456D65">
              <w:rPr>
                <w:noProof/>
                <w:color w:val="000000"/>
                <w:sz w:val="22"/>
                <w:szCs w:val="22"/>
              </w:rPr>
              <w:t xml:space="preserve"> in </w:t>
            </w:r>
            <w:r w:rsidR="00354719">
              <w:rPr>
                <w:noProof/>
                <w:color w:val="000000"/>
                <w:sz w:val="22"/>
                <w:szCs w:val="22"/>
              </w:rPr>
              <w:t>Muammar</w:t>
            </w:r>
            <w:r w:rsidR="00456D65">
              <w:rPr>
                <w:noProof/>
                <w:color w:val="000000"/>
                <w:sz w:val="22"/>
                <w:szCs w:val="22"/>
              </w:rPr>
              <w:t xml:space="preserve"> Qadhafi’s Government</w:t>
            </w:r>
            <w:r w:rsidR="005C0EBD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F54A56" w:rsidRPr="005C0EBD" w14:paraId="14E0BE0D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F2138DA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88EBC12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6D1ACD8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2011LBY0030</w:t>
            </w:r>
          </w:p>
        </w:tc>
      </w:tr>
      <w:tr w:rsidR="00F54A56" w:rsidRPr="005C0EBD" w14:paraId="0B60AA2B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CE7BB90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311337B0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494C3381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472283D3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66CDFFB" w14:textId="77777777" w:rsidR="00F54A56" w:rsidRPr="005C0EBD" w:rsidRDefault="00D904DE" w:rsidP="00F54A56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9D9680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547928E4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Baghdadi AL-MAHMOUDI</w:t>
            </w:r>
          </w:p>
        </w:tc>
      </w:tr>
      <w:tr w:rsidR="00F54A56" w:rsidRPr="005C0EBD" w14:paraId="7EDEADC2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2281D0E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27EF6F0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7839B04" w14:textId="7FB4F2FE" w:rsidR="00F54A56" w:rsidRPr="005C0EBD" w:rsidRDefault="00F54A56" w:rsidP="00DC0505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Prime Minister </w:t>
            </w:r>
            <w:r w:rsidR="00456D65">
              <w:rPr>
                <w:noProof/>
                <w:color w:val="000000"/>
                <w:sz w:val="22"/>
                <w:szCs w:val="22"/>
              </w:rPr>
              <w:t>in</w:t>
            </w:r>
            <w:r w:rsidRPr="005C0EBD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C0505">
              <w:rPr>
                <w:noProof/>
                <w:color w:val="000000"/>
                <w:sz w:val="22"/>
                <w:szCs w:val="22"/>
              </w:rPr>
              <w:t xml:space="preserve">Muammar </w:t>
            </w:r>
            <w:r w:rsidR="00456D65">
              <w:rPr>
                <w:noProof/>
                <w:color w:val="000000"/>
                <w:sz w:val="22"/>
                <w:szCs w:val="22"/>
              </w:rPr>
              <w:t>Qadhafi</w:t>
            </w:r>
            <w:r w:rsidRPr="005C0EBD">
              <w:rPr>
                <w:noProof/>
                <w:color w:val="000000"/>
                <w:sz w:val="22"/>
                <w:szCs w:val="22"/>
              </w:rPr>
              <w:t>’s Government</w:t>
            </w:r>
            <w:r w:rsidR="005C0EBD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F54A56" w:rsidRPr="005C0EBD" w14:paraId="331697D3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FBCEC5B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DC422B8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7874C781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2011LBY0022</w:t>
            </w:r>
          </w:p>
        </w:tc>
      </w:tr>
      <w:tr w:rsidR="00F54A56" w:rsidRPr="005C0EBD" w14:paraId="3D039931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4CB4C27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6352720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402A9785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2E61B647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E18B867" w14:textId="77777777" w:rsidR="00F54A56" w:rsidRPr="005C0EBD" w:rsidRDefault="00D904DE" w:rsidP="00F54A56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5672BD3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209006B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Colonel Amid Husain AL KUNI</w:t>
            </w:r>
          </w:p>
        </w:tc>
      </w:tr>
      <w:tr w:rsidR="00F54A56" w:rsidRPr="005C0EBD" w14:paraId="061699C7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59A9E7B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7BEB99D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7AE38948" w14:textId="77777777" w:rsidR="00F54A56" w:rsidRPr="005C0EBD" w:rsidRDefault="00B363EE" w:rsidP="00F54A5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="00F54A56" w:rsidRPr="005C0EBD">
              <w:rPr>
                <w:noProof/>
                <w:color w:val="000000"/>
                <w:sz w:val="22"/>
                <w:szCs w:val="22"/>
              </w:rPr>
              <w:t>Governor of Ghat (South Libya)</w:t>
            </w:r>
          </w:p>
        </w:tc>
      </w:tr>
      <w:tr w:rsidR="00F54A56" w:rsidRPr="005C0EBD" w14:paraId="05DAED82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C161C45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74746A6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46E485D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2011LBY0017</w:t>
            </w:r>
          </w:p>
        </w:tc>
      </w:tr>
      <w:tr w:rsidR="00F54A56" w:rsidRPr="005C0EBD" w14:paraId="16BCAD08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AD63FE9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85EA383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71B3B892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7D465B2A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F46C646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1</w:t>
            </w:r>
            <w:r w:rsidR="00D904DE" w:rsidRPr="005C0E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9315860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51838C3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Colonel Mas'ud ABDULHAFIZ</w:t>
            </w:r>
          </w:p>
        </w:tc>
      </w:tr>
      <w:tr w:rsidR="00F54A56" w:rsidRPr="005C0EBD" w14:paraId="4AB5AD43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F2461A8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1C32634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69D46E6" w14:textId="77777777" w:rsidR="00F54A56" w:rsidRPr="005C0EBD" w:rsidRDefault="00B363EE" w:rsidP="00F54A5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="00F54A56" w:rsidRPr="005C0EBD">
              <w:rPr>
                <w:noProof/>
                <w:color w:val="000000"/>
                <w:sz w:val="22"/>
                <w:szCs w:val="22"/>
              </w:rPr>
              <w:t>Armed Forces Commander. Third in command of Armed Forces. Significant role in Military Intelligence.</w:t>
            </w:r>
          </w:p>
        </w:tc>
      </w:tr>
      <w:tr w:rsidR="00F54A56" w:rsidRPr="005C0EBD" w14:paraId="064FCA1C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6C4CDAA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3712C2EF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5CD0BEF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2011LBY0011</w:t>
            </w:r>
          </w:p>
        </w:tc>
      </w:tr>
      <w:tr w:rsidR="00F54A56" w:rsidRPr="005C0EBD" w14:paraId="04ED7F44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E09586F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7926003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157A03B9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648696CC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63809E1" w14:textId="77777777" w:rsidR="00F54A56" w:rsidRPr="005C0EBD" w:rsidRDefault="00171DE8" w:rsidP="00F54A5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EDFBCB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78580A0D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Dr Abdulqader Mohammed AL-BAGHDADI</w:t>
            </w:r>
          </w:p>
        </w:tc>
      </w:tr>
      <w:tr w:rsidR="00F54A56" w:rsidRPr="005C0EBD" w14:paraId="49F44769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A53F68A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2225CB39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1EF2214D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1/07/1950</w:t>
            </w:r>
          </w:p>
        </w:tc>
      </w:tr>
      <w:tr w:rsidR="00F54A56" w:rsidRPr="005C0EBD" w14:paraId="0ECDD66D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B646914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61FE741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0F76AEC" w14:textId="77777777" w:rsidR="00F54A56" w:rsidRPr="005C0EBD" w:rsidRDefault="00F54A56" w:rsidP="006B253E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Passport number: B010574. </w:t>
            </w:r>
            <w:r w:rsidR="00B363EE"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Pr="005C0EBD">
              <w:rPr>
                <w:noProof/>
                <w:color w:val="000000"/>
                <w:sz w:val="22"/>
                <w:szCs w:val="22"/>
              </w:rPr>
              <w:t>Head of the Liaison Office o</w:t>
            </w:r>
            <w:r w:rsidR="006B253E">
              <w:rPr>
                <w:noProof/>
                <w:color w:val="000000"/>
                <w:sz w:val="22"/>
                <w:szCs w:val="22"/>
              </w:rPr>
              <w:t xml:space="preserve">f the Revolutionary Committees, </w:t>
            </w:r>
            <w:r w:rsidRPr="005C0EBD">
              <w:rPr>
                <w:noProof/>
                <w:color w:val="000000"/>
                <w:sz w:val="22"/>
                <w:szCs w:val="22"/>
              </w:rPr>
              <w:t>involved in violence against demonstrators.</w:t>
            </w:r>
          </w:p>
        </w:tc>
      </w:tr>
      <w:tr w:rsidR="00F54A56" w:rsidRPr="005C0EBD" w14:paraId="37B6D9C7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9A7BC4A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2EF0833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71A518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2011LBY0001</w:t>
            </w:r>
          </w:p>
        </w:tc>
      </w:tr>
      <w:tr w:rsidR="00F54A56" w:rsidRPr="005C0EBD" w14:paraId="3B58283C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CCD6C13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FB80B5D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0298CF5F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2DE88A83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00C4C88" w14:textId="77777777" w:rsidR="00F54A56" w:rsidRPr="005C0EBD" w:rsidRDefault="00171DE8" w:rsidP="00F54A5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2E0D9DE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7712F907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General Khaled TOHAMI</w:t>
            </w:r>
          </w:p>
        </w:tc>
      </w:tr>
      <w:tr w:rsidR="00F54A56" w:rsidRPr="005C0EBD" w14:paraId="2E3C82E1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D169EED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7DBD40B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762A40E" w14:textId="77777777" w:rsidR="00F54A56" w:rsidRPr="005C0EBD" w:rsidRDefault="00F54A56" w:rsidP="00354719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Director of Internal Security Office</w:t>
            </w:r>
            <w:r w:rsidR="006B253E">
              <w:rPr>
                <w:noProof/>
                <w:color w:val="000000"/>
                <w:sz w:val="22"/>
                <w:szCs w:val="22"/>
              </w:rPr>
              <w:t xml:space="preserve"> in </w:t>
            </w:r>
            <w:r w:rsidR="00354719">
              <w:rPr>
                <w:noProof/>
                <w:color w:val="000000"/>
                <w:sz w:val="22"/>
                <w:szCs w:val="22"/>
              </w:rPr>
              <w:t>Muammar</w:t>
            </w:r>
            <w:r w:rsidR="006B253E">
              <w:rPr>
                <w:noProof/>
                <w:color w:val="000000"/>
                <w:sz w:val="22"/>
                <w:szCs w:val="22"/>
              </w:rPr>
              <w:t xml:space="preserve"> Qadhafi’s Government</w:t>
            </w:r>
            <w:r w:rsidR="005C0EBD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F54A56" w:rsidRPr="005C0EBD" w14:paraId="603A6342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275CAC0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BF01FDC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6031B48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2011LBY0031</w:t>
            </w:r>
          </w:p>
        </w:tc>
      </w:tr>
      <w:tr w:rsidR="00F54A56" w:rsidRPr="005C0EBD" w14:paraId="0BC01E65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AFECD78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C1D3D0C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68BBE7FF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2346BD41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45ACCB9" w14:textId="77777777" w:rsidR="00F54A56" w:rsidRPr="005C0EBD" w:rsidRDefault="00171DE8" w:rsidP="00F54A5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A6CD2B7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BDC737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Ibrahim Zarroug AL-CHARIF</w:t>
            </w:r>
          </w:p>
        </w:tc>
      </w:tr>
      <w:tr w:rsidR="00F54A56" w:rsidRPr="005C0EBD" w14:paraId="5A7E09CF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BD72759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380D7F23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78D33AA7" w14:textId="77777777" w:rsidR="00F54A56" w:rsidRPr="005C0EBD" w:rsidRDefault="00F54A56" w:rsidP="00354719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Minister for Social Affairs in </w:t>
            </w:r>
            <w:r w:rsidR="00354719">
              <w:rPr>
                <w:noProof/>
                <w:color w:val="000000"/>
                <w:sz w:val="22"/>
                <w:szCs w:val="22"/>
              </w:rPr>
              <w:t>Muammar</w:t>
            </w:r>
            <w:r w:rsidRPr="005C0EBD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456D65">
              <w:rPr>
                <w:noProof/>
                <w:color w:val="000000"/>
                <w:sz w:val="22"/>
                <w:szCs w:val="22"/>
              </w:rPr>
              <w:t>Qadhafi</w:t>
            </w:r>
            <w:r w:rsidRPr="005C0EBD">
              <w:rPr>
                <w:noProof/>
                <w:color w:val="000000"/>
                <w:sz w:val="22"/>
                <w:szCs w:val="22"/>
              </w:rPr>
              <w:t>’s Government</w:t>
            </w:r>
            <w:r w:rsidR="005C0EBD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F54A56" w:rsidRPr="005C0EBD" w14:paraId="02F7DCFF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04B2ED4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F5052AE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5780CAFB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2011LBY0020</w:t>
            </w:r>
          </w:p>
        </w:tc>
      </w:tr>
      <w:tr w:rsidR="00F54A56" w:rsidRPr="005C0EBD" w14:paraId="5B7FD552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9E5E5FE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3B54CCC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5D4FDA8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3E6163AB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22787ED" w14:textId="77777777" w:rsidR="00F54A56" w:rsidRPr="005C0EBD" w:rsidRDefault="00171DE8" w:rsidP="00F54A5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1966078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10FFBF7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Mohamad Mahmoud HIJAZI</w:t>
            </w:r>
          </w:p>
        </w:tc>
      </w:tr>
      <w:tr w:rsidR="00F54A56" w:rsidRPr="005C0EBD" w14:paraId="494D763B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9396160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95979F0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8A7D2C4" w14:textId="77777777" w:rsidR="00F54A56" w:rsidRPr="005C0EBD" w:rsidRDefault="00F54A56" w:rsidP="00354719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Minister for Health and Environment in </w:t>
            </w:r>
            <w:r w:rsidR="00354719">
              <w:rPr>
                <w:noProof/>
                <w:color w:val="000000"/>
                <w:sz w:val="22"/>
                <w:szCs w:val="22"/>
              </w:rPr>
              <w:t>Muammar</w:t>
            </w:r>
            <w:r w:rsidRPr="005C0EBD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456D65">
              <w:rPr>
                <w:noProof/>
                <w:color w:val="000000"/>
                <w:sz w:val="22"/>
                <w:szCs w:val="22"/>
              </w:rPr>
              <w:t>Qadhafi</w:t>
            </w:r>
            <w:r w:rsidRPr="005C0EBD">
              <w:rPr>
                <w:noProof/>
                <w:color w:val="000000"/>
                <w:sz w:val="22"/>
                <w:szCs w:val="22"/>
              </w:rPr>
              <w:t>’s Government</w:t>
            </w:r>
            <w:r w:rsidR="005C0EBD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F54A56" w:rsidRPr="005C0EBD" w14:paraId="29C5DBA8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BBD84C9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09BD434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528D025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2011LBY0027</w:t>
            </w:r>
          </w:p>
        </w:tc>
      </w:tr>
      <w:tr w:rsidR="00F54A56" w:rsidRPr="005C0EBD" w14:paraId="12C1CE49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688890F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EFED3CC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711020A8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2FB81821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01386BC" w14:textId="77777777" w:rsidR="00F54A56" w:rsidRPr="005C0EBD" w:rsidRDefault="00171DE8" w:rsidP="00F54A5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824A752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133EA81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Mohamed Abou EL-KASSIM ZOUAI</w:t>
            </w:r>
          </w:p>
        </w:tc>
      </w:tr>
      <w:tr w:rsidR="00F54A56" w:rsidRPr="005C0EBD" w14:paraId="03B88CA0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482657B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97C0210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5680C9D" w14:textId="77777777" w:rsidR="00F54A56" w:rsidRPr="005C0EBD" w:rsidRDefault="006B253E" w:rsidP="00F54A5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="00F54A56" w:rsidRPr="005C0EBD">
              <w:rPr>
                <w:noProof/>
                <w:color w:val="000000"/>
                <w:sz w:val="22"/>
                <w:szCs w:val="22"/>
              </w:rPr>
              <w:t>Secretary General of the General People’s Congress</w:t>
            </w:r>
            <w:r w:rsidR="005C0EBD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F54A56" w:rsidRPr="005C0EBD" w14:paraId="5D86D7F0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9F78255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74FD72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1CFE2965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2011LBY0023</w:t>
            </w:r>
          </w:p>
        </w:tc>
      </w:tr>
      <w:tr w:rsidR="00F54A56" w:rsidRPr="005C0EBD" w14:paraId="24C47780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91700A2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228016A7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26F1C94E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3FFE74D5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0292BE4" w14:textId="77777777" w:rsidR="00F54A56" w:rsidRPr="005C0EBD" w:rsidRDefault="00171DE8" w:rsidP="00D904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6857AC1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9C32F68" w14:textId="77777777" w:rsidR="00F54A56" w:rsidRPr="005C0EBD" w:rsidRDefault="00A02D28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Mohama</w:t>
            </w:r>
            <w:r w:rsidR="00F54A56" w:rsidRPr="005C0EBD">
              <w:rPr>
                <w:noProof/>
                <w:color w:val="000000"/>
                <w:sz w:val="22"/>
                <w:szCs w:val="22"/>
              </w:rPr>
              <w:t>d Ali HOUEJ</w:t>
            </w:r>
          </w:p>
        </w:tc>
      </w:tr>
      <w:tr w:rsidR="00F54A56" w:rsidRPr="005C0EBD" w14:paraId="0D701F9D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FD4F73B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81D62D5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A655B66" w14:textId="77777777" w:rsidR="00F54A56" w:rsidRPr="005C0EBD" w:rsidRDefault="00F54A56" w:rsidP="00354719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Minister for Industry, Economy and Trade in </w:t>
            </w:r>
            <w:r w:rsidR="00354719">
              <w:rPr>
                <w:noProof/>
                <w:color w:val="000000"/>
                <w:sz w:val="22"/>
                <w:szCs w:val="22"/>
              </w:rPr>
              <w:t>Muammar</w:t>
            </w:r>
            <w:r w:rsidRPr="005C0EBD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456D65">
              <w:rPr>
                <w:noProof/>
                <w:color w:val="000000"/>
                <w:sz w:val="22"/>
                <w:szCs w:val="22"/>
              </w:rPr>
              <w:t>Qadhafi</w:t>
            </w:r>
            <w:r w:rsidRPr="005C0EBD">
              <w:rPr>
                <w:noProof/>
                <w:color w:val="000000"/>
                <w:sz w:val="22"/>
                <w:szCs w:val="22"/>
              </w:rPr>
              <w:t>’s Government</w:t>
            </w:r>
            <w:r w:rsidR="005C0EBD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F54A56" w:rsidRPr="005C0EBD" w14:paraId="12D2E79F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1798F6C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F7FDD5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775BAB98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2011LBY0028</w:t>
            </w:r>
          </w:p>
        </w:tc>
      </w:tr>
      <w:tr w:rsidR="00F54A56" w:rsidRPr="005C0EBD" w14:paraId="6A11A6F9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00C8CEA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3C86B1CB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165F88D9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3782D809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23F9CDC" w14:textId="77777777" w:rsidR="00F54A56" w:rsidRPr="005C0EBD" w:rsidRDefault="00171DE8" w:rsidP="00F54A5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D718E2C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867F731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Mohammed Boucharaya FARKASH</w:t>
            </w:r>
          </w:p>
        </w:tc>
      </w:tr>
      <w:tr w:rsidR="00F54A56" w:rsidRPr="005C0EBD" w14:paraId="4726221D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1A6A4D1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10DADB5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4CDD30A" w14:textId="77777777" w:rsidR="00F54A56" w:rsidRPr="005C0EBD" w:rsidRDefault="006B253E" w:rsidP="00F54A5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 Director of I</w:t>
            </w:r>
            <w:r w:rsidR="00F54A56" w:rsidRPr="005C0EBD">
              <w:rPr>
                <w:noProof/>
                <w:color w:val="000000"/>
                <w:sz w:val="22"/>
                <w:szCs w:val="22"/>
              </w:rPr>
              <w:t>ntelligence in External Security Office</w:t>
            </w:r>
            <w:r w:rsidR="005C0EBD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F54A56" w:rsidRPr="005C0EBD" w14:paraId="44451D29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CF79990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1CAF9C9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2DD7101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2011LBY0025</w:t>
            </w:r>
          </w:p>
        </w:tc>
      </w:tr>
      <w:tr w:rsidR="00F54A56" w:rsidRPr="005C0EBD" w14:paraId="495733BF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A7C9A05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92D696B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2E31D8CE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48FB2511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1690938" w14:textId="77777777" w:rsidR="00F54A56" w:rsidRPr="005C0EBD" w:rsidRDefault="00171DE8" w:rsidP="00F54A5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593733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4B82F4B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Omar ASHKAL</w:t>
            </w:r>
          </w:p>
        </w:tc>
      </w:tr>
      <w:tr w:rsidR="00F54A56" w:rsidRPr="005C0EBD" w14:paraId="64F826EF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5C9C854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9171F7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571F4072" w14:textId="77777777" w:rsidR="00F54A56" w:rsidRPr="005C0EBD" w:rsidRDefault="00735923" w:rsidP="00F54A5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Sirte, Libya</w:t>
            </w:r>
          </w:p>
        </w:tc>
      </w:tr>
      <w:tr w:rsidR="00F54A56" w:rsidRPr="005C0EBD" w14:paraId="2AD8A7CF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EFA90A5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D8BBA0C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46D295D" w14:textId="77777777" w:rsidR="00F54A56" w:rsidRPr="005C0EBD" w:rsidRDefault="006B253E" w:rsidP="006B253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="00F54A56" w:rsidRPr="005C0EBD">
              <w:rPr>
                <w:noProof/>
                <w:color w:val="000000"/>
                <w:sz w:val="22"/>
                <w:szCs w:val="22"/>
              </w:rPr>
              <w:t>Head, Revolutionary Committees Movement</w:t>
            </w:r>
            <w:r>
              <w:rPr>
                <w:noProof/>
                <w:color w:val="000000"/>
                <w:sz w:val="22"/>
                <w:szCs w:val="22"/>
              </w:rPr>
              <w:t xml:space="preserve">, </w:t>
            </w:r>
            <w:r w:rsidR="00F54A56" w:rsidRPr="005C0EBD">
              <w:rPr>
                <w:noProof/>
                <w:color w:val="000000"/>
                <w:sz w:val="22"/>
                <w:szCs w:val="22"/>
              </w:rPr>
              <w:t xml:space="preserve"> involved in violence against demonstrators.</w:t>
            </w:r>
          </w:p>
        </w:tc>
      </w:tr>
      <w:tr w:rsidR="00F54A56" w:rsidRPr="005C0EBD" w14:paraId="1250B0BF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4AA6D91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293A2473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6952246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2011LBY0015</w:t>
            </w:r>
          </w:p>
        </w:tc>
      </w:tr>
      <w:tr w:rsidR="00F54A56" w:rsidRPr="005C0EBD" w14:paraId="2041E773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C9956A5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19DC7D0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7D076886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59CF303C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B58E98B" w14:textId="77777777" w:rsidR="00F54A56" w:rsidRPr="005C0EBD" w:rsidRDefault="00171DE8" w:rsidP="00F54A5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D0426E7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355489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  <w:lang w:val="fr-FR"/>
              </w:rPr>
            </w:pPr>
            <w:r w:rsidRPr="005C0EBD">
              <w:rPr>
                <w:noProof/>
                <w:color w:val="000000"/>
                <w:sz w:val="22"/>
                <w:szCs w:val="22"/>
                <w:lang w:val="fr-FR"/>
              </w:rPr>
              <w:t>Quren Salih Quren AL QADHAFI</w:t>
            </w:r>
          </w:p>
        </w:tc>
      </w:tr>
      <w:tr w:rsidR="00F54A56" w:rsidRPr="005C0EBD" w14:paraId="5D97AFDE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C7A4409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9911017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D234840" w14:textId="77777777" w:rsidR="00F54A56" w:rsidRPr="005C0EBD" w:rsidRDefault="006B253E" w:rsidP="00F54A5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="00F54A56" w:rsidRPr="005C0EBD">
              <w:rPr>
                <w:noProof/>
                <w:color w:val="000000"/>
                <w:sz w:val="22"/>
                <w:szCs w:val="22"/>
              </w:rPr>
              <w:t>Libyan Ambassador to Chad</w:t>
            </w:r>
            <w:r w:rsidR="005C0EBD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F54A56" w:rsidRPr="005C0EBD" w14:paraId="3D104BA6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F42B1B7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CA879B1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6516EB1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2011LBY0018</w:t>
            </w:r>
          </w:p>
        </w:tc>
      </w:tr>
      <w:tr w:rsidR="00F54A56" w:rsidRPr="005C0EBD" w14:paraId="23DD566F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53306DB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19ADA73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2CBB2DEB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53FC0C4C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D4998EE" w14:textId="77777777" w:rsidR="00F54A56" w:rsidRPr="005C0EBD" w:rsidRDefault="00171DE8" w:rsidP="00F54A5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B7CD84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F824774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Sayyid Mohammed QADHAF AL-DAM</w:t>
            </w:r>
          </w:p>
        </w:tc>
      </w:tr>
      <w:tr w:rsidR="00F54A56" w:rsidRPr="005C0EBD" w14:paraId="5360B9D0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770B3AD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9A9B530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E98B4E6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1948</w:t>
            </w:r>
          </w:p>
        </w:tc>
      </w:tr>
      <w:tr w:rsidR="00F54A56" w:rsidRPr="005C0EBD" w14:paraId="7975ABFF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0C54DBC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C43F1B9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59D2A8A" w14:textId="77777777" w:rsidR="00F54A56" w:rsidRPr="005C0EBD" w:rsidRDefault="001D2C4E" w:rsidP="00F54A5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Sirte, Libya</w:t>
            </w:r>
          </w:p>
        </w:tc>
      </w:tr>
      <w:tr w:rsidR="00F54A56" w:rsidRPr="005C0EBD" w14:paraId="429DB22B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2545ADC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92E8243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8482419" w14:textId="77777777" w:rsidR="00F54A56" w:rsidRPr="005C0EBD" w:rsidRDefault="00F54A56" w:rsidP="001D2C4E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Cousin of Muammar Qadhafi. In the 1980s, </w:t>
            </w:r>
            <w:r w:rsidR="006B253E" w:rsidRPr="006B253E">
              <w:rPr>
                <w:noProof/>
                <w:color w:val="000000"/>
                <w:sz w:val="22"/>
                <w:szCs w:val="22"/>
              </w:rPr>
              <w:t xml:space="preserve">Qadhaf Al-Dam </w:t>
            </w:r>
            <w:r w:rsidRPr="005C0EBD">
              <w:rPr>
                <w:noProof/>
                <w:color w:val="000000"/>
                <w:sz w:val="22"/>
                <w:szCs w:val="22"/>
              </w:rPr>
              <w:t>was involved in the dissident assassination campaign and allegedly responsible for several deaths in Europe. He is also thought to have been involved in arms procurement</w:t>
            </w:r>
            <w:r w:rsidR="006B253E">
              <w:rPr>
                <w:noProof/>
                <w:color w:val="000000"/>
                <w:sz w:val="22"/>
                <w:szCs w:val="22"/>
              </w:rPr>
              <w:t xml:space="preserve"> for the former Libyan regime</w:t>
            </w:r>
            <w:r w:rsidRPr="005C0EBD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F54A56" w:rsidRPr="005C0EBD" w14:paraId="771C5332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6C8E25B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3A08284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FBBEA67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2011LBY0006</w:t>
            </w:r>
          </w:p>
        </w:tc>
      </w:tr>
      <w:tr w:rsidR="00F54A56" w:rsidRPr="005C0EBD" w14:paraId="388E7AB2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4B0A6F1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801361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41857962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</w:p>
        </w:tc>
      </w:tr>
      <w:tr w:rsidR="00F54A56" w:rsidRPr="005C0EBD" w14:paraId="74BEEFA6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D05CD30" w14:textId="77777777" w:rsidR="00F54A56" w:rsidRPr="005C0EBD" w:rsidRDefault="00171DE8" w:rsidP="00F54A5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29D9210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1F951AC" w14:textId="77777777" w:rsidR="00F54A56" w:rsidRPr="005C0EBD" w:rsidRDefault="005C0EBD" w:rsidP="00F54A5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Shaariya </w:t>
            </w:r>
            <w:r w:rsidR="00F54A56" w:rsidRPr="005C0EBD">
              <w:rPr>
                <w:noProof/>
                <w:color w:val="000000"/>
                <w:sz w:val="22"/>
                <w:szCs w:val="22"/>
              </w:rPr>
              <w:t>ABU</w:t>
            </w:r>
          </w:p>
        </w:tc>
      </w:tr>
      <w:tr w:rsidR="00F54A56" w:rsidRPr="005C0EBD" w14:paraId="064A421F" w14:textId="77777777" w:rsidTr="00A273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BFCAE09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7AD7D7E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5B405AB" w14:textId="77777777" w:rsidR="00F54A56" w:rsidRPr="005C0EBD" w:rsidRDefault="006B253E" w:rsidP="001D2C4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="00F54A56" w:rsidRPr="005C0EBD">
              <w:rPr>
                <w:noProof/>
                <w:color w:val="000000"/>
                <w:sz w:val="22"/>
                <w:szCs w:val="22"/>
              </w:rPr>
              <w:t>Deputy Head, External Security Organisation. Prominent member of regime. Brother-in-law of Muammar Qadhafi.</w:t>
            </w:r>
          </w:p>
        </w:tc>
      </w:tr>
      <w:tr w:rsidR="00F54A56" w:rsidRPr="005C0EBD" w14:paraId="02C135FF" w14:textId="77777777" w:rsidTr="006A43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9D7604C" w14:textId="77777777" w:rsidR="00F54A56" w:rsidRPr="005C0EBD" w:rsidRDefault="00F54A56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69636EE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BC5EA7A" w14:textId="77777777" w:rsidR="00F54A56" w:rsidRPr="005C0EBD" w:rsidRDefault="00F54A56" w:rsidP="00F54A56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2011LBY0013</w:t>
            </w:r>
          </w:p>
        </w:tc>
      </w:tr>
      <w:tr w:rsidR="006A432C" w:rsidRPr="005C0EBD" w14:paraId="342A054A" w14:textId="77777777" w:rsidTr="00A273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412BC9" w14:textId="77777777" w:rsidR="006A432C" w:rsidRPr="005C0EBD" w:rsidRDefault="006A432C" w:rsidP="00F54A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439A80B" w14:textId="77777777" w:rsidR="006A432C" w:rsidRPr="005C0EBD" w:rsidRDefault="006A432C" w:rsidP="00F54A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F09FAA" w14:textId="77777777" w:rsidR="006A432C" w:rsidRPr="005C0EBD" w:rsidRDefault="006A432C" w:rsidP="00F54A56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4B19BB21" w14:textId="77777777" w:rsidR="008A4311" w:rsidRDefault="008A4311" w:rsidP="007627C8">
      <w:pPr>
        <w:pStyle w:val="ActHead6"/>
        <w:ind w:left="2160" w:hanging="2160"/>
        <w:outlineLvl w:val="1"/>
        <w:rPr>
          <w:rStyle w:val="CharPartNo"/>
          <w:rFonts w:ascii="Times New Roman" w:hAnsi="Times New Roman"/>
        </w:rPr>
      </w:pPr>
    </w:p>
    <w:p w14:paraId="352CB343" w14:textId="77777777" w:rsidR="007627C8" w:rsidRPr="00BD4F95" w:rsidRDefault="007627C8" w:rsidP="007627C8">
      <w:pPr>
        <w:pStyle w:val="ActHead6"/>
        <w:ind w:left="2160" w:hanging="2160"/>
        <w:outlineLvl w:val="1"/>
        <w:rPr>
          <w:rStyle w:val="CharPartText"/>
          <w:rFonts w:ascii="Times New Roman" w:hAnsi="Times New Roman"/>
        </w:rPr>
      </w:pPr>
      <w:bookmarkStart w:id="11" w:name="_Toc504991630"/>
      <w:r w:rsidRPr="00BD4F95">
        <w:rPr>
          <w:rStyle w:val="CharPartNo"/>
          <w:rFonts w:ascii="Times New Roman" w:hAnsi="Times New Roman"/>
        </w:rPr>
        <w:t xml:space="preserve">Schedule 2 </w:t>
      </w:r>
      <w:r w:rsidRPr="00BD4F95">
        <w:rPr>
          <w:rStyle w:val="CharPartNo"/>
          <w:rFonts w:ascii="Times New Roman" w:hAnsi="Times New Roman"/>
        </w:rPr>
        <w:tab/>
      </w:r>
      <w:r w:rsidRPr="00BD4F95">
        <w:rPr>
          <w:rStyle w:val="CharPartText"/>
          <w:rFonts w:ascii="Times New Roman" w:hAnsi="Times New Roman"/>
        </w:rPr>
        <w:t>Designations declared to continue to have effect</w:t>
      </w:r>
      <w:bookmarkEnd w:id="11"/>
    </w:p>
    <w:p w14:paraId="0EE5D5C1" w14:textId="77777777" w:rsidR="005063B3" w:rsidRPr="00BD4F95" w:rsidRDefault="005063B3" w:rsidP="005063B3">
      <w:pPr>
        <w:pStyle w:val="A2S"/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694"/>
        <w:gridCol w:w="2690"/>
        <w:gridCol w:w="5371"/>
      </w:tblGrid>
      <w:tr w:rsidR="005063B3" w:rsidRPr="00BD4F95" w14:paraId="30B835DF" w14:textId="77777777" w:rsidTr="0040682B">
        <w:trPr>
          <w:trHeight w:val="20"/>
        </w:trPr>
        <w:tc>
          <w:tcPr>
            <w:tcW w:w="694" w:type="dxa"/>
            <w:tcBorders>
              <w:bottom w:val="single" w:sz="4" w:space="0" w:color="auto"/>
            </w:tcBorders>
          </w:tcPr>
          <w:p w14:paraId="2245FA5F" w14:textId="77777777" w:rsidR="005063B3" w:rsidRPr="00BD4F95" w:rsidRDefault="005063B3" w:rsidP="00F54A56">
            <w:pPr>
              <w:pStyle w:val="TableText"/>
              <w:spacing w:before="0" w:after="0"/>
              <w:rPr>
                <w:b/>
                <w:szCs w:val="22"/>
              </w:rPr>
            </w:pPr>
            <w:r w:rsidRPr="00BD4F95">
              <w:rPr>
                <w:b/>
                <w:szCs w:val="22"/>
              </w:rPr>
              <w:t>Item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71A2DD42" w14:textId="77777777" w:rsidR="005063B3" w:rsidRPr="00BD4F95" w:rsidRDefault="005063B3" w:rsidP="00FE65E8">
            <w:pPr>
              <w:pStyle w:val="TableText"/>
              <w:spacing w:before="0" w:after="0"/>
              <w:rPr>
                <w:b/>
                <w:szCs w:val="22"/>
              </w:rPr>
            </w:pPr>
            <w:r w:rsidRPr="00BD4F95">
              <w:rPr>
                <w:b/>
                <w:szCs w:val="22"/>
              </w:rPr>
              <w:t>Description</w:t>
            </w:r>
          </w:p>
        </w:tc>
        <w:tc>
          <w:tcPr>
            <w:tcW w:w="5371" w:type="dxa"/>
            <w:tcBorders>
              <w:bottom w:val="single" w:sz="4" w:space="0" w:color="auto"/>
            </w:tcBorders>
          </w:tcPr>
          <w:p w14:paraId="100F2983" w14:textId="77777777" w:rsidR="005063B3" w:rsidRPr="00BD4F95" w:rsidRDefault="005063B3" w:rsidP="00FE65E8">
            <w:pPr>
              <w:pStyle w:val="TableText"/>
              <w:spacing w:before="0" w:after="0"/>
              <w:rPr>
                <w:b/>
                <w:szCs w:val="22"/>
              </w:rPr>
            </w:pPr>
          </w:p>
        </w:tc>
      </w:tr>
      <w:tr w:rsidR="008A4311" w:rsidRPr="00BD4F95" w14:paraId="758970E9" w14:textId="77777777" w:rsidTr="008A431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5F77717" w14:textId="77777777" w:rsidR="008A4311" w:rsidRPr="00F54A56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  <w:r w:rsidRPr="00F54A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1A08759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6751A94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Al-Inma Holding Company for Construction and Real Estate Developments</w:t>
            </w:r>
          </w:p>
        </w:tc>
      </w:tr>
      <w:tr w:rsidR="008A4311" w:rsidRPr="00BD4F95" w14:paraId="4A093038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34BD8FFC" w14:textId="77777777" w:rsidR="008A4311" w:rsidRPr="00F54A56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67497B67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</w:tcPr>
          <w:p w14:paraId="09101BDA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Formerly listed on the RBA Consolidated List as 2011LBY0035</w:t>
            </w:r>
          </w:p>
        </w:tc>
      </w:tr>
      <w:tr w:rsidR="008A4311" w:rsidRPr="00BD4F95" w14:paraId="500F66AA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5D8BACC2" w14:textId="77777777" w:rsidR="008A4311" w:rsidRPr="00F54A56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526F7534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</w:tcPr>
          <w:p w14:paraId="18F026DB" w14:textId="77777777" w:rsidR="008A4311" w:rsidRPr="00F54A56" w:rsidRDefault="008A4311" w:rsidP="008A43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4311" w:rsidRPr="00BD4F95" w14:paraId="2D7F02AB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79E2700E" w14:textId="77777777" w:rsidR="008A4311" w:rsidRPr="00F54A56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  <w:r w:rsidRPr="00F54A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0" w:type="dxa"/>
            <w:shd w:val="clear" w:color="auto" w:fill="auto"/>
            <w:noWrap/>
          </w:tcPr>
          <w:p w14:paraId="7EF1C34A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71" w:type="dxa"/>
            <w:shd w:val="clear" w:color="auto" w:fill="auto"/>
            <w:noWrap/>
          </w:tcPr>
          <w:p w14:paraId="1BDDF7FA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Al-Inma Holding Company For Industrial Investments</w:t>
            </w:r>
          </w:p>
        </w:tc>
      </w:tr>
      <w:tr w:rsidR="008A4311" w:rsidRPr="00BD4F95" w14:paraId="68FBBE42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7C963395" w14:textId="77777777" w:rsidR="008A4311" w:rsidRPr="00F54A56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2945D6B0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</w:tcPr>
          <w:p w14:paraId="7749E5A4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Formerly listed on the RBA Consolidated List as 2011LBY0036</w:t>
            </w:r>
          </w:p>
        </w:tc>
      </w:tr>
      <w:tr w:rsidR="008A4311" w:rsidRPr="00BD4F95" w14:paraId="1E633CE1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1CBEE995" w14:textId="77777777" w:rsidR="008A4311" w:rsidRPr="00F54A56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6313B96A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</w:tcPr>
          <w:p w14:paraId="06BD11DF" w14:textId="77777777" w:rsidR="008A4311" w:rsidRPr="00F54A56" w:rsidRDefault="008A4311" w:rsidP="008A43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4311" w:rsidRPr="00BD4F95" w14:paraId="3C602DCC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6023454D" w14:textId="77777777" w:rsidR="008A4311" w:rsidRPr="00F54A56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  <w:r w:rsidRPr="00F54A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0" w:type="dxa"/>
            <w:shd w:val="clear" w:color="auto" w:fill="auto"/>
            <w:noWrap/>
          </w:tcPr>
          <w:p w14:paraId="44267257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71" w:type="dxa"/>
            <w:shd w:val="clear" w:color="auto" w:fill="auto"/>
            <w:noWrap/>
          </w:tcPr>
          <w:p w14:paraId="11FD4581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Al-Inma Holding Company for Services Investments</w:t>
            </w:r>
          </w:p>
        </w:tc>
      </w:tr>
      <w:tr w:rsidR="008A4311" w:rsidRPr="00BD4F95" w14:paraId="24E0AB77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50C9ACF8" w14:textId="77777777" w:rsidR="008A4311" w:rsidRPr="00F54A56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63FD9955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</w:tcPr>
          <w:p w14:paraId="12F039A8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Formerly listed on the RBA Consolidated List as 2011LBY0037</w:t>
            </w:r>
          </w:p>
        </w:tc>
      </w:tr>
      <w:tr w:rsidR="008A4311" w:rsidRPr="00BD4F95" w14:paraId="4F2C2AF2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5A1EA801" w14:textId="77777777" w:rsidR="008A4311" w:rsidRPr="00F54A56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65201BE8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</w:tcPr>
          <w:p w14:paraId="1BDB828D" w14:textId="77777777" w:rsidR="008A4311" w:rsidRPr="00F54A56" w:rsidRDefault="008A4311" w:rsidP="008A43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4311" w:rsidRPr="00BD4F95" w14:paraId="37F93DB0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6C7869F1" w14:textId="77777777" w:rsidR="008A4311" w:rsidRPr="00F54A56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  <w:r w:rsidRPr="00F54A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0" w:type="dxa"/>
            <w:shd w:val="clear" w:color="auto" w:fill="auto"/>
            <w:noWrap/>
          </w:tcPr>
          <w:p w14:paraId="62852F32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71" w:type="dxa"/>
            <w:shd w:val="clear" w:color="auto" w:fill="auto"/>
            <w:noWrap/>
          </w:tcPr>
          <w:p w14:paraId="2A7079B1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Al-Inma Holding Company for Tourism Investment</w:t>
            </w:r>
          </w:p>
        </w:tc>
      </w:tr>
      <w:tr w:rsidR="008A4311" w:rsidRPr="00BD4F95" w14:paraId="1FFCFA98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6FC0603A" w14:textId="77777777" w:rsidR="008A4311" w:rsidRPr="00F54A56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4238825D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71" w:type="dxa"/>
            <w:shd w:val="clear" w:color="auto" w:fill="auto"/>
            <w:noWrap/>
          </w:tcPr>
          <w:p w14:paraId="0CEDF5D7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Hasan al-Mashay Street (off al-Zawiyah Street), Tel No.: (218) 213345187, Fax: +218.21.334.5188, e-mail: info@ethic.ly</w:t>
            </w:r>
          </w:p>
        </w:tc>
      </w:tr>
      <w:tr w:rsidR="008A4311" w:rsidRPr="00BD4F95" w14:paraId="2D9EB959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4726699E" w14:textId="77777777" w:rsidR="008A4311" w:rsidRPr="00F54A56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27AEA86B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</w:tcPr>
          <w:p w14:paraId="727FD86D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Formerly listed on the RBA Consolidated List as 2011LBY0038</w:t>
            </w:r>
          </w:p>
        </w:tc>
      </w:tr>
      <w:tr w:rsidR="008A4311" w:rsidRPr="00BD4F95" w14:paraId="10FAC2BC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3D39469A" w14:textId="77777777" w:rsidR="008A4311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59564F6C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</w:tcPr>
          <w:p w14:paraId="5F31B507" w14:textId="77777777" w:rsidR="008A4311" w:rsidRPr="00F54A56" w:rsidRDefault="008A4311" w:rsidP="008A4311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8A4311" w:rsidRPr="00BD4F95" w14:paraId="654B1B5D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7F0D5D11" w14:textId="77777777" w:rsidR="008A4311" w:rsidRDefault="0083699E" w:rsidP="008A43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0" w:type="dxa"/>
            <w:shd w:val="clear" w:color="auto" w:fill="auto"/>
            <w:noWrap/>
          </w:tcPr>
          <w:p w14:paraId="3EB84CE9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Name of Entity:</w:t>
            </w:r>
          </w:p>
          <w:p w14:paraId="3F6B6AAD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371" w:type="dxa"/>
            <w:shd w:val="clear" w:color="auto" w:fill="auto"/>
            <w:noWrap/>
          </w:tcPr>
          <w:p w14:paraId="16E83522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Gaddafi International Charity and Development Foundation</w:t>
            </w:r>
          </w:p>
        </w:tc>
      </w:tr>
      <w:tr w:rsidR="008A4311" w:rsidRPr="00BD4F95" w14:paraId="6F26495C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0D65999A" w14:textId="77777777" w:rsidR="008A4311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0DC2621E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71" w:type="dxa"/>
            <w:shd w:val="clear" w:color="auto" w:fill="auto"/>
            <w:noWrap/>
          </w:tcPr>
          <w:p w14:paraId="753AE313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P.O. Box 1101; Hay Alandalus, Jian St, Tripoli, Libya</w:t>
            </w:r>
          </w:p>
        </w:tc>
      </w:tr>
      <w:tr w:rsidR="008A4311" w:rsidRPr="00BD4F95" w14:paraId="7EBD949F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2AD93932" w14:textId="77777777" w:rsidR="008A4311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6A7406DB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</w:tcPr>
          <w:p w14:paraId="0037FBA5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Formerly listed on the RBA Consolidated List as 2011LBY0041</w:t>
            </w:r>
          </w:p>
        </w:tc>
      </w:tr>
      <w:tr w:rsidR="008A4311" w:rsidRPr="00BD4F95" w14:paraId="3167FBB0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49FB93FE" w14:textId="77777777" w:rsidR="008A4311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536965A4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</w:tcPr>
          <w:p w14:paraId="0D6D33C6" w14:textId="77777777" w:rsidR="008A4311" w:rsidRPr="00BD4F95" w:rsidRDefault="008A4311" w:rsidP="008A4311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8A4311" w:rsidRPr="00BD4F95" w14:paraId="0C868479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7D2F50B9" w14:textId="77777777" w:rsidR="008A4311" w:rsidRPr="00BD4F95" w:rsidRDefault="0083699E" w:rsidP="008A43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14:paraId="1B38B57B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Name of Entity:</w:t>
            </w:r>
          </w:p>
          <w:p w14:paraId="6996F54A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5F4D0E45" w14:textId="77777777" w:rsidR="008A4311" w:rsidRPr="00BD4F95" w:rsidRDefault="008A4311" w:rsidP="008A4311">
            <w:pPr>
              <w:rPr>
                <w:noProof/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Libyan Arab African Investment Company</w:t>
            </w:r>
          </w:p>
          <w:p w14:paraId="2A29469B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LAAICO</w:t>
            </w:r>
          </w:p>
        </w:tc>
      </w:tr>
      <w:tr w:rsidR="008A4311" w:rsidRPr="00BD4F95" w14:paraId="2DBBEE29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1F94D978" w14:textId="77777777" w:rsidR="008A4311" w:rsidRPr="00BD4F95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2C679D52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1E0B2CA1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76351 Janzour, Libya; 81370 Tripoli, Libya</w:t>
            </w:r>
          </w:p>
        </w:tc>
      </w:tr>
      <w:tr w:rsidR="008A4311" w:rsidRPr="00BD4F95" w14:paraId="18E88222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1DAC7449" w14:textId="77777777" w:rsidR="008A4311" w:rsidRPr="00BD4F95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7BF5E2BE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23088524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Formerly listed on the RBA Consolidated List as 2011LBY0045</w:t>
            </w:r>
          </w:p>
        </w:tc>
      </w:tr>
      <w:tr w:rsidR="008A4311" w:rsidRPr="00BD4F95" w14:paraId="3F5E8EA9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2AD513D7" w14:textId="77777777" w:rsidR="008A4311" w:rsidRPr="00BD4F95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4B66EF81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  <w:hideMark/>
          </w:tcPr>
          <w:p w14:paraId="46FEFDE2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</w:p>
        </w:tc>
      </w:tr>
      <w:tr w:rsidR="008A4311" w:rsidRPr="00BD4F95" w14:paraId="4CA9646B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2993AEC8" w14:textId="77777777" w:rsidR="008A4311" w:rsidRPr="00BD4F95" w:rsidRDefault="0083699E" w:rsidP="008A43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14:paraId="21A4E9C7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4EA936D5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Libyan Jamahiriya Broadcasting Corporation</w:t>
            </w:r>
          </w:p>
        </w:tc>
      </w:tr>
      <w:tr w:rsidR="008A4311" w:rsidRPr="00BD4F95" w14:paraId="0A974D53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197E2AF3" w14:textId="77777777" w:rsidR="008A4311" w:rsidRPr="00BD4F95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18426A19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46ECEEF0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Libya</w:t>
            </w:r>
          </w:p>
        </w:tc>
      </w:tr>
      <w:tr w:rsidR="008A4311" w:rsidRPr="00BD4F95" w14:paraId="5C8FC768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697E1E59" w14:textId="77777777" w:rsidR="008A4311" w:rsidRPr="00BD4F95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265F3B30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2E6E67C5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Formerly listed on the RBA Consolidated List as 2011LBY0048</w:t>
            </w:r>
          </w:p>
        </w:tc>
      </w:tr>
      <w:tr w:rsidR="008A4311" w:rsidRPr="00BD4F95" w14:paraId="4406BED8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12E1CEA1" w14:textId="77777777" w:rsidR="008A4311" w:rsidRPr="00BD4F95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7BC0B4E6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  <w:hideMark/>
          </w:tcPr>
          <w:p w14:paraId="2AE8E786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</w:p>
        </w:tc>
      </w:tr>
      <w:tr w:rsidR="008A4311" w:rsidRPr="00BD4F95" w14:paraId="1EE4E7EB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51D44307" w14:textId="77777777" w:rsidR="008A4311" w:rsidRPr="00BD4F95" w:rsidRDefault="0083699E" w:rsidP="008A43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14:paraId="571C4639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72BEDB03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Revolutionary Guard Corps</w:t>
            </w:r>
          </w:p>
        </w:tc>
      </w:tr>
      <w:tr w:rsidR="008A4311" w:rsidRPr="00BD4F95" w14:paraId="5A3B893E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4EA1F684" w14:textId="77777777" w:rsidR="008A4311" w:rsidRPr="00BD4F95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367AFF1E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279A0195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Formerly listed on the RBA Consolidated List as 2011LBY0051</w:t>
            </w:r>
          </w:p>
        </w:tc>
      </w:tr>
      <w:tr w:rsidR="008A4311" w:rsidRPr="00BD4F95" w14:paraId="426731AE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390D00BE" w14:textId="77777777" w:rsidR="008A4311" w:rsidRPr="00BD4F95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42E23E1C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  <w:hideMark/>
          </w:tcPr>
          <w:p w14:paraId="7C757DC7" w14:textId="77777777" w:rsidR="008A4311" w:rsidRPr="00BD4F95" w:rsidRDefault="008A4311" w:rsidP="008A4311">
            <w:pPr>
              <w:rPr>
                <w:color w:val="000000"/>
                <w:sz w:val="22"/>
                <w:szCs w:val="22"/>
              </w:rPr>
            </w:pPr>
          </w:p>
        </w:tc>
      </w:tr>
      <w:tr w:rsidR="008A4311" w:rsidRPr="00BD4F95" w14:paraId="129DC50C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0BE9B9C1" w14:textId="77777777" w:rsidR="008A4311" w:rsidRPr="00F54A56" w:rsidRDefault="0083699E" w:rsidP="008A43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0" w:type="dxa"/>
            <w:shd w:val="clear" w:color="auto" w:fill="auto"/>
            <w:noWrap/>
          </w:tcPr>
          <w:p w14:paraId="2087D6EA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71" w:type="dxa"/>
            <w:shd w:val="clear" w:color="auto" w:fill="auto"/>
            <w:noWrap/>
          </w:tcPr>
          <w:p w14:paraId="164C9285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Waatassimou Foundation</w:t>
            </w:r>
          </w:p>
        </w:tc>
      </w:tr>
      <w:tr w:rsidR="008A4311" w:rsidRPr="00BD4F95" w14:paraId="63C7BFC7" w14:textId="77777777" w:rsidTr="00F54A5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499D10D6" w14:textId="77777777" w:rsidR="008A4311" w:rsidRPr="00F54A56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299BB36A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71" w:type="dxa"/>
            <w:shd w:val="clear" w:color="auto" w:fill="auto"/>
            <w:noWrap/>
          </w:tcPr>
          <w:p w14:paraId="553EC2E5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Tripoli</w:t>
            </w:r>
          </w:p>
        </w:tc>
      </w:tr>
      <w:tr w:rsidR="008A4311" w:rsidRPr="00BD4F95" w14:paraId="06262720" w14:textId="77777777" w:rsidTr="00090DF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15276A" w14:textId="77777777" w:rsidR="008A4311" w:rsidRPr="00F54A56" w:rsidRDefault="008A4311" w:rsidP="008A43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95B320" w14:textId="77777777" w:rsidR="008A4311" w:rsidRPr="00F54A56" w:rsidRDefault="008A4311" w:rsidP="008A4311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1058D25" w14:textId="77777777" w:rsidR="008A4311" w:rsidRDefault="008A4311" w:rsidP="008A4311">
            <w:pPr>
              <w:rPr>
                <w:noProof/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Formerly listed on the RBA Consolidated List as 2011LBY0053</w:t>
            </w:r>
          </w:p>
          <w:p w14:paraId="0D04A477" w14:textId="77777777" w:rsidR="00182C3B" w:rsidRPr="00F54A56" w:rsidRDefault="00182C3B" w:rsidP="008A431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0B7AB74" w14:textId="77777777" w:rsidR="00C638BD" w:rsidRDefault="00C638BD">
      <w:pPr>
        <w:rPr>
          <w:rStyle w:val="CharPartNo"/>
          <w:b/>
          <w:kern w:val="28"/>
          <w:sz w:val="32"/>
          <w:szCs w:val="20"/>
        </w:rPr>
      </w:pPr>
    </w:p>
    <w:p w14:paraId="2BEA2D5D" w14:textId="77777777" w:rsidR="00EA47A8" w:rsidRDefault="00EA47A8">
      <w:pPr>
        <w:rPr>
          <w:rStyle w:val="CharPartNo"/>
          <w:b/>
          <w:kern w:val="28"/>
          <w:sz w:val="32"/>
          <w:szCs w:val="20"/>
        </w:rPr>
      </w:pPr>
      <w:bookmarkStart w:id="12" w:name="_Toc504991631"/>
      <w:r>
        <w:rPr>
          <w:rStyle w:val="CharPartNo"/>
        </w:rPr>
        <w:br w:type="page"/>
      </w:r>
    </w:p>
    <w:p w14:paraId="213936CB" w14:textId="42395121" w:rsidR="00BD4F95" w:rsidRDefault="00BD4F95" w:rsidP="006A432C">
      <w:pPr>
        <w:pStyle w:val="ActHead6"/>
        <w:ind w:left="0" w:firstLine="0"/>
        <w:outlineLvl w:val="1"/>
        <w:rPr>
          <w:rStyle w:val="CharPartText"/>
          <w:rFonts w:ascii="Times New Roman" w:hAnsi="Times New Roman"/>
        </w:rPr>
      </w:pPr>
      <w:r w:rsidRPr="00BD4F95">
        <w:rPr>
          <w:rStyle w:val="CharPartNo"/>
          <w:rFonts w:ascii="Times New Roman" w:hAnsi="Times New Roman"/>
        </w:rPr>
        <w:t xml:space="preserve">Schedule 3 </w:t>
      </w:r>
      <w:r w:rsidRPr="00BD4F95">
        <w:rPr>
          <w:rStyle w:val="CharPartNo"/>
          <w:rFonts w:ascii="Times New Roman" w:hAnsi="Times New Roman"/>
        </w:rPr>
        <w:tab/>
      </w:r>
      <w:r w:rsidRPr="00BD4F95">
        <w:rPr>
          <w:rStyle w:val="CharPartText"/>
          <w:rFonts w:ascii="Times New Roman" w:hAnsi="Times New Roman"/>
        </w:rPr>
        <w:t>Revocation</w:t>
      </w:r>
      <w:r>
        <w:rPr>
          <w:rStyle w:val="CharPartText"/>
          <w:rFonts w:ascii="Times New Roman" w:hAnsi="Times New Roman"/>
        </w:rPr>
        <w:t xml:space="preserve"> of designation</w:t>
      </w:r>
      <w:r w:rsidRPr="00BD4F95">
        <w:rPr>
          <w:rStyle w:val="CharPartText"/>
          <w:rFonts w:ascii="Times New Roman" w:hAnsi="Times New Roman"/>
        </w:rPr>
        <w:t xml:space="preserve"> and declaration</w:t>
      </w:r>
      <w:bookmarkEnd w:id="12"/>
    </w:p>
    <w:p w14:paraId="2AF7BF53" w14:textId="77777777" w:rsidR="006A432C" w:rsidRPr="006A432C" w:rsidRDefault="006A432C" w:rsidP="006A432C">
      <w:pPr>
        <w:rPr>
          <w:rFonts w:eastAsiaTheme="minorHAnsi"/>
        </w:rPr>
      </w:pPr>
    </w:p>
    <w:tbl>
      <w:tblPr>
        <w:tblW w:w="8491" w:type="dxa"/>
        <w:tblInd w:w="-34" w:type="dxa"/>
        <w:tblLook w:val="0000" w:firstRow="0" w:lastRow="0" w:firstColumn="0" w:lastColumn="0" w:noHBand="0" w:noVBand="0"/>
      </w:tblPr>
      <w:tblGrid>
        <w:gridCol w:w="656"/>
        <w:gridCol w:w="2500"/>
        <w:gridCol w:w="161"/>
        <w:gridCol w:w="5138"/>
        <w:gridCol w:w="36"/>
      </w:tblGrid>
      <w:tr w:rsidR="006A432C" w:rsidRPr="00BD4F95" w14:paraId="7135AE7E" w14:textId="77777777" w:rsidTr="008A4311">
        <w:trPr>
          <w:trHeight w:val="20"/>
        </w:trPr>
        <w:tc>
          <w:tcPr>
            <w:tcW w:w="656" w:type="dxa"/>
            <w:tcBorders>
              <w:bottom w:val="single" w:sz="4" w:space="0" w:color="auto"/>
            </w:tcBorders>
          </w:tcPr>
          <w:p w14:paraId="7D738D41" w14:textId="77777777" w:rsidR="006A432C" w:rsidRPr="00BD4F95" w:rsidRDefault="006A432C" w:rsidP="00354719">
            <w:pPr>
              <w:pStyle w:val="TableText"/>
              <w:spacing w:before="0" w:after="0"/>
              <w:rPr>
                <w:b/>
                <w:szCs w:val="22"/>
              </w:rPr>
            </w:pPr>
            <w:r w:rsidRPr="00BD4F95">
              <w:rPr>
                <w:b/>
                <w:szCs w:val="22"/>
              </w:rPr>
              <w:t>Item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54FF04B7" w14:textId="77777777" w:rsidR="006A432C" w:rsidRPr="00BD4F95" w:rsidRDefault="006A432C" w:rsidP="00354719">
            <w:pPr>
              <w:pStyle w:val="TableText"/>
              <w:spacing w:before="0" w:after="0"/>
              <w:rPr>
                <w:b/>
                <w:szCs w:val="22"/>
              </w:rPr>
            </w:pPr>
            <w:r w:rsidRPr="00BD4F95">
              <w:rPr>
                <w:b/>
                <w:szCs w:val="22"/>
              </w:rPr>
              <w:t>Description</w:t>
            </w:r>
          </w:p>
        </w:tc>
        <w:tc>
          <w:tcPr>
            <w:tcW w:w="5335" w:type="dxa"/>
            <w:gridSpan w:val="3"/>
            <w:tcBorders>
              <w:bottom w:val="single" w:sz="4" w:space="0" w:color="auto"/>
            </w:tcBorders>
          </w:tcPr>
          <w:p w14:paraId="5664B9B8" w14:textId="77777777" w:rsidR="006A432C" w:rsidRPr="00BD4F95" w:rsidRDefault="006A432C" w:rsidP="00354719">
            <w:pPr>
              <w:pStyle w:val="TableText"/>
              <w:spacing w:before="0" w:after="0"/>
              <w:rPr>
                <w:b/>
                <w:szCs w:val="22"/>
              </w:rPr>
            </w:pPr>
          </w:p>
        </w:tc>
      </w:tr>
      <w:tr w:rsidR="001D2C4E" w:rsidRPr="001514D7" w14:paraId="7240FD8E" w14:textId="77777777" w:rsidTr="008A4311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val="315"/>
        </w:trPr>
        <w:tc>
          <w:tcPr>
            <w:tcW w:w="656" w:type="dxa"/>
            <w:shd w:val="clear" w:color="auto" w:fill="auto"/>
            <w:noWrap/>
          </w:tcPr>
          <w:p w14:paraId="33741222" w14:textId="77777777" w:rsidR="001D2C4E" w:rsidRPr="001514D7" w:rsidRDefault="001D2C4E" w:rsidP="004068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1" w:type="dxa"/>
            <w:gridSpan w:val="2"/>
            <w:shd w:val="clear" w:color="auto" w:fill="auto"/>
            <w:noWrap/>
          </w:tcPr>
          <w:p w14:paraId="06E86DA9" w14:textId="77777777" w:rsidR="001D2C4E" w:rsidRPr="001514D7" w:rsidRDefault="001D2C4E" w:rsidP="00151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Individual:</w:t>
            </w:r>
          </w:p>
        </w:tc>
        <w:tc>
          <w:tcPr>
            <w:tcW w:w="5138" w:type="dxa"/>
            <w:shd w:val="clear" w:color="auto" w:fill="auto"/>
            <w:noWrap/>
          </w:tcPr>
          <w:p w14:paraId="1DC38E90" w14:textId="77777777" w:rsidR="001D2C4E" w:rsidRPr="001514D7" w:rsidRDefault="001D2C4E" w:rsidP="00806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Colonel Tahir </w:t>
            </w:r>
            <w:r w:rsidR="00806B7C">
              <w:rPr>
                <w:color w:val="000000"/>
                <w:sz w:val="22"/>
                <w:szCs w:val="22"/>
              </w:rPr>
              <w:t>JUWADI</w:t>
            </w:r>
          </w:p>
        </w:tc>
      </w:tr>
      <w:tr w:rsidR="001D2C4E" w:rsidRPr="001514D7" w14:paraId="65B72EFF" w14:textId="77777777" w:rsidTr="008A4311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val="315"/>
        </w:trPr>
        <w:tc>
          <w:tcPr>
            <w:tcW w:w="656" w:type="dxa"/>
            <w:shd w:val="clear" w:color="auto" w:fill="auto"/>
            <w:noWrap/>
          </w:tcPr>
          <w:p w14:paraId="424C2938" w14:textId="77777777" w:rsidR="001D2C4E" w:rsidRPr="001514D7" w:rsidRDefault="001D2C4E" w:rsidP="001514D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61" w:type="dxa"/>
            <w:gridSpan w:val="2"/>
            <w:shd w:val="clear" w:color="auto" w:fill="auto"/>
            <w:noWrap/>
          </w:tcPr>
          <w:p w14:paraId="7ED63443" w14:textId="77777777" w:rsidR="001D2C4E" w:rsidRPr="001514D7" w:rsidRDefault="001D2C4E" w:rsidP="00151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Information:</w:t>
            </w:r>
          </w:p>
        </w:tc>
        <w:tc>
          <w:tcPr>
            <w:tcW w:w="5138" w:type="dxa"/>
            <w:shd w:val="clear" w:color="auto" w:fill="auto"/>
            <w:noWrap/>
          </w:tcPr>
          <w:p w14:paraId="7A9FF642" w14:textId="77777777" w:rsidR="001D2C4E" w:rsidRPr="001514D7" w:rsidRDefault="001D2C4E" w:rsidP="00151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Fourth in Revolutionary Guard chain of command</w:t>
            </w:r>
          </w:p>
        </w:tc>
      </w:tr>
      <w:tr w:rsidR="001D2C4E" w:rsidRPr="001514D7" w14:paraId="75C6CA10" w14:textId="77777777" w:rsidTr="008A4311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val="315"/>
        </w:trPr>
        <w:tc>
          <w:tcPr>
            <w:tcW w:w="656" w:type="dxa"/>
            <w:shd w:val="clear" w:color="auto" w:fill="auto"/>
            <w:noWrap/>
          </w:tcPr>
          <w:p w14:paraId="3F92D191" w14:textId="77777777" w:rsidR="001D2C4E" w:rsidRPr="001514D7" w:rsidRDefault="001D2C4E" w:rsidP="001514D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61" w:type="dxa"/>
            <w:gridSpan w:val="2"/>
            <w:shd w:val="clear" w:color="auto" w:fill="auto"/>
            <w:noWrap/>
          </w:tcPr>
          <w:p w14:paraId="7E7E74D9" w14:textId="77777777" w:rsidR="001D2C4E" w:rsidRPr="001514D7" w:rsidRDefault="001D2C4E" w:rsidP="00151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Listing information: </w:t>
            </w:r>
          </w:p>
        </w:tc>
        <w:tc>
          <w:tcPr>
            <w:tcW w:w="5138" w:type="dxa"/>
            <w:shd w:val="clear" w:color="auto" w:fill="auto"/>
            <w:noWrap/>
          </w:tcPr>
          <w:p w14:paraId="5455AC7B" w14:textId="77777777" w:rsidR="001D2C4E" w:rsidRPr="001514D7" w:rsidRDefault="001D2C4E" w:rsidP="00151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Formerly listed on the RBA Consolidated List as 2011LBY0055</w:t>
            </w:r>
          </w:p>
        </w:tc>
      </w:tr>
      <w:tr w:rsidR="001D2C4E" w:rsidRPr="001514D7" w14:paraId="0EEAEB68" w14:textId="77777777" w:rsidTr="005E4E0C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val="315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642D0C8" w14:textId="77777777" w:rsidR="001D2C4E" w:rsidRPr="001514D7" w:rsidRDefault="001D2C4E" w:rsidP="001514D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2C5063FF" w14:textId="77777777" w:rsidR="001D2C4E" w:rsidRPr="001514D7" w:rsidRDefault="001D2C4E" w:rsidP="001514D7">
            <w:pPr>
              <w:rPr>
                <w:sz w:val="22"/>
                <w:szCs w:val="22"/>
              </w:rPr>
            </w:pPr>
          </w:p>
        </w:tc>
        <w:tc>
          <w:tcPr>
            <w:tcW w:w="513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18F139" w14:textId="77777777" w:rsidR="001D2C4E" w:rsidRPr="001514D7" w:rsidRDefault="001D2C4E" w:rsidP="001514D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555A422" w14:textId="77777777" w:rsidR="0083699E" w:rsidRPr="0083699E" w:rsidRDefault="0083699E" w:rsidP="0083699E"/>
    <w:p w14:paraId="2186A4C3" w14:textId="77777777" w:rsidR="007627C8" w:rsidRPr="00BD4F95" w:rsidRDefault="00BD4F95" w:rsidP="007627C8">
      <w:pPr>
        <w:pStyle w:val="ActHead6"/>
        <w:outlineLvl w:val="1"/>
        <w:rPr>
          <w:rStyle w:val="CharPartText"/>
          <w:rFonts w:ascii="Times New Roman" w:hAnsi="Times New Roman"/>
        </w:rPr>
      </w:pPr>
      <w:bookmarkStart w:id="13" w:name="_Toc504991632"/>
      <w:r w:rsidRPr="00BD4F95">
        <w:rPr>
          <w:rStyle w:val="CharPartNo"/>
          <w:rFonts w:ascii="Times New Roman" w:hAnsi="Times New Roman"/>
        </w:rPr>
        <w:t>Schedule 4</w:t>
      </w:r>
      <w:r w:rsidR="007627C8" w:rsidRPr="00BD4F95">
        <w:rPr>
          <w:rStyle w:val="CharPartNo"/>
          <w:rFonts w:ascii="Times New Roman" w:hAnsi="Times New Roman"/>
        </w:rPr>
        <w:t xml:space="preserve"> </w:t>
      </w:r>
      <w:r w:rsidR="007627C8" w:rsidRPr="00BD4F95">
        <w:rPr>
          <w:rStyle w:val="CharPartNo"/>
          <w:rFonts w:ascii="Times New Roman" w:hAnsi="Times New Roman"/>
        </w:rPr>
        <w:tab/>
      </w:r>
      <w:r w:rsidR="007627C8" w:rsidRPr="00BD4F95">
        <w:rPr>
          <w:rStyle w:val="CharPartText"/>
          <w:rFonts w:ascii="Times New Roman" w:hAnsi="Times New Roman"/>
        </w:rPr>
        <w:t>Amendments</w:t>
      </w:r>
      <w:bookmarkEnd w:id="13"/>
    </w:p>
    <w:p w14:paraId="456BA2B5" w14:textId="77777777" w:rsidR="007627C8" w:rsidRPr="00BD4F95" w:rsidRDefault="007627C8" w:rsidP="007627C8"/>
    <w:p w14:paraId="4D4DD9BD" w14:textId="77777777" w:rsidR="007627C8" w:rsidRPr="00BD4F95" w:rsidRDefault="00051B72" w:rsidP="00051B72">
      <w:pPr>
        <w:spacing w:after="120"/>
        <w:rPr>
          <w:b/>
          <w:i/>
          <w:sz w:val="26"/>
        </w:rPr>
      </w:pPr>
      <w:r w:rsidRPr="00BD4F95">
        <w:rPr>
          <w:b/>
          <w:i/>
          <w:sz w:val="26"/>
        </w:rPr>
        <w:t>Autonomous Sanctions (Designated Persons and</w:t>
      </w:r>
      <w:r w:rsidR="00BD4F95">
        <w:rPr>
          <w:b/>
          <w:i/>
          <w:sz w:val="26"/>
        </w:rPr>
        <w:t xml:space="preserve"> Entities and Declared Persons –</w:t>
      </w:r>
      <w:r w:rsidRPr="00BD4F95">
        <w:rPr>
          <w:b/>
          <w:i/>
          <w:sz w:val="26"/>
        </w:rPr>
        <w:t xml:space="preserve"> Libya) List 2012</w:t>
      </w:r>
    </w:p>
    <w:p w14:paraId="3EA6F549" w14:textId="77777777" w:rsidR="007627C8" w:rsidRPr="00BD4F95" w:rsidRDefault="007627C8" w:rsidP="007627C8">
      <w:pPr>
        <w:spacing w:after="120"/>
        <w:rPr>
          <w:b/>
          <w:sz w:val="26"/>
        </w:rPr>
      </w:pPr>
      <w:r w:rsidRPr="00BD4F95">
        <w:rPr>
          <w:b/>
          <w:sz w:val="26"/>
        </w:rPr>
        <w:t xml:space="preserve">Schedule 1 Designated persons and entities and declared persons </w:t>
      </w:r>
    </w:p>
    <w:p w14:paraId="261CD241" w14:textId="77777777" w:rsidR="007627C8" w:rsidRPr="00BD4F95" w:rsidRDefault="007627C8" w:rsidP="007627C8">
      <w:pPr>
        <w:spacing w:after="120"/>
      </w:pPr>
      <w:r w:rsidRPr="00BD4F95">
        <w:t xml:space="preserve">Repeal the Schedule, substitute: </w:t>
      </w:r>
    </w:p>
    <w:p w14:paraId="3ABACE32" w14:textId="77777777" w:rsidR="007627C8" w:rsidRPr="00BD4F95" w:rsidRDefault="007627C8" w:rsidP="007627C8">
      <w:pPr>
        <w:spacing w:after="120"/>
      </w:pPr>
    </w:p>
    <w:p w14:paraId="2B85320D" w14:textId="77777777" w:rsidR="007627C8" w:rsidRPr="00BD4F95" w:rsidRDefault="007627C8" w:rsidP="007627C8">
      <w:pPr>
        <w:rPr>
          <w:sz w:val="8"/>
        </w:rPr>
      </w:pPr>
    </w:p>
    <w:p w14:paraId="2FDDE70E" w14:textId="77777777" w:rsidR="007627C8" w:rsidRPr="00617E31" w:rsidRDefault="007627C8" w:rsidP="007627C8">
      <w:pPr>
        <w:ind w:left="2160" w:hanging="2160"/>
        <w:rPr>
          <w:b/>
          <w:sz w:val="28"/>
          <w:szCs w:val="28"/>
        </w:rPr>
      </w:pPr>
      <w:r w:rsidRPr="00617E31">
        <w:rPr>
          <w:b/>
          <w:sz w:val="28"/>
          <w:szCs w:val="28"/>
        </w:rPr>
        <w:t xml:space="preserve">Schedule 1 </w:t>
      </w:r>
      <w:r w:rsidRPr="00617E31">
        <w:rPr>
          <w:b/>
          <w:sz w:val="28"/>
          <w:szCs w:val="28"/>
        </w:rPr>
        <w:tab/>
        <w:t xml:space="preserve">Designated persons and entities and declared persons </w:t>
      </w:r>
    </w:p>
    <w:p w14:paraId="6EF5BEC1" w14:textId="77777777" w:rsidR="007627C8" w:rsidRPr="00617E31" w:rsidRDefault="007627C8" w:rsidP="007627C8">
      <w:pPr>
        <w:spacing w:after="120"/>
        <w:rPr>
          <w:sz w:val="20"/>
          <w:szCs w:val="20"/>
        </w:rPr>
      </w:pPr>
      <w:r w:rsidRPr="00617E31">
        <w:rPr>
          <w:b/>
          <w:sz w:val="20"/>
          <w:szCs w:val="20"/>
        </w:rPr>
        <w:tab/>
      </w:r>
      <w:r w:rsidRPr="00617E31">
        <w:rPr>
          <w:b/>
          <w:sz w:val="20"/>
          <w:szCs w:val="20"/>
        </w:rPr>
        <w:tab/>
      </w:r>
      <w:r w:rsidRPr="00617E31">
        <w:rPr>
          <w:b/>
          <w:sz w:val="20"/>
          <w:szCs w:val="20"/>
        </w:rPr>
        <w:tab/>
      </w:r>
      <w:r w:rsidRPr="00617E31">
        <w:rPr>
          <w:sz w:val="20"/>
          <w:szCs w:val="20"/>
        </w:rPr>
        <w:t>(section 3)</w:t>
      </w:r>
    </w:p>
    <w:p w14:paraId="64A3D491" w14:textId="77777777" w:rsidR="00905639" w:rsidRPr="00BD4F95" w:rsidRDefault="00905639" w:rsidP="00905639">
      <w:pPr>
        <w:pStyle w:val="A2S"/>
      </w:pPr>
      <w:bookmarkStart w:id="14" w:name="_Toc374105403"/>
      <w:bookmarkStart w:id="15" w:name="_Toc374108814"/>
    </w:p>
    <w:tbl>
      <w:tblPr>
        <w:tblW w:w="8755" w:type="dxa"/>
        <w:tblLook w:val="0000" w:firstRow="0" w:lastRow="0" w:firstColumn="0" w:lastColumn="0" w:noHBand="0" w:noVBand="0"/>
      </w:tblPr>
      <w:tblGrid>
        <w:gridCol w:w="762"/>
        <w:gridCol w:w="2552"/>
        <w:gridCol w:w="5441"/>
      </w:tblGrid>
      <w:tr w:rsidR="00905639" w:rsidRPr="00BD4F95" w14:paraId="0A7C1C7C" w14:textId="77777777" w:rsidTr="00AE648F">
        <w:trPr>
          <w:trHeight w:val="20"/>
        </w:trPr>
        <w:tc>
          <w:tcPr>
            <w:tcW w:w="762" w:type="dxa"/>
            <w:tcBorders>
              <w:bottom w:val="single" w:sz="4" w:space="0" w:color="auto"/>
            </w:tcBorders>
          </w:tcPr>
          <w:p w14:paraId="7C1EB296" w14:textId="77777777" w:rsidR="00905639" w:rsidRPr="00BD4F95" w:rsidRDefault="00905639" w:rsidP="00AE648F">
            <w:pPr>
              <w:pStyle w:val="TableText"/>
              <w:spacing w:before="0" w:after="0"/>
              <w:rPr>
                <w:b/>
                <w:szCs w:val="22"/>
              </w:rPr>
            </w:pPr>
            <w:r w:rsidRPr="00BD4F95">
              <w:rPr>
                <w:b/>
                <w:szCs w:val="22"/>
              </w:rPr>
              <w:t>Item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B6249F" w14:textId="77777777" w:rsidR="00905639" w:rsidRPr="00BD4F95" w:rsidRDefault="00905639" w:rsidP="00AE648F">
            <w:pPr>
              <w:pStyle w:val="TableText"/>
              <w:spacing w:before="0" w:after="0"/>
              <w:rPr>
                <w:b/>
                <w:szCs w:val="22"/>
              </w:rPr>
            </w:pPr>
            <w:r w:rsidRPr="00BD4F95">
              <w:rPr>
                <w:b/>
                <w:szCs w:val="22"/>
              </w:rPr>
              <w:t>Description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14:paraId="26A7B29E" w14:textId="77777777" w:rsidR="00905639" w:rsidRPr="00BD4F95" w:rsidRDefault="00905639" w:rsidP="00AE648F">
            <w:pPr>
              <w:pStyle w:val="TableText"/>
              <w:spacing w:before="0" w:after="0"/>
              <w:rPr>
                <w:b/>
                <w:szCs w:val="22"/>
              </w:rPr>
            </w:pPr>
          </w:p>
        </w:tc>
      </w:tr>
      <w:tr w:rsidR="00905639" w:rsidRPr="00BD4F95" w14:paraId="799F0349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65D86A7" w14:textId="77777777" w:rsidR="00905639" w:rsidRPr="00BD4F95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03AB0E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C6119F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Abdallah MANSOUR</w:t>
            </w:r>
          </w:p>
        </w:tc>
      </w:tr>
      <w:tr w:rsidR="00905639" w:rsidRPr="005C0EBD" w14:paraId="69409815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44DF18B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D383C3D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116BA25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Senior role in security servic</w:t>
            </w:r>
            <w:r w:rsidRPr="005C0EBD">
              <w:rPr>
                <w:noProof/>
                <w:color w:val="000000"/>
                <w:sz w:val="22"/>
                <w:szCs w:val="22"/>
              </w:rPr>
              <w:t>es and former Director of Radio and Television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905639" w:rsidRPr="005C0EBD" w14:paraId="5730955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E1756B6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0667257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53D2E93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2011LBY0029</w:t>
            </w:r>
          </w:p>
        </w:tc>
      </w:tr>
      <w:tr w:rsidR="00905639" w:rsidRPr="005C0EBD" w14:paraId="0CE4B22B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DDF1A6D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305BB4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3DEECAB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806DD6" w14:paraId="7F5298D6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C93D89D" w14:textId="77777777" w:rsidR="00905639" w:rsidRPr="00806DD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 w:rsidRPr="00806D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EE9D355" w14:textId="77777777" w:rsidR="00905639" w:rsidRPr="00806DD6" w:rsidRDefault="00905639" w:rsidP="00AE648F">
            <w:pPr>
              <w:rPr>
                <w:color w:val="000000"/>
                <w:sz w:val="22"/>
                <w:szCs w:val="22"/>
              </w:rPr>
            </w:pPr>
            <w:r w:rsidRPr="00806DD6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B5D249E" w14:textId="77777777" w:rsidR="00905639" w:rsidRPr="00806DD6" w:rsidRDefault="00905639" w:rsidP="00AE648F">
            <w:pPr>
              <w:rPr>
                <w:color w:val="000000"/>
                <w:sz w:val="22"/>
                <w:szCs w:val="22"/>
              </w:rPr>
            </w:pPr>
            <w:r w:rsidRPr="00806DD6">
              <w:rPr>
                <w:noProof/>
                <w:color w:val="000000"/>
                <w:sz w:val="22"/>
                <w:szCs w:val="22"/>
              </w:rPr>
              <w:t>Abdelha</w:t>
            </w:r>
            <w:r>
              <w:rPr>
                <w:noProof/>
                <w:color w:val="000000"/>
                <w:sz w:val="22"/>
                <w:szCs w:val="22"/>
              </w:rPr>
              <w:t>f</w:t>
            </w:r>
            <w:r w:rsidRPr="00806DD6">
              <w:rPr>
                <w:noProof/>
                <w:color w:val="000000"/>
                <w:sz w:val="22"/>
                <w:szCs w:val="22"/>
              </w:rPr>
              <w:t>iz ZLITNI</w:t>
            </w:r>
          </w:p>
        </w:tc>
      </w:tr>
      <w:tr w:rsidR="00905639" w:rsidRPr="00806DD6" w14:paraId="15CC7E7A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EBE48F9" w14:textId="77777777" w:rsidR="00905639" w:rsidRPr="00806DD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5023C6C" w14:textId="77777777" w:rsidR="00905639" w:rsidRPr="00806DD6" w:rsidRDefault="00905639" w:rsidP="00AE648F">
            <w:pPr>
              <w:rPr>
                <w:color w:val="000000"/>
                <w:sz w:val="22"/>
                <w:szCs w:val="22"/>
              </w:rPr>
            </w:pPr>
            <w:r w:rsidRPr="00806DD6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1D4A50B" w14:textId="77777777" w:rsidR="00905639" w:rsidRPr="00806DD6" w:rsidRDefault="00905639" w:rsidP="00AE648F">
            <w:pPr>
              <w:rPr>
                <w:color w:val="000000"/>
                <w:sz w:val="22"/>
                <w:szCs w:val="22"/>
              </w:rPr>
            </w:pPr>
            <w:r w:rsidRPr="00806DD6">
              <w:rPr>
                <w:noProof/>
                <w:color w:val="000000"/>
                <w:sz w:val="22"/>
                <w:szCs w:val="22"/>
              </w:rPr>
              <w:t xml:space="preserve">Minister for Planning and Finance in </w:t>
            </w:r>
            <w:r>
              <w:rPr>
                <w:noProof/>
                <w:color w:val="000000"/>
                <w:sz w:val="22"/>
                <w:szCs w:val="22"/>
              </w:rPr>
              <w:t>Muammar</w:t>
            </w:r>
            <w:r w:rsidRPr="00806DD6">
              <w:rPr>
                <w:noProof/>
                <w:color w:val="000000"/>
                <w:sz w:val="22"/>
                <w:szCs w:val="22"/>
              </w:rPr>
              <w:t xml:space="preserve"> Qadhafi’s Government.</w:t>
            </w:r>
          </w:p>
        </w:tc>
      </w:tr>
      <w:tr w:rsidR="00905639" w:rsidRPr="005C0EBD" w14:paraId="79BBA490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11CBBE0" w14:textId="77777777" w:rsidR="00905639" w:rsidRPr="00806DD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26606B00" w14:textId="77777777" w:rsidR="00905639" w:rsidRPr="00806DD6" w:rsidRDefault="00905639" w:rsidP="00AE648F">
            <w:pPr>
              <w:rPr>
                <w:color w:val="000000"/>
                <w:sz w:val="22"/>
                <w:szCs w:val="22"/>
              </w:rPr>
            </w:pPr>
            <w:r w:rsidRPr="00806DD6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5BF5A4AF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806DD6">
              <w:rPr>
                <w:noProof/>
                <w:color w:val="000000"/>
                <w:sz w:val="22"/>
                <w:szCs w:val="22"/>
              </w:rPr>
              <w:t>Formerly listed on the RBA Consolidated List as 2011LBY0034</w:t>
            </w:r>
          </w:p>
        </w:tc>
      </w:tr>
      <w:tr w:rsidR="00905639" w:rsidRPr="005C0EBD" w14:paraId="1943AA38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EA52418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0668942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48AC68F7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3E6061C5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3E5DBB1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429FBBB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9AAF406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Abdelkebir Mohamad FAKHIRI</w:t>
            </w:r>
          </w:p>
        </w:tc>
      </w:tr>
      <w:tr w:rsidR="00905639" w:rsidRPr="005C0EBD" w14:paraId="098ABCB7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293A95F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5D55D14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560B19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Minister for Education, Higher Education and Research in </w:t>
            </w:r>
            <w:r>
              <w:rPr>
                <w:noProof/>
                <w:color w:val="000000"/>
                <w:sz w:val="22"/>
                <w:szCs w:val="22"/>
              </w:rPr>
              <w:t>Muammar</w:t>
            </w:r>
            <w:r w:rsidRPr="005C0EBD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Qadhafi</w:t>
            </w:r>
            <w:r w:rsidRPr="005C0EBD">
              <w:rPr>
                <w:noProof/>
                <w:color w:val="000000"/>
                <w:sz w:val="22"/>
                <w:szCs w:val="22"/>
              </w:rPr>
              <w:t>’s Government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905639" w:rsidRPr="005C0EBD" w14:paraId="02E7F5A3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A766271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AAB581A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A5FA920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2011LBY0024</w:t>
            </w:r>
          </w:p>
        </w:tc>
      </w:tr>
      <w:tr w:rsidR="00905639" w:rsidRPr="005C0EBD" w14:paraId="5F235291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7C72CDC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F10A1B4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4C18668F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74ED71B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9235D9D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CCB412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C903FD3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Abdelmajid AL-GAOUD</w:t>
            </w:r>
          </w:p>
        </w:tc>
      </w:tr>
      <w:tr w:rsidR="00905639" w:rsidRPr="005C0EBD" w14:paraId="338BF90C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4317C09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970426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2B0612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Minister for Agriculture, Animal and Maritime Resources in Colonel </w:t>
            </w:r>
            <w:r>
              <w:rPr>
                <w:noProof/>
                <w:color w:val="000000"/>
                <w:sz w:val="22"/>
                <w:szCs w:val="22"/>
              </w:rPr>
              <w:t>Qadhafi</w:t>
            </w:r>
            <w:r w:rsidRPr="005C0EBD">
              <w:rPr>
                <w:noProof/>
                <w:color w:val="000000"/>
                <w:sz w:val="22"/>
                <w:szCs w:val="22"/>
              </w:rPr>
              <w:t>’s Government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905639" w:rsidRPr="005C0EBD" w14:paraId="0C2CF8C8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BDE2012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33811CCB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7B3A71C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2011LBY0021</w:t>
            </w:r>
          </w:p>
        </w:tc>
      </w:tr>
      <w:tr w:rsidR="00905639" w:rsidRPr="005C0EBD" w14:paraId="04545DCC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450B765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7987403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4EA7542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3BADED58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39F17BA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95E1262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8F4354F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Abdulqader Yusef DIBRI</w:t>
            </w:r>
          </w:p>
        </w:tc>
      </w:tr>
      <w:tr w:rsidR="00905639" w:rsidRPr="005C0EBD" w14:paraId="4895E9B3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A77140D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548EA5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95337F1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1946</w:t>
            </w:r>
          </w:p>
        </w:tc>
      </w:tr>
      <w:tr w:rsidR="00905639" w:rsidRPr="005C0EBD" w14:paraId="14E3D78A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A334701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C37B612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050C00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Houn, Libya</w:t>
            </w:r>
          </w:p>
        </w:tc>
      </w:tr>
      <w:tr w:rsidR="00905639" w:rsidRPr="005C0EBD" w14:paraId="6F8874C4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3D07A71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FF5E217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6EF9087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Head of Muammar Qadhafi’s personal security. Responsibility for regime security. History of directing violence against dissidents.</w:t>
            </w:r>
          </w:p>
        </w:tc>
      </w:tr>
      <w:tr w:rsidR="00905639" w:rsidRPr="005C0EBD" w14:paraId="2644C737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0F4685B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B544D4B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C25EEBF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2011LBY0002</w:t>
            </w:r>
          </w:p>
        </w:tc>
      </w:tr>
      <w:tr w:rsidR="00905639" w:rsidRPr="005C0EBD" w14:paraId="3B9AB402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79B5ACE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DF751CC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7409EB74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0BED2011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8F875BC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EC9924D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5FE681F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Abdussalam Mohammed ABDUSSALAM</w:t>
            </w:r>
          </w:p>
        </w:tc>
      </w:tr>
      <w:tr w:rsidR="00905639" w:rsidRPr="005C0EBD" w14:paraId="379081A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2F3E57F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1B81142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D7AB57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c1952</w:t>
            </w:r>
          </w:p>
        </w:tc>
      </w:tr>
      <w:tr w:rsidR="00905639" w:rsidRPr="005C0EBD" w14:paraId="5FC0ED5B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DCBCCD3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E7D819C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FE2180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Tripoli, Libya</w:t>
            </w:r>
          </w:p>
        </w:tc>
      </w:tr>
      <w:tr w:rsidR="00905639" w:rsidRPr="005C0EBD" w14:paraId="43C5C1A1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75E9EF8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4053A94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7A5193A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Head of Counter-Terrorism, External Security Organisation. Prominent Revolutionary Committee member. Close associate of Muammar Qadhafi.</w:t>
            </w:r>
          </w:p>
        </w:tc>
      </w:tr>
      <w:tr w:rsidR="00905639" w:rsidRPr="005C0EBD" w14:paraId="685D2EF7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4A2051F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26AB429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13275E66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2011LBY0012</w:t>
            </w:r>
          </w:p>
        </w:tc>
      </w:tr>
      <w:tr w:rsidR="00905639" w:rsidRPr="005C0EBD" w14:paraId="6E8DDF21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9DFB79C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693BB81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1C8D29EB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5513C0EA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3B5EF1F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5A3551A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6047BF1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Bachir SALEH</w:t>
            </w:r>
          </w:p>
        </w:tc>
      </w:tr>
      <w:tr w:rsidR="00905639" w:rsidRPr="005C0EBD" w14:paraId="063E12D6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</w:tcPr>
          <w:p w14:paraId="71DCAE37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14:paraId="3A1472AF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441" w:type="dxa"/>
            <w:shd w:val="clear" w:color="auto" w:fill="auto"/>
            <w:noWrap/>
          </w:tcPr>
          <w:p w14:paraId="3D808368" w14:textId="77777777" w:rsidR="00905639" w:rsidRPr="005C0EBD" w:rsidRDefault="00905639" w:rsidP="00AE648F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Bashir Saleh BASHIR</w:t>
            </w:r>
          </w:p>
        </w:tc>
      </w:tr>
      <w:tr w:rsidR="00905639" w:rsidRPr="005C0EBD" w14:paraId="716AD0A6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6655E5B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9E18EE4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D33A5C1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Head of Cabinet of the Leader</w:t>
            </w:r>
            <w:r>
              <w:rPr>
                <w:noProof/>
                <w:color w:val="000000"/>
                <w:sz w:val="22"/>
                <w:szCs w:val="22"/>
              </w:rPr>
              <w:t xml:space="preserve"> in Muammar Qadhafi’s Government.</w:t>
            </w:r>
          </w:p>
        </w:tc>
      </w:tr>
      <w:tr w:rsidR="00905639" w:rsidRPr="005C0EBD" w14:paraId="36EF71C3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9D3741B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3019F6C4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F1C9790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2011LBY0030</w:t>
            </w:r>
          </w:p>
        </w:tc>
      </w:tr>
      <w:tr w:rsidR="00905639" w:rsidRPr="005C0EBD" w14:paraId="2C5202D0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AEC28D3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0E6D81A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62FD5926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6E2EB8AA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142B0A4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67F5D91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F35634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Baghdadi AL-MAHMOUDI</w:t>
            </w:r>
          </w:p>
        </w:tc>
      </w:tr>
      <w:tr w:rsidR="00905639" w:rsidRPr="005C0EBD" w14:paraId="4E7D523F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16F472C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50A2EBC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2AFD4A4" w14:textId="14AE3483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Prime Minister </w:t>
            </w:r>
            <w:r>
              <w:rPr>
                <w:noProof/>
                <w:color w:val="000000"/>
                <w:sz w:val="22"/>
                <w:szCs w:val="22"/>
              </w:rPr>
              <w:t>in</w:t>
            </w:r>
            <w:r w:rsidRPr="005C0EBD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C0505">
              <w:rPr>
                <w:noProof/>
                <w:color w:val="000000"/>
                <w:sz w:val="22"/>
                <w:szCs w:val="22"/>
              </w:rPr>
              <w:t>Muammar</w:t>
            </w:r>
            <w:r w:rsidRPr="005C0EBD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Qadhafi</w:t>
            </w:r>
            <w:r w:rsidRPr="005C0EBD">
              <w:rPr>
                <w:noProof/>
                <w:color w:val="000000"/>
                <w:sz w:val="22"/>
                <w:szCs w:val="22"/>
              </w:rPr>
              <w:t>’s Government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905639" w:rsidRPr="005C0EBD" w14:paraId="52E1FA8D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8C91D58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677865F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26AB65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2011LBY0022</w:t>
            </w:r>
          </w:p>
        </w:tc>
      </w:tr>
      <w:tr w:rsidR="00905639" w:rsidRPr="005C0EBD" w14:paraId="2D4FF155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255CFFD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118E271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62B3F87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6D2B6E60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EEA0645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2FF6E5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C38E163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Colonel Amid Husain AL KUNI</w:t>
            </w:r>
          </w:p>
        </w:tc>
      </w:tr>
      <w:tr w:rsidR="00905639" w:rsidRPr="005C0EBD" w14:paraId="03C71985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63649CB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BB9C065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016BFC2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Pr="005C0EBD">
              <w:rPr>
                <w:noProof/>
                <w:color w:val="000000"/>
                <w:sz w:val="22"/>
                <w:szCs w:val="22"/>
              </w:rPr>
              <w:t>Governor of Ghat (South Libya)</w:t>
            </w:r>
          </w:p>
        </w:tc>
      </w:tr>
      <w:tr w:rsidR="00905639" w:rsidRPr="005C0EBD" w14:paraId="7C1A7E97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82AC4F5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BD2B0A1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CCEFF0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2011LBY0017</w:t>
            </w:r>
          </w:p>
        </w:tc>
      </w:tr>
      <w:tr w:rsidR="00905639" w:rsidRPr="005C0EBD" w14:paraId="4E98945A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F7758E6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09A34B7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76E51D0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44EC68A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E801AAF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38C8B2F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1C45B3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Colonel Mas'ud ABDULHAFIZ</w:t>
            </w:r>
          </w:p>
        </w:tc>
      </w:tr>
      <w:tr w:rsidR="00905639" w:rsidRPr="005C0EBD" w14:paraId="1E41FB7F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C78C649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05BA7A7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573B6FEF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Pr="005C0EBD">
              <w:rPr>
                <w:noProof/>
                <w:color w:val="000000"/>
                <w:sz w:val="22"/>
                <w:szCs w:val="22"/>
              </w:rPr>
              <w:t>Armed Forces Commander. Third in command of Armed Forces. Significant role in Military Intelligence.</w:t>
            </w:r>
          </w:p>
        </w:tc>
      </w:tr>
      <w:tr w:rsidR="00905639" w:rsidRPr="005C0EBD" w14:paraId="14878DB8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459E690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7EF21B0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5BEC550C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2011LBY0011</w:t>
            </w:r>
          </w:p>
        </w:tc>
      </w:tr>
      <w:tr w:rsidR="00905639" w:rsidRPr="005C0EBD" w14:paraId="72E8656F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F5495F3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B095767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106AF93D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14ED55C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8885014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074F9B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29DA5C6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Dr Abdulqader Mohammed AL-BAGHDADI</w:t>
            </w:r>
          </w:p>
        </w:tc>
      </w:tr>
      <w:tr w:rsidR="00905639" w:rsidRPr="005C0EBD" w14:paraId="49EFC51A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00179A4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3A47ACF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58081A8F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1/07/1950</w:t>
            </w:r>
          </w:p>
        </w:tc>
      </w:tr>
      <w:tr w:rsidR="00905639" w:rsidRPr="005C0EBD" w14:paraId="67EA4B67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E695888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A7603F6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1C82FB2A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Passport number: B010574. </w:t>
            </w: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Pr="005C0EBD">
              <w:rPr>
                <w:noProof/>
                <w:color w:val="000000"/>
                <w:sz w:val="22"/>
                <w:szCs w:val="22"/>
              </w:rPr>
              <w:t>Head of the Liaison Office o</w:t>
            </w:r>
            <w:r>
              <w:rPr>
                <w:noProof/>
                <w:color w:val="000000"/>
                <w:sz w:val="22"/>
                <w:szCs w:val="22"/>
              </w:rPr>
              <w:t xml:space="preserve">f the Revolutionary Committees, </w:t>
            </w:r>
            <w:r w:rsidRPr="005C0EBD">
              <w:rPr>
                <w:noProof/>
                <w:color w:val="000000"/>
                <w:sz w:val="22"/>
                <w:szCs w:val="22"/>
              </w:rPr>
              <w:t>involved in violence against demonstrators.</w:t>
            </w:r>
          </w:p>
        </w:tc>
      </w:tr>
      <w:tr w:rsidR="00905639" w:rsidRPr="005C0EBD" w14:paraId="25376F4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25BA3C2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30A60E30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D7B1091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2011LBY0001</w:t>
            </w:r>
          </w:p>
        </w:tc>
      </w:tr>
      <w:tr w:rsidR="00905639" w:rsidRPr="005C0EBD" w14:paraId="3C43EFCD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AB5DB13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DA25CA5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28C8D945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7FE54B3F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5536D1B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C8D724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19662D51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General Khaled TOHAMI</w:t>
            </w:r>
          </w:p>
        </w:tc>
      </w:tr>
      <w:tr w:rsidR="00905639" w:rsidRPr="005C0EBD" w14:paraId="3AAFD703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A84B363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FE2AE6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649DCF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Director of Internal Security Office</w:t>
            </w:r>
            <w:r>
              <w:rPr>
                <w:noProof/>
                <w:color w:val="000000"/>
                <w:sz w:val="22"/>
                <w:szCs w:val="22"/>
              </w:rPr>
              <w:t xml:space="preserve"> in Muammar Qadhafi’s Government.</w:t>
            </w:r>
          </w:p>
        </w:tc>
      </w:tr>
      <w:tr w:rsidR="00905639" w:rsidRPr="005C0EBD" w14:paraId="22B1DFC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6D866A9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36E70955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585DD49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2011LBY0031</w:t>
            </w:r>
          </w:p>
        </w:tc>
      </w:tr>
      <w:tr w:rsidR="00905639" w:rsidRPr="005C0EBD" w14:paraId="4AB8AA3C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CE39CBB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30082E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25ABCBDD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72BEFC5A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967AE8B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99FCFCF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52F3EC5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Ibrahim Zarroug AL-CHARIF</w:t>
            </w:r>
          </w:p>
        </w:tc>
      </w:tr>
      <w:tr w:rsidR="00905639" w:rsidRPr="005C0EBD" w14:paraId="4EFB5E41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3E409B9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E55CFF3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D17A400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Minister for Social Affairs in </w:t>
            </w:r>
            <w:r>
              <w:rPr>
                <w:noProof/>
                <w:color w:val="000000"/>
                <w:sz w:val="22"/>
                <w:szCs w:val="22"/>
              </w:rPr>
              <w:t>Muammar</w:t>
            </w:r>
            <w:r w:rsidRPr="005C0EBD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Qadhafi</w:t>
            </w:r>
            <w:r w:rsidRPr="005C0EBD">
              <w:rPr>
                <w:noProof/>
                <w:color w:val="000000"/>
                <w:sz w:val="22"/>
                <w:szCs w:val="22"/>
              </w:rPr>
              <w:t>’s Government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905639" w:rsidRPr="005C0EBD" w14:paraId="307B7F7A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C5BBDAE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6887C6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D1A2EA0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2011LBY0020</w:t>
            </w:r>
          </w:p>
        </w:tc>
      </w:tr>
      <w:tr w:rsidR="00905639" w:rsidRPr="005C0EBD" w14:paraId="2C1C8AB1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CD62C83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F76521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4939090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35364512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E017BC5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9F61BBD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7193266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Mohamad Mahmoud HIJAZI</w:t>
            </w:r>
          </w:p>
        </w:tc>
      </w:tr>
      <w:tr w:rsidR="00905639" w:rsidRPr="005C0EBD" w14:paraId="74569BD6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E0487CC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EDA892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70CC9AAC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Minister for Health and Environment in </w:t>
            </w:r>
            <w:r>
              <w:rPr>
                <w:noProof/>
                <w:color w:val="000000"/>
                <w:sz w:val="22"/>
                <w:szCs w:val="22"/>
              </w:rPr>
              <w:t>Muammar</w:t>
            </w:r>
            <w:r w:rsidRPr="005C0EBD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Qadhafi</w:t>
            </w:r>
            <w:r w:rsidRPr="005C0EBD">
              <w:rPr>
                <w:noProof/>
                <w:color w:val="000000"/>
                <w:sz w:val="22"/>
                <w:szCs w:val="22"/>
              </w:rPr>
              <w:t>’s Government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905639" w:rsidRPr="005C0EBD" w14:paraId="6A6B0B9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9A55B8D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7B5FEFA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C036CA0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2011LBY0027</w:t>
            </w:r>
          </w:p>
        </w:tc>
      </w:tr>
      <w:tr w:rsidR="00905639" w:rsidRPr="005C0EBD" w14:paraId="3717ECF3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7A98FE8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2F027326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0C0857AB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21AB267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BE9F81A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9DFBE6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7988821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Mohamed Abou EL-KASSIM ZOUAI</w:t>
            </w:r>
          </w:p>
        </w:tc>
      </w:tr>
      <w:tr w:rsidR="00905639" w:rsidRPr="005C0EBD" w14:paraId="279E2B19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DF074B5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CBA21CA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1BAF1AA7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Pr="005C0EBD">
              <w:rPr>
                <w:noProof/>
                <w:color w:val="000000"/>
                <w:sz w:val="22"/>
                <w:szCs w:val="22"/>
              </w:rPr>
              <w:t>Secretary General of the General People’s Congress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905639" w:rsidRPr="005C0EBD" w14:paraId="4E90549C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9E81AEC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85DBC74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1F139D90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2011LBY0023</w:t>
            </w:r>
          </w:p>
        </w:tc>
      </w:tr>
      <w:tr w:rsidR="00905639" w:rsidRPr="005C0EBD" w14:paraId="14F2716F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20AC076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18635E6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54CE99E3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01B3CB28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3F66C3E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FA353DA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7D4970F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Mohamad Ali HOUEJ</w:t>
            </w:r>
          </w:p>
        </w:tc>
      </w:tr>
      <w:tr w:rsidR="00905639" w:rsidRPr="005C0EBD" w14:paraId="564D1FD4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985738D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3FAEE701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33E0E8BB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Minister for Industry, Economy and Trade in </w:t>
            </w:r>
            <w:r>
              <w:rPr>
                <w:noProof/>
                <w:color w:val="000000"/>
                <w:sz w:val="22"/>
                <w:szCs w:val="22"/>
              </w:rPr>
              <w:t>Muammar</w:t>
            </w:r>
            <w:r w:rsidRPr="005C0EBD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Qadhafi</w:t>
            </w:r>
            <w:r w:rsidRPr="005C0EBD">
              <w:rPr>
                <w:noProof/>
                <w:color w:val="000000"/>
                <w:sz w:val="22"/>
                <w:szCs w:val="22"/>
              </w:rPr>
              <w:t>’s Government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905639" w:rsidRPr="005C0EBD" w14:paraId="4D794462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7CAF64F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0581CEC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7F5A7CF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2011LBY0028</w:t>
            </w:r>
          </w:p>
        </w:tc>
      </w:tr>
      <w:tr w:rsidR="00905639" w:rsidRPr="005C0EBD" w14:paraId="160CB052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0413B0B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2182EDDD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36EBFB1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30D038E1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FD50324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9E6759D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93AD37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Mohammed Boucharaya FARKASH</w:t>
            </w:r>
          </w:p>
        </w:tc>
      </w:tr>
      <w:tr w:rsidR="00905639" w:rsidRPr="005C0EBD" w14:paraId="404D6358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F22DABE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372E7E0B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DA64FBB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 Director of I</w:t>
            </w:r>
            <w:r w:rsidRPr="005C0EBD">
              <w:rPr>
                <w:noProof/>
                <w:color w:val="000000"/>
                <w:sz w:val="22"/>
                <w:szCs w:val="22"/>
              </w:rPr>
              <w:t>ntelligence in External Security Office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905639" w:rsidRPr="005C0EBD" w14:paraId="3DC243C6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3E8F976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4BB7238B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BDB791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2011LBY0025</w:t>
            </w:r>
          </w:p>
        </w:tc>
      </w:tr>
      <w:tr w:rsidR="00905639" w:rsidRPr="005C0EBD" w14:paraId="15CCECED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0AECE88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2D361BD0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0FD5BD54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7846BD2C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71A9F66B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05F5B2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5390A24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Omar ASHKAL</w:t>
            </w:r>
          </w:p>
        </w:tc>
      </w:tr>
      <w:tr w:rsidR="00905639" w:rsidRPr="005C0EBD" w14:paraId="06259A70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CD446BB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6AA569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FC9A757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Sirte, Libya</w:t>
            </w:r>
          </w:p>
        </w:tc>
      </w:tr>
      <w:tr w:rsidR="00905639" w:rsidRPr="005C0EBD" w14:paraId="1D16F2A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BA26864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08BBCE3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1BDA345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Pr="005C0EBD">
              <w:rPr>
                <w:noProof/>
                <w:color w:val="000000"/>
                <w:sz w:val="22"/>
                <w:szCs w:val="22"/>
              </w:rPr>
              <w:t>Head, Revolutionary Committees Movement</w:t>
            </w:r>
            <w:r>
              <w:rPr>
                <w:noProof/>
                <w:color w:val="000000"/>
                <w:sz w:val="22"/>
                <w:szCs w:val="22"/>
              </w:rPr>
              <w:t xml:space="preserve">, </w:t>
            </w:r>
            <w:r w:rsidRPr="005C0EBD">
              <w:rPr>
                <w:noProof/>
                <w:color w:val="000000"/>
                <w:sz w:val="22"/>
                <w:szCs w:val="22"/>
              </w:rPr>
              <w:t xml:space="preserve"> involved in violence against demonstrators.</w:t>
            </w:r>
          </w:p>
        </w:tc>
      </w:tr>
      <w:tr w:rsidR="00905639" w:rsidRPr="005C0EBD" w14:paraId="51F16CA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468C778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2B8FA4C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5D66F5D2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2011LBY0015</w:t>
            </w:r>
          </w:p>
        </w:tc>
      </w:tr>
      <w:tr w:rsidR="00905639" w:rsidRPr="005C0EBD" w14:paraId="7FAA5477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5E31E90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65183B80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6DAF7863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5C716721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47745A7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EB7EB37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0C764C3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  <w:lang w:val="fr-FR"/>
              </w:rPr>
            </w:pPr>
            <w:r w:rsidRPr="005C0EBD">
              <w:rPr>
                <w:noProof/>
                <w:color w:val="000000"/>
                <w:sz w:val="22"/>
                <w:szCs w:val="22"/>
                <w:lang w:val="fr-FR"/>
              </w:rPr>
              <w:t>Quren Salih Quren AL QADHAFI</w:t>
            </w:r>
          </w:p>
        </w:tc>
      </w:tr>
      <w:tr w:rsidR="00905639" w:rsidRPr="005C0EBD" w14:paraId="5DBE30F7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058E321C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3B251CD6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19D00E3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Pr="005C0EBD">
              <w:rPr>
                <w:noProof/>
                <w:color w:val="000000"/>
                <w:sz w:val="22"/>
                <w:szCs w:val="22"/>
              </w:rPr>
              <w:t>Libyan Ambassador to Chad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905639" w:rsidRPr="005C0EBD" w14:paraId="16AA8AA5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64695D87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3935F02A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54B5937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2011LBY0018</w:t>
            </w:r>
          </w:p>
        </w:tc>
      </w:tr>
      <w:tr w:rsidR="00905639" w:rsidRPr="005C0EBD" w14:paraId="348E7901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795927E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3021A83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16401C6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1E79A808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58C4F02E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63F063B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ADEC008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Sayyid Mohammed QADHAF AL-DAM</w:t>
            </w:r>
          </w:p>
        </w:tc>
      </w:tr>
      <w:tr w:rsidR="00905639" w:rsidRPr="005C0EBD" w14:paraId="32A914D3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C300C6E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A59A36B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7BDEEFF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1948</w:t>
            </w:r>
          </w:p>
        </w:tc>
      </w:tr>
      <w:tr w:rsidR="00905639" w:rsidRPr="005C0EBD" w14:paraId="0E4927D1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B90B5C0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9994B16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28E257A5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Sirte, Libya</w:t>
            </w:r>
          </w:p>
        </w:tc>
      </w:tr>
      <w:tr w:rsidR="00905639" w:rsidRPr="005C0EBD" w14:paraId="5077BAA9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27892C5B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54777813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064642A7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 xml:space="preserve">Cousin of Muammar Qadhafi. In the 1980s, </w:t>
            </w:r>
            <w:r w:rsidRPr="006B253E">
              <w:rPr>
                <w:noProof/>
                <w:color w:val="000000"/>
                <w:sz w:val="22"/>
                <w:szCs w:val="22"/>
              </w:rPr>
              <w:t xml:space="preserve">Qadhaf Al-Dam </w:t>
            </w:r>
            <w:r w:rsidRPr="005C0EBD">
              <w:rPr>
                <w:noProof/>
                <w:color w:val="000000"/>
                <w:sz w:val="22"/>
                <w:szCs w:val="22"/>
              </w:rPr>
              <w:t>was involved in the dissident assassination campaign and allegedly responsible for several deaths in Europe. He is also thought to have been involved in arms procurement</w:t>
            </w:r>
            <w:r>
              <w:rPr>
                <w:noProof/>
                <w:color w:val="000000"/>
                <w:sz w:val="22"/>
                <w:szCs w:val="22"/>
              </w:rPr>
              <w:t xml:space="preserve"> for the former Libyan regime</w:t>
            </w:r>
            <w:r w:rsidRPr="005C0EBD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905639" w:rsidRPr="005C0EBD" w14:paraId="4B527515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C40D5DD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E594B6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42AEE9F7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2011LBY0006</w:t>
            </w:r>
          </w:p>
        </w:tc>
      </w:tr>
      <w:tr w:rsidR="00905639" w:rsidRPr="005C0EBD" w14:paraId="73623779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56283FE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1F6E6731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shd w:val="clear" w:color="auto" w:fill="auto"/>
            <w:noWrap/>
            <w:hideMark/>
          </w:tcPr>
          <w:p w14:paraId="697973F4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5C0EBD" w14:paraId="3917526B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19F70303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43B4CDA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62001AF7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Shaariya </w:t>
            </w:r>
            <w:r w:rsidRPr="005C0EBD">
              <w:rPr>
                <w:noProof/>
                <w:color w:val="000000"/>
                <w:sz w:val="22"/>
                <w:szCs w:val="22"/>
              </w:rPr>
              <w:t>ABU</w:t>
            </w:r>
          </w:p>
        </w:tc>
      </w:tr>
      <w:tr w:rsidR="00905639" w:rsidRPr="005C0EBD" w14:paraId="047FFB12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4EC1A0CC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7542885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1475C12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Pr="005C0EBD">
              <w:rPr>
                <w:noProof/>
                <w:color w:val="000000"/>
                <w:sz w:val="22"/>
                <w:szCs w:val="22"/>
              </w:rPr>
              <w:t>Deputy Head, External Security Organisation. Prominent member of regime. Brother-in-law of Muammar Qadhafi.</w:t>
            </w:r>
          </w:p>
        </w:tc>
      </w:tr>
      <w:tr w:rsidR="00905639" w:rsidRPr="005C0EBD" w14:paraId="03A4CA4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shd w:val="clear" w:color="auto" w:fill="auto"/>
            <w:noWrap/>
            <w:hideMark/>
          </w:tcPr>
          <w:p w14:paraId="3CCF855B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14:paraId="003BC729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441" w:type="dxa"/>
            <w:shd w:val="clear" w:color="auto" w:fill="auto"/>
            <w:noWrap/>
            <w:hideMark/>
          </w:tcPr>
          <w:p w14:paraId="10540DDE" w14:textId="77777777" w:rsidR="00905639" w:rsidRPr="005C0EBD" w:rsidRDefault="00905639" w:rsidP="00AE648F">
            <w:pPr>
              <w:rPr>
                <w:color w:val="000000"/>
                <w:sz w:val="22"/>
                <w:szCs w:val="22"/>
              </w:rPr>
            </w:pPr>
            <w:r w:rsidRPr="005C0EBD">
              <w:rPr>
                <w:noProof/>
                <w:color w:val="000000"/>
                <w:sz w:val="22"/>
                <w:szCs w:val="22"/>
              </w:rPr>
              <w:t>Formerly listed on the RBA Consolidated List as 2011LBY0013</w:t>
            </w:r>
          </w:p>
        </w:tc>
      </w:tr>
      <w:tr w:rsidR="00905639" w:rsidRPr="005C0EBD" w14:paraId="1C9140A8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F1CD35" w14:textId="77777777" w:rsidR="00905639" w:rsidRPr="005C0EBD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5A6976" w14:textId="77777777" w:rsidR="00905639" w:rsidRPr="005C0EBD" w:rsidRDefault="00905639" w:rsidP="00AE648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D8CC5E8" w14:textId="77777777" w:rsidR="00905639" w:rsidRPr="005C0EBD" w:rsidRDefault="00905639" w:rsidP="00AE648F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0B6A2BC0" w14:textId="77777777" w:rsidR="00182C3B" w:rsidRDefault="00182C3B" w:rsidP="00051B72">
      <w:pPr>
        <w:pStyle w:val="Schedulepart"/>
        <w:spacing w:before="0"/>
        <w:rPr>
          <w:rStyle w:val="CharPartNo"/>
          <w:rFonts w:ascii="Times New Roman" w:hAnsi="Times New Roman"/>
        </w:rPr>
      </w:pPr>
    </w:p>
    <w:p w14:paraId="031D1981" w14:textId="77777777" w:rsidR="00051B72" w:rsidRPr="00617E31" w:rsidRDefault="00051B72" w:rsidP="00051B72">
      <w:pPr>
        <w:pStyle w:val="Schedulepart"/>
        <w:spacing w:before="0"/>
        <w:rPr>
          <w:rStyle w:val="CharSchPTNo"/>
          <w:rFonts w:ascii="Times New Roman" w:hAnsi="Times New Roman"/>
        </w:rPr>
      </w:pPr>
      <w:r w:rsidRPr="00617E31">
        <w:rPr>
          <w:rStyle w:val="CharPartNo"/>
          <w:rFonts w:ascii="Times New Roman" w:hAnsi="Times New Roman"/>
        </w:rPr>
        <w:t>Part 2</w:t>
      </w:r>
      <w:r w:rsidRPr="00617E31">
        <w:rPr>
          <w:rStyle w:val="CharSchPTNo"/>
          <w:rFonts w:ascii="Times New Roman" w:hAnsi="Times New Roman"/>
        </w:rPr>
        <w:tab/>
      </w:r>
      <w:r w:rsidRPr="00617E31">
        <w:rPr>
          <w:rStyle w:val="CharPartText"/>
          <w:rFonts w:ascii="Times New Roman" w:hAnsi="Times New Roman"/>
        </w:rPr>
        <w:t>Designated entities</w:t>
      </w:r>
      <w:bookmarkEnd w:id="14"/>
      <w:bookmarkEnd w:id="15"/>
      <w:r w:rsidRPr="00617E31">
        <w:rPr>
          <w:rStyle w:val="CharSchPTNo"/>
          <w:rFonts w:ascii="Times New Roman" w:hAnsi="Times New Roman"/>
        </w:rPr>
        <w:t xml:space="preserve"> </w:t>
      </w:r>
    </w:p>
    <w:p w14:paraId="0E68188C" w14:textId="77777777" w:rsidR="00905639" w:rsidRPr="00BD4F95" w:rsidRDefault="00905639" w:rsidP="00905639">
      <w:pPr>
        <w:pStyle w:val="A2S"/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694"/>
        <w:gridCol w:w="2690"/>
        <w:gridCol w:w="5371"/>
      </w:tblGrid>
      <w:tr w:rsidR="00905639" w:rsidRPr="00BD4F95" w14:paraId="5BBD688B" w14:textId="77777777" w:rsidTr="00AE648F">
        <w:trPr>
          <w:trHeight w:val="20"/>
        </w:trPr>
        <w:tc>
          <w:tcPr>
            <w:tcW w:w="694" w:type="dxa"/>
            <w:tcBorders>
              <w:bottom w:val="single" w:sz="4" w:space="0" w:color="auto"/>
            </w:tcBorders>
          </w:tcPr>
          <w:p w14:paraId="4A826C8E" w14:textId="77777777" w:rsidR="00905639" w:rsidRPr="00BD4F95" w:rsidRDefault="00905639" w:rsidP="00AE648F">
            <w:pPr>
              <w:pStyle w:val="TableText"/>
              <w:spacing w:before="0" w:after="0"/>
              <w:rPr>
                <w:b/>
                <w:szCs w:val="22"/>
              </w:rPr>
            </w:pPr>
            <w:r w:rsidRPr="00BD4F95">
              <w:rPr>
                <w:b/>
                <w:szCs w:val="22"/>
              </w:rPr>
              <w:t>Item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088B6F30" w14:textId="77777777" w:rsidR="00905639" w:rsidRPr="00BD4F95" w:rsidRDefault="00905639" w:rsidP="00AE648F">
            <w:pPr>
              <w:pStyle w:val="TableText"/>
              <w:spacing w:before="0" w:after="0"/>
              <w:rPr>
                <w:b/>
                <w:szCs w:val="22"/>
              </w:rPr>
            </w:pPr>
            <w:r w:rsidRPr="00BD4F95">
              <w:rPr>
                <w:b/>
                <w:szCs w:val="22"/>
              </w:rPr>
              <w:t>Description</w:t>
            </w:r>
          </w:p>
        </w:tc>
        <w:tc>
          <w:tcPr>
            <w:tcW w:w="5371" w:type="dxa"/>
            <w:tcBorders>
              <w:bottom w:val="single" w:sz="4" w:space="0" w:color="auto"/>
            </w:tcBorders>
          </w:tcPr>
          <w:p w14:paraId="6835319E" w14:textId="77777777" w:rsidR="00905639" w:rsidRPr="00BD4F95" w:rsidRDefault="00905639" w:rsidP="00AE648F">
            <w:pPr>
              <w:pStyle w:val="TableText"/>
              <w:spacing w:before="0" w:after="0"/>
              <w:rPr>
                <w:b/>
                <w:szCs w:val="22"/>
              </w:rPr>
            </w:pPr>
          </w:p>
        </w:tc>
      </w:tr>
      <w:tr w:rsidR="00905639" w:rsidRPr="00BD4F95" w14:paraId="152E9C93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C6076CA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 w:rsidRPr="00F54A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BB9D223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BF6FBE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Al-Inma Holding Company for Construction and Real Estate Developments</w:t>
            </w:r>
          </w:p>
        </w:tc>
      </w:tr>
      <w:tr w:rsidR="00905639" w:rsidRPr="00BD4F95" w14:paraId="5C5D515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383970FF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0EB0A5F4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</w:tcPr>
          <w:p w14:paraId="29DB47C6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Formerly listed on the RBA Consolidated List as 2011LBY0035</w:t>
            </w:r>
          </w:p>
        </w:tc>
      </w:tr>
      <w:tr w:rsidR="00905639" w:rsidRPr="00BD4F95" w14:paraId="3C29547C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03076635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4DE8B7AD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</w:tcPr>
          <w:p w14:paraId="73DB3912" w14:textId="77777777" w:rsidR="00905639" w:rsidRPr="00F54A56" w:rsidRDefault="00905639" w:rsidP="00AE6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5639" w:rsidRPr="00BD4F95" w14:paraId="6CBFDD63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189AF716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 w:rsidRPr="00F54A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0" w:type="dxa"/>
            <w:shd w:val="clear" w:color="auto" w:fill="auto"/>
            <w:noWrap/>
          </w:tcPr>
          <w:p w14:paraId="0C05B8E6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71" w:type="dxa"/>
            <w:shd w:val="clear" w:color="auto" w:fill="auto"/>
            <w:noWrap/>
          </w:tcPr>
          <w:p w14:paraId="529301FB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Al-Inma Holding Company For Industrial Investments</w:t>
            </w:r>
          </w:p>
        </w:tc>
      </w:tr>
      <w:tr w:rsidR="00905639" w:rsidRPr="00BD4F95" w14:paraId="55CE64C3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179D0BB0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7ED627FD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</w:tcPr>
          <w:p w14:paraId="78C918EE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Formerly listed on the RBA Consolidated List as 2011LBY0036</w:t>
            </w:r>
          </w:p>
        </w:tc>
      </w:tr>
      <w:tr w:rsidR="00905639" w:rsidRPr="00BD4F95" w14:paraId="0EA92006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69FC61E2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1243FB2A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</w:tcPr>
          <w:p w14:paraId="5507287D" w14:textId="77777777" w:rsidR="00905639" w:rsidRPr="00F54A56" w:rsidRDefault="00905639" w:rsidP="00AE6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5639" w:rsidRPr="00BD4F95" w14:paraId="60691099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093E4D24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 w:rsidRPr="00F54A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0" w:type="dxa"/>
            <w:shd w:val="clear" w:color="auto" w:fill="auto"/>
            <w:noWrap/>
          </w:tcPr>
          <w:p w14:paraId="36221214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71" w:type="dxa"/>
            <w:shd w:val="clear" w:color="auto" w:fill="auto"/>
            <w:noWrap/>
          </w:tcPr>
          <w:p w14:paraId="541C655A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Al-Inma Holding Company for Services Investments</w:t>
            </w:r>
          </w:p>
        </w:tc>
      </w:tr>
      <w:tr w:rsidR="00905639" w:rsidRPr="00BD4F95" w14:paraId="47C16045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39AEB4CB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7E5AA935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</w:tcPr>
          <w:p w14:paraId="771A51CF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Formerly listed on the RBA Consolidated List as 2011LBY0037</w:t>
            </w:r>
          </w:p>
        </w:tc>
      </w:tr>
      <w:tr w:rsidR="00905639" w:rsidRPr="00BD4F95" w14:paraId="71EADEB1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60970A76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1D793114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</w:tcPr>
          <w:p w14:paraId="4D5C886F" w14:textId="77777777" w:rsidR="00905639" w:rsidRPr="00F54A56" w:rsidRDefault="00905639" w:rsidP="00AE6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5639" w:rsidRPr="00BD4F95" w14:paraId="378E7AF1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5A6E1A5F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 w:rsidRPr="00F54A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0" w:type="dxa"/>
            <w:shd w:val="clear" w:color="auto" w:fill="auto"/>
            <w:noWrap/>
          </w:tcPr>
          <w:p w14:paraId="4CF681E8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71" w:type="dxa"/>
            <w:shd w:val="clear" w:color="auto" w:fill="auto"/>
            <w:noWrap/>
          </w:tcPr>
          <w:p w14:paraId="27E2817E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Al-Inma Holding Company for Tourism Investment</w:t>
            </w:r>
          </w:p>
        </w:tc>
      </w:tr>
      <w:tr w:rsidR="00905639" w:rsidRPr="00BD4F95" w14:paraId="347BCB9F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700F43EB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14AD7C72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71" w:type="dxa"/>
            <w:shd w:val="clear" w:color="auto" w:fill="auto"/>
            <w:noWrap/>
          </w:tcPr>
          <w:p w14:paraId="5E8BCE72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Hasan al-Mashay Street (off al-Zawiyah Street), Tel No.: (218) 213345187, Fax: +218.21.334.5188, e-mail: info@ethic.ly</w:t>
            </w:r>
          </w:p>
        </w:tc>
      </w:tr>
      <w:tr w:rsidR="00905639" w:rsidRPr="00BD4F95" w14:paraId="59C50234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0C3F754C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7983929D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</w:tcPr>
          <w:p w14:paraId="479C7F1B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Formerly listed on the RBA Consolidated List as 2011LBY0038</w:t>
            </w:r>
          </w:p>
        </w:tc>
      </w:tr>
      <w:tr w:rsidR="00905639" w:rsidRPr="00BD4F95" w14:paraId="6E65AE6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75F26518" w14:textId="77777777" w:rsidR="00905639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6F1D529C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</w:tcPr>
          <w:p w14:paraId="52F7257B" w14:textId="77777777" w:rsidR="00905639" w:rsidRPr="00F54A56" w:rsidRDefault="00905639" w:rsidP="00AE648F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05639" w:rsidRPr="00BD4F95" w14:paraId="10551051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4DE1AE7E" w14:textId="77777777" w:rsidR="00905639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0" w:type="dxa"/>
            <w:shd w:val="clear" w:color="auto" w:fill="auto"/>
            <w:noWrap/>
          </w:tcPr>
          <w:p w14:paraId="65EFED6A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Name of Entity:</w:t>
            </w:r>
          </w:p>
          <w:p w14:paraId="4073ECF3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371" w:type="dxa"/>
            <w:shd w:val="clear" w:color="auto" w:fill="auto"/>
            <w:noWrap/>
          </w:tcPr>
          <w:p w14:paraId="3A560044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Gaddafi International Charity and Development Foundation</w:t>
            </w:r>
          </w:p>
        </w:tc>
      </w:tr>
      <w:tr w:rsidR="00905639" w:rsidRPr="00BD4F95" w14:paraId="4A409E97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2A5F9E36" w14:textId="77777777" w:rsidR="00905639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31454C98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71" w:type="dxa"/>
            <w:shd w:val="clear" w:color="auto" w:fill="auto"/>
            <w:noWrap/>
          </w:tcPr>
          <w:p w14:paraId="4A9827ED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P.O. Box 1101; Hay Alandalus, Jian St, Tripoli, Libya</w:t>
            </w:r>
          </w:p>
        </w:tc>
      </w:tr>
      <w:tr w:rsidR="00905639" w:rsidRPr="00BD4F95" w14:paraId="47AFCC46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2C10EB7C" w14:textId="77777777" w:rsidR="00905639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2026CBB7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</w:tcPr>
          <w:p w14:paraId="0B61F2E4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Formerly listed on the RBA Consolidated List as 2011LBY0041</w:t>
            </w:r>
          </w:p>
        </w:tc>
      </w:tr>
      <w:tr w:rsidR="00905639" w:rsidRPr="00BD4F95" w14:paraId="407ACEEF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3E3C8327" w14:textId="77777777" w:rsidR="00905639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32805453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</w:tcPr>
          <w:p w14:paraId="002FAFE0" w14:textId="77777777" w:rsidR="00905639" w:rsidRPr="00BD4F95" w:rsidRDefault="00905639" w:rsidP="00AE648F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05639" w:rsidRPr="00BD4F95" w14:paraId="65717100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42618742" w14:textId="77777777" w:rsidR="00905639" w:rsidRPr="00BD4F95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14:paraId="328ECE70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Name of Entity:</w:t>
            </w:r>
          </w:p>
          <w:p w14:paraId="2B9261E6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29C28BC6" w14:textId="77777777" w:rsidR="00905639" w:rsidRPr="00BD4F95" w:rsidRDefault="00905639" w:rsidP="00AE648F">
            <w:pPr>
              <w:rPr>
                <w:noProof/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Libyan Arab African Investment Company</w:t>
            </w:r>
          </w:p>
          <w:p w14:paraId="2778EEE4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LAAICO</w:t>
            </w:r>
          </w:p>
        </w:tc>
      </w:tr>
      <w:tr w:rsidR="00905639" w:rsidRPr="00BD4F95" w14:paraId="7627BAB3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4C08F47A" w14:textId="77777777" w:rsidR="00905639" w:rsidRPr="00BD4F95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0E97C03E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6EB6CEC8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76351 Janzour, Libya; 81370 Tripoli, Libya</w:t>
            </w:r>
          </w:p>
        </w:tc>
      </w:tr>
      <w:tr w:rsidR="00905639" w:rsidRPr="00BD4F95" w14:paraId="026E5038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6D326288" w14:textId="77777777" w:rsidR="00905639" w:rsidRPr="00BD4F95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40FADED6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73439314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Formerly listed on the RBA Consolidated List as 2011LBY0045</w:t>
            </w:r>
          </w:p>
        </w:tc>
      </w:tr>
      <w:tr w:rsidR="00905639" w:rsidRPr="00BD4F95" w14:paraId="2C217AC7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5D0821D3" w14:textId="77777777" w:rsidR="00905639" w:rsidRPr="00BD4F95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1C067F50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  <w:hideMark/>
          </w:tcPr>
          <w:p w14:paraId="404EDA82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BD4F95" w14:paraId="68A1720F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1B6FFE0F" w14:textId="77777777" w:rsidR="00905639" w:rsidRPr="00BD4F95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14:paraId="32725027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6679C5AD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Libyan Jamahiriya Broadcasting Corporation</w:t>
            </w:r>
          </w:p>
        </w:tc>
      </w:tr>
      <w:tr w:rsidR="00905639" w:rsidRPr="00BD4F95" w14:paraId="617CD745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14A19F17" w14:textId="77777777" w:rsidR="00905639" w:rsidRPr="00BD4F95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1760EF94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7CD3B968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Libya</w:t>
            </w:r>
          </w:p>
        </w:tc>
      </w:tr>
      <w:tr w:rsidR="00905639" w:rsidRPr="00BD4F95" w14:paraId="2CB7B327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0D5B6216" w14:textId="77777777" w:rsidR="00905639" w:rsidRPr="00BD4F95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05CEAEAD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650FDDAA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Formerly listed on the RBA Consolidated List as 2011LBY0048</w:t>
            </w:r>
          </w:p>
        </w:tc>
      </w:tr>
      <w:tr w:rsidR="00905639" w:rsidRPr="00BD4F95" w14:paraId="04F9F0C1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1E60A454" w14:textId="77777777" w:rsidR="00905639" w:rsidRPr="00BD4F95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7C8CF717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  <w:hideMark/>
          </w:tcPr>
          <w:p w14:paraId="46F01F9F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BD4F95" w14:paraId="1DB1612A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0395D55D" w14:textId="77777777" w:rsidR="00905639" w:rsidRPr="00BD4F95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14:paraId="2626FB92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408DDF04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Revolutionary Guard Corps</w:t>
            </w:r>
          </w:p>
        </w:tc>
      </w:tr>
      <w:tr w:rsidR="00905639" w:rsidRPr="00BD4F95" w14:paraId="6E80D0DE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38E95163" w14:textId="77777777" w:rsidR="00905639" w:rsidRPr="00BD4F95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69E42797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shd w:val="clear" w:color="auto" w:fill="auto"/>
            <w:noWrap/>
            <w:hideMark/>
          </w:tcPr>
          <w:p w14:paraId="70CFC9E2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  <w:r w:rsidRPr="00BD4F95">
              <w:rPr>
                <w:noProof/>
                <w:color w:val="000000"/>
                <w:sz w:val="22"/>
                <w:szCs w:val="22"/>
              </w:rPr>
              <w:t>Formerly listed on the RBA Consolidated List as 2011LBY0051</w:t>
            </w:r>
          </w:p>
        </w:tc>
      </w:tr>
      <w:tr w:rsidR="00905639" w:rsidRPr="00BD4F95" w14:paraId="26C608B3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  <w:hideMark/>
          </w:tcPr>
          <w:p w14:paraId="5ED9D8E5" w14:textId="77777777" w:rsidR="00905639" w:rsidRPr="00BD4F95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  <w:hideMark/>
          </w:tcPr>
          <w:p w14:paraId="6662B9F5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71" w:type="dxa"/>
            <w:shd w:val="clear" w:color="auto" w:fill="auto"/>
            <w:noWrap/>
            <w:hideMark/>
          </w:tcPr>
          <w:p w14:paraId="7484D400" w14:textId="77777777" w:rsidR="00905639" w:rsidRPr="00BD4F95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  <w:tr w:rsidR="00905639" w:rsidRPr="00BD4F95" w14:paraId="052D7393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164888E1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0" w:type="dxa"/>
            <w:shd w:val="clear" w:color="auto" w:fill="auto"/>
            <w:noWrap/>
          </w:tcPr>
          <w:p w14:paraId="77B7EF02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71" w:type="dxa"/>
            <w:shd w:val="clear" w:color="auto" w:fill="auto"/>
            <w:noWrap/>
          </w:tcPr>
          <w:p w14:paraId="665926AC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Waatassimou Foundation</w:t>
            </w:r>
          </w:p>
        </w:tc>
      </w:tr>
      <w:tr w:rsidR="00905639" w:rsidRPr="00BD4F95" w14:paraId="2DA9A94A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shd w:val="clear" w:color="auto" w:fill="auto"/>
            <w:noWrap/>
          </w:tcPr>
          <w:p w14:paraId="3BB76EC6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  <w:noWrap/>
          </w:tcPr>
          <w:p w14:paraId="07216764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71" w:type="dxa"/>
            <w:shd w:val="clear" w:color="auto" w:fill="auto"/>
            <w:noWrap/>
          </w:tcPr>
          <w:p w14:paraId="2788296B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Tripoli</w:t>
            </w:r>
          </w:p>
        </w:tc>
      </w:tr>
      <w:tr w:rsidR="00905639" w:rsidRPr="00BD4F95" w14:paraId="73B9647B" w14:textId="77777777" w:rsidTr="00AE648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0D0574B" w14:textId="77777777" w:rsidR="00905639" w:rsidRPr="00F54A56" w:rsidRDefault="00905639" w:rsidP="00AE648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B1C92A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  <w:r w:rsidRPr="00F54A56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7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7F1FD5" w14:textId="77777777" w:rsidR="00905639" w:rsidRDefault="00905639" w:rsidP="00AE648F">
            <w:pPr>
              <w:rPr>
                <w:noProof/>
                <w:color w:val="000000"/>
                <w:sz w:val="22"/>
                <w:szCs w:val="22"/>
              </w:rPr>
            </w:pPr>
            <w:r w:rsidRPr="00F54A56">
              <w:rPr>
                <w:noProof/>
                <w:color w:val="000000"/>
                <w:sz w:val="22"/>
                <w:szCs w:val="22"/>
              </w:rPr>
              <w:t>Formerly listed on the RBA Consolidated List as 2011LBY0053</w:t>
            </w:r>
          </w:p>
          <w:p w14:paraId="15F50479" w14:textId="77777777" w:rsidR="00905639" w:rsidRPr="00F54A56" w:rsidRDefault="00905639" w:rsidP="00AE648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A50AA50" w14:textId="77777777" w:rsidR="00933FBA" w:rsidRPr="005C0EBD" w:rsidRDefault="00933FBA" w:rsidP="00C638BD">
      <w:pPr>
        <w:pStyle w:val="NoteEnd"/>
        <w:spacing w:before="480"/>
        <w:ind w:left="0" w:firstLine="0"/>
      </w:pPr>
    </w:p>
    <w:sectPr w:rsidR="00933FBA" w:rsidRPr="005C0EBD" w:rsidSect="00EA47A8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4AD31" w14:textId="77777777" w:rsidR="00B611E7" w:rsidRDefault="00B611E7" w:rsidP="003610D5">
      <w:r>
        <w:separator/>
      </w:r>
    </w:p>
  </w:endnote>
  <w:endnote w:type="continuationSeparator" w:id="0">
    <w:p w14:paraId="168FD589" w14:textId="77777777" w:rsidR="00B611E7" w:rsidRDefault="00B611E7" w:rsidP="0036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7AFBA" w14:textId="77777777" w:rsidR="00EA47A8" w:rsidRDefault="00EA47A8" w:rsidP="00EA47A8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629"/>
      <w:gridCol w:w="600"/>
    </w:tblGrid>
    <w:tr w:rsidR="00EA47A8" w14:paraId="5F43F156" w14:textId="77777777" w:rsidTr="00754E67">
      <w:tc>
        <w:tcPr>
          <w:tcW w:w="1134" w:type="dxa"/>
        </w:tcPr>
        <w:p w14:paraId="5F7D28D1" w14:textId="6F298EE0" w:rsidR="00EA47A8" w:rsidRDefault="00EA47A8" w:rsidP="00EA47A8">
          <w:pPr>
            <w:spacing w:line="240" w:lineRule="exact"/>
          </w:pPr>
        </w:p>
      </w:tc>
      <w:tc>
        <w:tcPr>
          <w:tcW w:w="6629" w:type="dxa"/>
        </w:tcPr>
        <w:p w14:paraId="5F93C73F" w14:textId="77777777" w:rsidR="00EA47A8" w:rsidRPr="004F5D6D" w:rsidRDefault="00EA47A8" w:rsidP="00EA47A8">
          <w:pPr>
            <w:pStyle w:val="FooterCitation"/>
          </w:pPr>
          <w:r>
            <w:t>Autonomous Sanctions (Designated Persons and Entities and Declared Persons – Libya) Continuing Effect Declaration and Revocation Instrument 2018</w:t>
          </w:r>
        </w:p>
      </w:tc>
      <w:tc>
        <w:tcPr>
          <w:tcW w:w="600" w:type="dxa"/>
        </w:tcPr>
        <w:p w14:paraId="434F9640" w14:textId="72945921" w:rsidR="00EA47A8" w:rsidRPr="003D7214" w:rsidRDefault="00EA47A8" w:rsidP="00EA47A8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EA47A8">
            <w:rPr>
              <w:rStyle w:val="PageNumber"/>
              <w:rFonts w:cs="Arial"/>
              <w:szCs w:val="22"/>
            </w:rPr>
            <w:fldChar w:fldCharType="begin"/>
          </w:r>
          <w:r w:rsidRPr="00EA47A8">
            <w:rPr>
              <w:rStyle w:val="PageNumber"/>
              <w:rFonts w:cs="Arial"/>
              <w:szCs w:val="22"/>
            </w:rPr>
            <w:instrText xml:space="preserve"> PAGE   \* MERGEFORMAT </w:instrText>
          </w:r>
          <w:r w:rsidRPr="00EA47A8">
            <w:rPr>
              <w:rStyle w:val="PageNumber"/>
              <w:rFonts w:cs="Arial"/>
              <w:szCs w:val="22"/>
            </w:rPr>
            <w:fldChar w:fldCharType="separate"/>
          </w:r>
          <w:r w:rsidR="00D6527D">
            <w:rPr>
              <w:rStyle w:val="PageNumber"/>
              <w:rFonts w:cs="Arial"/>
              <w:noProof/>
              <w:szCs w:val="22"/>
            </w:rPr>
            <w:t>2</w:t>
          </w:r>
          <w:r w:rsidRPr="00EA47A8">
            <w:rPr>
              <w:rStyle w:val="PageNumber"/>
              <w:rFonts w:cs="Arial"/>
              <w:noProof/>
              <w:szCs w:val="22"/>
            </w:rPr>
            <w:fldChar w:fldCharType="end"/>
          </w:r>
        </w:p>
      </w:tc>
    </w:tr>
  </w:tbl>
  <w:p w14:paraId="4C8E5326" w14:textId="77777777" w:rsidR="00EA47A8" w:rsidRDefault="00EA47A8" w:rsidP="00EA47A8">
    <w:pPr>
      <w:pStyle w:val="FooterInfo"/>
      <w:rPr>
        <w:b/>
        <w:sz w:val="40"/>
      </w:rPr>
    </w:pPr>
  </w:p>
  <w:p w14:paraId="42E58F65" w14:textId="77777777" w:rsidR="00B611E7" w:rsidRPr="005F1388" w:rsidRDefault="00B611E7" w:rsidP="00387EA2">
    <w:pPr>
      <w:pStyle w:val="Footer"/>
      <w:tabs>
        <w:tab w:val="center" w:pos="4150"/>
        <w:tab w:val="right" w:pos="8307"/>
      </w:tabs>
      <w:spacing w:before="120"/>
      <w:jc w:val="right"/>
      <w:rPr>
        <w:i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611E7" w14:paraId="3FA7FB0E" w14:textId="77777777" w:rsidTr="00387EA2">
      <w:tc>
        <w:tcPr>
          <w:tcW w:w="5000" w:type="pct"/>
        </w:tcPr>
        <w:p w14:paraId="4BD4D97A" w14:textId="77777777" w:rsidR="00B611E7" w:rsidRDefault="00B611E7" w:rsidP="00387EA2">
          <w:pPr>
            <w:rPr>
              <w:sz w:val="18"/>
            </w:rPr>
          </w:pPr>
        </w:p>
      </w:tc>
    </w:tr>
  </w:tbl>
  <w:p w14:paraId="2A572AD8" w14:textId="77777777" w:rsidR="00B611E7" w:rsidRPr="006D3667" w:rsidRDefault="00B611E7" w:rsidP="00387E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8BC6" w14:textId="77777777" w:rsidR="00B611E7" w:rsidRDefault="00B611E7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629"/>
      <w:gridCol w:w="600"/>
    </w:tblGrid>
    <w:tr w:rsidR="00B611E7" w14:paraId="12B35568" w14:textId="77777777" w:rsidTr="00792F36">
      <w:trPr>
        <w:trHeight w:val="557"/>
      </w:trPr>
      <w:tc>
        <w:tcPr>
          <w:tcW w:w="1134" w:type="dxa"/>
        </w:tcPr>
        <w:p w14:paraId="53410E5C" w14:textId="77777777" w:rsidR="00B611E7" w:rsidRPr="003D7214" w:rsidRDefault="00B611E7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629" w:type="dxa"/>
        </w:tcPr>
        <w:p w14:paraId="01D0BAB0" w14:textId="77777777" w:rsidR="00B611E7" w:rsidRPr="004F5D6D" w:rsidRDefault="00B611E7" w:rsidP="002A58DA">
          <w:pPr>
            <w:pStyle w:val="Footer"/>
            <w:spacing w:before="20" w:line="240" w:lineRule="exact"/>
          </w:pPr>
          <w:r>
            <w:t>Autonomous Sanctions (Designated Persons and Entities and Declared Persons – Libya) Continuing Effect Declaration and Revocation Instrument 2018</w:t>
          </w:r>
        </w:p>
      </w:tc>
      <w:tc>
        <w:tcPr>
          <w:tcW w:w="600" w:type="dxa"/>
        </w:tcPr>
        <w:p w14:paraId="3F96AE8E" w14:textId="19EB7289" w:rsidR="00B611E7" w:rsidRPr="00451BF5" w:rsidRDefault="00905639" w:rsidP="00BD545A">
          <w:pPr>
            <w:spacing w:line="240" w:lineRule="exact"/>
            <w:jc w:val="right"/>
            <w:rPr>
              <w:rStyle w:val="PageNumber"/>
            </w:rPr>
          </w:pPr>
          <w:r w:rsidRPr="00905639">
            <w:rPr>
              <w:rStyle w:val="PageNumber"/>
            </w:rPr>
            <w:fldChar w:fldCharType="begin"/>
          </w:r>
          <w:r w:rsidRPr="00905639">
            <w:rPr>
              <w:rStyle w:val="PageNumber"/>
            </w:rPr>
            <w:instrText xml:space="preserve"> PAGE   \* MERGEFORMAT </w:instrText>
          </w:r>
          <w:r w:rsidRPr="00905639">
            <w:rPr>
              <w:rStyle w:val="PageNumber"/>
            </w:rPr>
            <w:fldChar w:fldCharType="separate"/>
          </w:r>
          <w:r w:rsidR="00D6527D">
            <w:rPr>
              <w:rStyle w:val="PageNumber"/>
              <w:noProof/>
            </w:rPr>
            <w:t>4</w:t>
          </w:r>
          <w:r w:rsidRPr="00905639">
            <w:rPr>
              <w:rStyle w:val="PageNumber"/>
              <w:noProof/>
            </w:rPr>
            <w:fldChar w:fldCharType="end"/>
          </w:r>
        </w:p>
      </w:tc>
    </w:tr>
  </w:tbl>
  <w:p w14:paraId="04E03CC5" w14:textId="77777777" w:rsidR="00B611E7" w:rsidRDefault="00B611E7" w:rsidP="00BD545A">
    <w:pPr>
      <w:pStyle w:val="FooterInfo"/>
      <w:rPr>
        <w:b/>
        <w:sz w:val="40"/>
      </w:rPr>
    </w:pPr>
  </w:p>
  <w:p w14:paraId="2987F7B5" w14:textId="77777777" w:rsidR="00B611E7" w:rsidRDefault="00B611E7" w:rsidP="00BD545A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900F9" w14:textId="77777777" w:rsidR="00B611E7" w:rsidRDefault="00B611E7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629"/>
      <w:gridCol w:w="600"/>
    </w:tblGrid>
    <w:tr w:rsidR="00B611E7" w14:paraId="0C7DDAD4" w14:textId="77777777" w:rsidTr="00792F36">
      <w:tc>
        <w:tcPr>
          <w:tcW w:w="1134" w:type="dxa"/>
        </w:tcPr>
        <w:p w14:paraId="4AC728B9" w14:textId="23C84755" w:rsidR="00B611E7" w:rsidRDefault="00905639" w:rsidP="00BD545A">
          <w:pPr>
            <w:spacing w:line="240" w:lineRule="exac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6527D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tc>
        <w:tcPr>
          <w:tcW w:w="6629" w:type="dxa"/>
        </w:tcPr>
        <w:p w14:paraId="557219FF" w14:textId="77777777" w:rsidR="00B611E7" w:rsidRPr="004F5D6D" w:rsidRDefault="00B611E7" w:rsidP="00795258">
          <w:pPr>
            <w:pStyle w:val="FooterCitation"/>
          </w:pPr>
          <w:r>
            <w:t>Autonomous Sanctions (Designated Persons and Entities and Declared Persons – Libya) Continuing Effect Declaration and Revocation Instrument 2018</w:t>
          </w:r>
        </w:p>
      </w:tc>
      <w:tc>
        <w:tcPr>
          <w:tcW w:w="600" w:type="dxa"/>
        </w:tcPr>
        <w:p w14:paraId="155C2ED8" w14:textId="77777777" w:rsidR="00B611E7" w:rsidRPr="003D7214" w:rsidRDefault="00B611E7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</w:p>
      </w:tc>
    </w:tr>
  </w:tbl>
  <w:p w14:paraId="5340BFFF" w14:textId="77777777" w:rsidR="00B611E7" w:rsidRDefault="00B611E7" w:rsidP="00BD545A">
    <w:pPr>
      <w:pStyle w:val="FooterInfo"/>
      <w:rPr>
        <w:b/>
        <w:sz w:val="40"/>
      </w:rPr>
    </w:pPr>
  </w:p>
  <w:p w14:paraId="76127053" w14:textId="77777777" w:rsidR="00B611E7" w:rsidRDefault="00B611E7" w:rsidP="00BD545A">
    <w:pPr>
      <w:pStyle w:val="FooterInfo"/>
    </w:pP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50A2D" w14:textId="77777777" w:rsidR="00B611E7" w:rsidRDefault="00B611E7" w:rsidP="003610D5">
      <w:r>
        <w:separator/>
      </w:r>
    </w:p>
  </w:footnote>
  <w:footnote w:type="continuationSeparator" w:id="0">
    <w:p w14:paraId="33314D26" w14:textId="77777777" w:rsidR="00B611E7" w:rsidRDefault="00B611E7" w:rsidP="0036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5C74" w14:textId="77777777" w:rsidR="00B611E7" w:rsidRPr="00ED79B6" w:rsidRDefault="00B611E7" w:rsidP="007627C8">
    <w:pPr>
      <w:pBdr>
        <w:bottom w:val="single" w:sz="4" w:space="1" w:color="auto"/>
      </w:pBdr>
      <w:spacing w:before="1000"/>
    </w:pPr>
  </w:p>
  <w:p w14:paraId="4763A608" w14:textId="77777777" w:rsidR="00B611E7" w:rsidRPr="005F1388" w:rsidRDefault="00B611E7" w:rsidP="00387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3AC5" w14:textId="77777777" w:rsidR="00B611E7" w:rsidRDefault="00B611E7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AE46A" w14:textId="77777777" w:rsidR="00B611E7" w:rsidRDefault="00B611E7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1A83"/>
    <w:rsid w:val="000038A0"/>
    <w:rsid w:val="00011803"/>
    <w:rsid w:val="00012F8A"/>
    <w:rsid w:val="0001662A"/>
    <w:rsid w:val="00020108"/>
    <w:rsid w:val="00026131"/>
    <w:rsid w:val="000316A1"/>
    <w:rsid w:val="00032F2C"/>
    <w:rsid w:val="00040090"/>
    <w:rsid w:val="000403D5"/>
    <w:rsid w:val="000427E4"/>
    <w:rsid w:val="00043C7E"/>
    <w:rsid w:val="00045BA4"/>
    <w:rsid w:val="00045F1B"/>
    <w:rsid w:val="00051B72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560A"/>
    <w:rsid w:val="0008766B"/>
    <w:rsid w:val="00090DFA"/>
    <w:rsid w:val="00091146"/>
    <w:rsid w:val="00093E54"/>
    <w:rsid w:val="00095849"/>
    <w:rsid w:val="000A0788"/>
    <w:rsid w:val="000A0CCA"/>
    <w:rsid w:val="000A1742"/>
    <w:rsid w:val="000A620C"/>
    <w:rsid w:val="000A7869"/>
    <w:rsid w:val="000B4121"/>
    <w:rsid w:val="000B51B3"/>
    <w:rsid w:val="000D1916"/>
    <w:rsid w:val="000D435C"/>
    <w:rsid w:val="000E16EC"/>
    <w:rsid w:val="000E27E3"/>
    <w:rsid w:val="000E48BD"/>
    <w:rsid w:val="000E7494"/>
    <w:rsid w:val="00105BB8"/>
    <w:rsid w:val="001105B2"/>
    <w:rsid w:val="00111D90"/>
    <w:rsid w:val="00116989"/>
    <w:rsid w:val="00125657"/>
    <w:rsid w:val="001312D8"/>
    <w:rsid w:val="001328CE"/>
    <w:rsid w:val="00133E56"/>
    <w:rsid w:val="00134DDC"/>
    <w:rsid w:val="00140090"/>
    <w:rsid w:val="001409F1"/>
    <w:rsid w:val="0014186A"/>
    <w:rsid w:val="00141CBA"/>
    <w:rsid w:val="00144DE3"/>
    <w:rsid w:val="001514D7"/>
    <w:rsid w:val="001515D4"/>
    <w:rsid w:val="00153195"/>
    <w:rsid w:val="00162609"/>
    <w:rsid w:val="00164935"/>
    <w:rsid w:val="00165D61"/>
    <w:rsid w:val="00171DE8"/>
    <w:rsid w:val="00173F04"/>
    <w:rsid w:val="001744ED"/>
    <w:rsid w:val="0017685B"/>
    <w:rsid w:val="00182C3B"/>
    <w:rsid w:val="00185F83"/>
    <w:rsid w:val="00186360"/>
    <w:rsid w:val="00187D63"/>
    <w:rsid w:val="00191FA5"/>
    <w:rsid w:val="00192C10"/>
    <w:rsid w:val="00193F32"/>
    <w:rsid w:val="001A4DD7"/>
    <w:rsid w:val="001A6C59"/>
    <w:rsid w:val="001B5756"/>
    <w:rsid w:val="001B642F"/>
    <w:rsid w:val="001B73F5"/>
    <w:rsid w:val="001B7AA2"/>
    <w:rsid w:val="001C22F5"/>
    <w:rsid w:val="001C25FE"/>
    <w:rsid w:val="001D2A68"/>
    <w:rsid w:val="001D2C4E"/>
    <w:rsid w:val="001D6D71"/>
    <w:rsid w:val="001E092D"/>
    <w:rsid w:val="001E397C"/>
    <w:rsid w:val="001E433B"/>
    <w:rsid w:val="001F108C"/>
    <w:rsid w:val="001F41C5"/>
    <w:rsid w:val="001F76FB"/>
    <w:rsid w:val="002015B2"/>
    <w:rsid w:val="00203232"/>
    <w:rsid w:val="00210652"/>
    <w:rsid w:val="0021328C"/>
    <w:rsid w:val="00214C3B"/>
    <w:rsid w:val="00215EA7"/>
    <w:rsid w:val="00222371"/>
    <w:rsid w:val="00222FD0"/>
    <w:rsid w:val="002252C7"/>
    <w:rsid w:val="0022734F"/>
    <w:rsid w:val="00233C57"/>
    <w:rsid w:val="0023489C"/>
    <w:rsid w:val="00240546"/>
    <w:rsid w:val="00240EA8"/>
    <w:rsid w:val="0024222C"/>
    <w:rsid w:val="00243601"/>
    <w:rsid w:val="00244C01"/>
    <w:rsid w:val="00246042"/>
    <w:rsid w:val="00252F17"/>
    <w:rsid w:val="00253DDD"/>
    <w:rsid w:val="00260912"/>
    <w:rsid w:val="00275245"/>
    <w:rsid w:val="00281E63"/>
    <w:rsid w:val="0028609E"/>
    <w:rsid w:val="00286562"/>
    <w:rsid w:val="00286CEA"/>
    <w:rsid w:val="00293BC3"/>
    <w:rsid w:val="002A0984"/>
    <w:rsid w:val="002A19B0"/>
    <w:rsid w:val="002A37DA"/>
    <w:rsid w:val="002A58DA"/>
    <w:rsid w:val="002B1EBA"/>
    <w:rsid w:val="002B265A"/>
    <w:rsid w:val="002B3196"/>
    <w:rsid w:val="002B32C5"/>
    <w:rsid w:val="002B519A"/>
    <w:rsid w:val="002B7DCF"/>
    <w:rsid w:val="002C421B"/>
    <w:rsid w:val="002D4558"/>
    <w:rsid w:val="002D71AC"/>
    <w:rsid w:val="002D7932"/>
    <w:rsid w:val="002E5749"/>
    <w:rsid w:val="002F78D5"/>
    <w:rsid w:val="00303EB4"/>
    <w:rsid w:val="00306194"/>
    <w:rsid w:val="0031352D"/>
    <w:rsid w:val="003231FF"/>
    <w:rsid w:val="0033573E"/>
    <w:rsid w:val="00336724"/>
    <w:rsid w:val="00343B24"/>
    <w:rsid w:val="003469E3"/>
    <w:rsid w:val="0035001E"/>
    <w:rsid w:val="00353F3B"/>
    <w:rsid w:val="00354719"/>
    <w:rsid w:val="00357657"/>
    <w:rsid w:val="003610D5"/>
    <w:rsid w:val="00367E3F"/>
    <w:rsid w:val="00370DD7"/>
    <w:rsid w:val="0037255F"/>
    <w:rsid w:val="0038199B"/>
    <w:rsid w:val="00387EA2"/>
    <w:rsid w:val="00387F34"/>
    <w:rsid w:val="00392557"/>
    <w:rsid w:val="0039396B"/>
    <w:rsid w:val="003A0689"/>
    <w:rsid w:val="003A548D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2E18"/>
    <w:rsid w:val="003F6833"/>
    <w:rsid w:val="004005D4"/>
    <w:rsid w:val="00403F78"/>
    <w:rsid w:val="0040682B"/>
    <w:rsid w:val="0041051E"/>
    <w:rsid w:val="00421964"/>
    <w:rsid w:val="00422471"/>
    <w:rsid w:val="00422522"/>
    <w:rsid w:val="004255DD"/>
    <w:rsid w:val="00433B06"/>
    <w:rsid w:val="004361A5"/>
    <w:rsid w:val="00437F24"/>
    <w:rsid w:val="00440B24"/>
    <w:rsid w:val="00441E9A"/>
    <w:rsid w:val="00442AA3"/>
    <w:rsid w:val="00443890"/>
    <w:rsid w:val="0044430D"/>
    <w:rsid w:val="00444F77"/>
    <w:rsid w:val="004459DE"/>
    <w:rsid w:val="00450DE1"/>
    <w:rsid w:val="004533FC"/>
    <w:rsid w:val="00454CE3"/>
    <w:rsid w:val="00456D65"/>
    <w:rsid w:val="00464092"/>
    <w:rsid w:val="004640EA"/>
    <w:rsid w:val="00466DBA"/>
    <w:rsid w:val="004879CB"/>
    <w:rsid w:val="0049172E"/>
    <w:rsid w:val="00493C31"/>
    <w:rsid w:val="004A20E2"/>
    <w:rsid w:val="004A7713"/>
    <w:rsid w:val="004A7AA7"/>
    <w:rsid w:val="004B1AC1"/>
    <w:rsid w:val="004B6C4F"/>
    <w:rsid w:val="004C2680"/>
    <w:rsid w:val="004C639E"/>
    <w:rsid w:val="004D32C2"/>
    <w:rsid w:val="004D5EAB"/>
    <w:rsid w:val="004D6045"/>
    <w:rsid w:val="004E0619"/>
    <w:rsid w:val="004E1C75"/>
    <w:rsid w:val="004E2FEB"/>
    <w:rsid w:val="004E7590"/>
    <w:rsid w:val="004F346A"/>
    <w:rsid w:val="004F5D6D"/>
    <w:rsid w:val="00501883"/>
    <w:rsid w:val="00501E0C"/>
    <w:rsid w:val="005056C8"/>
    <w:rsid w:val="005063B3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27A98"/>
    <w:rsid w:val="0054351E"/>
    <w:rsid w:val="00551663"/>
    <w:rsid w:val="005516CA"/>
    <w:rsid w:val="005626C3"/>
    <w:rsid w:val="005672DE"/>
    <w:rsid w:val="005749F6"/>
    <w:rsid w:val="00576569"/>
    <w:rsid w:val="00580301"/>
    <w:rsid w:val="005859FB"/>
    <w:rsid w:val="005924C4"/>
    <w:rsid w:val="005943B6"/>
    <w:rsid w:val="005A3055"/>
    <w:rsid w:val="005A4031"/>
    <w:rsid w:val="005B1167"/>
    <w:rsid w:val="005B47E8"/>
    <w:rsid w:val="005B5BAF"/>
    <w:rsid w:val="005B752F"/>
    <w:rsid w:val="005B7B02"/>
    <w:rsid w:val="005C0EBD"/>
    <w:rsid w:val="005C4A85"/>
    <w:rsid w:val="005D0D39"/>
    <w:rsid w:val="005D2F97"/>
    <w:rsid w:val="005D3206"/>
    <w:rsid w:val="005D692B"/>
    <w:rsid w:val="005D7930"/>
    <w:rsid w:val="005E43E5"/>
    <w:rsid w:val="005E4E0C"/>
    <w:rsid w:val="005E5369"/>
    <w:rsid w:val="005E563D"/>
    <w:rsid w:val="005F47D8"/>
    <w:rsid w:val="005F52A1"/>
    <w:rsid w:val="00602748"/>
    <w:rsid w:val="006047C5"/>
    <w:rsid w:val="00617E31"/>
    <w:rsid w:val="00621915"/>
    <w:rsid w:val="00624074"/>
    <w:rsid w:val="00624A47"/>
    <w:rsid w:val="00625A8B"/>
    <w:rsid w:val="0062769F"/>
    <w:rsid w:val="00635749"/>
    <w:rsid w:val="00641664"/>
    <w:rsid w:val="0065001E"/>
    <w:rsid w:val="006533B7"/>
    <w:rsid w:val="00674B00"/>
    <w:rsid w:val="00682F20"/>
    <w:rsid w:val="006A432C"/>
    <w:rsid w:val="006B253E"/>
    <w:rsid w:val="006B5D7C"/>
    <w:rsid w:val="006C098F"/>
    <w:rsid w:val="006C2616"/>
    <w:rsid w:val="006C5742"/>
    <w:rsid w:val="006D018E"/>
    <w:rsid w:val="006D3078"/>
    <w:rsid w:val="006D4034"/>
    <w:rsid w:val="006E2530"/>
    <w:rsid w:val="006E548F"/>
    <w:rsid w:val="006F0BD8"/>
    <w:rsid w:val="006F4A4C"/>
    <w:rsid w:val="006F73F0"/>
    <w:rsid w:val="007018EF"/>
    <w:rsid w:val="00702998"/>
    <w:rsid w:val="0071055A"/>
    <w:rsid w:val="0071414A"/>
    <w:rsid w:val="007149BC"/>
    <w:rsid w:val="0071514F"/>
    <w:rsid w:val="00716F1E"/>
    <w:rsid w:val="00716FDE"/>
    <w:rsid w:val="00727685"/>
    <w:rsid w:val="00730AF8"/>
    <w:rsid w:val="00735923"/>
    <w:rsid w:val="00735D7F"/>
    <w:rsid w:val="0073635E"/>
    <w:rsid w:val="007375F7"/>
    <w:rsid w:val="00740322"/>
    <w:rsid w:val="00740916"/>
    <w:rsid w:val="007431FF"/>
    <w:rsid w:val="00753CCA"/>
    <w:rsid w:val="00756F9E"/>
    <w:rsid w:val="00757C0D"/>
    <w:rsid w:val="007627C8"/>
    <w:rsid w:val="00772ADE"/>
    <w:rsid w:val="007778CF"/>
    <w:rsid w:val="007828ED"/>
    <w:rsid w:val="0078300B"/>
    <w:rsid w:val="007833A9"/>
    <w:rsid w:val="007851E9"/>
    <w:rsid w:val="007910D2"/>
    <w:rsid w:val="00792F36"/>
    <w:rsid w:val="00794754"/>
    <w:rsid w:val="00795258"/>
    <w:rsid w:val="007A3064"/>
    <w:rsid w:val="007B059A"/>
    <w:rsid w:val="007C7959"/>
    <w:rsid w:val="007D1A1E"/>
    <w:rsid w:val="007E231D"/>
    <w:rsid w:val="007E3AA5"/>
    <w:rsid w:val="007F75DF"/>
    <w:rsid w:val="008002E8"/>
    <w:rsid w:val="008006D5"/>
    <w:rsid w:val="00806B7C"/>
    <w:rsid w:val="00806DD6"/>
    <w:rsid w:val="008149B7"/>
    <w:rsid w:val="00825250"/>
    <w:rsid w:val="008322B6"/>
    <w:rsid w:val="008349F1"/>
    <w:rsid w:val="00836024"/>
    <w:rsid w:val="00836392"/>
    <w:rsid w:val="0083699E"/>
    <w:rsid w:val="008416EA"/>
    <w:rsid w:val="00844132"/>
    <w:rsid w:val="00847850"/>
    <w:rsid w:val="00852B8F"/>
    <w:rsid w:val="008546A9"/>
    <w:rsid w:val="00854857"/>
    <w:rsid w:val="00856EB5"/>
    <w:rsid w:val="00863597"/>
    <w:rsid w:val="0086648B"/>
    <w:rsid w:val="008673F2"/>
    <w:rsid w:val="00870EE5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311"/>
    <w:rsid w:val="008A4808"/>
    <w:rsid w:val="008A62FC"/>
    <w:rsid w:val="008A671C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23ED"/>
    <w:rsid w:val="008D5B3D"/>
    <w:rsid w:val="008E0F8C"/>
    <w:rsid w:val="008E2235"/>
    <w:rsid w:val="008E3423"/>
    <w:rsid w:val="008E63C4"/>
    <w:rsid w:val="008F1DAB"/>
    <w:rsid w:val="008F3C01"/>
    <w:rsid w:val="008F5D27"/>
    <w:rsid w:val="009007F1"/>
    <w:rsid w:val="00905639"/>
    <w:rsid w:val="009078CC"/>
    <w:rsid w:val="00911F7B"/>
    <w:rsid w:val="00913281"/>
    <w:rsid w:val="00913EA5"/>
    <w:rsid w:val="009146C1"/>
    <w:rsid w:val="00915D96"/>
    <w:rsid w:val="0092642D"/>
    <w:rsid w:val="00927849"/>
    <w:rsid w:val="00930919"/>
    <w:rsid w:val="00933FBA"/>
    <w:rsid w:val="00941FFC"/>
    <w:rsid w:val="00943CEA"/>
    <w:rsid w:val="00945A5E"/>
    <w:rsid w:val="009612A7"/>
    <w:rsid w:val="00963ADB"/>
    <w:rsid w:val="00966580"/>
    <w:rsid w:val="00967444"/>
    <w:rsid w:val="00976374"/>
    <w:rsid w:val="00983A1F"/>
    <w:rsid w:val="00987485"/>
    <w:rsid w:val="0099167B"/>
    <w:rsid w:val="009A0CC8"/>
    <w:rsid w:val="009A207B"/>
    <w:rsid w:val="009A5A0D"/>
    <w:rsid w:val="009A679E"/>
    <w:rsid w:val="009A6D1B"/>
    <w:rsid w:val="009B19E3"/>
    <w:rsid w:val="009B303B"/>
    <w:rsid w:val="009B3BDA"/>
    <w:rsid w:val="009B3E77"/>
    <w:rsid w:val="009B6326"/>
    <w:rsid w:val="009B76D8"/>
    <w:rsid w:val="009B785F"/>
    <w:rsid w:val="009C0398"/>
    <w:rsid w:val="009C2A55"/>
    <w:rsid w:val="009D6B2A"/>
    <w:rsid w:val="009D7BDF"/>
    <w:rsid w:val="009E1C06"/>
    <w:rsid w:val="009E28DB"/>
    <w:rsid w:val="009E2D2F"/>
    <w:rsid w:val="009E670E"/>
    <w:rsid w:val="009F3F7B"/>
    <w:rsid w:val="00A00A9F"/>
    <w:rsid w:val="00A00C88"/>
    <w:rsid w:val="00A025DF"/>
    <w:rsid w:val="00A02D28"/>
    <w:rsid w:val="00A046F7"/>
    <w:rsid w:val="00A13F63"/>
    <w:rsid w:val="00A21D2D"/>
    <w:rsid w:val="00A223AA"/>
    <w:rsid w:val="00A24F06"/>
    <w:rsid w:val="00A2629E"/>
    <w:rsid w:val="00A266F5"/>
    <w:rsid w:val="00A27342"/>
    <w:rsid w:val="00A30ABA"/>
    <w:rsid w:val="00A314B9"/>
    <w:rsid w:val="00A41885"/>
    <w:rsid w:val="00A41B45"/>
    <w:rsid w:val="00A515F4"/>
    <w:rsid w:val="00A52515"/>
    <w:rsid w:val="00A54B37"/>
    <w:rsid w:val="00A609DD"/>
    <w:rsid w:val="00A60B57"/>
    <w:rsid w:val="00A61815"/>
    <w:rsid w:val="00A644DE"/>
    <w:rsid w:val="00A6740F"/>
    <w:rsid w:val="00A95A88"/>
    <w:rsid w:val="00AA1B63"/>
    <w:rsid w:val="00AA3188"/>
    <w:rsid w:val="00AA420D"/>
    <w:rsid w:val="00AA779C"/>
    <w:rsid w:val="00AB2C8C"/>
    <w:rsid w:val="00AB444A"/>
    <w:rsid w:val="00AC405E"/>
    <w:rsid w:val="00AC467D"/>
    <w:rsid w:val="00AE4C5B"/>
    <w:rsid w:val="00AE559B"/>
    <w:rsid w:val="00AE732F"/>
    <w:rsid w:val="00AF074C"/>
    <w:rsid w:val="00AF716F"/>
    <w:rsid w:val="00B03AF0"/>
    <w:rsid w:val="00B05373"/>
    <w:rsid w:val="00B067E6"/>
    <w:rsid w:val="00B107E4"/>
    <w:rsid w:val="00B11A88"/>
    <w:rsid w:val="00B12260"/>
    <w:rsid w:val="00B13EA8"/>
    <w:rsid w:val="00B13F00"/>
    <w:rsid w:val="00B1562E"/>
    <w:rsid w:val="00B156E1"/>
    <w:rsid w:val="00B25433"/>
    <w:rsid w:val="00B2626C"/>
    <w:rsid w:val="00B363EE"/>
    <w:rsid w:val="00B3728B"/>
    <w:rsid w:val="00B408B6"/>
    <w:rsid w:val="00B531ED"/>
    <w:rsid w:val="00B53574"/>
    <w:rsid w:val="00B60027"/>
    <w:rsid w:val="00B611E7"/>
    <w:rsid w:val="00B63AE9"/>
    <w:rsid w:val="00B670FF"/>
    <w:rsid w:val="00B74FD7"/>
    <w:rsid w:val="00B76BE0"/>
    <w:rsid w:val="00B80913"/>
    <w:rsid w:val="00B91A8D"/>
    <w:rsid w:val="00BA34AD"/>
    <w:rsid w:val="00BA4B2A"/>
    <w:rsid w:val="00BB69FF"/>
    <w:rsid w:val="00BC2C49"/>
    <w:rsid w:val="00BC3155"/>
    <w:rsid w:val="00BC49C9"/>
    <w:rsid w:val="00BD4F95"/>
    <w:rsid w:val="00BD545A"/>
    <w:rsid w:val="00BE355E"/>
    <w:rsid w:val="00BF1C2D"/>
    <w:rsid w:val="00BF2735"/>
    <w:rsid w:val="00BF738E"/>
    <w:rsid w:val="00C0127D"/>
    <w:rsid w:val="00C0402F"/>
    <w:rsid w:val="00C059C6"/>
    <w:rsid w:val="00C14CE5"/>
    <w:rsid w:val="00C24D41"/>
    <w:rsid w:val="00C32186"/>
    <w:rsid w:val="00C329A2"/>
    <w:rsid w:val="00C352F3"/>
    <w:rsid w:val="00C35EC8"/>
    <w:rsid w:val="00C4065A"/>
    <w:rsid w:val="00C412B4"/>
    <w:rsid w:val="00C413CB"/>
    <w:rsid w:val="00C42FF3"/>
    <w:rsid w:val="00C447FD"/>
    <w:rsid w:val="00C44BA2"/>
    <w:rsid w:val="00C464FB"/>
    <w:rsid w:val="00C4794A"/>
    <w:rsid w:val="00C479EC"/>
    <w:rsid w:val="00C5024F"/>
    <w:rsid w:val="00C51630"/>
    <w:rsid w:val="00C52F4B"/>
    <w:rsid w:val="00C53754"/>
    <w:rsid w:val="00C54123"/>
    <w:rsid w:val="00C54DA8"/>
    <w:rsid w:val="00C6035E"/>
    <w:rsid w:val="00C638BD"/>
    <w:rsid w:val="00C639B5"/>
    <w:rsid w:val="00C651A6"/>
    <w:rsid w:val="00C72C99"/>
    <w:rsid w:val="00C73725"/>
    <w:rsid w:val="00C822F8"/>
    <w:rsid w:val="00C8251B"/>
    <w:rsid w:val="00C83482"/>
    <w:rsid w:val="00C83A6F"/>
    <w:rsid w:val="00C9020A"/>
    <w:rsid w:val="00C91E2C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C3E6F"/>
    <w:rsid w:val="00CC5FD2"/>
    <w:rsid w:val="00CD0386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6527D"/>
    <w:rsid w:val="00D774C6"/>
    <w:rsid w:val="00D776D6"/>
    <w:rsid w:val="00D80163"/>
    <w:rsid w:val="00D84CCB"/>
    <w:rsid w:val="00D84E18"/>
    <w:rsid w:val="00D904DE"/>
    <w:rsid w:val="00D9207F"/>
    <w:rsid w:val="00D95125"/>
    <w:rsid w:val="00DA6DD9"/>
    <w:rsid w:val="00DB2470"/>
    <w:rsid w:val="00DC0505"/>
    <w:rsid w:val="00DC7FB4"/>
    <w:rsid w:val="00DD3546"/>
    <w:rsid w:val="00DE2ADD"/>
    <w:rsid w:val="00DE5043"/>
    <w:rsid w:val="00DF44BE"/>
    <w:rsid w:val="00DF64FD"/>
    <w:rsid w:val="00DF7914"/>
    <w:rsid w:val="00E05AF6"/>
    <w:rsid w:val="00E10958"/>
    <w:rsid w:val="00E127AC"/>
    <w:rsid w:val="00E13056"/>
    <w:rsid w:val="00E14318"/>
    <w:rsid w:val="00E24EF9"/>
    <w:rsid w:val="00E24FB9"/>
    <w:rsid w:val="00E26CD1"/>
    <w:rsid w:val="00E26F82"/>
    <w:rsid w:val="00E348DF"/>
    <w:rsid w:val="00E3606E"/>
    <w:rsid w:val="00E44149"/>
    <w:rsid w:val="00E44D80"/>
    <w:rsid w:val="00E44ECA"/>
    <w:rsid w:val="00E459C3"/>
    <w:rsid w:val="00E53A61"/>
    <w:rsid w:val="00E57384"/>
    <w:rsid w:val="00E5755C"/>
    <w:rsid w:val="00E616F9"/>
    <w:rsid w:val="00E6578A"/>
    <w:rsid w:val="00E7293B"/>
    <w:rsid w:val="00E74109"/>
    <w:rsid w:val="00E750F1"/>
    <w:rsid w:val="00E814E3"/>
    <w:rsid w:val="00E83542"/>
    <w:rsid w:val="00EA0DE3"/>
    <w:rsid w:val="00EA0E4D"/>
    <w:rsid w:val="00EA47A8"/>
    <w:rsid w:val="00EA47B2"/>
    <w:rsid w:val="00EB1E0E"/>
    <w:rsid w:val="00EB260A"/>
    <w:rsid w:val="00EB77D8"/>
    <w:rsid w:val="00EB7CEA"/>
    <w:rsid w:val="00EB7D39"/>
    <w:rsid w:val="00EC00F7"/>
    <w:rsid w:val="00EC100A"/>
    <w:rsid w:val="00ED1C66"/>
    <w:rsid w:val="00EE4BF8"/>
    <w:rsid w:val="00EE739D"/>
    <w:rsid w:val="00EF0DD0"/>
    <w:rsid w:val="00EF15F7"/>
    <w:rsid w:val="00EF1EE8"/>
    <w:rsid w:val="00EF63BE"/>
    <w:rsid w:val="00EF69B2"/>
    <w:rsid w:val="00F02711"/>
    <w:rsid w:val="00F02993"/>
    <w:rsid w:val="00F069E7"/>
    <w:rsid w:val="00F10F95"/>
    <w:rsid w:val="00F11A57"/>
    <w:rsid w:val="00F172D2"/>
    <w:rsid w:val="00F242C4"/>
    <w:rsid w:val="00F336D9"/>
    <w:rsid w:val="00F41F12"/>
    <w:rsid w:val="00F454F2"/>
    <w:rsid w:val="00F4713A"/>
    <w:rsid w:val="00F511C0"/>
    <w:rsid w:val="00F54A56"/>
    <w:rsid w:val="00F62F54"/>
    <w:rsid w:val="00F719EC"/>
    <w:rsid w:val="00F7591B"/>
    <w:rsid w:val="00F76ECD"/>
    <w:rsid w:val="00F86BD5"/>
    <w:rsid w:val="00F92D2D"/>
    <w:rsid w:val="00F94227"/>
    <w:rsid w:val="00F9606B"/>
    <w:rsid w:val="00F96711"/>
    <w:rsid w:val="00FB1906"/>
    <w:rsid w:val="00FC2B87"/>
    <w:rsid w:val="00FD119D"/>
    <w:rsid w:val="00FD29E2"/>
    <w:rsid w:val="00FD3094"/>
    <w:rsid w:val="00FD6632"/>
    <w:rsid w:val="00FE262A"/>
    <w:rsid w:val="00FE36CF"/>
    <w:rsid w:val="00FE3A0D"/>
    <w:rsid w:val="00FE65E8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oNotEmbedSmartTags/>
  <w:decimalSymbol w:val="."/>
  <w:listSeparator w:val=","/>
  <w14:docId w14:val="77B75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qFormat/>
    <w:rsid w:val="00E814E3"/>
  </w:style>
  <w:style w:type="character" w:customStyle="1" w:styleId="CharAmSchText">
    <w:name w:val="CharAmSchText"/>
    <w:basedOn w:val="DefaultParagraphFont"/>
    <w:qFormat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qFormat/>
    <w:rsid w:val="00E814E3"/>
  </w:style>
  <w:style w:type="character" w:customStyle="1" w:styleId="CharPartText">
    <w:name w:val="CharPartText"/>
    <w:basedOn w:val="DefaultParagraphFont"/>
    <w:qFormat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qFormat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link w:val="SchedulepartChar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rsid w:val="003610D5"/>
    <w:rPr>
      <w:rFonts w:ascii="Arial" w:hAnsi="Arial" w:cs="Arial"/>
      <w:b/>
      <w:bCs/>
      <w:sz w:val="40"/>
      <w:szCs w:val="40"/>
    </w:rPr>
  </w:style>
  <w:style w:type="paragraph" w:customStyle="1" w:styleId="Style1">
    <w:name w:val="Style1"/>
    <w:basedOn w:val="Normal"/>
    <w:link w:val="Style1Char"/>
    <w:qFormat/>
    <w:rsid w:val="003610D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character" w:customStyle="1" w:styleId="Style1Char">
    <w:name w:val="Style1 Char"/>
    <w:basedOn w:val="DefaultParagraphFont"/>
    <w:link w:val="Style1"/>
    <w:rsid w:val="003610D5"/>
    <w:rPr>
      <w:rFonts w:ascii="Arial" w:hAnsi="Arial"/>
      <w:b/>
      <w:sz w:val="28"/>
      <w:szCs w:val="24"/>
      <w:lang w:eastAsia="en-US"/>
    </w:rPr>
  </w:style>
  <w:style w:type="paragraph" w:customStyle="1" w:styleId="xl63">
    <w:name w:val="xl63"/>
    <w:basedOn w:val="Normal"/>
    <w:rsid w:val="003610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4">
    <w:name w:val="xl64"/>
    <w:basedOn w:val="Normal"/>
    <w:rsid w:val="003610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3610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3610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CD0386"/>
    <w:pPr>
      <w:spacing w:before="100" w:beforeAutospacing="1" w:after="100" w:afterAutospacing="1"/>
    </w:pPr>
  </w:style>
  <w:style w:type="character" w:customStyle="1" w:styleId="SchedulepartChar">
    <w:name w:val="Schedule part Char"/>
    <w:basedOn w:val="DefaultParagraphFont"/>
    <w:link w:val="Schedulepart"/>
    <w:rsid w:val="000316A1"/>
    <w:rPr>
      <w:rFonts w:ascii="Arial" w:hAnsi="Arial"/>
      <w:b/>
      <w:sz w:val="28"/>
      <w:szCs w:val="24"/>
    </w:rPr>
  </w:style>
  <w:style w:type="paragraph" w:customStyle="1" w:styleId="font5">
    <w:name w:val="font5"/>
    <w:basedOn w:val="Normal"/>
    <w:rsid w:val="009C2A5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9C2A55"/>
    <w:pPr>
      <w:spacing w:before="100" w:beforeAutospacing="1" w:after="100" w:afterAutospacing="1"/>
    </w:pPr>
    <w:rPr>
      <w:rFonts w:ascii="MS Mincho" w:eastAsia="MS Mincho" w:hAnsi="MS Mincho"/>
      <w:color w:val="000000"/>
    </w:rPr>
  </w:style>
  <w:style w:type="paragraph" w:customStyle="1" w:styleId="ShortT">
    <w:name w:val="ShortT"/>
    <w:basedOn w:val="Normal"/>
    <w:next w:val="Normal"/>
    <w:qFormat/>
    <w:rsid w:val="007627C8"/>
    <w:rPr>
      <w:b/>
      <w:sz w:val="40"/>
      <w:szCs w:val="20"/>
    </w:rPr>
  </w:style>
  <w:style w:type="character" w:customStyle="1" w:styleId="HeaderChar">
    <w:name w:val="Header Char"/>
    <w:basedOn w:val="DefaultParagraphFont"/>
    <w:link w:val="Header"/>
    <w:rsid w:val="007627C8"/>
    <w:rPr>
      <w:rFonts w:ascii="Arial" w:hAnsi="Arial"/>
      <w:sz w:val="16"/>
      <w:szCs w:val="24"/>
    </w:rPr>
  </w:style>
  <w:style w:type="character" w:customStyle="1" w:styleId="FooterChar">
    <w:name w:val="Footer Char"/>
    <w:basedOn w:val="DefaultParagraphFont"/>
    <w:link w:val="Footer"/>
    <w:rsid w:val="007627C8"/>
    <w:rPr>
      <w:rFonts w:ascii="Arial" w:hAnsi="Arial"/>
      <w:i/>
      <w:sz w:val="18"/>
      <w:szCs w:val="18"/>
    </w:rPr>
  </w:style>
  <w:style w:type="paragraph" w:customStyle="1" w:styleId="SignCoverPageEnd">
    <w:name w:val="SignCoverPageEnd"/>
    <w:basedOn w:val="Normal"/>
    <w:next w:val="Normal"/>
    <w:rsid w:val="007627C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Cs w:val="20"/>
    </w:rPr>
  </w:style>
  <w:style w:type="paragraph" w:customStyle="1" w:styleId="SignCoverPageStart">
    <w:name w:val="SignCoverPageStart"/>
    <w:basedOn w:val="Normal"/>
    <w:next w:val="Normal"/>
    <w:rsid w:val="007627C8"/>
    <w:pPr>
      <w:pBdr>
        <w:top w:val="single" w:sz="4" w:space="1" w:color="auto"/>
      </w:pBdr>
      <w:spacing w:before="360" w:line="260" w:lineRule="atLeast"/>
      <w:ind w:right="397"/>
      <w:jc w:val="both"/>
    </w:pPr>
    <w:rPr>
      <w:sz w:val="22"/>
      <w:szCs w:val="20"/>
    </w:rPr>
  </w:style>
  <w:style w:type="paragraph" w:customStyle="1" w:styleId="ActHead8">
    <w:name w:val="ActHead 8"/>
    <w:aliases w:val="ad"/>
    <w:basedOn w:val="Normal"/>
    <w:next w:val="Normal"/>
    <w:qFormat/>
    <w:rsid w:val="007627C8"/>
    <w:pPr>
      <w:keepNext/>
      <w:keepLines/>
      <w:spacing w:before="240"/>
      <w:ind w:left="1134" w:hanging="1134"/>
      <w:outlineLvl w:val="7"/>
    </w:pPr>
    <w:rPr>
      <w:rFonts w:ascii="Arial" w:hAnsi="Arial"/>
      <w:b/>
      <w:kern w:val="28"/>
      <w:sz w:val="26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7627C8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27C8"/>
    <w:rPr>
      <w:sz w:val="22"/>
    </w:rPr>
  </w:style>
  <w:style w:type="paragraph" w:customStyle="1" w:styleId="ActHead6">
    <w:name w:val="ActHead 6"/>
    <w:aliases w:val="as"/>
    <w:basedOn w:val="Normal"/>
    <w:next w:val="Normal"/>
    <w:qFormat/>
    <w:rsid w:val="007627C8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</w:rPr>
  </w:style>
  <w:style w:type="paragraph" w:customStyle="1" w:styleId="ItemHead">
    <w:name w:val="ItemHead"/>
    <w:aliases w:val="ih"/>
    <w:basedOn w:val="Normal"/>
    <w:next w:val="Normal"/>
    <w:link w:val="ItemHeadChar"/>
    <w:rsid w:val="00BD4F95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BD4F95"/>
    <w:rPr>
      <w:rFonts w:ascii="Arial" w:hAnsi="Arial"/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63B08FD3F537447A3E95D66EA9ABB08" ma:contentTypeVersion="" ma:contentTypeDescription="PDMS Document Site Content Type" ma:contentTypeScope="" ma:versionID="a43b65fd2472ca41da83f830852b4a42">
  <xsd:schema xmlns:xsd="http://www.w3.org/2001/XMLSchema" xmlns:xs="http://www.w3.org/2001/XMLSchema" xmlns:p="http://schemas.microsoft.com/office/2006/metadata/properties" xmlns:ns2="7815DF9A-E648-4D07-966E-CB2F9FB5192C" targetNamespace="http://schemas.microsoft.com/office/2006/metadata/properties" ma:root="true" ma:fieldsID="06eb209260255519daf9e693c7e09f17" ns2:_="">
    <xsd:import namespace="7815DF9A-E648-4D07-966E-CB2F9FB5192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5DF9A-E648-4D07-966E-CB2F9FB5192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815DF9A-E648-4D07-966E-CB2F9FB519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1FBC-B63F-4DEA-B975-35378E9EE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A05B1-2D13-4999-B1E4-875EF58D7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5DF9A-E648-4D07-966E-CB2F9FB5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E2BF7-F915-49D9-89AE-34703C5B578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815DF9A-E648-4D07-966E-CB2F9FB5192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E1ADBF-83B2-478E-9928-9493DD15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(UN Sanction Enforcement Law) Declaration 2008</vt:lpstr>
    </vt:vector>
  </TitlesOfParts>
  <LinksUpToDate>false</LinksUpToDate>
  <CharactersWithSpaces>19656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the United Nations (UN Sanction Enforcement Law) Declaration 2008</dc:title>
  <dc:creator/>
  <cp:lastModifiedBy/>
  <cp:revision>1</cp:revision>
  <cp:lastPrinted>2008-03-17T05:51:00Z</cp:lastPrinted>
  <dcterms:created xsi:type="dcterms:W3CDTF">2018-02-08T03:55:00Z</dcterms:created>
  <dcterms:modified xsi:type="dcterms:W3CDTF">2018-02-08T23:23:00Z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053b95ff-6e58-4b47-895f-f6c724cf9bb6</vt:lpwstr>
  </property>
  <property fmtid="{D5CDD505-2E9C-101B-9397-08002B2CF9AE}" pid="3" name="ContentTypeId">
    <vt:lpwstr>0x010100266966F133664895A6EE3632470D45F500A63B08FD3F537447A3E95D66EA9ABB08</vt:lpwstr>
  </property>
  <property fmtid="{D5CDD505-2E9C-101B-9397-08002B2CF9AE}" pid="4" name="SEC">
    <vt:lpwstr>PROTECTED</vt:lpwstr>
  </property>
  <property fmtid="{D5CDD505-2E9C-101B-9397-08002B2CF9AE}" pid="5" name="DLM">
    <vt:lpwstr>SensitiveLegal</vt:lpwstr>
  </property>
</Properties>
</file>