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D2918" w14:textId="66D8AF61" w:rsidR="009A3BCA" w:rsidRPr="00BA61EE" w:rsidRDefault="00A5550C" w:rsidP="00C45514">
      <w:pPr>
        <w:spacing w:line="240" w:lineRule="auto"/>
        <w:jc w:val="center"/>
        <w:outlineLvl w:val="0"/>
        <w:rPr>
          <w:rFonts w:ascii="Times New Roman" w:hAnsi="Times New Roman"/>
          <w:b/>
          <w:sz w:val="24"/>
          <w:szCs w:val="24"/>
          <w:u w:val="single"/>
        </w:rPr>
      </w:pPr>
      <w:r w:rsidRPr="00BA61EE">
        <w:rPr>
          <w:rFonts w:ascii="Times New Roman" w:hAnsi="Times New Roman"/>
          <w:b/>
          <w:sz w:val="24"/>
          <w:szCs w:val="24"/>
          <w:u w:val="single"/>
        </w:rPr>
        <w:t>EXPLANATORY STATEMENT</w:t>
      </w:r>
    </w:p>
    <w:p w14:paraId="5C1D2919" w14:textId="6CB3DFCF" w:rsidR="009A3BCA" w:rsidRPr="00BA61EE" w:rsidRDefault="00A5550C" w:rsidP="00C45514">
      <w:pPr>
        <w:spacing w:line="240" w:lineRule="auto"/>
        <w:jc w:val="center"/>
        <w:rPr>
          <w:rFonts w:ascii="Times New Roman" w:hAnsi="Times New Roman"/>
          <w:sz w:val="24"/>
          <w:szCs w:val="24"/>
        </w:rPr>
      </w:pPr>
      <w:r w:rsidRPr="00BA61EE">
        <w:rPr>
          <w:rFonts w:ascii="Times New Roman" w:hAnsi="Times New Roman"/>
          <w:sz w:val="24"/>
          <w:szCs w:val="24"/>
        </w:rPr>
        <w:t xml:space="preserve">Issued by the Authority of the </w:t>
      </w:r>
      <w:r w:rsidRPr="00FB53C2">
        <w:rPr>
          <w:rFonts w:ascii="Times New Roman" w:hAnsi="Times New Roman"/>
          <w:sz w:val="24"/>
          <w:szCs w:val="24"/>
        </w:rPr>
        <w:t>Minister for Agriculture and Water Resources</w:t>
      </w:r>
    </w:p>
    <w:p w14:paraId="5C1D291A" w14:textId="77777777" w:rsidR="009A3BCA" w:rsidRPr="00BA61EE" w:rsidRDefault="00A5550C" w:rsidP="00C45514">
      <w:pPr>
        <w:spacing w:line="240" w:lineRule="auto"/>
        <w:jc w:val="center"/>
        <w:rPr>
          <w:rFonts w:ascii="Times New Roman" w:hAnsi="Times New Roman"/>
          <w:i/>
          <w:sz w:val="24"/>
          <w:szCs w:val="24"/>
        </w:rPr>
      </w:pPr>
      <w:r w:rsidRPr="00BA61EE">
        <w:rPr>
          <w:rFonts w:ascii="Times New Roman" w:hAnsi="Times New Roman"/>
          <w:i/>
          <w:sz w:val="24"/>
          <w:szCs w:val="24"/>
        </w:rPr>
        <w:t>Water Act 2007</w:t>
      </w:r>
    </w:p>
    <w:p w14:paraId="36C96578" w14:textId="07C693D4" w:rsidR="007609C6" w:rsidRPr="00E258BC" w:rsidRDefault="007609C6" w:rsidP="00C45514">
      <w:pPr>
        <w:spacing w:line="240" w:lineRule="auto"/>
        <w:jc w:val="center"/>
        <w:rPr>
          <w:rFonts w:ascii="Times New Roman" w:hAnsi="Times New Roman"/>
          <w:i/>
          <w:sz w:val="24"/>
          <w:szCs w:val="24"/>
        </w:rPr>
      </w:pPr>
      <w:r w:rsidRPr="00E258BC">
        <w:rPr>
          <w:rFonts w:ascii="Times New Roman" w:hAnsi="Times New Roman"/>
          <w:i/>
          <w:sz w:val="24"/>
          <w:szCs w:val="24"/>
        </w:rPr>
        <w:t xml:space="preserve">Water Amendment (Interactions with </w:t>
      </w:r>
      <w:r>
        <w:rPr>
          <w:rFonts w:ascii="Times New Roman" w:hAnsi="Times New Roman"/>
          <w:i/>
          <w:sz w:val="24"/>
          <w:szCs w:val="24"/>
        </w:rPr>
        <w:t>Australian Capital Territory Water Resource Plans</w:t>
      </w:r>
      <w:r w:rsidRPr="00E258BC">
        <w:rPr>
          <w:rFonts w:ascii="Times New Roman" w:hAnsi="Times New Roman"/>
          <w:i/>
          <w:sz w:val="24"/>
          <w:szCs w:val="24"/>
        </w:rPr>
        <w:t>) Regulation</w:t>
      </w:r>
      <w:r w:rsidR="00103800">
        <w:rPr>
          <w:rFonts w:ascii="Times New Roman" w:hAnsi="Times New Roman"/>
          <w:i/>
          <w:sz w:val="24"/>
          <w:szCs w:val="24"/>
        </w:rPr>
        <w:t>s</w:t>
      </w:r>
      <w:r w:rsidRPr="00E258BC">
        <w:rPr>
          <w:rFonts w:ascii="Times New Roman" w:hAnsi="Times New Roman"/>
          <w:i/>
          <w:sz w:val="24"/>
          <w:szCs w:val="24"/>
        </w:rPr>
        <w:t xml:space="preserve"> </w:t>
      </w:r>
      <w:r w:rsidR="00F531D7" w:rsidRPr="00E258BC">
        <w:rPr>
          <w:rFonts w:ascii="Times New Roman" w:hAnsi="Times New Roman"/>
          <w:i/>
          <w:sz w:val="24"/>
          <w:szCs w:val="24"/>
        </w:rPr>
        <w:t>201</w:t>
      </w:r>
      <w:r w:rsidR="00F531D7">
        <w:rPr>
          <w:rFonts w:ascii="Times New Roman" w:hAnsi="Times New Roman"/>
          <w:i/>
          <w:sz w:val="24"/>
          <w:szCs w:val="24"/>
        </w:rPr>
        <w:t>8</w:t>
      </w:r>
    </w:p>
    <w:p w14:paraId="05164D45" w14:textId="0E7F50ED" w:rsidR="005727FD" w:rsidRPr="00EE0453" w:rsidRDefault="005727FD" w:rsidP="0051581D">
      <w:pPr>
        <w:spacing w:line="240" w:lineRule="auto"/>
        <w:rPr>
          <w:rFonts w:ascii="Times New Roman" w:hAnsi="Times New Roman"/>
          <w:b/>
          <w:sz w:val="24"/>
          <w:szCs w:val="24"/>
        </w:rPr>
      </w:pPr>
      <w:r w:rsidRPr="00EE0453">
        <w:rPr>
          <w:rFonts w:ascii="Times New Roman" w:hAnsi="Times New Roman"/>
          <w:b/>
          <w:sz w:val="24"/>
          <w:szCs w:val="24"/>
        </w:rPr>
        <w:t xml:space="preserve">Legislative Authority </w:t>
      </w:r>
    </w:p>
    <w:p w14:paraId="4F6D03AA" w14:textId="77777777" w:rsidR="00AA2F5C" w:rsidRDefault="00AA2F5C">
      <w:pPr>
        <w:spacing w:line="240" w:lineRule="auto"/>
        <w:rPr>
          <w:rFonts w:ascii="Times New Roman" w:hAnsi="Times New Roman"/>
          <w:sz w:val="24"/>
          <w:szCs w:val="24"/>
        </w:rPr>
      </w:pPr>
      <w:r w:rsidRPr="00E258BC">
        <w:rPr>
          <w:rFonts w:ascii="Times New Roman" w:hAnsi="Times New Roman"/>
          <w:sz w:val="24"/>
          <w:szCs w:val="24"/>
        </w:rPr>
        <w:t xml:space="preserve">The </w:t>
      </w:r>
      <w:r w:rsidRPr="00E258BC">
        <w:rPr>
          <w:rFonts w:ascii="Times New Roman" w:hAnsi="Times New Roman"/>
          <w:i/>
          <w:sz w:val="24"/>
          <w:szCs w:val="24"/>
        </w:rPr>
        <w:t>Water Act 2007</w:t>
      </w:r>
      <w:r w:rsidRPr="00E258BC">
        <w:rPr>
          <w:rFonts w:ascii="Times New Roman" w:hAnsi="Times New Roman"/>
          <w:sz w:val="24"/>
          <w:szCs w:val="24"/>
        </w:rPr>
        <w:t xml:space="preserve"> (the Act) provides the legislative framework for managing Australia’s largest water resource </w:t>
      </w:r>
      <w:r>
        <w:rPr>
          <w:rFonts w:ascii="Times New Roman" w:hAnsi="Times New Roman"/>
          <w:sz w:val="24"/>
          <w:szCs w:val="24"/>
        </w:rPr>
        <w:t>—</w:t>
      </w:r>
      <w:r w:rsidRPr="00E258BC">
        <w:rPr>
          <w:rFonts w:ascii="Times New Roman" w:hAnsi="Times New Roman"/>
          <w:sz w:val="24"/>
          <w:szCs w:val="24"/>
        </w:rPr>
        <w:t xml:space="preserve"> the Murray-Darling Basin </w:t>
      </w:r>
      <w:r>
        <w:rPr>
          <w:rFonts w:ascii="Times New Roman" w:hAnsi="Times New Roman"/>
          <w:sz w:val="24"/>
          <w:szCs w:val="24"/>
        </w:rPr>
        <w:t>—</w:t>
      </w:r>
      <w:r w:rsidRPr="00E258BC">
        <w:rPr>
          <w:rFonts w:ascii="Times New Roman" w:hAnsi="Times New Roman"/>
          <w:sz w:val="24"/>
          <w:szCs w:val="24"/>
        </w:rPr>
        <w:t xml:space="preserve"> in the national interest, as well as for providing information on Australia’s water resources. </w:t>
      </w:r>
    </w:p>
    <w:p w14:paraId="24326760" w14:textId="67B4B38A" w:rsidR="00AA2F5C" w:rsidRDefault="00AA2F5C">
      <w:pPr>
        <w:spacing w:line="240" w:lineRule="auto"/>
        <w:rPr>
          <w:rFonts w:ascii="Times New Roman" w:hAnsi="Times New Roman"/>
          <w:sz w:val="24"/>
          <w:szCs w:val="24"/>
        </w:rPr>
      </w:pPr>
      <w:r w:rsidRPr="00E258BC">
        <w:rPr>
          <w:rFonts w:ascii="Times New Roman" w:hAnsi="Times New Roman"/>
          <w:sz w:val="24"/>
          <w:szCs w:val="24"/>
        </w:rPr>
        <w:t>Section 256 of the Act provides that the Governor-General may make regulations prescribing matters required or permitted by th</w:t>
      </w:r>
      <w:bookmarkStart w:id="0" w:name="_GoBack"/>
      <w:bookmarkEnd w:id="0"/>
      <w:r w:rsidRPr="00E258BC">
        <w:rPr>
          <w:rFonts w:ascii="Times New Roman" w:hAnsi="Times New Roman"/>
          <w:sz w:val="24"/>
          <w:szCs w:val="24"/>
        </w:rPr>
        <w:t xml:space="preserve">e Act to be prescribed, or </w:t>
      </w:r>
      <w:r w:rsidR="0036103C">
        <w:rPr>
          <w:rFonts w:ascii="Times New Roman" w:hAnsi="Times New Roman"/>
          <w:sz w:val="24"/>
          <w:szCs w:val="24"/>
        </w:rPr>
        <w:t xml:space="preserve">matters </w:t>
      </w:r>
      <w:r w:rsidRPr="00E258BC">
        <w:rPr>
          <w:rFonts w:ascii="Times New Roman" w:hAnsi="Times New Roman"/>
          <w:sz w:val="24"/>
          <w:szCs w:val="24"/>
        </w:rPr>
        <w:t>necessary</w:t>
      </w:r>
      <w:r w:rsidRPr="00D75118">
        <w:rPr>
          <w:rFonts w:ascii="Times New Roman" w:hAnsi="Times New Roman"/>
          <w:sz w:val="24"/>
          <w:szCs w:val="24"/>
        </w:rPr>
        <w:t xml:space="preserve"> or convenient to be prescribed for carrying out or giving effect to the Act.</w:t>
      </w:r>
    </w:p>
    <w:p w14:paraId="3CB4A6D1" w14:textId="2E4408B2" w:rsidR="00AA2F5C" w:rsidRDefault="00AA2F5C">
      <w:pPr>
        <w:spacing w:line="240" w:lineRule="auto"/>
        <w:rPr>
          <w:rFonts w:ascii="Times New Roman" w:hAnsi="Times New Roman"/>
          <w:sz w:val="24"/>
          <w:szCs w:val="24"/>
        </w:rPr>
      </w:pPr>
      <w:r w:rsidRPr="00E87F61">
        <w:rPr>
          <w:rFonts w:ascii="Times New Roman" w:hAnsi="Times New Roman"/>
          <w:sz w:val="24"/>
          <w:szCs w:val="24"/>
        </w:rPr>
        <w:t xml:space="preserve">Sections 34 and 35 </w:t>
      </w:r>
      <w:r>
        <w:rPr>
          <w:rFonts w:ascii="Times New Roman" w:hAnsi="Times New Roman"/>
          <w:sz w:val="24"/>
          <w:szCs w:val="24"/>
        </w:rPr>
        <w:t xml:space="preserve">of the Act </w:t>
      </w:r>
      <w:r w:rsidRPr="00E87F61">
        <w:rPr>
          <w:rFonts w:ascii="Times New Roman" w:hAnsi="Times New Roman"/>
          <w:sz w:val="24"/>
          <w:szCs w:val="24"/>
        </w:rPr>
        <w:t xml:space="preserve">are the principal provisions that give legal effect to the </w:t>
      </w:r>
      <w:r w:rsidRPr="00022E01">
        <w:rPr>
          <w:rFonts w:ascii="Times New Roman" w:hAnsi="Times New Roman"/>
          <w:i/>
          <w:sz w:val="24"/>
          <w:szCs w:val="24"/>
        </w:rPr>
        <w:t>Basin Plan</w:t>
      </w:r>
      <w:r>
        <w:rPr>
          <w:rFonts w:ascii="Times New Roman" w:hAnsi="Times New Roman"/>
          <w:i/>
          <w:sz w:val="24"/>
          <w:szCs w:val="24"/>
        </w:rPr>
        <w:t xml:space="preserve"> 2012 </w:t>
      </w:r>
      <w:r w:rsidR="006F78BB">
        <w:rPr>
          <w:rFonts w:ascii="Times New Roman" w:hAnsi="Times New Roman"/>
          <w:sz w:val="24"/>
          <w:szCs w:val="24"/>
        </w:rPr>
        <w:t>(</w:t>
      </w:r>
      <w:r w:rsidR="00B40D85">
        <w:rPr>
          <w:rFonts w:ascii="Times New Roman" w:hAnsi="Times New Roman"/>
          <w:sz w:val="24"/>
          <w:szCs w:val="24"/>
        </w:rPr>
        <w:t xml:space="preserve">the </w:t>
      </w:r>
      <w:r w:rsidR="006F78BB">
        <w:rPr>
          <w:rFonts w:ascii="Times New Roman" w:hAnsi="Times New Roman"/>
          <w:sz w:val="24"/>
          <w:szCs w:val="24"/>
        </w:rPr>
        <w:t>Basin Plan</w:t>
      </w:r>
      <w:r>
        <w:rPr>
          <w:rFonts w:ascii="Times New Roman" w:hAnsi="Times New Roman"/>
          <w:sz w:val="24"/>
          <w:szCs w:val="24"/>
        </w:rPr>
        <w:t>)</w:t>
      </w:r>
      <w:r w:rsidRPr="00E87F61">
        <w:rPr>
          <w:rFonts w:ascii="Times New Roman" w:hAnsi="Times New Roman"/>
          <w:sz w:val="24"/>
          <w:szCs w:val="24"/>
        </w:rPr>
        <w:t xml:space="preserve">. Subsection 34(1) of the Act requires the </w:t>
      </w:r>
      <w:r>
        <w:rPr>
          <w:rFonts w:ascii="Times New Roman" w:hAnsi="Times New Roman"/>
          <w:sz w:val="24"/>
          <w:szCs w:val="24"/>
        </w:rPr>
        <w:t xml:space="preserve">Murray-Darling Basin Authority (MDBA) </w:t>
      </w:r>
      <w:r w:rsidRPr="00E87F61">
        <w:rPr>
          <w:rFonts w:ascii="Times New Roman" w:hAnsi="Times New Roman"/>
          <w:sz w:val="24"/>
          <w:szCs w:val="24"/>
        </w:rPr>
        <w:t xml:space="preserve">and other </w:t>
      </w:r>
      <w:r>
        <w:rPr>
          <w:rFonts w:ascii="Times New Roman" w:hAnsi="Times New Roman"/>
          <w:sz w:val="24"/>
          <w:szCs w:val="24"/>
        </w:rPr>
        <w:t xml:space="preserve">relevant </w:t>
      </w:r>
      <w:r w:rsidRPr="00E87F61">
        <w:rPr>
          <w:rFonts w:ascii="Times New Roman" w:hAnsi="Times New Roman"/>
          <w:sz w:val="24"/>
          <w:szCs w:val="24"/>
        </w:rPr>
        <w:t>Commonwealth agencies to perform their functions and exercise their powers in a manner that is consistent with and gives effect to the Basin Plan.</w:t>
      </w:r>
    </w:p>
    <w:p w14:paraId="6AEC6BD7" w14:textId="365BB602" w:rsidR="004F4C81" w:rsidRPr="004F4C81" w:rsidRDefault="004F4C81" w:rsidP="004F4C81">
      <w:pPr>
        <w:spacing w:line="240" w:lineRule="auto"/>
        <w:rPr>
          <w:rFonts w:ascii="Times New Roman" w:hAnsi="Times New Roman"/>
          <w:sz w:val="24"/>
          <w:szCs w:val="24"/>
          <w:lang w:val="en-US"/>
        </w:rPr>
      </w:pPr>
      <w:r>
        <w:rPr>
          <w:rFonts w:ascii="Times New Roman" w:hAnsi="Times New Roman"/>
          <w:sz w:val="24"/>
          <w:szCs w:val="24"/>
        </w:rPr>
        <w:t xml:space="preserve">The purpose of the Basin Plan as a whole is </w:t>
      </w:r>
      <w:r w:rsidRPr="004F4C81">
        <w:rPr>
          <w:rFonts w:ascii="Times New Roman" w:hAnsi="Times New Roman"/>
          <w:sz w:val="24"/>
          <w:szCs w:val="24"/>
        </w:rPr>
        <w:t>to give effect to relevant international agreements through the integrated management of Basin water resources; to establish a sustainable and long</w:t>
      </w:r>
      <w:r w:rsidRPr="004F4C81">
        <w:rPr>
          <w:rFonts w:ascii="Times New Roman" w:hAnsi="Times New Roman"/>
          <w:sz w:val="24"/>
          <w:szCs w:val="24"/>
        </w:rPr>
        <w:noBreakHyphen/>
        <w:t>term adaptive management framewor</w:t>
      </w:r>
      <w:r w:rsidR="00261477">
        <w:rPr>
          <w:rFonts w:ascii="Times New Roman" w:hAnsi="Times New Roman"/>
          <w:sz w:val="24"/>
          <w:szCs w:val="24"/>
        </w:rPr>
        <w:t>k for the Basin water resources</w:t>
      </w:r>
      <w:r w:rsidRPr="004F4C81">
        <w:rPr>
          <w:rFonts w:ascii="Times New Roman" w:hAnsi="Times New Roman"/>
          <w:sz w:val="24"/>
          <w:szCs w:val="24"/>
        </w:rPr>
        <w:t>; to optimise social, economic and environmental outcomes arising from the use of Basin water resources in the national interest; and</w:t>
      </w:r>
      <w:r>
        <w:rPr>
          <w:rFonts w:ascii="Times New Roman" w:hAnsi="Times New Roman"/>
          <w:sz w:val="24"/>
          <w:szCs w:val="24"/>
        </w:rPr>
        <w:t xml:space="preserve"> </w:t>
      </w:r>
      <w:r w:rsidRPr="004F4C81">
        <w:rPr>
          <w:rFonts w:ascii="Times New Roman" w:hAnsi="Times New Roman"/>
          <w:sz w:val="24"/>
          <w:szCs w:val="24"/>
        </w:rPr>
        <w:t>to improve water security for all uses of Basin water resources.</w:t>
      </w:r>
    </w:p>
    <w:p w14:paraId="79706AB3" w14:textId="69565F86" w:rsidR="00AA2F5C" w:rsidRPr="00E87F61" w:rsidRDefault="00AA2F5C">
      <w:pPr>
        <w:spacing w:line="240" w:lineRule="auto"/>
        <w:rPr>
          <w:rFonts w:ascii="Times New Roman" w:hAnsi="Times New Roman"/>
          <w:sz w:val="24"/>
          <w:szCs w:val="24"/>
        </w:rPr>
      </w:pPr>
      <w:r w:rsidRPr="00E87F61">
        <w:rPr>
          <w:rFonts w:ascii="Times New Roman" w:hAnsi="Times New Roman"/>
          <w:sz w:val="24"/>
          <w:szCs w:val="24"/>
        </w:rPr>
        <w:t>Subsection 35(1) of the Act prohibits both the doing of an act where that act is inconsistent with the Basin Plan, and the failure to do an act where that failure is inconsistent with the Basin Plan. Subsection 35(1) applies to the Basin Officials Committee, an agency of a Basin State</w:t>
      </w:r>
      <w:r>
        <w:rPr>
          <w:rFonts w:ascii="Times New Roman" w:hAnsi="Times New Roman"/>
          <w:sz w:val="24"/>
          <w:szCs w:val="24"/>
        </w:rPr>
        <w:t xml:space="preserve"> (which includes </w:t>
      </w:r>
      <w:r w:rsidRPr="00E87F61">
        <w:rPr>
          <w:rFonts w:ascii="Times New Roman" w:hAnsi="Times New Roman"/>
          <w:sz w:val="24"/>
          <w:szCs w:val="24"/>
        </w:rPr>
        <w:t>New South Wales, Victoria, Queensland, South Australia and</w:t>
      </w:r>
      <w:r>
        <w:rPr>
          <w:rFonts w:ascii="Times New Roman" w:hAnsi="Times New Roman"/>
          <w:sz w:val="24"/>
          <w:szCs w:val="24"/>
        </w:rPr>
        <w:t xml:space="preserve"> the Australian Capital Territory (ACT))</w:t>
      </w:r>
      <w:r w:rsidRPr="00E87F61">
        <w:rPr>
          <w:rFonts w:ascii="Times New Roman" w:hAnsi="Times New Roman"/>
          <w:sz w:val="24"/>
          <w:szCs w:val="24"/>
        </w:rPr>
        <w:t xml:space="preserve">, an operating authority, an infrastructure operator </w:t>
      </w:r>
      <w:r w:rsidR="0036103C">
        <w:rPr>
          <w:rFonts w:ascii="Times New Roman" w:hAnsi="Times New Roman"/>
          <w:sz w:val="24"/>
          <w:szCs w:val="24"/>
        </w:rPr>
        <w:t>and a</w:t>
      </w:r>
      <w:r w:rsidRPr="00E87F61">
        <w:rPr>
          <w:rFonts w:ascii="Times New Roman" w:hAnsi="Times New Roman"/>
          <w:sz w:val="24"/>
          <w:szCs w:val="24"/>
        </w:rPr>
        <w:t xml:space="preserve"> holder of a water access right. </w:t>
      </w:r>
    </w:p>
    <w:p w14:paraId="68BA5FDE" w14:textId="77777777" w:rsidR="00AA2F5C" w:rsidRDefault="00AA2F5C">
      <w:pPr>
        <w:spacing w:line="240" w:lineRule="auto"/>
        <w:rPr>
          <w:rFonts w:ascii="Times New Roman" w:hAnsi="Times New Roman"/>
          <w:sz w:val="24"/>
          <w:szCs w:val="24"/>
        </w:rPr>
      </w:pPr>
      <w:r w:rsidRPr="00E87F61">
        <w:rPr>
          <w:rFonts w:ascii="Times New Roman" w:hAnsi="Times New Roman"/>
          <w:sz w:val="24"/>
          <w:szCs w:val="24"/>
        </w:rPr>
        <w:t>Section 38 of the Act allows regulations to be made which provide that subsections 34(1) and 35(1) of the Act do not appl</w:t>
      </w:r>
      <w:r>
        <w:rPr>
          <w:rFonts w:ascii="Times New Roman" w:hAnsi="Times New Roman"/>
          <w:sz w:val="24"/>
          <w:szCs w:val="24"/>
        </w:rPr>
        <w:t xml:space="preserve">y to specified activities. </w:t>
      </w:r>
    </w:p>
    <w:p w14:paraId="50FCB7D1" w14:textId="0E73C56A" w:rsidR="00AA2F5C" w:rsidRDefault="00AA2F5C">
      <w:pPr>
        <w:spacing w:line="240" w:lineRule="auto"/>
        <w:rPr>
          <w:rFonts w:ascii="Times New Roman" w:hAnsi="Times New Roman"/>
          <w:sz w:val="24"/>
          <w:szCs w:val="24"/>
        </w:rPr>
      </w:pPr>
      <w:r>
        <w:rPr>
          <w:rFonts w:ascii="Times New Roman" w:hAnsi="Times New Roman"/>
          <w:sz w:val="24"/>
          <w:szCs w:val="24"/>
        </w:rPr>
        <w:t xml:space="preserve">Regulation 2.02 of the </w:t>
      </w:r>
      <w:r>
        <w:rPr>
          <w:rFonts w:ascii="Times New Roman" w:hAnsi="Times New Roman"/>
          <w:i/>
          <w:sz w:val="24"/>
          <w:szCs w:val="24"/>
        </w:rPr>
        <w:t>Water Regulations 2008</w:t>
      </w:r>
      <w:r w:rsidRPr="00E87F61">
        <w:rPr>
          <w:rFonts w:ascii="Times New Roman" w:hAnsi="Times New Roman"/>
          <w:sz w:val="24"/>
          <w:szCs w:val="24"/>
        </w:rPr>
        <w:t xml:space="preserve"> </w:t>
      </w:r>
      <w:r>
        <w:rPr>
          <w:rFonts w:ascii="Times New Roman" w:hAnsi="Times New Roman"/>
          <w:sz w:val="24"/>
          <w:szCs w:val="24"/>
        </w:rPr>
        <w:t>(</w:t>
      </w:r>
      <w:r w:rsidR="00311532">
        <w:rPr>
          <w:rFonts w:ascii="Times New Roman" w:hAnsi="Times New Roman"/>
          <w:sz w:val="24"/>
          <w:szCs w:val="24"/>
        </w:rPr>
        <w:t xml:space="preserve">the </w:t>
      </w:r>
      <w:r>
        <w:rPr>
          <w:rFonts w:ascii="Times New Roman" w:hAnsi="Times New Roman"/>
          <w:sz w:val="24"/>
          <w:szCs w:val="24"/>
        </w:rPr>
        <w:t xml:space="preserve">Principal Regulations) </w:t>
      </w:r>
      <w:r w:rsidRPr="00E87F61">
        <w:rPr>
          <w:rFonts w:ascii="Times New Roman" w:hAnsi="Times New Roman"/>
          <w:sz w:val="24"/>
          <w:szCs w:val="24"/>
        </w:rPr>
        <w:t>provide</w:t>
      </w:r>
      <w:r w:rsidR="0036103C">
        <w:rPr>
          <w:rFonts w:ascii="Times New Roman" w:hAnsi="Times New Roman"/>
          <w:sz w:val="24"/>
          <w:szCs w:val="24"/>
        </w:rPr>
        <w:t>s</w:t>
      </w:r>
      <w:r w:rsidRPr="00E87F61">
        <w:rPr>
          <w:rFonts w:ascii="Times New Roman" w:hAnsi="Times New Roman"/>
          <w:sz w:val="24"/>
          <w:szCs w:val="24"/>
        </w:rPr>
        <w:t xml:space="preserve"> </w:t>
      </w:r>
      <w:r>
        <w:rPr>
          <w:rFonts w:ascii="Times New Roman" w:hAnsi="Times New Roman"/>
          <w:sz w:val="24"/>
          <w:szCs w:val="24"/>
        </w:rPr>
        <w:t xml:space="preserve">that </w:t>
      </w:r>
      <w:r w:rsidR="00A52FD7">
        <w:rPr>
          <w:rFonts w:ascii="Times New Roman" w:hAnsi="Times New Roman"/>
          <w:sz w:val="24"/>
          <w:szCs w:val="24"/>
        </w:rPr>
        <w:t>sub</w:t>
      </w:r>
      <w:r>
        <w:rPr>
          <w:rFonts w:ascii="Times New Roman" w:hAnsi="Times New Roman"/>
          <w:sz w:val="24"/>
          <w:szCs w:val="24"/>
        </w:rPr>
        <w:t xml:space="preserve">sections 34(1) and 35(1) of the Act do not apply if an activity is undertaken in accordance with a provision of a relevant ACT interim water resource plan. Currently, Regulation 2.02 of the Principal Regulations ceases to have effect on </w:t>
      </w:r>
      <w:r w:rsidR="008B5D4B">
        <w:rPr>
          <w:rFonts w:ascii="Times New Roman" w:hAnsi="Times New Roman"/>
          <w:sz w:val="24"/>
          <w:szCs w:val="24"/>
        </w:rPr>
        <w:t>30 June 2018</w:t>
      </w:r>
      <w:r w:rsidR="007B36A3">
        <w:rPr>
          <w:rFonts w:ascii="Times New Roman" w:hAnsi="Times New Roman"/>
          <w:sz w:val="24"/>
          <w:szCs w:val="24"/>
        </w:rPr>
        <w:t>.</w:t>
      </w:r>
    </w:p>
    <w:p w14:paraId="4550433A" w14:textId="332FEB94" w:rsidR="005727FD" w:rsidRDefault="005727FD">
      <w:pPr>
        <w:spacing w:line="240" w:lineRule="auto"/>
        <w:rPr>
          <w:rFonts w:ascii="Times New Roman" w:hAnsi="Times New Roman"/>
          <w:sz w:val="24"/>
          <w:szCs w:val="24"/>
        </w:rPr>
      </w:pPr>
      <w:r w:rsidRPr="00EE0453">
        <w:rPr>
          <w:rFonts w:ascii="Times New Roman" w:hAnsi="Times New Roman"/>
          <w:b/>
          <w:sz w:val="24"/>
          <w:szCs w:val="24"/>
        </w:rPr>
        <w:t>Purpose</w:t>
      </w:r>
    </w:p>
    <w:p w14:paraId="726EE25F" w14:textId="18A54EF2" w:rsidR="009A3BCA" w:rsidRDefault="009A3BCA">
      <w:pPr>
        <w:spacing w:line="240" w:lineRule="auto"/>
        <w:rPr>
          <w:rFonts w:ascii="Times New Roman" w:hAnsi="Times New Roman"/>
          <w:sz w:val="24"/>
          <w:szCs w:val="24"/>
        </w:rPr>
      </w:pPr>
      <w:r>
        <w:rPr>
          <w:rFonts w:ascii="Times New Roman" w:hAnsi="Times New Roman"/>
          <w:sz w:val="24"/>
          <w:szCs w:val="24"/>
        </w:rPr>
        <w:t xml:space="preserve">The </w:t>
      </w:r>
      <w:r w:rsidRPr="006378F9">
        <w:rPr>
          <w:rFonts w:ascii="Times New Roman" w:hAnsi="Times New Roman"/>
          <w:i/>
          <w:sz w:val="24"/>
          <w:szCs w:val="24"/>
        </w:rPr>
        <w:t>Water Act 2007</w:t>
      </w:r>
      <w:r>
        <w:rPr>
          <w:rFonts w:ascii="Times New Roman" w:hAnsi="Times New Roman"/>
          <w:sz w:val="24"/>
          <w:szCs w:val="24"/>
        </w:rPr>
        <w:t xml:space="preserve"> provides that there must be a Basin Plan compliant water resource plan for each water resource plan area</w:t>
      </w:r>
      <w:r w:rsidR="00CA3A8D">
        <w:rPr>
          <w:rFonts w:ascii="Times New Roman" w:hAnsi="Times New Roman"/>
          <w:sz w:val="24"/>
          <w:szCs w:val="24"/>
        </w:rPr>
        <w:t>, to be accredited by the Minister for Agriculture and Water Resources by 30 June 2019</w:t>
      </w:r>
      <w:r>
        <w:rPr>
          <w:rFonts w:ascii="Times New Roman" w:hAnsi="Times New Roman"/>
          <w:sz w:val="24"/>
          <w:szCs w:val="24"/>
        </w:rPr>
        <w:t xml:space="preserve">. </w:t>
      </w:r>
      <w:r w:rsidR="00CA3A8D">
        <w:rPr>
          <w:rFonts w:ascii="Times New Roman" w:hAnsi="Times New Roman"/>
          <w:sz w:val="24"/>
          <w:szCs w:val="24"/>
        </w:rPr>
        <w:t>P</w:t>
      </w:r>
      <w:r>
        <w:rPr>
          <w:rFonts w:ascii="Times New Roman" w:hAnsi="Times New Roman"/>
          <w:sz w:val="24"/>
          <w:szCs w:val="24"/>
        </w:rPr>
        <w:t xml:space="preserve">rior to formal accreditation, the </w:t>
      </w:r>
      <w:r w:rsidRPr="006378F9">
        <w:rPr>
          <w:rFonts w:ascii="Times New Roman" w:hAnsi="Times New Roman"/>
          <w:i/>
          <w:sz w:val="24"/>
          <w:szCs w:val="24"/>
        </w:rPr>
        <w:t>Water Act 2007</w:t>
      </w:r>
      <w:r>
        <w:rPr>
          <w:rFonts w:ascii="Times New Roman" w:hAnsi="Times New Roman"/>
          <w:sz w:val="24"/>
          <w:szCs w:val="24"/>
        </w:rPr>
        <w:t xml:space="preserve"> provides for </w:t>
      </w:r>
      <w:r w:rsidR="00CA3A8D">
        <w:rPr>
          <w:rFonts w:ascii="Times New Roman" w:hAnsi="Times New Roman"/>
          <w:sz w:val="24"/>
          <w:szCs w:val="24"/>
        </w:rPr>
        <w:t>a</w:t>
      </w:r>
      <w:r>
        <w:rPr>
          <w:rFonts w:ascii="Times New Roman" w:hAnsi="Times New Roman"/>
          <w:sz w:val="24"/>
          <w:szCs w:val="24"/>
        </w:rPr>
        <w:t xml:space="preserve"> transitional pathway for State water resource planning. The Basin States and the Commonwealth agreed to extend the recognition of current transitional and interim WRPs until 30 June 2019 (or earlier dates as agreed by the relevant parties)</w:t>
      </w:r>
      <w:r w:rsidR="00310C17">
        <w:rPr>
          <w:rFonts w:ascii="Times New Roman" w:hAnsi="Times New Roman"/>
          <w:sz w:val="24"/>
          <w:szCs w:val="24"/>
        </w:rPr>
        <w:t xml:space="preserve"> to provide sufficient time for </w:t>
      </w:r>
      <w:r w:rsidR="00E4542C">
        <w:rPr>
          <w:rFonts w:ascii="Times New Roman" w:hAnsi="Times New Roman"/>
          <w:sz w:val="24"/>
          <w:szCs w:val="24"/>
        </w:rPr>
        <w:t>s</w:t>
      </w:r>
      <w:r w:rsidR="00310C17">
        <w:rPr>
          <w:rFonts w:ascii="Times New Roman" w:hAnsi="Times New Roman"/>
          <w:sz w:val="24"/>
          <w:szCs w:val="24"/>
        </w:rPr>
        <w:t>tates to transition to Basin Plan consistent WRPs. This commitment is reflected in the 2013 Intergovernmental Agreement on Implementing Water Reform in the Murray-Darling Basin</w:t>
      </w:r>
      <w:r>
        <w:rPr>
          <w:rFonts w:ascii="Times New Roman" w:hAnsi="Times New Roman"/>
          <w:sz w:val="24"/>
          <w:szCs w:val="24"/>
        </w:rPr>
        <w:t xml:space="preserve">. </w:t>
      </w:r>
    </w:p>
    <w:p w14:paraId="5F806FE8" w14:textId="33F4C829" w:rsidR="0084537F" w:rsidRPr="0084537F" w:rsidRDefault="00AA2F5C" w:rsidP="0084537F">
      <w:pPr>
        <w:spacing w:line="240" w:lineRule="auto"/>
        <w:rPr>
          <w:rFonts w:ascii="Times New Roman" w:hAnsi="Times New Roman"/>
          <w:sz w:val="24"/>
          <w:szCs w:val="24"/>
        </w:rPr>
      </w:pPr>
      <w:r w:rsidRPr="00E87F61">
        <w:rPr>
          <w:rFonts w:ascii="Times New Roman" w:hAnsi="Times New Roman"/>
          <w:sz w:val="24"/>
          <w:szCs w:val="24"/>
        </w:rPr>
        <w:lastRenderedPageBreak/>
        <w:t xml:space="preserve">The purpose of the </w:t>
      </w:r>
      <w:r w:rsidRPr="00E87F61">
        <w:rPr>
          <w:rFonts w:ascii="Times New Roman" w:hAnsi="Times New Roman"/>
          <w:i/>
          <w:sz w:val="24"/>
          <w:szCs w:val="24"/>
        </w:rPr>
        <w:t>Water Amendment (Interactions with Australian Capital Territory Water Resource Plans) Regulation</w:t>
      </w:r>
      <w:r w:rsidR="00103800">
        <w:rPr>
          <w:rFonts w:ascii="Times New Roman" w:hAnsi="Times New Roman"/>
          <w:i/>
          <w:sz w:val="24"/>
          <w:szCs w:val="24"/>
        </w:rPr>
        <w:t>s</w:t>
      </w:r>
      <w:r w:rsidRPr="00E87F61">
        <w:rPr>
          <w:rFonts w:ascii="Times New Roman" w:hAnsi="Times New Roman"/>
          <w:i/>
          <w:sz w:val="24"/>
          <w:szCs w:val="24"/>
        </w:rPr>
        <w:t xml:space="preserve"> </w:t>
      </w:r>
      <w:r w:rsidR="00F531D7">
        <w:rPr>
          <w:rFonts w:ascii="Times New Roman" w:hAnsi="Times New Roman"/>
          <w:i/>
          <w:sz w:val="24"/>
          <w:szCs w:val="24"/>
        </w:rPr>
        <w:t xml:space="preserve">2018 </w:t>
      </w:r>
      <w:r w:rsidRPr="00E87F61">
        <w:rPr>
          <w:rFonts w:ascii="Times New Roman" w:hAnsi="Times New Roman"/>
          <w:sz w:val="24"/>
          <w:szCs w:val="24"/>
        </w:rPr>
        <w:t>(the Regulation</w:t>
      </w:r>
      <w:r w:rsidR="00311532">
        <w:rPr>
          <w:rFonts w:ascii="Times New Roman" w:hAnsi="Times New Roman"/>
          <w:sz w:val="24"/>
          <w:szCs w:val="24"/>
        </w:rPr>
        <w:t>s</w:t>
      </w:r>
      <w:r w:rsidRPr="00E87F61">
        <w:rPr>
          <w:rFonts w:ascii="Times New Roman" w:hAnsi="Times New Roman"/>
          <w:sz w:val="24"/>
          <w:szCs w:val="24"/>
        </w:rPr>
        <w:t xml:space="preserve">) is to amend the </w:t>
      </w:r>
      <w:r>
        <w:rPr>
          <w:rFonts w:ascii="Times New Roman" w:hAnsi="Times New Roman"/>
          <w:sz w:val="24"/>
          <w:szCs w:val="24"/>
        </w:rPr>
        <w:t>Principal Regulations</w:t>
      </w:r>
      <w:r w:rsidRPr="00E87F61">
        <w:rPr>
          <w:rFonts w:ascii="Times New Roman" w:hAnsi="Times New Roman"/>
          <w:sz w:val="24"/>
          <w:szCs w:val="24"/>
        </w:rPr>
        <w:t xml:space="preserve"> to ensure the existing ACT interim water resource plans are protected from inconsistency with the Basin Plan for an </w:t>
      </w:r>
      <w:r w:rsidR="00103800">
        <w:rPr>
          <w:rFonts w:ascii="Times New Roman" w:hAnsi="Times New Roman"/>
          <w:sz w:val="24"/>
          <w:szCs w:val="24"/>
        </w:rPr>
        <w:t xml:space="preserve">additional twelve month </w:t>
      </w:r>
      <w:r w:rsidRPr="00E87F61">
        <w:rPr>
          <w:rFonts w:ascii="Times New Roman" w:hAnsi="Times New Roman"/>
          <w:sz w:val="24"/>
          <w:szCs w:val="24"/>
        </w:rPr>
        <w:t>period</w:t>
      </w:r>
      <w:r>
        <w:rPr>
          <w:rFonts w:ascii="Times New Roman" w:hAnsi="Times New Roman"/>
          <w:sz w:val="24"/>
          <w:szCs w:val="24"/>
        </w:rPr>
        <w:t>,</w:t>
      </w:r>
      <w:r w:rsidRPr="00E87F61">
        <w:rPr>
          <w:rFonts w:ascii="Times New Roman" w:hAnsi="Times New Roman"/>
          <w:sz w:val="24"/>
          <w:szCs w:val="24"/>
        </w:rPr>
        <w:t xml:space="preserve"> </w:t>
      </w:r>
      <w:r w:rsidR="0018508A">
        <w:rPr>
          <w:rFonts w:ascii="Times New Roman" w:hAnsi="Times New Roman"/>
          <w:sz w:val="24"/>
          <w:szCs w:val="24"/>
        </w:rPr>
        <w:t>until the end of 30</w:t>
      </w:r>
      <w:r w:rsidR="00866746">
        <w:rPr>
          <w:rFonts w:ascii="Times New Roman" w:hAnsi="Times New Roman"/>
          <w:sz w:val="24"/>
          <w:szCs w:val="24"/>
        </w:rPr>
        <w:t xml:space="preserve"> June </w:t>
      </w:r>
      <w:r>
        <w:rPr>
          <w:rFonts w:ascii="Times New Roman" w:hAnsi="Times New Roman"/>
          <w:sz w:val="24"/>
          <w:szCs w:val="24"/>
        </w:rPr>
        <w:t>201</w:t>
      </w:r>
      <w:r w:rsidR="0000148D">
        <w:rPr>
          <w:rFonts w:ascii="Times New Roman" w:hAnsi="Times New Roman"/>
          <w:sz w:val="24"/>
          <w:szCs w:val="24"/>
        </w:rPr>
        <w:t>9</w:t>
      </w:r>
      <w:r w:rsidRPr="00E87F61">
        <w:rPr>
          <w:rFonts w:ascii="Times New Roman" w:hAnsi="Times New Roman"/>
          <w:sz w:val="24"/>
          <w:szCs w:val="24"/>
        </w:rPr>
        <w:t xml:space="preserve">. </w:t>
      </w:r>
      <w:r w:rsidR="0084537F">
        <w:rPr>
          <w:rFonts w:ascii="Times New Roman" w:hAnsi="Times New Roman"/>
          <w:sz w:val="24"/>
          <w:szCs w:val="24"/>
        </w:rPr>
        <w:t xml:space="preserve">This means that, </w:t>
      </w:r>
      <w:r w:rsidR="00E67B23">
        <w:rPr>
          <w:rFonts w:ascii="Times New Roman" w:hAnsi="Times New Roman"/>
          <w:sz w:val="24"/>
          <w:szCs w:val="24"/>
        </w:rPr>
        <w:t>for the period it is</w:t>
      </w:r>
      <w:r w:rsidR="0084537F">
        <w:rPr>
          <w:rFonts w:ascii="Times New Roman" w:hAnsi="Times New Roman"/>
          <w:sz w:val="24"/>
          <w:szCs w:val="24"/>
        </w:rPr>
        <w:t xml:space="preserve"> accredited, </w:t>
      </w:r>
      <w:r w:rsidR="00E67B23">
        <w:rPr>
          <w:rFonts w:ascii="Times New Roman" w:hAnsi="Times New Roman"/>
          <w:sz w:val="24"/>
          <w:szCs w:val="24"/>
        </w:rPr>
        <w:t>the</w:t>
      </w:r>
      <w:r w:rsidR="0084537F" w:rsidRPr="0084537F">
        <w:rPr>
          <w:rFonts w:ascii="Times New Roman" w:hAnsi="Times New Roman"/>
          <w:sz w:val="24"/>
          <w:szCs w:val="24"/>
        </w:rPr>
        <w:t xml:space="preserve"> </w:t>
      </w:r>
      <w:r w:rsidR="00E67B23">
        <w:rPr>
          <w:rFonts w:ascii="Times New Roman" w:hAnsi="Times New Roman"/>
          <w:sz w:val="24"/>
          <w:szCs w:val="24"/>
        </w:rPr>
        <w:t>ACT interim</w:t>
      </w:r>
      <w:r w:rsidR="0084537F" w:rsidRPr="0084537F">
        <w:rPr>
          <w:rFonts w:ascii="Times New Roman" w:hAnsi="Times New Roman"/>
          <w:sz w:val="24"/>
          <w:szCs w:val="24"/>
        </w:rPr>
        <w:t xml:space="preserve"> water resource plan prevails over the Basin Plan to the extent of any inconsistency between the two.</w:t>
      </w:r>
    </w:p>
    <w:p w14:paraId="3AA2E470" w14:textId="22EF4B41" w:rsidR="00AA2F5C" w:rsidRPr="00BB5753" w:rsidRDefault="00AA2F5C">
      <w:pPr>
        <w:spacing w:line="240" w:lineRule="auto"/>
        <w:rPr>
          <w:rFonts w:ascii="Times New Roman" w:hAnsi="Times New Roman"/>
          <w:sz w:val="24"/>
          <w:szCs w:val="24"/>
        </w:rPr>
      </w:pPr>
    </w:p>
    <w:p w14:paraId="5C1D2933" w14:textId="77777777" w:rsidR="009A3BCA" w:rsidRPr="00821612" w:rsidRDefault="00A5550C">
      <w:pPr>
        <w:spacing w:line="240" w:lineRule="auto"/>
        <w:outlineLvl w:val="0"/>
        <w:rPr>
          <w:rFonts w:ascii="Times New Roman" w:hAnsi="Times New Roman"/>
          <w:i/>
          <w:sz w:val="24"/>
          <w:szCs w:val="24"/>
        </w:rPr>
      </w:pPr>
      <w:r w:rsidRPr="00EE0453">
        <w:rPr>
          <w:rFonts w:ascii="Times New Roman" w:hAnsi="Times New Roman"/>
          <w:b/>
          <w:sz w:val="24"/>
          <w:szCs w:val="24"/>
        </w:rPr>
        <w:t>Background</w:t>
      </w:r>
      <w:r w:rsidRPr="00821612">
        <w:rPr>
          <w:rFonts w:ascii="Times New Roman" w:hAnsi="Times New Roman"/>
          <w:i/>
          <w:sz w:val="24"/>
          <w:szCs w:val="24"/>
        </w:rPr>
        <w:t xml:space="preserve"> </w:t>
      </w:r>
    </w:p>
    <w:p w14:paraId="24D523D9" w14:textId="5D8172E8" w:rsidR="00AA2F5C" w:rsidRPr="007262E8" w:rsidRDefault="00AA2F5C">
      <w:pPr>
        <w:spacing w:line="240" w:lineRule="auto"/>
        <w:rPr>
          <w:rFonts w:ascii="Times New Roman" w:hAnsi="Times New Roman"/>
          <w:sz w:val="24"/>
          <w:szCs w:val="24"/>
        </w:rPr>
      </w:pPr>
      <w:r w:rsidRPr="007262E8">
        <w:rPr>
          <w:rFonts w:ascii="Times New Roman" w:hAnsi="Times New Roman"/>
          <w:sz w:val="24"/>
          <w:szCs w:val="24"/>
        </w:rPr>
        <w:t>Under the Act</w:t>
      </w:r>
      <w:r>
        <w:rPr>
          <w:rFonts w:ascii="Times New Roman" w:hAnsi="Times New Roman"/>
          <w:sz w:val="24"/>
          <w:szCs w:val="24"/>
        </w:rPr>
        <w:t xml:space="preserve"> and</w:t>
      </w:r>
      <w:r w:rsidRPr="007262E8">
        <w:rPr>
          <w:rFonts w:ascii="Times New Roman" w:hAnsi="Times New Roman"/>
          <w:sz w:val="24"/>
          <w:szCs w:val="24"/>
        </w:rPr>
        <w:t xml:space="preserve"> the </w:t>
      </w:r>
      <w:r>
        <w:rPr>
          <w:rFonts w:ascii="Times New Roman" w:hAnsi="Times New Roman"/>
          <w:sz w:val="24"/>
          <w:szCs w:val="24"/>
        </w:rPr>
        <w:t>Basin Plan,</w:t>
      </w:r>
      <w:r w:rsidRPr="007262E8">
        <w:rPr>
          <w:rFonts w:ascii="Times New Roman" w:hAnsi="Times New Roman"/>
          <w:sz w:val="24"/>
          <w:szCs w:val="24"/>
        </w:rPr>
        <w:t xml:space="preserve"> the </w:t>
      </w:r>
      <w:r w:rsidR="00EB2CE8">
        <w:rPr>
          <w:rFonts w:ascii="Times New Roman" w:hAnsi="Times New Roman"/>
          <w:sz w:val="24"/>
          <w:szCs w:val="24"/>
        </w:rPr>
        <w:t>S</w:t>
      </w:r>
      <w:r w:rsidRPr="007262E8">
        <w:rPr>
          <w:rFonts w:ascii="Times New Roman" w:hAnsi="Times New Roman"/>
          <w:sz w:val="24"/>
          <w:szCs w:val="24"/>
        </w:rPr>
        <w:t xml:space="preserve">ustainable </w:t>
      </w:r>
      <w:r w:rsidR="00EB2CE8">
        <w:rPr>
          <w:rFonts w:ascii="Times New Roman" w:hAnsi="Times New Roman"/>
          <w:sz w:val="24"/>
          <w:szCs w:val="24"/>
        </w:rPr>
        <w:t>D</w:t>
      </w:r>
      <w:r w:rsidRPr="007262E8">
        <w:rPr>
          <w:rFonts w:ascii="Times New Roman" w:hAnsi="Times New Roman"/>
          <w:sz w:val="24"/>
          <w:szCs w:val="24"/>
        </w:rPr>
        <w:t xml:space="preserve">iversion </w:t>
      </w:r>
      <w:r w:rsidR="00EB2CE8">
        <w:rPr>
          <w:rFonts w:ascii="Times New Roman" w:hAnsi="Times New Roman"/>
          <w:sz w:val="24"/>
          <w:szCs w:val="24"/>
        </w:rPr>
        <w:t>L</w:t>
      </w:r>
      <w:r w:rsidRPr="007262E8">
        <w:rPr>
          <w:rFonts w:ascii="Times New Roman" w:hAnsi="Times New Roman"/>
          <w:sz w:val="24"/>
          <w:szCs w:val="24"/>
        </w:rPr>
        <w:t xml:space="preserve">imits </w:t>
      </w:r>
      <w:r w:rsidR="00EB2CE8">
        <w:rPr>
          <w:rFonts w:ascii="Times New Roman" w:hAnsi="Times New Roman"/>
          <w:sz w:val="24"/>
          <w:szCs w:val="24"/>
        </w:rPr>
        <w:t>(</w:t>
      </w:r>
      <w:r w:rsidR="00B40D85">
        <w:rPr>
          <w:rFonts w:ascii="Times New Roman" w:hAnsi="Times New Roman"/>
          <w:sz w:val="24"/>
          <w:szCs w:val="24"/>
        </w:rPr>
        <w:t xml:space="preserve">the </w:t>
      </w:r>
      <w:r w:rsidR="00EB2CE8">
        <w:rPr>
          <w:rFonts w:ascii="Times New Roman" w:hAnsi="Times New Roman"/>
          <w:sz w:val="24"/>
          <w:szCs w:val="24"/>
        </w:rPr>
        <w:t xml:space="preserve">SDLs) </w:t>
      </w:r>
      <w:r w:rsidRPr="007262E8">
        <w:rPr>
          <w:rFonts w:ascii="Times New Roman" w:hAnsi="Times New Roman"/>
          <w:sz w:val="24"/>
          <w:szCs w:val="24"/>
        </w:rPr>
        <w:t xml:space="preserve">are to be implemented through state and territory water resource plans. </w:t>
      </w:r>
      <w:r w:rsidR="00B40D85">
        <w:rPr>
          <w:rFonts w:ascii="Times New Roman" w:hAnsi="Times New Roman"/>
          <w:sz w:val="24"/>
          <w:szCs w:val="24"/>
        </w:rPr>
        <w:t xml:space="preserve">The </w:t>
      </w:r>
      <w:r w:rsidR="00EB2CE8" w:rsidRPr="00EB2CE8">
        <w:rPr>
          <w:rFonts w:ascii="Times New Roman" w:hAnsi="Times New Roman"/>
          <w:sz w:val="24"/>
          <w:szCs w:val="24"/>
        </w:rPr>
        <w:t>SDLs are a ‘cap’ on water use in the Murray-Darling Basin. They regulate the amount of water that can be used for consumptive purposes in the Basin. The SDLs in the Basin Plan also apply to groundwater and mean that, for the first time, there are comprehensive limits on groundwater take across the Basin.</w:t>
      </w:r>
      <w:r w:rsidR="00EB2CE8">
        <w:rPr>
          <w:rFonts w:ascii="Times New Roman" w:hAnsi="Times New Roman"/>
          <w:sz w:val="24"/>
          <w:szCs w:val="24"/>
        </w:rPr>
        <w:t xml:space="preserve"> </w:t>
      </w:r>
      <w:r w:rsidRPr="007262E8">
        <w:rPr>
          <w:rFonts w:ascii="Times New Roman" w:hAnsi="Times New Roman"/>
          <w:sz w:val="24"/>
          <w:szCs w:val="24"/>
        </w:rPr>
        <w:t xml:space="preserve">Section 63 of the Act provides that water resource plans prepared by Basin States may be accredited by the Minister following advice from the </w:t>
      </w:r>
      <w:r>
        <w:rPr>
          <w:rFonts w:ascii="Times New Roman" w:hAnsi="Times New Roman"/>
          <w:sz w:val="24"/>
          <w:szCs w:val="24"/>
        </w:rPr>
        <w:t>MDBA.</w:t>
      </w:r>
    </w:p>
    <w:p w14:paraId="1FCD0B7C" w14:textId="113E2A1C" w:rsidR="00AA2F5C" w:rsidRDefault="00AA2F5C">
      <w:pPr>
        <w:spacing w:line="240" w:lineRule="auto"/>
        <w:rPr>
          <w:rFonts w:ascii="Times New Roman" w:hAnsi="Times New Roman"/>
          <w:sz w:val="24"/>
          <w:szCs w:val="24"/>
        </w:rPr>
      </w:pPr>
      <w:r w:rsidRPr="007262E8">
        <w:rPr>
          <w:rFonts w:ascii="Times New Roman" w:hAnsi="Times New Roman"/>
          <w:sz w:val="24"/>
          <w:szCs w:val="24"/>
        </w:rPr>
        <w:t xml:space="preserve">Part 11 of the Act was included to enable a smooth transition to Basin Plan implementation by allowing </w:t>
      </w:r>
      <w:r>
        <w:rPr>
          <w:rFonts w:ascii="Times New Roman" w:hAnsi="Times New Roman"/>
          <w:sz w:val="24"/>
          <w:szCs w:val="24"/>
        </w:rPr>
        <w:t xml:space="preserve">Basin States’ </w:t>
      </w:r>
      <w:r w:rsidRPr="007262E8">
        <w:rPr>
          <w:rFonts w:ascii="Times New Roman" w:hAnsi="Times New Roman"/>
          <w:sz w:val="24"/>
          <w:szCs w:val="24"/>
        </w:rPr>
        <w:t>transitional and interim water resource plans to prevail over the Basin Plan to the extent of any inconsistency</w:t>
      </w:r>
      <w:r>
        <w:rPr>
          <w:rFonts w:ascii="Times New Roman" w:hAnsi="Times New Roman"/>
          <w:sz w:val="24"/>
          <w:szCs w:val="24"/>
        </w:rPr>
        <w:t xml:space="preserve"> — </w:t>
      </w:r>
      <w:r w:rsidRPr="007262E8">
        <w:rPr>
          <w:rFonts w:ascii="Times New Roman" w:hAnsi="Times New Roman"/>
          <w:sz w:val="24"/>
          <w:szCs w:val="24"/>
        </w:rPr>
        <w:t xml:space="preserve">that is, to preserve Basin States’ existing water planning arrangements </w:t>
      </w:r>
      <w:r>
        <w:rPr>
          <w:rFonts w:ascii="Times New Roman" w:hAnsi="Times New Roman"/>
          <w:sz w:val="24"/>
          <w:szCs w:val="24"/>
        </w:rPr>
        <w:t xml:space="preserve">up until the full implementation of the Basin Plan </w:t>
      </w:r>
      <w:r w:rsidR="00A52FD7">
        <w:rPr>
          <w:rFonts w:ascii="Times New Roman" w:hAnsi="Times New Roman"/>
          <w:sz w:val="24"/>
          <w:szCs w:val="24"/>
        </w:rPr>
        <w:t>SDLs</w:t>
      </w:r>
      <w:r>
        <w:rPr>
          <w:rFonts w:ascii="Times New Roman" w:hAnsi="Times New Roman"/>
          <w:sz w:val="24"/>
          <w:szCs w:val="24"/>
        </w:rPr>
        <w:t xml:space="preserve"> on 1 July 2019. </w:t>
      </w:r>
      <w:r w:rsidR="0036103C">
        <w:rPr>
          <w:rFonts w:ascii="Times New Roman" w:hAnsi="Times New Roman"/>
          <w:sz w:val="24"/>
          <w:szCs w:val="24"/>
        </w:rPr>
        <w:t>Section 241 of the Act provides that t</w:t>
      </w:r>
      <w:r w:rsidRPr="0025698A">
        <w:rPr>
          <w:rFonts w:ascii="Times New Roman" w:hAnsi="Times New Roman"/>
          <w:sz w:val="24"/>
          <w:szCs w:val="24"/>
        </w:rPr>
        <w:t xml:space="preserve">ransitional plans are </w:t>
      </w:r>
      <w:r>
        <w:rPr>
          <w:rFonts w:ascii="Times New Roman" w:hAnsi="Times New Roman"/>
          <w:sz w:val="24"/>
          <w:szCs w:val="24"/>
        </w:rPr>
        <w:t xml:space="preserve">Basin State </w:t>
      </w:r>
      <w:r w:rsidRPr="0025698A">
        <w:rPr>
          <w:rFonts w:ascii="Times New Roman" w:hAnsi="Times New Roman"/>
          <w:sz w:val="24"/>
          <w:szCs w:val="24"/>
        </w:rPr>
        <w:t xml:space="preserve">water resource plans made before 25 January 2007. </w:t>
      </w:r>
      <w:r w:rsidR="002262D1">
        <w:rPr>
          <w:rFonts w:ascii="Times New Roman" w:hAnsi="Times New Roman"/>
          <w:sz w:val="24"/>
          <w:szCs w:val="24"/>
        </w:rPr>
        <w:t>Section 242 of the Act provides that i</w:t>
      </w:r>
      <w:r w:rsidRPr="0025698A">
        <w:rPr>
          <w:rFonts w:ascii="Times New Roman" w:hAnsi="Times New Roman"/>
          <w:sz w:val="24"/>
          <w:szCs w:val="24"/>
        </w:rPr>
        <w:t xml:space="preserve">nterim plans are </w:t>
      </w:r>
      <w:r>
        <w:rPr>
          <w:rFonts w:ascii="Times New Roman" w:hAnsi="Times New Roman"/>
          <w:sz w:val="24"/>
          <w:szCs w:val="24"/>
        </w:rPr>
        <w:t>Basin State</w:t>
      </w:r>
      <w:r w:rsidRPr="0025698A">
        <w:rPr>
          <w:rFonts w:ascii="Times New Roman" w:hAnsi="Times New Roman"/>
          <w:sz w:val="24"/>
          <w:szCs w:val="24"/>
        </w:rPr>
        <w:t xml:space="preserve"> water resource plans made on or after 25 January 2007, but prior to the commencement of the Basin Plan (24 November 2012)</w:t>
      </w:r>
      <w:r w:rsidR="002262D1">
        <w:rPr>
          <w:rFonts w:ascii="Times New Roman" w:hAnsi="Times New Roman"/>
          <w:sz w:val="24"/>
          <w:szCs w:val="24"/>
        </w:rPr>
        <w:t xml:space="preserve">. </w:t>
      </w:r>
      <w:r w:rsidRPr="0025698A">
        <w:rPr>
          <w:rFonts w:ascii="Times New Roman" w:hAnsi="Times New Roman"/>
          <w:sz w:val="24"/>
          <w:szCs w:val="24"/>
        </w:rPr>
        <w:t>The Basin Plan, other than the water trading rules in Chapter 12, commenced on 24 November 2012. The water trading rules commenced on 1</w:t>
      </w:r>
      <w:r w:rsidR="00B40D85">
        <w:rPr>
          <w:rFonts w:ascii="Times New Roman" w:hAnsi="Times New Roman"/>
          <w:sz w:val="24"/>
          <w:szCs w:val="24"/>
        </w:rPr>
        <w:t> </w:t>
      </w:r>
      <w:r w:rsidRPr="0025698A">
        <w:rPr>
          <w:rFonts w:ascii="Times New Roman" w:hAnsi="Times New Roman"/>
          <w:sz w:val="24"/>
          <w:szCs w:val="24"/>
        </w:rPr>
        <w:t>July</w:t>
      </w:r>
      <w:r w:rsidR="00B40D85">
        <w:rPr>
          <w:rFonts w:ascii="Times New Roman" w:hAnsi="Times New Roman"/>
          <w:sz w:val="24"/>
          <w:szCs w:val="24"/>
        </w:rPr>
        <w:t> </w:t>
      </w:r>
      <w:r w:rsidRPr="0025698A">
        <w:rPr>
          <w:rFonts w:ascii="Times New Roman" w:hAnsi="Times New Roman"/>
          <w:sz w:val="24"/>
          <w:szCs w:val="24"/>
        </w:rPr>
        <w:t>2014.</w:t>
      </w:r>
    </w:p>
    <w:p w14:paraId="4A0E08B2" w14:textId="3FD664D7" w:rsidR="000B23AC" w:rsidRDefault="000B23AC">
      <w:pPr>
        <w:spacing w:line="240" w:lineRule="auto"/>
        <w:rPr>
          <w:rFonts w:ascii="Times New Roman" w:hAnsi="Times New Roman"/>
          <w:b/>
          <w:sz w:val="24"/>
          <w:szCs w:val="24"/>
        </w:rPr>
      </w:pPr>
      <w:r w:rsidRPr="001861F0">
        <w:rPr>
          <w:rFonts w:ascii="Times New Roman" w:hAnsi="Times New Roman"/>
          <w:b/>
          <w:sz w:val="24"/>
          <w:szCs w:val="24"/>
        </w:rPr>
        <w:t>Impact and Effect</w:t>
      </w:r>
    </w:p>
    <w:p w14:paraId="51059576" w14:textId="69DE9D85" w:rsidR="00310C17" w:rsidRDefault="001861F0" w:rsidP="001861F0">
      <w:pPr>
        <w:spacing w:line="240" w:lineRule="auto"/>
        <w:rPr>
          <w:rFonts w:ascii="Times New Roman" w:hAnsi="Times New Roman"/>
          <w:sz w:val="24"/>
          <w:szCs w:val="24"/>
        </w:rPr>
      </w:pPr>
      <w:r>
        <w:rPr>
          <w:rFonts w:ascii="Times New Roman" w:hAnsi="Times New Roman"/>
          <w:sz w:val="24"/>
          <w:szCs w:val="24"/>
        </w:rPr>
        <w:t xml:space="preserve">The Regulations </w:t>
      </w:r>
      <w:r w:rsidR="00310C17" w:rsidRPr="001861F0">
        <w:rPr>
          <w:rFonts w:ascii="Times New Roman" w:hAnsi="Times New Roman"/>
          <w:sz w:val="24"/>
          <w:szCs w:val="24"/>
        </w:rPr>
        <w:t>provide certainty for ACT water users by maintaining the operation of existing ACT water r</w:t>
      </w:r>
      <w:r w:rsidR="00310C17" w:rsidRPr="00310C17">
        <w:rPr>
          <w:rFonts w:ascii="Times New Roman" w:hAnsi="Times New Roman"/>
          <w:sz w:val="24"/>
          <w:szCs w:val="24"/>
        </w:rPr>
        <w:t>e</w:t>
      </w:r>
      <w:r w:rsidR="00310C17" w:rsidRPr="001861F0">
        <w:rPr>
          <w:rFonts w:ascii="Times New Roman" w:hAnsi="Times New Roman"/>
          <w:sz w:val="24"/>
          <w:szCs w:val="24"/>
        </w:rPr>
        <w:t>sou</w:t>
      </w:r>
      <w:r w:rsidR="00310C17">
        <w:rPr>
          <w:rFonts w:ascii="Times New Roman" w:hAnsi="Times New Roman"/>
          <w:sz w:val="24"/>
          <w:szCs w:val="24"/>
        </w:rPr>
        <w:t>rce</w:t>
      </w:r>
      <w:r w:rsidR="00310C17" w:rsidRPr="001861F0">
        <w:rPr>
          <w:rFonts w:ascii="Times New Roman" w:hAnsi="Times New Roman"/>
          <w:sz w:val="24"/>
          <w:szCs w:val="24"/>
        </w:rPr>
        <w:t xml:space="preserve"> planning arrang</w:t>
      </w:r>
      <w:r w:rsidR="00310C17">
        <w:rPr>
          <w:rFonts w:ascii="Times New Roman" w:hAnsi="Times New Roman"/>
          <w:sz w:val="24"/>
          <w:szCs w:val="24"/>
        </w:rPr>
        <w:t>e</w:t>
      </w:r>
      <w:r w:rsidR="00310C17" w:rsidRPr="001861F0">
        <w:rPr>
          <w:rFonts w:ascii="Times New Roman" w:hAnsi="Times New Roman"/>
          <w:sz w:val="24"/>
          <w:szCs w:val="24"/>
        </w:rPr>
        <w:t xml:space="preserve">ments during the transition to full Basin Plan implementation on 1 July 2019. The Regulations will not impact on individuals, </w:t>
      </w:r>
      <w:r w:rsidR="00310C17">
        <w:rPr>
          <w:rFonts w:ascii="Times New Roman" w:hAnsi="Times New Roman"/>
          <w:sz w:val="24"/>
          <w:szCs w:val="24"/>
        </w:rPr>
        <w:t xml:space="preserve">businesses, the </w:t>
      </w:r>
      <w:r w:rsidR="00310C17" w:rsidRPr="001861F0">
        <w:rPr>
          <w:rFonts w:ascii="Times New Roman" w:hAnsi="Times New Roman"/>
          <w:sz w:val="24"/>
          <w:szCs w:val="24"/>
        </w:rPr>
        <w:t>communit</w:t>
      </w:r>
      <w:r w:rsidR="00310C17">
        <w:rPr>
          <w:rFonts w:ascii="Times New Roman" w:hAnsi="Times New Roman"/>
          <w:sz w:val="24"/>
          <w:szCs w:val="24"/>
        </w:rPr>
        <w:t>y or not-for-profit organisations.</w:t>
      </w:r>
    </w:p>
    <w:p w14:paraId="5C1D293E" w14:textId="5E439E3E" w:rsidR="009A3BCA" w:rsidRPr="001861F0" w:rsidRDefault="005727FD">
      <w:pPr>
        <w:spacing w:line="240" w:lineRule="auto"/>
        <w:rPr>
          <w:rFonts w:ascii="Times New Roman" w:hAnsi="Times New Roman"/>
          <w:b/>
          <w:sz w:val="24"/>
          <w:szCs w:val="24"/>
          <w:u w:val="single"/>
        </w:rPr>
      </w:pPr>
      <w:r w:rsidRPr="001861F0">
        <w:rPr>
          <w:rFonts w:ascii="Times New Roman" w:hAnsi="Times New Roman"/>
          <w:b/>
          <w:sz w:val="24"/>
          <w:szCs w:val="24"/>
          <w:u w:val="single"/>
        </w:rPr>
        <w:t xml:space="preserve">Consultation </w:t>
      </w:r>
    </w:p>
    <w:p w14:paraId="7CF64BE4" w14:textId="2F4A5241" w:rsidR="001553A0" w:rsidRDefault="001553A0">
      <w:pPr>
        <w:spacing w:line="240" w:lineRule="auto"/>
        <w:rPr>
          <w:rFonts w:ascii="Times New Roman" w:hAnsi="Times New Roman"/>
          <w:sz w:val="24"/>
          <w:szCs w:val="24"/>
        </w:rPr>
      </w:pPr>
      <w:r w:rsidRPr="00BB5753">
        <w:rPr>
          <w:rFonts w:ascii="Times New Roman" w:hAnsi="Times New Roman"/>
          <w:sz w:val="24"/>
          <w:szCs w:val="24"/>
        </w:rPr>
        <w:t xml:space="preserve">The ACT Government requested the Commonwealth </w:t>
      </w:r>
      <w:r w:rsidR="00A52FD7">
        <w:rPr>
          <w:rFonts w:ascii="Times New Roman" w:hAnsi="Times New Roman"/>
          <w:sz w:val="24"/>
          <w:szCs w:val="24"/>
        </w:rPr>
        <w:t xml:space="preserve">extend recognition of </w:t>
      </w:r>
      <w:r w:rsidRPr="00BB5753">
        <w:rPr>
          <w:rFonts w:ascii="Times New Roman" w:hAnsi="Times New Roman"/>
          <w:sz w:val="24"/>
          <w:szCs w:val="24"/>
        </w:rPr>
        <w:t xml:space="preserve">existing ACT interim water resource plans </w:t>
      </w:r>
      <w:r w:rsidR="00A52FD7">
        <w:rPr>
          <w:rFonts w:ascii="Times New Roman" w:hAnsi="Times New Roman"/>
          <w:sz w:val="24"/>
          <w:szCs w:val="24"/>
        </w:rPr>
        <w:t>until the end of 30 June 201</w:t>
      </w:r>
      <w:r w:rsidR="0000148D">
        <w:rPr>
          <w:rFonts w:ascii="Times New Roman" w:hAnsi="Times New Roman"/>
          <w:sz w:val="24"/>
          <w:szCs w:val="24"/>
        </w:rPr>
        <w:t>9</w:t>
      </w:r>
      <w:r w:rsidR="00A52FD7">
        <w:rPr>
          <w:rFonts w:ascii="Times New Roman" w:hAnsi="Times New Roman"/>
          <w:sz w:val="24"/>
          <w:szCs w:val="24"/>
        </w:rPr>
        <w:t xml:space="preserve"> to ensure they </w:t>
      </w:r>
      <w:r>
        <w:rPr>
          <w:rFonts w:ascii="Times New Roman" w:hAnsi="Times New Roman"/>
          <w:sz w:val="24"/>
          <w:szCs w:val="24"/>
        </w:rPr>
        <w:t xml:space="preserve">continue to </w:t>
      </w:r>
      <w:r w:rsidRPr="00BB5753">
        <w:rPr>
          <w:rFonts w:ascii="Times New Roman" w:hAnsi="Times New Roman"/>
          <w:sz w:val="24"/>
          <w:szCs w:val="24"/>
        </w:rPr>
        <w:t>be protected from inconsistency with the Basin Plan</w:t>
      </w:r>
      <w:r w:rsidR="00A52FD7">
        <w:rPr>
          <w:rFonts w:ascii="Times New Roman" w:hAnsi="Times New Roman"/>
          <w:sz w:val="24"/>
          <w:szCs w:val="24"/>
        </w:rPr>
        <w:t>, after which time the ACT is expected to have a compliant water resource plan in place.</w:t>
      </w:r>
      <w:r w:rsidR="00A0129C">
        <w:rPr>
          <w:rFonts w:ascii="Times New Roman" w:hAnsi="Times New Roman"/>
          <w:sz w:val="24"/>
          <w:szCs w:val="24"/>
        </w:rPr>
        <w:t xml:space="preserve"> </w:t>
      </w:r>
      <w:r w:rsidRPr="00BB5753">
        <w:rPr>
          <w:rFonts w:ascii="Times New Roman" w:hAnsi="Times New Roman"/>
          <w:sz w:val="24"/>
          <w:szCs w:val="24"/>
        </w:rPr>
        <w:t>The approach for making the Regulation</w:t>
      </w:r>
      <w:r w:rsidR="000B23AC">
        <w:rPr>
          <w:rFonts w:ascii="Times New Roman" w:hAnsi="Times New Roman"/>
          <w:sz w:val="24"/>
          <w:szCs w:val="24"/>
        </w:rPr>
        <w:t>s</w:t>
      </w:r>
      <w:r w:rsidRPr="00BB5753">
        <w:rPr>
          <w:rFonts w:ascii="Times New Roman" w:hAnsi="Times New Roman"/>
          <w:sz w:val="24"/>
          <w:szCs w:val="24"/>
        </w:rPr>
        <w:t xml:space="preserve"> has been discussed with the ACT Government. </w:t>
      </w:r>
    </w:p>
    <w:p w14:paraId="2CD7C74E" w14:textId="21FF2AD1" w:rsidR="00F37FD4" w:rsidRDefault="00EB2CE8">
      <w:pPr>
        <w:spacing w:line="240" w:lineRule="auto"/>
        <w:rPr>
          <w:rFonts w:ascii="Times New Roman" w:hAnsi="Times New Roman"/>
          <w:sz w:val="24"/>
          <w:szCs w:val="24"/>
        </w:rPr>
      </w:pPr>
      <w:r w:rsidRPr="00EB2CE8">
        <w:rPr>
          <w:rFonts w:ascii="Times New Roman" w:hAnsi="Times New Roman"/>
          <w:sz w:val="24"/>
          <w:szCs w:val="24"/>
        </w:rPr>
        <w:t xml:space="preserve">A preliminary </w:t>
      </w:r>
      <w:r>
        <w:rPr>
          <w:rFonts w:ascii="Times New Roman" w:hAnsi="Times New Roman"/>
          <w:sz w:val="24"/>
          <w:szCs w:val="24"/>
        </w:rPr>
        <w:t xml:space="preserve">Regulation Impact Statement (RIS) </w:t>
      </w:r>
      <w:r w:rsidRPr="00EB2CE8">
        <w:rPr>
          <w:rFonts w:ascii="Times New Roman" w:hAnsi="Times New Roman"/>
          <w:sz w:val="24"/>
          <w:szCs w:val="24"/>
        </w:rPr>
        <w:t>was prepared</w:t>
      </w:r>
      <w:r>
        <w:rPr>
          <w:rFonts w:ascii="Times New Roman" w:hAnsi="Times New Roman"/>
          <w:sz w:val="24"/>
          <w:szCs w:val="24"/>
        </w:rPr>
        <w:t xml:space="preserve"> for the Office of Best Practice Regulation</w:t>
      </w:r>
      <w:r w:rsidRPr="00EB2CE8">
        <w:rPr>
          <w:rFonts w:ascii="Times New Roman" w:hAnsi="Times New Roman"/>
          <w:sz w:val="24"/>
          <w:szCs w:val="24"/>
        </w:rPr>
        <w:t xml:space="preserve"> </w:t>
      </w:r>
      <w:r>
        <w:rPr>
          <w:rFonts w:ascii="Times New Roman" w:hAnsi="Times New Roman"/>
          <w:sz w:val="24"/>
          <w:szCs w:val="24"/>
        </w:rPr>
        <w:t xml:space="preserve">(OBPR) </w:t>
      </w:r>
      <w:r w:rsidRPr="00EB2CE8">
        <w:rPr>
          <w:rFonts w:ascii="Times New Roman" w:hAnsi="Times New Roman"/>
          <w:sz w:val="24"/>
          <w:szCs w:val="24"/>
        </w:rPr>
        <w:t xml:space="preserve">for the first two </w:t>
      </w:r>
      <w:r w:rsidR="00F37FD4">
        <w:rPr>
          <w:rFonts w:ascii="Times New Roman" w:hAnsi="Times New Roman"/>
          <w:sz w:val="24"/>
          <w:szCs w:val="24"/>
        </w:rPr>
        <w:t xml:space="preserve">regulations recognising </w:t>
      </w:r>
      <w:r>
        <w:rPr>
          <w:rFonts w:ascii="Times New Roman" w:hAnsi="Times New Roman"/>
          <w:sz w:val="24"/>
          <w:szCs w:val="24"/>
        </w:rPr>
        <w:t xml:space="preserve">transitional water resource plans </w:t>
      </w:r>
      <w:r w:rsidRPr="00EB2CE8">
        <w:rPr>
          <w:rFonts w:ascii="Times New Roman" w:hAnsi="Times New Roman"/>
          <w:sz w:val="24"/>
          <w:szCs w:val="24"/>
        </w:rPr>
        <w:t>(OBPR refs 15041 and 16946)</w:t>
      </w:r>
      <w:r>
        <w:rPr>
          <w:rFonts w:ascii="Times New Roman" w:hAnsi="Times New Roman"/>
          <w:sz w:val="24"/>
          <w:szCs w:val="24"/>
        </w:rPr>
        <w:t xml:space="preserve">. Since then, the </w:t>
      </w:r>
      <w:r w:rsidR="00F37FD4">
        <w:rPr>
          <w:rFonts w:ascii="Times New Roman" w:hAnsi="Times New Roman"/>
          <w:sz w:val="24"/>
          <w:szCs w:val="24"/>
        </w:rPr>
        <w:t xml:space="preserve">Regulatory </w:t>
      </w:r>
      <w:r w:rsidR="00E8071E">
        <w:rPr>
          <w:rFonts w:ascii="Times New Roman" w:hAnsi="Times New Roman"/>
          <w:sz w:val="24"/>
          <w:szCs w:val="24"/>
        </w:rPr>
        <w:t>Reform</w:t>
      </w:r>
      <w:r w:rsidR="00F37FD4">
        <w:rPr>
          <w:rFonts w:ascii="Times New Roman" w:hAnsi="Times New Roman"/>
          <w:sz w:val="24"/>
          <w:szCs w:val="24"/>
        </w:rPr>
        <w:t xml:space="preserve"> Units of the </w:t>
      </w:r>
      <w:r>
        <w:rPr>
          <w:rFonts w:ascii="Times New Roman" w:hAnsi="Times New Roman"/>
          <w:sz w:val="24"/>
          <w:szCs w:val="24"/>
        </w:rPr>
        <w:t xml:space="preserve">Department of the Environment </w:t>
      </w:r>
      <w:r w:rsidR="00F531D7">
        <w:rPr>
          <w:rFonts w:ascii="Times New Roman" w:hAnsi="Times New Roman"/>
          <w:sz w:val="24"/>
          <w:szCs w:val="24"/>
        </w:rPr>
        <w:t xml:space="preserve">and Energy </w:t>
      </w:r>
      <w:r>
        <w:rPr>
          <w:rFonts w:ascii="Times New Roman" w:hAnsi="Times New Roman"/>
          <w:sz w:val="24"/>
          <w:szCs w:val="24"/>
        </w:rPr>
        <w:t>and the Department of Agriculture and Water Resources</w:t>
      </w:r>
      <w:r w:rsidR="00F37FD4">
        <w:rPr>
          <w:rFonts w:ascii="Times New Roman" w:hAnsi="Times New Roman"/>
          <w:sz w:val="24"/>
          <w:szCs w:val="24"/>
        </w:rPr>
        <w:t xml:space="preserve"> have </w:t>
      </w:r>
      <w:r w:rsidRPr="00EB2CE8">
        <w:rPr>
          <w:rFonts w:ascii="Times New Roman" w:hAnsi="Times New Roman"/>
          <w:sz w:val="24"/>
          <w:szCs w:val="24"/>
        </w:rPr>
        <w:t xml:space="preserve">advised that no preliminary RIS or </w:t>
      </w:r>
      <w:r w:rsidR="00F37FD4">
        <w:rPr>
          <w:rFonts w:ascii="Times New Roman" w:hAnsi="Times New Roman"/>
          <w:sz w:val="24"/>
          <w:szCs w:val="24"/>
        </w:rPr>
        <w:t xml:space="preserve">further </w:t>
      </w:r>
      <w:r w:rsidRPr="00EB2CE8">
        <w:rPr>
          <w:rFonts w:ascii="Times New Roman" w:hAnsi="Times New Roman"/>
          <w:sz w:val="24"/>
          <w:szCs w:val="24"/>
        </w:rPr>
        <w:t xml:space="preserve">contact with OBPR </w:t>
      </w:r>
      <w:r w:rsidR="00F37FD4">
        <w:rPr>
          <w:rFonts w:ascii="Times New Roman" w:hAnsi="Times New Roman"/>
          <w:sz w:val="24"/>
          <w:szCs w:val="24"/>
        </w:rPr>
        <w:t xml:space="preserve">is </w:t>
      </w:r>
      <w:r w:rsidRPr="00EB2CE8">
        <w:rPr>
          <w:rFonts w:ascii="Times New Roman" w:hAnsi="Times New Roman"/>
          <w:sz w:val="24"/>
          <w:szCs w:val="24"/>
        </w:rPr>
        <w:t>required for subsequent tranche</w:t>
      </w:r>
      <w:r w:rsidR="00F37FD4">
        <w:rPr>
          <w:rFonts w:ascii="Times New Roman" w:hAnsi="Times New Roman"/>
          <w:sz w:val="24"/>
          <w:szCs w:val="24"/>
        </w:rPr>
        <w:t>s,</w:t>
      </w:r>
      <w:r w:rsidRPr="00EB2CE8">
        <w:rPr>
          <w:rFonts w:ascii="Times New Roman" w:hAnsi="Times New Roman"/>
          <w:sz w:val="24"/>
          <w:szCs w:val="24"/>
        </w:rPr>
        <w:t xml:space="preserve"> as additional tranches were specifically contemplated in </w:t>
      </w:r>
      <w:r w:rsidR="00F37FD4">
        <w:rPr>
          <w:rFonts w:ascii="Times New Roman" w:hAnsi="Times New Roman"/>
          <w:sz w:val="24"/>
          <w:szCs w:val="24"/>
        </w:rPr>
        <w:t xml:space="preserve">the </w:t>
      </w:r>
      <w:r w:rsidRPr="00EB2CE8">
        <w:rPr>
          <w:rFonts w:ascii="Times New Roman" w:hAnsi="Times New Roman"/>
          <w:sz w:val="24"/>
          <w:szCs w:val="24"/>
        </w:rPr>
        <w:t>original preliminary assessment</w:t>
      </w:r>
      <w:r w:rsidR="00F37FD4">
        <w:rPr>
          <w:rFonts w:ascii="Times New Roman" w:hAnsi="Times New Roman"/>
          <w:sz w:val="24"/>
          <w:szCs w:val="24"/>
        </w:rPr>
        <w:t>. The Department of Agriculture and Water Resources Regulatory Reform Unit was consulted on this amendment and</w:t>
      </w:r>
      <w:r w:rsidR="001C1FBB">
        <w:rPr>
          <w:rFonts w:ascii="Times New Roman" w:hAnsi="Times New Roman"/>
          <w:sz w:val="24"/>
          <w:szCs w:val="24"/>
        </w:rPr>
        <w:t xml:space="preserve"> </w:t>
      </w:r>
      <w:r w:rsidR="00F37FD4">
        <w:rPr>
          <w:rFonts w:ascii="Times New Roman" w:hAnsi="Times New Roman"/>
          <w:sz w:val="24"/>
          <w:szCs w:val="24"/>
        </w:rPr>
        <w:t xml:space="preserve">confirmed that no further regulatory assessment was required. </w:t>
      </w:r>
    </w:p>
    <w:p w14:paraId="1C4DEADC" w14:textId="77777777" w:rsidR="006378F9" w:rsidRDefault="006378F9">
      <w:pPr>
        <w:spacing w:line="240" w:lineRule="auto"/>
        <w:rPr>
          <w:rFonts w:ascii="Times New Roman" w:hAnsi="Times New Roman"/>
          <w:sz w:val="24"/>
          <w:szCs w:val="24"/>
        </w:rPr>
      </w:pPr>
    </w:p>
    <w:p w14:paraId="6675532A" w14:textId="5169AD56" w:rsidR="001553A0" w:rsidRPr="00255F29" w:rsidRDefault="00F06B91" w:rsidP="00C45514">
      <w:pPr>
        <w:spacing w:line="240" w:lineRule="auto"/>
        <w:rPr>
          <w:rFonts w:ascii="Times New Roman" w:hAnsi="Times New Roman"/>
          <w:b/>
          <w:sz w:val="24"/>
          <w:szCs w:val="24"/>
        </w:rPr>
      </w:pPr>
      <w:r>
        <w:rPr>
          <w:rFonts w:ascii="Times New Roman" w:hAnsi="Times New Roman"/>
          <w:b/>
          <w:sz w:val="24"/>
          <w:szCs w:val="24"/>
        </w:rPr>
        <w:t>Details/Operation</w:t>
      </w:r>
    </w:p>
    <w:p w14:paraId="3E046AD1" w14:textId="7FF7F87B" w:rsidR="001553A0" w:rsidRPr="00BB5753" w:rsidRDefault="001553A0" w:rsidP="00C45514">
      <w:pPr>
        <w:spacing w:line="240" w:lineRule="auto"/>
        <w:rPr>
          <w:rFonts w:ascii="Times New Roman" w:hAnsi="Times New Roman"/>
          <w:sz w:val="24"/>
          <w:szCs w:val="24"/>
        </w:rPr>
      </w:pPr>
      <w:r w:rsidRPr="00BB5753">
        <w:rPr>
          <w:rFonts w:ascii="Times New Roman" w:hAnsi="Times New Roman"/>
          <w:sz w:val="24"/>
          <w:szCs w:val="24"/>
        </w:rPr>
        <w:t>Details of the Regulation</w:t>
      </w:r>
      <w:r w:rsidR="00311532">
        <w:rPr>
          <w:rFonts w:ascii="Times New Roman" w:hAnsi="Times New Roman"/>
          <w:sz w:val="24"/>
          <w:szCs w:val="24"/>
        </w:rPr>
        <w:t>s</w:t>
      </w:r>
      <w:r w:rsidRPr="00BB5753">
        <w:rPr>
          <w:rFonts w:ascii="Times New Roman" w:hAnsi="Times New Roman"/>
          <w:sz w:val="24"/>
          <w:szCs w:val="24"/>
        </w:rPr>
        <w:t xml:space="preserve"> are set out </w:t>
      </w:r>
      <w:r w:rsidR="00A52FD7">
        <w:rPr>
          <w:rFonts w:ascii="Times New Roman" w:hAnsi="Times New Roman"/>
          <w:sz w:val="24"/>
          <w:szCs w:val="24"/>
        </w:rPr>
        <w:t xml:space="preserve">in </w:t>
      </w:r>
      <w:r w:rsidRPr="00BB5753">
        <w:rPr>
          <w:rFonts w:ascii="Times New Roman" w:hAnsi="Times New Roman"/>
          <w:sz w:val="24"/>
          <w:szCs w:val="24"/>
          <w:u w:val="single"/>
        </w:rPr>
        <w:t>Attachment</w:t>
      </w:r>
      <w:r>
        <w:rPr>
          <w:rFonts w:ascii="Times New Roman" w:hAnsi="Times New Roman"/>
          <w:sz w:val="24"/>
          <w:szCs w:val="24"/>
          <w:u w:val="single"/>
        </w:rPr>
        <w:t xml:space="preserve"> A</w:t>
      </w:r>
      <w:r w:rsidRPr="00BB5753">
        <w:rPr>
          <w:rFonts w:ascii="Times New Roman" w:hAnsi="Times New Roman"/>
          <w:sz w:val="24"/>
          <w:szCs w:val="24"/>
        </w:rPr>
        <w:t>.</w:t>
      </w:r>
    </w:p>
    <w:p w14:paraId="35B0956C" w14:textId="4E825E88" w:rsidR="00F06B91" w:rsidRDefault="001553A0" w:rsidP="0051581D">
      <w:pPr>
        <w:spacing w:line="240" w:lineRule="auto"/>
        <w:rPr>
          <w:rFonts w:ascii="Times New Roman" w:hAnsi="Times New Roman"/>
          <w:sz w:val="24"/>
          <w:szCs w:val="24"/>
        </w:rPr>
      </w:pPr>
      <w:r>
        <w:rPr>
          <w:rFonts w:ascii="Times New Roman" w:hAnsi="Times New Roman"/>
          <w:sz w:val="24"/>
          <w:szCs w:val="24"/>
        </w:rPr>
        <w:t>The Regulation</w:t>
      </w:r>
      <w:r w:rsidR="00A52690">
        <w:rPr>
          <w:rFonts w:ascii="Times New Roman" w:hAnsi="Times New Roman"/>
          <w:sz w:val="24"/>
          <w:szCs w:val="24"/>
        </w:rPr>
        <w:t>s</w:t>
      </w:r>
      <w:r>
        <w:rPr>
          <w:rFonts w:ascii="Times New Roman" w:hAnsi="Times New Roman"/>
          <w:sz w:val="24"/>
          <w:szCs w:val="24"/>
        </w:rPr>
        <w:t xml:space="preserve"> </w:t>
      </w:r>
      <w:r w:rsidR="001F5B6B">
        <w:rPr>
          <w:rFonts w:ascii="Times New Roman" w:hAnsi="Times New Roman"/>
          <w:sz w:val="24"/>
          <w:szCs w:val="24"/>
        </w:rPr>
        <w:t xml:space="preserve">are </w:t>
      </w:r>
      <w:r>
        <w:rPr>
          <w:rFonts w:ascii="Times New Roman" w:hAnsi="Times New Roman"/>
          <w:sz w:val="24"/>
          <w:szCs w:val="24"/>
        </w:rPr>
        <w:t xml:space="preserve">the </w:t>
      </w:r>
      <w:r w:rsidR="00A0129C">
        <w:rPr>
          <w:rFonts w:ascii="Times New Roman" w:hAnsi="Times New Roman"/>
          <w:sz w:val="24"/>
          <w:szCs w:val="24"/>
        </w:rPr>
        <w:t>ninth regulation</w:t>
      </w:r>
      <w:r w:rsidR="001F5B6B">
        <w:rPr>
          <w:rFonts w:ascii="Times New Roman" w:hAnsi="Times New Roman"/>
          <w:sz w:val="24"/>
          <w:szCs w:val="24"/>
        </w:rPr>
        <w:t>s</w:t>
      </w:r>
      <w:r>
        <w:rPr>
          <w:rFonts w:ascii="Times New Roman" w:hAnsi="Times New Roman"/>
          <w:sz w:val="24"/>
          <w:szCs w:val="24"/>
        </w:rPr>
        <w:t xml:space="preserve"> to extend transitional or interim coverage for Basin State water resource planning arrangements until accredited water r</w:t>
      </w:r>
      <w:r w:rsidR="00681918">
        <w:rPr>
          <w:rFonts w:ascii="Times New Roman" w:hAnsi="Times New Roman"/>
          <w:sz w:val="24"/>
          <w:szCs w:val="24"/>
        </w:rPr>
        <w:t>esource plans are in place by 1 </w:t>
      </w:r>
      <w:r>
        <w:rPr>
          <w:rFonts w:ascii="Times New Roman" w:hAnsi="Times New Roman"/>
          <w:sz w:val="24"/>
          <w:szCs w:val="24"/>
        </w:rPr>
        <w:t xml:space="preserve">July 2019. </w:t>
      </w:r>
    </w:p>
    <w:p w14:paraId="729283DA" w14:textId="105A3265" w:rsidR="00F06B91" w:rsidRPr="00F37FD4" w:rsidRDefault="00F06B91">
      <w:pPr>
        <w:spacing w:line="240" w:lineRule="auto"/>
        <w:rPr>
          <w:rFonts w:ascii="Times New Roman" w:hAnsi="Times New Roman"/>
          <w:b/>
          <w:sz w:val="24"/>
          <w:szCs w:val="24"/>
        </w:rPr>
      </w:pPr>
      <w:r w:rsidRPr="00F37FD4">
        <w:rPr>
          <w:rFonts w:ascii="Times New Roman" w:hAnsi="Times New Roman"/>
          <w:b/>
          <w:sz w:val="24"/>
          <w:szCs w:val="24"/>
        </w:rPr>
        <w:t>Other</w:t>
      </w:r>
    </w:p>
    <w:p w14:paraId="0EF17ECF" w14:textId="7A715FBE" w:rsidR="005727FD" w:rsidRDefault="005727FD">
      <w:pPr>
        <w:tabs>
          <w:tab w:val="left" w:pos="1701"/>
          <w:tab w:val="right" w:pos="9072"/>
        </w:tabs>
        <w:spacing w:after="0" w:line="240" w:lineRule="auto"/>
        <w:rPr>
          <w:rFonts w:ascii="Times New Roman" w:hAnsi="Times New Roman"/>
          <w:sz w:val="24"/>
          <w:szCs w:val="24"/>
        </w:rPr>
      </w:pPr>
      <w:r w:rsidRPr="00E76AB5">
        <w:rPr>
          <w:rFonts w:ascii="Times New Roman" w:hAnsi="Times New Roman"/>
          <w:sz w:val="24"/>
          <w:szCs w:val="24"/>
        </w:rPr>
        <w:t xml:space="preserve">The </w:t>
      </w:r>
      <w:r w:rsidRPr="00EE0453">
        <w:rPr>
          <w:rFonts w:ascii="Times New Roman" w:hAnsi="Times New Roman"/>
          <w:sz w:val="24"/>
          <w:szCs w:val="24"/>
        </w:rPr>
        <w:t>Regulation</w:t>
      </w:r>
      <w:r w:rsidR="00A52690">
        <w:rPr>
          <w:rFonts w:ascii="Times New Roman" w:hAnsi="Times New Roman"/>
          <w:sz w:val="24"/>
          <w:szCs w:val="24"/>
        </w:rPr>
        <w:t>s</w:t>
      </w:r>
      <w:r w:rsidRPr="00EE0453">
        <w:rPr>
          <w:rFonts w:ascii="Times New Roman" w:hAnsi="Times New Roman"/>
          <w:sz w:val="24"/>
          <w:szCs w:val="24"/>
        </w:rPr>
        <w:t xml:space="preserve"> </w:t>
      </w:r>
      <w:r w:rsidR="001F5B6B">
        <w:rPr>
          <w:rFonts w:ascii="Times New Roman" w:hAnsi="Times New Roman"/>
          <w:sz w:val="24"/>
          <w:szCs w:val="24"/>
        </w:rPr>
        <w:t xml:space="preserve">are </w:t>
      </w:r>
      <w:r w:rsidR="001553A0">
        <w:rPr>
          <w:rFonts w:ascii="Times New Roman" w:hAnsi="Times New Roman"/>
          <w:sz w:val="24"/>
          <w:szCs w:val="24"/>
        </w:rPr>
        <w:t xml:space="preserve">compatible </w:t>
      </w:r>
      <w:r w:rsidRPr="00EE0453">
        <w:rPr>
          <w:rFonts w:ascii="Times New Roman" w:hAnsi="Times New Roman"/>
          <w:sz w:val="24"/>
          <w:szCs w:val="24"/>
        </w:rPr>
        <w:t xml:space="preserve">with the human rights and freedoms recognised or declared under section 3 of the </w:t>
      </w:r>
      <w:r w:rsidRPr="00EE0453">
        <w:rPr>
          <w:rFonts w:ascii="Times New Roman" w:hAnsi="Times New Roman"/>
          <w:i/>
          <w:sz w:val="24"/>
          <w:szCs w:val="24"/>
        </w:rPr>
        <w:t xml:space="preserve">Human Rights </w:t>
      </w:r>
      <w:r w:rsidRPr="00E76AB5">
        <w:rPr>
          <w:rFonts w:ascii="Times New Roman" w:hAnsi="Times New Roman"/>
          <w:i/>
          <w:sz w:val="24"/>
          <w:szCs w:val="24"/>
        </w:rPr>
        <w:t>(Parliamentary Scrutiny) Act 2011.</w:t>
      </w:r>
      <w:r w:rsidRPr="00E76AB5">
        <w:rPr>
          <w:rFonts w:ascii="Times New Roman" w:hAnsi="Times New Roman"/>
          <w:sz w:val="24"/>
          <w:szCs w:val="24"/>
        </w:rPr>
        <w:t xml:space="preserve"> A full statement of compatibility is set out in </w:t>
      </w:r>
      <w:r w:rsidRPr="00E76AB5">
        <w:rPr>
          <w:rFonts w:ascii="Times New Roman" w:hAnsi="Times New Roman"/>
          <w:sz w:val="24"/>
          <w:szCs w:val="24"/>
          <w:u w:val="single"/>
        </w:rPr>
        <w:t>Attachment B</w:t>
      </w:r>
      <w:r w:rsidRPr="00E76AB5">
        <w:rPr>
          <w:rFonts w:ascii="Times New Roman" w:hAnsi="Times New Roman"/>
          <w:sz w:val="24"/>
          <w:szCs w:val="24"/>
        </w:rPr>
        <w:t>.</w:t>
      </w:r>
    </w:p>
    <w:p w14:paraId="565B9DDA" w14:textId="77777777" w:rsidR="005727FD" w:rsidRPr="00E76AB5" w:rsidRDefault="005727FD">
      <w:pPr>
        <w:tabs>
          <w:tab w:val="left" w:pos="1701"/>
          <w:tab w:val="right" w:pos="9072"/>
        </w:tabs>
        <w:spacing w:after="0" w:line="240" w:lineRule="auto"/>
        <w:rPr>
          <w:rFonts w:ascii="Times New Roman" w:hAnsi="Times New Roman"/>
          <w:sz w:val="24"/>
          <w:szCs w:val="24"/>
        </w:rPr>
      </w:pPr>
    </w:p>
    <w:p w14:paraId="571671F1" w14:textId="6A730225" w:rsidR="005727FD" w:rsidRPr="00BA61EE" w:rsidRDefault="005727FD" w:rsidP="00C45514">
      <w:pPr>
        <w:spacing w:line="240" w:lineRule="auto"/>
        <w:rPr>
          <w:rFonts w:ascii="Times New Roman" w:hAnsi="Times New Roman"/>
          <w:sz w:val="24"/>
          <w:szCs w:val="24"/>
        </w:rPr>
      </w:pPr>
      <w:r w:rsidRPr="00BA61EE">
        <w:rPr>
          <w:rFonts w:ascii="Times New Roman" w:hAnsi="Times New Roman"/>
          <w:sz w:val="24"/>
          <w:szCs w:val="24"/>
        </w:rPr>
        <w:t>The Regulation</w:t>
      </w:r>
      <w:r w:rsidR="00A52690">
        <w:rPr>
          <w:rFonts w:ascii="Times New Roman" w:hAnsi="Times New Roman"/>
          <w:sz w:val="24"/>
          <w:szCs w:val="24"/>
        </w:rPr>
        <w:t>s</w:t>
      </w:r>
      <w:r w:rsidRPr="00BA61EE">
        <w:rPr>
          <w:rFonts w:ascii="Times New Roman" w:hAnsi="Times New Roman"/>
          <w:sz w:val="24"/>
          <w:szCs w:val="24"/>
        </w:rPr>
        <w:t xml:space="preserve"> </w:t>
      </w:r>
      <w:r w:rsidR="001F5B6B">
        <w:rPr>
          <w:rFonts w:ascii="Times New Roman" w:hAnsi="Times New Roman"/>
          <w:sz w:val="24"/>
          <w:szCs w:val="24"/>
        </w:rPr>
        <w:t>are</w:t>
      </w:r>
      <w:r w:rsidR="001F5B6B" w:rsidRPr="00BA61EE">
        <w:rPr>
          <w:rFonts w:ascii="Times New Roman" w:hAnsi="Times New Roman"/>
          <w:sz w:val="24"/>
          <w:szCs w:val="24"/>
        </w:rPr>
        <w:t xml:space="preserve"> </w:t>
      </w:r>
      <w:r w:rsidRPr="00BA61EE">
        <w:rPr>
          <w:rFonts w:ascii="Times New Roman" w:hAnsi="Times New Roman"/>
          <w:sz w:val="24"/>
          <w:szCs w:val="24"/>
        </w:rPr>
        <w:t>a legislative instrument</w:t>
      </w:r>
      <w:r>
        <w:rPr>
          <w:rFonts w:ascii="Times New Roman" w:hAnsi="Times New Roman"/>
          <w:sz w:val="24"/>
          <w:szCs w:val="24"/>
        </w:rPr>
        <w:t xml:space="preserve"> for the</w:t>
      </w:r>
      <w:r w:rsidRPr="00BA61EE">
        <w:rPr>
          <w:rFonts w:ascii="Times New Roman" w:hAnsi="Times New Roman"/>
          <w:sz w:val="24"/>
          <w:szCs w:val="24"/>
        </w:rPr>
        <w:t xml:space="preserve"> </w:t>
      </w:r>
      <w:r w:rsidRPr="00132DA5">
        <w:rPr>
          <w:rFonts w:ascii="Times New Roman" w:hAnsi="Times New Roman"/>
          <w:sz w:val="24"/>
          <w:szCs w:val="24"/>
        </w:rPr>
        <w:t xml:space="preserve">purposes of the </w:t>
      </w:r>
      <w:r>
        <w:rPr>
          <w:rFonts w:ascii="Times New Roman" w:hAnsi="Times New Roman"/>
          <w:i/>
          <w:sz w:val="24"/>
          <w:szCs w:val="24"/>
        </w:rPr>
        <w:t>Legislation Act</w:t>
      </w:r>
      <w:r w:rsidRPr="00C64110">
        <w:rPr>
          <w:rFonts w:ascii="Times New Roman" w:hAnsi="Times New Roman"/>
          <w:i/>
          <w:sz w:val="24"/>
          <w:szCs w:val="24"/>
        </w:rPr>
        <w:t xml:space="preserve"> 2003</w:t>
      </w:r>
      <w:r w:rsidRPr="00960101">
        <w:rPr>
          <w:rFonts w:ascii="Times New Roman" w:hAnsi="Times New Roman"/>
          <w:sz w:val="24"/>
          <w:szCs w:val="24"/>
        </w:rPr>
        <w:t>.</w:t>
      </w:r>
    </w:p>
    <w:p w14:paraId="2CD718E9" w14:textId="77777777" w:rsidR="000500BC" w:rsidRDefault="000500BC" w:rsidP="0051581D">
      <w:pPr>
        <w:spacing w:after="0" w:line="240" w:lineRule="auto"/>
        <w:rPr>
          <w:rFonts w:ascii="Times New Roman" w:hAnsi="Times New Roman"/>
          <w:b/>
          <w:sz w:val="24"/>
          <w:szCs w:val="24"/>
        </w:rPr>
      </w:pPr>
      <w:r>
        <w:rPr>
          <w:rFonts w:ascii="Times New Roman" w:hAnsi="Times New Roman"/>
          <w:b/>
          <w:sz w:val="24"/>
          <w:szCs w:val="24"/>
        </w:rPr>
        <w:br w:type="page"/>
      </w:r>
    </w:p>
    <w:p w14:paraId="7C24C1EA" w14:textId="706865CC" w:rsidR="001F71CC" w:rsidRPr="00BB5753" w:rsidRDefault="001F71CC" w:rsidP="0051581D">
      <w:pPr>
        <w:spacing w:after="0" w:line="240" w:lineRule="auto"/>
        <w:jc w:val="right"/>
        <w:outlineLvl w:val="0"/>
        <w:rPr>
          <w:rFonts w:ascii="Times New Roman" w:hAnsi="Times New Roman"/>
          <w:b/>
          <w:sz w:val="24"/>
          <w:szCs w:val="24"/>
          <w:u w:val="single"/>
        </w:rPr>
      </w:pPr>
      <w:r w:rsidRPr="00BB5753">
        <w:rPr>
          <w:rFonts w:ascii="Times New Roman" w:hAnsi="Times New Roman"/>
          <w:b/>
          <w:sz w:val="24"/>
          <w:szCs w:val="24"/>
          <w:u w:val="single"/>
        </w:rPr>
        <w:lastRenderedPageBreak/>
        <w:t>ATTACHMENT</w:t>
      </w:r>
      <w:r>
        <w:rPr>
          <w:rFonts w:ascii="Times New Roman" w:hAnsi="Times New Roman"/>
          <w:b/>
          <w:sz w:val="24"/>
          <w:szCs w:val="24"/>
          <w:u w:val="single"/>
        </w:rPr>
        <w:t xml:space="preserve"> A</w:t>
      </w:r>
    </w:p>
    <w:p w14:paraId="2930206D" w14:textId="77777777" w:rsidR="001F71CC" w:rsidRPr="00BB5753" w:rsidRDefault="001F71CC">
      <w:pPr>
        <w:pStyle w:val="Header"/>
        <w:jc w:val="right"/>
        <w:rPr>
          <w:b/>
          <w:i w:val="0"/>
          <w:sz w:val="24"/>
          <w:szCs w:val="24"/>
          <w:u w:val="single"/>
        </w:rPr>
      </w:pPr>
    </w:p>
    <w:p w14:paraId="3658B729" w14:textId="7EDE3D7B" w:rsidR="001F71CC" w:rsidRPr="00BB5753" w:rsidRDefault="001F71CC" w:rsidP="00C45514">
      <w:pPr>
        <w:spacing w:line="240" w:lineRule="auto"/>
        <w:rPr>
          <w:rFonts w:ascii="Times New Roman" w:hAnsi="Times New Roman"/>
          <w:b/>
          <w:sz w:val="24"/>
          <w:szCs w:val="24"/>
          <w:u w:val="single"/>
        </w:rPr>
      </w:pPr>
      <w:r w:rsidRPr="00BB5753">
        <w:rPr>
          <w:rFonts w:ascii="Times New Roman" w:hAnsi="Times New Roman"/>
          <w:b/>
          <w:sz w:val="24"/>
          <w:szCs w:val="24"/>
          <w:u w:val="single"/>
        </w:rPr>
        <w:t xml:space="preserve">Details of the </w:t>
      </w:r>
      <w:r w:rsidRPr="00BB5753">
        <w:rPr>
          <w:rFonts w:ascii="Times New Roman" w:hAnsi="Times New Roman"/>
          <w:b/>
          <w:i/>
          <w:sz w:val="24"/>
          <w:szCs w:val="24"/>
          <w:u w:val="single"/>
        </w:rPr>
        <w:t>Water Amendment (Interactions with Australian Capital Territory Water Resource Plans) Regulation</w:t>
      </w:r>
      <w:r w:rsidR="00103800">
        <w:rPr>
          <w:rFonts w:ascii="Times New Roman" w:hAnsi="Times New Roman"/>
          <w:b/>
          <w:i/>
          <w:sz w:val="24"/>
          <w:szCs w:val="24"/>
          <w:u w:val="single"/>
        </w:rPr>
        <w:t>s</w:t>
      </w:r>
      <w:r w:rsidRPr="00BB5753">
        <w:rPr>
          <w:rFonts w:ascii="Times New Roman" w:hAnsi="Times New Roman"/>
          <w:b/>
          <w:i/>
          <w:sz w:val="24"/>
          <w:szCs w:val="24"/>
          <w:u w:val="single"/>
        </w:rPr>
        <w:t xml:space="preserve"> </w:t>
      </w:r>
      <w:r w:rsidR="00F531D7" w:rsidRPr="00BB5753">
        <w:rPr>
          <w:rFonts w:ascii="Times New Roman" w:hAnsi="Times New Roman"/>
          <w:b/>
          <w:i/>
          <w:sz w:val="24"/>
          <w:szCs w:val="24"/>
          <w:u w:val="single"/>
        </w:rPr>
        <w:t>201</w:t>
      </w:r>
      <w:r w:rsidR="00F531D7">
        <w:rPr>
          <w:rFonts w:ascii="Times New Roman" w:hAnsi="Times New Roman"/>
          <w:b/>
          <w:i/>
          <w:sz w:val="24"/>
          <w:szCs w:val="24"/>
          <w:u w:val="single"/>
        </w:rPr>
        <w:t>8</w:t>
      </w:r>
    </w:p>
    <w:p w14:paraId="04777744" w14:textId="77777777" w:rsidR="001F71CC" w:rsidRPr="00BB5753" w:rsidRDefault="001F71CC" w:rsidP="00C45514">
      <w:pPr>
        <w:spacing w:line="240" w:lineRule="auto"/>
        <w:rPr>
          <w:rFonts w:ascii="Times New Roman" w:hAnsi="Times New Roman"/>
          <w:sz w:val="24"/>
          <w:szCs w:val="24"/>
          <w:u w:val="single"/>
        </w:rPr>
      </w:pPr>
      <w:r>
        <w:rPr>
          <w:rFonts w:ascii="Times New Roman" w:hAnsi="Times New Roman"/>
          <w:sz w:val="24"/>
          <w:szCs w:val="24"/>
          <w:u w:val="single"/>
        </w:rPr>
        <w:t>Section 1 – Name</w:t>
      </w:r>
    </w:p>
    <w:p w14:paraId="7627173C" w14:textId="5235740E" w:rsidR="001F71CC" w:rsidRPr="00BB5753" w:rsidRDefault="001F71CC" w:rsidP="00C45514">
      <w:pPr>
        <w:spacing w:line="240" w:lineRule="auto"/>
        <w:rPr>
          <w:rFonts w:ascii="Times New Roman" w:hAnsi="Times New Roman"/>
          <w:sz w:val="24"/>
          <w:szCs w:val="24"/>
        </w:rPr>
      </w:pPr>
      <w:r w:rsidRPr="00BB5753">
        <w:rPr>
          <w:rFonts w:ascii="Times New Roman" w:hAnsi="Times New Roman"/>
          <w:sz w:val="24"/>
          <w:szCs w:val="24"/>
        </w:rPr>
        <w:t>This section provide</w:t>
      </w:r>
      <w:r>
        <w:rPr>
          <w:rFonts w:ascii="Times New Roman" w:hAnsi="Times New Roman"/>
          <w:sz w:val="24"/>
          <w:szCs w:val="24"/>
        </w:rPr>
        <w:t>s</w:t>
      </w:r>
      <w:r w:rsidRPr="00BB5753">
        <w:rPr>
          <w:rFonts w:ascii="Times New Roman" w:hAnsi="Times New Roman"/>
          <w:sz w:val="24"/>
          <w:szCs w:val="24"/>
        </w:rPr>
        <w:t xml:space="preserve"> that the </w:t>
      </w:r>
      <w:r>
        <w:rPr>
          <w:rFonts w:ascii="Times New Roman" w:hAnsi="Times New Roman"/>
          <w:sz w:val="24"/>
          <w:szCs w:val="24"/>
        </w:rPr>
        <w:t>name</w:t>
      </w:r>
      <w:r w:rsidRPr="00BB5753">
        <w:rPr>
          <w:rFonts w:ascii="Times New Roman" w:hAnsi="Times New Roman"/>
          <w:sz w:val="24"/>
          <w:szCs w:val="24"/>
        </w:rPr>
        <w:t xml:space="preserve"> of the</w:t>
      </w:r>
      <w:r>
        <w:rPr>
          <w:rFonts w:ascii="Times New Roman" w:hAnsi="Times New Roman"/>
          <w:sz w:val="24"/>
          <w:szCs w:val="24"/>
        </w:rPr>
        <w:t xml:space="preserve"> </w:t>
      </w:r>
      <w:r w:rsidRPr="00BB5753">
        <w:rPr>
          <w:rFonts w:ascii="Times New Roman" w:hAnsi="Times New Roman"/>
          <w:sz w:val="24"/>
          <w:szCs w:val="24"/>
        </w:rPr>
        <w:t>Regulation</w:t>
      </w:r>
      <w:r w:rsidR="00DC06A9">
        <w:rPr>
          <w:rFonts w:ascii="Times New Roman" w:hAnsi="Times New Roman"/>
          <w:sz w:val="24"/>
          <w:szCs w:val="24"/>
        </w:rPr>
        <w:t>s</w:t>
      </w:r>
      <w:r w:rsidRPr="00BB5753">
        <w:rPr>
          <w:rFonts w:ascii="Times New Roman" w:hAnsi="Times New Roman"/>
          <w:sz w:val="24"/>
          <w:szCs w:val="24"/>
        </w:rPr>
        <w:t xml:space="preserve"> </w:t>
      </w:r>
      <w:r w:rsidR="001F5B6B">
        <w:rPr>
          <w:rFonts w:ascii="Times New Roman" w:hAnsi="Times New Roman"/>
          <w:sz w:val="24"/>
          <w:szCs w:val="24"/>
        </w:rPr>
        <w:t>is</w:t>
      </w:r>
      <w:r w:rsidRPr="00BB5753">
        <w:rPr>
          <w:rFonts w:ascii="Times New Roman" w:hAnsi="Times New Roman"/>
          <w:sz w:val="24"/>
          <w:szCs w:val="24"/>
        </w:rPr>
        <w:t xml:space="preserve"> the </w:t>
      </w:r>
      <w:r w:rsidRPr="00BB5753">
        <w:rPr>
          <w:rFonts w:ascii="Times New Roman" w:hAnsi="Times New Roman"/>
          <w:i/>
          <w:sz w:val="24"/>
          <w:szCs w:val="24"/>
        </w:rPr>
        <w:t>Water Amendment (Interactions with Australian Capital Territory Water Resource Plans) Regulation</w:t>
      </w:r>
      <w:r w:rsidR="00103800">
        <w:rPr>
          <w:rFonts w:ascii="Times New Roman" w:hAnsi="Times New Roman"/>
          <w:i/>
          <w:sz w:val="24"/>
          <w:szCs w:val="24"/>
        </w:rPr>
        <w:t>s</w:t>
      </w:r>
      <w:r w:rsidRPr="00BB5753">
        <w:rPr>
          <w:rFonts w:ascii="Times New Roman" w:hAnsi="Times New Roman"/>
          <w:i/>
          <w:sz w:val="24"/>
          <w:szCs w:val="24"/>
        </w:rPr>
        <w:t xml:space="preserve"> </w:t>
      </w:r>
      <w:r w:rsidR="00F531D7" w:rsidRPr="00BB5753">
        <w:rPr>
          <w:rFonts w:ascii="Times New Roman" w:hAnsi="Times New Roman"/>
          <w:i/>
          <w:sz w:val="24"/>
          <w:szCs w:val="24"/>
        </w:rPr>
        <w:t>201</w:t>
      </w:r>
      <w:r w:rsidR="00F531D7">
        <w:rPr>
          <w:rFonts w:ascii="Times New Roman" w:hAnsi="Times New Roman"/>
          <w:i/>
          <w:sz w:val="24"/>
          <w:szCs w:val="24"/>
        </w:rPr>
        <w:t>8</w:t>
      </w:r>
      <w:r w:rsidRPr="00BB5753">
        <w:rPr>
          <w:rFonts w:ascii="Times New Roman" w:hAnsi="Times New Roman"/>
          <w:sz w:val="24"/>
          <w:szCs w:val="24"/>
        </w:rPr>
        <w:t>.</w:t>
      </w:r>
    </w:p>
    <w:p w14:paraId="54B34717" w14:textId="77777777" w:rsidR="001F71CC" w:rsidRPr="00BB5753" w:rsidRDefault="001F71CC" w:rsidP="00C45514">
      <w:pPr>
        <w:spacing w:line="240" w:lineRule="auto"/>
        <w:rPr>
          <w:rFonts w:ascii="Times New Roman" w:hAnsi="Times New Roman"/>
          <w:sz w:val="24"/>
          <w:szCs w:val="24"/>
          <w:u w:val="single"/>
        </w:rPr>
      </w:pPr>
      <w:r w:rsidRPr="00BB5753">
        <w:rPr>
          <w:rFonts w:ascii="Times New Roman" w:hAnsi="Times New Roman"/>
          <w:sz w:val="24"/>
          <w:szCs w:val="24"/>
          <w:u w:val="single"/>
        </w:rPr>
        <w:t>Section 2 – Commencement</w:t>
      </w:r>
    </w:p>
    <w:p w14:paraId="7CBB2594" w14:textId="34196522" w:rsidR="001F71CC" w:rsidRPr="00BB5753" w:rsidRDefault="001F71CC" w:rsidP="00C45514">
      <w:pPr>
        <w:spacing w:line="240" w:lineRule="auto"/>
        <w:rPr>
          <w:rFonts w:ascii="Times New Roman" w:hAnsi="Times New Roman"/>
          <w:sz w:val="24"/>
          <w:szCs w:val="24"/>
        </w:rPr>
      </w:pPr>
      <w:r w:rsidRPr="00BB5753">
        <w:rPr>
          <w:rFonts w:ascii="Times New Roman" w:hAnsi="Times New Roman"/>
          <w:sz w:val="24"/>
          <w:szCs w:val="24"/>
        </w:rPr>
        <w:t>This section provide</w:t>
      </w:r>
      <w:r>
        <w:rPr>
          <w:rFonts w:ascii="Times New Roman" w:hAnsi="Times New Roman"/>
          <w:sz w:val="24"/>
          <w:szCs w:val="24"/>
        </w:rPr>
        <w:t>s</w:t>
      </w:r>
      <w:r w:rsidRPr="00BB5753">
        <w:rPr>
          <w:rFonts w:ascii="Times New Roman" w:hAnsi="Times New Roman"/>
          <w:sz w:val="24"/>
          <w:szCs w:val="24"/>
        </w:rPr>
        <w:t xml:space="preserve"> </w:t>
      </w:r>
      <w:r>
        <w:rPr>
          <w:rFonts w:ascii="Times New Roman" w:hAnsi="Times New Roman"/>
          <w:sz w:val="24"/>
          <w:szCs w:val="24"/>
        </w:rPr>
        <w:t xml:space="preserve">for </w:t>
      </w:r>
      <w:r w:rsidRPr="00BB5753">
        <w:rPr>
          <w:rFonts w:ascii="Times New Roman" w:hAnsi="Times New Roman"/>
          <w:sz w:val="24"/>
          <w:szCs w:val="24"/>
        </w:rPr>
        <w:t>the Regulation</w:t>
      </w:r>
      <w:r w:rsidR="00DC06A9">
        <w:rPr>
          <w:rFonts w:ascii="Times New Roman" w:hAnsi="Times New Roman"/>
          <w:sz w:val="24"/>
          <w:szCs w:val="24"/>
        </w:rPr>
        <w:t>s</w:t>
      </w:r>
      <w:r w:rsidRPr="00BB5753">
        <w:rPr>
          <w:rFonts w:ascii="Times New Roman" w:hAnsi="Times New Roman"/>
          <w:sz w:val="24"/>
          <w:szCs w:val="24"/>
        </w:rPr>
        <w:t xml:space="preserve"> </w:t>
      </w:r>
      <w:r>
        <w:rPr>
          <w:rFonts w:ascii="Times New Roman" w:hAnsi="Times New Roman"/>
          <w:sz w:val="24"/>
          <w:szCs w:val="24"/>
        </w:rPr>
        <w:t>to commence the day after the instrument is registered on the Federal Register of Legislation.</w:t>
      </w:r>
    </w:p>
    <w:p w14:paraId="329D9202" w14:textId="77777777" w:rsidR="001F71CC" w:rsidRPr="00BB5753" w:rsidRDefault="001F71CC" w:rsidP="00C45514">
      <w:pPr>
        <w:spacing w:line="240" w:lineRule="auto"/>
        <w:rPr>
          <w:rFonts w:ascii="Times New Roman" w:hAnsi="Times New Roman"/>
          <w:sz w:val="24"/>
          <w:szCs w:val="24"/>
          <w:u w:val="single"/>
        </w:rPr>
      </w:pPr>
      <w:r w:rsidRPr="00BB5753">
        <w:rPr>
          <w:rFonts w:ascii="Times New Roman" w:hAnsi="Times New Roman"/>
          <w:sz w:val="24"/>
          <w:szCs w:val="24"/>
          <w:u w:val="single"/>
        </w:rPr>
        <w:t>Section 3 – Authority</w:t>
      </w:r>
    </w:p>
    <w:p w14:paraId="61F71849" w14:textId="2759D585" w:rsidR="001F71CC" w:rsidRPr="00BB5753" w:rsidRDefault="001F71CC" w:rsidP="00C45514">
      <w:pPr>
        <w:spacing w:line="240" w:lineRule="auto"/>
        <w:rPr>
          <w:rFonts w:ascii="Times New Roman" w:hAnsi="Times New Roman"/>
          <w:sz w:val="24"/>
          <w:szCs w:val="24"/>
        </w:rPr>
      </w:pPr>
      <w:r w:rsidRPr="00BB5753">
        <w:rPr>
          <w:rFonts w:ascii="Times New Roman" w:hAnsi="Times New Roman"/>
          <w:sz w:val="24"/>
          <w:szCs w:val="24"/>
        </w:rPr>
        <w:t>This section provide</w:t>
      </w:r>
      <w:r>
        <w:rPr>
          <w:rFonts w:ascii="Times New Roman" w:hAnsi="Times New Roman"/>
          <w:sz w:val="24"/>
          <w:szCs w:val="24"/>
        </w:rPr>
        <w:t>s</w:t>
      </w:r>
      <w:r w:rsidRPr="00BB5753">
        <w:rPr>
          <w:rFonts w:ascii="Times New Roman" w:hAnsi="Times New Roman"/>
          <w:sz w:val="24"/>
          <w:szCs w:val="24"/>
        </w:rPr>
        <w:t xml:space="preserve"> that the Regulation</w:t>
      </w:r>
      <w:r w:rsidR="00DC06A9">
        <w:rPr>
          <w:rFonts w:ascii="Times New Roman" w:hAnsi="Times New Roman"/>
          <w:sz w:val="24"/>
          <w:szCs w:val="24"/>
        </w:rPr>
        <w:t>s</w:t>
      </w:r>
      <w:r w:rsidRPr="00BB5753">
        <w:rPr>
          <w:rFonts w:ascii="Times New Roman" w:hAnsi="Times New Roman"/>
          <w:sz w:val="24"/>
          <w:szCs w:val="24"/>
        </w:rPr>
        <w:t xml:space="preserve"> </w:t>
      </w:r>
      <w:r w:rsidR="001F5B6B">
        <w:rPr>
          <w:rFonts w:ascii="Times New Roman" w:hAnsi="Times New Roman"/>
          <w:sz w:val="24"/>
          <w:szCs w:val="24"/>
        </w:rPr>
        <w:t>are</w:t>
      </w:r>
      <w:r w:rsidRPr="00BB5753">
        <w:rPr>
          <w:rFonts w:ascii="Times New Roman" w:hAnsi="Times New Roman"/>
          <w:sz w:val="24"/>
          <w:szCs w:val="24"/>
        </w:rPr>
        <w:t xml:space="preserve"> made under the </w:t>
      </w:r>
      <w:r w:rsidRPr="00BB5753">
        <w:rPr>
          <w:rFonts w:ascii="Times New Roman" w:hAnsi="Times New Roman"/>
          <w:i/>
          <w:sz w:val="24"/>
          <w:szCs w:val="24"/>
        </w:rPr>
        <w:t>Water Act 2007</w:t>
      </w:r>
      <w:r w:rsidRPr="00BB5753">
        <w:rPr>
          <w:rFonts w:ascii="Times New Roman" w:hAnsi="Times New Roman"/>
          <w:sz w:val="24"/>
          <w:szCs w:val="24"/>
        </w:rPr>
        <w:t>.</w:t>
      </w:r>
    </w:p>
    <w:p w14:paraId="5F6BA63F" w14:textId="77777777" w:rsidR="001F71CC" w:rsidRPr="00BB5753" w:rsidRDefault="001F71CC" w:rsidP="00C45514">
      <w:pPr>
        <w:spacing w:line="240" w:lineRule="auto"/>
        <w:rPr>
          <w:rFonts w:ascii="Times New Roman" w:hAnsi="Times New Roman"/>
          <w:sz w:val="24"/>
          <w:szCs w:val="24"/>
          <w:u w:val="single"/>
        </w:rPr>
      </w:pPr>
      <w:r w:rsidRPr="00BB5753">
        <w:rPr>
          <w:rFonts w:ascii="Times New Roman" w:hAnsi="Times New Roman"/>
          <w:sz w:val="24"/>
          <w:szCs w:val="24"/>
          <w:u w:val="single"/>
        </w:rPr>
        <w:t>Section 4 – Schedules</w:t>
      </w:r>
    </w:p>
    <w:p w14:paraId="3FD5B726" w14:textId="7AC1E917" w:rsidR="001F71CC" w:rsidRPr="00BB5753" w:rsidRDefault="001F71CC" w:rsidP="00C45514">
      <w:pPr>
        <w:spacing w:line="240" w:lineRule="auto"/>
        <w:rPr>
          <w:rFonts w:ascii="Times New Roman" w:hAnsi="Times New Roman"/>
          <w:sz w:val="24"/>
          <w:szCs w:val="24"/>
        </w:rPr>
      </w:pPr>
      <w:r w:rsidRPr="00BB5753">
        <w:rPr>
          <w:rFonts w:ascii="Times New Roman" w:hAnsi="Times New Roman"/>
          <w:sz w:val="24"/>
          <w:szCs w:val="24"/>
        </w:rPr>
        <w:t>This section provide</w:t>
      </w:r>
      <w:r>
        <w:rPr>
          <w:rFonts w:ascii="Times New Roman" w:hAnsi="Times New Roman"/>
          <w:sz w:val="24"/>
          <w:szCs w:val="24"/>
        </w:rPr>
        <w:t>s</w:t>
      </w:r>
      <w:r w:rsidRPr="00BB5753">
        <w:rPr>
          <w:rFonts w:ascii="Times New Roman" w:hAnsi="Times New Roman"/>
          <w:sz w:val="24"/>
          <w:szCs w:val="24"/>
        </w:rPr>
        <w:t xml:space="preserve"> that </w:t>
      </w:r>
      <w:r>
        <w:rPr>
          <w:rFonts w:ascii="Times New Roman" w:hAnsi="Times New Roman"/>
          <w:sz w:val="24"/>
          <w:szCs w:val="24"/>
        </w:rPr>
        <w:t xml:space="preserve">the </w:t>
      </w:r>
      <w:r>
        <w:rPr>
          <w:rFonts w:ascii="Times New Roman" w:hAnsi="Times New Roman"/>
          <w:i/>
          <w:sz w:val="24"/>
          <w:szCs w:val="24"/>
        </w:rPr>
        <w:t xml:space="preserve">Water Regulations 2008 </w:t>
      </w:r>
      <w:r>
        <w:rPr>
          <w:rFonts w:ascii="Times New Roman" w:hAnsi="Times New Roman"/>
          <w:sz w:val="24"/>
          <w:szCs w:val="24"/>
        </w:rPr>
        <w:t xml:space="preserve">are </w:t>
      </w:r>
      <w:r w:rsidRPr="00BB5753">
        <w:rPr>
          <w:rFonts w:ascii="Times New Roman" w:hAnsi="Times New Roman"/>
          <w:sz w:val="24"/>
          <w:szCs w:val="24"/>
        </w:rPr>
        <w:t>amended or repealed as set out in the applicable items in the Schedule concerned, and any other item in a Schedule has effect according to its terms.</w:t>
      </w:r>
    </w:p>
    <w:p w14:paraId="04DFF4BD" w14:textId="77777777" w:rsidR="001F71CC" w:rsidRPr="00BB5753" w:rsidRDefault="001F71CC" w:rsidP="00C45514">
      <w:pPr>
        <w:spacing w:line="240" w:lineRule="auto"/>
        <w:rPr>
          <w:rFonts w:ascii="Times New Roman" w:hAnsi="Times New Roman"/>
          <w:sz w:val="24"/>
          <w:szCs w:val="24"/>
          <w:u w:val="single"/>
        </w:rPr>
      </w:pPr>
      <w:r w:rsidRPr="00BB5753">
        <w:rPr>
          <w:rFonts w:ascii="Times New Roman" w:hAnsi="Times New Roman"/>
          <w:sz w:val="24"/>
          <w:szCs w:val="24"/>
          <w:u w:val="single"/>
        </w:rPr>
        <w:t>Schedule 1 – Amendments</w:t>
      </w:r>
    </w:p>
    <w:p w14:paraId="1EBCB886" w14:textId="77777777" w:rsidR="001F71CC" w:rsidRPr="00BB5753" w:rsidRDefault="001F71CC" w:rsidP="00C45514">
      <w:pPr>
        <w:spacing w:line="240" w:lineRule="auto"/>
        <w:rPr>
          <w:rFonts w:ascii="Times New Roman" w:hAnsi="Times New Roman"/>
          <w:sz w:val="24"/>
          <w:szCs w:val="24"/>
        </w:rPr>
      </w:pPr>
      <w:r w:rsidRPr="00BB5753">
        <w:rPr>
          <w:rFonts w:ascii="Times New Roman" w:hAnsi="Times New Roman"/>
          <w:i/>
          <w:sz w:val="24"/>
          <w:szCs w:val="24"/>
        </w:rPr>
        <w:t>Water Regulations 2008</w:t>
      </w:r>
    </w:p>
    <w:p w14:paraId="48FFB98E" w14:textId="77777777" w:rsidR="001F71CC" w:rsidRPr="00BB5753" w:rsidRDefault="001F71CC" w:rsidP="00C45514">
      <w:pPr>
        <w:spacing w:line="240" w:lineRule="auto"/>
        <w:rPr>
          <w:rFonts w:ascii="Times New Roman" w:hAnsi="Times New Roman"/>
          <w:b/>
          <w:sz w:val="24"/>
          <w:szCs w:val="24"/>
        </w:rPr>
      </w:pPr>
      <w:r w:rsidRPr="00BB5753">
        <w:rPr>
          <w:rFonts w:ascii="Times New Roman" w:hAnsi="Times New Roman"/>
          <w:b/>
          <w:sz w:val="24"/>
          <w:szCs w:val="24"/>
        </w:rPr>
        <w:t>Item 1 –</w:t>
      </w:r>
      <w:r>
        <w:rPr>
          <w:rFonts w:ascii="Times New Roman" w:hAnsi="Times New Roman"/>
          <w:b/>
          <w:sz w:val="24"/>
          <w:szCs w:val="24"/>
        </w:rPr>
        <w:t xml:space="preserve"> Subregulation 2.02(3)</w:t>
      </w:r>
    </w:p>
    <w:p w14:paraId="157E645D" w14:textId="72AD674B" w:rsidR="001F71CC" w:rsidRDefault="001F71CC" w:rsidP="00C45514">
      <w:pPr>
        <w:spacing w:line="240" w:lineRule="auto"/>
        <w:rPr>
          <w:rFonts w:ascii="Times New Roman" w:hAnsi="Times New Roman"/>
          <w:sz w:val="24"/>
          <w:szCs w:val="24"/>
        </w:rPr>
      </w:pPr>
      <w:r w:rsidRPr="00BB5753">
        <w:rPr>
          <w:rFonts w:ascii="Times New Roman" w:hAnsi="Times New Roman"/>
          <w:sz w:val="24"/>
          <w:szCs w:val="24"/>
        </w:rPr>
        <w:t xml:space="preserve">This item </w:t>
      </w:r>
      <w:r w:rsidR="00DE1ED5">
        <w:rPr>
          <w:rFonts w:ascii="Times New Roman" w:hAnsi="Times New Roman"/>
          <w:sz w:val="24"/>
          <w:szCs w:val="24"/>
        </w:rPr>
        <w:t xml:space="preserve">repeals the </w:t>
      </w:r>
      <w:r w:rsidR="00681918">
        <w:rPr>
          <w:rFonts w:ascii="Times New Roman" w:hAnsi="Times New Roman"/>
          <w:sz w:val="24"/>
          <w:szCs w:val="24"/>
        </w:rPr>
        <w:t xml:space="preserve">reference to ‘2018’ in the </w:t>
      </w:r>
      <w:r w:rsidR="00DE1ED5">
        <w:rPr>
          <w:rFonts w:ascii="Times New Roman" w:hAnsi="Times New Roman"/>
          <w:sz w:val="24"/>
          <w:szCs w:val="24"/>
        </w:rPr>
        <w:t>subregulation</w:t>
      </w:r>
      <w:r>
        <w:rPr>
          <w:rFonts w:ascii="Times New Roman" w:hAnsi="Times New Roman"/>
          <w:sz w:val="24"/>
          <w:szCs w:val="24"/>
        </w:rPr>
        <w:t xml:space="preserve"> and substitutes</w:t>
      </w:r>
      <w:r w:rsidR="00681918">
        <w:rPr>
          <w:rFonts w:ascii="Times New Roman" w:hAnsi="Times New Roman"/>
          <w:sz w:val="24"/>
          <w:szCs w:val="24"/>
        </w:rPr>
        <w:t xml:space="preserve"> with ‘</w:t>
      </w:r>
      <w:r w:rsidR="001C1FBB">
        <w:rPr>
          <w:rFonts w:ascii="Times New Roman" w:hAnsi="Times New Roman"/>
          <w:sz w:val="24"/>
          <w:szCs w:val="24"/>
        </w:rPr>
        <w:t>201</w:t>
      </w:r>
      <w:r w:rsidR="0000148D">
        <w:rPr>
          <w:rFonts w:ascii="Times New Roman" w:hAnsi="Times New Roman"/>
          <w:sz w:val="24"/>
          <w:szCs w:val="24"/>
        </w:rPr>
        <w:t>9</w:t>
      </w:r>
      <w:r w:rsidR="001C1FBB">
        <w:rPr>
          <w:rFonts w:ascii="Times New Roman" w:hAnsi="Times New Roman"/>
          <w:sz w:val="24"/>
          <w:szCs w:val="24"/>
        </w:rPr>
        <w:t>’</w:t>
      </w:r>
      <w:r>
        <w:rPr>
          <w:rFonts w:ascii="Times New Roman" w:hAnsi="Times New Roman"/>
          <w:sz w:val="24"/>
          <w:szCs w:val="24"/>
        </w:rPr>
        <w:t>.</w:t>
      </w:r>
    </w:p>
    <w:p w14:paraId="2CDD0D37" w14:textId="7512F1C1" w:rsidR="001F71CC" w:rsidRPr="00BB5753" w:rsidRDefault="001F71CC" w:rsidP="00C45514">
      <w:pPr>
        <w:spacing w:line="240" w:lineRule="auto"/>
        <w:rPr>
          <w:rFonts w:ascii="Times New Roman" w:hAnsi="Times New Roman"/>
          <w:sz w:val="24"/>
          <w:szCs w:val="24"/>
        </w:rPr>
      </w:pPr>
      <w:r>
        <w:rPr>
          <w:rFonts w:ascii="Times New Roman" w:hAnsi="Times New Roman"/>
          <w:sz w:val="24"/>
          <w:szCs w:val="24"/>
        </w:rPr>
        <w:t xml:space="preserve">The effect of this item is to delay the repeal date of regulation 2.02 </w:t>
      </w:r>
      <w:r w:rsidR="00681918">
        <w:rPr>
          <w:rFonts w:ascii="Times New Roman" w:hAnsi="Times New Roman"/>
          <w:sz w:val="24"/>
          <w:szCs w:val="24"/>
        </w:rPr>
        <w:t xml:space="preserve">from 30 June 2018 </w:t>
      </w:r>
      <w:r>
        <w:rPr>
          <w:rFonts w:ascii="Times New Roman" w:hAnsi="Times New Roman"/>
          <w:sz w:val="24"/>
          <w:szCs w:val="24"/>
        </w:rPr>
        <w:t xml:space="preserve">until </w:t>
      </w:r>
      <w:r w:rsidR="00866746">
        <w:rPr>
          <w:rFonts w:ascii="Times New Roman" w:hAnsi="Times New Roman"/>
          <w:sz w:val="24"/>
          <w:szCs w:val="24"/>
        </w:rPr>
        <w:t>30</w:t>
      </w:r>
      <w:r w:rsidR="00FA6C52">
        <w:rPr>
          <w:rFonts w:ascii="Times New Roman" w:hAnsi="Times New Roman"/>
          <w:sz w:val="24"/>
          <w:szCs w:val="24"/>
        </w:rPr>
        <w:t> </w:t>
      </w:r>
      <w:r w:rsidR="0018508A">
        <w:rPr>
          <w:rFonts w:ascii="Times New Roman" w:hAnsi="Times New Roman"/>
          <w:sz w:val="24"/>
          <w:szCs w:val="24"/>
        </w:rPr>
        <w:t>June</w:t>
      </w:r>
      <w:r w:rsidR="00FA6C52">
        <w:rPr>
          <w:rFonts w:ascii="Times New Roman" w:hAnsi="Times New Roman"/>
          <w:sz w:val="24"/>
          <w:szCs w:val="24"/>
        </w:rPr>
        <w:t> </w:t>
      </w:r>
      <w:r>
        <w:rPr>
          <w:rFonts w:ascii="Times New Roman" w:hAnsi="Times New Roman"/>
          <w:sz w:val="24"/>
          <w:szCs w:val="24"/>
        </w:rPr>
        <w:t>201</w:t>
      </w:r>
      <w:r w:rsidR="0000148D">
        <w:rPr>
          <w:rFonts w:ascii="Times New Roman" w:hAnsi="Times New Roman"/>
          <w:sz w:val="24"/>
          <w:szCs w:val="24"/>
        </w:rPr>
        <w:t>9</w:t>
      </w:r>
      <w:r>
        <w:rPr>
          <w:rFonts w:ascii="Times New Roman" w:hAnsi="Times New Roman"/>
          <w:sz w:val="24"/>
          <w:szCs w:val="24"/>
        </w:rPr>
        <w:t xml:space="preserve">. This provides for extended Commonwealth recognition of the ACT’s existing interim water resource plans </w:t>
      </w:r>
      <w:r w:rsidR="009F6F4A">
        <w:rPr>
          <w:rFonts w:ascii="Times New Roman" w:hAnsi="Times New Roman"/>
          <w:sz w:val="24"/>
          <w:szCs w:val="24"/>
        </w:rPr>
        <w:t>until the end of 30 June 201</w:t>
      </w:r>
      <w:r w:rsidR="0000148D">
        <w:rPr>
          <w:rFonts w:ascii="Times New Roman" w:hAnsi="Times New Roman"/>
          <w:sz w:val="24"/>
          <w:szCs w:val="24"/>
        </w:rPr>
        <w:t>9</w:t>
      </w:r>
      <w:r>
        <w:rPr>
          <w:rFonts w:ascii="Times New Roman" w:hAnsi="Times New Roman"/>
          <w:sz w:val="24"/>
          <w:szCs w:val="24"/>
        </w:rPr>
        <w:t xml:space="preserve">, and for these plans to override the </w:t>
      </w:r>
      <w:r>
        <w:rPr>
          <w:rFonts w:ascii="Times New Roman" w:hAnsi="Times New Roman"/>
          <w:i/>
          <w:sz w:val="24"/>
          <w:szCs w:val="24"/>
        </w:rPr>
        <w:t xml:space="preserve">Basin Plan 2012 </w:t>
      </w:r>
      <w:r>
        <w:rPr>
          <w:rFonts w:ascii="Times New Roman" w:hAnsi="Times New Roman"/>
          <w:sz w:val="24"/>
          <w:szCs w:val="24"/>
        </w:rPr>
        <w:t>to the extent of any inconsistency, with the exception of the water trading rules.</w:t>
      </w:r>
    </w:p>
    <w:p w14:paraId="3750D11F" w14:textId="77777777" w:rsidR="001F71CC" w:rsidRPr="00BB5753" w:rsidRDefault="001F71CC" w:rsidP="0051581D">
      <w:pPr>
        <w:pStyle w:val="Header"/>
        <w:jc w:val="left"/>
        <w:outlineLvl w:val="0"/>
        <w:rPr>
          <w:sz w:val="24"/>
          <w:szCs w:val="24"/>
        </w:rPr>
      </w:pPr>
    </w:p>
    <w:p w14:paraId="54489B54" w14:textId="77777777" w:rsidR="00EE0453" w:rsidRDefault="00EE0453" w:rsidP="00C45514">
      <w:pPr>
        <w:spacing w:line="240" w:lineRule="auto"/>
        <w:jc w:val="center"/>
        <w:rPr>
          <w:rFonts w:ascii="Times New Roman" w:hAnsi="Times New Roman"/>
          <w:sz w:val="24"/>
          <w:szCs w:val="24"/>
        </w:rPr>
      </w:pPr>
    </w:p>
    <w:p w14:paraId="007BD7C9" w14:textId="2A11ED92" w:rsidR="00EE0453" w:rsidRDefault="00EE0453" w:rsidP="0051581D">
      <w:pPr>
        <w:spacing w:after="0" w:line="240" w:lineRule="auto"/>
        <w:rPr>
          <w:rFonts w:ascii="Times New Roman" w:hAnsi="Times New Roman"/>
          <w:sz w:val="24"/>
          <w:szCs w:val="24"/>
        </w:rPr>
      </w:pPr>
      <w:r>
        <w:rPr>
          <w:rFonts w:ascii="Times New Roman" w:hAnsi="Times New Roman"/>
          <w:sz w:val="24"/>
          <w:szCs w:val="24"/>
        </w:rPr>
        <w:br w:type="page"/>
      </w:r>
    </w:p>
    <w:p w14:paraId="35463DFB" w14:textId="77777777" w:rsidR="00EE0453" w:rsidRDefault="00EE0453" w:rsidP="0051581D">
      <w:pPr>
        <w:spacing w:line="240" w:lineRule="auto"/>
        <w:jc w:val="right"/>
        <w:outlineLvl w:val="0"/>
        <w:rPr>
          <w:rFonts w:ascii="Times New Roman" w:hAnsi="Times New Roman"/>
          <w:b/>
          <w:sz w:val="24"/>
          <w:szCs w:val="24"/>
        </w:rPr>
      </w:pPr>
      <w:r>
        <w:rPr>
          <w:rFonts w:ascii="Times New Roman" w:hAnsi="Times New Roman"/>
          <w:b/>
          <w:sz w:val="24"/>
          <w:szCs w:val="24"/>
        </w:rPr>
        <w:lastRenderedPageBreak/>
        <w:t>ATTACHMENT B</w:t>
      </w:r>
    </w:p>
    <w:p w14:paraId="62C4A36E" w14:textId="77777777" w:rsidR="00EE0453" w:rsidRPr="00BA61EE" w:rsidRDefault="00EE0453">
      <w:pPr>
        <w:spacing w:line="240" w:lineRule="auto"/>
        <w:jc w:val="center"/>
        <w:outlineLvl w:val="0"/>
        <w:rPr>
          <w:rFonts w:ascii="Times New Roman" w:hAnsi="Times New Roman"/>
          <w:b/>
          <w:sz w:val="24"/>
          <w:szCs w:val="24"/>
        </w:rPr>
      </w:pPr>
      <w:r w:rsidRPr="00BA61EE">
        <w:rPr>
          <w:rFonts w:ascii="Times New Roman" w:hAnsi="Times New Roman"/>
          <w:b/>
          <w:sz w:val="24"/>
          <w:szCs w:val="24"/>
        </w:rPr>
        <w:t>Statement of Compatibility with Human Rights</w:t>
      </w:r>
    </w:p>
    <w:p w14:paraId="2CBEA1F8" w14:textId="5E1FFFD6" w:rsidR="00EE0453" w:rsidRPr="00BA61EE" w:rsidRDefault="00EE0453">
      <w:pPr>
        <w:spacing w:line="240" w:lineRule="auto"/>
        <w:jc w:val="center"/>
        <w:rPr>
          <w:rFonts w:ascii="Times New Roman" w:hAnsi="Times New Roman"/>
          <w:sz w:val="24"/>
          <w:szCs w:val="24"/>
          <w:u w:val="single"/>
        </w:rPr>
      </w:pPr>
      <w:r w:rsidRPr="00EE0453">
        <w:rPr>
          <w:rFonts w:ascii="Times New Roman" w:hAnsi="Times New Roman"/>
          <w:i/>
          <w:sz w:val="24"/>
          <w:szCs w:val="24"/>
        </w:rPr>
        <w:t xml:space="preserve">Prepared in accordance with Part 3 of the </w:t>
      </w:r>
      <w:r w:rsidRPr="00B26592">
        <w:rPr>
          <w:rFonts w:ascii="Times New Roman" w:hAnsi="Times New Roman"/>
          <w:i/>
          <w:sz w:val="24"/>
          <w:szCs w:val="24"/>
        </w:rPr>
        <w:t xml:space="preserve">Human Rights (Parliamentary Scrutiny) Act 2011 </w:t>
      </w:r>
      <w:r w:rsidRPr="002E60E3">
        <w:rPr>
          <w:rFonts w:ascii="Times New Roman" w:hAnsi="Times New Roman"/>
          <w:sz w:val="24"/>
          <w:szCs w:val="24"/>
        </w:rPr>
        <w:t>(Human Rights Act)</w:t>
      </w:r>
    </w:p>
    <w:p w14:paraId="28587193" w14:textId="39371077" w:rsidR="00EE0453" w:rsidRPr="00BA61EE" w:rsidRDefault="002E60E3">
      <w:pPr>
        <w:spacing w:line="240" w:lineRule="auto"/>
        <w:jc w:val="center"/>
        <w:outlineLvl w:val="0"/>
        <w:rPr>
          <w:rFonts w:ascii="Times New Roman" w:hAnsi="Times New Roman"/>
          <w:i/>
          <w:sz w:val="24"/>
          <w:szCs w:val="24"/>
          <w:u w:val="single"/>
        </w:rPr>
      </w:pPr>
      <w:r w:rsidRPr="002E60E3">
        <w:rPr>
          <w:rFonts w:ascii="Times New Roman" w:hAnsi="Times New Roman"/>
          <w:i/>
          <w:sz w:val="24"/>
          <w:szCs w:val="24"/>
          <w:u w:val="single"/>
        </w:rPr>
        <w:t>Water Amendment (Interactions with Australian Capital Territory Water Resource Plans) Regulation</w:t>
      </w:r>
      <w:r w:rsidR="00103800">
        <w:rPr>
          <w:rFonts w:ascii="Times New Roman" w:hAnsi="Times New Roman"/>
          <w:i/>
          <w:sz w:val="24"/>
          <w:szCs w:val="24"/>
          <w:u w:val="single"/>
        </w:rPr>
        <w:t>s</w:t>
      </w:r>
      <w:r w:rsidRPr="002E60E3">
        <w:rPr>
          <w:rFonts w:ascii="Times New Roman" w:hAnsi="Times New Roman"/>
          <w:i/>
          <w:sz w:val="24"/>
          <w:szCs w:val="24"/>
          <w:u w:val="single"/>
        </w:rPr>
        <w:t xml:space="preserve"> </w:t>
      </w:r>
      <w:r w:rsidR="00F531D7" w:rsidRPr="002E60E3">
        <w:rPr>
          <w:rFonts w:ascii="Times New Roman" w:hAnsi="Times New Roman"/>
          <w:i/>
          <w:sz w:val="24"/>
          <w:szCs w:val="24"/>
          <w:u w:val="single"/>
        </w:rPr>
        <w:t>201</w:t>
      </w:r>
      <w:r w:rsidR="00F531D7">
        <w:rPr>
          <w:rFonts w:ascii="Times New Roman" w:hAnsi="Times New Roman"/>
          <w:i/>
          <w:sz w:val="24"/>
          <w:szCs w:val="24"/>
          <w:u w:val="single"/>
        </w:rPr>
        <w:t>8</w:t>
      </w:r>
    </w:p>
    <w:p w14:paraId="6409DD02" w14:textId="77777777" w:rsidR="00EE0453" w:rsidRPr="00BA61EE" w:rsidRDefault="00EE0453">
      <w:pPr>
        <w:spacing w:line="240" w:lineRule="auto"/>
        <w:rPr>
          <w:rFonts w:ascii="Times New Roman" w:hAnsi="Times New Roman"/>
          <w:sz w:val="24"/>
          <w:szCs w:val="24"/>
        </w:rPr>
      </w:pPr>
      <w:r w:rsidRPr="00BA61EE">
        <w:rPr>
          <w:rFonts w:ascii="Times New Roman" w:hAnsi="Times New Roman"/>
          <w:sz w:val="24"/>
          <w:szCs w:val="24"/>
        </w:rPr>
        <w:t>This legislative instrument is compatible with the human rights and freedoms recognised or declared in the international instruments listed in section 3 of the</w:t>
      </w:r>
      <w:r w:rsidRPr="00BA61EE">
        <w:rPr>
          <w:rFonts w:ascii="Times New Roman" w:hAnsi="Times New Roman"/>
          <w:i/>
          <w:sz w:val="24"/>
          <w:szCs w:val="24"/>
        </w:rPr>
        <w:t xml:space="preserve"> </w:t>
      </w:r>
      <w:r w:rsidRPr="00BA61EE">
        <w:rPr>
          <w:rFonts w:ascii="Times New Roman" w:hAnsi="Times New Roman"/>
          <w:sz w:val="24"/>
          <w:szCs w:val="24"/>
        </w:rPr>
        <w:t>Human Rights Act.</w:t>
      </w:r>
    </w:p>
    <w:p w14:paraId="69706FF0" w14:textId="77777777" w:rsidR="00EE0453" w:rsidRPr="00BA61EE" w:rsidRDefault="00EE0453">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Overview of the Legislative Instrument</w:t>
      </w:r>
    </w:p>
    <w:p w14:paraId="19833EB4" w14:textId="6EFEF01E" w:rsidR="00EE0453" w:rsidRPr="00BA61EE" w:rsidRDefault="00EE0453">
      <w:pPr>
        <w:spacing w:line="240" w:lineRule="auto"/>
        <w:rPr>
          <w:rFonts w:ascii="Times New Roman" w:hAnsi="Times New Roman"/>
          <w:sz w:val="24"/>
          <w:szCs w:val="24"/>
        </w:rPr>
      </w:pPr>
      <w:r w:rsidRPr="00313067">
        <w:rPr>
          <w:rFonts w:ascii="Times New Roman" w:hAnsi="Times New Roman"/>
          <w:sz w:val="24"/>
          <w:szCs w:val="24"/>
        </w:rPr>
        <w:t xml:space="preserve">This legislative instrument amends the </w:t>
      </w:r>
      <w:r w:rsidRPr="00313067">
        <w:rPr>
          <w:rFonts w:ascii="Times New Roman" w:hAnsi="Times New Roman"/>
          <w:i/>
          <w:sz w:val="24"/>
          <w:szCs w:val="24"/>
        </w:rPr>
        <w:t xml:space="preserve">Water Regulations 2008 </w:t>
      </w:r>
      <w:r>
        <w:rPr>
          <w:rFonts w:ascii="Times New Roman" w:hAnsi="Times New Roman"/>
          <w:sz w:val="24"/>
          <w:szCs w:val="24"/>
        </w:rPr>
        <w:t xml:space="preserve">(Principal Regulations) to extend the transitional </w:t>
      </w:r>
      <w:r>
        <w:rPr>
          <w:rFonts w:ascii="Times New Roman" w:hAnsi="Times New Roman"/>
          <w:sz w:val="24"/>
          <w:szCs w:val="24"/>
          <w:lang w:val="en-US"/>
        </w:rPr>
        <w:t xml:space="preserve">recognition of </w:t>
      </w:r>
      <w:r w:rsidR="002E60E3">
        <w:rPr>
          <w:rFonts w:ascii="Times New Roman" w:hAnsi="Times New Roman"/>
          <w:sz w:val="24"/>
          <w:szCs w:val="24"/>
          <w:lang w:val="en-US"/>
        </w:rPr>
        <w:t xml:space="preserve">the </w:t>
      </w:r>
      <w:r w:rsidR="00B40D85">
        <w:rPr>
          <w:rFonts w:ascii="Times New Roman" w:hAnsi="Times New Roman"/>
          <w:sz w:val="24"/>
          <w:szCs w:val="24"/>
          <w:lang w:val="en-US"/>
        </w:rPr>
        <w:t>Australian Capital Territory (</w:t>
      </w:r>
      <w:r w:rsidR="002E60E3">
        <w:rPr>
          <w:rFonts w:ascii="Times New Roman" w:hAnsi="Times New Roman"/>
          <w:sz w:val="24"/>
          <w:szCs w:val="24"/>
          <w:lang w:val="en-US"/>
        </w:rPr>
        <w:t>ACT</w:t>
      </w:r>
      <w:r w:rsidR="00B40D85">
        <w:rPr>
          <w:rFonts w:ascii="Times New Roman" w:hAnsi="Times New Roman"/>
          <w:sz w:val="24"/>
          <w:szCs w:val="24"/>
          <w:lang w:val="en-US"/>
        </w:rPr>
        <w:t>)</w:t>
      </w:r>
      <w:r w:rsidR="002E60E3">
        <w:rPr>
          <w:rFonts w:ascii="Times New Roman" w:hAnsi="Times New Roman"/>
          <w:sz w:val="24"/>
          <w:szCs w:val="24"/>
          <w:lang w:val="en-US"/>
        </w:rPr>
        <w:t xml:space="preserve"> interim water resource plans made under ACT </w:t>
      </w:r>
      <w:r w:rsidRPr="00DA4535">
        <w:rPr>
          <w:rFonts w:ascii="Times New Roman" w:hAnsi="Times New Roman"/>
          <w:sz w:val="24"/>
          <w:szCs w:val="24"/>
          <w:lang w:val="en-US"/>
        </w:rPr>
        <w:t>law</w:t>
      </w:r>
      <w:r>
        <w:rPr>
          <w:rFonts w:ascii="Times New Roman" w:hAnsi="Times New Roman"/>
          <w:sz w:val="24"/>
          <w:szCs w:val="24"/>
          <w:lang w:val="en-US"/>
        </w:rPr>
        <w:t xml:space="preserve">. </w:t>
      </w:r>
    </w:p>
    <w:p w14:paraId="5B09442C" w14:textId="77777777" w:rsidR="00EE0453" w:rsidRPr="00BA61EE" w:rsidRDefault="00EE0453">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Human rights implications</w:t>
      </w:r>
    </w:p>
    <w:p w14:paraId="0D894273" w14:textId="630DEFA8" w:rsidR="00EE0453" w:rsidRPr="00BA61EE" w:rsidRDefault="00EE0453">
      <w:pPr>
        <w:spacing w:line="240" w:lineRule="auto"/>
        <w:rPr>
          <w:rFonts w:ascii="Times New Roman" w:hAnsi="Times New Roman"/>
          <w:sz w:val="24"/>
          <w:szCs w:val="24"/>
        </w:rPr>
      </w:pPr>
      <w:r w:rsidRPr="00BA61EE">
        <w:rPr>
          <w:rFonts w:ascii="Times New Roman" w:hAnsi="Times New Roman"/>
          <w:sz w:val="24"/>
          <w:szCs w:val="24"/>
        </w:rPr>
        <w:t>This legislative instrument engages the right to an adequate standard of living and the right to health in the International Covenant on Economic, Social and Cultural Rights (ICESCR). The right to an adequate standard of living is protected in Article 11 of the ICESCR and the right to physical and mental health is protected in article 12 of the ICESCR. The Committee on Economic, Social and Cultural Rights, established to oversee the implementation of the ICESCR, has interpreted these articles as including a human right to water</w:t>
      </w:r>
      <w:r w:rsidR="00A52FD7">
        <w:rPr>
          <w:rFonts w:ascii="Times New Roman" w:hAnsi="Times New Roman"/>
          <w:sz w:val="24"/>
          <w:szCs w:val="24"/>
        </w:rPr>
        <w:t>,</w:t>
      </w:r>
      <w:r w:rsidRPr="00BA61EE">
        <w:rPr>
          <w:rFonts w:ascii="Times New Roman" w:hAnsi="Times New Roman"/>
          <w:sz w:val="24"/>
          <w:szCs w:val="24"/>
        </w:rPr>
        <w:t xml:space="preserve"> which encompasses an entitlement to ‘sufficient, safe, acceptable, physically accessible and affordable water for personal and domestic uses’.</w:t>
      </w:r>
      <w:r>
        <w:rPr>
          <w:rStyle w:val="FootnoteReference"/>
          <w:rFonts w:ascii="Times New Roman" w:hAnsi="Times New Roman"/>
          <w:sz w:val="24"/>
          <w:szCs w:val="24"/>
        </w:rPr>
        <w:footnoteReference w:id="1"/>
      </w:r>
    </w:p>
    <w:p w14:paraId="65C6EFEB" w14:textId="28AFDC7F" w:rsidR="00EE0453" w:rsidRPr="00BA61EE" w:rsidRDefault="00EE0453">
      <w:pPr>
        <w:spacing w:line="240" w:lineRule="auto"/>
        <w:rPr>
          <w:rFonts w:ascii="Times New Roman" w:hAnsi="Times New Roman"/>
          <w:sz w:val="24"/>
          <w:szCs w:val="24"/>
        </w:rPr>
      </w:pPr>
      <w:r w:rsidRPr="00BA61EE">
        <w:rPr>
          <w:rFonts w:ascii="Times New Roman" w:hAnsi="Times New Roman"/>
          <w:sz w:val="24"/>
          <w:szCs w:val="24"/>
        </w:rPr>
        <w:t xml:space="preserve">The human rights implications of the legislative instrument must be considered in the context of the </w:t>
      </w:r>
      <w:r w:rsidRPr="00BA61EE">
        <w:rPr>
          <w:rFonts w:ascii="Times New Roman" w:hAnsi="Times New Roman"/>
          <w:i/>
          <w:sz w:val="24"/>
          <w:szCs w:val="24"/>
        </w:rPr>
        <w:t xml:space="preserve">Water Act 2007 </w:t>
      </w:r>
      <w:r>
        <w:rPr>
          <w:rFonts w:ascii="Times New Roman" w:hAnsi="Times New Roman"/>
          <w:sz w:val="24"/>
          <w:szCs w:val="24"/>
        </w:rPr>
        <w:t xml:space="preserve">(the </w:t>
      </w:r>
      <w:r w:rsidRPr="00BA61EE">
        <w:rPr>
          <w:rFonts w:ascii="Times New Roman" w:hAnsi="Times New Roman"/>
          <w:sz w:val="24"/>
          <w:szCs w:val="24"/>
        </w:rPr>
        <w:t>Act). The overall framework of the Act supports access to sufficient, safe, acceptable and physically accessible water for personal and domestic uses. This</w:t>
      </w:r>
      <w:r>
        <w:rPr>
          <w:rFonts w:ascii="Times New Roman" w:hAnsi="Times New Roman"/>
          <w:sz w:val="24"/>
          <w:szCs w:val="24"/>
        </w:rPr>
        <w:t> </w:t>
      </w:r>
      <w:r w:rsidRPr="00BA61EE">
        <w:rPr>
          <w:rFonts w:ascii="Times New Roman" w:hAnsi="Times New Roman"/>
          <w:sz w:val="24"/>
          <w:szCs w:val="24"/>
        </w:rPr>
        <w:t>is reflected in the Act by section 20</w:t>
      </w:r>
      <w:r w:rsidR="00A52FD7">
        <w:rPr>
          <w:rFonts w:ascii="Times New Roman" w:hAnsi="Times New Roman"/>
          <w:sz w:val="24"/>
          <w:szCs w:val="24"/>
        </w:rPr>
        <w:t>,</w:t>
      </w:r>
      <w:r w:rsidRPr="00BA61EE">
        <w:rPr>
          <w:rFonts w:ascii="Times New Roman" w:hAnsi="Times New Roman"/>
          <w:sz w:val="24"/>
          <w:szCs w:val="24"/>
        </w:rPr>
        <w:t xml:space="preserve"> which sets out the purpose of the </w:t>
      </w:r>
      <w:r w:rsidRPr="00BA61EE">
        <w:rPr>
          <w:rFonts w:ascii="Times New Roman" w:hAnsi="Times New Roman"/>
          <w:i/>
          <w:sz w:val="24"/>
          <w:szCs w:val="24"/>
        </w:rPr>
        <w:t>Basin Plan 2012</w:t>
      </w:r>
      <w:r w:rsidRPr="00BA61EE">
        <w:rPr>
          <w:rFonts w:ascii="Times New Roman" w:hAnsi="Times New Roman"/>
          <w:sz w:val="24"/>
          <w:szCs w:val="24"/>
        </w:rPr>
        <w:t xml:space="preserve"> (Basin Plan) and is supported by subsection 22(1)</w:t>
      </w:r>
      <w:r w:rsidR="002E60E3">
        <w:rPr>
          <w:rFonts w:ascii="Times New Roman" w:hAnsi="Times New Roman"/>
          <w:sz w:val="24"/>
          <w:szCs w:val="24"/>
        </w:rPr>
        <w:t>,</w:t>
      </w:r>
      <w:r w:rsidRPr="00BA61EE">
        <w:rPr>
          <w:rFonts w:ascii="Times New Roman" w:hAnsi="Times New Roman"/>
          <w:sz w:val="24"/>
          <w:szCs w:val="24"/>
        </w:rPr>
        <w:t xml:space="preserve"> which sets out the specific content required to be included in the Basin Plan, such as a water quality and salinity management plan (</w:t>
      </w:r>
      <w:r>
        <w:rPr>
          <w:rFonts w:ascii="Times New Roman" w:hAnsi="Times New Roman"/>
          <w:sz w:val="24"/>
          <w:szCs w:val="24"/>
        </w:rPr>
        <w:t>i</w:t>
      </w:r>
      <w:r w:rsidRPr="00BA61EE">
        <w:rPr>
          <w:rFonts w:ascii="Times New Roman" w:hAnsi="Times New Roman"/>
          <w:sz w:val="24"/>
          <w:szCs w:val="24"/>
        </w:rPr>
        <w:t>tem 10). These sections, together with subsection 86A(1)(a)</w:t>
      </w:r>
      <w:r w:rsidR="002E60E3">
        <w:rPr>
          <w:rFonts w:ascii="Times New Roman" w:hAnsi="Times New Roman"/>
          <w:sz w:val="24"/>
          <w:szCs w:val="24"/>
        </w:rPr>
        <w:t>,</w:t>
      </w:r>
      <w:r w:rsidRPr="00BA61EE">
        <w:rPr>
          <w:rFonts w:ascii="Times New Roman" w:hAnsi="Times New Roman"/>
          <w:sz w:val="24"/>
          <w:szCs w:val="24"/>
        </w:rPr>
        <w:t xml:space="preserve"> which requires regard to be given to critical human water needs and water quality, support the human right to water. </w:t>
      </w:r>
    </w:p>
    <w:p w14:paraId="1BEF08C7" w14:textId="7DAAAD27" w:rsidR="00EE0453" w:rsidRPr="00A07446" w:rsidRDefault="002E60E3">
      <w:pPr>
        <w:spacing w:line="240" w:lineRule="auto"/>
        <w:rPr>
          <w:rFonts w:ascii="Times New Roman" w:hAnsi="Times New Roman"/>
          <w:sz w:val="24"/>
          <w:szCs w:val="24"/>
        </w:rPr>
      </w:pPr>
      <w:r>
        <w:rPr>
          <w:rFonts w:ascii="Times New Roman" w:hAnsi="Times New Roman"/>
          <w:sz w:val="24"/>
          <w:szCs w:val="24"/>
        </w:rPr>
        <w:t>This amendment</w:t>
      </w:r>
      <w:r w:rsidR="00EE0453" w:rsidRPr="00BA61EE">
        <w:rPr>
          <w:rFonts w:ascii="Times New Roman" w:hAnsi="Times New Roman"/>
          <w:sz w:val="24"/>
          <w:szCs w:val="24"/>
        </w:rPr>
        <w:t xml:space="preserve"> to the Principal Regulations deal</w:t>
      </w:r>
      <w:r>
        <w:rPr>
          <w:rFonts w:ascii="Times New Roman" w:hAnsi="Times New Roman"/>
          <w:sz w:val="24"/>
          <w:szCs w:val="24"/>
        </w:rPr>
        <w:t>s</w:t>
      </w:r>
      <w:r w:rsidR="00EE0453" w:rsidRPr="00BA61EE">
        <w:rPr>
          <w:rFonts w:ascii="Times New Roman" w:hAnsi="Times New Roman"/>
          <w:sz w:val="24"/>
          <w:szCs w:val="24"/>
        </w:rPr>
        <w:t xml:space="preserve"> with minor administrative and machinery </w:t>
      </w:r>
      <w:r w:rsidR="00EE0453" w:rsidRPr="00A07446">
        <w:rPr>
          <w:rFonts w:ascii="Times New Roman" w:hAnsi="Times New Roman"/>
          <w:sz w:val="24"/>
          <w:szCs w:val="24"/>
        </w:rPr>
        <w:t>matters</w:t>
      </w:r>
      <w:r w:rsidR="00A52FD7">
        <w:rPr>
          <w:rFonts w:ascii="Times New Roman" w:hAnsi="Times New Roman"/>
          <w:sz w:val="24"/>
          <w:szCs w:val="24"/>
        </w:rPr>
        <w:t>,</w:t>
      </w:r>
      <w:r w:rsidR="00EE0453" w:rsidRPr="00A07446">
        <w:rPr>
          <w:rFonts w:ascii="Times New Roman" w:hAnsi="Times New Roman"/>
          <w:sz w:val="24"/>
          <w:szCs w:val="24"/>
        </w:rPr>
        <w:t xml:space="preserve"> which are provided for in the Act and </w:t>
      </w:r>
      <w:r>
        <w:rPr>
          <w:rFonts w:ascii="Times New Roman" w:hAnsi="Times New Roman"/>
          <w:sz w:val="24"/>
          <w:szCs w:val="24"/>
        </w:rPr>
        <w:t xml:space="preserve">are </w:t>
      </w:r>
      <w:r w:rsidR="00EE0453" w:rsidRPr="00A07446">
        <w:rPr>
          <w:rFonts w:ascii="Times New Roman" w:hAnsi="Times New Roman"/>
          <w:sz w:val="24"/>
          <w:szCs w:val="24"/>
        </w:rPr>
        <w:t xml:space="preserve">required to support implementation of the Basin Plan. </w:t>
      </w:r>
    </w:p>
    <w:p w14:paraId="3C307E2E" w14:textId="5FAA46C0" w:rsidR="00EE0453" w:rsidRPr="00A07446" w:rsidRDefault="00EE0453">
      <w:pPr>
        <w:spacing w:before="100" w:beforeAutospacing="1" w:after="100" w:afterAutospacing="1" w:line="240" w:lineRule="auto"/>
        <w:rPr>
          <w:rFonts w:ascii="Times New Roman" w:hAnsi="Times New Roman"/>
          <w:sz w:val="24"/>
          <w:szCs w:val="24"/>
          <w:lang w:eastAsia="en-AU"/>
        </w:rPr>
      </w:pPr>
      <w:r w:rsidRPr="00A07446">
        <w:rPr>
          <w:rFonts w:ascii="Times New Roman" w:hAnsi="Times New Roman"/>
          <w:sz w:val="24"/>
          <w:szCs w:val="24"/>
        </w:rPr>
        <w:t>Th</w:t>
      </w:r>
      <w:r>
        <w:rPr>
          <w:rFonts w:ascii="Times New Roman" w:hAnsi="Times New Roman"/>
          <w:sz w:val="24"/>
          <w:szCs w:val="24"/>
        </w:rPr>
        <w:t>is</w:t>
      </w:r>
      <w:r w:rsidRPr="00A07446">
        <w:rPr>
          <w:rFonts w:ascii="Times New Roman" w:hAnsi="Times New Roman"/>
          <w:sz w:val="24"/>
          <w:szCs w:val="24"/>
        </w:rPr>
        <w:t xml:space="preserve"> Regulation ensure</w:t>
      </w:r>
      <w:r w:rsidR="00783EB3">
        <w:rPr>
          <w:rFonts w:ascii="Times New Roman" w:hAnsi="Times New Roman"/>
          <w:sz w:val="24"/>
          <w:szCs w:val="24"/>
        </w:rPr>
        <w:t>s</w:t>
      </w:r>
      <w:r w:rsidRPr="00A07446">
        <w:rPr>
          <w:rFonts w:ascii="Times New Roman" w:hAnsi="Times New Roman"/>
          <w:sz w:val="24"/>
          <w:szCs w:val="24"/>
        </w:rPr>
        <w:t xml:space="preserve"> that </w:t>
      </w:r>
      <w:r w:rsidR="002E60E3">
        <w:rPr>
          <w:rFonts w:ascii="Times New Roman" w:hAnsi="Times New Roman"/>
          <w:sz w:val="24"/>
          <w:szCs w:val="24"/>
        </w:rPr>
        <w:t xml:space="preserve">ACT </w:t>
      </w:r>
      <w:r>
        <w:rPr>
          <w:rFonts w:ascii="Times New Roman" w:hAnsi="Times New Roman"/>
          <w:sz w:val="24"/>
          <w:szCs w:val="24"/>
        </w:rPr>
        <w:t>water resource planning arrangements</w:t>
      </w:r>
      <w:r w:rsidRPr="00A07446">
        <w:rPr>
          <w:rFonts w:ascii="Times New Roman" w:hAnsi="Times New Roman"/>
          <w:sz w:val="24"/>
          <w:szCs w:val="24"/>
        </w:rPr>
        <w:t xml:space="preserve"> are protected from inconsistency with the Basin Plan, with the exception of the Basin Plan </w:t>
      </w:r>
      <w:r>
        <w:rPr>
          <w:rFonts w:ascii="Times New Roman" w:hAnsi="Times New Roman"/>
          <w:sz w:val="24"/>
          <w:szCs w:val="24"/>
        </w:rPr>
        <w:t xml:space="preserve">water </w:t>
      </w:r>
      <w:r w:rsidRPr="00A07446">
        <w:rPr>
          <w:rFonts w:ascii="Times New Roman" w:hAnsi="Times New Roman"/>
          <w:sz w:val="24"/>
          <w:szCs w:val="24"/>
        </w:rPr>
        <w:t xml:space="preserve">trading rules. </w:t>
      </w:r>
      <w:r w:rsidRPr="00A447EB">
        <w:rPr>
          <w:rFonts w:ascii="Times New Roman" w:hAnsi="Times New Roman"/>
          <w:sz w:val="24"/>
          <w:szCs w:val="24"/>
        </w:rPr>
        <w:t xml:space="preserve">The extended recognition of </w:t>
      </w:r>
      <w:r w:rsidR="002E60E3">
        <w:rPr>
          <w:rFonts w:ascii="Times New Roman" w:hAnsi="Times New Roman"/>
          <w:sz w:val="24"/>
          <w:szCs w:val="24"/>
        </w:rPr>
        <w:t>Basin State</w:t>
      </w:r>
      <w:r w:rsidRPr="00A447EB">
        <w:rPr>
          <w:rFonts w:ascii="Times New Roman" w:hAnsi="Times New Roman"/>
          <w:sz w:val="24"/>
          <w:szCs w:val="24"/>
        </w:rPr>
        <w:t xml:space="preserve"> plans as transitional </w:t>
      </w:r>
      <w:r w:rsidR="002E60E3">
        <w:rPr>
          <w:rFonts w:ascii="Times New Roman" w:hAnsi="Times New Roman"/>
          <w:sz w:val="24"/>
          <w:szCs w:val="24"/>
        </w:rPr>
        <w:t xml:space="preserve">and interim </w:t>
      </w:r>
      <w:r w:rsidRPr="00A447EB">
        <w:rPr>
          <w:rFonts w:ascii="Times New Roman" w:hAnsi="Times New Roman"/>
          <w:sz w:val="24"/>
          <w:szCs w:val="24"/>
        </w:rPr>
        <w:t xml:space="preserve">water resource plans provides time </w:t>
      </w:r>
      <w:r>
        <w:rPr>
          <w:rFonts w:ascii="Times New Roman" w:hAnsi="Times New Roman"/>
          <w:sz w:val="24"/>
          <w:szCs w:val="24"/>
        </w:rPr>
        <w:t xml:space="preserve">for </w:t>
      </w:r>
      <w:r w:rsidRPr="00A447EB">
        <w:rPr>
          <w:rFonts w:ascii="Times New Roman" w:hAnsi="Times New Roman"/>
          <w:sz w:val="24"/>
          <w:szCs w:val="24"/>
        </w:rPr>
        <w:t xml:space="preserve">Basin States to undertake the comprehensive water management and planning required to prepare Basin Plan compliant water resource plans for accreditation under the Act. </w:t>
      </w:r>
      <w:r w:rsidRPr="00A07446">
        <w:rPr>
          <w:rFonts w:ascii="Times New Roman" w:hAnsi="Times New Roman"/>
          <w:sz w:val="24"/>
          <w:szCs w:val="24"/>
        </w:rPr>
        <w:t xml:space="preserve"> </w:t>
      </w:r>
    </w:p>
    <w:p w14:paraId="2B6573EB" w14:textId="39636CF9" w:rsidR="00EE0453" w:rsidRPr="00BA61EE" w:rsidRDefault="00EE0453">
      <w:pPr>
        <w:spacing w:line="240" w:lineRule="auto"/>
        <w:rPr>
          <w:rFonts w:ascii="Times New Roman" w:hAnsi="Times New Roman"/>
          <w:sz w:val="24"/>
          <w:szCs w:val="24"/>
        </w:rPr>
      </w:pPr>
      <w:r w:rsidRPr="00BA61EE">
        <w:rPr>
          <w:rFonts w:ascii="Times New Roman" w:hAnsi="Times New Roman"/>
          <w:sz w:val="24"/>
          <w:szCs w:val="24"/>
        </w:rPr>
        <w:t>The Principal Regulations, incorporating these amendments, will continue to support access to sufficient, safe, acceptable and physically accessible water for personal and domestic uses. The</w:t>
      </w:r>
      <w:r>
        <w:rPr>
          <w:rFonts w:ascii="Times New Roman" w:hAnsi="Times New Roman"/>
          <w:sz w:val="24"/>
          <w:szCs w:val="24"/>
        </w:rPr>
        <w:t> </w:t>
      </w:r>
      <w:r w:rsidRPr="00BA61EE">
        <w:rPr>
          <w:rFonts w:ascii="Times New Roman" w:hAnsi="Times New Roman"/>
          <w:sz w:val="24"/>
          <w:szCs w:val="24"/>
        </w:rPr>
        <w:t xml:space="preserve">amendments do not change the Basin Plan, which in accordance with the Act, was </w:t>
      </w:r>
      <w:r w:rsidRPr="00BA61EE">
        <w:rPr>
          <w:rFonts w:ascii="Times New Roman" w:hAnsi="Times New Roman"/>
          <w:sz w:val="24"/>
          <w:szCs w:val="24"/>
        </w:rPr>
        <w:lastRenderedPageBreak/>
        <w:t xml:space="preserve">prepared having regard to the fact that the Commonwealth and Basin States have agreed that critical human water needs are the highest priority water use for communities who are dependent on Basin water resources (subsection 86A(1)(a) of the Act). The amendments also do not affect the water quality and salinity management plan set out in Chapter 9 of the Basin Plan. </w:t>
      </w:r>
    </w:p>
    <w:p w14:paraId="6E1CC39A" w14:textId="77777777" w:rsidR="00EE0453" w:rsidRPr="00BA61EE" w:rsidRDefault="00EE0453">
      <w:pPr>
        <w:spacing w:line="240" w:lineRule="auto"/>
        <w:outlineLvl w:val="0"/>
        <w:rPr>
          <w:rFonts w:ascii="Times New Roman" w:hAnsi="Times New Roman"/>
          <w:sz w:val="24"/>
          <w:szCs w:val="24"/>
          <w:u w:val="single"/>
        </w:rPr>
      </w:pPr>
      <w:r w:rsidRPr="00BA61EE">
        <w:rPr>
          <w:rFonts w:ascii="Times New Roman" w:hAnsi="Times New Roman"/>
          <w:sz w:val="24"/>
          <w:szCs w:val="24"/>
          <w:u w:val="single"/>
        </w:rPr>
        <w:t>Conclusion</w:t>
      </w:r>
    </w:p>
    <w:p w14:paraId="6088E4DA" w14:textId="77777777" w:rsidR="00EE0453" w:rsidRPr="00BA61EE" w:rsidRDefault="00EE0453">
      <w:pPr>
        <w:spacing w:line="240" w:lineRule="auto"/>
        <w:rPr>
          <w:rFonts w:ascii="Times New Roman" w:hAnsi="Times New Roman"/>
          <w:sz w:val="24"/>
          <w:szCs w:val="24"/>
        </w:rPr>
      </w:pPr>
      <w:r w:rsidRPr="00BA61EE">
        <w:rPr>
          <w:rFonts w:ascii="Times New Roman" w:hAnsi="Times New Roman"/>
          <w:sz w:val="24"/>
          <w:szCs w:val="24"/>
        </w:rPr>
        <w:t xml:space="preserve">The legislative instrument is compatible with human rights because it supports the human right to water. </w:t>
      </w:r>
    </w:p>
    <w:p w14:paraId="7EC06D69" w14:textId="77777777" w:rsidR="00EE0453" w:rsidRDefault="00EE0453" w:rsidP="00C45514">
      <w:pPr>
        <w:tabs>
          <w:tab w:val="left" w:pos="6560"/>
        </w:tabs>
        <w:spacing w:line="240" w:lineRule="auto"/>
        <w:rPr>
          <w:rFonts w:ascii="Times New Roman" w:hAnsi="Times New Roman"/>
          <w:sz w:val="24"/>
          <w:szCs w:val="24"/>
        </w:rPr>
      </w:pPr>
    </w:p>
    <w:p w14:paraId="37325CC4" w14:textId="15B9DE2D" w:rsidR="00EE0453" w:rsidRDefault="00EE0453" w:rsidP="00C45514">
      <w:pPr>
        <w:spacing w:before="120" w:after="120" w:line="240" w:lineRule="auto"/>
        <w:contextualSpacing/>
        <w:jc w:val="center"/>
        <w:rPr>
          <w:rFonts w:ascii="Times New Roman" w:hAnsi="Times New Roman"/>
          <w:b/>
          <w:sz w:val="24"/>
          <w:szCs w:val="24"/>
        </w:rPr>
      </w:pPr>
      <w:r>
        <w:rPr>
          <w:rFonts w:ascii="Times New Roman" w:hAnsi="Times New Roman"/>
          <w:b/>
          <w:sz w:val="24"/>
          <w:szCs w:val="24"/>
        </w:rPr>
        <w:t xml:space="preserve">The Hon. </w:t>
      </w:r>
      <w:r w:rsidR="00F032A1">
        <w:rPr>
          <w:rFonts w:ascii="Times New Roman" w:hAnsi="Times New Roman"/>
          <w:b/>
          <w:sz w:val="24"/>
          <w:szCs w:val="24"/>
        </w:rPr>
        <w:t>David Littleproud</w:t>
      </w:r>
      <w:r w:rsidR="003C5CB8">
        <w:rPr>
          <w:rFonts w:ascii="Times New Roman" w:hAnsi="Times New Roman"/>
          <w:b/>
          <w:sz w:val="24"/>
          <w:szCs w:val="24"/>
        </w:rPr>
        <w:t xml:space="preserve"> </w:t>
      </w:r>
    </w:p>
    <w:p w14:paraId="0CD3D2AF" w14:textId="168D107C" w:rsidR="00EE0453" w:rsidRPr="0063257F" w:rsidRDefault="003607A7" w:rsidP="00C45514">
      <w:pPr>
        <w:spacing w:line="240" w:lineRule="auto"/>
        <w:jc w:val="center"/>
        <w:rPr>
          <w:rFonts w:ascii="Times New Roman" w:hAnsi="Times New Roman"/>
          <w:sz w:val="24"/>
          <w:szCs w:val="24"/>
        </w:rPr>
      </w:pPr>
      <w:r>
        <w:rPr>
          <w:rFonts w:ascii="Times New Roman" w:hAnsi="Times New Roman"/>
          <w:b/>
          <w:sz w:val="24"/>
          <w:szCs w:val="24"/>
        </w:rPr>
        <w:t>M</w:t>
      </w:r>
      <w:r w:rsidR="00EE0453">
        <w:rPr>
          <w:rFonts w:ascii="Times New Roman" w:hAnsi="Times New Roman"/>
          <w:b/>
          <w:sz w:val="24"/>
          <w:szCs w:val="24"/>
        </w:rPr>
        <w:t>inister for Agriculture and Water Resources</w:t>
      </w:r>
    </w:p>
    <w:sectPr w:rsidR="00EE0453" w:rsidRPr="0063257F" w:rsidSect="009A3BCA">
      <w:headerReference w:type="default" r:id="rId10"/>
      <w:footerReference w:type="default" r:id="rId11"/>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D2988" w14:textId="77777777" w:rsidR="009A3BCA" w:rsidRDefault="009A3BCA">
      <w:pPr>
        <w:spacing w:after="0" w:line="240" w:lineRule="auto"/>
      </w:pPr>
      <w:r>
        <w:separator/>
      </w:r>
    </w:p>
  </w:endnote>
  <w:endnote w:type="continuationSeparator" w:id="0">
    <w:p w14:paraId="5C1D298A" w14:textId="77777777" w:rsidR="009A3BCA" w:rsidRDefault="009A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72014"/>
      <w:docPartObj>
        <w:docPartGallery w:val="Page Numbers (Bottom of Page)"/>
        <w:docPartUnique/>
      </w:docPartObj>
    </w:sdtPr>
    <w:sdtEndPr>
      <w:rPr>
        <w:rFonts w:ascii="Times New Roman" w:hAnsi="Times New Roman"/>
        <w:noProof/>
      </w:rPr>
    </w:sdtEndPr>
    <w:sdtContent>
      <w:p w14:paraId="2F086C98" w14:textId="76A1C3C3" w:rsidR="009A3BCA" w:rsidRPr="0035037F" w:rsidRDefault="009A3BCA">
        <w:pPr>
          <w:pStyle w:val="Footer"/>
          <w:jc w:val="center"/>
          <w:rPr>
            <w:rFonts w:ascii="Times New Roman" w:hAnsi="Times New Roman"/>
          </w:rPr>
        </w:pPr>
        <w:r w:rsidRPr="0035037F">
          <w:rPr>
            <w:rFonts w:ascii="Times New Roman" w:hAnsi="Times New Roman"/>
          </w:rPr>
          <w:fldChar w:fldCharType="begin"/>
        </w:r>
        <w:r w:rsidRPr="0035037F">
          <w:rPr>
            <w:rFonts w:ascii="Times New Roman" w:hAnsi="Times New Roman"/>
          </w:rPr>
          <w:instrText xml:space="preserve"> PAGE   \* MERGEFORMAT </w:instrText>
        </w:r>
        <w:r w:rsidRPr="0035037F">
          <w:rPr>
            <w:rFonts w:ascii="Times New Roman" w:hAnsi="Times New Roman"/>
          </w:rPr>
          <w:fldChar w:fldCharType="separate"/>
        </w:r>
        <w:r w:rsidR="0049354F">
          <w:rPr>
            <w:rFonts w:ascii="Times New Roman" w:hAnsi="Times New Roman"/>
            <w:noProof/>
          </w:rPr>
          <w:t>5</w:t>
        </w:r>
        <w:r w:rsidRPr="0035037F">
          <w:rPr>
            <w:rFonts w:ascii="Times New Roman" w:hAnsi="Times New Roman"/>
            <w:noProof/>
          </w:rPr>
          <w:fldChar w:fldCharType="end"/>
        </w:r>
      </w:p>
    </w:sdtContent>
  </w:sdt>
  <w:p w14:paraId="48F35C02" w14:textId="77777777" w:rsidR="009A3BCA" w:rsidRDefault="009A3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D297B" w14:textId="77777777" w:rsidR="009A3BCA" w:rsidRDefault="009A3BCA" w:rsidP="009A3BCA">
      <w:pPr>
        <w:spacing w:after="0" w:line="240" w:lineRule="auto"/>
      </w:pPr>
      <w:r>
        <w:separator/>
      </w:r>
    </w:p>
  </w:footnote>
  <w:footnote w:type="continuationSeparator" w:id="0">
    <w:p w14:paraId="5C1D297C" w14:textId="77777777" w:rsidR="009A3BCA" w:rsidRDefault="009A3BCA" w:rsidP="009A3BCA">
      <w:pPr>
        <w:spacing w:after="0" w:line="240" w:lineRule="auto"/>
      </w:pPr>
      <w:r>
        <w:continuationSeparator/>
      </w:r>
    </w:p>
  </w:footnote>
  <w:footnote w:id="1">
    <w:p w14:paraId="6503F7AB" w14:textId="77777777" w:rsidR="009A3BCA" w:rsidRDefault="009A3BCA" w:rsidP="00EE0453">
      <w:pPr>
        <w:pStyle w:val="FootnoteText"/>
      </w:pPr>
      <w:r>
        <w:rPr>
          <w:rStyle w:val="FootnoteReference"/>
        </w:rPr>
        <w:footnoteRef/>
      </w:r>
      <w:r>
        <w:t xml:space="preserve"> </w:t>
      </w:r>
      <w:r w:rsidRPr="0078407B">
        <w:rPr>
          <w:rFonts w:ascii="Times New Roman" w:hAnsi="Times New Roman"/>
        </w:rPr>
        <w:t>CESCR General Comment No. 15: The Right to Water E/C 12/2002/11.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D2983" w14:textId="77777777" w:rsidR="009A3BCA" w:rsidRPr="00043075" w:rsidRDefault="009A3BCA" w:rsidP="009A3BCA">
    <w:pPr>
      <w:pStyle w:val="Header"/>
    </w:pPr>
  </w:p>
  <w:p w14:paraId="5C1D2984" w14:textId="77777777" w:rsidR="009A3BCA" w:rsidRDefault="009A3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B8FC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0EE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D063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488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A09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E4F7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E409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76D7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669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F8FF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color w:val="auto"/>
      </w:rPr>
    </w:lvl>
    <w:lvl w:ilvl="4">
      <w:start w:val="1"/>
      <w:numFmt w:val="none"/>
      <w:lvlText w:val=""/>
      <w:lvlJc w:val="left"/>
      <w:pPr>
        <w:ind w:left="1800" w:hanging="360"/>
      </w:pPr>
      <w:rPr>
        <w:rFonts w:cs="Times New Roman" w:hint="default"/>
        <w:color w:val="auto"/>
      </w:rPr>
    </w:lvl>
    <w:lvl w:ilvl="5">
      <w:start w:val="1"/>
      <w:numFmt w:val="none"/>
      <w:lvlText w:val=""/>
      <w:lvlJc w:val="left"/>
      <w:pPr>
        <w:ind w:left="2160" w:hanging="360"/>
      </w:pPr>
      <w:rPr>
        <w:rFonts w:cs="Times New Roman" w:hint="default"/>
        <w:color w:val="auto"/>
      </w:rPr>
    </w:lvl>
    <w:lvl w:ilvl="6">
      <w:start w:val="1"/>
      <w:numFmt w:val="none"/>
      <w:lvlText w:val=""/>
      <w:lvlJc w:val="left"/>
      <w:pPr>
        <w:ind w:left="2520" w:hanging="360"/>
      </w:pPr>
      <w:rPr>
        <w:rFonts w:cs="Times New Roman" w:hint="default"/>
        <w:color w:val="auto"/>
      </w:rPr>
    </w:lvl>
    <w:lvl w:ilvl="7">
      <w:start w:val="1"/>
      <w:numFmt w:val="none"/>
      <w:lvlText w:val=""/>
      <w:lvlJc w:val="left"/>
      <w:pPr>
        <w:ind w:left="2880" w:hanging="360"/>
      </w:pPr>
      <w:rPr>
        <w:rFonts w:cs="Times New Roman" w:hint="default"/>
        <w:color w:val="auto"/>
      </w:rPr>
    </w:lvl>
    <w:lvl w:ilvl="8">
      <w:start w:val="1"/>
      <w:numFmt w:val="none"/>
      <w:lvlText w:val=""/>
      <w:lvlJc w:val="left"/>
      <w:pPr>
        <w:ind w:left="3240" w:hanging="360"/>
      </w:pPr>
      <w:rPr>
        <w:rFonts w:cs="Times New Roman" w:hint="default"/>
        <w:color w:val="auto"/>
      </w:rPr>
    </w:lvl>
  </w:abstractNum>
  <w:abstractNum w:abstractNumId="11" w15:restartNumberingAfterBreak="0">
    <w:nsid w:val="00D220C2"/>
    <w:multiLevelType w:val="hybridMultilevel"/>
    <w:tmpl w:val="DE6C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745BC2"/>
    <w:multiLevelType w:val="multilevel"/>
    <w:tmpl w:val="E5E89F92"/>
    <w:numStyleLink w:val="BulletList"/>
  </w:abstractNum>
  <w:abstractNum w:abstractNumId="13" w15:restartNumberingAfterBreak="0">
    <w:nsid w:val="204402DE"/>
    <w:multiLevelType w:val="hybridMultilevel"/>
    <w:tmpl w:val="530664D0"/>
    <w:lvl w:ilvl="0" w:tplc="86FA9340">
      <w:start w:val="1"/>
      <w:numFmt w:val="bullet"/>
      <w:lvlText w:val=""/>
      <w:lvlJc w:val="left"/>
      <w:pPr>
        <w:ind w:left="720" w:hanging="360"/>
      </w:pPr>
      <w:rPr>
        <w:rFonts w:ascii="Symbol" w:hAnsi="Symbol" w:hint="default"/>
      </w:rPr>
    </w:lvl>
    <w:lvl w:ilvl="1" w:tplc="68B8CB22" w:tentative="1">
      <w:start w:val="1"/>
      <w:numFmt w:val="bullet"/>
      <w:lvlText w:val="o"/>
      <w:lvlJc w:val="left"/>
      <w:pPr>
        <w:ind w:left="1440" w:hanging="360"/>
      </w:pPr>
      <w:rPr>
        <w:rFonts w:ascii="Courier New" w:hAnsi="Courier New" w:cs="Courier New" w:hint="default"/>
      </w:rPr>
    </w:lvl>
    <w:lvl w:ilvl="2" w:tplc="73A85834" w:tentative="1">
      <w:start w:val="1"/>
      <w:numFmt w:val="bullet"/>
      <w:lvlText w:val=""/>
      <w:lvlJc w:val="left"/>
      <w:pPr>
        <w:ind w:left="2160" w:hanging="360"/>
      </w:pPr>
      <w:rPr>
        <w:rFonts w:ascii="Wingdings" w:hAnsi="Wingdings" w:hint="default"/>
      </w:rPr>
    </w:lvl>
    <w:lvl w:ilvl="3" w:tplc="576890A8" w:tentative="1">
      <w:start w:val="1"/>
      <w:numFmt w:val="bullet"/>
      <w:lvlText w:val=""/>
      <w:lvlJc w:val="left"/>
      <w:pPr>
        <w:ind w:left="2880" w:hanging="360"/>
      </w:pPr>
      <w:rPr>
        <w:rFonts w:ascii="Symbol" w:hAnsi="Symbol" w:hint="default"/>
      </w:rPr>
    </w:lvl>
    <w:lvl w:ilvl="4" w:tplc="F7C4AA34" w:tentative="1">
      <w:start w:val="1"/>
      <w:numFmt w:val="bullet"/>
      <w:lvlText w:val="o"/>
      <w:lvlJc w:val="left"/>
      <w:pPr>
        <w:ind w:left="3600" w:hanging="360"/>
      </w:pPr>
      <w:rPr>
        <w:rFonts w:ascii="Courier New" w:hAnsi="Courier New" w:cs="Courier New" w:hint="default"/>
      </w:rPr>
    </w:lvl>
    <w:lvl w:ilvl="5" w:tplc="2A4C2948" w:tentative="1">
      <w:start w:val="1"/>
      <w:numFmt w:val="bullet"/>
      <w:lvlText w:val=""/>
      <w:lvlJc w:val="left"/>
      <w:pPr>
        <w:ind w:left="4320" w:hanging="360"/>
      </w:pPr>
      <w:rPr>
        <w:rFonts w:ascii="Wingdings" w:hAnsi="Wingdings" w:hint="default"/>
      </w:rPr>
    </w:lvl>
    <w:lvl w:ilvl="6" w:tplc="FADEC70A" w:tentative="1">
      <w:start w:val="1"/>
      <w:numFmt w:val="bullet"/>
      <w:lvlText w:val=""/>
      <w:lvlJc w:val="left"/>
      <w:pPr>
        <w:ind w:left="5040" w:hanging="360"/>
      </w:pPr>
      <w:rPr>
        <w:rFonts w:ascii="Symbol" w:hAnsi="Symbol" w:hint="default"/>
      </w:rPr>
    </w:lvl>
    <w:lvl w:ilvl="7" w:tplc="87A8CA14" w:tentative="1">
      <w:start w:val="1"/>
      <w:numFmt w:val="bullet"/>
      <w:lvlText w:val="o"/>
      <w:lvlJc w:val="left"/>
      <w:pPr>
        <w:ind w:left="5760" w:hanging="360"/>
      </w:pPr>
      <w:rPr>
        <w:rFonts w:ascii="Courier New" w:hAnsi="Courier New" w:cs="Courier New" w:hint="default"/>
      </w:rPr>
    </w:lvl>
    <w:lvl w:ilvl="8" w:tplc="EC286ABA" w:tentative="1">
      <w:start w:val="1"/>
      <w:numFmt w:val="bullet"/>
      <w:lvlText w:val=""/>
      <w:lvlJc w:val="left"/>
      <w:pPr>
        <w:ind w:left="6480" w:hanging="360"/>
      </w:pPr>
      <w:rPr>
        <w:rFonts w:ascii="Wingdings" w:hAnsi="Wingdings" w:hint="default"/>
      </w:rPr>
    </w:lvl>
  </w:abstractNum>
  <w:abstractNum w:abstractNumId="14" w15:restartNumberingAfterBreak="0">
    <w:nsid w:val="224D215D"/>
    <w:multiLevelType w:val="hybridMultilevel"/>
    <w:tmpl w:val="65FCF892"/>
    <w:lvl w:ilvl="0" w:tplc="92F427AC">
      <w:start w:val="1"/>
      <w:numFmt w:val="bullet"/>
      <w:lvlText w:val=""/>
      <w:lvlJc w:val="left"/>
      <w:pPr>
        <w:ind w:left="720" w:hanging="360"/>
      </w:pPr>
      <w:rPr>
        <w:rFonts w:ascii="Symbol" w:hAnsi="Symbol" w:hint="default"/>
      </w:rPr>
    </w:lvl>
    <w:lvl w:ilvl="1" w:tplc="35A2D2D0" w:tentative="1">
      <w:start w:val="1"/>
      <w:numFmt w:val="bullet"/>
      <w:lvlText w:val="o"/>
      <w:lvlJc w:val="left"/>
      <w:pPr>
        <w:ind w:left="1440" w:hanging="360"/>
      </w:pPr>
      <w:rPr>
        <w:rFonts w:ascii="Courier New" w:hAnsi="Courier New" w:cs="Courier New" w:hint="default"/>
      </w:rPr>
    </w:lvl>
    <w:lvl w:ilvl="2" w:tplc="FC84EAD4" w:tentative="1">
      <w:start w:val="1"/>
      <w:numFmt w:val="bullet"/>
      <w:lvlText w:val=""/>
      <w:lvlJc w:val="left"/>
      <w:pPr>
        <w:ind w:left="2160" w:hanging="360"/>
      </w:pPr>
      <w:rPr>
        <w:rFonts w:ascii="Wingdings" w:hAnsi="Wingdings" w:hint="default"/>
      </w:rPr>
    </w:lvl>
    <w:lvl w:ilvl="3" w:tplc="524C83CC" w:tentative="1">
      <w:start w:val="1"/>
      <w:numFmt w:val="bullet"/>
      <w:lvlText w:val=""/>
      <w:lvlJc w:val="left"/>
      <w:pPr>
        <w:ind w:left="2880" w:hanging="360"/>
      </w:pPr>
      <w:rPr>
        <w:rFonts w:ascii="Symbol" w:hAnsi="Symbol" w:hint="default"/>
      </w:rPr>
    </w:lvl>
    <w:lvl w:ilvl="4" w:tplc="A184EAF0" w:tentative="1">
      <w:start w:val="1"/>
      <w:numFmt w:val="bullet"/>
      <w:lvlText w:val="o"/>
      <w:lvlJc w:val="left"/>
      <w:pPr>
        <w:ind w:left="3600" w:hanging="360"/>
      </w:pPr>
      <w:rPr>
        <w:rFonts w:ascii="Courier New" w:hAnsi="Courier New" w:cs="Courier New" w:hint="default"/>
      </w:rPr>
    </w:lvl>
    <w:lvl w:ilvl="5" w:tplc="8B3E6488" w:tentative="1">
      <w:start w:val="1"/>
      <w:numFmt w:val="bullet"/>
      <w:lvlText w:val=""/>
      <w:lvlJc w:val="left"/>
      <w:pPr>
        <w:ind w:left="4320" w:hanging="360"/>
      </w:pPr>
      <w:rPr>
        <w:rFonts w:ascii="Wingdings" w:hAnsi="Wingdings" w:hint="default"/>
      </w:rPr>
    </w:lvl>
    <w:lvl w:ilvl="6" w:tplc="25466656" w:tentative="1">
      <w:start w:val="1"/>
      <w:numFmt w:val="bullet"/>
      <w:lvlText w:val=""/>
      <w:lvlJc w:val="left"/>
      <w:pPr>
        <w:ind w:left="5040" w:hanging="360"/>
      </w:pPr>
      <w:rPr>
        <w:rFonts w:ascii="Symbol" w:hAnsi="Symbol" w:hint="default"/>
      </w:rPr>
    </w:lvl>
    <w:lvl w:ilvl="7" w:tplc="87180BB6" w:tentative="1">
      <w:start w:val="1"/>
      <w:numFmt w:val="bullet"/>
      <w:lvlText w:val="o"/>
      <w:lvlJc w:val="left"/>
      <w:pPr>
        <w:ind w:left="5760" w:hanging="360"/>
      </w:pPr>
      <w:rPr>
        <w:rFonts w:ascii="Courier New" w:hAnsi="Courier New" w:cs="Courier New" w:hint="default"/>
      </w:rPr>
    </w:lvl>
    <w:lvl w:ilvl="8" w:tplc="A6B4EB12" w:tentative="1">
      <w:start w:val="1"/>
      <w:numFmt w:val="bullet"/>
      <w:lvlText w:val=""/>
      <w:lvlJc w:val="left"/>
      <w:pPr>
        <w:ind w:left="6480" w:hanging="360"/>
      </w:pPr>
      <w:rPr>
        <w:rFonts w:ascii="Wingdings" w:hAnsi="Wingdings" w:hint="default"/>
      </w:rPr>
    </w:lvl>
  </w:abstractNum>
  <w:abstractNum w:abstractNumId="15" w15:restartNumberingAfterBreak="0">
    <w:nsid w:val="3098052F"/>
    <w:multiLevelType w:val="multilevel"/>
    <w:tmpl w:val="473EA67C"/>
    <w:lvl w:ilvl="0">
      <w:start w:val="1"/>
      <w:numFmt w:val="decimal"/>
      <w:pStyle w:val="ListParagraph"/>
      <w:lvlText w:val="%1."/>
      <w:lvlJc w:val="left"/>
      <w:pPr>
        <w:ind w:left="369" w:hanging="369"/>
      </w:pPr>
      <w:rPr>
        <w:rFonts w:cs="Times New Roman"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2DF435A"/>
    <w:multiLevelType w:val="multilevel"/>
    <w:tmpl w:val="86946828"/>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61C7DAA"/>
    <w:multiLevelType w:val="multilevel"/>
    <w:tmpl w:val="CAA83148"/>
    <w:styleLink w:val="Attach"/>
    <w:lvl w:ilvl="0">
      <w:start w:val="1"/>
      <w:numFmt w:val="upperLetter"/>
      <w:lvlText w:val="Attachment %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5A8457A"/>
    <w:multiLevelType w:val="hybridMultilevel"/>
    <w:tmpl w:val="29A289B2"/>
    <w:lvl w:ilvl="0" w:tplc="A9D4AF3E">
      <w:start w:val="1"/>
      <w:numFmt w:val="bullet"/>
      <w:lvlText w:val=""/>
      <w:lvlJc w:val="left"/>
      <w:pPr>
        <w:ind w:left="765" w:hanging="360"/>
      </w:pPr>
      <w:rPr>
        <w:rFonts w:ascii="Symbol" w:hAnsi="Symbol" w:hint="default"/>
      </w:rPr>
    </w:lvl>
    <w:lvl w:ilvl="1" w:tplc="5658F8F0" w:tentative="1">
      <w:start w:val="1"/>
      <w:numFmt w:val="bullet"/>
      <w:lvlText w:val="o"/>
      <w:lvlJc w:val="left"/>
      <w:pPr>
        <w:ind w:left="1485" w:hanging="360"/>
      </w:pPr>
      <w:rPr>
        <w:rFonts w:ascii="Courier New" w:hAnsi="Courier New" w:cs="Courier New" w:hint="default"/>
      </w:rPr>
    </w:lvl>
    <w:lvl w:ilvl="2" w:tplc="C7FC82D6" w:tentative="1">
      <w:start w:val="1"/>
      <w:numFmt w:val="bullet"/>
      <w:lvlText w:val=""/>
      <w:lvlJc w:val="left"/>
      <w:pPr>
        <w:ind w:left="2205" w:hanging="360"/>
      </w:pPr>
      <w:rPr>
        <w:rFonts w:ascii="Wingdings" w:hAnsi="Wingdings" w:hint="default"/>
      </w:rPr>
    </w:lvl>
    <w:lvl w:ilvl="3" w:tplc="BE544BC8" w:tentative="1">
      <w:start w:val="1"/>
      <w:numFmt w:val="bullet"/>
      <w:lvlText w:val=""/>
      <w:lvlJc w:val="left"/>
      <w:pPr>
        <w:ind w:left="2925" w:hanging="360"/>
      </w:pPr>
      <w:rPr>
        <w:rFonts w:ascii="Symbol" w:hAnsi="Symbol" w:hint="default"/>
      </w:rPr>
    </w:lvl>
    <w:lvl w:ilvl="4" w:tplc="C2A2563E" w:tentative="1">
      <w:start w:val="1"/>
      <w:numFmt w:val="bullet"/>
      <w:lvlText w:val="o"/>
      <w:lvlJc w:val="left"/>
      <w:pPr>
        <w:ind w:left="3645" w:hanging="360"/>
      </w:pPr>
      <w:rPr>
        <w:rFonts w:ascii="Courier New" w:hAnsi="Courier New" w:cs="Courier New" w:hint="default"/>
      </w:rPr>
    </w:lvl>
    <w:lvl w:ilvl="5" w:tplc="023897C0" w:tentative="1">
      <w:start w:val="1"/>
      <w:numFmt w:val="bullet"/>
      <w:lvlText w:val=""/>
      <w:lvlJc w:val="left"/>
      <w:pPr>
        <w:ind w:left="4365" w:hanging="360"/>
      </w:pPr>
      <w:rPr>
        <w:rFonts w:ascii="Wingdings" w:hAnsi="Wingdings" w:hint="default"/>
      </w:rPr>
    </w:lvl>
    <w:lvl w:ilvl="6" w:tplc="300471FC" w:tentative="1">
      <w:start w:val="1"/>
      <w:numFmt w:val="bullet"/>
      <w:lvlText w:val=""/>
      <w:lvlJc w:val="left"/>
      <w:pPr>
        <w:ind w:left="5085" w:hanging="360"/>
      </w:pPr>
      <w:rPr>
        <w:rFonts w:ascii="Symbol" w:hAnsi="Symbol" w:hint="default"/>
      </w:rPr>
    </w:lvl>
    <w:lvl w:ilvl="7" w:tplc="48E61E5C" w:tentative="1">
      <w:start w:val="1"/>
      <w:numFmt w:val="bullet"/>
      <w:lvlText w:val="o"/>
      <w:lvlJc w:val="left"/>
      <w:pPr>
        <w:ind w:left="5805" w:hanging="360"/>
      </w:pPr>
      <w:rPr>
        <w:rFonts w:ascii="Courier New" w:hAnsi="Courier New" w:cs="Courier New" w:hint="default"/>
      </w:rPr>
    </w:lvl>
    <w:lvl w:ilvl="8" w:tplc="21E6F8B0" w:tentative="1">
      <w:start w:val="1"/>
      <w:numFmt w:val="bullet"/>
      <w:lvlText w:val=""/>
      <w:lvlJc w:val="left"/>
      <w:pPr>
        <w:ind w:left="6525" w:hanging="360"/>
      </w:pPr>
      <w:rPr>
        <w:rFonts w:ascii="Wingdings" w:hAnsi="Wingdings" w:hint="default"/>
      </w:rPr>
    </w:lvl>
  </w:abstractNum>
  <w:abstractNum w:abstractNumId="19" w15:restartNumberingAfterBreak="0">
    <w:nsid w:val="645D1606"/>
    <w:multiLevelType w:val="hybridMultilevel"/>
    <w:tmpl w:val="0F988AB0"/>
    <w:lvl w:ilvl="0" w:tplc="030C2FE2">
      <w:numFmt w:val="bullet"/>
      <w:lvlText w:val="-"/>
      <w:lvlJc w:val="left"/>
      <w:pPr>
        <w:ind w:left="720" w:hanging="360"/>
      </w:pPr>
      <w:rPr>
        <w:rFonts w:ascii="Calibri" w:eastAsia="Calibri" w:hAnsi="Calibri" w:cs="Times New Roman" w:hint="default"/>
      </w:rPr>
    </w:lvl>
    <w:lvl w:ilvl="1" w:tplc="4AF06B88">
      <w:start w:val="1"/>
      <w:numFmt w:val="decimal"/>
      <w:lvlText w:val="%2."/>
      <w:lvlJc w:val="left"/>
      <w:pPr>
        <w:tabs>
          <w:tab w:val="num" w:pos="1440"/>
        </w:tabs>
        <w:ind w:left="1440" w:hanging="360"/>
      </w:pPr>
    </w:lvl>
    <w:lvl w:ilvl="2" w:tplc="9D426E04">
      <w:start w:val="1"/>
      <w:numFmt w:val="decimal"/>
      <w:lvlText w:val="%3."/>
      <w:lvlJc w:val="left"/>
      <w:pPr>
        <w:tabs>
          <w:tab w:val="num" w:pos="2160"/>
        </w:tabs>
        <w:ind w:left="2160" w:hanging="360"/>
      </w:pPr>
    </w:lvl>
    <w:lvl w:ilvl="3" w:tplc="3314D19C">
      <w:start w:val="1"/>
      <w:numFmt w:val="decimal"/>
      <w:lvlText w:val="%4."/>
      <w:lvlJc w:val="left"/>
      <w:pPr>
        <w:tabs>
          <w:tab w:val="num" w:pos="2880"/>
        </w:tabs>
        <w:ind w:left="2880" w:hanging="360"/>
      </w:pPr>
    </w:lvl>
    <w:lvl w:ilvl="4" w:tplc="EFAC5BEC">
      <w:start w:val="1"/>
      <w:numFmt w:val="decimal"/>
      <w:lvlText w:val="%5."/>
      <w:lvlJc w:val="left"/>
      <w:pPr>
        <w:tabs>
          <w:tab w:val="num" w:pos="3600"/>
        </w:tabs>
        <w:ind w:left="3600" w:hanging="360"/>
      </w:pPr>
    </w:lvl>
    <w:lvl w:ilvl="5" w:tplc="C8027F0A">
      <w:start w:val="1"/>
      <w:numFmt w:val="decimal"/>
      <w:lvlText w:val="%6."/>
      <w:lvlJc w:val="left"/>
      <w:pPr>
        <w:tabs>
          <w:tab w:val="num" w:pos="4320"/>
        </w:tabs>
        <w:ind w:left="4320" w:hanging="360"/>
      </w:pPr>
    </w:lvl>
    <w:lvl w:ilvl="6" w:tplc="204A1CE8">
      <w:start w:val="1"/>
      <w:numFmt w:val="decimal"/>
      <w:lvlText w:val="%7."/>
      <w:lvlJc w:val="left"/>
      <w:pPr>
        <w:tabs>
          <w:tab w:val="num" w:pos="5040"/>
        </w:tabs>
        <w:ind w:left="5040" w:hanging="360"/>
      </w:pPr>
    </w:lvl>
    <w:lvl w:ilvl="7" w:tplc="44968F06">
      <w:start w:val="1"/>
      <w:numFmt w:val="decimal"/>
      <w:lvlText w:val="%8."/>
      <w:lvlJc w:val="left"/>
      <w:pPr>
        <w:tabs>
          <w:tab w:val="num" w:pos="5760"/>
        </w:tabs>
        <w:ind w:left="5760" w:hanging="360"/>
      </w:pPr>
    </w:lvl>
    <w:lvl w:ilvl="8" w:tplc="58F64128">
      <w:start w:val="1"/>
      <w:numFmt w:val="decimal"/>
      <w:lvlText w:val="%9."/>
      <w:lvlJc w:val="left"/>
      <w:pPr>
        <w:tabs>
          <w:tab w:val="num" w:pos="6480"/>
        </w:tabs>
        <w:ind w:left="6480" w:hanging="360"/>
      </w:pPr>
    </w:lvl>
  </w:abstractNum>
  <w:abstractNum w:abstractNumId="20" w15:restartNumberingAfterBreak="0">
    <w:nsid w:val="6E8D66A1"/>
    <w:multiLevelType w:val="hybridMultilevel"/>
    <w:tmpl w:val="19A40A7A"/>
    <w:lvl w:ilvl="0" w:tplc="AFE8CB82">
      <w:start w:val="1"/>
      <w:numFmt w:val="bullet"/>
      <w:lvlText w:val=""/>
      <w:lvlJc w:val="left"/>
      <w:pPr>
        <w:ind w:left="720" w:hanging="360"/>
      </w:pPr>
      <w:rPr>
        <w:rFonts w:ascii="Symbol" w:hAnsi="Symbol" w:hint="default"/>
      </w:rPr>
    </w:lvl>
    <w:lvl w:ilvl="1" w:tplc="F59E3AC6" w:tentative="1">
      <w:start w:val="1"/>
      <w:numFmt w:val="bullet"/>
      <w:lvlText w:val="o"/>
      <w:lvlJc w:val="left"/>
      <w:pPr>
        <w:ind w:left="1440" w:hanging="360"/>
      </w:pPr>
      <w:rPr>
        <w:rFonts w:ascii="Courier New" w:hAnsi="Courier New" w:cs="Courier New" w:hint="default"/>
      </w:rPr>
    </w:lvl>
    <w:lvl w:ilvl="2" w:tplc="5150D7A2" w:tentative="1">
      <w:start w:val="1"/>
      <w:numFmt w:val="bullet"/>
      <w:lvlText w:val=""/>
      <w:lvlJc w:val="left"/>
      <w:pPr>
        <w:ind w:left="2160" w:hanging="360"/>
      </w:pPr>
      <w:rPr>
        <w:rFonts w:ascii="Wingdings" w:hAnsi="Wingdings" w:hint="default"/>
      </w:rPr>
    </w:lvl>
    <w:lvl w:ilvl="3" w:tplc="09903EA0" w:tentative="1">
      <w:start w:val="1"/>
      <w:numFmt w:val="bullet"/>
      <w:lvlText w:val=""/>
      <w:lvlJc w:val="left"/>
      <w:pPr>
        <w:ind w:left="2880" w:hanging="360"/>
      </w:pPr>
      <w:rPr>
        <w:rFonts w:ascii="Symbol" w:hAnsi="Symbol" w:hint="default"/>
      </w:rPr>
    </w:lvl>
    <w:lvl w:ilvl="4" w:tplc="D328506A" w:tentative="1">
      <w:start w:val="1"/>
      <w:numFmt w:val="bullet"/>
      <w:lvlText w:val="o"/>
      <w:lvlJc w:val="left"/>
      <w:pPr>
        <w:ind w:left="3600" w:hanging="360"/>
      </w:pPr>
      <w:rPr>
        <w:rFonts w:ascii="Courier New" w:hAnsi="Courier New" w:cs="Courier New" w:hint="default"/>
      </w:rPr>
    </w:lvl>
    <w:lvl w:ilvl="5" w:tplc="7554AA5C" w:tentative="1">
      <w:start w:val="1"/>
      <w:numFmt w:val="bullet"/>
      <w:lvlText w:val=""/>
      <w:lvlJc w:val="left"/>
      <w:pPr>
        <w:ind w:left="4320" w:hanging="360"/>
      </w:pPr>
      <w:rPr>
        <w:rFonts w:ascii="Wingdings" w:hAnsi="Wingdings" w:hint="default"/>
      </w:rPr>
    </w:lvl>
    <w:lvl w:ilvl="6" w:tplc="2B34AEF4" w:tentative="1">
      <w:start w:val="1"/>
      <w:numFmt w:val="bullet"/>
      <w:lvlText w:val=""/>
      <w:lvlJc w:val="left"/>
      <w:pPr>
        <w:ind w:left="5040" w:hanging="360"/>
      </w:pPr>
      <w:rPr>
        <w:rFonts w:ascii="Symbol" w:hAnsi="Symbol" w:hint="default"/>
      </w:rPr>
    </w:lvl>
    <w:lvl w:ilvl="7" w:tplc="78745A58" w:tentative="1">
      <w:start w:val="1"/>
      <w:numFmt w:val="bullet"/>
      <w:lvlText w:val="o"/>
      <w:lvlJc w:val="left"/>
      <w:pPr>
        <w:ind w:left="5760" w:hanging="360"/>
      </w:pPr>
      <w:rPr>
        <w:rFonts w:ascii="Courier New" w:hAnsi="Courier New" w:cs="Courier New" w:hint="default"/>
      </w:rPr>
    </w:lvl>
    <w:lvl w:ilvl="8" w:tplc="70AAAB1E" w:tentative="1">
      <w:start w:val="1"/>
      <w:numFmt w:val="bullet"/>
      <w:lvlText w:val=""/>
      <w:lvlJc w:val="left"/>
      <w:pPr>
        <w:ind w:left="6480" w:hanging="360"/>
      </w:pPr>
      <w:rPr>
        <w:rFonts w:ascii="Wingdings" w:hAnsi="Wingdings" w:hint="default"/>
      </w:rPr>
    </w:lvl>
  </w:abstractNum>
  <w:abstractNum w:abstractNumId="21" w15:restartNumberingAfterBreak="0">
    <w:nsid w:val="74B50F51"/>
    <w:multiLevelType w:val="hybridMultilevel"/>
    <w:tmpl w:val="AB1E457A"/>
    <w:lvl w:ilvl="0" w:tplc="D0E68570">
      <w:start w:val="1"/>
      <w:numFmt w:val="bullet"/>
      <w:lvlText w:val=""/>
      <w:lvlJc w:val="left"/>
      <w:pPr>
        <w:ind w:left="761" w:hanging="360"/>
      </w:pPr>
      <w:rPr>
        <w:rFonts w:ascii="Symbol" w:hAnsi="Symbol" w:hint="default"/>
      </w:rPr>
    </w:lvl>
    <w:lvl w:ilvl="1" w:tplc="A1223218" w:tentative="1">
      <w:start w:val="1"/>
      <w:numFmt w:val="bullet"/>
      <w:lvlText w:val="o"/>
      <w:lvlJc w:val="left"/>
      <w:pPr>
        <w:ind w:left="1481" w:hanging="360"/>
      </w:pPr>
      <w:rPr>
        <w:rFonts w:ascii="Courier New" w:hAnsi="Courier New" w:cs="Courier New" w:hint="default"/>
      </w:rPr>
    </w:lvl>
    <w:lvl w:ilvl="2" w:tplc="3B3A8F22" w:tentative="1">
      <w:start w:val="1"/>
      <w:numFmt w:val="bullet"/>
      <w:lvlText w:val=""/>
      <w:lvlJc w:val="left"/>
      <w:pPr>
        <w:ind w:left="2201" w:hanging="360"/>
      </w:pPr>
      <w:rPr>
        <w:rFonts w:ascii="Wingdings" w:hAnsi="Wingdings" w:hint="default"/>
      </w:rPr>
    </w:lvl>
    <w:lvl w:ilvl="3" w:tplc="7AB4AEFC" w:tentative="1">
      <w:start w:val="1"/>
      <w:numFmt w:val="bullet"/>
      <w:lvlText w:val=""/>
      <w:lvlJc w:val="left"/>
      <w:pPr>
        <w:ind w:left="2921" w:hanging="360"/>
      </w:pPr>
      <w:rPr>
        <w:rFonts w:ascii="Symbol" w:hAnsi="Symbol" w:hint="default"/>
      </w:rPr>
    </w:lvl>
    <w:lvl w:ilvl="4" w:tplc="ABFA464C" w:tentative="1">
      <w:start w:val="1"/>
      <w:numFmt w:val="bullet"/>
      <w:lvlText w:val="o"/>
      <w:lvlJc w:val="left"/>
      <w:pPr>
        <w:ind w:left="3641" w:hanging="360"/>
      </w:pPr>
      <w:rPr>
        <w:rFonts w:ascii="Courier New" w:hAnsi="Courier New" w:cs="Courier New" w:hint="default"/>
      </w:rPr>
    </w:lvl>
    <w:lvl w:ilvl="5" w:tplc="6742A958" w:tentative="1">
      <w:start w:val="1"/>
      <w:numFmt w:val="bullet"/>
      <w:lvlText w:val=""/>
      <w:lvlJc w:val="left"/>
      <w:pPr>
        <w:ind w:left="4361" w:hanging="360"/>
      </w:pPr>
      <w:rPr>
        <w:rFonts w:ascii="Wingdings" w:hAnsi="Wingdings" w:hint="default"/>
      </w:rPr>
    </w:lvl>
    <w:lvl w:ilvl="6" w:tplc="3E163E32" w:tentative="1">
      <w:start w:val="1"/>
      <w:numFmt w:val="bullet"/>
      <w:lvlText w:val=""/>
      <w:lvlJc w:val="left"/>
      <w:pPr>
        <w:ind w:left="5081" w:hanging="360"/>
      </w:pPr>
      <w:rPr>
        <w:rFonts w:ascii="Symbol" w:hAnsi="Symbol" w:hint="default"/>
      </w:rPr>
    </w:lvl>
    <w:lvl w:ilvl="7" w:tplc="6D7ED2D8" w:tentative="1">
      <w:start w:val="1"/>
      <w:numFmt w:val="bullet"/>
      <w:lvlText w:val="o"/>
      <w:lvlJc w:val="left"/>
      <w:pPr>
        <w:ind w:left="5801" w:hanging="360"/>
      </w:pPr>
      <w:rPr>
        <w:rFonts w:ascii="Courier New" w:hAnsi="Courier New" w:cs="Courier New" w:hint="default"/>
      </w:rPr>
    </w:lvl>
    <w:lvl w:ilvl="8" w:tplc="5B089968" w:tentative="1">
      <w:start w:val="1"/>
      <w:numFmt w:val="bullet"/>
      <w:lvlText w:val=""/>
      <w:lvlJc w:val="left"/>
      <w:pPr>
        <w:ind w:left="6521" w:hanging="360"/>
      </w:pPr>
      <w:rPr>
        <w:rFonts w:ascii="Wingdings" w:hAnsi="Wingdings" w:hint="default"/>
      </w:rPr>
    </w:lvl>
  </w:abstractNum>
  <w:abstractNum w:abstractNumId="22" w15:restartNumberingAfterBreak="0">
    <w:nsid w:val="762964D5"/>
    <w:multiLevelType w:val="multilevel"/>
    <w:tmpl w:val="E898CC72"/>
    <w:styleLink w:val="KeyPoints"/>
    <w:lvl w:ilvl="0">
      <w:start w:val="1"/>
      <w:numFmt w:val="decimal"/>
      <w:lvlText w:val="%1."/>
      <w:lvlJc w:val="left"/>
      <w:pPr>
        <w:ind w:left="369" w:hanging="369"/>
      </w:pPr>
      <w:rPr>
        <w:rFonts w:ascii="Arial" w:hAnsi="Arial" w:cs="Times New Roman" w:hint="default"/>
        <w:sz w:val="22"/>
      </w:rPr>
    </w:lvl>
    <w:lvl w:ilvl="1">
      <w:start w:val="1"/>
      <w:numFmt w:val="lowerLetter"/>
      <w:lvlText w:val="%2."/>
      <w:lvlJc w:val="left"/>
      <w:pPr>
        <w:ind w:left="738" w:hanging="369"/>
      </w:pPr>
      <w:rPr>
        <w:rFonts w:cs="Times New Roman" w:hint="default"/>
      </w:rPr>
    </w:lvl>
    <w:lvl w:ilvl="2">
      <w:start w:val="1"/>
      <w:numFmt w:val="lowerRoman"/>
      <w:lvlText w:val="%3."/>
      <w:lvlJc w:val="left"/>
      <w:pPr>
        <w:ind w:left="1107" w:hanging="369"/>
      </w:pPr>
      <w:rPr>
        <w:rFonts w:cs="Times New Roman" w:hint="default"/>
      </w:rPr>
    </w:lvl>
    <w:lvl w:ilvl="3">
      <w:start w:val="1"/>
      <w:numFmt w:val="none"/>
      <w:lvlText w:val="%4"/>
      <w:lvlJc w:val="left"/>
      <w:pPr>
        <w:ind w:left="1476" w:hanging="369"/>
      </w:pPr>
      <w:rPr>
        <w:rFonts w:cs="Times New Roman" w:hint="default"/>
      </w:rPr>
    </w:lvl>
    <w:lvl w:ilvl="4">
      <w:start w:val="1"/>
      <w:numFmt w:val="none"/>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23" w15:restartNumberingAfterBreak="0">
    <w:nsid w:val="7A224945"/>
    <w:multiLevelType w:val="hybridMultilevel"/>
    <w:tmpl w:val="2B2A2DC0"/>
    <w:lvl w:ilvl="0" w:tplc="7826D3FE">
      <w:start w:val="1"/>
      <w:numFmt w:val="bullet"/>
      <w:lvlText w:val=""/>
      <w:lvlJc w:val="left"/>
      <w:pPr>
        <w:ind w:left="567" w:hanging="567"/>
      </w:pPr>
      <w:rPr>
        <w:rFonts w:ascii="Symbol" w:hAnsi="Symbol" w:cs="Symbol" w:hint="default"/>
      </w:rPr>
    </w:lvl>
    <w:lvl w:ilvl="1" w:tplc="6BC85164" w:tentative="1">
      <w:start w:val="1"/>
      <w:numFmt w:val="bullet"/>
      <w:lvlText w:val="o"/>
      <w:lvlJc w:val="left"/>
      <w:pPr>
        <w:ind w:left="1080" w:hanging="360"/>
      </w:pPr>
      <w:rPr>
        <w:rFonts w:ascii="Courier New" w:hAnsi="Courier New" w:cs="Courier New" w:hint="default"/>
      </w:rPr>
    </w:lvl>
    <w:lvl w:ilvl="2" w:tplc="F4BEC65C" w:tentative="1">
      <w:start w:val="1"/>
      <w:numFmt w:val="bullet"/>
      <w:lvlText w:val=""/>
      <w:lvlJc w:val="left"/>
      <w:pPr>
        <w:ind w:left="1800" w:hanging="360"/>
      </w:pPr>
      <w:rPr>
        <w:rFonts w:ascii="Wingdings" w:hAnsi="Wingdings" w:hint="default"/>
      </w:rPr>
    </w:lvl>
    <w:lvl w:ilvl="3" w:tplc="62A4B40A" w:tentative="1">
      <w:start w:val="1"/>
      <w:numFmt w:val="bullet"/>
      <w:lvlText w:val=""/>
      <w:lvlJc w:val="left"/>
      <w:pPr>
        <w:ind w:left="2520" w:hanging="360"/>
      </w:pPr>
      <w:rPr>
        <w:rFonts w:ascii="Symbol" w:hAnsi="Symbol" w:hint="default"/>
      </w:rPr>
    </w:lvl>
    <w:lvl w:ilvl="4" w:tplc="85D84302" w:tentative="1">
      <w:start w:val="1"/>
      <w:numFmt w:val="bullet"/>
      <w:lvlText w:val="o"/>
      <w:lvlJc w:val="left"/>
      <w:pPr>
        <w:ind w:left="3240" w:hanging="360"/>
      </w:pPr>
      <w:rPr>
        <w:rFonts w:ascii="Courier New" w:hAnsi="Courier New" w:cs="Courier New" w:hint="default"/>
      </w:rPr>
    </w:lvl>
    <w:lvl w:ilvl="5" w:tplc="21C4B604" w:tentative="1">
      <w:start w:val="1"/>
      <w:numFmt w:val="bullet"/>
      <w:lvlText w:val=""/>
      <w:lvlJc w:val="left"/>
      <w:pPr>
        <w:ind w:left="3960" w:hanging="360"/>
      </w:pPr>
      <w:rPr>
        <w:rFonts w:ascii="Wingdings" w:hAnsi="Wingdings" w:hint="default"/>
      </w:rPr>
    </w:lvl>
    <w:lvl w:ilvl="6" w:tplc="54B4F7FC" w:tentative="1">
      <w:start w:val="1"/>
      <w:numFmt w:val="bullet"/>
      <w:lvlText w:val=""/>
      <w:lvlJc w:val="left"/>
      <w:pPr>
        <w:ind w:left="4680" w:hanging="360"/>
      </w:pPr>
      <w:rPr>
        <w:rFonts w:ascii="Symbol" w:hAnsi="Symbol" w:hint="default"/>
      </w:rPr>
    </w:lvl>
    <w:lvl w:ilvl="7" w:tplc="01D007A0" w:tentative="1">
      <w:start w:val="1"/>
      <w:numFmt w:val="bullet"/>
      <w:lvlText w:val="o"/>
      <w:lvlJc w:val="left"/>
      <w:pPr>
        <w:ind w:left="5400" w:hanging="360"/>
      </w:pPr>
      <w:rPr>
        <w:rFonts w:ascii="Courier New" w:hAnsi="Courier New" w:cs="Courier New" w:hint="default"/>
      </w:rPr>
    </w:lvl>
    <w:lvl w:ilvl="8" w:tplc="D3784B8E"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7"/>
  </w:num>
  <w:num w:numId="14">
    <w:abstractNumId w:val="9"/>
  </w:num>
  <w:num w:numId="15">
    <w:abstractNumId w:val="7"/>
  </w:num>
  <w:num w:numId="16">
    <w:abstractNumId w:val="22"/>
  </w:num>
  <w:num w:numId="17">
    <w:abstractNumId w:val="10"/>
  </w:num>
  <w:num w:numId="18">
    <w:abstractNumId w:val="17"/>
  </w:num>
  <w:num w:numId="19">
    <w:abstractNumId w:val="15"/>
  </w:num>
  <w:num w:numId="20">
    <w:abstractNumId w:val="12"/>
  </w:num>
  <w:num w:numId="21">
    <w:abstractNumId w:val="23"/>
  </w:num>
  <w:num w:numId="22">
    <w:abstractNumId w:val="20"/>
  </w:num>
  <w:num w:numId="23">
    <w:abstractNumId w:val="18"/>
  </w:num>
  <w:num w:numId="24">
    <w:abstractNumId w:val="16"/>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3"/>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hideSpellingErrors/>
  <w:hideGrammaticalErrors/>
  <w:revisionView w:inkAnnotations="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0C"/>
    <w:rsid w:val="00000B2B"/>
    <w:rsid w:val="0000148D"/>
    <w:rsid w:val="000304BA"/>
    <w:rsid w:val="0003535C"/>
    <w:rsid w:val="000500BC"/>
    <w:rsid w:val="00062863"/>
    <w:rsid w:val="00067AE2"/>
    <w:rsid w:val="00071E2E"/>
    <w:rsid w:val="000B23AC"/>
    <w:rsid w:val="000B591E"/>
    <w:rsid w:val="000D7DB8"/>
    <w:rsid w:val="000E1EB1"/>
    <w:rsid w:val="000F4BDF"/>
    <w:rsid w:val="00103800"/>
    <w:rsid w:val="001206B9"/>
    <w:rsid w:val="001230F8"/>
    <w:rsid w:val="001553A0"/>
    <w:rsid w:val="0018508A"/>
    <w:rsid w:val="001861F0"/>
    <w:rsid w:val="001C1FBB"/>
    <w:rsid w:val="001D43D9"/>
    <w:rsid w:val="001D585B"/>
    <w:rsid w:val="001F5B6B"/>
    <w:rsid w:val="001F71CC"/>
    <w:rsid w:val="00202E77"/>
    <w:rsid w:val="00204B90"/>
    <w:rsid w:val="002262D1"/>
    <w:rsid w:val="00261477"/>
    <w:rsid w:val="00264C19"/>
    <w:rsid w:val="002C3718"/>
    <w:rsid w:val="002E60E3"/>
    <w:rsid w:val="00310C17"/>
    <w:rsid w:val="00311532"/>
    <w:rsid w:val="00312DE4"/>
    <w:rsid w:val="003400CC"/>
    <w:rsid w:val="0035037F"/>
    <w:rsid w:val="00354B31"/>
    <w:rsid w:val="00360143"/>
    <w:rsid w:val="003607A7"/>
    <w:rsid w:val="0036103C"/>
    <w:rsid w:val="003750B0"/>
    <w:rsid w:val="003C5CB8"/>
    <w:rsid w:val="003E037F"/>
    <w:rsid w:val="004013D4"/>
    <w:rsid w:val="0043438F"/>
    <w:rsid w:val="004500D2"/>
    <w:rsid w:val="00490A5A"/>
    <w:rsid w:val="00492184"/>
    <w:rsid w:val="0049354F"/>
    <w:rsid w:val="004A2A60"/>
    <w:rsid w:val="004A3AA0"/>
    <w:rsid w:val="004B36C1"/>
    <w:rsid w:val="004E62FD"/>
    <w:rsid w:val="004F4C81"/>
    <w:rsid w:val="0051581D"/>
    <w:rsid w:val="005727FD"/>
    <w:rsid w:val="005775A7"/>
    <w:rsid w:val="005820E2"/>
    <w:rsid w:val="00582443"/>
    <w:rsid w:val="005F57E9"/>
    <w:rsid w:val="006040CB"/>
    <w:rsid w:val="00614958"/>
    <w:rsid w:val="0063257F"/>
    <w:rsid w:val="006378F9"/>
    <w:rsid w:val="006636F0"/>
    <w:rsid w:val="0068064A"/>
    <w:rsid w:val="00681918"/>
    <w:rsid w:val="00684019"/>
    <w:rsid w:val="0068449D"/>
    <w:rsid w:val="00696D6C"/>
    <w:rsid w:val="006C3FBB"/>
    <w:rsid w:val="006F78BB"/>
    <w:rsid w:val="007609C6"/>
    <w:rsid w:val="00776D40"/>
    <w:rsid w:val="00783EB3"/>
    <w:rsid w:val="007922B4"/>
    <w:rsid w:val="0079267D"/>
    <w:rsid w:val="007B21FB"/>
    <w:rsid w:val="007B2DE3"/>
    <w:rsid w:val="007B36A3"/>
    <w:rsid w:val="007B5A8A"/>
    <w:rsid w:val="007C69FE"/>
    <w:rsid w:val="007E72D9"/>
    <w:rsid w:val="0082222F"/>
    <w:rsid w:val="0084537F"/>
    <w:rsid w:val="00853758"/>
    <w:rsid w:val="00866746"/>
    <w:rsid w:val="00870058"/>
    <w:rsid w:val="008942FA"/>
    <w:rsid w:val="008B5D4B"/>
    <w:rsid w:val="0092681B"/>
    <w:rsid w:val="00946E18"/>
    <w:rsid w:val="00981539"/>
    <w:rsid w:val="009A3BCA"/>
    <w:rsid w:val="009F4E5B"/>
    <w:rsid w:val="009F6F4A"/>
    <w:rsid w:val="00A0129C"/>
    <w:rsid w:val="00A447EB"/>
    <w:rsid w:val="00A52690"/>
    <w:rsid w:val="00A52FD7"/>
    <w:rsid w:val="00A5550C"/>
    <w:rsid w:val="00A72D21"/>
    <w:rsid w:val="00A86306"/>
    <w:rsid w:val="00AA2F5C"/>
    <w:rsid w:val="00B26592"/>
    <w:rsid w:val="00B40D85"/>
    <w:rsid w:val="00BB446D"/>
    <w:rsid w:val="00BD3FB0"/>
    <w:rsid w:val="00C13FE0"/>
    <w:rsid w:val="00C17273"/>
    <w:rsid w:val="00C45514"/>
    <w:rsid w:val="00C71701"/>
    <w:rsid w:val="00C74A27"/>
    <w:rsid w:val="00C853C0"/>
    <w:rsid w:val="00C9270E"/>
    <w:rsid w:val="00CA3A8D"/>
    <w:rsid w:val="00CB50BA"/>
    <w:rsid w:val="00D03071"/>
    <w:rsid w:val="00D55386"/>
    <w:rsid w:val="00DC06A9"/>
    <w:rsid w:val="00DD4A64"/>
    <w:rsid w:val="00DD6C04"/>
    <w:rsid w:val="00DE1ED5"/>
    <w:rsid w:val="00E42BBA"/>
    <w:rsid w:val="00E4542C"/>
    <w:rsid w:val="00E4797D"/>
    <w:rsid w:val="00E67B23"/>
    <w:rsid w:val="00E8071E"/>
    <w:rsid w:val="00EB2CE8"/>
    <w:rsid w:val="00ED6224"/>
    <w:rsid w:val="00EE0453"/>
    <w:rsid w:val="00F032A1"/>
    <w:rsid w:val="00F06B91"/>
    <w:rsid w:val="00F3014B"/>
    <w:rsid w:val="00F34027"/>
    <w:rsid w:val="00F37FD4"/>
    <w:rsid w:val="00F44DD6"/>
    <w:rsid w:val="00F52E1B"/>
    <w:rsid w:val="00F531D7"/>
    <w:rsid w:val="00F72BEA"/>
    <w:rsid w:val="00FA6C52"/>
    <w:rsid w:val="00FB6564"/>
    <w:rsid w:val="00FF49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AD7"/>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C51CCA"/>
    <w:pPr>
      <w:keepNext/>
      <w:outlineLvl w:val="0"/>
    </w:pPr>
    <w:rPr>
      <w:rFonts w:cs="Arial"/>
      <w:b/>
      <w:caps/>
    </w:rPr>
  </w:style>
  <w:style w:type="paragraph" w:styleId="Heading2">
    <w:name w:val="heading 2"/>
    <w:basedOn w:val="Normal"/>
    <w:next w:val="Normal"/>
    <w:link w:val="Heading2Char"/>
    <w:uiPriority w:val="99"/>
    <w:qFormat/>
    <w:rsid w:val="000E31C1"/>
    <w:pPr>
      <w:keepNext/>
      <w:outlineLvl w:val="1"/>
    </w:pPr>
    <w:rPr>
      <w:rFonts w:cs="Arial"/>
      <w:b/>
    </w:rPr>
  </w:style>
  <w:style w:type="paragraph" w:styleId="Heading3">
    <w:name w:val="heading 3"/>
    <w:basedOn w:val="Normal"/>
    <w:next w:val="Normal"/>
    <w:link w:val="Heading3Char"/>
    <w:uiPriority w:val="99"/>
    <w:qFormat/>
    <w:rsid w:val="000E31C1"/>
    <w:pPr>
      <w:keepNext/>
      <w:outlineLvl w:val="2"/>
    </w:pPr>
    <w:rPr>
      <w:rFonts w:cs="Arial"/>
      <w:b/>
      <w:i/>
    </w:rPr>
  </w:style>
  <w:style w:type="paragraph" w:styleId="Heading4">
    <w:name w:val="heading 4"/>
    <w:basedOn w:val="Normal"/>
    <w:next w:val="Normal"/>
    <w:link w:val="Heading4Char"/>
    <w:uiPriority w:val="99"/>
    <w:qFormat/>
    <w:rsid w:val="000E31C1"/>
    <w:pPr>
      <w:keepNext/>
      <w:outlineLvl w:val="3"/>
    </w:pPr>
    <w:rPr>
      <w:rFonts w:cs="Arial"/>
      <w:i/>
    </w:rPr>
  </w:style>
  <w:style w:type="paragraph" w:styleId="Heading5">
    <w:name w:val="heading 5"/>
    <w:basedOn w:val="Normal"/>
    <w:next w:val="Normal"/>
    <w:link w:val="Heading5Char"/>
    <w:uiPriority w:val="99"/>
    <w:qFormat/>
    <w:rsid w:val="006A7A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CCA"/>
    <w:rPr>
      <w:rFonts w:cs="Arial"/>
      <w:b/>
      <w:caps/>
      <w:sz w:val="22"/>
      <w:szCs w:val="22"/>
      <w:lang w:eastAsia="en-US"/>
    </w:rPr>
  </w:style>
  <w:style w:type="character" w:customStyle="1" w:styleId="Heading2Char">
    <w:name w:val="Heading 2 Char"/>
    <w:basedOn w:val="DefaultParagraphFont"/>
    <w:link w:val="Heading2"/>
    <w:uiPriority w:val="99"/>
    <w:locked/>
    <w:rsid w:val="000E31C1"/>
    <w:rPr>
      <w:rFonts w:cs="Arial"/>
      <w:b/>
      <w:sz w:val="22"/>
      <w:szCs w:val="22"/>
      <w:lang w:eastAsia="en-US"/>
    </w:rPr>
  </w:style>
  <w:style w:type="character" w:customStyle="1" w:styleId="Heading3Char">
    <w:name w:val="Heading 3 Char"/>
    <w:basedOn w:val="DefaultParagraphFont"/>
    <w:link w:val="Heading3"/>
    <w:uiPriority w:val="99"/>
    <w:locked/>
    <w:rsid w:val="000E31C1"/>
    <w:rPr>
      <w:rFonts w:cs="Arial"/>
      <w:b/>
      <w:i/>
      <w:sz w:val="22"/>
      <w:szCs w:val="22"/>
      <w:lang w:eastAsia="en-US"/>
    </w:rPr>
  </w:style>
  <w:style w:type="character" w:customStyle="1" w:styleId="Heading4Char">
    <w:name w:val="Heading 4 Char"/>
    <w:basedOn w:val="DefaultParagraphFont"/>
    <w:link w:val="Heading4"/>
    <w:uiPriority w:val="99"/>
    <w:locked/>
    <w:rsid w:val="000E31C1"/>
    <w:rPr>
      <w:rFonts w:cs="Arial"/>
      <w:i/>
      <w:sz w:val="22"/>
      <w:szCs w:val="22"/>
      <w:lang w:eastAsia="en-US"/>
    </w:rPr>
  </w:style>
  <w:style w:type="character" w:customStyle="1" w:styleId="Heading5Char">
    <w:name w:val="Heading 5 Char"/>
    <w:basedOn w:val="DefaultParagraphFont"/>
    <w:link w:val="Heading5"/>
    <w:uiPriority w:val="99"/>
    <w:semiHidden/>
    <w:locked/>
    <w:rsid w:val="004E5327"/>
    <w:rPr>
      <w:rFonts w:ascii="Calibri" w:hAnsi="Calibri" w:cs="Times New Roman"/>
      <w:b/>
      <w:bCs/>
      <w:i/>
      <w:iCs/>
      <w:sz w:val="26"/>
      <w:szCs w:val="26"/>
      <w:lang w:eastAsia="en-US"/>
    </w:rPr>
  </w:style>
  <w:style w:type="paragraph" w:styleId="Header">
    <w:name w:val="header"/>
    <w:basedOn w:val="Normal"/>
    <w:link w:val="HeaderChar"/>
    <w:uiPriority w:val="99"/>
    <w:rsid w:val="00D30085"/>
    <w:pPr>
      <w:tabs>
        <w:tab w:val="center" w:pos="4513"/>
        <w:tab w:val="right" w:pos="9026"/>
      </w:tabs>
      <w:spacing w:after="0" w:line="240" w:lineRule="auto"/>
      <w:jc w:val="center"/>
    </w:pPr>
    <w:rPr>
      <w:rFonts w:ascii="Times New Roman" w:hAnsi="Times New Roman"/>
      <w:i/>
    </w:rPr>
  </w:style>
  <w:style w:type="character" w:customStyle="1" w:styleId="HeaderChar">
    <w:name w:val="Header Char"/>
    <w:basedOn w:val="DefaultParagraphFont"/>
    <w:link w:val="Header"/>
    <w:uiPriority w:val="99"/>
    <w:locked/>
    <w:rsid w:val="00D30085"/>
    <w:rPr>
      <w:rFonts w:ascii="Times New Roman" w:hAnsi="Times New Roman" w:cs="Times New Roman"/>
      <w:i/>
      <w:sz w:val="22"/>
      <w:szCs w:val="22"/>
      <w:lang w:eastAsia="en-US"/>
    </w:rPr>
  </w:style>
  <w:style w:type="paragraph" w:styleId="Footer">
    <w:name w:val="footer"/>
    <w:basedOn w:val="Normal"/>
    <w:link w:val="FooterChar"/>
    <w:uiPriority w:val="99"/>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0185"/>
    <w:rPr>
      <w:rFonts w:cs="Times New Roman"/>
    </w:rPr>
  </w:style>
  <w:style w:type="paragraph" w:styleId="BalloonText">
    <w:name w:val="Balloon Text"/>
    <w:basedOn w:val="Normal"/>
    <w:link w:val="BalloonTextChar"/>
    <w:uiPriority w:val="99"/>
    <w:semiHidden/>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185"/>
    <w:rPr>
      <w:rFonts w:ascii="Tahoma" w:hAnsi="Tahoma" w:cs="Tahoma"/>
      <w:sz w:val="16"/>
      <w:szCs w:val="16"/>
    </w:rPr>
  </w:style>
  <w:style w:type="paragraph" w:customStyle="1" w:styleId="1NumberedPointsStyle">
    <w:name w:val="1. Numbered Points Style"/>
    <w:basedOn w:val="ListParagraph"/>
    <w:uiPriority w:val="99"/>
    <w:rsid w:val="00BD1A6F"/>
    <w:pPr>
      <w:numPr>
        <w:numId w:val="0"/>
      </w:numPr>
    </w:pPr>
  </w:style>
  <w:style w:type="paragraph" w:customStyle="1" w:styleId="1BulletStyleList">
    <w:name w:val="1. Bullet Style List"/>
    <w:basedOn w:val="Normal"/>
    <w:uiPriority w:val="99"/>
    <w:rsid w:val="00CE71C2"/>
    <w:pPr>
      <w:spacing w:line="240" w:lineRule="auto"/>
    </w:pPr>
    <w:rPr>
      <w:rFonts w:eastAsia="Calibri"/>
      <w:szCs w:val="20"/>
      <w:lang w:eastAsia="en-AU"/>
    </w:rPr>
  </w:style>
  <w:style w:type="paragraph" w:styleId="ListBullet">
    <w:name w:val="List Bullet"/>
    <w:basedOn w:val="Normal"/>
    <w:uiPriority w:val="99"/>
    <w:rsid w:val="00091608"/>
    <w:pPr>
      <w:ind w:left="369" w:hanging="369"/>
    </w:pPr>
  </w:style>
  <w:style w:type="paragraph" w:styleId="ListBullet2">
    <w:name w:val="List Bullet 2"/>
    <w:basedOn w:val="Normal"/>
    <w:uiPriority w:val="99"/>
    <w:rsid w:val="00091608"/>
    <w:pPr>
      <w:ind w:left="737" w:hanging="368"/>
    </w:pPr>
  </w:style>
  <w:style w:type="paragraph" w:styleId="ListBullet3">
    <w:name w:val="List Bullet 3"/>
    <w:basedOn w:val="Normal"/>
    <w:uiPriority w:val="99"/>
    <w:rsid w:val="00091608"/>
    <w:pPr>
      <w:ind w:left="1106" w:hanging="369"/>
    </w:pPr>
  </w:style>
  <w:style w:type="paragraph" w:styleId="ListBullet4">
    <w:name w:val="List Bullet 4"/>
    <w:basedOn w:val="Normal"/>
    <w:uiPriority w:val="99"/>
    <w:rsid w:val="00091608"/>
    <w:pPr>
      <w:ind w:left="1474" w:hanging="368"/>
    </w:pPr>
  </w:style>
  <w:style w:type="paragraph" w:styleId="ListBullet5">
    <w:name w:val="List Bullet 5"/>
    <w:basedOn w:val="Normal"/>
    <w:uiPriority w:val="99"/>
    <w:rsid w:val="00091608"/>
    <w:pPr>
      <w:ind w:left="1800" w:hanging="360"/>
    </w:pPr>
  </w:style>
  <w:style w:type="paragraph" w:customStyle="1" w:styleId="Classification">
    <w:name w:val="Classification"/>
    <w:basedOn w:val="Normal"/>
    <w:uiPriority w:val="99"/>
    <w:rsid w:val="00646122"/>
    <w:pPr>
      <w:tabs>
        <w:tab w:val="center" w:pos="4536"/>
        <w:tab w:val="center" w:pos="4819"/>
        <w:tab w:val="right" w:pos="9356"/>
      </w:tabs>
      <w:spacing w:after="240"/>
      <w:jc w:val="center"/>
    </w:pPr>
    <w:rPr>
      <w:rFonts w:eastAsia="Calibri" w:cs="Arial"/>
      <w:color w:val="FF0000"/>
      <w:sz w:val="28"/>
      <w:szCs w:val="28"/>
      <w:lang w:eastAsia="en-AU"/>
    </w:rPr>
  </w:style>
  <w:style w:type="paragraph" w:styleId="ListParagraph">
    <w:name w:val="List Paragraph"/>
    <w:basedOn w:val="Normal"/>
    <w:uiPriority w:val="34"/>
    <w:qFormat/>
    <w:rsid w:val="003556BD"/>
    <w:pPr>
      <w:numPr>
        <w:numId w:val="19"/>
      </w:numPr>
    </w:pPr>
  </w:style>
  <w:style w:type="character" w:styleId="BookTitle">
    <w:name w:val="Book Title"/>
    <w:basedOn w:val="DefaultParagraphFont"/>
    <w:uiPriority w:val="99"/>
    <w:qFormat/>
    <w:rsid w:val="00383020"/>
    <w:rPr>
      <w:rFonts w:cs="Times New Roman"/>
      <w:bCs/>
      <w:i/>
      <w:smallCaps/>
      <w:spacing w:val="5"/>
    </w:rPr>
  </w:style>
  <w:style w:type="paragraph" w:styleId="ListNumber">
    <w:name w:val="List Number"/>
    <w:basedOn w:val="Normal"/>
    <w:uiPriority w:val="99"/>
    <w:rsid w:val="00005CAA"/>
    <w:pPr>
      <w:ind w:left="369" w:hanging="369"/>
    </w:pPr>
  </w:style>
  <w:style w:type="paragraph" w:styleId="ListNumber2">
    <w:name w:val="List Number 2"/>
    <w:basedOn w:val="Normal"/>
    <w:uiPriority w:val="99"/>
    <w:rsid w:val="00005CAA"/>
    <w:pPr>
      <w:ind w:left="738" w:hanging="369"/>
    </w:pPr>
  </w:style>
  <w:style w:type="paragraph" w:styleId="ListNumber3">
    <w:name w:val="List Number 3"/>
    <w:basedOn w:val="Normal"/>
    <w:uiPriority w:val="99"/>
    <w:rsid w:val="00005CAA"/>
    <w:pPr>
      <w:ind w:left="1107" w:hanging="369"/>
    </w:pPr>
  </w:style>
  <w:style w:type="paragraph" w:styleId="ListNumber4">
    <w:name w:val="List Number 4"/>
    <w:basedOn w:val="Normal"/>
    <w:uiPriority w:val="99"/>
    <w:rsid w:val="00005CAA"/>
    <w:pPr>
      <w:ind w:left="1476" w:hanging="369"/>
    </w:pPr>
  </w:style>
  <w:style w:type="paragraph" w:styleId="ListNumber5">
    <w:name w:val="List Number 5"/>
    <w:basedOn w:val="Normal"/>
    <w:uiPriority w:val="99"/>
    <w:rsid w:val="00005CAA"/>
    <w:pPr>
      <w:ind w:left="1845" w:hanging="369"/>
    </w:pPr>
  </w:style>
  <w:style w:type="paragraph" w:customStyle="1" w:styleId="Footerclassification">
    <w:name w:val="Footer classification"/>
    <w:basedOn w:val="Classification"/>
    <w:uiPriority w:val="99"/>
    <w:rsid w:val="00D021CB"/>
    <w:pPr>
      <w:spacing w:before="240" w:after="0"/>
    </w:pPr>
  </w:style>
  <w:style w:type="table" w:styleId="TableGrid">
    <w:name w:val="Table Grid"/>
    <w:basedOn w:val="TableNormal"/>
    <w:uiPriority w:val="99"/>
    <w:rsid w:val="00100BEF"/>
    <w:rPr>
      <w:rFonts w:eastAsia="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Autospacing="0" w:afterLines="0" w:afterAutospacing="0"/>
      </w:pPr>
      <w:rPr>
        <w:rFonts w:ascii="Arial" w:hAnsi="Arial" w:cs="Times New Roman"/>
        <w:sz w:val="20"/>
      </w:rPr>
    </w:tblStylePr>
    <w:tblStylePr w:type="lastRow">
      <w:pPr>
        <w:spacing w:beforeLines="0" w:beforeAutospacing="0" w:afterLines="0" w:afterAutospacing="0"/>
      </w:pPr>
      <w:rPr>
        <w:rFonts w:ascii="Arial" w:hAnsi="Arial" w:cs="Times New Roman"/>
        <w:sz w:val="20"/>
      </w:rPr>
    </w:tblStylePr>
    <w:tblStylePr w:type="band1Horz">
      <w:pPr>
        <w:spacing w:beforeLines="0" w:beforeAutospacing="0" w:afterLines="0" w:afterAutospacing="0"/>
      </w:pPr>
      <w:rPr>
        <w:rFonts w:ascii="Arial" w:hAnsi="Arial" w:cs="Times New Roman"/>
        <w:sz w:val="20"/>
      </w:rPr>
    </w:tblStylePr>
    <w:tblStylePr w:type="band2Horz">
      <w:pPr>
        <w:spacing w:beforeLines="0" w:beforeAutospacing="0" w:afterLines="0" w:afterAutospacing="0"/>
      </w:pPr>
      <w:rPr>
        <w:rFonts w:ascii="Arial" w:hAnsi="Arial" w:cs="Times New Roman"/>
        <w:sz w:val="20"/>
      </w:rPr>
    </w:tblStylePr>
  </w:style>
  <w:style w:type="paragraph" w:customStyle="1" w:styleId="Tabletext">
    <w:name w:val="Table text"/>
    <w:basedOn w:val="Normal"/>
    <w:uiPriority w:val="99"/>
    <w:rsid w:val="005A126E"/>
    <w:pPr>
      <w:spacing w:after="0"/>
    </w:pPr>
  </w:style>
  <w:style w:type="paragraph" w:customStyle="1" w:styleId="Classificationsensitivity">
    <w:name w:val="Classification sensitivity"/>
    <w:basedOn w:val="Classification"/>
    <w:uiPriority w:val="99"/>
    <w:rsid w:val="002C5813"/>
    <w:rPr>
      <w:sz w:val="22"/>
    </w:rPr>
  </w:style>
  <w:style w:type="character" w:styleId="CommentReference">
    <w:name w:val="annotation reference"/>
    <w:basedOn w:val="DefaultParagraphFont"/>
    <w:uiPriority w:val="99"/>
    <w:semiHidden/>
    <w:rsid w:val="008D42B8"/>
    <w:rPr>
      <w:rFonts w:cs="Times New Roman"/>
      <w:sz w:val="16"/>
      <w:szCs w:val="16"/>
    </w:rPr>
  </w:style>
  <w:style w:type="paragraph" w:styleId="CommentText">
    <w:name w:val="annotation text"/>
    <w:basedOn w:val="Normal"/>
    <w:link w:val="CommentTextChar"/>
    <w:uiPriority w:val="99"/>
    <w:semiHidden/>
    <w:rsid w:val="008D42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42B8"/>
    <w:rPr>
      <w:rFonts w:cs="Times New Roman"/>
      <w:lang w:eastAsia="en-US"/>
    </w:rPr>
  </w:style>
  <w:style w:type="paragraph" w:styleId="CommentSubject">
    <w:name w:val="annotation subject"/>
    <w:basedOn w:val="CommentText"/>
    <w:next w:val="CommentText"/>
    <w:link w:val="CommentSubjectChar"/>
    <w:uiPriority w:val="99"/>
    <w:semiHidden/>
    <w:rsid w:val="008D42B8"/>
    <w:rPr>
      <w:b/>
      <w:bCs/>
    </w:rPr>
  </w:style>
  <w:style w:type="character" w:customStyle="1" w:styleId="CommentSubjectChar">
    <w:name w:val="Comment Subject Char"/>
    <w:basedOn w:val="CommentTextChar"/>
    <w:link w:val="CommentSubject"/>
    <w:uiPriority w:val="99"/>
    <w:semiHidden/>
    <w:locked/>
    <w:rsid w:val="008D42B8"/>
    <w:rPr>
      <w:rFonts w:cs="Times New Roman"/>
      <w:b/>
      <w:bCs/>
      <w:lang w:eastAsia="en-US"/>
    </w:rPr>
  </w:style>
  <w:style w:type="character" w:styleId="Hyperlink">
    <w:name w:val="Hyperlink"/>
    <w:basedOn w:val="DefaultParagraphFont"/>
    <w:rsid w:val="00940765"/>
    <w:rPr>
      <w:rFonts w:cs="Times New Roman"/>
      <w:color w:val="0000FF"/>
      <w:u w:val="single"/>
    </w:rPr>
  </w:style>
  <w:style w:type="paragraph" w:styleId="FootnoteText">
    <w:name w:val="footnote text"/>
    <w:basedOn w:val="Normal"/>
    <w:link w:val="FootnoteTextChar"/>
    <w:rsid w:val="00170444"/>
    <w:rPr>
      <w:rFonts w:ascii="Calibri" w:hAnsi="Calibri"/>
      <w:sz w:val="20"/>
      <w:szCs w:val="20"/>
    </w:rPr>
  </w:style>
  <w:style w:type="character" w:customStyle="1" w:styleId="FootnoteTextChar">
    <w:name w:val="Footnote Text Char"/>
    <w:basedOn w:val="DefaultParagraphFont"/>
    <w:link w:val="FootnoteText"/>
    <w:locked/>
    <w:rsid w:val="00170444"/>
    <w:rPr>
      <w:rFonts w:ascii="Calibri" w:hAnsi="Calibri" w:cs="Times New Roman"/>
      <w:lang w:eastAsia="en-US"/>
    </w:rPr>
  </w:style>
  <w:style w:type="character" w:styleId="FootnoteReference">
    <w:name w:val="footnote reference"/>
    <w:basedOn w:val="DefaultParagraphFont"/>
    <w:rsid w:val="00170444"/>
    <w:rPr>
      <w:rFonts w:cs="Times New Roman"/>
      <w:vertAlign w:val="superscript"/>
    </w:rPr>
  </w:style>
  <w:style w:type="paragraph" w:styleId="Revision">
    <w:name w:val="Revision"/>
    <w:hidden/>
    <w:uiPriority w:val="99"/>
    <w:semiHidden/>
    <w:rsid w:val="00B36BEE"/>
    <w:rPr>
      <w:rFonts w:eastAsia="Times New Roman"/>
      <w:lang w:eastAsia="en-US"/>
    </w:rPr>
  </w:style>
  <w:style w:type="numbering" w:customStyle="1" w:styleId="BulletList">
    <w:name w:val="Bullet List"/>
    <w:rsid w:val="0032644C"/>
    <w:pPr>
      <w:numPr>
        <w:numId w:val="17"/>
      </w:numPr>
    </w:pPr>
  </w:style>
  <w:style w:type="numbering" w:customStyle="1" w:styleId="Attach">
    <w:name w:val="Attach"/>
    <w:rsid w:val="0032644C"/>
    <w:pPr>
      <w:numPr>
        <w:numId w:val="18"/>
      </w:numPr>
    </w:pPr>
  </w:style>
  <w:style w:type="numbering" w:customStyle="1" w:styleId="KeyPoints">
    <w:name w:val="Key Points"/>
    <w:rsid w:val="0032644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35490">
      <w:bodyDiv w:val="1"/>
      <w:marLeft w:val="0"/>
      <w:marRight w:val="0"/>
      <w:marTop w:val="0"/>
      <w:marBottom w:val="0"/>
      <w:divBdr>
        <w:top w:val="none" w:sz="0" w:space="0" w:color="auto"/>
        <w:left w:val="none" w:sz="0" w:space="0" w:color="auto"/>
        <w:bottom w:val="none" w:sz="0" w:space="0" w:color="auto"/>
        <w:right w:val="none" w:sz="0" w:space="0" w:color="auto"/>
      </w:divBdr>
      <w:divsChild>
        <w:div w:id="170993244">
          <w:marLeft w:val="0"/>
          <w:marRight w:val="0"/>
          <w:marTop w:val="0"/>
          <w:marBottom w:val="0"/>
          <w:divBdr>
            <w:top w:val="none" w:sz="0" w:space="0" w:color="auto"/>
            <w:left w:val="none" w:sz="0" w:space="0" w:color="auto"/>
            <w:bottom w:val="none" w:sz="0" w:space="0" w:color="auto"/>
            <w:right w:val="none" w:sz="0" w:space="0" w:color="auto"/>
          </w:divBdr>
          <w:divsChild>
            <w:div w:id="2131050000">
              <w:marLeft w:val="0"/>
              <w:marRight w:val="0"/>
              <w:marTop w:val="0"/>
              <w:marBottom w:val="0"/>
              <w:divBdr>
                <w:top w:val="none" w:sz="0" w:space="0" w:color="auto"/>
                <w:left w:val="none" w:sz="0" w:space="0" w:color="auto"/>
                <w:bottom w:val="none" w:sz="0" w:space="0" w:color="auto"/>
                <w:right w:val="none" w:sz="0" w:space="0" w:color="auto"/>
              </w:divBdr>
              <w:divsChild>
                <w:div w:id="173224850">
                  <w:marLeft w:val="0"/>
                  <w:marRight w:val="0"/>
                  <w:marTop w:val="0"/>
                  <w:marBottom w:val="0"/>
                  <w:divBdr>
                    <w:top w:val="none" w:sz="0" w:space="0" w:color="auto"/>
                    <w:left w:val="none" w:sz="0" w:space="0" w:color="auto"/>
                    <w:bottom w:val="none" w:sz="0" w:space="0" w:color="auto"/>
                    <w:right w:val="none" w:sz="0" w:space="0" w:color="auto"/>
                  </w:divBdr>
                  <w:divsChild>
                    <w:div w:id="824467069">
                      <w:marLeft w:val="0"/>
                      <w:marRight w:val="0"/>
                      <w:marTop w:val="0"/>
                      <w:marBottom w:val="0"/>
                      <w:divBdr>
                        <w:top w:val="none" w:sz="0" w:space="0" w:color="auto"/>
                        <w:left w:val="none" w:sz="0" w:space="0" w:color="auto"/>
                        <w:bottom w:val="none" w:sz="0" w:space="0" w:color="auto"/>
                        <w:right w:val="none" w:sz="0" w:space="0" w:color="auto"/>
                      </w:divBdr>
                      <w:divsChild>
                        <w:div w:id="1458178837">
                          <w:marLeft w:val="0"/>
                          <w:marRight w:val="0"/>
                          <w:marTop w:val="0"/>
                          <w:marBottom w:val="0"/>
                          <w:divBdr>
                            <w:top w:val="none" w:sz="0" w:space="0" w:color="auto"/>
                            <w:left w:val="none" w:sz="0" w:space="0" w:color="auto"/>
                            <w:bottom w:val="none" w:sz="0" w:space="0" w:color="auto"/>
                            <w:right w:val="none" w:sz="0" w:space="0" w:color="auto"/>
                          </w:divBdr>
                          <w:divsChild>
                            <w:div w:id="1364794062">
                              <w:marLeft w:val="0"/>
                              <w:marRight w:val="0"/>
                              <w:marTop w:val="0"/>
                              <w:marBottom w:val="0"/>
                              <w:divBdr>
                                <w:top w:val="none" w:sz="0" w:space="0" w:color="auto"/>
                                <w:left w:val="none" w:sz="0" w:space="0" w:color="auto"/>
                                <w:bottom w:val="none" w:sz="0" w:space="0" w:color="auto"/>
                                <w:right w:val="none" w:sz="0" w:space="0" w:color="auto"/>
                              </w:divBdr>
                              <w:divsChild>
                                <w:div w:id="1932424509">
                                  <w:marLeft w:val="0"/>
                                  <w:marRight w:val="0"/>
                                  <w:marTop w:val="0"/>
                                  <w:marBottom w:val="0"/>
                                  <w:divBdr>
                                    <w:top w:val="none" w:sz="0" w:space="0" w:color="auto"/>
                                    <w:left w:val="none" w:sz="0" w:space="0" w:color="auto"/>
                                    <w:bottom w:val="none" w:sz="0" w:space="0" w:color="auto"/>
                                    <w:right w:val="none" w:sz="0" w:space="0" w:color="auto"/>
                                  </w:divBdr>
                                  <w:divsChild>
                                    <w:div w:id="1424103922">
                                      <w:marLeft w:val="0"/>
                                      <w:marRight w:val="0"/>
                                      <w:marTop w:val="0"/>
                                      <w:marBottom w:val="0"/>
                                      <w:divBdr>
                                        <w:top w:val="none" w:sz="0" w:space="0" w:color="auto"/>
                                        <w:left w:val="none" w:sz="0" w:space="0" w:color="auto"/>
                                        <w:bottom w:val="none" w:sz="0" w:space="0" w:color="auto"/>
                                        <w:right w:val="none" w:sz="0" w:space="0" w:color="auto"/>
                                      </w:divBdr>
                                      <w:divsChild>
                                        <w:div w:id="1019432204">
                                          <w:marLeft w:val="0"/>
                                          <w:marRight w:val="0"/>
                                          <w:marTop w:val="0"/>
                                          <w:marBottom w:val="0"/>
                                          <w:divBdr>
                                            <w:top w:val="none" w:sz="0" w:space="0" w:color="auto"/>
                                            <w:left w:val="none" w:sz="0" w:space="0" w:color="auto"/>
                                            <w:bottom w:val="none" w:sz="0" w:space="0" w:color="auto"/>
                                            <w:right w:val="none" w:sz="0" w:space="0" w:color="auto"/>
                                          </w:divBdr>
                                          <w:divsChild>
                                            <w:div w:id="2143034518">
                                              <w:marLeft w:val="0"/>
                                              <w:marRight w:val="0"/>
                                              <w:marTop w:val="0"/>
                                              <w:marBottom w:val="0"/>
                                              <w:divBdr>
                                                <w:top w:val="none" w:sz="0" w:space="0" w:color="auto"/>
                                                <w:left w:val="none" w:sz="0" w:space="0" w:color="auto"/>
                                                <w:bottom w:val="none" w:sz="0" w:space="0" w:color="auto"/>
                                                <w:right w:val="none" w:sz="0" w:space="0" w:color="auto"/>
                                              </w:divBdr>
                                              <w:divsChild>
                                                <w:div w:id="461656520">
                                                  <w:marLeft w:val="0"/>
                                                  <w:marRight w:val="0"/>
                                                  <w:marTop w:val="0"/>
                                                  <w:marBottom w:val="0"/>
                                                  <w:divBdr>
                                                    <w:top w:val="none" w:sz="0" w:space="0" w:color="auto"/>
                                                    <w:left w:val="none" w:sz="0" w:space="0" w:color="auto"/>
                                                    <w:bottom w:val="none" w:sz="0" w:space="0" w:color="auto"/>
                                                    <w:right w:val="none" w:sz="0" w:space="0" w:color="auto"/>
                                                  </w:divBdr>
                                                  <w:divsChild>
                                                    <w:div w:id="142478531">
                                                      <w:marLeft w:val="0"/>
                                                      <w:marRight w:val="0"/>
                                                      <w:marTop w:val="0"/>
                                                      <w:marBottom w:val="0"/>
                                                      <w:divBdr>
                                                        <w:top w:val="none" w:sz="0" w:space="0" w:color="auto"/>
                                                        <w:left w:val="none" w:sz="0" w:space="0" w:color="auto"/>
                                                        <w:bottom w:val="none" w:sz="0" w:space="0" w:color="auto"/>
                                                        <w:right w:val="none" w:sz="0" w:space="0" w:color="auto"/>
                                                      </w:divBdr>
                                                      <w:divsChild>
                                                        <w:div w:id="4023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9072956">
      <w:bodyDiv w:val="1"/>
      <w:marLeft w:val="0"/>
      <w:marRight w:val="0"/>
      <w:marTop w:val="0"/>
      <w:marBottom w:val="0"/>
      <w:divBdr>
        <w:top w:val="none" w:sz="0" w:space="0" w:color="auto"/>
        <w:left w:val="none" w:sz="0" w:space="0" w:color="auto"/>
        <w:bottom w:val="none" w:sz="0" w:space="0" w:color="auto"/>
        <w:right w:val="none" w:sz="0" w:space="0" w:color="auto"/>
      </w:divBdr>
      <w:divsChild>
        <w:div w:id="487136883">
          <w:marLeft w:val="0"/>
          <w:marRight w:val="0"/>
          <w:marTop w:val="0"/>
          <w:marBottom w:val="0"/>
          <w:divBdr>
            <w:top w:val="none" w:sz="0" w:space="0" w:color="auto"/>
            <w:left w:val="none" w:sz="0" w:space="0" w:color="auto"/>
            <w:bottom w:val="none" w:sz="0" w:space="0" w:color="auto"/>
            <w:right w:val="none" w:sz="0" w:space="0" w:color="auto"/>
          </w:divBdr>
          <w:divsChild>
            <w:div w:id="1006249077">
              <w:marLeft w:val="0"/>
              <w:marRight w:val="0"/>
              <w:marTop w:val="0"/>
              <w:marBottom w:val="0"/>
              <w:divBdr>
                <w:top w:val="none" w:sz="0" w:space="0" w:color="auto"/>
                <w:left w:val="none" w:sz="0" w:space="0" w:color="auto"/>
                <w:bottom w:val="none" w:sz="0" w:space="0" w:color="auto"/>
                <w:right w:val="none" w:sz="0" w:space="0" w:color="auto"/>
              </w:divBdr>
              <w:divsChild>
                <w:div w:id="39789155">
                  <w:marLeft w:val="0"/>
                  <w:marRight w:val="0"/>
                  <w:marTop w:val="0"/>
                  <w:marBottom w:val="0"/>
                  <w:divBdr>
                    <w:top w:val="none" w:sz="0" w:space="0" w:color="auto"/>
                    <w:left w:val="none" w:sz="0" w:space="0" w:color="auto"/>
                    <w:bottom w:val="none" w:sz="0" w:space="0" w:color="auto"/>
                    <w:right w:val="none" w:sz="0" w:space="0" w:color="auto"/>
                  </w:divBdr>
                  <w:divsChild>
                    <w:div w:id="1461221605">
                      <w:marLeft w:val="0"/>
                      <w:marRight w:val="0"/>
                      <w:marTop w:val="0"/>
                      <w:marBottom w:val="0"/>
                      <w:divBdr>
                        <w:top w:val="none" w:sz="0" w:space="0" w:color="auto"/>
                        <w:left w:val="none" w:sz="0" w:space="0" w:color="auto"/>
                        <w:bottom w:val="none" w:sz="0" w:space="0" w:color="auto"/>
                        <w:right w:val="none" w:sz="0" w:space="0" w:color="auto"/>
                      </w:divBdr>
                      <w:divsChild>
                        <w:div w:id="486481254">
                          <w:marLeft w:val="0"/>
                          <w:marRight w:val="0"/>
                          <w:marTop w:val="0"/>
                          <w:marBottom w:val="0"/>
                          <w:divBdr>
                            <w:top w:val="none" w:sz="0" w:space="0" w:color="auto"/>
                            <w:left w:val="none" w:sz="0" w:space="0" w:color="auto"/>
                            <w:bottom w:val="none" w:sz="0" w:space="0" w:color="auto"/>
                            <w:right w:val="none" w:sz="0" w:space="0" w:color="auto"/>
                          </w:divBdr>
                          <w:divsChild>
                            <w:div w:id="739912634">
                              <w:marLeft w:val="0"/>
                              <w:marRight w:val="0"/>
                              <w:marTop w:val="0"/>
                              <w:marBottom w:val="0"/>
                              <w:divBdr>
                                <w:top w:val="none" w:sz="0" w:space="0" w:color="auto"/>
                                <w:left w:val="none" w:sz="0" w:space="0" w:color="auto"/>
                                <w:bottom w:val="none" w:sz="0" w:space="0" w:color="auto"/>
                                <w:right w:val="none" w:sz="0" w:space="0" w:color="auto"/>
                              </w:divBdr>
                              <w:divsChild>
                                <w:div w:id="1256672466">
                                  <w:marLeft w:val="0"/>
                                  <w:marRight w:val="0"/>
                                  <w:marTop w:val="0"/>
                                  <w:marBottom w:val="0"/>
                                  <w:divBdr>
                                    <w:top w:val="none" w:sz="0" w:space="0" w:color="auto"/>
                                    <w:left w:val="none" w:sz="0" w:space="0" w:color="auto"/>
                                    <w:bottom w:val="none" w:sz="0" w:space="0" w:color="auto"/>
                                    <w:right w:val="none" w:sz="0" w:space="0" w:color="auto"/>
                                  </w:divBdr>
                                  <w:divsChild>
                                    <w:div w:id="1024987686">
                                      <w:marLeft w:val="0"/>
                                      <w:marRight w:val="0"/>
                                      <w:marTop w:val="0"/>
                                      <w:marBottom w:val="0"/>
                                      <w:divBdr>
                                        <w:top w:val="none" w:sz="0" w:space="0" w:color="auto"/>
                                        <w:left w:val="none" w:sz="0" w:space="0" w:color="auto"/>
                                        <w:bottom w:val="none" w:sz="0" w:space="0" w:color="auto"/>
                                        <w:right w:val="none" w:sz="0" w:space="0" w:color="auto"/>
                                      </w:divBdr>
                                      <w:divsChild>
                                        <w:div w:id="1906528670">
                                          <w:marLeft w:val="0"/>
                                          <w:marRight w:val="0"/>
                                          <w:marTop w:val="0"/>
                                          <w:marBottom w:val="0"/>
                                          <w:divBdr>
                                            <w:top w:val="none" w:sz="0" w:space="0" w:color="auto"/>
                                            <w:left w:val="none" w:sz="0" w:space="0" w:color="auto"/>
                                            <w:bottom w:val="none" w:sz="0" w:space="0" w:color="auto"/>
                                            <w:right w:val="none" w:sz="0" w:space="0" w:color="auto"/>
                                          </w:divBdr>
                                          <w:divsChild>
                                            <w:div w:id="1963029024">
                                              <w:marLeft w:val="0"/>
                                              <w:marRight w:val="0"/>
                                              <w:marTop w:val="0"/>
                                              <w:marBottom w:val="0"/>
                                              <w:divBdr>
                                                <w:top w:val="none" w:sz="0" w:space="0" w:color="auto"/>
                                                <w:left w:val="none" w:sz="0" w:space="0" w:color="auto"/>
                                                <w:bottom w:val="none" w:sz="0" w:space="0" w:color="auto"/>
                                                <w:right w:val="none" w:sz="0" w:space="0" w:color="auto"/>
                                              </w:divBdr>
                                              <w:divsChild>
                                                <w:div w:id="1264145647">
                                                  <w:marLeft w:val="0"/>
                                                  <w:marRight w:val="0"/>
                                                  <w:marTop w:val="0"/>
                                                  <w:marBottom w:val="0"/>
                                                  <w:divBdr>
                                                    <w:top w:val="none" w:sz="0" w:space="0" w:color="auto"/>
                                                    <w:left w:val="none" w:sz="0" w:space="0" w:color="auto"/>
                                                    <w:bottom w:val="none" w:sz="0" w:space="0" w:color="auto"/>
                                                    <w:right w:val="none" w:sz="0" w:space="0" w:color="auto"/>
                                                  </w:divBdr>
                                                  <w:divsChild>
                                                    <w:div w:id="111902067">
                                                      <w:marLeft w:val="0"/>
                                                      <w:marRight w:val="0"/>
                                                      <w:marTop w:val="0"/>
                                                      <w:marBottom w:val="0"/>
                                                      <w:divBdr>
                                                        <w:top w:val="none" w:sz="0" w:space="0" w:color="auto"/>
                                                        <w:left w:val="none" w:sz="0" w:space="0" w:color="auto"/>
                                                        <w:bottom w:val="none" w:sz="0" w:space="0" w:color="auto"/>
                                                        <w:right w:val="none" w:sz="0" w:space="0" w:color="auto"/>
                                                      </w:divBdr>
                                                      <w:divsChild>
                                                        <w:div w:id="3263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2561498">
      <w:bodyDiv w:val="1"/>
      <w:marLeft w:val="0"/>
      <w:marRight w:val="0"/>
      <w:marTop w:val="0"/>
      <w:marBottom w:val="0"/>
      <w:divBdr>
        <w:top w:val="none" w:sz="0" w:space="0" w:color="auto"/>
        <w:left w:val="none" w:sz="0" w:space="0" w:color="auto"/>
        <w:bottom w:val="none" w:sz="0" w:space="0" w:color="auto"/>
        <w:right w:val="none" w:sz="0" w:space="0" w:color="auto"/>
      </w:divBdr>
      <w:divsChild>
        <w:div w:id="935165052">
          <w:marLeft w:val="0"/>
          <w:marRight w:val="0"/>
          <w:marTop w:val="0"/>
          <w:marBottom w:val="0"/>
          <w:divBdr>
            <w:top w:val="none" w:sz="0" w:space="0" w:color="auto"/>
            <w:left w:val="none" w:sz="0" w:space="0" w:color="auto"/>
            <w:bottom w:val="none" w:sz="0" w:space="0" w:color="auto"/>
            <w:right w:val="none" w:sz="0" w:space="0" w:color="auto"/>
          </w:divBdr>
          <w:divsChild>
            <w:div w:id="843592572">
              <w:marLeft w:val="0"/>
              <w:marRight w:val="0"/>
              <w:marTop w:val="0"/>
              <w:marBottom w:val="0"/>
              <w:divBdr>
                <w:top w:val="none" w:sz="0" w:space="0" w:color="auto"/>
                <w:left w:val="none" w:sz="0" w:space="0" w:color="auto"/>
                <w:bottom w:val="none" w:sz="0" w:space="0" w:color="auto"/>
                <w:right w:val="none" w:sz="0" w:space="0" w:color="auto"/>
              </w:divBdr>
              <w:divsChild>
                <w:div w:id="1513106289">
                  <w:marLeft w:val="0"/>
                  <w:marRight w:val="0"/>
                  <w:marTop w:val="0"/>
                  <w:marBottom w:val="0"/>
                  <w:divBdr>
                    <w:top w:val="none" w:sz="0" w:space="0" w:color="auto"/>
                    <w:left w:val="none" w:sz="0" w:space="0" w:color="auto"/>
                    <w:bottom w:val="none" w:sz="0" w:space="0" w:color="auto"/>
                    <w:right w:val="none" w:sz="0" w:space="0" w:color="auto"/>
                  </w:divBdr>
                  <w:divsChild>
                    <w:div w:id="1211963653">
                      <w:marLeft w:val="0"/>
                      <w:marRight w:val="0"/>
                      <w:marTop w:val="0"/>
                      <w:marBottom w:val="0"/>
                      <w:divBdr>
                        <w:top w:val="none" w:sz="0" w:space="0" w:color="auto"/>
                        <w:left w:val="none" w:sz="0" w:space="0" w:color="auto"/>
                        <w:bottom w:val="none" w:sz="0" w:space="0" w:color="auto"/>
                        <w:right w:val="none" w:sz="0" w:space="0" w:color="auto"/>
                      </w:divBdr>
                      <w:divsChild>
                        <w:div w:id="1426611742">
                          <w:marLeft w:val="0"/>
                          <w:marRight w:val="0"/>
                          <w:marTop w:val="0"/>
                          <w:marBottom w:val="0"/>
                          <w:divBdr>
                            <w:top w:val="none" w:sz="0" w:space="0" w:color="auto"/>
                            <w:left w:val="none" w:sz="0" w:space="0" w:color="auto"/>
                            <w:bottom w:val="none" w:sz="0" w:space="0" w:color="auto"/>
                            <w:right w:val="none" w:sz="0" w:space="0" w:color="auto"/>
                          </w:divBdr>
                          <w:divsChild>
                            <w:div w:id="1378429904">
                              <w:marLeft w:val="0"/>
                              <w:marRight w:val="0"/>
                              <w:marTop w:val="0"/>
                              <w:marBottom w:val="0"/>
                              <w:divBdr>
                                <w:top w:val="none" w:sz="0" w:space="0" w:color="auto"/>
                                <w:left w:val="none" w:sz="0" w:space="0" w:color="auto"/>
                                <w:bottom w:val="none" w:sz="0" w:space="0" w:color="auto"/>
                                <w:right w:val="none" w:sz="0" w:space="0" w:color="auto"/>
                              </w:divBdr>
                              <w:divsChild>
                                <w:div w:id="156844402">
                                  <w:marLeft w:val="0"/>
                                  <w:marRight w:val="0"/>
                                  <w:marTop w:val="0"/>
                                  <w:marBottom w:val="0"/>
                                  <w:divBdr>
                                    <w:top w:val="none" w:sz="0" w:space="0" w:color="auto"/>
                                    <w:left w:val="none" w:sz="0" w:space="0" w:color="auto"/>
                                    <w:bottom w:val="none" w:sz="0" w:space="0" w:color="auto"/>
                                    <w:right w:val="none" w:sz="0" w:space="0" w:color="auto"/>
                                  </w:divBdr>
                                  <w:divsChild>
                                    <w:div w:id="564607801">
                                      <w:marLeft w:val="0"/>
                                      <w:marRight w:val="0"/>
                                      <w:marTop w:val="0"/>
                                      <w:marBottom w:val="0"/>
                                      <w:divBdr>
                                        <w:top w:val="none" w:sz="0" w:space="0" w:color="auto"/>
                                        <w:left w:val="none" w:sz="0" w:space="0" w:color="auto"/>
                                        <w:bottom w:val="none" w:sz="0" w:space="0" w:color="auto"/>
                                        <w:right w:val="none" w:sz="0" w:space="0" w:color="auto"/>
                                      </w:divBdr>
                                      <w:divsChild>
                                        <w:div w:id="982196470">
                                          <w:marLeft w:val="0"/>
                                          <w:marRight w:val="0"/>
                                          <w:marTop w:val="0"/>
                                          <w:marBottom w:val="0"/>
                                          <w:divBdr>
                                            <w:top w:val="none" w:sz="0" w:space="0" w:color="auto"/>
                                            <w:left w:val="none" w:sz="0" w:space="0" w:color="auto"/>
                                            <w:bottom w:val="none" w:sz="0" w:space="0" w:color="auto"/>
                                            <w:right w:val="none" w:sz="0" w:space="0" w:color="auto"/>
                                          </w:divBdr>
                                          <w:divsChild>
                                            <w:div w:id="1679193658">
                                              <w:marLeft w:val="0"/>
                                              <w:marRight w:val="0"/>
                                              <w:marTop w:val="0"/>
                                              <w:marBottom w:val="0"/>
                                              <w:divBdr>
                                                <w:top w:val="none" w:sz="0" w:space="0" w:color="auto"/>
                                                <w:left w:val="none" w:sz="0" w:space="0" w:color="auto"/>
                                                <w:bottom w:val="none" w:sz="0" w:space="0" w:color="auto"/>
                                                <w:right w:val="none" w:sz="0" w:space="0" w:color="auto"/>
                                              </w:divBdr>
                                              <w:divsChild>
                                                <w:div w:id="1167552976">
                                                  <w:marLeft w:val="0"/>
                                                  <w:marRight w:val="0"/>
                                                  <w:marTop w:val="0"/>
                                                  <w:marBottom w:val="0"/>
                                                  <w:divBdr>
                                                    <w:top w:val="none" w:sz="0" w:space="0" w:color="auto"/>
                                                    <w:left w:val="none" w:sz="0" w:space="0" w:color="auto"/>
                                                    <w:bottom w:val="none" w:sz="0" w:space="0" w:color="auto"/>
                                                    <w:right w:val="none" w:sz="0" w:space="0" w:color="auto"/>
                                                  </w:divBdr>
                                                  <w:divsChild>
                                                    <w:div w:id="297687281">
                                                      <w:marLeft w:val="0"/>
                                                      <w:marRight w:val="0"/>
                                                      <w:marTop w:val="0"/>
                                                      <w:marBottom w:val="0"/>
                                                      <w:divBdr>
                                                        <w:top w:val="none" w:sz="0" w:space="0" w:color="auto"/>
                                                        <w:left w:val="none" w:sz="0" w:space="0" w:color="auto"/>
                                                        <w:bottom w:val="none" w:sz="0" w:space="0" w:color="auto"/>
                                                        <w:right w:val="none" w:sz="0" w:space="0" w:color="auto"/>
                                                      </w:divBdr>
                                                      <w:divsChild>
                                                        <w:div w:id="10390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232308">
      <w:bodyDiv w:val="1"/>
      <w:marLeft w:val="0"/>
      <w:marRight w:val="0"/>
      <w:marTop w:val="0"/>
      <w:marBottom w:val="0"/>
      <w:divBdr>
        <w:top w:val="none" w:sz="0" w:space="0" w:color="auto"/>
        <w:left w:val="none" w:sz="0" w:space="0" w:color="auto"/>
        <w:bottom w:val="none" w:sz="0" w:space="0" w:color="auto"/>
        <w:right w:val="none" w:sz="0" w:space="0" w:color="auto"/>
      </w:divBdr>
      <w:divsChild>
        <w:div w:id="1704790002">
          <w:marLeft w:val="0"/>
          <w:marRight w:val="0"/>
          <w:marTop w:val="0"/>
          <w:marBottom w:val="0"/>
          <w:divBdr>
            <w:top w:val="none" w:sz="0" w:space="0" w:color="auto"/>
            <w:left w:val="none" w:sz="0" w:space="0" w:color="auto"/>
            <w:bottom w:val="none" w:sz="0" w:space="0" w:color="auto"/>
            <w:right w:val="none" w:sz="0" w:space="0" w:color="auto"/>
          </w:divBdr>
          <w:divsChild>
            <w:div w:id="525338490">
              <w:marLeft w:val="0"/>
              <w:marRight w:val="0"/>
              <w:marTop w:val="0"/>
              <w:marBottom w:val="0"/>
              <w:divBdr>
                <w:top w:val="none" w:sz="0" w:space="0" w:color="auto"/>
                <w:left w:val="none" w:sz="0" w:space="0" w:color="auto"/>
                <w:bottom w:val="none" w:sz="0" w:space="0" w:color="auto"/>
                <w:right w:val="none" w:sz="0" w:space="0" w:color="auto"/>
              </w:divBdr>
              <w:divsChild>
                <w:div w:id="667852">
                  <w:marLeft w:val="0"/>
                  <w:marRight w:val="0"/>
                  <w:marTop w:val="0"/>
                  <w:marBottom w:val="0"/>
                  <w:divBdr>
                    <w:top w:val="none" w:sz="0" w:space="0" w:color="auto"/>
                    <w:left w:val="none" w:sz="0" w:space="0" w:color="auto"/>
                    <w:bottom w:val="none" w:sz="0" w:space="0" w:color="auto"/>
                    <w:right w:val="none" w:sz="0" w:space="0" w:color="auto"/>
                  </w:divBdr>
                  <w:divsChild>
                    <w:div w:id="1291014343">
                      <w:marLeft w:val="0"/>
                      <w:marRight w:val="0"/>
                      <w:marTop w:val="0"/>
                      <w:marBottom w:val="0"/>
                      <w:divBdr>
                        <w:top w:val="none" w:sz="0" w:space="0" w:color="auto"/>
                        <w:left w:val="none" w:sz="0" w:space="0" w:color="auto"/>
                        <w:bottom w:val="none" w:sz="0" w:space="0" w:color="auto"/>
                        <w:right w:val="none" w:sz="0" w:space="0" w:color="auto"/>
                      </w:divBdr>
                      <w:divsChild>
                        <w:div w:id="1638074521">
                          <w:marLeft w:val="0"/>
                          <w:marRight w:val="0"/>
                          <w:marTop w:val="0"/>
                          <w:marBottom w:val="0"/>
                          <w:divBdr>
                            <w:top w:val="none" w:sz="0" w:space="0" w:color="auto"/>
                            <w:left w:val="none" w:sz="0" w:space="0" w:color="auto"/>
                            <w:bottom w:val="none" w:sz="0" w:space="0" w:color="auto"/>
                            <w:right w:val="none" w:sz="0" w:space="0" w:color="auto"/>
                          </w:divBdr>
                          <w:divsChild>
                            <w:div w:id="2043899424">
                              <w:marLeft w:val="0"/>
                              <w:marRight w:val="0"/>
                              <w:marTop w:val="0"/>
                              <w:marBottom w:val="0"/>
                              <w:divBdr>
                                <w:top w:val="none" w:sz="0" w:space="0" w:color="auto"/>
                                <w:left w:val="none" w:sz="0" w:space="0" w:color="auto"/>
                                <w:bottom w:val="none" w:sz="0" w:space="0" w:color="auto"/>
                                <w:right w:val="none" w:sz="0" w:space="0" w:color="auto"/>
                              </w:divBdr>
                              <w:divsChild>
                                <w:div w:id="537475843">
                                  <w:marLeft w:val="0"/>
                                  <w:marRight w:val="0"/>
                                  <w:marTop w:val="0"/>
                                  <w:marBottom w:val="0"/>
                                  <w:divBdr>
                                    <w:top w:val="none" w:sz="0" w:space="0" w:color="auto"/>
                                    <w:left w:val="none" w:sz="0" w:space="0" w:color="auto"/>
                                    <w:bottom w:val="none" w:sz="0" w:space="0" w:color="auto"/>
                                    <w:right w:val="none" w:sz="0" w:space="0" w:color="auto"/>
                                  </w:divBdr>
                                  <w:divsChild>
                                    <w:div w:id="1341736782">
                                      <w:marLeft w:val="0"/>
                                      <w:marRight w:val="0"/>
                                      <w:marTop w:val="0"/>
                                      <w:marBottom w:val="0"/>
                                      <w:divBdr>
                                        <w:top w:val="none" w:sz="0" w:space="0" w:color="auto"/>
                                        <w:left w:val="none" w:sz="0" w:space="0" w:color="auto"/>
                                        <w:bottom w:val="none" w:sz="0" w:space="0" w:color="auto"/>
                                        <w:right w:val="none" w:sz="0" w:space="0" w:color="auto"/>
                                      </w:divBdr>
                                      <w:divsChild>
                                        <w:div w:id="1795754153">
                                          <w:marLeft w:val="0"/>
                                          <w:marRight w:val="0"/>
                                          <w:marTop w:val="0"/>
                                          <w:marBottom w:val="0"/>
                                          <w:divBdr>
                                            <w:top w:val="none" w:sz="0" w:space="0" w:color="auto"/>
                                            <w:left w:val="none" w:sz="0" w:space="0" w:color="auto"/>
                                            <w:bottom w:val="none" w:sz="0" w:space="0" w:color="auto"/>
                                            <w:right w:val="none" w:sz="0" w:space="0" w:color="auto"/>
                                          </w:divBdr>
                                          <w:divsChild>
                                            <w:div w:id="2132434613">
                                              <w:marLeft w:val="0"/>
                                              <w:marRight w:val="0"/>
                                              <w:marTop w:val="0"/>
                                              <w:marBottom w:val="0"/>
                                              <w:divBdr>
                                                <w:top w:val="none" w:sz="0" w:space="0" w:color="auto"/>
                                                <w:left w:val="none" w:sz="0" w:space="0" w:color="auto"/>
                                                <w:bottom w:val="none" w:sz="0" w:space="0" w:color="auto"/>
                                                <w:right w:val="none" w:sz="0" w:space="0" w:color="auto"/>
                                              </w:divBdr>
                                              <w:divsChild>
                                                <w:div w:id="1605191361">
                                                  <w:marLeft w:val="0"/>
                                                  <w:marRight w:val="0"/>
                                                  <w:marTop w:val="0"/>
                                                  <w:marBottom w:val="0"/>
                                                  <w:divBdr>
                                                    <w:top w:val="none" w:sz="0" w:space="0" w:color="auto"/>
                                                    <w:left w:val="none" w:sz="0" w:space="0" w:color="auto"/>
                                                    <w:bottom w:val="none" w:sz="0" w:space="0" w:color="auto"/>
                                                    <w:right w:val="none" w:sz="0" w:space="0" w:color="auto"/>
                                                  </w:divBdr>
                                                  <w:divsChild>
                                                    <w:div w:id="1504051202">
                                                      <w:marLeft w:val="0"/>
                                                      <w:marRight w:val="0"/>
                                                      <w:marTop w:val="0"/>
                                                      <w:marBottom w:val="0"/>
                                                      <w:divBdr>
                                                        <w:top w:val="none" w:sz="0" w:space="0" w:color="auto"/>
                                                        <w:left w:val="none" w:sz="0" w:space="0" w:color="auto"/>
                                                        <w:bottom w:val="none" w:sz="0" w:space="0" w:color="auto"/>
                                                        <w:right w:val="none" w:sz="0" w:space="0" w:color="auto"/>
                                                      </w:divBdr>
                                                      <w:divsChild>
                                                        <w:div w:id="5644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D08CDB8-BCF7-4BA7-A755-9E115B864B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4169B8285F7F94C97A53051DEDE4EAE" ma:contentTypeVersion="" ma:contentTypeDescription="PDMS Document Site Content Type" ma:contentTypeScope="" ma:versionID="dcaf39c83675344d152de320a81215fb">
  <xsd:schema xmlns:xsd="http://www.w3.org/2001/XMLSchema" xmlns:xs="http://www.w3.org/2001/XMLSchema" xmlns:p="http://schemas.microsoft.com/office/2006/metadata/properties" xmlns:ns2="6D08CDB8-BCF7-4BA7-A755-9E115B864B40" targetNamespace="http://schemas.microsoft.com/office/2006/metadata/properties" ma:root="true" ma:fieldsID="6cfd7630d6b6520d79cd48b0cb677ef8" ns2:_="">
    <xsd:import namespace="6D08CDB8-BCF7-4BA7-A755-9E115B864B4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8CDB8-BCF7-4BA7-A755-9E115B864B4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8CF8F-7E11-451E-9050-E44D64DD2691}">
  <ds:schemaRefs>
    <ds:schemaRef ds:uri="http://purl.org/dc/terms/"/>
    <ds:schemaRef ds:uri="6D08CDB8-BCF7-4BA7-A755-9E115B864B40"/>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DE31CA1-2117-42A0-BBE6-8BD516C2363E}">
  <ds:schemaRefs>
    <ds:schemaRef ds:uri="http://schemas.microsoft.com/sharepoint/v3/contenttype/forms"/>
  </ds:schemaRefs>
</ds:datastoreItem>
</file>

<file path=customXml/itemProps3.xml><?xml version="1.0" encoding="utf-8"?>
<ds:datastoreItem xmlns:ds="http://schemas.openxmlformats.org/officeDocument/2006/customXml" ds:itemID="{7C9E00E6-3D77-4A4A-89C6-5F495D2A8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8CDB8-BCF7-4BA7-A755-9E115B8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10466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2017-09-27T23:48:00Z</cp:lastPrinted>
  <dcterms:created xsi:type="dcterms:W3CDTF">2018-02-08T04:24:00Z</dcterms:created>
  <dcterms:modified xsi:type="dcterms:W3CDTF">2018-02-08T04:24:00Z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0x010100266966F133664895A6EE3632470D45F50064169B8285F7F94C97A53051DEDE4EAE</vt:lpwstr>
  </property>
</Properties>
</file>