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EB5A51B" w14:textId="77777777" w:rsidTr="00A22E0D">
        <w:tc>
          <w:tcPr>
            <w:tcW w:w="4661" w:type="dxa"/>
          </w:tcPr>
          <w:p w14:paraId="5A392BDE" w14:textId="77777777" w:rsidR="00090A6F" w:rsidRPr="0000292B" w:rsidRDefault="00364B30">
            <w:pPr>
              <w:pStyle w:val="CoverStandard"/>
            </w:pPr>
            <w:bookmarkStart w:id="0" w:name="_GoBack"/>
            <w:bookmarkEnd w:id="0"/>
            <w:r>
              <w:t>AASB</w:t>
            </w:r>
            <w:r w:rsidR="00831497">
              <w:t xml:space="preserve"> Standard</w:t>
            </w:r>
          </w:p>
        </w:tc>
        <w:tc>
          <w:tcPr>
            <w:tcW w:w="4661" w:type="dxa"/>
          </w:tcPr>
          <w:p w14:paraId="5E54CF3E" w14:textId="515557EB" w:rsidR="00090A6F" w:rsidRPr="0000292B" w:rsidRDefault="00AB0BFE">
            <w:pPr>
              <w:pStyle w:val="CoverNumber"/>
            </w:pPr>
            <w:r>
              <w:t>aasb 2017-5</w:t>
            </w:r>
          </w:p>
          <w:p w14:paraId="769F776E" w14:textId="521AAB89" w:rsidR="00090A6F" w:rsidRPr="0000292B" w:rsidRDefault="00AB0BFE" w:rsidP="00AB0BFE">
            <w:pPr>
              <w:pStyle w:val="CoverDate"/>
            </w:pPr>
            <w:bookmarkStart w:id="1" w:name="DocDate"/>
            <w:r>
              <w:t>December</w:t>
            </w:r>
            <w:r w:rsidR="0059596C">
              <w:t xml:space="preserve"> 2017</w:t>
            </w:r>
            <w:bookmarkEnd w:id="1"/>
          </w:p>
        </w:tc>
      </w:tr>
    </w:tbl>
    <w:p w14:paraId="798BD73E" w14:textId="27B9E842" w:rsidR="00090A6F" w:rsidRPr="009B1FF7" w:rsidRDefault="0059596C" w:rsidP="009B1FF7">
      <w:pPr>
        <w:pStyle w:val="Heading1"/>
        <w:spacing w:before="720"/>
        <w:rPr>
          <w:szCs w:val="50"/>
        </w:rPr>
      </w:pPr>
      <w:bookmarkStart w:id="2" w:name="DocTitle"/>
      <w:r w:rsidRPr="0092533A">
        <w:rPr>
          <w:rFonts w:ascii="Times New Roman" w:hAnsi="Times New Roman" w:cs="Times New Roman"/>
          <w:sz w:val="50"/>
          <w:szCs w:val="50"/>
        </w:rPr>
        <w:t>A</w:t>
      </w:r>
      <w:r w:rsidRPr="009B1FF7">
        <w:rPr>
          <w:rFonts w:ascii="Times New Roman" w:hAnsi="Times New Roman" w:cs="Times New Roman"/>
          <w:bCs w:val="0"/>
          <w:sz w:val="50"/>
          <w:szCs w:val="50"/>
        </w:rPr>
        <w:t>mendments to A</w:t>
      </w:r>
      <w:r w:rsidR="00640BEA" w:rsidRPr="009B1FF7">
        <w:rPr>
          <w:rFonts w:ascii="Times New Roman" w:hAnsi="Times New Roman" w:cs="Times New Roman"/>
          <w:bCs w:val="0"/>
          <w:sz w:val="50"/>
          <w:szCs w:val="50"/>
        </w:rPr>
        <w:t xml:space="preserve">ustralian Accounting Standards </w:t>
      </w:r>
      <w:r w:rsidRPr="009B1FF7">
        <w:rPr>
          <w:rFonts w:ascii="Times New Roman" w:hAnsi="Times New Roman" w:cs="Times New Roman"/>
          <w:bCs w:val="0"/>
          <w:sz w:val="50"/>
          <w:szCs w:val="50"/>
        </w:rPr>
        <w:t>– Effective Date of Amendments to AASB 10 and AASB 128</w:t>
      </w:r>
      <w:bookmarkEnd w:id="2"/>
      <w:r w:rsidR="00B64DD9" w:rsidRPr="009B1FF7">
        <w:rPr>
          <w:rFonts w:ascii="Times New Roman" w:hAnsi="Times New Roman" w:cs="Times New Roman"/>
          <w:bCs w:val="0"/>
          <w:sz w:val="50"/>
          <w:szCs w:val="50"/>
        </w:rPr>
        <w:t xml:space="preserve"> and Editorial Corrections</w:t>
      </w:r>
    </w:p>
    <w:p w14:paraId="04CD6EF2" w14:textId="77777777" w:rsidR="00737714" w:rsidRPr="0000292B" w:rsidRDefault="00737714" w:rsidP="00737714"/>
    <w:p w14:paraId="5825F27C" w14:textId="77777777" w:rsidR="00090A6F" w:rsidRPr="0000292B" w:rsidRDefault="008B643A">
      <w:pPr>
        <w:sectPr w:rsidR="00090A6F" w:rsidRPr="0000292B" w:rsidSect="006D72A9">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7728" behindDoc="0" locked="1" layoutInCell="1" allowOverlap="1" wp14:anchorId="18E48677" wp14:editId="120748D8">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45E35"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682EE4F4"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6A124C57" w14:textId="77777777" w:rsidR="00895809" w:rsidRPr="0000292B" w:rsidRDefault="00895809" w:rsidP="00895809">
      <w:r w:rsidRPr="0000292B">
        <w:t>Australian Accounting Standards Board</w:t>
      </w:r>
    </w:p>
    <w:p w14:paraId="5B078E6E" w14:textId="77777777" w:rsidR="00895809" w:rsidRPr="0000292B" w:rsidRDefault="00895809" w:rsidP="00895809">
      <w:r>
        <w:t>PO Box 204</w:t>
      </w:r>
    </w:p>
    <w:p w14:paraId="4BEFF038" w14:textId="77777777" w:rsidR="00895809" w:rsidRPr="0000292B" w:rsidRDefault="00895809" w:rsidP="00895809">
      <w:r>
        <w:t>Collins Street West</w:t>
      </w:r>
    </w:p>
    <w:p w14:paraId="4EDF8184" w14:textId="77777777" w:rsidR="00895809" w:rsidRPr="0000292B" w:rsidRDefault="00895809" w:rsidP="00895809">
      <w:r>
        <w:t>Victoria   8007</w:t>
      </w:r>
    </w:p>
    <w:p w14:paraId="6F787161" w14:textId="77777777" w:rsidR="00895809" w:rsidRDefault="00895809" w:rsidP="00895809">
      <w:pPr>
        <w:pStyle w:val="CoverContact"/>
        <w:spacing w:after="200"/>
      </w:pPr>
      <w:r w:rsidRPr="0000292B">
        <w:t>AUSTRALIA</w:t>
      </w:r>
    </w:p>
    <w:p w14:paraId="5A9852A1" w14:textId="77777777" w:rsidR="0077373F" w:rsidRPr="0000292B" w:rsidRDefault="0077373F" w:rsidP="0077373F">
      <w:pPr>
        <w:pStyle w:val="CoverContact"/>
      </w:pPr>
      <w:r w:rsidRPr="0000292B">
        <w:t>Phone:</w:t>
      </w:r>
      <w:r w:rsidRPr="0000292B">
        <w:tab/>
        <w:t xml:space="preserve">(03) </w:t>
      </w:r>
      <w:r w:rsidRPr="00B82F15">
        <w:t>9617</w:t>
      </w:r>
      <w:r w:rsidRPr="0000292B">
        <w:t xml:space="preserve"> 7600</w:t>
      </w:r>
    </w:p>
    <w:p w14:paraId="20A6C0F5" w14:textId="77777777" w:rsidR="0077373F" w:rsidRPr="0000292B" w:rsidRDefault="0077373F" w:rsidP="0077373F">
      <w:pPr>
        <w:pStyle w:val="CoverContact"/>
      </w:pPr>
      <w:r>
        <w:t>E-mail:</w:t>
      </w:r>
      <w:r>
        <w:tab/>
        <w:t>standard@aasb.gov</w:t>
      </w:r>
      <w:r w:rsidRPr="0000292B">
        <w:t>.au</w:t>
      </w:r>
    </w:p>
    <w:p w14:paraId="5D8E1937" w14:textId="77777777" w:rsidR="00E96D45" w:rsidRPr="00E96D45" w:rsidRDefault="00DB00CD" w:rsidP="00DB00CD">
      <w:pPr>
        <w:pStyle w:val="CoverContact"/>
        <w:spacing w:after="240"/>
      </w:pPr>
      <w:r>
        <w:t>Website:</w:t>
      </w:r>
      <w:r>
        <w:tab/>
        <w:t>www.aasb.gov.au</w:t>
      </w:r>
    </w:p>
    <w:p w14:paraId="2F6A3224" w14:textId="77777777" w:rsidR="00090A6F" w:rsidRPr="0000292B" w:rsidRDefault="00090A6F" w:rsidP="00F13C5A">
      <w:pPr>
        <w:pStyle w:val="Heading1"/>
      </w:pPr>
      <w:r w:rsidRPr="0000292B">
        <w:t xml:space="preserve">Other </w:t>
      </w:r>
      <w:r w:rsidR="005655CE" w:rsidRPr="0000292B">
        <w:t>enquiries</w:t>
      </w:r>
    </w:p>
    <w:p w14:paraId="18125CC8"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137E25FF" w14:textId="77777777" w:rsidR="00090A6F" w:rsidRPr="0000292B" w:rsidRDefault="00923261">
      <w:pPr>
        <w:pStyle w:val="CoverContact"/>
      </w:pPr>
      <w:r>
        <w:t>E-mail:</w:t>
      </w:r>
      <w:r>
        <w:tab/>
        <w:t>standard@aasb.gov</w:t>
      </w:r>
      <w:r w:rsidR="00090A6F" w:rsidRPr="0000292B">
        <w:t>.au</w:t>
      </w:r>
    </w:p>
    <w:p w14:paraId="69846A19" w14:textId="77777777" w:rsidR="00276BC5" w:rsidRDefault="00276BC5" w:rsidP="0092533A">
      <w:pPr>
        <w:pStyle w:val="NoNumPlain1"/>
        <w:spacing w:before="6240"/>
      </w:pPr>
      <w:bookmarkStart w:id="3" w:name="CopyrightText"/>
      <w:r>
        <w:t>COPYRIGHT</w:t>
      </w:r>
    </w:p>
    <w:p w14:paraId="17E71F58" w14:textId="77777777" w:rsidR="00276BC5" w:rsidRDefault="00276BC5" w:rsidP="00276BC5">
      <w:pPr>
        <w:pStyle w:val="NoNumPlain1"/>
      </w:pPr>
      <w:r>
        <w:t>© Com</w:t>
      </w:r>
      <w:bookmarkStart w:id="4" w:name="CopyrightDomestic"/>
      <w:bookmarkEnd w:id="4"/>
      <w:r>
        <w:t xml:space="preserve">monwealth of Australia </w:t>
      </w:r>
      <w:bookmarkStart w:id="5" w:name="Year"/>
      <w:r w:rsidR="0059596C">
        <w:t>2017</w:t>
      </w:r>
      <w:bookmarkEnd w:id="5"/>
    </w:p>
    <w:p w14:paraId="0754054B" w14:textId="77777777" w:rsidR="00287C84" w:rsidRDefault="00287C84" w:rsidP="00287C84">
      <w:pPr>
        <w:pStyle w:val="NoNumPlain1"/>
      </w:pPr>
      <w:r>
        <w:t>This AASB Standard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National Director, Australian Accounting Standards Board, PO Box 204, Collins Street West, Victoria 8007.</w:t>
      </w:r>
    </w:p>
    <w:p w14:paraId="3D5BCE4F" w14:textId="77777777" w:rsidR="00287C84" w:rsidRDefault="00287C84" w:rsidP="00287C84">
      <w:pPr>
        <w:pStyle w:val="Body"/>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bookmarkEnd w:id="3"/>
    <w:p w14:paraId="557753B8" w14:textId="77777777" w:rsidR="007455F0" w:rsidRPr="0000292B" w:rsidRDefault="006D4700" w:rsidP="006D4700">
      <w:r>
        <w:t xml:space="preserve">ISSN </w:t>
      </w:r>
      <w:bookmarkStart w:id="6" w:name="ISSN"/>
      <w:r w:rsidR="0059596C">
        <w:t>1036-4803</w:t>
      </w:r>
      <w:bookmarkEnd w:id="6"/>
    </w:p>
    <w:p w14:paraId="5DD39E2C" w14:textId="77777777" w:rsidR="00090A6F" w:rsidRPr="0000292B" w:rsidRDefault="00090A6F">
      <w:pPr>
        <w:sectPr w:rsidR="00090A6F" w:rsidRPr="0000292B" w:rsidSect="006D72A9">
          <w:footerReference w:type="default" r:id="rId9"/>
          <w:pgSz w:w="11907" w:h="16840" w:code="9"/>
          <w:pgMar w:top="1418" w:right="1418" w:bottom="1418" w:left="1418" w:header="709" w:footer="709" w:gutter="0"/>
          <w:paperSrc w:first="7" w:other="7"/>
          <w:cols w:space="720"/>
        </w:sectPr>
      </w:pPr>
    </w:p>
    <w:p w14:paraId="1A67E025" w14:textId="77777777" w:rsidR="00090A6F" w:rsidRPr="0000292B" w:rsidRDefault="005655CE">
      <w:pPr>
        <w:pStyle w:val="Heading1"/>
      </w:pPr>
      <w:r w:rsidRPr="0000292B">
        <w:lastRenderedPageBreak/>
        <w:t>Contents</w:t>
      </w:r>
    </w:p>
    <w:p w14:paraId="1E0E9CF9" w14:textId="77777777" w:rsidR="00090A6F" w:rsidRPr="00D534E1" w:rsidRDefault="00090A6F">
      <w:pPr>
        <w:pStyle w:val="ContentsCapsPlain"/>
        <w:rPr>
          <w:caps/>
        </w:rPr>
      </w:pPr>
      <w:r w:rsidRPr="00D534E1">
        <w:rPr>
          <w:caps/>
        </w:rPr>
        <w:t>Preface</w:t>
      </w:r>
    </w:p>
    <w:p w14:paraId="31A8B268" w14:textId="77777777" w:rsidR="00090A6F" w:rsidRPr="00D534E1" w:rsidRDefault="00090A6F">
      <w:pPr>
        <w:pStyle w:val="ContentsCapsBold"/>
        <w:rPr>
          <w:caps/>
        </w:rPr>
      </w:pPr>
      <w:r w:rsidRPr="00D534E1">
        <w:rPr>
          <w:caps/>
        </w:rPr>
        <w:t>Accounting Standard</w:t>
      </w:r>
    </w:p>
    <w:p w14:paraId="2FD1113B" w14:textId="45B58755" w:rsidR="00090A6F" w:rsidRPr="00D534E1" w:rsidRDefault="00090A6F">
      <w:pPr>
        <w:pStyle w:val="ContentsCapsBold"/>
        <w:rPr>
          <w:i/>
          <w:iCs/>
          <w:caps/>
        </w:rPr>
      </w:pPr>
      <w:r w:rsidRPr="00D534E1">
        <w:rPr>
          <w:caps/>
        </w:rPr>
        <w:t xml:space="preserve">AASB </w:t>
      </w:r>
      <w:r w:rsidR="0077373F">
        <w:rPr>
          <w:caps/>
        </w:rPr>
        <w:t xml:space="preserve">2017-5 </w:t>
      </w:r>
      <w:r w:rsidR="00CC1DF4" w:rsidRPr="00D534E1">
        <w:rPr>
          <w:i/>
          <w:caps/>
        </w:rPr>
        <w:fldChar w:fldCharType="begin" w:fldLock="1"/>
      </w:r>
      <w:r w:rsidR="00CC1DF4" w:rsidRPr="00D534E1">
        <w:rPr>
          <w:i/>
          <w:caps/>
        </w:rPr>
        <w:instrText xml:space="preserve"> REF DocTitle \* charformat </w:instrText>
      </w:r>
      <w:r w:rsidR="00D534E1">
        <w:rPr>
          <w:i/>
          <w:caps/>
        </w:rPr>
        <w:instrText xml:space="preserve"> \* MERGEFORMAT </w:instrText>
      </w:r>
      <w:r w:rsidR="00CC1DF4" w:rsidRPr="00D534E1">
        <w:rPr>
          <w:i/>
          <w:caps/>
        </w:rPr>
        <w:fldChar w:fldCharType="separate"/>
      </w:r>
      <w:r w:rsidR="0059596C" w:rsidRPr="00D534E1">
        <w:rPr>
          <w:i/>
          <w:caps/>
        </w:rPr>
        <w:t>Amendments to A</w:t>
      </w:r>
      <w:r w:rsidR="000C3410" w:rsidRPr="00D534E1">
        <w:rPr>
          <w:i/>
          <w:caps/>
        </w:rPr>
        <w:t xml:space="preserve">ustralian Accounting Standards </w:t>
      </w:r>
      <w:r w:rsidR="0059596C" w:rsidRPr="00D534E1">
        <w:rPr>
          <w:i/>
          <w:caps/>
        </w:rPr>
        <w:t>– Effective Date of Amendments to AASB 10 and AASB 128</w:t>
      </w:r>
      <w:r w:rsidR="00CC1DF4" w:rsidRPr="00D534E1">
        <w:rPr>
          <w:i/>
          <w:caps/>
        </w:rPr>
        <w:fldChar w:fldCharType="end"/>
      </w:r>
      <w:r w:rsidR="00F166BB">
        <w:rPr>
          <w:i/>
          <w:caps/>
        </w:rPr>
        <w:t xml:space="preserve"> and editorial corrections</w:t>
      </w:r>
    </w:p>
    <w:p w14:paraId="028EC8EC" w14:textId="77777777" w:rsidR="002B7803" w:rsidRPr="00D534E1" w:rsidRDefault="002B7803" w:rsidP="002B7803">
      <w:pPr>
        <w:rPr>
          <w:caps/>
        </w:rPr>
      </w:pPr>
    </w:p>
    <w:p w14:paraId="3ABEB9F6" w14:textId="1312AE5B" w:rsidR="00090A6F" w:rsidRPr="000663A0" w:rsidRDefault="00E46988">
      <w:pPr>
        <w:pStyle w:val="ContentsParaHead"/>
      </w:pPr>
      <w:r w:rsidRPr="000663A0">
        <w:t>from paragraph</w:t>
      </w:r>
    </w:p>
    <w:p w14:paraId="41F0DD00" w14:textId="77777777" w:rsidR="00090A6F" w:rsidRPr="00D534E1" w:rsidRDefault="00090A6F">
      <w:pPr>
        <w:pStyle w:val="ContentsLevel1"/>
        <w:rPr>
          <w:b/>
          <w:caps/>
        </w:rPr>
      </w:pPr>
      <w:bookmarkStart w:id="7" w:name="TOCRange"/>
      <w:r w:rsidRPr="00D534E1">
        <w:rPr>
          <w:b/>
          <w:caps/>
        </w:rPr>
        <w:t>Objective</w:t>
      </w:r>
      <w:r w:rsidRPr="00D534E1">
        <w:rPr>
          <w:b/>
          <w:caps/>
        </w:rPr>
        <w:tab/>
      </w:r>
      <w:r w:rsidR="00D534E1" w:rsidRPr="00D534E1">
        <w:rPr>
          <w:b/>
          <w:caps/>
        </w:rPr>
        <w:t>1</w:t>
      </w:r>
    </w:p>
    <w:p w14:paraId="505B102E" w14:textId="77777777" w:rsidR="00090A6F" w:rsidRPr="00D534E1" w:rsidRDefault="00090A6F">
      <w:pPr>
        <w:pStyle w:val="ContentsLevel1"/>
        <w:rPr>
          <w:b/>
          <w:caps/>
        </w:rPr>
      </w:pPr>
      <w:r w:rsidRPr="00D534E1">
        <w:rPr>
          <w:b/>
          <w:caps/>
        </w:rPr>
        <w:t>Application</w:t>
      </w:r>
      <w:r w:rsidRPr="00D534E1">
        <w:rPr>
          <w:b/>
          <w:caps/>
        </w:rPr>
        <w:tab/>
      </w:r>
      <w:r w:rsidR="00D534E1" w:rsidRPr="00D534E1">
        <w:rPr>
          <w:b/>
          <w:caps/>
        </w:rPr>
        <w:t>2</w:t>
      </w:r>
    </w:p>
    <w:p w14:paraId="5088A3FB" w14:textId="77777777" w:rsidR="0059596C" w:rsidRPr="00D534E1" w:rsidRDefault="0059596C" w:rsidP="0059596C">
      <w:pPr>
        <w:pStyle w:val="ContentsLevel1"/>
        <w:rPr>
          <w:b/>
          <w:caps/>
        </w:rPr>
      </w:pPr>
      <w:r w:rsidRPr="00D534E1">
        <w:rPr>
          <w:b/>
          <w:caps/>
        </w:rPr>
        <w:t>Amendments to AASB 10</w:t>
      </w:r>
      <w:r w:rsidRPr="00D534E1">
        <w:rPr>
          <w:b/>
          <w:caps/>
        </w:rPr>
        <w:tab/>
      </w:r>
      <w:r w:rsidR="00D534E1" w:rsidRPr="00D534E1">
        <w:rPr>
          <w:b/>
          <w:caps/>
        </w:rPr>
        <w:t>6</w:t>
      </w:r>
    </w:p>
    <w:p w14:paraId="2507A3E9" w14:textId="77777777" w:rsidR="0059596C" w:rsidRDefault="0059596C" w:rsidP="0059596C">
      <w:pPr>
        <w:pStyle w:val="ContentsLevel1"/>
        <w:rPr>
          <w:b/>
          <w:caps/>
        </w:rPr>
      </w:pPr>
      <w:r w:rsidRPr="00D534E1">
        <w:rPr>
          <w:b/>
          <w:caps/>
        </w:rPr>
        <w:t>Amendments to AASB 128</w:t>
      </w:r>
      <w:r w:rsidRPr="00D534E1">
        <w:rPr>
          <w:b/>
          <w:caps/>
        </w:rPr>
        <w:tab/>
      </w:r>
      <w:r w:rsidR="00D534E1" w:rsidRPr="00D534E1">
        <w:rPr>
          <w:b/>
          <w:caps/>
        </w:rPr>
        <w:t>9</w:t>
      </w:r>
    </w:p>
    <w:p w14:paraId="3127DF50" w14:textId="77777777" w:rsidR="0099022C" w:rsidRPr="00D534E1" w:rsidRDefault="0099022C" w:rsidP="0059596C">
      <w:pPr>
        <w:pStyle w:val="ContentsLevel1"/>
        <w:rPr>
          <w:b/>
          <w:caps/>
        </w:rPr>
      </w:pPr>
      <w:r>
        <w:rPr>
          <w:b/>
          <w:caps/>
        </w:rPr>
        <w:t>editorial corrections</w:t>
      </w:r>
      <w:r>
        <w:rPr>
          <w:b/>
          <w:caps/>
        </w:rPr>
        <w:tab/>
        <w:t>12</w:t>
      </w:r>
    </w:p>
    <w:p w14:paraId="61AEC658" w14:textId="4EB7A6C2" w:rsidR="00D534E1" w:rsidRPr="00D534E1" w:rsidRDefault="00D534E1">
      <w:pPr>
        <w:pStyle w:val="ContentsLevel1"/>
        <w:rPr>
          <w:b/>
          <w:caps/>
        </w:rPr>
      </w:pPr>
      <w:r w:rsidRPr="00D534E1">
        <w:rPr>
          <w:b/>
          <w:caps/>
        </w:rPr>
        <w:t xml:space="preserve">Commencement </w:t>
      </w:r>
      <w:r w:rsidR="0099022C">
        <w:rPr>
          <w:b/>
          <w:caps/>
        </w:rPr>
        <w:t>of the legislative instrument</w:t>
      </w:r>
      <w:r w:rsidR="0099022C">
        <w:rPr>
          <w:b/>
          <w:caps/>
        </w:rPr>
        <w:tab/>
      </w:r>
      <w:r w:rsidR="001052FD">
        <w:rPr>
          <w:b/>
          <w:caps/>
        </w:rPr>
        <w:t>29</w:t>
      </w:r>
    </w:p>
    <w:p w14:paraId="08FC0659" w14:textId="7685482D" w:rsidR="00090A6F" w:rsidRPr="0000292B" w:rsidRDefault="00090A6F">
      <w:bookmarkStart w:id="8" w:name="ContentsMarker"/>
      <w:bookmarkEnd w:id="8"/>
    </w:p>
    <w:bookmarkEnd w:id="7"/>
    <w:p w14:paraId="478C38C8" w14:textId="372F356F" w:rsidR="00090A6F" w:rsidRPr="0000292B" w:rsidRDefault="00090A6F" w:rsidP="0092533A">
      <w:pPr>
        <w:pStyle w:val="ContentsBox"/>
        <w:spacing w:before="240"/>
      </w:pPr>
      <w:r w:rsidRPr="0000292B">
        <w:t xml:space="preserve">Australian Accounting Standard AASB </w:t>
      </w:r>
      <w:r w:rsidR="0077373F">
        <w:rPr>
          <w:iCs/>
        </w:rPr>
        <w:t>2017-5</w:t>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59596C" w:rsidRPr="0059596C">
        <w:rPr>
          <w:i/>
        </w:rPr>
        <w:t>Amendments to Australian Accounting Standards – Effective Date of Amendments to AASB 10 and AASB 128</w:t>
      </w:r>
      <w:r w:rsidR="00CC1DF4" w:rsidRPr="00CC1DF4">
        <w:rPr>
          <w:i/>
        </w:rPr>
        <w:fldChar w:fldCharType="end"/>
      </w:r>
      <w:r w:rsidR="00F166BB">
        <w:rPr>
          <w:i/>
          <w:iCs/>
        </w:rPr>
        <w:t xml:space="preserve"> and Editorial Corrections </w:t>
      </w:r>
      <w:r w:rsidRPr="0000292B">
        <w:t xml:space="preserve">is set out </w:t>
      </w:r>
      <w:r w:rsidR="00E46988">
        <w:t>i</w:t>
      </w:r>
      <w:r w:rsidRPr="0000292B">
        <w:t xml:space="preserve">n </w:t>
      </w:r>
      <w:r w:rsidR="00E46988">
        <w:t>paragraphs</w:t>
      </w:r>
      <w:r w:rsidRPr="0000292B">
        <w:t xml:space="preserve"> </w:t>
      </w:r>
      <w:r w:rsidR="00F166BB">
        <w:t xml:space="preserve">1 – </w:t>
      </w:r>
      <w:r w:rsidR="001052FD">
        <w:t>29</w:t>
      </w:r>
      <w:r w:rsidRPr="0000292B">
        <w:t>. All the pa</w:t>
      </w:r>
      <w:r w:rsidR="009C2479">
        <w:t>ragraphs have equal authority.</w:t>
      </w:r>
    </w:p>
    <w:p w14:paraId="696B3030" w14:textId="77777777" w:rsidR="00090A6F" w:rsidRPr="0000292B" w:rsidRDefault="00090A6F">
      <w:pPr>
        <w:pStyle w:val="ContentsBox"/>
        <w:pBdr>
          <w:top w:val="none" w:sz="0" w:space="0" w:color="auto"/>
          <w:left w:val="none" w:sz="0" w:space="0" w:color="auto"/>
          <w:bottom w:val="none" w:sz="0" w:space="0" w:color="auto"/>
          <w:right w:val="none" w:sz="0" w:space="0" w:color="auto"/>
        </w:pBdr>
      </w:pPr>
    </w:p>
    <w:p w14:paraId="502491FB" w14:textId="77777777" w:rsidR="00090A6F" w:rsidRPr="0000292B" w:rsidRDefault="00090A6F">
      <w:pPr>
        <w:sectPr w:rsidR="00090A6F" w:rsidRPr="0000292B" w:rsidSect="006D72A9">
          <w:footerReference w:type="default" r:id="rId10"/>
          <w:pgSz w:w="11907" w:h="16840" w:code="9"/>
          <w:pgMar w:top="1418" w:right="1418" w:bottom="1418" w:left="1418" w:header="709" w:footer="709" w:gutter="0"/>
          <w:paperSrc w:first="7" w:other="7"/>
          <w:cols w:space="720"/>
        </w:sectPr>
      </w:pPr>
    </w:p>
    <w:p w14:paraId="26011D48" w14:textId="77777777" w:rsidR="00090A6F" w:rsidRPr="0000292B" w:rsidRDefault="00090A6F">
      <w:pPr>
        <w:pStyle w:val="Heading1"/>
      </w:pPr>
      <w:r w:rsidRPr="0000292B">
        <w:lastRenderedPageBreak/>
        <w:t>Preface</w:t>
      </w:r>
    </w:p>
    <w:p w14:paraId="13CD177E" w14:textId="2921AB2F" w:rsidR="000F64CC" w:rsidRPr="0000292B" w:rsidRDefault="00CA61C5">
      <w:pPr>
        <w:pStyle w:val="Heading2"/>
      </w:pPr>
      <w:r>
        <w:t xml:space="preserve">Standards amended by AASB </w:t>
      </w:r>
      <w:r w:rsidR="00AB0BFE">
        <w:t>2017-5</w:t>
      </w:r>
    </w:p>
    <w:p w14:paraId="3E0B096D" w14:textId="1C4CCF18" w:rsidR="008A16EB" w:rsidRPr="00300375" w:rsidRDefault="009C2479" w:rsidP="005A2514">
      <w:pPr>
        <w:pStyle w:val="NoNumPlain1"/>
      </w:pPr>
      <w:r>
        <w:t>Thi</w:t>
      </w:r>
      <w:r w:rsidR="00AB0BFE">
        <w:t xml:space="preserve">s </w:t>
      </w:r>
      <w:r>
        <w:t xml:space="preserve">Standard makes amendments to </w:t>
      </w:r>
      <w:r w:rsidR="00300375">
        <w:t xml:space="preserve">AASB 10 </w:t>
      </w:r>
      <w:r w:rsidR="00300375">
        <w:rPr>
          <w:i/>
        </w:rPr>
        <w:t>Consolidated Financial Statements</w:t>
      </w:r>
      <w:r w:rsidR="00155E56">
        <w:t xml:space="preserve"> (July 2015), </w:t>
      </w:r>
      <w:r w:rsidR="00300375">
        <w:t xml:space="preserve">AASB 128 </w:t>
      </w:r>
      <w:r w:rsidR="00300375">
        <w:rPr>
          <w:i/>
        </w:rPr>
        <w:t>Investments in Associates and Joint Ventures</w:t>
      </w:r>
      <w:r w:rsidR="00300375">
        <w:t xml:space="preserve"> (August 2015)</w:t>
      </w:r>
      <w:r w:rsidR="00155E56">
        <w:t xml:space="preserve"> and the other Standards and Interpretation listed in paragraph 1 of the Standard</w:t>
      </w:r>
      <w:r w:rsidR="00300375">
        <w:t>.</w:t>
      </w:r>
    </w:p>
    <w:p w14:paraId="48756D78" w14:textId="5B677D6E" w:rsidR="008A16EB" w:rsidRPr="00300375" w:rsidRDefault="00401ECA" w:rsidP="00401ECA">
      <w:pPr>
        <w:pStyle w:val="NoNumPlain1"/>
      </w:pPr>
      <w:r>
        <w:t xml:space="preserve">These </w:t>
      </w:r>
      <w:r w:rsidR="00460FBB">
        <w:t>a</w:t>
      </w:r>
      <w:r>
        <w:t xml:space="preserve">mendments </w:t>
      </w:r>
      <w:bookmarkStart w:id="9" w:name="ArisingNo"/>
      <w:bookmarkStart w:id="10" w:name="ArisingTitle"/>
      <w:bookmarkEnd w:id="9"/>
      <w:bookmarkEnd w:id="10"/>
      <w:r w:rsidR="000663A0">
        <w:t>relate to</w:t>
      </w:r>
      <w:r w:rsidR="00300375">
        <w:t xml:space="preserve"> International Financial Reporting Standard </w:t>
      </w:r>
      <w:r w:rsidR="00300375">
        <w:rPr>
          <w:i/>
        </w:rPr>
        <w:t>Effective Date of Amendments to IFRS 10 and IAS 28</w:t>
      </w:r>
      <w:r w:rsidR="000663A0">
        <w:t>, issued</w:t>
      </w:r>
      <w:r w:rsidR="00300375">
        <w:t xml:space="preserve"> by the International Accounting Standards Board (IASB) in December 2015</w:t>
      </w:r>
      <w:r w:rsidR="00155E56">
        <w:t xml:space="preserve">, </w:t>
      </w:r>
      <w:r w:rsidR="000663A0">
        <w:t>as well as a range of editorial corrections</w:t>
      </w:r>
      <w:r w:rsidR="00300375">
        <w:t>.</w:t>
      </w:r>
    </w:p>
    <w:p w14:paraId="5BF56A63" w14:textId="77777777" w:rsidR="00090A6F" w:rsidRDefault="00F22AF2" w:rsidP="00F22AF2">
      <w:pPr>
        <w:pStyle w:val="Heading2"/>
      </w:pPr>
      <w:r>
        <w:t>Main features of this Standard</w:t>
      </w:r>
    </w:p>
    <w:p w14:paraId="70FF30FA" w14:textId="77777777" w:rsidR="00F22AF2" w:rsidRDefault="00F22AF2" w:rsidP="00F22AF2">
      <w:pPr>
        <w:pStyle w:val="Heading2Indent1"/>
      </w:pPr>
      <w:r>
        <w:t>Main requirements</w:t>
      </w:r>
    </w:p>
    <w:p w14:paraId="0906DEEF" w14:textId="49B18CC2" w:rsidR="000C3410" w:rsidRDefault="00B73910" w:rsidP="00F22AF2">
      <w:pPr>
        <w:pStyle w:val="NoNumPlain1"/>
      </w:pPr>
      <w:r>
        <w:t>This Standard defers the mandatory effective date (application date) of</w:t>
      </w:r>
      <w:r w:rsidR="000C3410">
        <w:t xml:space="preserve"> amendments to AASB 10 and AASB </w:t>
      </w:r>
      <w:r>
        <w:t xml:space="preserve">128 that were originally made in AASB 2014-10 </w:t>
      </w:r>
      <w:r>
        <w:rPr>
          <w:i/>
        </w:rPr>
        <w:t>Amendments to Australian Accounting Standards – Sale or Contribution of Assets between an Investor and its Associate or Joint Venture</w:t>
      </w:r>
      <w:r>
        <w:t xml:space="preserve"> so that the amendments are required to be applied for annual reporting periods beginning on or after 1 January 2022 instead of 1 January 2018.</w:t>
      </w:r>
      <w:r w:rsidR="000C3410">
        <w:t xml:space="preserve">  </w:t>
      </w:r>
    </w:p>
    <w:p w14:paraId="67A330E4" w14:textId="6B108372" w:rsidR="00F22AF2" w:rsidRDefault="00691190" w:rsidP="00F22AF2">
      <w:pPr>
        <w:pStyle w:val="NoNumPlain1"/>
      </w:pPr>
      <w:r>
        <w:t xml:space="preserve">The amendments in AASB 2014-10 originally applied to annual reporting periods beginning on or after 1 January 2016, but were later deferred by the IASB indefinitely. Due to legal implications, the AASB </w:t>
      </w:r>
      <w:r w:rsidR="001052FD">
        <w:t>is</w:t>
      </w:r>
      <w:r>
        <w:t xml:space="preserve"> unable to defer the amendments indefinitely, </w:t>
      </w:r>
      <w:r w:rsidR="001052FD">
        <w:t>and</w:t>
      </w:r>
      <w:r>
        <w:t xml:space="preserve"> instead deferred the amendments to apply to annual reporting periods beginning on or after 1 January 2018 through AASB 2015-10 </w:t>
      </w:r>
      <w:r>
        <w:rPr>
          <w:i/>
        </w:rPr>
        <w:t>Amendments to Australian Accounting Standards – Effective Date of Amendments to AASB 10 and AASB 128</w:t>
      </w:r>
      <w:r>
        <w:t xml:space="preserve">. As the IASB’s amendments continue to be deferred indefinitely, this Standard </w:t>
      </w:r>
      <w:r w:rsidR="001052FD">
        <w:t xml:space="preserve">further </w:t>
      </w:r>
      <w:r>
        <w:t>defers the amendments to annual reporting periods beginning on or after 1 January 2022.</w:t>
      </w:r>
    </w:p>
    <w:p w14:paraId="7A979243" w14:textId="77777777" w:rsidR="00155E56" w:rsidRPr="000C3410" w:rsidRDefault="00155E56" w:rsidP="00F22AF2">
      <w:pPr>
        <w:pStyle w:val="NoNumPlain1"/>
      </w:pPr>
      <w:r>
        <w:t>This Standard also makes various editorial corrections to Australian Accounting Standards.</w:t>
      </w:r>
    </w:p>
    <w:p w14:paraId="23D302B6" w14:textId="77777777" w:rsidR="00F22AF2" w:rsidRDefault="00F22AF2" w:rsidP="00F22AF2">
      <w:pPr>
        <w:pStyle w:val="Heading2Indent1"/>
      </w:pPr>
      <w:r>
        <w:t>Application date</w:t>
      </w:r>
    </w:p>
    <w:p w14:paraId="711BC905" w14:textId="77777777" w:rsidR="00F22AF2" w:rsidRPr="00F22AF2" w:rsidRDefault="00B16904" w:rsidP="00F22AF2">
      <w:pPr>
        <w:pStyle w:val="NoNumPlain1"/>
      </w:pPr>
      <w:r>
        <w:t xml:space="preserve">This Standard applies to annual periods </w:t>
      </w:r>
      <w:bookmarkStart w:id="11" w:name="ApplyText"/>
      <w:r>
        <w:t>beginning</w:t>
      </w:r>
      <w:bookmarkEnd w:id="11"/>
      <w:r>
        <w:t xml:space="preserve"> on or after</w:t>
      </w:r>
      <w:r w:rsidR="00867FB0">
        <w:t xml:space="preserve"> </w:t>
      </w:r>
      <w:bookmarkStart w:id="12" w:name="ApplyDate"/>
      <w:r w:rsidR="0059596C">
        <w:t>1 January 2018</w:t>
      </w:r>
      <w:bookmarkEnd w:id="12"/>
      <w:r>
        <w:t>.  Earlier application is permitted.</w:t>
      </w:r>
    </w:p>
    <w:p w14:paraId="51FBBAE7" w14:textId="77777777" w:rsidR="00F22AF2" w:rsidRPr="0000292B" w:rsidRDefault="00F22AF2"/>
    <w:p w14:paraId="413E13F3" w14:textId="77777777" w:rsidR="00090A6F" w:rsidRPr="0000292B" w:rsidRDefault="00090A6F">
      <w:pPr>
        <w:sectPr w:rsidR="00090A6F" w:rsidRPr="0000292B" w:rsidSect="006D72A9">
          <w:footerReference w:type="default" r:id="rId11"/>
          <w:pgSz w:w="11907" w:h="16840" w:code="9"/>
          <w:pgMar w:top="1418" w:right="1418" w:bottom="1418" w:left="1418" w:header="709" w:footer="709" w:gutter="0"/>
          <w:paperSrc w:first="7" w:other="7"/>
          <w:cols w:space="720"/>
        </w:sectPr>
      </w:pPr>
    </w:p>
    <w:p w14:paraId="05901790" w14:textId="15303358" w:rsidR="001662B8" w:rsidRPr="0000292B" w:rsidRDefault="00F13C5A" w:rsidP="001662B8">
      <w:pPr>
        <w:pStyle w:val="Heading1"/>
      </w:pPr>
      <w:r w:rsidRPr="0000292B">
        <w:lastRenderedPageBreak/>
        <w:t xml:space="preserve">Accounting Standard </w:t>
      </w:r>
      <w:r w:rsidR="001662B8" w:rsidRPr="0000292B">
        <w:t xml:space="preserve">AASB </w:t>
      </w:r>
      <w:r w:rsidR="00AB0BFE">
        <w:rPr>
          <w:iCs/>
        </w:rPr>
        <w:t>2017-5</w:t>
      </w:r>
    </w:p>
    <w:p w14:paraId="03E4B154" w14:textId="752E7C46" w:rsidR="001662B8" w:rsidRDefault="001662B8" w:rsidP="003E1900">
      <w:pPr>
        <w:pStyle w:val="NoNumPlain1"/>
      </w:pPr>
      <w:r>
        <w:t>The Australian Accounting Standards Board makes Accounting Standard AASB </w:t>
      </w:r>
      <w:r w:rsidR="00AB0BFE">
        <w:t>2017-5</w:t>
      </w:r>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59596C" w:rsidRPr="0059596C">
        <w:rPr>
          <w:i/>
        </w:rPr>
        <w:t>Amendments to A</w:t>
      </w:r>
      <w:r w:rsidR="00592C6D">
        <w:rPr>
          <w:i/>
        </w:rPr>
        <w:t xml:space="preserve">ustralian Accounting Standards </w:t>
      </w:r>
      <w:r w:rsidR="0059596C" w:rsidRPr="0059596C">
        <w:rPr>
          <w:i/>
        </w:rPr>
        <w:t>– Effective Date of Amendments to AASB 10 and AASB 128</w:t>
      </w:r>
      <w:r w:rsidR="00CC1DF4" w:rsidRPr="00CC1DF4">
        <w:rPr>
          <w:i/>
        </w:rPr>
        <w:fldChar w:fldCharType="end"/>
      </w:r>
      <w:bookmarkStart w:id="13" w:name="CorpsAct"/>
      <w:r w:rsidR="002B7803">
        <w:rPr>
          <w:i/>
          <w:iCs/>
        </w:rPr>
        <w:t xml:space="preserve"> </w:t>
      </w:r>
      <w:r w:rsidR="00F166BB">
        <w:rPr>
          <w:i/>
          <w:iCs/>
        </w:rPr>
        <w:t xml:space="preserve">and Editorial Corrections </w:t>
      </w:r>
      <w:r>
        <w:t xml:space="preserve">under section 334 of the </w:t>
      </w:r>
      <w:r>
        <w:rPr>
          <w:i/>
          <w:iCs/>
        </w:rPr>
        <w:t>Corporations Act 2001</w:t>
      </w:r>
      <w:bookmarkEnd w:id="13"/>
      <w:r>
        <w:t>.</w:t>
      </w:r>
    </w:p>
    <w:tbl>
      <w:tblPr>
        <w:tblW w:w="932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961"/>
      </w:tblGrid>
      <w:tr w:rsidR="00C03C7B" w14:paraId="2D2500F5" w14:textId="77777777" w:rsidTr="008C1C4A">
        <w:tc>
          <w:tcPr>
            <w:tcW w:w="4361" w:type="dxa"/>
          </w:tcPr>
          <w:p w14:paraId="777397F6" w14:textId="77777777" w:rsidR="00C03C7B" w:rsidRDefault="00C03C7B" w:rsidP="0048155F"/>
        </w:tc>
        <w:tc>
          <w:tcPr>
            <w:tcW w:w="4961" w:type="dxa"/>
          </w:tcPr>
          <w:p w14:paraId="2899BE44" w14:textId="77777777" w:rsidR="00C03C7B" w:rsidRDefault="008F3EBA" w:rsidP="0048155F">
            <w:pPr>
              <w:jc w:val="right"/>
            </w:pPr>
            <w:r>
              <w:t>Kris Peach</w:t>
            </w:r>
          </w:p>
        </w:tc>
      </w:tr>
      <w:tr w:rsidR="00C03C7B" w14:paraId="2562FC37" w14:textId="77777777" w:rsidTr="008C1C4A">
        <w:tc>
          <w:tcPr>
            <w:tcW w:w="4361" w:type="dxa"/>
          </w:tcPr>
          <w:p w14:paraId="7FA29110" w14:textId="4660BC5C" w:rsidR="00C03C7B" w:rsidRDefault="00AB0BFE" w:rsidP="000663A0">
            <w:r>
              <w:t>Dated 12 December 2017</w:t>
            </w:r>
          </w:p>
        </w:tc>
        <w:tc>
          <w:tcPr>
            <w:tcW w:w="4961" w:type="dxa"/>
          </w:tcPr>
          <w:p w14:paraId="1AA41FC1" w14:textId="77777777" w:rsidR="00C03C7B" w:rsidRDefault="00C03C7B" w:rsidP="0048155F">
            <w:pPr>
              <w:jc w:val="right"/>
            </w:pPr>
            <w:r>
              <w:t>Chair – AASB</w:t>
            </w:r>
          </w:p>
        </w:tc>
      </w:tr>
    </w:tbl>
    <w:p w14:paraId="6172A04C" w14:textId="0826F017" w:rsidR="00090A6F" w:rsidRPr="0000292B" w:rsidRDefault="00F13C5A" w:rsidP="00867FB0">
      <w:pPr>
        <w:pStyle w:val="Heading1"/>
        <w:spacing w:after="0"/>
      </w:pPr>
      <w:r w:rsidRPr="0000292B">
        <w:t xml:space="preserve">Accounting Standard </w:t>
      </w:r>
      <w:r w:rsidR="00090A6F" w:rsidRPr="0000292B">
        <w:t xml:space="preserve">AASB </w:t>
      </w:r>
      <w:r w:rsidR="00AB0BFE">
        <w:rPr>
          <w:iCs/>
        </w:rPr>
        <w:t>2017-5</w:t>
      </w:r>
    </w:p>
    <w:p w14:paraId="057C670B" w14:textId="77777777" w:rsidR="00090A6F" w:rsidRDefault="00CC1DF4" w:rsidP="003E1900">
      <w:pPr>
        <w:pStyle w:val="Heading1Italic"/>
        <w:spacing w:before="0"/>
      </w:pPr>
      <w:r>
        <w:fldChar w:fldCharType="begin" w:fldLock="1"/>
      </w:r>
      <w:r>
        <w:instrText xml:space="preserve"> REF DocTitle \* charformat</w:instrText>
      </w:r>
      <w:r>
        <w:fldChar w:fldCharType="separate"/>
      </w:r>
      <w:r w:rsidR="0059596C">
        <w:t>Amendments to Australian Accounting Standards – Effective Date of Amendments to AASB 10 and AASB 128</w:t>
      </w:r>
      <w:r>
        <w:fldChar w:fldCharType="end"/>
      </w:r>
      <w:r w:rsidR="00F166BB">
        <w:t xml:space="preserve"> and Editorial Corrections</w:t>
      </w:r>
    </w:p>
    <w:p w14:paraId="1089C5E6" w14:textId="77777777" w:rsidR="00090A6F" w:rsidRPr="0000292B" w:rsidRDefault="00090A6F" w:rsidP="00FC30DA">
      <w:pPr>
        <w:pStyle w:val="Heading2"/>
      </w:pPr>
      <w:bookmarkStart w:id="14" w:name="TOCStart"/>
      <w:bookmarkEnd w:id="14"/>
      <w:r w:rsidRPr="0000292B">
        <w:t>Objective</w:t>
      </w:r>
    </w:p>
    <w:p w14:paraId="1079C52D" w14:textId="77777777" w:rsidR="00090A6F" w:rsidRDefault="00867FB0" w:rsidP="00E46988">
      <w:pPr>
        <w:pStyle w:val="NumPlain1"/>
      </w:pPr>
      <w:r>
        <w:t>This</w:t>
      </w:r>
      <w:r w:rsidR="001662B8">
        <w:t xml:space="preserve"> Standard </w:t>
      </w:r>
      <w:r>
        <w:t>amends</w:t>
      </w:r>
      <w:r w:rsidR="001662B8">
        <w:t>:</w:t>
      </w:r>
    </w:p>
    <w:p w14:paraId="2A8E00CD" w14:textId="77777777" w:rsidR="00155E56" w:rsidRDefault="00155E56" w:rsidP="00155E56">
      <w:pPr>
        <w:pStyle w:val="NumPlain2"/>
      </w:pPr>
      <w:r w:rsidRPr="00155E56">
        <w:t xml:space="preserve">AASB 1 </w:t>
      </w:r>
      <w:r w:rsidRPr="00155E56">
        <w:rPr>
          <w:i/>
        </w:rPr>
        <w:t>First-time Adoption of Australian Accounting Standards</w:t>
      </w:r>
      <w:r w:rsidR="00DB5875">
        <w:t xml:space="preserve"> (July 2015)</w:t>
      </w:r>
      <w:r>
        <w:t>;</w:t>
      </w:r>
    </w:p>
    <w:p w14:paraId="24C18DD1" w14:textId="3F4C8065" w:rsidR="00155E56" w:rsidRDefault="00155E56" w:rsidP="00155E56">
      <w:pPr>
        <w:pStyle w:val="NumPlain2"/>
      </w:pPr>
      <w:r w:rsidRPr="00155E56">
        <w:t xml:space="preserve">AASB 2 </w:t>
      </w:r>
      <w:r w:rsidRPr="00155E56">
        <w:rPr>
          <w:i/>
        </w:rPr>
        <w:t>Share-based Payment</w:t>
      </w:r>
      <w:r w:rsidR="00DB5875">
        <w:t xml:space="preserve"> (July 2015)</w:t>
      </w:r>
      <w:r>
        <w:t>;</w:t>
      </w:r>
    </w:p>
    <w:p w14:paraId="7C04AC3E" w14:textId="77777777" w:rsidR="00155E56" w:rsidRDefault="00155E56" w:rsidP="00155E56">
      <w:pPr>
        <w:pStyle w:val="NumPlain2"/>
      </w:pPr>
      <w:r>
        <w:t xml:space="preserve">AASB 7 </w:t>
      </w:r>
      <w:r>
        <w:rPr>
          <w:i/>
        </w:rPr>
        <w:t>Financial Instruments:</w:t>
      </w:r>
      <w:r w:rsidRPr="00DB5875">
        <w:rPr>
          <w:i/>
        </w:rPr>
        <w:t xml:space="preserve"> Disclosure</w:t>
      </w:r>
      <w:r w:rsidR="00DB5875">
        <w:rPr>
          <w:i/>
        </w:rPr>
        <w:t>s</w:t>
      </w:r>
      <w:r w:rsidR="00DB5875">
        <w:t xml:space="preserve"> (August 2015)</w:t>
      </w:r>
      <w:r>
        <w:t>;</w:t>
      </w:r>
    </w:p>
    <w:p w14:paraId="5A50CAFF" w14:textId="77777777" w:rsidR="00C74243" w:rsidRDefault="00C74243" w:rsidP="00155E56">
      <w:pPr>
        <w:pStyle w:val="NumPlain2"/>
      </w:pPr>
      <w:r>
        <w:t xml:space="preserve">AASB 10 </w:t>
      </w:r>
      <w:r>
        <w:rPr>
          <w:i/>
        </w:rPr>
        <w:t xml:space="preserve">Consolidated Financial Statements </w:t>
      </w:r>
      <w:r>
        <w:t>(July 2015);</w:t>
      </w:r>
    </w:p>
    <w:p w14:paraId="566B7AAE" w14:textId="77777777" w:rsidR="00155E56" w:rsidRDefault="00155E56" w:rsidP="0059596C">
      <w:pPr>
        <w:pStyle w:val="NumPlain2"/>
      </w:pPr>
      <w:r>
        <w:t xml:space="preserve">AASB 101 </w:t>
      </w:r>
      <w:r>
        <w:rPr>
          <w:i/>
        </w:rPr>
        <w:t>Presentation of Financial Statements</w:t>
      </w:r>
      <w:r w:rsidR="00DB5875">
        <w:t xml:space="preserve"> (July 2015)</w:t>
      </w:r>
      <w:r>
        <w:t>;</w:t>
      </w:r>
    </w:p>
    <w:p w14:paraId="744E48CA" w14:textId="77777777" w:rsidR="008B5352" w:rsidRDefault="008B5352" w:rsidP="0059596C">
      <w:pPr>
        <w:pStyle w:val="NumPlain2"/>
      </w:pPr>
      <w:r>
        <w:t xml:space="preserve">AASB 110 </w:t>
      </w:r>
      <w:r>
        <w:rPr>
          <w:i/>
        </w:rPr>
        <w:t>Events after the Reporting Period</w:t>
      </w:r>
      <w:r>
        <w:t xml:space="preserve"> (August 2015);</w:t>
      </w:r>
    </w:p>
    <w:p w14:paraId="37456CDE" w14:textId="77777777" w:rsidR="0059596C" w:rsidRDefault="0059596C" w:rsidP="0059596C">
      <w:pPr>
        <w:pStyle w:val="NumPlain2"/>
      </w:pPr>
      <w:r>
        <w:t xml:space="preserve">AASB 128 </w:t>
      </w:r>
      <w:r w:rsidRPr="0059596C">
        <w:rPr>
          <w:i/>
        </w:rPr>
        <w:t>Investments in Associates and Joint Ventures</w:t>
      </w:r>
      <w:r w:rsidR="00300375">
        <w:t xml:space="preserve"> (August 2015)</w:t>
      </w:r>
      <w:r>
        <w:t>;</w:t>
      </w:r>
    </w:p>
    <w:p w14:paraId="0D644128" w14:textId="77777777" w:rsidR="00DB5875" w:rsidRDefault="00DB5875" w:rsidP="0059596C">
      <w:pPr>
        <w:pStyle w:val="NumPlain2"/>
      </w:pPr>
      <w:r>
        <w:t>AASB 134</w:t>
      </w:r>
      <w:r>
        <w:rPr>
          <w:i/>
        </w:rPr>
        <w:t xml:space="preserve"> Interim Financial Reporting</w:t>
      </w:r>
      <w:r>
        <w:t xml:space="preserve"> (August 2015);</w:t>
      </w:r>
    </w:p>
    <w:p w14:paraId="5A2443EB" w14:textId="77777777" w:rsidR="00DB5875" w:rsidRDefault="00DB5875" w:rsidP="0059596C">
      <w:pPr>
        <w:pStyle w:val="NumPlain2"/>
      </w:pPr>
      <w:r>
        <w:t xml:space="preserve">AASB 1023 </w:t>
      </w:r>
      <w:r>
        <w:rPr>
          <w:i/>
        </w:rPr>
        <w:t>General Insurance Contract</w:t>
      </w:r>
      <w:r w:rsidR="001052FD">
        <w:rPr>
          <w:i/>
        </w:rPr>
        <w:t>s</w:t>
      </w:r>
      <w:r>
        <w:rPr>
          <w:i/>
        </w:rPr>
        <w:t xml:space="preserve"> </w:t>
      </w:r>
      <w:r>
        <w:t>(July 2004); and</w:t>
      </w:r>
    </w:p>
    <w:p w14:paraId="3C4E648A" w14:textId="035C0D34" w:rsidR="00DB5875" w:rsidRDefault="00DB5875" w:rsidP="0059596C">
      <w:pPr>
        <w:pStyle w:val="NumPlain2"/>
      </w:pPr>
      <w:r>
        <w:t xml:space="preserve">Interpretation 12 </w:t>
      </w:r>
      <w:r>
        <w:rPr>
          <w:i/>
        </w:rPr>
        <w:t xml:space="preserve">Service Concession Arrangements </w:t>
      </w:r>
      <w:r>
        <w:t>(August 2015)</w:t>
      </w:r>
      <w:r w:rsidR="000663A0">
        <w:t>;</w:t>
      </w:r>
    </w:p>
    <w:p w14:paraId="2673D7A1" w14:textId="2589762F" w:rsidR="001662B8" w:rsidRPr="0000292B" w:rsidRDefault="001662B8" w:rsidP="00E46988">
      <w:pPr>
        <w:pStyle w:val="NoNumPlain2"/>
      </w:pPr>
      <w:r>
        <w:t>a</w:t>
      </w:r>
      <w:bookmarkStart w:id="15" w:name="StndObj"/>
      <w:bookmarkEnd w:id="15"/>
      <w:r>
        <w:t xml:space="preserve">s a consequence of </w:t>
      </w:r>
      <w:r w:rsidR="00E46988">
        <w:fldChar w:fldCharType="begin" w:fldLock="1"/>
      </w:r>
      <w:r w:rsidR="00544AF9">
        <w:instrText xml:space="preserve"> REF Arising</w:instrText>
      </w:r>
      <w:r w:rsidR="00E46988">
        <w:instrText>No \* charformat</w:instrText>
      </w:r>
      <w:r w:rsidR="00E46988">
        <w:fldChar w:fldCharType="end"/>
      </w:r>
      <w:r>
        <w:t xml:space="preserve"> </w:t>
      </w:r>
      <w:r w:rsidR="00867FB0" w:rsidRPr="00867FB0">
        <w:rPr>
          <w:i/>
        </w:rPr>
        <w:fldChar w:fldCharType="begin" w:fldLock="1"/>
      </w:r>
      <w:r w:rsidR="00867FB0" w:rsidRPr="00867FB0">
        <w:rPr>
          <w:i/>
        </w:rPr>
        <w:instrText xml:space="preserve"> REF ArisingTitle \* charformat</w:instrText>
      </w:r>
      <w:r w:rsidR="00867FB0" w:rsidRPr="00867FB0">
        <w:rPr>
          <w:i/>
        </w:rPr>
        <w:fldChar w:fldCharType="end"/>
      </w:r>
      <w:bookmarkStart w:id="16" w:name="ArisingDate"/>
      <w:bookmarkEnd w:id="16"/>
      <w:r w:rsidR="00640BEA">
        <w:t>International Financial Reporting Standard</w:t>
      </w:r>
      <w:r w:rsidR="00640BEA" w:rsidRPr="0000292B">
        <w:fldChar w:fldCharType="begin" w:fldLock="1"/>
      </w:r>
      <w:r w:rsidR="00640BEA" w:rsidRPr="0000292B">
        <w:instrText xml:space="preserve"> REF </w:instrText>
      </w:r>
      <w:r w:rsidR="00640BEA">
        <w:instrText>ArisingNo</w:instrText>
      </w:r>
      <w:r w:rsidR="00640BEA" w:rsidRPr="0000292B">
        <w:instrText xml:space="preserve">  \* charformat </w:instrText>
      </w:r>
      <w:r w:rsidR="00640BEA" w:rsidRPr="0000292B">
        <w:fldChar w:fldCharType="end"/>
      </w:r>
      <w:r w:rsidR="00640BEA">
        <w:t xml:space="preserve"> </w:t>
      </w:r>
      <w:r w:rsidR="00640BEA" w:rsidRPr="008D56B9">
        <w:rPr>
          <w:i/>
        </w:rPr>
        <w:t>Effective Date of Amendments to IFRS 10 and IAS 28</w:t>
      </w:r>
      <w:r w:rsidR="000663A0">
        <w:t>, issued</w:t>
      </w:r>
      <w:r w:rsidR="00640BEA">
        <w:t xml:space="preserve"> by the International Accounting Standards Board in December 2015</w:t>
      </w:r>
      <w:r w:rsidR="00DB5875">
        <w:t xml:space="preserve">, and various editorial </w:t>
      </w:r>
      <w:r w:rsidR="000663A0">
        <w:t>corrections</w:t>
      </w:r>
      <w:r>
        <w:t>.</w:t>
      </w:r>
    </w:p>
    <w:p w14:paraId="4523F8A1" w14:textId="77777777" w:rsidR="00090A6F" w:rsidRPr="0000292B" w:rsidRDefault="00090A6F">
      <w:pPr>
        <w:pStyle w:val="Heading2"/>
      </w:pPr>
      <w:r w:rsidRPr="0000292B">
        <w:t>Application</w:t>
      </w:r>
    </w:p>
    <w:p w14:paraId="10061AB9" w14:textId="77777777" w:rsidR="005A6AC7" w:rsidRPr="00D534E1" w:rsidRDefault="005A6AC7" w:rsidP="00B22833">
      <w:pPr>
        <w:pStyle w:val="NumBold1"/>
        <w:rPr>
          <w:b w:val="0"/>
        </w:rPr>
      </w:pPr>
      <w:r w:rsidRPr="00D534E1">
        <w:rPr>
          <w:b w:val="0"/>
        </w:rPr>
        <w:t xml:space="preserve">The amendments set out in this Standard apply to entities and financial statements in accordance with the application of the other Standards and Interpretations set out in AASB 1057 </w:t>
      </w:r>
      <w:r w:rsidRPr="00D534E1">
        <w:rPr>
          <w:b w:val="0"/>
          <w:i/>
        </w:rPr>
        <w:t>Application of Australian Accounting Standards</w:t>
      </w:r>
      <w:r w:rsidRPr="00D534E1">
        <w:rPr>
          <w:b w:val="0"/>
        </w:rPr>
        <w:t xml:space="preserve"> (as amended)</w:t>
      </w:r>
      <w:r w:rsidRPr="00D534E1">
        <w:rPr>
          <w:b w:val="0"/>
          <w:i/>
        </w:rPr>
        <w:t>.</w:t>
      </w:r>
    </w:p>
    <w:p w14:paraId="553BE3B4" w14:textId="77777777" w:rsidR="00090A6F" w:rsidRPr="00D534E1" w:rsidRDefault="00090A6F" w:rsidP="00B22833">
      <w:pPr>
        <w:pStyle w:val="NumBold1"/>
        <w:rPr>
          <w:b w:val="0"/>
        </w:rPr>
      </w:pPr>
      <w:r w:rsidRPr="00D534E1">
        <w:rPr>
          <w:b w:val="0"/>
        </w:rPr>
        <w:t xml:space="preserve">This Standard applies to annual periods </w:t>
      </w:r>
      <w:r w:rsidR="005A6AC7" w:rsidRPr="00D534E1">
        <w:rPr>
          <w:b w:val="0"/>
        </w:rPr>
        <w:fldChar w:fldCharType="begin" w:fldLock="1"/>
      </w:r>
      <w:r w:rsidR="005A6AC7" w:rsidRPr="00D534E1">
        <w:rPr>
          <w:b w:val="0"/>
        </w:rPr>
        <w:instrText xml:space="preserve"> REF ApplyText \* charformat</w:instrText>
      </w:r>
      <w:r w:rsidR="00D534E1" w:rsidRPr="00D534E1">
        <w:rPr>
          <w:b w:val="0"/>
        </w:rPr>
        <w:instrText xml:space="preserve"> \* MERGEFORMAT </w:instrText>
      </w:r>
      <w:r w:rsidR="005A6AC7" w:rsidRPr="00D534E1">
        <w:rPr>
          <w:b w:val="0"/>
        </w:rPr>
        <w:fldChar w:fldCharType="separate"/>
      </w:r>
      <w:r w:rsidR="0059596C" w:rsidRPr="00D534E1">
        <w:rPr>
          <w:b w:val="0"/>
        </w:rPr>
        <w:t>beginning</w:t>
      </w:r>
      <w:r w:rsidR="005A6AC7" w:rsidRPr="00D534E1">
        <w:rPr>
          <w:b w:val="0"/>
        </w:rPr>
        <w:fldChar w:fldCharType="end"/>
      </w:r>
      <w:r w:rsidRPr="00D534E1">
        <w:rPr>
          <w:b w:val="0"/>
        </w:rPr>
        <w:t xml:space="preserve"> on or after </w:t>
      </w:r>
      <w:r w:rsidR="005A6AC7" w:rsidRPr="00D534E1">
        <w:rPr>
          <w:b w:val="0"/>
        </w:rPr>
        <w:fldChar w:fldCharType="begin" w:fldLock="1"/>
      </w:r>
      <w:r w:rsidR="005A6AC7" w:rsidRPr="00D534E1">
        <w:rPr>
          <w:b w:val="0"/>
        </w:rPr>
        <w:instrText xml:space="preserve"> REF ApplyDate \* charformat</w:instrText>
      </w:r>
      <w:r w:rsidR="00D534E1" w:rsidRPr="00D534E1">
        <w:rPr>
          <w:b w:val="0"/>
        </w:rPr>
        <w:instrText xml:space="preserve"> \* MERGEFORMAT </w:instrText>
      </w:r>
      <w:r w:rsidR="005A6AC7" w:rsidRPr="00D534E1">
        <w:rPr>
          <w:b w:val="0"/>
        </w:rPr>
        <w:fldChar w:fldCharType="separate"/>
      </w:r>
      <w:r w:rsidR="0059596C" w:rsidRPr="00D534E1">
        <w:rPr>
          <w:b w:val="0"/>
        </w:rPr>
        <w:t>1 January 2018</w:t>
      </w:r>
      <w:r w:rsidR="005A6AC7" w:rsidRPr="00D534E1">
        <w:rPr>
          <w:b w:val="0"/>
        </w:rPr>
        <w:fldChar w:fldCharType="end"/>
      </w:r>
      <w:r w:rsidRPr="00D534E1">
        <w:rPr>
          <w:b w:val="0"/>
        </w:rPr>
        <w:t>.</w:t>
      </w:r>
    </w:p>
    <w:p w14:paraId="759B4894" w14:textId="77777777" w:rsidR="00090A6F" w:rsidRPr="00E31114" w:rsidRDefault="00090A6F" w:rsidP="00B22833">
      <w:pPr>
        <w:pStyle w:val="NumBold1"/>
        <w:rPr>
          <w:b w:val="0"/>
        </w:rPr>
      </w:pPr>
      <w:bookmarkStart w:id="17" w:name="EarlyYesPara"/>
      <w:r w:rsidRPr="00D534E1">
        <w:rPr>
          <w:b w:val="0"/>
        </w:rPr>
        <w:t xml:space="preserve">This Standard may be applied to annual periods </w:t>
      </w:r>
      <w:bookmarkStart w:id="18" w:name="EarlyText"/>
      <w:r w:rsidR="00E839DA" w:rsidRPr="00D534E1">
        <w:rPr>
          <w:b w:val="0"/>
        </w:rPr>
        <w:t>beginning</w:t>
      </w:r>
      <w:bookmarkEnd w:id="18"/>
      <w:r w:rsidRPr="00D534E1">
        <w:rPr>
          <w:b w:val="0"/>
        </w:rPr>
        <w:t xml:space="preserve"> </w:t>
      </w:r>
      <w:r w:rsidR="0078116B" w:rsidRPr="00D534E1">
        <w:rPr>
          <w:b w:val="0"/>
        </w:rPr>
        <w:t xml:space="preserve">before </w:t>
      </w:r>
      <w:r w:rsidR="00D534E1" w:rsidRPr="00D534E1">
        <w:rPr>
          <w:b w:val="0"/>
        </w:rPr>
        <w:fldChar w:fldCharType="begin" w:fldLock="1"/>
      </w:r>
      <w:r w:rsidR="00D534E1" w:rsidRPr="00D534E1">
        <w:rPr>
          <w:b w:val="0"/>
        </w:rPr>
        <w:instrText xml:space="preserve"> REF ApplyDate  \* charformat   \* MERGEFORMAT </w:instrText>
      </w:r>
      <w:r w:rsidR="00D534E1" w:rsidRPr="00D534E1">
        <w:rPr>
          <w:b w:val="0"/>
        </w:rPr>
        <w:fldChar w:fldCharType="separate"/>
      </w:r>
      <w:r w:rsidR="0059596C" w:rsidRPr="00D534E1">
        <w:rPr>
          <w:b w:val="0"/>
        </w:rPr>
        <w:t>1 January 2018</w:t>
      </w:r>
      <w:r w:rsidR="00D534E1" w:rsidRPr="00D534E1">
        <w:rPr>
          <w:b w:val="0"/>
        </w:rPr>
        <w:fldChar w:fldCharType="end"/>
      </w:r>
      <w:r w:rsidRPr="00D534E1">
        <w:rPr>
          <w:b w:val="0"/>
        </w:rPr>
        <w:t xml:space="preserve">.  When an entity applies this </w:t>
      </w:r>
      <w:r w:rsidRPr="00E31114">
        <w:rPr>
          <w:b w:val="0"/>
        </w:rPr>
        <w:t xml:space="preserve">Standard to </w:t>
      </w:r>
      <w:r w:rsidR="00590051" w:rsidRPr="00E31114">
        <w:rPr>
          <w:b w:val="0"/>
        </w:rPr>
        <w:t xml:space="preserve">such </w:t>
      </w:r>
      <w:r w:rsidRPr="00E31114">
        <w:rPr>
          <w:b w:val="0"/>
        </w:rPr>
        <w:t>an annual period</w:t>
      </w:r>
      <w:r w:rsidR="00590051" w:rsidRPr="00E31114">
        <w:rPr>
          <w:b w:val="0"/>
        </w:rPr>
        <w:t>,</w:t>
      </w:r>
      <w:r w:rsidRPr="00E31114">
        <w:rPr>
          <w:b w:val="0"/>
        </w:rPr>
        <w:t xml:space="preserve"> it shall disclose that fact.</w:t>
      </w:r>
    </w:p>
    <w:bookmarkEnd w:id="17"/>
    <w:p w14:paraId="613C4DF3" w14:textId="77777777" w:rsidR="00E31114" w:rsidRPr="00E31114" w:rsidRDefault="00E31114" w:rsidP="00E31114">
      <w:pPr>
        <w:pStyle w:val="NumBold1"/>
        <w:rPr>
          <w:b w:val="0"/>
        </w:rPr>
      </w:pPr>
      <w:r w:rsidRPr="00E31114">
        <w:rPr>
          <w:b w:val="0"/>
        </w:rPr>
        <w:t>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Ellipses (…) are used to help provide the context within which amendments are made and also to indicate text that is not amended.</w:t>
      </w:r>
    </w:p>
    <w:p w14:paraId="61874A9A" w14:textId="77777777" w:rsidR="0059596C" w:rsidRPr="009B1FF7" w:rsidRDefault="0059596C" w:rsidP="00B919F5">
      <w:pPr>
        <w:pStyle w:val="Heading2"/>
        <w:rPr>
          <w:i/>
        </w:rPr>
      </w:pPr>
      <w:r>
        <w:t>Amendments to AASB 10</w:t>
      </w:r>
      <w:r w:rsidR="001052FD">
        <w:t xml:space="preserve"> </w:t>
      </w:r>
      <w:r w:rsidR="001052FD">
        <w:rPr>
          <w:i/>
        </w:rPr>
        <w:t>Consolidated Financial Statements</w:t>
      </w:r>
    </w:p>
    <w:p w14:paraId="1E45E24B" w14:textId="77777777" w:rsidR="00460BC0" w:rsidRDefault="00460BC0" w:rsidP="00460BC0">
      <w:pPr>
        <w:pStyle w:val="NumPlain1"/>
      </w:pPr>
      <w:r>
        <w:t>The amendments originally set out in paragraphs 8–10 of AASB 2014-10 are reversed from AASB 10 (July 2015) for annual periods beginning on or after 1 January 2018 but before 1 January 2022. However, the amendments may be applied to annual periods beginning on or after 1 January 2014 but before 1 January 2022 when applying AASB 10 (July 2015).</w:t>
      </w:r>
    </w:p>
    <w:p w14:paraId="7A0723BF" w14:textId="2587B49B" w:rsidR="00460BC0" w:rsidRDefault="00460BC0" w:rsidP="00460BC0">
      <w:pPr>
        <w:pStyle w:val="NumPlain1"/>
      </w:pPr>
      <w:r>
        <w:lastRenderedPageBreak/>
        <w:t>The following amendment to AASB 10 (July 2015) applies to annual periods beginning on or after 1 January 20</w:t>
      </w:r>
      <w:r w:rsidR="000663A0">
        <w:t>18</w:t>
      </w:r>
      <w:r>
        <w:t>, with earlier application permitted.</w:t>
      </w:r>
    </w:p>
    <w:p w14:paraId="7EF341AE" w14:textId="77777777" w:rsidR="00460BC0" w:rsidRDefault="00460BC0" w:rsidP="00460BC0">
      <w:pPr>
        <w:pStyle w:val="NumPlain1"/>
      </w:pPr>
      <w:r>
        <w:t>In Appendix C, paragraph C1C is amended as follows (new text is underlined and deleted text is struck through):</w:t>
      </w:r>
    </w:p>
    <w:p w14:paraId="552BB49C" w14:textId="665CB223" w:rsidR="0059596C" w:rsidRPr="0000292B" w:rsidRDefault="00460BC0" w:rsidP="00592C6D">
      <w:pPr>
        <w:pStyle w:val="NumPlain1"/>
        <w:numPr>
          <w:ilvl w:val="0"/>
          <w:numId w:val="0"/>
        </w:numPr>
        <w:ind w:left="1440" w:hanging="930"/>
      </w:pPr>
      <w:r>
        <w:t>C1C</w:t>
      </w:r>
      <w:r>
        <w:tab/>
        <w:t xml:space="preserve">AASB 2014-10 </w:t>
      </w:r>
      <w:r w:rsidRPr="00B919F5">
        <w:rPr>
          <w:i/>
        </w:rPr>
        <w:t>Amendments to Australian Accounting Standards – Sale or Contribution of Assets between an Investor and its Associate or Joint Venture</w:t>
      </w:r>
      <w:r>
        <w:t>, issued in December 2014</w:t>
      </w:r>
      <w:r w:rsidR="00E25370">
        <w:t>,</w:t>
      </w:r>
      <w:r>
        <w:t xml:space="preserve"> in conjunction with AASB </w:t>
      </w:r>
      <w:r w:rsidRPr="00E25370">
        <w:t>2015-10</w:t>
      </w:r>
      <w:r w:rsidR="00E25370">
        <w:t xml:space="preserve"> </w:t>
      </w:r>
      <w:r w:rsidR="00E25370" w:rsidRPr="00E25370">
        <w:rPr>
          <w:i/>
        </w:rPr>
        <w:t>Amendments</w:t>
      </w:r>
      <w:r w:rsidR="00E25370" w:rsidRPr="00891654">
        <w:rPr>
          <w:i/>
        </w:rPr>
        <w:t xml:space="preserve"> to Australian Accounting Standards – Effective Date of Amendments to AASB 10 and AASB 128</w:t>
      </w:r>
      <w:r>
        <w:t xml:space="preserve"> </w:t>
      </w:r>
      <w:r w:rsidR="00E25370">
        <w:rPr>
          <w:u w:val="single"/>
        </w:rPr>
        <w:t xml:space="preserve">and </w:t>
      </w:r>
      <w:r w:rsidR="0077373F">
        <w:rPr>
          <w:u w:val="single"/>
        </w:rPr>
        <w:t>AASB 2017-5</w:t>
      </w:r>
      <w:r w:rsidR="00E25370">
        <w:rPr>
          <w:u w:val="single"/>
        </w:rPr>
        <w:t xml:space="preserve"> </w:t>
      </w:r>
      <w:r w:rsidRPr="00E25370">
        <w:rPr>
          <w:i/>
          <w:u w:val="single"/>
        </w:rPr>
        <w:t>Amendments to Australian Accounting Standards – Effective Date of Amendments to AASB 10 and AASB 128</w:t>
      </w:r>
      <w:r w:rsidR="00E25370" w:rsidRPr="00E25370">
        <w:rPr>
          <w:i/>
          <w:u w:val="single"/>
        </w:rPr>
        <w:t xml:space="preserve"> and Editorial Corrections</w:t>
      </w:r>
      <w:r>
        <w:t>, amended paragraphs 25–26 and added paragraph B99A.  An entity shall apply those amendments prospectively to transactions occurring in annual</w:t>
      </w:r>
      <w:r w:rsidR="00891654">
        <w:t xml:space="preserve"> periods beginning on or after 1 January </w:t>
      </w:r>
      <w:r w:rsidRPr="00891654">
        <w:rPr>
          <w:strike/>
        </w:rPr>
        <w:t>2018</w:t>
      </w:r>
      <w:r w:rsidR="00891654">
        <w:t xml:space="preserve"> </w:t>
      </w:r>
      <w:r w:rsidR="00891654" w:rsidRPr="00891654">
        <w:rPr>
          <w:u w:val="single"/>
        </w:rPr>
        <w:t>2022</w:t>
      </w:r>
      <w:r>
        <w:t>.  Earlier application is permitted.  If an entity applies those amendments earlier, it shall disclose that fact.</w:t>
      </w:r>
    </w:p>
    <w:p w14:paraId="08BC9D04" w14:textId="77777777" w:rsidR="0059596C" w:rsidRPr="009B1FF7" w:rsidRDefault="0059596C">
      <w:pPr>
        <w:pStyle w:val="Heading2"/>
        <w:rPr>
          <w:i/>
        </w:rPr>
      </w:pPr>
      <w:r>
        <w:t xml:space="preserve">Amendments to </w:t>
      </w:r>
      <w:bookmarkStart w:id="19" w:name="StndNo2"/>
      <w:r>
        <w:t>AASB 128</w:t>
      </w:r>
      <w:bookmarkEnd w:id="19"/>
      <w:r w:rsidR="001052FD">
        <w:t xml:space="preserve"> </w:t>
      </w:r>
      <w:r w:rsidR="001052FD">
        <w:rPr>
          <w:i/>
        </w:rPr>
        <w:t>Investments in Associates and Joint Ventures</w:t>
      </w:r>
    </w:p>
    <w:p w14:paraId="46E05BD9" w14:textId="41875C4A" w:rsidR="00592C6D" w:rsidRDefault="00592C6D" w:rsidP="00592C6D">
      <w:pPr>
        <w:pStyle w:val="NumPlain1"/>
      </w:pPr>
      <w:r>
        <w:t xml:space="preserve">The amendments originally set out in paragraph </w:t>
      </w:r>
      <w:r w:rsidR="000663A0">
        <w:t>11</w:t>
      </w:r>
      <w:r>
        <w:t xml:space="preserve"> of AASB 2014</w:t>
      </w:r>
      <w:r>
        <w:noBreakHyphen/>
        <w:t xml:space="preserve">10 are reversed from AASB </w:t>
      </w:r>
      <w:r w:rsidR="000663A0">
        <w:t>128</w:t>
      </w:r>
      <w:r>
        <w:t xml:space="preserve"> (</w:t>
      </w:r>
      <w:r w:rsidR="000663A0">
        <w:t xml:space="preserve">August </w:t>
      </w:r>
      <w:r>
        <w:t>2015) for annual peri</w:t>
      </w:r>
      <w:r w:rsidR="00891654">
        <w:t>ods beginning on or after 1 January 2018 but before 1 January 2022</w:t>
      </w:r>
      <w:r>
        <w:t>. However, the amendments may be applied to annual periods beginning on or after 1 January 2014 but before 1</w:t>
      </w:r>
      <w:r w:rsidR="000663A0">
        <w:t> </w:t>
      </w:r>
      <w:r>
        <w:t>Ja</w:t>
      </w:r>
      <w:r w:rsidR="00891654">
        <w:t>nuary 2022</w:t>
      </w:r>
      <w:r>
        <w:t xml:space="preserve"> when applying AASB </w:t>
      </w:r>
      <w:r w:rsidR="000663A0">
        <w:t>128</w:t>
      </w:r>
      <w:r>
        <w:t xml:space="preserve"> (</w:t>
      </w:r>
      <w:r w:rsidR="000663A0">
        <w:t xml:space="preserve">August </w:t>
      </w:r>
      <w:r>
        <w:t>2015).</w:t>
      </w:r>
    </w:p>
    <w:p w14:paraId="283072EB" w14:textId="05B3E222" w:rsidR="00592C6D" w:rsidRDefault="00592C6D" w:rsidP="00592C6D">
      <w:pPr>
        <w:pStyle w:val="NumPlain1"/>
      </w:pPr>
      <w:r>
        <w:t>The following amendment to AASB 128 (August 2015) applies to annual periods begi</w:t>
      </w:r>
      <w:r w:rsidR="00891654">
        <w:t>nning on or after 1</w:t>
      </w:r>
      <w:r w:rsidR="000663A0">
        <w:t> </w:t>
      </w:r>
      <w:r w:rsidR="00891654">
        <w:t>January 20</w:t>
      </w:r>
      <w:r w:rsidR="000663A0">
        <w:t>18</w:t>
      </w:r>
      <w:r>
        <w:t>, with earlier application permitted.</w:t>
      </w:r>
    </w:p>
    <w:p w14:paraId="65B5681A" w14:textId="77777777" w:rsidR="00592C6D" w:rsidRDefault="00592C6D" w:rsidP="00592C6D">
      <w:pPr>
        <w:pStyle w:val="NumPlain1"/>
      </w:pPr>
      <w:r>
        <w:t>Paragraph 45C is amended as follows (new text is underlined and deleted text is struck through):</w:t>
      </w:r>
    </w:p>
    <w:p w14:paraId="7B679944" w14:textId="1F23E90F" w:rsidR="0059596C" w:rsidRDefault="00592C6D" w:rsidP="00592C6D">
      <w:pPr>
        <w:pStyle w:val="NumPlain1"/>
        <w:numPr>
          <w:ilvl w:val="0"/>
          <w:numId w:val="0"/>
        </w:numPr>
        <w:ind w:left="1440" w:hanging="930"/>
      </w:pPr>
      <w:r>
        <w:t>45C</w:t>
      </w:r>
      <w:r>
        <w:tab/>
      </w:r>
      <w:r>
        <w:rPr>
          <w:lang w:eastAsia="en-AU"/>
        </w:rPr>
        <w:t xml:space="preserve">AASB 2014-10 </w:t>
      </w:r>
      <w:r w:rsidRPr="00B919F5">
        <w:rPr>
          <w:i/>
          <w:lang w:eastAsia="en-AU"/>
        </w:rPr>
        <w:t>Amendments to Australian Accounting Standards – Sale or Contribution of Assets between an Investor and its Associate or Joint Venture</w:t>
      </w:r>
      <w:r>
        <w:rPr>
          <w:lang w:eastAsia="en-AU"/>
        </w:rPr>
        <w:t xml:space="preserve">, issued in December 2014, </w:t>
      </w:r>
      <w:r w:rsidR="00E25370">
        <w:t xml:space="preserve">in conjunction with AASB </w:t>
      </w:r>
      <w:r w:rsidR="00E25370" w:rsidRPr="00E25370">
        <w:t>2015-10</w:t>
      </w:r>
      <w:r w:rsidR="00E25370">
        <w:t xml:space="preserve"> </w:t>
      </w:r>
      <w:r w:rsidR="00E25370" w:rsidRPr="00E25370">
        <w:rPr>
          <w:i/>
        </w:rPr>
        <w:t>Amendments</w:t>
      </w:r>
      <w:r w:rsidR="00E25370" w:rsidRPr="00891654">
        <w:rPr>
          <w:i/>
        </w:rPr>
        <w:t xml:space="preserve"> to Australian Accounting Standards – Effective Date of Amendments to AASB 10 and AASB 128</w:t>
      </w:r>
      <w:r w:rsidR="00E25370">
        <w:t xml:space="preserve"> </w:t>
      </w:r>
      <w:r w:rsidR="00E25370">
        <w:rPr>
          <w:u w:val="single"/>
        </w:rPr>
        <w:t xml:space="preserve">and </w:t>
      </w:r>
      <w:r w:rsidR="0077373F">
        <w:rPr>
          <w:u w:val="single"/>
        </w:rPr>
        <w:t>AASB 2017-5</w:t>
      </w:r>
      <w:r w:rsidR="00E25370">
        <w:rPr>
          <w:u w:val="single"/>
        </w:rPr>
        <w:t xml:space="preserve"> </w:t>
      </w:r>
      <w:r w:rsidR="00E25370" w:rsidRPr="00E25370">
        <w:rPr>
          <w:i/>
          <w:u w:val="single"/>
        </w:rPr>
        <w:t>Amendments to Australian Accounting Standards – Effective Date of Amendments to AASB 10 and AASB 128 and Editorial Corrections</w:t>
      </w:r>
      <w:r w:rsidR="00E25370">
        <w:t xml:space="preserve">, </w:t>
      </w:r>
      <w:r>
        <w:rPr>
          <w:lang w:eastAsia="en-AU"/>
        </w:rPr>
        <w:t>amended paragraphs 28 and 30 and added paragraphs 31A–31B.  An entity shall apply those amendments prospectively to the sale or contribution of assets occurring in annual periods</w:t>
      </w:r>
      <w:r w:rsidR="00891654">
        <w:rPr>
          <w:lang w:eastAsia="en-AU"/>
        </w:rPr>
        <w:t xml:space="preserve"> beginning on or after 1 January </w:t>
      </w:r>
      <w:r w:rsidR="00891654" w:rsidRPr="00891654">
        <w:rPr>
          <w:strike/>
        </w:rPr>
        <w:t>2018</w:t>
      </w:r>
      <w:r w:rsidR="00891654">
        <w:t xml:space="preserve"> </w:t>
      </w:r>
      <w:r w:rsidR="00891654" w:rsidRPr="00891654">
        <w:rPr>
          <w:u w:val="single"/>
        </w:rPr>
        <w:t>2022</w:t>
      </w:r>
      <w:r>
        <w:t>.  Earlier application is permitted.  If an entity applies</w:t>
      </w:r>
      <w:r w:rsidR="00BD0623">
        <w:t xml:space="preserve"> those amendments earlier, it shall disclose that fact.</w:t>
      </w:r>
    </w:p>
    <w:p w14:paraId="506FAE27" w14:textId="77777777" w:rsidR="00BD0623" w:rsidRDefault="005032B0" w:rsidP="00BD0623">
      <w:pPr>
        <w:pStyle w:val="Heading2"/>
      </w:pPr>
      <w:r>
        <w:t>Editorial corrections</w:t>
      </w:r>
    </w:p>
    <w:p w14:paraId="6778F019" w14:textId="77777777" w:rsidR="00E57F29" w:rsidRDefault="00E57F29" w:rsidP="00946543">
      <w:pPr>
        <w:pStyle w:val="Heading2Indent1"/>
        <w:rPr>
          <w:i/>
        </w:rPr>
      </w:pPr>
      <w:r>
        <w:t xml:space="preserve">Amendments to AASB 1 </w:t>
      </w:r>
      <w:r>
        <w:rPr>
          <w:i/>
        </w:rPr>
        <w:t>First-time Adoption of Australian Accounting Standards</w:t>
      </w:r>
    </w:p>
    <w:p w14:paraId="259FD86F" w14:textId="60F6F2A4" w:rsidR="001052FD" w:rsidRDefault="00155E56" w:rsidP="009B1FF7">
      <w:pPr>
        <w:pStyle w:val="NumPlain1"/>
        <w:keepNext/>
        <w:keepLines/>
      </w:pPr>
      <w:r>
        <w:t xml:space="preserve">The word “assets” in the heading </w:t>
      </w:r>
      <w:r w:rsidR="000663A0">
        <w:t>above</w:t>
      </w:r>
      <w:r>
        <w:t xml:space="preserve"> paragraph B8 in Appendix B is amended to “instruments”.</w:t>
      </w:r>
    </w:p>
    <w:p w14:paraId="06A3298B" w14:textId="36BA661F" w:rsidR="001A4FD4" w:rsidRDefault="000663A0" w:rsidP="009B1FF7">
      <w:pPr>
        <w:pStyle w:val="NumPlain1"/>
        <w:keepNext/>
        <w:keepLines/>
      </w:pPr>
      <w:r>
        <w:t>The text “</w:t>
      </w:r>
      <w:r w:rsidR="00D151B2">
        <w:t xml:space="preserve">paragraphs </w:t>
      </w:r>
      <w:r>
        <w:t>7.2.15 and 7.2.18–7.2.20 of that Standard” in paragraph B8D in Appendix B is amended to read “</w:t>
      </w:r>
      <w:r w:rsidR="00D151B2">
        <w:t xml:space="preserve">paragraphs </w:t>
      </w:r>
      <w:r>
        <w:t>B8E–B8G and E1</w:t>
      </w:r>
      <w:r w:rsidR="00287C84">
        <w:t>–</w:t>
      </w:r>
      <w:r>
        <w:t>E2”</w:t>
      </w:r>
    </w:p>
    <w:p w14:paraId="3C7D622F" w14:textId="39E524FF" w:rsidR="000663A0" w:rsidRDefault="001A4FD4" w:rsidP="001A4FD4">
      <w:pPr>
        <w:pStyle w:val="NumPlain1"/>
        <w:keepNext/>
        <w:keepLines/>
      </w:pPr>
      <w:r>
        <w:t>The text “paragraphs D19–D19D” in paragraph B12 in Appendix B is amended to read “paragraphs</w:t>
      </w:r>
      <w:r w:rsidR="001052FD">
        <w:t xml:space="preserve"> </w:t>
      </w:r>
      <w:r w:rsidR="001052FD">
        <w:br/>
      </w:r>
      <w:r>
        <w:t>D19–D19C”</w:t>
      </w:r>
      <w:r w:rsidR="00E572EA">
        <w:t>; and</w:t>
      </w:r>
    </w:p>
    <w:p w14:paraId="312C7F20" w14:textId="77777777" w:rsidR="00E572EA" w:rsidRPr="008F7BBD" w:rsidRDefault="00E572EA" w:rsidP="001A4FD4">
      <w:pPr>
        <w:pStyle w:val="NumPlain1"/>
        <w:keepNext/>
        <w:keepLines/>
      </w:pPr>
      <w:r>
        <w:t xml:space="preserve">The text </w:t>
      </w:r>
      <w:r w:rsidR="001052FD">
        <w:t>“paragraphs D14 and D15</w:t>
      </w:r>
      <w:r>
        <w:t>” in paragraph D1</w:t>
      </w:r>
      <w:r w:rsidR="001052FD">
        <w:t>(g)</w:t>
      </w:r>
      <w:r>
        <w:t xml:space="preserve"> is amend</w:t>
      </w:r>
      <w:r w:rsidR="001052FD">
        <w:t>ed to read “paragraphs D14–D15A”</w:t>
      </w:r>
      <w:r>
        <w:t>.</w:t>
      </w:r>
    </w:p>
    <w:p w14:paraId="1315BE5A" w14:textId="7075E4EE" w:rsidR="00C81C72" w:rsidRPr="0092533A" w:rsidRDefault="00C81C72" w:rsidP="0092533A">
      <w:pPr>
        <w:pStyle w:val="Heading2Indent1"/>
      </w:pPr>
      <w:r>
        <w:t xml:space="preserve">Amendments to AASB 2 </w:t>
      </w:r>
      <w:r w:rsidRPr="0092533A">
        <w:rPr>
          <w:i/>
        </w:rPr>
        <w:t>Share-based Payment</w:t>
      </w:r>
    </w:p>
    <w:p w14:paraId="4434405D" w14:textId="2305FEC5" w:rsidR="00D151B2" w:rsidRDefault="00D151B2" w:rsidP="00C81C72">
      <w:pPr>
        <w:pStyle w:val="NumPlain1"/>
      </w:pPr>
      <w:r>
        <w:t>In the Implementation Guidance accompanying AASB 2, t</w:t>
      </w:r>
      <w:r w:rsidR="00C81C72">
        <w:t xml:space="preserve">he comma after “share appreciation rights” in the third sentence of paragraph </w:t>
      </w:r>
      <w:r w:rsidR="006D72A9">
        <w:t>IG19 is deleted.</w:t>
      </w:r>
    </w:p>
    <w:p w14:paraId="2395F612" w14:textId="77777777" w:rsidR="00C81C72" w:rsidRDefault="00D151B2" w:rsidP="009B1FF7">
      <w:r>
        <w:br w:type="page"/>
      </w:r>
    </w:p>
    <w:p w14:paraId="4B0DD28D" w14:textId="77777777" w:rsidR="006D72A9" w:rsidRDefault="006D72A9" w:rsidP="006D72A9">
      <w:pPr>
        <w:pStyle w:val="NumPlain1"/>
      </w:pPr>
      <w:r>
        <w:lastRenderedPageBreak/>
        <w:t>IG Example 12A in the Implementation Guidance is amended to read as follows:</w:t>
      </w:r>
    </w:p>
    <w:tbl>
      <w:tblPr>
        <w:tblW w:w="0" w:type="auto"/>
        <w:tblInd w:w="675" w:type="dxa"/>
        <w:tblLayout w:type="fixed"/>
        <w:tblLook w:val="04A0" w:firstRow="1" w:lastRow="0" w:firstColumn="1" w:lastColumn="0" w:noHBand="0" w:noVBand="1"/>
        <w:tblCaption w:val="IG Example 12A"/>
        <w:tblDescription w:val="IG Example 12A"/>
      </w:tblPr>
      <w:tblGrid>
        <w:gridCol w:w="851"/>
        <w:gridCol w:w="3587"/>
        <w:gridCol w:w="1365"/>
        <w:gridCol w:w="1365"/>
        <w:gridCol w:w="1365"/>
      </w:tblGrid>
      <w:tr w:rsidR="006D72A9" w14:paraId="51B2A6CD" w14:textId="77777777" w:rsidTr="00602424">
        <w:trPr>
          <w:cantSplit/>
        </w:trPr>
        <w:tc>
          <w:tcPr>
            <w:tcW w:w="8533" w:type="dxa"/>
            <w:gridSpan w:val="5"/>
            <w:tcBorders>
              <w:top w:val="single" w:sz="4" w:space="0" w:color="auto"/>
              <w:left w:val="single" w:sz="4" w:space="0" w:color="auto"/>
              <w:bottom w:val="single" w:sz="4" w:space="0" w:color="auto"/>
              <w:right w:val="single" w:sz="4" w:space="0" w:color="auto"/>
            </w:tcBorders>
            <w:vAlign w:val="bottom"/>
          </w:tcPr>
          <w:p w14:paraId="6C534609" w14:textId="77777777" w:rsidR="006D72A9" w:rsidRPr="006D72A9" w:rsidRDefault="006D72A9" w:rsidP="006D72A9">
            <w:pPr>
              <w:pStyle w:val="IASBTableArial"/>
              <w:spacing w:after="120"/>
              <w:rPr>
                <w:b/>
              </w:rPr>
            </w:pPr>
            <w:r w:rsidRPr="006D72A9">
              <w:rPr>
                <w:b/>
              </w:rPr>
              <w:t>IG Example 12A</w:t>
            </w:r>
          </w:p>
        </w:tc>
      </w:tr>
      <w:tr w:rsidR="006D72A9" w14:paraId="7B0DFEE1" w14:textId="77777777" w:rsidTr="006D72A9">
        <w:trPr>
          <w:cantSplit/>
        </w:trPr>
        <w:tc>
          <w:tcPr>
            <w:tcW w:w="851" w:type="dxa"/>
            <w:tcBorders>
              <w:top w:val="single" w:sz="4" w:space="0" w:color="auto"/>
              <w:left w:val="single" w:sz="4" w:space="0" w:color="auto"/>
              <w:bottom w:val="nil"/>
              <w:right w:val="nil"/>
            </w:tcBorders>
            <w:vAlign w:val="bottom"/>
            <w:hideMark/>
          </w:tcPr>
          <w:p w14:paraId="4DB5F717" w14:textId="77777777" w:rsidR="006D72A9" w:rsidRPr="006D72A9" w:rsidRDefault="006D72A9">
            <w:pPr>
              <w:pStyle w:val="IASBTableArial"/>
            </w:pPr>
            <w:r w:rsidRPr="006D72A9">
              <w:t>…</w:t>
            </w:r>
          </w:p>
          <w:p w14:paraId="58D5076B" w14:textId="77777777" w:rsidR="006D72A9" w:rsidRPr="006D72A9" w:rsidRDefault="006D72A9">
            <w:pPr>
              <w:pStyle w:val="IASBTableArial"/>
            </w:pPr>
            <w:r w:rsidRPr="006D72A9">
              <w:t>Year</w:t>
            </w:r>
          </w:p>
        </w:tc>
        <w:tc>
          <w:tcPr>
            <w:tcW w:w="3587" w:type="dxa"/>
            <w:vAlign w:val="bottom"/>
            <w:hideMark/>
          </w:tcPr>
          <w:p w14:paraId="7F8A7A72" w14:textId="77777777" w:rsidR="006D72A9" w:rsidRPr="006D72A9" w:rsidRDefault="006D72A9">
            <w:pPr>
              <w:pStyle w:val="IASBTableArial"/>
            </w:pPr>
            <w:r w:rsidRPr="006D72A9">
              <w:t>Calculation</w:t>
            </w:r>
          </w:p>
        </w:tc>
        <w:tc>
          <w:tcPr>
            <w:tcW w:w="1365" w:type="dxa"/>
            <w:vAlign w:val="bottom"/>
          </w:tcPr>
          <w:p w14:paraId="7E885ACD" w14:textId="77777777" w:rsidR="006D72A9" w:rsidRPr="006D72A9" w:rsidRDefault="006D72A9">
            <w:pPr>
              <w:pStyle w:val="IASBTableArial"/>
            </w:pPr>
          </w:p>
        </w:tc>
        <w:tc>
          <w:tcPr>
            <w:tcW w:w="1365" w:type="dxa"/>
            <w:vAlign w:val="bottom"/>
            <w:hideMark/>
          </w:tcPr>
          <w:p w14:paraId="5010602F" w14:textId="77777777" w:rsidR="006D72A9" w:rsidRPr="006D72A9" w:rsidRDefault="006D72A9">
            <w:pPr>
              <w:pStyle w:val="IASBTableArial"/>
              <w:jc w:val="right"/>
            </w:pPr>
            <w:r w:rsidRPr="006D72A9">
              <w:t>Expense</w:t>
            </w:r>
          </w:p>
        </w:tc>
        <w:tc>
          <w:tcPr>
            <w:tcW w:w="1365" w:type="dxa"/>
            <w:tcBorders>
              <w:top w:val="nil"/>
              <w:left w:val="nil"/>
              <w:bottom w:val="nil"/>
              <w:right w:val="single" w:sz="4" w:space="0" w:color="auto"/>
            </w:tcBorders>
            <w:vAlign w:val="bottom"/>
            <w:hideMark/>
          </w:tcPr>
          <w:p w14:paraId="1F46D2B4" w14:textId="77777777" w:rsidR="006D72A9" w:rsidRPr="006D72A9" w:rsidRDefault="006D72A9">
            <w:pPr>
              <w:pStyle w:val="IASBTableArial"/>
              <w:jc w:val="right"/>
            </w:pPr>
            <w:r w:rsidRPr="006D72A9">
              <w:t>Liability</w:t>
            </w:r>
          </w:p>
        </w:tc>
      </w:tr>
      <w:tr w:rsidR="006D72A9" w14:paraId="2A67ABD3" w14:textId="77777777" w:rsidTr="006D72A9">
        <w:trPr>
          <w:cantSplit/>
        </w:trPr>
        <w:tc>
          <w:tcPr>
            <w:tcW w:w="851" w:type="dxa"/>
            <w:tcBorders>
              <w:top w:val="nil"/>
              <w:left w:val="single" w:sz="4" w:space="0" w:color="auto"/>
              <w:bottom w:val="nil"/>
              <w:right w:val="nil"/>
            </w:tcBorders>
            <w:vAlign w:val="bottom"/>
          </w:tcPr>
          <w:p w14:paraId="62F8067B" w14:textId="77777777" w:rsidR="006D72A9" w:rsidRPr="006D72A9" w:rsidRDefault="006D72A9">
            <w:pPr>
              <w:pStyle w:val="IASBTableArial"/>
            </w:pPr>
          </w:p>
        </w:tc>
        <w:tc>
          <w:tcPr>
            <w:tcW w:w="3587" w:type="dxa"/>
            <w:vAlign w:val="bottom"/>
          </w:tcPr>
          <w:p w14:paraId="601D898E" w14:textId="77777777" w:rsidR="006D72A9" w:rsidRPr="006D72A9" w:rsidRDefault="006D72A9">
            <w:pPr>
              <w:pStyle w:val="IASBTableArial"/>
            </w:pPr>
          </w:p>
        </w:tc>
        <w:tc>
          <w:tcPr>
            <w:tcW w:w="1365" w:type="dxa"/>
            <w:vAlign w:val="bottom"/>
          </w:tcPr>
          <w:p w14:paraId="6832E380" w14:textId="77777777" w:rsidR="006D72A9" w:rsidRPr="006D72A9" w:rsidRDefault="006D72A9">
            <w:pPr>
              <w:pStyle w:val="IASBTableArial"/>
            </w:pPr>
          </w:p>
        </w:tc>
        <w:tc>
          <w:tcPr>
            <w:tcW w:w="1365" w:type="dxa"/>
            <w:vAlign w:val="bottom"/>
            <w:hideMark/>
          </w:tcPr>
          <w:p w14:paraId="034E9A51" w14:textId="77777777" w:rsidR="006D72A9" w:rsidRPr="006D72A9" w:rsidRDefault="006D72A9">
            <w:pPr>
              <w:pStyle w:val="IASBTableArial"/>
              <w:jc w:val="right"/>
            </w:pPr>
            <w:r w:rsidRPr="006D72A9">
              <w:t>CU</w:t>
            </w:r>
          </w:p>
        </w:tc>
        <w:tc>
          <w:tcPr>
            <w:tcW w:w="1365" w:type="dxa"/>
            <w:tcBorders>
              <w:top w:val="nil"/>
              <w:left w:val="nil"/>
              <w:bottom w:val="nil"/>
              <w:right w:val="single" w:sz="4" w:space="0" w:color="auto"/>
            </w:tcBorders>
            <w:vAlign w:val="bottom"/>
            <w:hideMark/>
          </w:tcPr>
          <w:p w14:paraId="7982CFB8" w14:textId="77777777" w:rsidR="006D72A9" w:rsidRPr="006D72A9" w:rsidRDefault="006D72A9">
            <w:pPr>
              <w:pStyle w:val="IASBTableArial"/>
              <w:jc w:val="right"/>
            </w:pPr>
            <w:r w:rsidRPr="006D72A9">
              <w:t>CU</w:t>
            </w:r>
          </w:p>
        </w:tc>
      </w:tr>
      <w:tr w:rsidR="006D72A9" w14:paraId="0FA50F87" w14:textId="77777777" w:rsidTr="006D72A9">
        <w:trPr>
          <w:cantSplit/>
        </w:trPr>
        <w:tc>
          <w:tcPr>
            <w:tcW w:w="851" w:type="dxa"/>
            <w:tcBorders>
              <w:top w:val="nil"/>
              <w:left w:val="single" w:sz="4" w:space="0" w:color="auto"/>
              <w:bottom w:val="nil"/>
              <w:right w:val="nil"/>
            </w:tcBorders>
            <w:hideMark/>
          </w:tcPr>
          <w:p w14:paraId="6637904C" w14:textId="77777777" w:rsidR="006D72A9" w:rsidRPr="006D72A9" w:rsidRDefault="006D72A9">
            <w:pPr>
              <w:pStyle w:val="IASBTableArial"/>
            </w:pPr>
            <w:r w:rsidRPr="006D72A9">
              <w:t>1</w:t>
            </w:r>
          </w:p>
        </w:tc>
        <w:tc>
          <w:tcPr>
            <w:tcW w:w="3587" w:type="dxa"/>
            <w:vAlign w:val="bottom"/>
            <w:hideMark/>
          </w:tcPr>
          <w:p w14:paraId="7CA79ADB" w14:textId="77777777" w:rsidR="006D72A9" w:rsidRPr="006D72A9" w:rsidRDefault="006D72A9">
            <w:pPr>
              <w:pStyle w:val="IASBTableArial"/>
            </w:pPr>
            <w:r w:rsidRPr="006D72A9">
              <w:t>SARs are not expected to vest: no expense is recognised</w:t>
            </w:r>
          </w:p>
        </w:tc>
        <w:tc>
          <w:tcPr>
            <w:tcW w:w="1365" w:type="dxa"/>
            <w:vAlign w:val="bottom"/>
            <w:hideMark/>
          </w:tcPr>
          <w:p w14:paraId="44ECCF4D" w14:textId="77777777" w:rsidR="006D72A9" w:rsidRPr="006D72A9" w:rsidRDefault="006D72A9">
            <w:pPr>
              <w:pStyle w:val="IASBTableArial"/>
              <w:jc w:val="right"/>
            </w:pPr>
          </w:p>
        </w:tc>
        <w:tc>
          <w:tcPr>
            <w:tcW w:w="1365" w:type="dxa"/>
            <w:vAlign w:val="bottom"/>
            <w:hideMark/>
          </w:tcPr>
          <w:p w14:paraId="4BD98DAC" w14:textId="77777777" w:rsidR="006D72A9" w:rsidRPr="006D72A9" w:rsidRDefault="006D72A9">
            <w:pPr>
              <w:pStyle w:val="IASBTableArial"/>
              <w:jc w:val="right"/>
            </w:pPr>
            <w:r w:rsidRPr="006D72A9">
              <w:t>–</w:t>
            </w:r>
          </w:p>
        </w:tc>
        <w:tc>
          <w:tcPr>
            <w:tcW w:w="1365" w:type="dxa"/>
            <w:tcBorders>
              <w:top w:val="nil"/>
              <w:left w:val="nil"/>
              <w:bottom w:val="nil"/>
              <w:right w:val="single" w:sz="4" w:space="0" w:color="auto"/>
            </w:tcBorders>
            <w:vAlign w:val="bottom"/>
            <w:hideMark/>
          </w:tcPr>
          <w:p w14:paraId="741CCB02" w14:textId="77777777" w:rsidR="006D72A9" w:rsidRPr="006D72A9" w:rsidRDefault="006D72A9">
            <w:pPr>
              <w:pStyle w:val="IASBTableArial"/>
              <w:jc w:val="right"/>
            </w:pPr>
            <w:r w:rsidRPr="006D72A9">
              <w:t>–</w:t>
            </w:r>
          </w:p>
        </w:tc>
      </w:tr>
      <w:tr w:rsidR="006D72A9" w14:paraId="0392DCD0" w14:textId="77777777" w:rsidTr="006D72A9">
        <w:trPr>
          <w:cantSplit/>
        </w:trPr>
        <w:tc>
          <w:tcPr>
            <w:tcW w:w="851" w:type="dxa"/>
            <w:tcBorders>
              <w:top w:val="nil"/>
              <w:left w:val="single" w:sz="4" w:space="0" w:color="auto"/>
              <w:bottom w:val="nil"/>
              <w:right w:val="nil"/>
            </w:tcBorders>
            <w:hideMark/>
          </w:tcPr>
          <w:p w14:paraId="4A517500" w14:textId="77777777" w:rsidR="006D72A9" w:rsidRPr="006D72A9" w:rsidRDefault="006D72A9">
            <w:pPr>
              <w:pStyle w:val="IASBTableArial"/>
            </w:pPr>
            <w:r w:rsidRPr="006D72A9">
              <w:t>2</w:t>
            </w:r>
          </w:p>
        </w:tc>
        <w:tc>
          <w:tcPr>
            <w:tcW w:w="3587" w:type="dxa"/>
            <w:vAlign w:val="bottom"/>
            <w:hideMark/>
          </w:tcPr>
          <w:p w14:paraId="32025B5D" w14:textId="77777777" w:rsidR="006D72A9" w:rsidRPr="006D72A9" w:rsidRDefault="006D72A9">
            <w:pPr>
              <w:pStyle w:val="IASBTableArial"/>
            </w:pPr>
            <w:r w:rsidRPr="006D72A9">
              <w:t>SARs are expected to vest: 500 employees × 100 SARs × CU15.50 × 2⁄3</w:t>
            </w:r>
          </w:p>
        </w:tc>
        <w:tc>
          <w:tcPr>
            <w:tcW w:w="1365" w:type="dxa"/>
            <w:vAlign w:val="bottom"/>
            <w:hideMark/>
          </w:tcPr>
          <w:p w14:paraId="1F77DAE0" w14:textId="77777777" w:rsidR="006D72A9" w:rsidRPr="006D72A9" w:rsidRDefault="006D72A9">
            <w:pPr>
              <w:pStyle w:val="IASBTableArial"/>
              <w:jc w:val="right"/>
            </w:pPr>
          </w:p>
        </w:tc>
        <w:tc>
          <w:tcPr>
            <w:tcW w:w="1365" w:type="dxa"/>
            <w:vAlign w:val="bottom"/>
            <w:hideMark/>
          </w:tcPr>
          <w:p w14:paraId="54147FEB" w14:textId="77777777" w:rsidR="006D72A9" w:rsidRPr="006D72A9" w:rsidRDefault="006D72A9">
            <w:pPr>
              <w:pStyle w:val="IASBTableArial"/>
              <w:jc w:val="right"/>
            </w:pPr>
            <w:r w:rsidRPr="006D72A9">
              <w:t>516,667</w:t>
            </w:r>
          </w:p>
        </w:tc>
        <w:tc>
          <w:tcPr>
            <w:tcW w:w="1365" w:type="dxa"/>
            <w:tcBorders>
              <w:top w:val="nil"/>
              <w:left w:val="nil"/>
              <w:bottom w:val="nil"/>
              <w:right w:val="single" w:sz="4" w:space="0" w:color="auto"/>
            </w:tcBorders>
            <w:vAlign w:val="bottom"/>
            <w:hideMark/>
          </w:tcPr>
          <w:p w14:paraId="317C2B38" w14:textId="77777777" w:rsidR="006D72A9" w:rsidRPr="006D72A9" w:rsidRDefault="006D72A9">
            <w:pPr>
              <w:pStyle w:val="IASBTableArial"/>
              <w:jc w:val="right"/>
            </w:pPr>
            <w:r w:rsidRPr="006D72A9">
              <w:t>516,667</w:t>
            </w:r>
          </w:p>
        </w:tc>
      </w:tr>
      <w:tr w:rsidR="006D72A9" w14:paraId="4EE41110" w14:textId="77777777" w:rsidTr="006D72A9">
        <w:trPr>
          <w:cantSplit/>
        </w:trPr>
        <w:tc>
          <w:tcPr>
            <w:tcW w:w="851" w:type="dxa"/>
            <w:tcBorders>
              <w:top w:val="nil"/>
              <w:left w:val="single" w:sz="4" w:space="0" w:color="auto"/>
              <w:bottom w:val="nil"/>
              <w:right w:val="nil"/>
            </w:tcBorders>
            <w:hideMark/>
          </w:tcPr>
          <w:p w14:paraId="342DC665" w14:textId="77777777" w:rsidR="006D72A9" w:rsidRPr="006D72A9" w:rsidRDefault="006D72A9">
            <w:pPr>
              <w:pStyle w:val="IASBTableArial"/>
            </w:pPr>
            <w:r w:rsidRPr="006D72A9">
              <w:t>3</w:t>
            </w:r>
          </w:p>
        </w:tc>
        <w:tc>
          <w:tcPr>
            <w:tcW w:w="3587" w:type="dxa"/>
            <w:vAlign w:val="bottom"/>
            <w:hideMark/>
          </w:tcPr>
          <w:p w14:paraId="5B20D852" w14:textId="77777777" w:rsidR="006D72A9" w:rsidRPr="006D72A9" w:rsidRDefault="006D72A9">
            <w:pPr>
              <w:pStyle w:val="IASBTableArial"/>
            </w:pPr>
            <w:r w:rsidRPr="006D72A9">
              <w:t>(500–150) employees × 100 SARs × CU18.20 x 3⁄3–CU516,667</w:t>
            </w:r>
          </w:p>
        </w:tc>
        <w:tc>
          <w:tcPr>
            <w:tcW w:w="1365" w:type="dxa"/>
            <w:vAlign w:val="bottom"/>
            <w:hideMark/>
          </w:tcPr>
          <w:p w14:paraId="1617B482" w14:textId="77777777" w:rsidR="006D72A9" w:rsidRPr="006D72A9" w:rsidRDefault="006D72A9">
            <w:pPr>
              <w:pStyle w:val="IASBTableArial"/>
              <w:jc w:val="right"/>
            </w:pPr>
            <w:r w:rsidRPr="006D72A9">
              <w:t>120,333</w:t>
            </w:r>
          </w:p>
        </w:tc>
        <w:tc>
          <w:tcPr>
            <w:tcW w:w="1365" w:type="dxa"/>
            <w:vAlign w:val="bottom"/>
            <w:hideMark/>
          </w:tcPr>
          <w:p w14:paraId="2674963A" w14:textId="77777777" w:rsidR="006D72A9" w:rsidRPr="006D72A9" w:rsidRDefault="006D72A9">
            <w:pPr>
              <w:pStyle w:val="IASBTableArial"/>
              <w:jc w:val="right"/>
            </w:pPr>
          </w:p>
        </w:tc>
        <w:tc>
          <w:tcPr>
            <w:tcW w:w="1365" w:type="dxa"/>
            <w:tcBorders>
              <w:top w:val="nil"/>
              <w:left w:val="nil"/>
              <w:bottom w:val="nil"/>
              <w:right w:val="single" w:sz="4" w:space="0" w:color="auto"/>
            </w:tcBorders>
            <w:vAlign w:val="bottom"/>
            <w:hideMark/>
          </w:tcPr>
          <w:p w14:paraId="61B3EEFB" w14:textId="77777777" w:rsidR="006D72A9" w:rsidRPr="006D72A9" w:rsidRDefault="006D72A9">
            <w:pPr>
              <w:pStyle w:val="IASBTableArial"/>
              <w:jc w:val="right"/>
            </w:pPr>
            <w:r w:rsidRPr="006D72A9">
              <w:t>637,000</w:t>
            </w:r>
          </w:p>
        </w:tc>
      </w:tr>
      <w:tr w:rsidR="006D72A9" w14:paraId="3EC51820" w14:textId="77777777" w:rsidTr="006D72A9">
        <w:trPr>
          <w:cantSplit/>
        </w:trPr>
        <w:tc>
          <w:tcPr>
            <w:tcW w:w="851" w:type="dxa"/>
            <w:tcBorders>
              <w:top w:val="nil"/>
              <w:left w:val="single" w:sz="4" w:space="0" w:color="auto"/>
              <w:bottom w:val="nil"/>
              <w:right w:val="nil"/>
            </w:tcBorders>
            <w:vAlign w:val="bottom"/>
          </w:tcPr>
          <w:p w14:paraId="1E6F72A6" w14:textId="77777777" w:rsidR="006D72A9" w:rsidRPr="006D72A9" w:rsidRDefault="006D72A9">
            <w:pPr>
              <w:pStyle w:val="IASBTableArial"/>
            </w:pPr>
          </w:p>
        </w:tc>
        <w:tc>
          <w:tcPr>
            <w:tcW w:w="3587" w:type="dxa"/>
            <w:vAlign w:val="bottom"/>
            <w:hideMark/>
          </w:tcPr>
          <w:p w14:paraId="348E09FF" w14:textId="77777777" w:rsidR="006D72A9" w:rsidRPr="006D72A9" w:rsidRDefault="006D72A9">
            <w:pPr>
              <w:pStyle w:val="IASBTableArial"/>
            </w:pPr>
            <w:r w:rsidRPr="006D72A9">
              <w:t>+ 150 employees × 100 SARs × CU15.00</w:t>
            </w:r>
          </w:p>
        </w:tc>
        <w:tc>
          <w:tcPr>
            <w:tcW w:w="1365" w:type="dxa"/>
            <w:tcBorders>
              <w:top w:val="nil"/>
              <w:left w:val="nil"/>
              <w:bottom w:val="single" w:sz="4" w:space="0" w:color="auto"/>
              <w:right w:val="nil"/>
            </w:tcBorders>
            <w:vAlign w:val="bottom"/>
            <w:hideMark/>
          </w:tcPr>
          <w:p w14:paraId="48223E3F" w14:textId="77777777" w:rsidR="006D72A9" w:rsidRPr="006D72A9" w:rsidRDefault="006D72A9">
            <w:pPr>
              <w:pStyle w:val="IASBTableArial"/>
              <w:jc w:val="right"/>
            </w:pPr>
            <w:r w:rsidRPr="006D72A9">
              <w:t>225,000</w:t>
            </w:r>
          </w:p>
        </w:tc>
        <w:tc>
          <w:tcPr>
            <w:tcW w:w="1365" w:type="dxa"/>
            <w:vAlign w:val="bottom"/>
            <w:hideMark/>
          </w:tcPr>
          <w:p w14:paraId="64BAE315" w14:textId="77777777" w:rsidR="006D72A9" w:rsidRPr="006D72A9" w:rsidRDefault="006D72A9">
            <w:pPr>
              <w:pStyle w:val="IASBTableArial"/>
              <w:jc w:val="right"/>
            </w:pPr>
          </w:p>
        </w:tc>
        <w:tc>
          <w:tcPr>
            <w:tcW w:w="1365" w:type="dxa"/>
            <w:tcBorders>
              <w:top w:val="nil"/>
              <w:left w:val="nil"/>
              <w:bottom w:val="nil"/>
              <w:right w:val="single" w:sz="4" w:space="0" w:color="auto"/>
            </w:tcBorders>
            <w:vAlign w:val="bottom"/>
            <w:hideMark/>
          </w:tcPr>
          <w:p w14:paraId="70A6818E" w14:textId="77777777" w:rsidR="006D72A9" w:rsidRPr="006D72A9" w:rsidRDefault="006D72A9">
            <w:pPr>
              <w:pStyle w:val="IASBTableArial"/>
              <w:jc w:val="right"/>
            </w:pPr>
          </w:p>
        </w:tc>
      </w:tr>
      <w:tr w:rsidR="006D72A9" w14:paraId="60036BAE" w14:textId="77777777" w:rsidTr="006D72A9">
        <w:trPr>
          <w:cantSplit/>
        </w:trPr>
        <w:tc>
          <w:tcPr>
            <w:tcW w:w="851" w:type="dxa"/>
            <w:tcBorders>
              <w:top w:val="nil"/>
              <w:left w:val="single" w:sz="4" w:space="0" w:color="auto"/>
              <w:bottom w:val="nil"/>
              <w:right w:val="nil"/>
            </w:tcBorders>
            <w:vAlign w:val="bottom"/>
          </w:tcPr>
          <w:p w14:paraId="2A3B6110" w14:textId="77777777" w:rsidR="006D72A9" w:rsidRPr="006D72A9" w:rsidRDefault="006D72A9">
            <w:pPr>
              <w:pStyle w:val="IASBTableArial"/>
            </w:pPr>
          </w:p>
        </w:tc>
        <w:tc>
          <w:tcPr>
            <w:tcW w:w="3587" w:type="dxa"/>
            <w:vAlign w:val="bottom"/>
            <w:hideMark/>
          </w:tcPr>
          <w:p w14:paraId="430769B2" w14:textId="77777777" w:rsidR="006D72A9" w:rsidRPr="006D72A9" w:rsidRDefault="006D72A9">
            <w:pPr>
              <w:pStyle w:val="IASBTableArial"/>
            </w:pPr>
            <w:r w:rsidRPr="006D72A9">
              <w:t>Total</w:t>
            </w:r>
          </w:p>
        </w:tc>
        <w:tc>
          <w:tcPr>
            <w:tcW w:w="1365" w:type="dxa"/>
            <w:vAlign w:val="bottom"/>
            <w:hideMark/>
          </w:tcPr>
          <w:p w14:paraId="0E6EA510" w14:textId="77777777" w:rsidR="006D72A9" w:rsidRPr="006D72A9" w:rsidRDefault="006D72A9">
            <w:pPr>
              <w:pStyle w:val="IASBTableArial"/>
              <w:jc w:val="right"/>
            </w:pPr>
          </w:p>
        </w:tc>
        <w:tc>
          <w:tcPr>
            <w:tcW w:w="1365" w:type="dxa"/>
            <w:vAlign w:val="bottom"/>
            <w:hideMark/>
          </w:tcPr>
          <w:p w14:paraId="45BF10A8" w14:textId="77777777" w:rsidR="006D72A9" w:rsidRPr="006D72A9" w:rsidRDefault="006D72A9">
            <w:pPr>
              <w:pStyle w:val="IASBTableArial"/>
              <w:jc w:val="right"/>
            </w:pPr>
            <w:r w:rsidRPr="006D72A9">
              <w:t>345,333</w:t>
            </w:r>
          </w:p>
        </w:tc>
        <w:tc>
          <w:tcPr>
            <w:tcW w:w="1365" w:type="dxa"/>
            <w:tcBorders>
              <w:top w:val="nil"/>
              <w:left w:val="nil"/>
              <w:bottom w:val="nil"/>
              <w:right w:val="single" w:sz="4" w:space="0" w:color="auto"/>
            </w:tcBorders>
            <w:vAlign w:val="bottom"/>
            <w:hideMark/>
          </w:tcPr>
          <w:p w14:paraId="4DEEDF90" w14:textId="77777777" w:rsidR="006D72A9" w:rsidRPr="006D72A9" w:rsidRDefault="006D72A9">
            <w:pPr>
              <w:pStyle w:val="IASBTableArial"/>
              <w:jc w:val="right"/>
            </w:pPr>
          </w:p>
        </w:tc>
      </w:tr>
      <w:tr w:rsidR="006D72A9" w14:paraId="1E7CDA31" w14:textId="77777777" w:rsidTr="006D72A9">
        <w:trPr>
          <w:cantSplit/>
        </w:trPr>
        <w:tc>
          <w:tcPr>
            <w:tcW w:w="851" w:type="dxa"/>
            <w:tcBorders>
              <w:top w:val="nil"/>
              <w:left w:val="single" w:sz="4" w:space="0" w:color="auto"/>
              <w:bottom w:val="nil"/>
              <w:right w:val="nil"/>
            </w:tcBorders>
            <w:hideMark/>
          </w:tcPr>
          <w:p w14:paraId="7E46E047" w14:textId="77777777" w:rsidR="006D72A9" w:rsidRPr="006D72A9" w:rsidRDefault="006D72A9">
            <w:pPr>
              <w:pStyle w:val="IASBTableArial"/>
            </w:pPr>
            <w:r w:rsidRPr="006D72A9">
              <w:t>4</w:t>
            </w:r>
          </w:p>
        </w:tc>
        <w:tc>
          <w:tcPr>
            <w:tcW w:w="3587" w:type="dxa"/>
            <w:vAlign w:val="bottom"/>
            <w:hideMark/>
          </w:tcPr>
          <w:p w14:paraId="0016FD7B" w14:textId="77777777" w:rsidR="006D72A9" w:rsidRPr="006D72A9" w:rsidRDefault="006D72A9">
            <w:pPr>
              <w:pStyle w:val="IASBTableArial"/>
            </w:pPr>
            <w:r w:rsidRPr="006D72A9">
              <w:t>(350–150) employees × 100 SARs × CU21.40–CU637,000</w:t>
            </w:r>
          </w:p>
        </w:tc>
        <w:tc>
          <w:tcPr>
            <w:tcW w:w="1365" w:type="dxa"/>
            <w:vAlign w:val="bottom"/>
            <w:hideMark/>
          </w:tcPr>
          <w:p w14:paraId="0D070A90" w14:textId="77777777" w:rsidR="006D72A9" w:rsidRPr="006D72A9" w:rsidRDefault="006D72A9">
            <w:pPr>
              <w:pStyle w:val="IASBTableArial"/>
              <w:jc w:val="right"/>
            </w:pPr>
            <w:r w:rsidRPr="006D72A9">
              <w:t>(209,000)</w:t>
            </w:r>
          </w:p>
        </w:tc>
        <w:tc>
          <w:tcPr>
            <w:tcW w:w="1365" w:type="dxa"/>
            <w:vAlign w:val="bottom"/>
            <w:hideMark/>
          </w:tcPr>
          <w:p w14:paraId="622CF69A" w14:textId="77777777" w:rsidR="006D72A9" w:rsidRPr="006D72A9" w:rsidRDefault="006D72A9">
            <w:pPr>
              <w:pStyle w:val="IASBTableArial"/>
              <w:jc w:val="right"/>
            </w:pPr>
          </w:p>
        </w:tc>
        <w:tc>
          <w:tcPr>
            <w:tcW w:w="1365" w:type="dxa"/>
            <w:tcBorders>
              <w:top w:val="nil"/>
              <w:left w:val="nil"/>
              <w:bottom w:val="nil"/>
              <w:right w:val="single" w:sz="4" w:space="0" w:color="auto"/>
            </w:tcBorders>
            <w:vAlign w:val="bottom"/>
            <w:hideMark/>
          </w:tcPr>
          <w:p w14:paraId="71FD5398" w14:textId="77777777" w:rsidR="006D72A9" w:rsidRPr="006D72A9" w:rsidRDefault="006D72A9">
            <w:pPr>
              <w:pStyle w:val="IASBTableArial"/>
              <w:jc w:val="right"/>
            </w:pPr>
            <w:r w:rsidRPr="006D72A9">
              <w:t>428,000</w:t>
            </w:r>
          </w:p>
        </w:tc>
      </w:tr>
      <w:tr w:rsidR="006D72A9" w14:paraId="0E5DAA13" w14:textId="77777777" w:rsidTr="006D72A9">
        <w:trPr>
          <w:cantSplit/>
        </w:trPr>
        <w:tc>
          <w:tcPr>
            <w:tcW w:w="851" w:type="dxa"/>
            <w:tcBorders>
              <w:top w:val="nil"/>
              <w:left w:val="single" w:sz="4" w:space="0" w:color="auto"/>
              <w:bottom w:val="nil"/>
              <w:right w:val="nil"/>
            </w:tcBorders>
            <w:vAlign w:val="bottom"/>
          </w:tcPr>
          <w:p w14:paraId="36CB59E6" w14:textId="77777777" w:rsidR="006D72A9" w:rsidRPr="006D72A9" w:rsidRDefault="006D72A9">
            <w:pPr>
              <w:pStyle w:val="IASBTableArial"/>
            </w:pPr>
          </w:p>
        </w:tc>
        <w:tc>
          <w:tcPr>
            <w:tcW w:w="3587" w:type="dxa"/>
            <w:vAlign w:val="bottom"/>
            <w:hideMark/>
          </w:tcPr>
          <w:p w14:paraId="3244AD10" w14:textId="77777777" w:rsidR="006D72A9" w:rsidRPr="006D72A9" w:rsidRDefault="006D72A9">
            <w:pPr>
              <w:pStyle w:val="IASBTableArial"/>
            </w:pPr>
            <w:r w:rsidRPr="006D72A9">
              <w:t>+ 150 employees × 100 SARs × CU20.00</w:t>
            </w:r>
          </w:p>
        </w:tc>
        <w:tc>
          <w:tcPr>
            <w:tcW w:w="1365" w:type="dxa"/>
            <w:tcBorders>
              <w:top w:val="nil"/>
              <w:left w:val="nil"/>
              <w:bottom w:val="single" w:sz="4" w:space="0" w:color="auto"/>
              <w:right w:val="nil"/>
            </w:tcBorders>
            <w:vAlign w:val="bottom"/>
            <w:hideMark/>
          </w:tcPr>
          <w:p w14:paraId="0FB016DB" w14:textId="77777777" w:rsidR="006D72A9" w:rsidRPr="006D72A9" w:rsidRDefault="006D72A9">
            <w:pPr>
              <w:pStyle w:val="IASBTableArial"/>
              <w:jc w:val="right"/>
            </w:pPr>
            <w:r w:rsidRPr="006D72A9">
              <w:t>300,000</w:t>
            </w:r>
          </w:p>
        </w:tc>
        <w:tc>
          <w:tcPr>
            <w:tcW w:w="1365" w:type="dxa"/>
            <w:vAlign w:val="bottom"/>
            <w:hideMark/>
          </w:tcPr>
          <w:p w14:paraId="71699371" w14:textId="77777777" w:rsidR="006D72A9" w:rsidRPr="006D72A9" w:rsidRDefault="006D72A9">
            <w:pPr>
              <w:pStyle w:val="IASBTableArial"/>
              <w:jc w:val="right"/>
            </w:pPr>
          </w:p>
        </w:tc>
        <w:tc>
          <w:tcPr>
            <w:tcW w:w="1365" w:type="dxa"/>
            <w:tcBorders>
              <w:top w:val="nil"/>
              <w:left w:val="nil"/>
              <w:bottom w:val="nil"/>
              <w:right w:val="single" w:sz="4" w:space="0" w:color="auto"/>
            </w:tcBorders>
            <w:vAlign w:val="bottom"/>
            <w:hideMark/>
          </w:tcPr>
          <w:p w14:paraId="7A4A459E" w14:textId="77777777" w:rsidR="006D72A9" w:rsidRPr="006D72A9" w:rsidRDefault="006D72A9">
            <w:pPr>
              <w:pStyle w:val="IASBTableArial"/>
              <w:jc w:val="right"/>
            </w:pPr>
          </w:p>
        </w:tc>
      </w:tr>
      <w:tr w:rsidR="006D72A9" w14:paraId="0B7CD62C" w14:textId="77777777" w:rsidTr="006D72A9">
        <w:trPr>
          <w:cantSplit/>
        </w:trPr>
        <w:tc>
          <w:tcPr>
            <w:tcW w:w="851" w:type="dxa"/>
            <w:tcBorders>
              <w:top w:val="nil"/>
              <w:left w:val="single" w:sz="4" w:space="0" w:color="auto"/>
              <w:bottom w:val="nil"/>
              <w:right w:val="nil"/>
            </w:tcBorders>
            <w:vAlign w:val="bottom"/>
          </w:tcPr>
          <w:p w14:paraId="3A524F21" w14:textId="77777777" w:rsidR="006D72A9" w:rsidRPr="006D72A9" w:rsidRDefault="006D72A9">
            <w:pPr>
              <w:pStyle w:val="IASBTableArial"/>
            </w:pPr>
          </w:p>
        </w:tc>
        <w:tc>
          <w:tcPr>
            <w:tcW w:w="3587" w:type="dxa"/>
            <w:vAlign w:val="bottom"/>
            <w:hideMark/>
          </w:tcPr>
          <w:p w14:paraId="02B26F9F" w14:textId="77777777" w:rsidR="006D72A9" w:rsidRPr="006D72A9" w:rsidRDefault="006D72A9">
            <w:pPr>
              <w:pStyle w:val="IASBTableArial"/>
            </w:pPr>
            <w:r w:rsidRPr="006D72A9">
              <w:t>Total</w:t>
            </w:r>
          </w:p>
        </w:tc>
        <w:tc>
          <w:tcPr>
            <w:tcW w:w="1365" w:type="dxa"/>
            <w:vAlign w:val="bottom"/>
            <w:hideMark/>
          </w:tcPr>
          <w:p w14:paraId="1270D6F2" w14:textId="77777777" w:rsidR="006D72A9" w:rsidRPr="006D72A9" w:rsidRDefault="006D72A9">
            <w:pPr>
              <w:pStyle w:val="IASBTableArial"/>
              <w:jc w:val="right"/>
            </w:pPr>
          </w:p>
        </w:tc>
        <w:tc>
          <w:tcPr>
            <w:tcW w:w="1365" w:type="dxa"/>
            <w:vAlign w:val="bottom"/>
            <w:hideMark/>
          </w:tcPr>
          <w:p w14:paraId="0DF2AD87" w14:textId="77777777" w:rsidR="006D72A9" w:rsidRPr="006D72A9" w:rsidRDefault="006D72A9">
            <w:pPr>
              <w:pStyle w:val="IASBTableArial"/>
              <w:jc w:val="right"/>
            </w:pPr>
            <w:r w:rsidRPr="006D72A9">
              <w:t>91,000</w:t>
            </w:r>
          </w:p>
        </w:tc>
        <w:tc>
          <w:tcPr>
            <w:tcW w:w="1365" w:type="dxa"/>
            <w:tcBorders>
              <w:top w:val="nil"/>
              <w:left w:val="nil"/>
              <w:bottom w:val="nil"/>
              <w:right w:val="single" w:sz="4" w:space="0" w:color="auto"/>
            </w:tcBorders>
            <w:vAlign w:val="bottom"/>
            <w:hideMark/>
          </w:tcPr>
          <w:p w14:paraId="31F7D395" w14:textId="77777777" w:rsidR="006D72A9" w:rsidRPr="006D72A9" w:rsidRDefault="006D72A9">
            <w:pPr>
              <w:pStyle w:val="IASBTableArial"/>
              <w:jc w:val="right"/>
            </w:pPr>
          </w:p>
        </w:tc>
      </w:tr>
      <w:tr w:rsidR="006D72A9" w14:paraId="2E3436E2" w14:textId="77777777" w:rsidTr="006D72A9">
        <w:trPr>
          <w:cantSplit/>
        </w:trPr>
        <w:tc>
          <w:tcPr>
            <w:tcW w:w="851" w:type="dxa"/>
            <w:tcBorders>
              <w:top w:val="nil"/>
              <w:left w:val="single" w:sz="4" w:space="0" w:color="auto"/>
              <w:bottom w:val="nil"/>
              <w:right w:val="nil"/>
            </w:tcBorders>
            <w:hideMark/>
          </w:tcPr>
          <w:p w14:paraId="4F30FDB2" w14:textId="77777777" w:rsidR="006D72A9" w:rsidRPr="006D72A9" w:rsidRDefault="006D72A9">
            <w:pPr>
              <w:pStyle w:val="IASBTableArial"/>
            </w:pPr>
            <w:r w:rsidRPr="006D72A9">
              <w:t>5</w:t>
            </w:r>
          </w:p>
        </w:tc>
        <w:tc>
          <w:tcPr>
            <w:tcW w:w="3587" w:type="dxa"/>
            <w:vAlign w:val="bottom"/>
            <w:hideMark/>
          </w:tcPr>
          <w:p w14:paraId="258179D8" w14:textId="77777777" w:rsidR="006D72A9" w:rsidRPr="006D72A9" w:rsidRDefault="006D72A9">
            <w:pPr>
              <w:pStyle w:val="IASBTableArial"/>
            </w:pPr>
            <w:r w:rsidRPr="006D72A9">
              <w:t>(200–200) employees × 100 SARs × CU25.00–CU428,000</w:t>
            </w:r>
          </w:p>
        </w:tc>
        <w:tc>
          <w:tcPr>
            <w:tcW w:w="1365" w:type="dxa"/>
            <w:vAlign w:val="bottom"/>
            <w:hideMark/>
          </w:tcPr>
          <w:p w14:paraId="732C27AF" w14:textId="77777777" w:rsidR="006D72A9" w:rsidRPr="006D72A9" w:rsidRDefault="006D72A9">
            <w:pPr>
              <w:pStyle w:val="IASBTableArial"/>
              <w:jc w:val="right"/>
            </w:pPr>
            <w:r w:rsidRPr="006D72A9">
              <w:t>(428,000)</w:t>
            </w:r>
          </w:p>
        </w:tc>
        <w:tc>
          <w:tcPr>
            <w:tcW w:w="1365" w:type="dxa"/>
            <w:vAlign w:val="bottom"/>
            <w:hideMark/>
          </w:tcPr>
          <w:p w14:paraId="7FFB6B11" w14:textId="77777777" w:rsidR="006D72A9" w:rsidRPr="006D72A9" w:rsidRDefault="006D72A9">
            <w:pPr>
              <w:pStyle w:val="IASBTableArial"/>
              <w:jc w:val="right"/>
            </w:pPr>
          </w:p>
        </w:tc>
        <w:tc>
          <w:tcPr>
            <w:tcW w:w="1365" w:type="dxa"/>
            <w:tcBorders>
              <w:top w:val="nil"/>
              <w:left w:val="nil"/>
              <w:bottom w:val="nil"/>
              <w:right w:val="single" w:sz="4" w:space="0" w:color="auto"/>
            </w:tcBorders>
            <w:vAlign w:val="bottom"/>
            <w:hideMark/>
          </w:tcPr>
          <w:p w14:paraId="6B476D2D" w14:textId="77777777" w:rsidR="006D72A9" w:rsidRPr="006D72A9" w:rsidRDefault="00E5629E">
            <w:pPr>
              <w:pStyle w:val="IASBTableArial"/>
              <w:jc w:val="right"/>
            </w:pPr>
            <w:r w:rsidRPr="006D72A9">
              <w:t>–</w:t>
            </w:r>
          </w:p>
        </w:tc>
      </w:tr>
      <w:tr w:rsidR="006D72A9" w14:paraId="37622494" w14:textId="77777777" w:rsidTr="00130259">
        <w:trPr>
          <w:cantSplit/>
        </w:trPr>
        <w:tc>
          <w:tcPr>
            <w:tcW w:w="851" w:type="dxa"/>
            <w:tcBorders>
              <w:top w:val="nil"/>
              <w:left w:val="single" w:sz="4" w:space="0" w:color="auto"/>
              <w:bottom w:val="nil"/>
              <w:right w:val="nil"/>
            </w:tcBorders>
            <w:vAlign w:val="bottom"/>
          </w:tcPr>
          <w:p w14:paraId="242A465C" w14:textId="77777777" w:rsidR="006D72A9" w:rsidRPr="006D72A9" w:rsidRDefault="006D72A9">
            <w:pPr>
              <w:pStyle w:val="IASBTableArial"/>
            </w:pPr>
          </w:p>
        </w:tc>
        <w:tc>
          <w:tcPr>
            <w:tcW w:w="3587" w:type="dxa"/>
            <w:vAlign w:val="bottom"/>
            <w:hideMark/>
          </w:tcPr>
          <w:p w14:paraId="04D9EB20" w14:textId="77777777" w:rsidR="006D72A9" w:rsidRPr="006D72A9" w:rsidRDefault="006D72A9">
            <w:pPr>
              <w:pStyle w:val="IASBTableArial"/>
            </w:pPr>
            <w:r w:rsidRPr="006D72A9">
              <w:t>+ 200 employees × 100 SARs × CU25.00</w:t>
            </w:r>
          </w:p>
        </w:tc>
        <w:tc>
          <w:tcPr>
            <w:tcW w:w="1365" w:type="dxa"/>
            <w:tcBorders>
              <w:top w:val="nil"/>
              <w:left w:val="nil"/>
              <w:bottom w:val="single" w:sz="4" w:space="0" w:color="auto"/>
              <w:right w:val="nil"/>
            </w:tcBorders>
            <w:vAlign w:val="bottom"/>
            <w:hideMark/>
          </w:tcPr>
          <w:p w14:paraId="371DEAD7" w14:textId="77777777" w:rsidR="006D72A9" w:rsidRPr="006D72A9" w:rsidRDefault="006D72A9">
            <w:pPr>
              <w:pStyle w:val="IASBTableArial"/>
              <w:jc w:val="right"/>
            </w:pPr>
            <w:r w:rsidRPr="006D72A9">
              <w:t>500,000</w:t>
            </w:r>
          </w:p>
        </w:tc>
        <w:tc>
          <w:tcPr>
            <w:tcW w:w="1365" w:type="dxa"/>
            <w:vAlign w:val="bottom"/>
            <w:hideMark/>
          </w:tcPr>
          <w:p w14:paraId="11C70723" w14:textId="77777777" w:rsidR="006D72A9" w:rsidRPr="006D72A9" w:rsidRDefault="006D72A9">
            <w:pPr>
              <w:pStyle w:val="IASBTableArial"/>
              <w:jc w:val="right"/>
            </w:pPr>
          </w:p>
        </w:tc>
        <w:tc>
          <w:tcPr>
            <w:tcW w:w="1365" w:type="dxa"/>
            <w:tcBorders>
              <w:top w:val="nil"/>
              <w:left w:val="nil"/>
              <w:bottom w:val="nil"/>
              <w:right w:val="single" w:sz="4" w:space="0" w:color="auto"/>
            </w:tcBorders>
            <w:vAlign w:val="bottom"/>
            <w:hideMark/>
          </w:tcPr>
          <w:p w14:paraId="1B6972B4" w14:textId="77777777" w:rsidR="006D72A9" w:rsidRPr="006D72A9" w:rsidRDefault="006D72A9">
            <w:pPr>
              <w:pStyle w:val="IASBTableArial"/>
              <w:jc w:val="right"/>
            </w:pPr>
          </w:p>
        </w:tc>
      </w:tr>
      <w:tr w:rsidR="006D72A9" w14:paraId="7A6D6A14" w14:textId="77777777" w:rsidTr="00130259">
        <w:trPr>
          <w:cantSplit/>
        </w:trPr>
        <w:tc>
          <w:tcPr>
            <w:tcW w:w="851" w:type="dxa"/>
            <w:tcBorders>
              <w:top w:val="nil"/>
              <w:left w:val="single" w:sz="4" w:space="0" w:color="auto"/>
              <w:bottom w:val="nil"/>
              <w:right w:val="nil"/>
            </w:tcBorders>
            <w:vAlign w:val="bottom"/>
          </w:tcPr>
          <w:p w14:paraId="4B221CA7" w14:textId="77777777" w:rsidR="006D72A9" w:rsidRPr="006D72A9" w:rsidRDefault="006D72A9">
            <w:pPr>
              <w:pStyle w:val="IASBTableArial"/>
            </w:pPr>
          </w:p>
        </w:tc>
        <w:tc>
          <w:tcPr>
            <w:tcW w:w="3587" w:type="dxa"/>
            <w:vAlign w:val="bottom"/>
            <w:hideMark/>
          </w:tcPr>
          <w:p w14:paraId="76B2192B" w14:textId="77777777" w:rsidR="006D72A9" w:rsidRPr="006D72A9" w:rsidRDefault="006D72A9">
            <w:pPr>
              <w:pStyle w:val="IASBTableArial"/>
            </w:pPr>
            <w:r w:rsidRPr="006D72A9">
              <w:t>Total</w:t>
            </w:r>
          </w:p>
        </w:tc>
        <w:tc>
          <w:tcPr>
            <w:tcW w:w="1365" w:type="dxa"/>
            <w:vAlign w:val="bottom"/>
            <w:hideMark/>
          </w:tcPr>
          <w:p w14:paraId="297C730B" w14:textId="77777777" w:rsidR="006D72A9" w:rsidRPr="006D72A9" w:rsidRDefault="006D72A9">
            <w:pPr>
              <w:pStyle w:val="IASBTableArial"/>
              <w:jc w:val="right"/>
            </w:pPr>
          </w:p>
        </w:tc>
        <w:tc>
          <w:tcPr>
            <w:tcW w:w="1365" w:type="dxa"/>
            <w:tcBorders>
              <w:top w:val="nil"/>
              <w:left w:val="nil"/>
              <w:bottom w:val="single" w:sz="4" w:space="0" w:color="auto"/>
              <w:right w:val="nil"/>
            </w:tcBorders>
            <w:vAlign w:val="bottom"/>
            <w:hideMark/>
          </w:tcPr>
          <w:p w14:paraId="2656408B" w14:textId="77777777" w:rsidR="006D72A9" w:rsidRPr="006D72A9" w:rsidRDefault="006D72A9">
            <w:pPr>
              <w:pStyle w:val="IASBTableArial"/>
              <w:jc w:val="right"/>
            </w:pPr>
            <w:r w:rsidRPr="006D72A9">
              <w:t>72,000</w:t>
            </w:r>
          </w:p>
        </w:tc>
        <w:tc>
          <w:tcPr>
            <w:tcW w:w="1365" w:type="dxa"/>
            <w:tcBorders>
              <w:top w:val="nil"/>
              <w:left w:val="nil"/>
              <w:bottom w:val="nil"/>
              <w:right w:val="single" w:sz="4" w:space="0" w:color="auto"/>
            </w:tcBorders>
            <w:vAlign w:val="bottom"/>
            <w:hideMark/>
          </w:tcPr>
          <w:p w14:paraId="55F6DC47" w14:textId="77777777" w:rsidR="006D72A9" w:rsidRPr="006D72A9" w:rsidRDefault="006D72A9">
            <w:pPr>
              <w:pStyle w:val="IASBTableArial"/>
              <w:jc w:val="right"/>
            </w:pPr>
          </w:p>
        </w:tc>
      </w:tr>
      <w:tr w:rsidR="006D72A9" w14:paraId="61FF59F0" w14:textId="77777777" w:rsidTr="00130259">
        <w:trPr>
          <w:cantSplit/>
          <w:trHeight w:hRule="exact" w:val="397"/>
        </w:trPr>
        <w:tc>
          <w:tcPr>
            <w:tcW w:w="851" w:type="dxa"/>
            <w:tcBorders>
              <w:top w:val="nil"/>
              <w:left w:val="single" w:sz="4" w:space="0" w:color="auto"/>
              <w:bottom w:val="nil"/>
              <w:right w:val="nil"/>
            </w:tcBorders>
            <w:vAlign w:val="bottom"/>
          </w:tcPr>
          <w:p w14:paraId="528B7CBF" w14:textId="77777777" w:rsidR="006D72A9" w:rsidRPr="006D72A9" w:rsidRDefault="006D72A9">
            <w:pPr>
              <w:pStyle w:val="IASBTableArial"/>
            </w:pPr>
          </w:p>
        </w:tc>
        <w:tc>
          <w:tcPr>
            <w:tcW w:w="3587" w:type="dxa"/>
            <w:tcBorders>
              <w:top w:val="nil"/>
              <w:left w:val="nil"/>
              <w:bottom w:val="nil"/>
              <w:right w:val="nil"/>
            </w:tcBorders>
            <w:vAlign w:val="bottom"/>
            <w:hideMark/>
          </w:tcPr>
          <w:p w14:paraId="4C3D926A" w14:textId="77777777" w:rsidR="006D72A9" w:rsidRPr="006D72A9" w:rsidRDefault="006D72A9" w:rsidP="006D72A9">
            <w:pPr>
              <w:pStyle w:val="IASBTableArial"/>
              <w:spacing w:after="120"/>
            </w:pPr>
            <w:r w:rsidRPr="006D72A9">
              <w:t>Total</w:t>
            </w:r>
          </w:p>
        </w:tc>
        <w:tc>
          <w:tcPr>
            <w:tcW w:w="1365" w:type="dxa"/>
            <w:tcBorders>
              <w:top w:val="nil"/>
              <w:left w:val="nil"/>
              <w:bottom w:val="nil"/>
              <w:right w:val="nil"/>
            </w:tcBorders>
            <w:vAlign w:val="bottom"/>
            <w:hideMark/>
          </w:tcPr>
          <w:p w14:paraId="7126BCFA" w14:textId="77777777" w:rsidR="006D72A9" w:rsidRPr="006D72A9" w:rsidRDefault="006D72A9" w:rsidP="006D72A9">
            <w:pPr>
              <w:pStyle w:val="IASBTableArial"/>
              <w:spacing w:after="120"/>
              <w:jc w:val="right"/>
            </w:pPr>
          </w:p>
        </w:tc>
        <w:tc>
          <w:tcPr>
            <w:tcW w:w="1365" w:type="dxa"/>
            <w:tcBorders>
              <w:top w:val="single" w:sz="4" w:space="0" w:color="auto"/>
              <w:left w:val="nil"/>
              <w:bottom w:val="double" w:sz="4" w:space="0" w:color="auto"/>
              <w:right w:val="nil"/>
            </w:tcBorders>
            <w:vAlign w:val="bottom"/>
            <w:hideMark/>
          </w:tcPr>
          <w:p w14:paraId="762CC62B" w14:textId="77777777" w:rsidR="006D72A9" w:rsidRPr="00130259" w:rsidRDefault="00130259" w:rsidP="006D72A9">
            <w:pPr>
              <w:pStyle w:val="IASBTableArial"/>
              <w:spacing w:after="120"/>
              <w:jc w:val="right"/>
            </w:pPr>
            <w:r w:rsidRPr="00130259">
              <w:t>1,025,000</w:t>
            </w:r>
          </w:p>
        </w:tc>
        <w:tc>
          <w:tcPr>
            <w:tcW w:w="1365" w:type="dxa"/>
            <w:tcBorders>
              <w:top w:val="nil"/>
              <w:left w:val="nil"/>
              <w:bottom w:val="nil"/>
              <w:right w:val="single" w:sz="4" w:space="0" w:color="auto"/>
            </w:tcBorders>
            <w:vAlign w:val="bottom"/>
            <w:hideMark/>
          </w:tcPr>
          <w:p w14:paraId="2EBB497F" w14:textId="77777777" w:rsidR="006D72A9" w:rsidRPr="006D72A9" w:rsidRDefault="006D72A9" w:rsidP="006D72A9">
            <w:pPr>
              <w:pStyle w:val="IASBTableArial"/>
              <w:spacing w:after="120"/>
              <w:jc w:val="right"/>
            </w:pPr>
          </w:p>
        </w:tc>
      </w:tr>
      <w:tr w:rsidR="00130259" w14:paraId="51369BC9" w14:textId="77777777" w:rsidTr="00130259">
        <w:trPr>
          <w:cantSplit/>
          <w:trHeight w:hRule="exact" w:val="113"/>
        </w:trPr>
        <w:tc>
          <w:tcPr>
            <w:tcW w:w="851" w:type="dxa"/>
            <w:tcBorders>
              <w:top w:val="nil"/>
              <w:left w:val="single" w:sz="4" w:space="0" w:color="auto"/>
              <w:bottom w:val="single" w:sz="4" w:space="0" w:color="auto"/>
              <w:right w:val="nil"/>
            </w:tcBorders>
            <w:vAlign w:val="bottom"/>
          </w:tcPr>
          <w:p w14:paraId="1C2A2CFF" w14:textId="77777777" w:rsidR="00130259" w:rsidRPr="006D72A9" w:rsidRDefault="00130259">
            <w:pPr>
              <w:pStyle w:val="IASBTableArial"/>
            </w:pPr>
          </w:p>
        </w:tc>
        <w:tc>
          <w:tcPr>
            <w:tcW w:w="3587" w:type="dxa"/>
            <w:tcBorders>
              <w:top w:val="nil"/>
              <w:left w:val="nil"/>
              <w:bottom w:val="single" w:sz="4" w:space="0" w:color="auto"/>
              <w:right w:val="nil"/>
            </w:tcBorders>
            <w:vAlign w:val="bottom"/>
          </w:tcPr>
          <w:p w14:paraId="190D0031" w14:textId="77777777" w:rsidR="00130259" w:rsidRPr="006D72A9" w:rsidRDefault="00130259" w:rsidP="006D72A9">
            <w:pPr>
              <w:pStyle w:val="IASBTableArial"/>
              <w:spacing w:after="120"/>
            </w:pPr>
          </w:p>
        </w:tc>
        <w:tc>
          <w:tcPr>
            <w:tcW w:w="1365" w:type="dxa"/>
            <w:tcBorders>
              <w:top w:val="nil"/>
              <w:left w:val="nil"/>
              <w:bottom w:val="single" w:sz="4" w:space="0" w:color="auto"/>
              <w:right w:val="nil"/>
            </w:tcBorders>
            <w:vAlign w:val="bottom"/>
          </w:tcPr>
          <w:p w14:paraId="22CD0B34" w14:textId="77777777" w:rsidR="00130259" w:rsidRPr="006D72A9" w:rsidRDefault="00130259" w:rsidP="006D72A9">
            <w:pPr>
              <w:pStyle w:val="IASBTableArial"/>
              <w:spacing w:after="120"/>
              <w:jc w:val="right"/>
            </w:pPr>
          </w:p>
        </w:tc>
        <w:tc>
          <w:tcPr>
            <w:tcW w:w="1365" w:type="dxa"/>
            <w:tcBorders>
              <w:top w:val="double" w:sz="4" w:space="0" w:color="auto"/>
              <w:left w:val="nil"/>
              <w:bottom w:val="single" w:sz="4" w:space="0" w:color="auto"/>
              <w:right w:val="nil"/>
            </w:tcBorders>
            <w:vAlign w:val="bottom"/>
          </w:tcPr>
          <w:p w14:paraId="2F339498" w14:textId="77777777" w:rsidR="00130259" w:rsidRPr="00130259" w:rsidRDefault="00130259" w:rsidP="006D72A9">
            <w:pPr>
              <w:pStyle w:val="IASBTableArial"/>
              <w:spacing w:after="120"/>
              <w:jc w:val="right"/>
            </w:pPr>
          </w:p>
        </w:tc>
        <w:tc>
          <w:tcPr>
            <w:tcW w:w="1365" w:type="dxa"/>
            <w:tcBorders>
              <w:top w:val="nil"/>
              <w:left w:val="nil"/>
              <w:bottom w:val="single" w:sz="4" w:space="0" w:color="auto"/>
              <w:right w:val="single" w:sz="4" w:space="0" w:color="auto"/>
            </w:tcBorders>
            <w:vAlign w:val="bottom"/>
          </w:tcPr>
          <w:p w14:paraId="68D868BA" w14:textId="77777777" w:rsidR="00130259" w:rsidRPr="006D72A9" w:rsidRDefault="00130259" w:rsidP="006D72A9">
            <w:pPr>
              <w:pStyle w:val="IASBTableArial"/>
              <w:spacing w:after="120"/>
              <w:jc w:val="right"/>
            </w:pPr>
          </w:p>
        </w:tc>
      </w:tr>
    </w:tbl>
    <w:p w14:paraId="37033D4B" w14:textId="77777777" w:rsidR="008F7BBD" w:rsidRDefault="008F7BBD" w:rsidP="008F7BBD">
      <w:pPr>
        <w:pStyle w:val="NumPlain1"/>
        <w:numPr>
          <w:ilvl w:val="0"/>
          <w:numId w:val="0"/>
        </w:numPr>
        <w:ind w:left="510"/>
      </w:pPr>
    </w:p>
    <w:p w14:paraId="125346D5" w14:textId="380B9C91" w:rsidR="008F7BBD" w:rsidRDefault="008F7BBD" w:rsidP="00130259">
      <w:pPr>
        <w:pStyle w:val="NumPlain1"/>
      </w:pPr>
      <w:r>
        <w:t xml:space="preserve">The heading “Share-based payment transactions with a net settlement feature for withholding tax obligations” </w:t>
      </w:r>
      <w:r w:rsidR="00D151B2">
        <w:t>before</w:t>
      </w:r>
      <w:r>
        <w:t xml:space="preserve"> paragraph IG19A in the Implementation Guidance is promoted to a section heading.</w:t>
      </w:r>
    </w:p>
    <w:p w14:paraId="1FD11207" w14:textId="308227B7" w:rsidR="00D151B2" w:rsidRDefault="00D151B2" w:rsidP="00130259">
      <w:pPr>
        <w:pStyle w:val="NumPlain1"/>
      </w:pPr>
      <w:r>
        <w:t>In</w:t>
      </w:r>
      <w:r w:rsidR="00130259">
        <w:t xml:space="preserve"> IG Example 12B in the Implementation Guidance</w:t>
      </w:r>
      <w:r>
        <w:t>:</w:t>
      </w:r>
    </w:p>
    <w:p w14:paraId="32AD564F" w14:textId="77777777" w:rsidR="00D151B2" w:rsidRDefault="00D151B2" w:rsidP="009B1FF7">
      <w:pPr>
        <w:pStyle w:val="NumPlain2"/>
      </w:pPr>
      <w:r>
        <w:t>“CU1000” in the sixth background paragraph is amended to “CU1,000”; and</w:t>
      </w:r>
    </w:p>
    <w:p w14:paraId="076031DF" w14:textId="6380D3C4" w:rsidR="00130259" w:rsidRDefault="00D151B2" w:rsidP="009B1FF7">
      <w:pPr>
        <w:pStyle w:val="NumPlain2"/>
      </w:pPr>
      <w:r>
        <w:t>s</w:t>
      </w:r>
      <w:r w:rsidR="008F7BBD">
        <w:t xml:space="preserve">ingle </w:t>
      </w:r>
      <w:r w:rsidR="00130259">
        <w:t xml:space="preserve">underlining is added underneath the </w:t>
      </w:r>
      <w:r>
        <w:t xml:space="preserve">Year 4 amounts in the Expense and Equity columns </w:t>
      </w:r>
      <w:r w:rsidR="00130259">
        <w:t xml:space="preserve">and </w:t>
      </w:r>
      <w:r>
        <w:t>d</w:t>
      </w:r>
      <w:r w:rsidR="008F7BBD">
        <w:t>ouble</w:t>
      </w:r>
      <w:r w:rsidR="001052FD">
        <w:t xml:space="preserve"> </w:t>
      </w:r>
      <w:r w:rsidR="008F7BBD">
        <w:t xml:space="preserve">underlining is added underneath </w:t>
      </w:r>
      <w:r w:rsidR="00130259">
        <w:t xml:space="preserve">the total figures in </w:t>
      </w:r>
      <w:r>
        <w:t xml:space="preserve">those </w:t>
      </w:r>
      <w:r w:rsidR="00130259">
        <w:t>columns.</w:t>
      </w:r>
    </w:p>
    <w:p w14:paraId="1065F6F4" w14:textId="77777777" w:rsidR="00D151B2" w:rsidRDefault="00D151B2" w:rsidP="00130259">
      <w:pPr>
        <w:pStyle w:val="NumPlain1"/>
      </w:pPr>
      <w:r>
        <w:t>In IG Example 12C in the Implementation Guidance:</w:t>
      </w:r>
    </w:p>
    <w:p w14:paraId="32BFB84C" w14:textId="056787A3" w:rsidR="008B5352" w:rsidRDefault="00D151B2" w:rsidP="009B1FF7">
      <w:pPr>
        <w:pStyle w:val="NumPlain2"/>
      </w:pPr>
      <w:r>
        <w:t>a</w:t>
      </w:r>
      <w:r w:rsidR="008F7BBD">
        <w:t xml:space="preserve"> hyphen is inserted in the reference to “modification date” in the calculation column for Year 2</w:t>
      </w:r>
      <w:r w:rsidR="008B5352">
        <w:t>; and</w:t>
      </w:r>
    </w:p>
    <w:p w14:paraId="000E044B" w14:textId="6FCB247F" w:rsidR="008F7BBD" w:rsidRDefault="008B5352" w:rsidP="009B1FF7">
      <w:pPr>
        <w:pStyle w:val="NumPlain2"/>
      </w:pPr>
      <w:r>
        <w:t>in the equity column:</w:t>
      </w:r>
    </w:p>
    <w:p w14:paraId="34C76C11" w14:textId="5F440363" w:rsidR="008B5352" w:rsidRDefault="00D151B2" w:rsidP="009B1FF7">
      <w:pPr>
        <w:pStyle w:val="NumPlain3"/>
      </w:pPr>
      <w:r>
        <w:t>s</w:t>
      </w:r>
      <w:r w:rsidR="008F7BBD">
        <w:t xml:space="preserve">ingle underlining is added underneath the reference to 33,000 </w:t>
      </w:r>
      <w:r>
        <w:t>in Year 4</w:t>
      </w:r>
      <w:r w:rsidR="008B5352">
        <w:t>;</w:t>
      </w:r>
      <w:r>
        <w:t xml:space="preserve"> </w:t>
      </w:r>
      <w:r w:rsidR="008F7BBD">
        <w:t xml:space="preserve">and </w:t>
      </w:r>
    </w:p>
    <w:p w14:paraId="61899234" w14:textId="18516E50" w:rsidR="008F7BBD" w:rsidRPr="00C81C72" w:rsidRDefault="00D151B2" w:rsidP="009B1FF7">
      <w:pPr>
        <w:pStyle w:val="NumPlain3"/>
      </w:pPr>
      <w:r>
        <w:t xml:space="preserve">double underlining is added underneath the reference to </w:t>
      </w:r>
      <w:r w:rsidR="008F7BBD">
        <w:t>132,000.</w:t>
      </w:r>
    </w:p>
    <w:p w14:paraId="2610B203" w14:textId="77777777" w:rsidR="00C81C72" w:rsidRPr="00C81C72" w:rsidRDefault="00C81C72" w:rsidP="00C81C72">
      <w:pPr>
        <w:pStyle w:val="Heading2Indent1"/>
      </w:pPr>
      <w:r>
        <w:t xml:space="preserve">Amendments to AASB 7 </w:t>
      </w:r>
      <w:r>
        <w:rPr>
          <w:i/>
        </w:rPr>
        <w:t>Financial Instruments: Disclosures</w:t>
      </w:r>
    </w:p>
    <w:p w14:paraId="6989DA9B" w14:textId="77EA602D" w:rsidR="008B5352" w:rsidRDefault="008B5352" w:rsidP="008B5352">
      <w:pPr>
        <w:pStyle w:val="NumPlain1"/>
      </w:pPr>
      <w:r>
        <w:t>Paragraph B8B in Appendix B is amended as follows (new text is underlined and deleted text is struck through):</w:t>
      </w:r>
    </w:p>
    <w:p w14:paraId="68944B04" w14:textId="77777777" w:rsidR="008B5352" w:rsidRDefault="008B5352" w:rsidP="008B5352">
      <w:pPr>
        <w:ind w:left="1440" w:hanging="930"/>
      </w:pPr>
      <w:r>
        <w:t>B8B</w:t>
      </w:r>
      <w:r>
        <w:tab/>
        <w:t>… policies, paragraph 35F(f)</w:t>
      </w:r>
      <w:r w:rsidRPr="009B1FF7">
        <w:rPr>
          <w:strike/>
        </w:rPr>
        <w:t>(i)</w:t>
      </w:r>
      <w:r w:rsidRPr="009B1FF7">
        <w:rPr>
          <w:u w:val="single"/>
        </w:rPr>
        <w:t>(</w:t>
      </w:r>
      <w:r>
        <w:rPr>
          <w:u w:val="single"/>
        </w:rPr>
        <w:t>ii)</w:t>
      </w:r>
      <w:r>
        <w:t xml:space="preserve"> </w:t>
      </w:r>
      <w:r w:rsidR="001A4FD4">
        <w:t xml:space="preserve">requires the disclosure of information about how an entity monitors the extent to which the loss allowance on financial assets previously disclosed </w:t>
      </w:r>
      <w:r>
        <w:t>in accordance with paragraph 35F(f)</w:t>
      </w:r>
      <w:r w:rsidRPr="009B1FF7">
        <w:rPr>
          <w:strike/>
        </w:rPr>
        <w:t>(ii)</w:t>
      </w:r>
      <w:r w:rsidR="001A4FD4">
        <w:rPr>
          <w:u w:val="single"/>
        </w:rPr>
        <w:t>(i)</w:t>
      </w:r>
      <w:r>
        <w:t xml:space="preserve"> are subsequently measured …</w:t>
      </w:r>
    </w:p>
    <w:p w14:paraId="47F2AAF9" w14:textId="77777777" w:rsidR="00946543" w:rsidRPr="00F17807" w:rsidRDefault="00946543" w:rsidP="00946543">
      <w:pPr>
        <w:pStyle w:val="Heading2Indent1"/>
        <w:rPr>
          <w:i/>
        </w:rPr>
      </w:pPr>
      <w:r>
        <w:t>Amendments to AASB 101</w:t>
      </w:r>
      <w:r w:rsidR="00F17807">
        <w:t xml:space="preserve"> </w:t>
      </w:r>
      <w:r w:rsidR="00F17807">
        <w:rPr>
          <w:i/>
        </w:rPr>
        <w:t>Presentation of Financial Statements</w:t>
      </w:r>
    </w:p>
    <w:p w14:paraId="4395F5E3" w14:textId="77777777" w:rsidR="00D7156C" w:rsidRDefault="00E572EA" w:rsidP="00BD0623">
      <w:pPr>
        <w:pStyle w:val="NumPlain1"/>
      </w:pPr>
      <w:r>
        <w:t>The text “hedged forecast cash flow affect” in paragraph 95 is amended to read “hedged forecast cash flows affect”.</w:t>
      </w:r>
    </w:p>
    <w:p w14:paraId="6B06E0BA" w14:textId="77777777" w:rsidR="00D7156C" w:rsidRDefault="00D7156C" w:rsidP="009B1FF7">
      <w:r>
        <w:br w:type="page"/>
      </w:r>
    </w:p>
    <w:p w14:paraId="01E8228E" w14:textId="79C78FF3" w:rsidR="00946543" w:rsidRDefault="00946543" w:rsidP="00BD0623">
      <w:pPr>
        <w:pStyle w:val="NumPlain1"/>
      </w:pPr>
      <w:r>
        <w:lastRenderedPageBreak/>
        <w:t>Paragraph Aus136.1 is amended as follows (new text is underlined and deleted text is struck through):</w:t>
      </w:r>
    </w:p>
    <w:p w14:paraId="4182531D" w14:textId="77777777" w:rsidR="00697D99" w:rsidRDefault="00946543" w:rsidP="00DD6D98">
      <w:pPr>
        <w:ind w:left="1440" w:hanging="930"/>
      </w:pPr>
      <w:r>
        <w:t>Aus136.1</w:t>
      </w:r>
      <w:r>
        <w:tab/>
      </w:r>
      <w:r w:rsidRPr="00946543">
        <w:rPr>
          <w:strike/>
        </w:rPr>
        <w:t>The application of paragraphs 134–136 is limited to each</w:t>
      </w:r>
      <w:r>
        <w:rPr>
          <w:strike/>
        </w:rPr>
        <w:t xml:space="preserve"> </w:t>
      </w:r>
      <w:r>
        <w:rPr>
          <w:u w:val="single"/>
        </w:rPr>
        <w:t xml:space="preserve">An </w:t>
      </w:r>
      <w:r w:rsidRPr="00946543">
        <w:t xml:space="preserve">entity that is required to prepare financial reports in accordance with Part 2M.3 of the Corporations Act and that is </w:t>
      </w:r>
      <w:r w:rsidRPr="00946543">
        <w:rPr>
          <w:u w:val="single"/>
        </w:rPr>
        <w:t>not</w:t>
      </w:r>
      <w:r>
        <w:t xml:space="preserve"> </w:t>
      </w:r>
      <w:r w:rsidRPr="00946543">
        <w:t>a reporting entity</w:t>
      </w:r>
      <w:r>
        <w:t xml:space="preserve"> </w:t>
      </w:r>
      <w:r>
        <w:rPr>
          <w:u w:val="single"/>
        </w:rPr>
        <w:t>need not present the disclosures required by paragraphs 134–136</w:t>
      </w:r>
      <w:r w:rsidRPr="009B1FF7">
        <w:t>.</w:t>
      </w:r>
      <w:r>
        <w:rPr>
          <w:u w:val="single"/>
        </w:rPr>
        <w:t xml:space="preserve"> </w:t>
      </w:r>
    </w:p>
    <w:p w14:paraId="11BF7C49" w14:textId="727167B5" w:rsidR="008B5352" w:rsidRDefault="008B5352" w:rsidP="008B5352">
      <w:pPr>
        <w:pStyle w:val="Heading2Indent1"/>
        <w:rPr>
          <w:i/>
        </w:rPr>
      </w:pPr>
      <w:r w:rsidRPr="0072675B">
        <w:t xml:space="preserve">Amendments to AASB </w:t>
      </w:r>
      <w:r>
        <w:t>1</w:t>
      </w:r>
      <w:r w:rsidRPr="0072675B">
        <w:t xml:space="preserve">10 </w:t>
      </w:r>
      <w:r>
        <w:rPr>
          <w:i/>
        </w:rPr>
        <w:t>Events after the Reporting Period</w:t>
      </w:r>
      <w:r w:rsidRPr="0072675B">
        <w:rPr>
          <w:i/>
        </w:rPr>
        <w:t xml:space="preserve"> </w:t>
      </w:r>
    </w:p>
    <w:p w14:paraId="7A0FB7EF" w14:textId="77777777" w:rsidR="008B5352" w:rsidRDefault="008B5352" w:rsidP="008B5352">
      <w:pPr>
        <w:pStyle w:val="NumPlain1"/>
      </w:pPr>
      <w:r>
        <w:t>The word “and” is added after the semi-colon in paragraph 9(b)(i).</w:t>
      </w:r>
    </w:p>
    <w:p w14:paraId="48104D9A" w14:textId="77777777" w:rsidR="00E572EA" w:rsidRDefault="00E572EA" w:rsidP="009B1FF7">
      <w:pPr>
        <w:pStyle w:val="Heading2Indent1"/>
      </w:pPr>
      <w:r>
        <w:t>Amendments to AASB 128</w:t>
      </w:r>
      <w:r w:rsidRPr="00E572EA">
        <w:rPr>
          <w:i/>
        </w:rPr>
        <w:t xml:space="preserve"> </w:t>
      </w:r>
      <w:r w:rsidRPr="0059596C">
        <w:rPr>
          <w:i/>
        </w:rPr>
        <w:t>Investments in Associates and Joint Ventures</w:t>
      </w:r>
    </w:p>
    <w:p w14:paraId="347DD780" w14:textId="3925CA1D" w:rsidR="00D6412D" w:rsidRDefault="00D6412D" w:rsidP="00D6412D">
      <w:pPr>
        <w:pStyle w:val="NumPlain1"/>
      </w:pPr>
      <w:r>
        <w:t>Paragraph 37 is amended as follows (new text is underlined and deleted text is struck through):</w:t>
      </w:r>
    </w:p>
    <w:p w14:paraId="5AC11913" w14:textId="59C452B7" w:rsidR="00E572EA" w:rsidRDefault="00D6412D" w:rsidP="009B1FF7">
      <w:pPr>
        <w:pStyle w:val="NumPlain1"/>
        <w:numPr>
          <w:ilvl w:val="0"/>
          <w:numId w:val="0"/>
        </w:numPr>
        <w:ind w:left="510"/>
      </w:pPr>
      <w:r>
        <w:t>37</w:t>
      </w:r>
      <w:r>
        <w:tab/>
      </w:r>
      <w:r>
        <w:tab/>
      </w:r>
      <w:r w:rsidRPr="009B1FF7">
        <w:rPr>
          <w:strike/>
        </w:rPr>
        <w:t>Except as described in paragraph 36A, i</w:t>
      </w:r>
      <w:r>
        <w:rPr>
          <w:strike/>
        </w:rPr>
        <w:t xml:space="preserve">f </w:t>
      </w:r>
      <w:r>
        <w:rPr>
          <w:u w:val="single"/>
        </w:rPr>
        <w:t>I</w:t>
      </w:r>
      <w:r w:rsidRPr="009B1FF7">
        <w:rPr>
          <w:u w:val="single"/>
        </w:rPr>
        <w:t>f</w:t>
      </w:r>
      <w:r>
        <w:t xml:space="preserve"> an associate</w:t>
      </w:r>
    </w:p>
    <w:p w14:paraId="1585C285" w14:textId="77777777" w:rsidR="00F17807" w:rsidRPr="00EE1BD1" w:rsidRDefault="00F17807" w:rsidP="00F17807">
      <w:pPr>
        <w:pStyle w:val="Heading2Indent1"/>
        <w:rPr>
          <w:i/>
        </w:rPr>
      </w:pPr>
      <w:r>
        <w:t>Amendments to AASB 134</w:t>
      </w:r>
      <w:r w:rsidR="00EE1BD1">
        <w:t xml:space="preserve"> </w:t>
      </w:r>
      <w:r w:rsidR="00EE1BD1">
        <w:rPr>
          <w:i/>
        </w:rPr>
        <w:t>Interim Financial Reporting</w:t>
      </w:r>
    </w:p>
    <w:p w14:paraId="47841652" w14:textId="77777777" w:rsidR="00F17807" w:rsidRDefault="00F17807" w:rsidP="00946543">
      <w:pPr>
        <w:pStyle w:val="NumPlain1"/>
      </w:pPr>
      <w:r>
        <w:t xml:space="preserve">The reference to </w:t>
      </w:r>
      <w:r w:rsidR="00C74243">
        <w:t>“</w:t>
      </w:r>
      <w:r>
        <w:t>IFRS 15</w:t>
      </w:r>
      <w:r w:rsidR="00C74243">
        <w:t>”</w:t>
      </w:r>
      <w:r>
        <w:t xml:space="preserve"> in paragraph 55 is amended to </w:t>
      </w:r>
      <w:r w:rsidR="00C74243">
        <w:t>“</w:t>
      </w:r>
      <w:r>
        <w:t>AASB 15</w:t>
      </w:r>
      <w:r w:rsidR="00C74243">
        <w:t>”</w:t>
      </w:r>
      <w:r>
        <w:t>.</w:t>
      </w:r>
    </w:p>
    <w:p w14:paraId="315935DC" w14:textId="2349B3A0" w:rsidR="00756C0A" w:rsidRPr="00756C0A" w:rsidRDefault="00756C0A" w:rsidP="00756C0A">
      <w:pPr>
        <w:pStyle w:val="Heading2Indent1"/>
      </w:pPr>
      <w:r>
        <w:t xml:space="preserve">Amendments to AASB 1023 </w:t>
      </w:r>
      <w:r>
        <w:rPr>
          <w:i/>
        </w:rPr>
        <w:t xml:space="preserve">General Insurance </w:t>
      </w:r>
      <w:r w:rsidR="001052FD">
        <w:rPr>
          <w:i/>
        </w:rPr>
        <w:t>C</w:t>
      </w:r>
      <w:r>
        <w:rPr>
          <w:i/>
        </w:rPr>
        <w:t>ontracts</w:t>
      </w:r>
    </w:p>
    <w:p w14:paraId="46740C3E" w14:textId="77777777" w:rsidR="00756C0A" w:rsidRDefault="00756C0A" w:rsidP="00756C0A">
      <w:pPr>
        <w:pStyle w:val="NumPlain1"/>
      </w:pPr>
      <w:r>
        <w:t xml:space="preserve">The reference to </w:t>
      </w:r>
      <w:r w:rsidR="00C74243">
        <w:t>“</w:t>
      </w:r>
      <w:r>
        <w:t xml:space="preserve">AAS 25 </w:t>
      </w:r>
      <w:r>
        <w:rPr>
          <w:i/>
        </w:rPr>
        <w:t>Financial Reporting by Superannuation Plans</w:t>
      </w:r>
      <w:r w:rsidR="00C74243">
        <w:t>”</w:t>
      </w:r>
      <w:r>
        <w:t xml:space="preserve"> in paragraph 2.2(c) is amended to </w:t>
      </w:r>
      <w:r w:rsidR="00C74243">
        <w:t>“</w:t>
      </w:r>
      <w:r>
        <w:t xml:space="preserve">AASB 1056 </w:t>
      </w:r>
      <w:r>
        <w:rPr>
          <w:i/>
        </w:rPr>
        <w:t>Superannuation Entities</w:t>
      </w:r>
      <w:r w:rsidR="00C74243">
        <w:t>”</w:t>
      </w:r>
      <w:r>
        <w:t>.</w:t>
      </w:r>
    </w:p>
    <w:p w14:paraId="6D067FC3" w14:textId="368BBDEE" w:rsidR="00E57F29" w:rsidRDefault="00287C84" w:rsidP="00E57F29">
      <w:pPr>
        <w:pStyle w:val="Heading2Indent1"/>
        <w:rPr>
          <w:i/>
        </w:rPr>
      </w:pPr>
      <w:r>
        <w:t xml:space="preserve">Amendments to </w:t>
      </w:r>
      <w:r w:rsidR="00E57F29">
        <w:t xml:space="preserve">Interpretation 12 </w:t>
      </w:r>
      <w:r w:rsidR="00E57F29">
        <w:rPr>
          <w:i/>
        </w:rPr>
        <w:t>Service Concession Arrangements</w:t>
      </w:r>
    </w:p>
    <w:p w14:paraId="2D60427E" w14:textId="5D7CC2C3" w:rsidR="00E57F29" w:rsidRPr="00E57F29" w:rsidRDefault="00E57F29" w:rsidP="00E57F29">
      <w:pPr>
        <w:pStyle w:val="NumPlain1"/>
      </w:pPr>
      <w:r>
        <w:t xml:space="preserve">The text “An entity shall apply those amendments when it applies </w:t>
      </w:r>
      <w:r w:rsidR="00756C0A">
        <w:t>AASB</w:t>
      </w:r>
      <w:r>
        <w:t xml:space="preserve"> 16” in paragraph 28F is amended to read “An entity shall apply that amendment when it applies </w:t>
      </w:r>
      <w:r w:rsidR="00756C0A">
        <w:t>AASB</w:t>
      </w:r>
      <w:r>
        <w:t xml:space="preserve"> 16”.</w:t>
      </w:r>
    </w:p>
    <w:p w14:paraId="60E3AFEB" w14:textId="77777777" w:rsidR="0059596C" w:rsidRDefault="0059596C">
      <w:pPr>
        <w:pStyle w:val="Heading2"/>
      </w:pPr>
      <w:r>
        <w:t>Commencement of the legislative instrument</w:t>
      </w:r>
    </w:p>
    <w:p w14:paraId="19E0A38A" w14:textId="77777777" w:rsidR="0059596C" w:rsidRPr="00D534E1" w:rsidRDefault="0059596C" w:rsidP="00B31DD6">
      <w:pPr>
        <w:pStyle w:val="NumBold1"/>
        <w:rPr>
          <w:b w:val="0"/>
        </w:rPr>
      </w:pPr>
      <w:r w:rsidRPr="00D534E1">
        <w:rPr>
          <w:b w:val="0"/>
        </w:rPr>
        <w:t xml:space="preserve">For legal purposes, this legislative instrument commences on </w:t>
      </w:r>
      <w:bookmarkStart w:id="20" w:name="CommenceDate"/>
      <w:r w:rsidRPr="00D534E1">
        <w:rPr>
          <w:b w:val="0"/>
        </w:rPr>
        <w:t>31 December 2017</w:t>
      </w:r>
      <w:bookmarkEnd w:id="20"/>
      <w:r w:rsidRPr="00D534E1">
        <w:rPr>
          <w:b w:val="0"/>
        </w:rPr>
        <w:t>.</w:t>
      </w:r>
    </w:p>
    <w:sectPr w:rsidR="0059596C" w:rsidRPr="00D534E1" w:rsidSect="006D72A9">
      <w:headerReference w:type="default" r:id="rId12"/>
      <w:footerReference w:type="default" r:id="rId13"/>
      <w:headerReference w:type="first" r:id="rId14"/>
      <w:footerReference w:type="first" r:id="rId15"/>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26505" w14:textId="77777777" w:rsidR="00472F3F" w:rsidRDefault="00472F3F">
      <w:r>
        <w:separator/>
      </w:r>
    </w:p>
  </w:endnote>
  <w:endnote w:type="continuationSeparator" w:id="0">
    <w:p w14:paraId="6E79F45C" w14:textId="77777777" w:rsidR="00472F3F" w:rsidRDefault="0047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5223" w14:textId="4DB4D962" w:rsidR="00A96702" w:rsidRDefault="00A96702">
    <w:pPr>
      <w:pStyle w:val="Footer"/>
      <w:rPr>
        <w:b/>
      </w:rPr>
    </w:pPr>
    <w:r>
      <w:rPr>
        <w:b/>
      </w:rPr>
      <w:t xml:space="preserve">AASB </w:t>
    </w:r>
    <w:r w:rsidR="00AB0BFE">
      <w:rPr>
        <w:b/>
      </w:rPr>
      <w:t>2017-5</w:t>
    </w:r>
    <w:r>
      <w:rPr>
        <w:b/>
      </w:rPr>
      <w:tab/>
    </w:r>
    <w:r>
      <w:fldChar w:fldCharType="begin"/>
    </w:r>
    <w:r>
      <w:instrText>PAGE</w:instrText>
    </w:r>
    <w:r>
      <w:fldChar w:fldCharType="separate"/>
    </w:r>
    <w:r w:rsidR="007C7090">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522A6" w14:textId="2E046F87" w:rsidR="00A96702" w:rsidRDefault="00A96702">
    <w:pPr>
      <w:pStyle w:val="Footer"/>
      <w:rPr>
        <w:b/>
      </w:rPr>
    </w:pPr>
    <w:r>
      <w:rPr>
        <w:b/>
      </w:rPr>
      <w:t xml:space="preserve">AASB </w:t>
    </w:r>
    <w:r w:rsidR="00AB0BFE">
      <w:rPr>
        <w:b/>
      </w:rPr>
      <w:t>2017-5</w:t>
    </w:r>
    <w:r>
      <w:rPr>
        <w:b/>
      </w:rPr>
      <w:tab/>
    </w:r>
    <w:r>
      <w:fldChar w:fldCharType="begin"/>
    </w:r>
    <w:r>
      <w:instrText>PAGE</w:instrText>
    </w:r>
    <w:r>
      <w:fldChar w:fldCharType="separate"/>
    </w:r>
    <w:r w:rsidR="007C7090">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4503E" w14:textId="7B37493C" w:rsidR="00A96702" w:rsidRDefault="00A96702">
    <w:pPr>
      <w:pStyle w:val="Footer"/>
      <w:rPr>
        <w:b/>
      </w:rPr>
    </w:pPr>
    <w:r>
      <w:rPr>
        <w:b/>
      </w:rPr>
      <w:t xml:space="preserve">AASB </w:t>
    </w:r>
    <w:r w:rsidR="00AB0BFE">
      <w:rPr>
        <w:b/>
      </w:rPr>
      <w:t>2017-5</w:t>
    </w:r>
    <w:r>
      <w:rPr>
        <w:b/>
      </w:rPr>
      <w:tab/>
    </w:r>
    <w:r>
      <w:fldChar w:fldCharType="begin"/>
    </w:r>
    <w:r>
      <w:instrText>PAGE</w:instrText>
    </w:r>
    <w:r>
      <w:fldChar w:fldCharType="separate"/>
    </w:r>
    <w:r w:rsidR="007C7090">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63334" w14:textId="13016FAC" w:rsidR="00A96702" w:rsidRDefault="00A96702">
    <w:pPr>
      <w:pStyle w:val="Footer"/>
      <w:rPr>
        <w:b/>
      </w:rPr>
    </w:pPr>
    <w:r>
      <w:rPr>
        <w:b/>
      </w:rPr>
      <w:t xml:space="preserve">AASB </w:t>
    </w:r>
    <w:r w:rsidR="00AB0BFE">
      <w:rPr>
        <w:b/>
      </w:rPr>
      <w:t>2017-5</w:t>
    </w:r>
    <w:r>
      <w:rPr>
        <w:b/>
      </w:rPr>
      <w:tab/>
    </w:r>
    <w:r>
      <w:fldChar w:fldCharType="begin"/>
    </w:r>
    <w:r>
      <w:instrText>PAGE</w:instrText>
    </w:r>
    <w:r>
      <w:fldChar w:fldCharType="separate"/>
    </w:r>
    <w:r w:rsidR="007C7090">
      <w:rPr>
        <w:noProof/>
      </w:rPr>
      <w:t>8</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3AF1E" w14:textId="77777777" w:rsidR="00A96702" w:rsidRDefault="00A96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8EE6D" w14:textId="77777777" w:rsidR="00472F3F" w:rsidRDefault="00472F3F">
      <w:r>
        <w:separator/>
      </w:r>
    </w:p>
  </w:footnote>
  <w:footnote w:type="continuationSeparator" w:id="0">
    <w:p w14:paraId="0AC9EDE0" w14:textId="77777777" w:rsidR="00472F3F" w:rsidRDefault="00472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E099" w14:textId="77777777" w:rsidR="00A96702" w:rsidRDefault="00A96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A3770" w14:textId="77777777" w:rsidR="00A96702" w:rsidRDefault="00A96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9"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8"/>
  </w:num>
  <w:num w:numId="7">
    <w:abstractNumId w:val="4"/>
  </w:num>
  <w:num w:numId="8">
    <w:abstractNumId w:val="5"/>
  </w:num>
  <w:num w:numId="9">
    <w:abstractNumId w:val="1"/>
  </w:num>
  <w:num w:numId="10">
    <w:abstractNumId w:val="0"/>
  </w:num>
  <w:num w:numId="11">
    <w:abstractNumId w:val="6"/>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2529">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6C"/>
    <w:rsid w:val="0000102E"/>
    <w:rsid w:val="00001332"/>
    <w:rsid w:val="0000292B"/>
    <w:rsid w:val="00027E8B"/>
    <w:rsid w:val="0003692E"/>
    <w:rsid w:val="0004455B"/>
    <w:rsid w:val="000625F2"/>
    <w:rsid w:val="000663A0"/>
    <w:rsid w:val="00074133"/>
    <w:rsid w:val="000812F8"/>
    <w:rsid w:val="00090A6F"/>
    <w:rsid w:val="00096027"/>
    <w:rsid w:val="000B733C"/>
    <w:rsid w:val="000C3410"/>
    <w:rsid w:val="000C3EB0"/>
    <w:rsid w:val="000D7B40"/>
    <w:rsid w:val="000F64CC"/>
    <w:rsid w:val="001052FD"/>
    <w:rsid w:val="00110B96"/>
    <w:rsid w:val="001162C5"/>
    <w:rsid w:val="001206CF"/>
    <w:rsid w:val="00130259"/>
    <w:rsid w:val="00155E56"/>
    <w:rsid w:val="001662B8"/>
    <w:rsid w:val="00171F51"/>
    <w:rsid w:val="001761C6"/>
    <w:rsid w:val="001864D4"/>
    <w:rsid w:val="0019286F"/>
    <w:rsid w:val="001A4FD4"/>
    <w:rsid w:val="001B33A5"/>
    <w:rsid w:val="001C225F"/>
    <w:rsid w:val="001F78DF"/>
    <w:rsid w:val="0022022E"/>
    <w:rsid w:val="002225F0"/>
    <w:rsid w:val="00254B16"/>
    <w:rsid w:val="00276BC5"/>
    <w:rsid w:val="0028086D"/>
    <w:rsid w:val="00283482"/>
    <w:rsid w:val="00287C84"/>
    <w:rsid w:val="0029647E"/>
    <w:rsid w:val="002A201D"/>
    <w:rsid w:val="002B7803"/>
    <w:rsid w:val="002F1CD0"/>
    <w:rsid w:val="00300375"/>
    <w:rsid w:val="00307F26"/>
    <w:rsid w:val="00314EAC"/>
    <w:rsid w:val="0031585B"/>
    <w:rsid w:val="003251D8"/>
    <w:rsid w:val="00333325"/>
    <w:rsid w:val="0033581C"/>
    <w:rsid w:val="00364B30"/>
    <w:rsid w:val="00367DC9"/>
    <w:rsid w:val="00377B8D"/>
    <w:rsid w:val="00382796"/>
    <w:rsid w:val="0039009E"/>
    <w:rsid w:val="003A488F"/>
    <w:rsid w:val="003B0CAA"/>
    <w:rsid w:val="003B0E71"/>
    <w:rsid w:val="003B6633"/>
    <w:rsid w:val="003D1DD4"/>
    <w:rsid w:val="003E0A68"/>
    <w:rsid w:val="003E1900"/>
    <w:rsid w:val="003E3EBC"/>
    <w:rsid w:val="00401ECA"/>
    <w:rsid w:val="0040463C"/>
    <w:rsid w:val="00404E0F"/>
    <w:rsid w:val="004150BD"/>
    <w:rsid w:val="00422E4D"/>
    <w:rsid w:val="00426876"/>
    <w:rsid w:val="00434D86"/>
    <w:rsid w:val="00436A2D"/>
    <w:rsid w:val="0044702C"/>
    <w:rsid w:val="00460BC0"/>
    <w:rsid w:val="00460FBB"/>
    <w:rsid w:val="00470CE9"/>
    <w:rsid w:val="00472F3F"/>
    <w:rsid w:val="0047683E"/>
    <w:rsid w:val="0048155F"/>
    <w:rsid w:val="00487CF6"/>
    <w:rsid w:val="004961F8"/>
    <w:rsid w:val="004A417F"/>
    <w:rsid w:val="004B038C"/>
    <w:rsid w:val="004B736C"/>
    <w:rsid w:val="004C5BDE"/>
    <w:rsid w:val="004D3809"/>
    <w:rsid w:val="004D4D1C"/>
    <w:rsid w:val="004F55FE"/>
    <w:rsid w:val="00500E80"/>
    <w:rsid w:val="005032B0"/>
    <w:rsid w:val="00511C34"/>
    <w:rsid w:val="005166B2"/>
    <w:rsid w:val="0053452C"/>
    <w:rsid w:val="00535EC5"/>
    <w:rsid w:val="00544AF9"/>
    <w:rsid w:val="0056274D"/>
    <w:rsid w:val="005655CE"/>
    <w:rsid w:val="00577065"/>
    <w:rsid w:val="0058004D"/>
    <w:rsid w:val="00580BC4"/>
    <w:rsid w:val="00590051"/>
    <w:rsid w:val="00592C6D"/>
    <w:rsid w:val="0059596C"/>
    <w:rsid w:val="005A2514"/>
    <w:rsid w:val="005A6AC7"/>
    <w:rsid w:val="005B146F"/>
    <w:rsid w:val="005E6BE4"/>
    <w:rsid w:val="00602261"/>
    <w:rsid w:val="00640BEA"/>
    <w:rsid w:val="00641282"/>
    <w:rsid w:val="00652DF8"/>
    <w:rsid w:val="00661CFD"/>
    <w:rsid w:val="0066377C"/>
    <w:rsid w:val="00691190"/>
    <w:rsid w:val="00697D99"/>
    <w:rsid w:val="006A3AE9"/>
    <w:rsid w:val="006A40E5"/>
    <w:rsid w:val="006B0CD6"/>
    <w:rsid w:val="006C2E37"/>
    <w:rsid w:val="006D055E"/>
    <w:rsid w:val="006D134A"/>
    <w:rsid w:val="006D4700"/>
    <w:rsid w:val="006D72A9"/>
    <w:rsid w:val="006D7679"/>
    <w:rsid w:val="006E2C39"/>
    <w:rsid w:val="00714340"/>
    <w:rsid w:val="007219F7"/>
    <w:rsid w:val="0072675B"/>
    <w:rsid w:val="007333C2"/>
    <w:rsid w:val="00737714"/>
    <w:rsid w:val="00742E4B"/>
    <w:rsid w:val="007455F0"/>
    <w:rsid w:val="00751F6A"/>
    <w:rsid w:val="007530C3"/>
    <w:rsid w:val="007554ED"/>
    <w:rsid w:val="00755E40"/>
    <w:rsid w:val="00756C0A"/>
    <w:rsid w:val="00756FF6"/>
    <w:rsid w:val="0076127E"/>
    <w:rsid w:val="0077373F"/>
    <w:rsid w:val="0078116B"/>
    <w:rsid w:val="007A6BC3"/>
    <w:rsid w:val="007C7090"/>
    <w:rsid w:val="007F1D3D"/>
    <w:rsid w:val="00812637"/>
    <w:rsid w:val="00813227"/>
    <w:rsid w:val="00820794"/>
    <w:rsid w:val="00831497"/>
    <w:rsid w:val="008459E8"/>
    <w:rsid w:val="008547ED"/>
    <w:rsid w:val="00864ADE"/>
    <w:rsid w:val="00867FB0"/>
    <w:rsid w:val="00871A12"/>
    <w:rsid w:val="00881BBE"/>
    <w:rsid w:val="00891654"/>
    <w:rsid w:val="00895809"/>
    <w:rsid w:val="00895AC5"/>
    <w:rsid w:val="008A16EB"/>
    <w:rsid w:val="008A6182"/>
    <w:rsid w:val="008B1D94"/>
    <w:rsid w:val="008B4C8D"/>
    <w:rsid w:val="008B5352"/>
    <w:rsid w:val="008B643A"/>
    <w:rsid w:val="008C1C4A"/>
    <w:rsid w:val="008C60B1"/>
    <w:rsid w:val="008C6BD0"/>
    <w:rsid w:val="008D2EBD"/>
    <w:rsid w:val="008F0A81"/>
    <w:rsid w:val="008F3EBA"/>
    <w:rsid w:val="008F4AC5"/>
    <w:rsid w:val="008F5963"/>
    <w:rsid w:val="008F7BBD"/>
    <w:rsid w:val="009214A4"/>
    <w:rsid w:val="00923261"/>
    <w:rsid w:val="0092533A"/>
    <w:rsid w:val="009256B7"/>
    <w:rsid w:val="00946543"/>
    <w:rsid w:val="00960D53"/>
    <w:rsid w:val="00970C7A"/>
    <w:rsid w:val="009721DB"/>
    <w:rsid w:val="00972BFA"/>
    <w:rsid w:val="0099022C"/>
    <w:rsid w:val="009965BA"/>
    <w:rsid w:val="009B1FF7"/>
    <w:rsid w:val="009B6535"/>
    <w:rsid w:val="009C2479"/>
    <w:rsid w:val="009D06F8"/>
    <w:rsid w:val="009D3724"/>
    <w:rsid w:val="009D73F1"/>
    <w:rsid w:val="00A05041"/>
    <w:rsid w:val="00A13F82"/>
    <w:rsid w:val="00A16664"/>
    <w:rsid w:val="00A22E0D"/>
    <w:rsid w:val="00A41ED3"/>
    <w:rsid w:val="00A47FA2"/>
    <w:rsid w:val="00A51A7E"/>
    <w:rsid w:val="00A55F4F"/>
    <w:rsid w:val="00A748BA"/>
    <w:rsid w:val="00A83862"/>
    <w:rsid w:val="00A8486C"/>
    <w:rsid w:val="00A87369"/>
    <w:rsid w:val="00A96702"/>
    <w:rsid w:val="00A97EB2"/>
    <w:rsid w:val="00AA14A9"/>
    <w:rsid w:val="00AB0BFE"/>
    <w:rsid w:val="00AB780A"/>
    <w:rsid w:val="00AC4315"/>
    <w:rsid w:val="00AD42DA"/>
    <w:rsid w:val="00AF61B8"/>
    <w:rsid w:val="00B110AD"/>
    <w:rsid w:val="00B13D23"/>
    <w:rsid w:val="00B16904"/>
    <w:rsid w:val="00B22833"/>
    <w:rsid w:val="00B271BA"/>
    <w:rsid w:val="00B31DD6"/>
    <w:rsid w:val="00B3429E"/>
    <w:rsid w:val="00B64DD9"/>
    <w:rsid w:val="00B721C8"/>
    <w:rsid w:val="00B73910"/>
    <w:rsid w:val="00B74237"/>
    <w:rsid w:val="00B82F15"/>
    <w:rsid w:val="00B83070"/>
    <w:rsid w:val="00B919F5"/>
    <w:rsid w:val="00BA2C28"/>
    <w:rsid w:val="00BA3AB4"/>
    <w:rsid w:val="00BA4622"/>
    <w:rsid w:val="00BB4C9F"/>
    <w:rsid w:val="00BC0794"/>
    <w:rsid w:val="00BC0D5D"/>
    <w:rsid w:val="00BD0623"/>
    <w:rsid w:val="00BE2F68"/>
    <w:rsid w:val="00BE38FC"/>
    <w:rsid w:val="00C03C7B"/>
    <w:rsid w:val="00C3493B"/>
    <w:rsid w:val="00C37458"/>
    <w:rsid w:val="00C438DD"/>
    <w:rsid w:val="00C43CD1"/>
    <w:rsid w:val="00C45020"/>
    <w:rsid w:val="00C5022C"/>
    <w:rsid w:val="00C552FD"/>
    <w:rsid w:val="00C63573"/>
    <w:rsid w:val="00C70229"/>
    <w:rsid w:val="00C720A9"/>
    <w:rsid w:val="00C74243"/>
    <w:rsid w:val="00C81C72"/>
    <w:rsid w:val="00C93E60"/>
    <w:rsid w:val="00C95D8A"/>
    <w:rsid w:val="00CA61C5"/>
    <w:rsid w:val="00CB6107"/>
    <w:rsid w:val="00CB719A"/>
    <w:rsid w:val="00CC1DF4"/>
    <w:rsid w:val="00CC6FCD"/>
    <w:rsid w:val="00CD54EE"/>
    <w:rsid w:val="00CD5D1C"/>
    <w:rsid w:val="00CE280A"/>
    <w:rsid w:val="00CE2F8C"/>
    <w:rsid w:val="00CE40D4"/>
    <w:rsid w:val="00CF75CA"/>
    <w:rsid w:val="00CF7B67"/>
    <w:rsid w:val="00D00FD5"/>
    <w:rsid w:val="00D151B2"/>
    <w:rsid w:val="00D52086"/>
    <w:rsid w:val="00D534E1"/>
    <w:rsid w:val="00D54F5C"/>
    <w:rsid w:val="00D6412D"/>
    <w:rsid w:val="00D67336"/>
    <w:rsid w:val="00D7156C"/>
    <w:rsid w:val="00D74038"/>
    <w:rsid w:val="00D74C6A"/>
    <w:rsid w:val="00D942EB"/>
    <w:rsid w:val="00D96A64"/>
    <w:rsid w:val="00D97478"/>
    <w:rsid w:val="00DA2A7B"/>
    <w:rsid w:val="00DB00CD"/>
    <w:rsid w:val="00DB5875"/>
    <w:rsid w:val="00DC7E1B"/>
    <w:rsid w:val="00DD1DDC"/>
    <w:rsid w:val="00DD6D98"/>
    <w:rsid w:val="00DD7E7A"/>
    <w:rsid w:val="00DF1B8F"/>
    <w:rsid w:val="00DF39E3"/>
    <w:rsid w:val="00E033B7"/>
    <w:rsid w:val="00E06C2F"/>
    <w:rsid w:val="00E24399"/>
    <w:rsid w:val="00E24C45"/>
    <w:rsid w:val="00E25370"/>
    <w:rsid w:val="00E274C6"/>
    <w:rsid w:val="00E31114"/>
    <w:rsid w:val="00E41399"/>
    <w:rsid w:val="00E46988"/>
    <w:rsid w:val="00E5629E"/>
    <w:rsid w:val="00E572EA"/>
    <w:rsid w:val="00E57F29"/>
    <w:rsid w:val="00E63279"/>
    <w:rsid w:val="00E74BD5"/>
    <w:rsid w:val="00E7592A"/>
    <w:rsid w:val="00E839DA"/>
    <w:rsid w:val="00E90B4F"/>
    <w:rsid w:val="00E915E3"/>
    <w:rsid w:val="00E94DA2"/>
    <w:rsid w:val="00E96D45"/>
    <w:rsid w:val="00E97B4B"/>
    <w:rsid w:val="00EA626B"/>
    <w:rsid w:val="00EB4197"/>
    <w:rsid w:val="00EB4756"/>
    <w:rsid w:val="00EC45C7"/>
    <w:rsid w:val="00EC4AFD"/>
    <w:rsid w:val="00ED0067"/>
    <w:rsid w:val="00ED06E4"/>
    <w:rsid w:val="00EE1BD1"/>
    <w:rsid w:val="00EE2509"/>
    <w:rsid w:val="00EE3D03"/>
    <w:rsid w:val="00EE740D"/>
    <w:rsid w:val="00F13C5A"/>
    <w:rsid w:val="00F14BDB"/>
    <w:rsid w:val="00F166BB"/>
    <w:rsid w:val="00F17807"/>
    <w:rsid w:val="00F22AF2"/>
    <w:rsid w:val="00F2677A"/>
    <w:rsid w:val="00F27D29"/>
    <w:rsid w:val="00F424C9"/>
    <w:rsid w:val="00F66B41"/>
    <w:rsid w:val="00F82A0E"/>
    <w:rsid w:val="00F90BF1"/>
    <w:rsid w:val="00F970FB"/>
    <w:rsid w:val="00FB39CB"/>
    <w:rsid w:val="00FC2254"/>
    <w:rsid w:val="00FC30DA"/>
    <w:rsid w:val="00FC64EE"/>
    <w:rsid w:val="00FD09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ddd,silver,#eaeaea"/>
    </o:shapedefaults>
    <o:shapelayout v:ext="edit">
      <o:idmap v:ext="edit" data="1"/>
    </o:shapelayout>
  </w:shapeDefaults>
  <w:decimalSymbol w:val="."/>
  <w:listSeparator w:val=","/>
  <w14:docId w14:val="24E03D22"/>
  <w15:docId w15:val="{3BC44991-70A9-4DFF-B7C7-595F3B8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character" w:styleId="CommentReference">
    <w:name w:val="annotation reference"/>
    <w:basedOn w:val="DefaultParagraphFont"/>
    <w:rsid w:val="000C3410"/>
    <w:rPr>
      <w:sz w:val="16"/>
      <w:szCs w:val="16"/>
    </w:rPr>
  </w:style>
  <w:style w:type="paragraph" w:styleId="CommentText">
    <w:name w:val="annotation text"/>
    <w:basedOn w:val="Normal"/>
    <w:link w:val="CommentTextChar"/>
    <w:rsid w:val="000C3410"/>
    <w:rPr>
      <w:sz w:val="20"/>
    </w:rPr>
  </w:style>
  <w:style w:type="character" w:customStyle="1" w:styleId="CommentTextChar">
    <w:name w:val="Comment Text Char"/>
    <w:basedOn w:val="DefaultParagraphFont"/>
    <w:link w:val="CommentText"/>
    <w:rsid w:val="000C3410"/>
    <w:rPr>
      <w:lang w:eastAsia="en-US"/>
    </w:rPr>
  </w:style>
  <w:style w:type="paragraph" w:styleId="CommentSubject">
    <w:name w:val="annotation subject"/>
    <w:basedOn w:val="CommentText"/>
    <w:next w:val="CommentText"/>
    <w:link w:val="CommentSubjectChar"/>
    <w:rsid w:val="000C3410"/>
    <w:rPr>
      <w:b/>
      <w:bCs/>
    </w:rPr>
  </w:style>
  <w:style w:type="character" w:customStyle="1" w:styleId="CommentSubjectChar">
    <w:name w:val="Comment Subject Char"/>
    <w:basedOn w:val="CommentTextChar"/>
    <w:link w:val="CommentSubject"/>
    <w:rsid w:val="000C3410"/>
    <w:rPr>
      <w:b/>
      <w:bCs/>
      <w:lang w:eastAsia="en-US"/>
    </w:rPr>
  </w:style>
  <w:style w:type="paragraph" w:styleId="BalloonText">
    <w:name w:val="Balloon Text"/>
    <w:basedOn w:val="Normal"/>
    <w:link w:val="BalloonTextChar"/>
    <w:rsid w:val="000C3410"/>
    <w:rPr>
      <w:rFonts w:ascii="Tahoma" w:hAnsi="Tahoma" w:cs="Tahoma"/>
      <w:sz w:val="16"/>
      <w:szCs w:val="16"/>
    </w:rPr>
  </w:style>
  <w:style w:type="character" w:customStyle="1" w:styleId="BalloonTextChar">
    <w:name w:val="Balloon Text Char"/>
    <w:basedOn w:val="DefaultParagraphFont"/>
    <w:link w:val="BalloonText"/>
    <w:rsid w:val="000C3410"/>
    <w:rPr>
      <w:rFonts w:ascii="Tahoma" w:hAnsi="Tahoma" w:cs="Tahoma"/>
      <w:sz w:val="16"/>
      <w:szCs w:val="16"/>
      <w:lang w:eastAsia="en-US"/>
    </w:rPr>
  </w:style>
  <w:style w:type="paragraph" w:customStyle="1" w:styleId="IASBTableArial">
    <w:name w:val="IASB Table Arial"/>
    <w:basedOn w:val="Normal"/>
    <w:rsid w:val="006D72A9"/>
    <w:pPr>
      <w:spacing w:before="120"/>
      <w:jc w:val="left"/>
    </w:pPr>
    <w:rPr>
      <w:rFonts w:ascii="Arial" w:hAnsi="Arial"/>
      <w:sz w:val="18"/>
      <w:lang w:val="en-GB" w:eastAsia="en-GB"/>
    </w:rPr>
  </w:style>
  <w:style w:type="paragraph" w:customStyle="1" w:styleId="Body">
    <w:name w:val="Body"/>
    <w:rsid w:val="00287C84"/>
    <w:pPr>
      <w:jc w:val="both"/>
    </w:pPr>
    <w:rPr>
      <w:rFonts w:eastAsia="Arial Unicode MS" w:cs="Arial Unicode MS"/>
      <w:color w:val="000000"/>
      <w:sz w:val="19"/>
      <w:szCs w:val="19"/>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70797">
      <w:bodyDiv w:val="1"/>
      <w:marLeft w:val="0"/>
      <w:marRight w:val="0"/>
      <w:marTop w:val="0"/>
      <w:marBottom w:val="0"/>
      <w:divBdr>
        <w:top w:val="none" w:sz="0" w:space="0" w:color="auto"/>
        <w:left w:val="none" w:sz="0" w:space="0" w:color="auto"/>
        <w:bottom w:val="none" w:sz="0" w:space="0" w:color="auto"/>
        <w:right w:val="none" w:sz="0" w:space="0" w:color="auto"/>
      </w:divBdr>
    </w:div>
    <w:div w:id="296300600">
      <w:bodyDiv w:val="1"/>
      <w:marLeft w:val="0"/>
      <w:marRight w:val="0"/>
      <w:marTop w:val="0"/>
      <w:marBottom w:val="0"/>
      <w:divBdr>
        <w:top w:val="none" w:sz="0" w:space="0" w:color="auto"/>
        <w:left w:val="none" w:sz="0" w:space="0" w:color="auto"/>
        <w:bottom w:val="none" w:sz="0" w:space="0" w:color="auto"/>
        <w:right w:val="none" w:sz="0" w:space="0" w:color="auto"/>
      </w:divBdr>
    </w:div>
    <w:div w:id="1207066637">
      <w:bodyDiv w:val="1"/>
      <w:marLeft w:val="0"/>
      <w:marRight w:val="0"/>
      <w:marTop w:val="0"/>
      <w:marBottom w:val="0"/>
      <w:divBdr>
        <w:top w:val="none" w:sz="0" w:space="0" w:color="auto"/>
        <w:left w:val="none" w:sz="0" w:space="0" w:color="auto"/>
        <w:bottom w:val="none" w:sz="0" w:space="0" w:color="auto"/>
        <w:right w:val="none" w:sz="0" w:space="0" w:color="auto"/>
      </w:divBdr>
    </w:div>
    <w:div w:id="1398167581">
      <w:bodyDiv w:val="1"/>
      <w:marLeft w:val="0"/>
      <w:marRight w:val="0"/>
      <w:marTop w:val="0"/>
      <w:marBottom w:val="0"/>
      <w:divBdr>
        <w:top w:val="none" w:sz="0" w:space="0" w:color="auto"/>
        <w:left w:val="none" w:sz="0" w:space="0" w:color="auto"/>
        <w:bottom w:val="none" w:sz="0" w:space="0" w:color="auto"/>
        <w:right w:val="none" w:sz="0" w:space="0" w:color="auto"/>
      </w:divBdr>
    </w:div>
    <w:div w:id="1660574786">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2102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0EC4-AFE2-4C0F-9393-29F42939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13677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Barden, James</dc:creator>
  <cp:lastModifiedBy>Boudaher, Amanda</cp:lastModifiedBy>
  <cp:revision>8</cp:revision>
  <cp:lastPrinted>2017-12-20T23:34:00Z</cp:lastPrinted>
  <dcterms:created xsi:type="dcterms:W3CDTF">2017-12-13T05:30:00Z</dcterms:created>
  <dcterms:modified xsi:type="dcterms:W3CDTF">2017-12-20T23:35:00Z</dcterms:modified>
</cp:coreProperties>
</file>