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945C9" w14:textId="7A3774EA" w:rsidR="00F72A90" w:rsidRDefault="00B0401E" w:rsidP="00E70047">
      <w:pPr>
        <w:pStyle w:val="Heading"/>
        <w:spacing w:before="120"/>
        <w:jc w:val="center"/>
        <w:rPr>
          <w:rFonts w:ascii="Times New Roman" w:hAnsi="Times New Roman"/>
          <w:b/>
          <w:sz w:val="24"/>
          <w:u w:val="single"/>
        </w:rPr>
      </w:pPr>
      <w:bookmarkStart w:id="0" w:name="_GoBack"/>
      <w:bookmarkEnd w:id="0"/>
      <w:r w:rsidRPr="00BD0C19">
        <w:rPr>
          <w:rFonts w:ascii="Times New Roman" w:hAnsi="Times New Roman"/>
          <w:b/>
          <w:sz w:val="24"/>
        </w:rPr>
        <w:t xml:space="preserve">Financial Sector (Collection of Data) (reporting standard) determination No. </w:t>
      </w:r>
      <w:r w:rsidR="00F844B0">
        <w:rPr>
          <w:rFonts w:ascii="Times New Roman" w:hAnsi="Times New Roman"/>
          <w:b/>
          <w:sz w:val="24"/>
        </w:rPr>
        <w:t>2</w:t>
      </w:r>
      <w:r w:rsidR="00AA73C1">
        <w:rPr>
          <w:rFonts w:ascii="Times New Roman" w:hAnsi="Times New Roman"/>
          <w:b/>
          <w:sz w:val="24"/>
        </w:rPr>
        <w:t xml:space="preserve"> </w:t>
      </w:r>
      <w:r w:rsidRPr="00BD0C19">
        <w:rPr>
          <w:rFonts w:ascii="Times New Roman" w:hAnsi="Times New Roman"/>
          <w:b/>
          <w:sz w:val="24"/>
        </w:rPr>
        <w:t>of 201</w:t>
      </w:r>
      <w:r w:rsidR="00100E26">
        <w:rPr>
          <w:rFonts w:ascii="Times New Roman" w:hAnsi="Times New Roman"/>
          <w:b/>
          <w:sz w:val="24"/>
        </w:rPr>
        <w:t>8</w:t>
      </w:r>
      <w:r w:rsidRPr="00BD0C19">
        <w:rPr>
          <w:rFonts w:ascii="Times New Roman" w:hAnsi="Times New Roman"/>
          <w:b/>
          <w:sz w:val="24"/>
        </w:rPr>
        <w:t xml:space="preserve"> – </w:t>
      </w:r>
      <w:bookmarkStart w:id="1" w:name="bkInstrumentSubTitle"/>
      <w:bookmarkStart w:id="2" w:name="bkStart"/>
      <w:bookmarkEnd w:id="1"/>
      <w:bookmarkEnd w:id="2"/>
      <w:r w:rsidR="00E70047" w:rsidRPr="00E70047">
        <w:rPr>
          <w:rFonts w:ascii="Times New Roman" w:hAnsi="Times New Roman"/>
          <w:b/>
          <w:sz w:val="24"/>
        </w:rPr>
        <w:t xml:space="preserve">Reporting Standard ARS </w:t>
      </w:r>
      <w:r w:rsidR="00100E26">
        <w:rPr>
          <w:rFonts w:ascii="Times New Roman" w:hAnsi="Times New Roman"/>
          <w:b/>
          <w:sz w:val="24"/>
        </w:rPr>
        <w:t>223 Residential Mortgage Lending</w:t>
      </w:r>
    </w:p>
    <w:p w14:paraId="3A5945CA" w14:textId="77777777" w:rsidR="006424B5" w:rsidRPr="00BD0C19" w:rsidRDefault="00B0401E" w:rsidP="006424B5">
      <w:pPr>
        <w:pStyle w:val="Heading"/>
        <w:tabs>
          <w:tab w:val="left" w:pos="360"/>
        </w:tabs>
        <w:spacing w:before="120"/>
        <w:jc w:val="center"/>
        <w:rPr>
          <w:rFonts w:ascii="Times New Roman" w:hAnsi="Times New Roman"/>
          <w:b/>
          <w:sz w:val="24"/>
          <w:u w:val="single"/>
        </w:rPr>
      </w:pPr>
      <w:r w:rsidRPr="00BD0C19">
        <w:rPr>
          <w:rFonts w:ascii="Times New Roman" w:hAnsi="Times New Roman"/>
          <w:b/>
          <w:sz w:val="24"/>
          <w:u w:val="single"/>
        </w:rPr>
        <w:t>EXPLANATORY STATEMENT</w:t>
      </w:r>
    </w:p>
    <w:p w14:paraId="3A5945CB" w14:textId="77777777" w:rsidR="006424B5" w:rsidRPr="00BD0C19" w:rsidRDefault="00B0401E" w:rsidP="006424B5">
      <w:pPr>
        <w:pStyle w:val="Heading"/>
        <w:spacing w:before="120"/>
        <w:jc w:val="center"/>
        <w:rPr>
          <w:rFonts w:ascii="Times New Roman" w:hAnsi="Times New Roman"/>
          <w:b/>
          <w:sz w:val="24"/>
        </w:rPr>
      </w:pPr>
      <w:r w:rsidRPr="00BD0C19">
        <w:rPr>
          <w:rFonts w:ascii="Times New Roman" w:hAnsi="Times New Roman"/>
          <w:b/>
          <w:sz w:val="24"/>
        </w:rPr>
        <w:t>Prepared by the Australian Prudential Regulation Authority (APRA)</w:t>
      </w:r>
    </w:p>
    <w:p w14:paraId="3A5945CD" w14:textId="0495E8D4" w:rsidR="00E02376" w:rsidRPr="00BD0C19" w:rsidRDefault="00B0401E" w:rsidP="00100E26">
      <w:pPr>
        <w:pStyle w:val="Heading"/>
        <w:tabs>
          <w:tab w:val="left" w:pos="360"/>
        </w:tabs>
        <w:spacing w:before="120"/>
        <w:jc w:val="center"/>
        <w:rPr>
          <w:rFonts w:ascii="Times New Roman" w:hAnsi="Times New Roman"/>
          <w:i/>
          <w:sz w:val="24"/>
        </w:rPr>
      </w:pPr>
      <w:r w:rsidRPr="00BD0C19">
        <w:rPr>
          <w:rFonts w:ascii="Times New Roman" w:hAnsi="Times New Roman"/>
          <w:i/>
          <w:sz w:val="24"/>
        </w:rPr>
        <w:t>Financial Sector (Collection of Data) Act 2001</w:t>
      </w:r>
      <w:r w:rsidRPr="00BD0C19">
        <w:rPr>
          <w:rFonts w:ascii="Times New Roman" w:hAnsi="Times New Roman"/>
          <w:sz w:val="24"/>
        </w:rPr>
        <w:t xml:space="preserve"> (the Act)</w:t>
      </w:r>
    </w:p>
    <w:p w14:paraId="3A5945CE" w14:textId="77777777" w:rsidR="00F72A90" w:rsidRDefault="00F72A90" w:rsidP="006424B5">
      <w:pPr>
        <w:widowControl w:val="0"/>
        <w:spacing w:before="120" w:after="60"/>
        <w:rPr>
          <w:rFonts w:ascii="Times New Roman" w:hAnsi="Times New Roman"/>
          <w:sz w:val="24"/>
        </w:rPr>
      </w:pPr>
      <w:bookmarkStart w:id="3" w:name="bkAct"/>
      <w:bookmarkStart w:id="4" w:name="bkExplanatory"/>
      <w:bookmarkEnd w:id="3"/>
      <w:bookmarkEnd w:id="4"/>
    </w:p>
    <w:p w14:paraId="619032CF" w14:textId="77777777" w:rsidR="009839D5" w:rsidRDefault="006424B5" w:rsidP="006424B5">
      <w:pPr>
        <w:widowControl w:val="0"/>
        <w:spacing w:before="120" w:after="60"/>
        <w:rPr>
          <w:rFonts w:ascii="Times New Roman" w:hAnsi="Times New Roman"/>
          <w:sz w:val="24"/>
        </w:rPr>
      </w:pPr>
      <w:r w:rsidRPr="00BD0C19">
        <w:rPr>
          <w:rFonts w:ascii="Times New Roman" w:hAnsi="Times New Roman"/>
          <w:sz w:val="24"/>
        </w:rPr>
        <w:t xml:space="preserve">Under </w:t>
      </w:r>
      <w:r w:rsidR="00E02376" w:rsidRPr="00BD0C19">
        <w:rPr>
          <w:rFonts w:ascii="Times New Roman" w:hAnsi="Times New Roman"/>
          <w:sz w:val="24"/>
        </w:rPr>
        <w:t xml:space="preserve">paragraph </w:t>
      </w:r>
      <w:r w:rsidRPr="00BD0C19">
        <w:rPr>
          <w:rFonts w:ascii="Times New Roman" w:hAnsi="Times New Roman"/>
          <w:sz w:val="24"/>
        </w:rPr>
        <w:t>13(1)</w:t>
      </w:r>
      <w:r w:rsidR="00E02376" w:rsidRPr="00BD0C19">
        <w:rPr>
          <w:rFonts w:ascii="Times New Roman" w:hAnsi="Times New Roman"/>
          <w:sz w:val="24"/>
        </w:rPr>
        <w:t>(a)</w:t>
      </w:r>
      <w:r w:rsidRPr="00BD0C19">
        <w:rPr>
          <w:rFonts w:ascii="Times New Roman" w:hAnsi="Times New Roman"/>
          <w:sz w:val="24"/>
        </w:rPr>
        <w:t xml:space="preserve"> of the Act</w:t>
      </w:r>
      <w:r w:rsidR="00E02376" w:rsidRPr="00BD0C19">
        <w:rPr>
          <w:rFonts w:ascii="Times New Roman" w:hAnsi="Times New Roman"/>
          <w:sz w:val="24"/>
        </w:rPr>
        <w:t>,</w:t>
      </w:r>
      <w:r w:rsidRPr="00BD0C19">
        <w:rPr>
          <w:rFonts w:ascii="Times New Roman" w:hAnsi="Times New Roman"/>
          <w:sz w:val="24"/>
        </w:rPr>
        <w:t xml:space="preserve"> APRA </w:t>
      </w:r>
      <w:r w:rsidR="00E02376" w:rsidRPr="00BD0C19">
        <w:rPr>
          <w:rFonts w:ascii="Times New Roman" w:hAnsi="Times New Roman"/>
          <w:sz w:val="24"/>
        </w:rPr>
        <w:t xml:space="preserve">may, by writing, </w:t>
      </w:r>
      <w:r w:rsidRPr="00BD0C19">
        <w:rPr>
          <w:rFonts w:ascii="Times New Roman" w:hAnsi="Times New Roman"/>
          <w:sz w:val="24"/>
        </w:rPr>
        <w:t xml:space="preserve">determine reporting standards </w:t>
      </w:r>
      <w:r w:rsidR="00E02376" w:rsidRPr="00BD0C19">
        <w:rPr>
          <w:rFonts w:ascii="Times New Roman" w:hAnsi="Times New Roman"/>
          <w:sz w:val="24"/>
        </w:rPr>
        <w:t xml:space="preserve">with which </w:t>
      </w:r>
      <w:r w:rsidRPr="00BD0C19">
        <w:rPr>
          <w:rFonts w:ascii="Times New Roman" w:hAnsi="Times New Roman"/>
          <w:sz w:val="24"/>
        </w:rPr>
        <w:t>financial sector entities</w:t>
      </w:r>
      <w:r w:rsidR="00E02376" w:rsidRPr="00BD0C19">
        <w:rPr>
          <w:rFonts w:ascii="Times New Roman" w:hAnsi="Times New Roman"/>
          <w:sz w:val="24"/>
        </w:rPr>
        <w:t xml:space="preserve"> must comply</w:t>
      </w:r>
      <w:r w:rsidRPr="00BD0C19">
        <w:rPr>
          <w:rFonts w:ascii="Times New Roman" w:hAnsi="Times New Roman"/>
          <w:sz w:val="24"/>
        </w:rPr>
        <w:t xml:space="preserve">. </w:t>
      </w:r>
      <w:r w:rsidR="00652690" w:rsidRPr="00652690">
        <w:rPr>
          <w:rFonts w:ascii="Times New Roman" w:hAnsi="Times New Roman"/>
          <w:sz w:val="24"/>
        </w:rPr>
        <w:t>Such standards relate to reporting financial or accounting data and other information regarding the business or activities of the entities.  Subsection 15(1) of the Act provides that APRA may declare a day on and after which the reporting standards are to apply.</w:t>
      </w:r>
      <w:r w:rsidR="00652690">
        <w:rPr>
          <w:rFonts w:ascii="Times New Roman" w:hAnsi="Times New Roman"/>
          <w:sz w:val="24"/>
        </w:rPr>
        <w:t xml:space="preserve"> </w:t>
      </w:r>
    </w:p>
    <w:p w14:paraId="3EA8792A" w14:textId="3E002F06" w:rsidR="00B57B8F" w:rsidRPr="00815A3B" w:rsidRDefault="00BB297D" w:rsidP="00100E26">
      <w:pPr>
        <w:widowControl w:val="0"/>
        <w:spacing w:before="120" w:after="60"/>
        <w:rPr>
          <w:rFonts w:ascii="Times New Roman" w:hAnsi="Times New Roman"/>
          <w:sz w:val="24"/>
        </w:rPr>
      </w:pPr>
      <w:r w:rsidRPr="00BB297D">
        <w:rPr>
          <w:rFonts w:ascii="Times New Roman" w:hAnsi="Times New Roman"/>
          <w:sz w:val="24"/>
        </w:rPr>
        <w:t xml:space="preserve">On </w:t>
      </w:r>
      <w:r w:rsidR="00323951">
        <w:rPr>
          <w:rFonts w:ascii="Times New Roman" w:hAnsi="Times New Roman"/>
          <w:sz w:val="24"/>
        </w:rPr>
        <w:t>16</w:t>
      </w:r>
      <w:r w:rsidR="00100E26">
        <w:rPr>
          <w:rFonts w:ascii="Times New Roman" w:hAnsi="Times New Roman"/>
          <w:sz w:val="24"/>
        </w:rPr>
        <w:t xml:space="preserve"> January 2018</w:t>
      </w:r>
      <w:r w:rsidRPr="00BB297D">
        <w:rPr>
          <w:rFonts w:ascii="Times New Roman" w:hAnsi="Times New Roman"/>
          <w:sz w:val="24"/>
        </w:rPr>
        <w:t xml:space="preserve">, APRA made </w:t>
      </w:r>
      <w:r w:rsidR="006424B5" w:rsidRPr="00BD0C19">
        <w:rPr>
          <w:rFonts w:ascii="Times New Roman" w:hAnsi="Times New Roman"/>
          <w:sz w:val="24"/>
        </w:rPr>
        <w:t xml:space="preserve">Financial Sector (Collection of Data) (reporting standard) determination No. </w:t>
      </w:r>
      <w:r w:rsidR="00F844B0">
        <w:rPr>
          <w:rFonts w:ascii="Times New Roman" w:hAnsi="Times New Roman"/>
          <w:sz w:val="24"/>
        </w:rPr>
        <w:t>2</w:t>
      </w:r>
      <w:r w:rsidR="00AA73C1">
        <w:rPr>
          <w:rFonts w:ascii="Times New Roman" w:hAnsi="Times New Roman"/>
          <w:sz w:val="24"/>
        </w:rPr>
        <w:t xml:space="preserve"> </w:t>
      </w:r>
      <w:r w:rsidR="006424B5" w:rsidRPr="00BD0C19">
        <w:rPr>
          <w:rFonts w:ascii="Times New Roman" w:hAnsi="Times New Roman"/>
          <w:sz w:val="24"/>
        </w:rPr>
        <w:t>of 20</w:t>
      </w:r>
      <w:r w:rsidR="00793106" w:rsidRPr="00BD0C19">
        <w:rPr>
          <w:rFonts w:ascii="Times New Roman" w:hAnsi="Times New Roman"/>
          <w:sz w:val="24"/>
        </w:rPr>
        <w:t>1</w:t>
      </w:r>
      <w:r w:rsidR="00100E26">
        <w:rPr>
          <w:rFonts w:ascii="Times New Roman" w:hAnsi="Times New Roman"/>
          <w:sz w:val="24"/>
        </w:rPr>
        <w:t xml:space="preserve">8 </w:t>
      </w:r>
      <w:r w:rsidR="00B05385" w:rsidRPr="00BD0C19">
        <w:rPr>
          <w:rFonts w:ascii="Times New Roman" w:hAnsi="Times New Roman"/>
          <w:sz w:val="24"/>
        </w:rPr>
        <w:t xml:space="preserve">(the instrument) </w:t>
      </w:r>
      <w:r w:rsidR="00022370">
        <w:rPr>
          <w:rFonts w:ascii="Times New Roman" w:hAnsi="Times New Roman"/>
          <w:sz w:val="24"/>
        </w:rPr>
        <w:t>which</w:t>
      </w:r>
      <w:r w:rsidR="00100E26">
        <w:rPr>
          <w:rFonts w:ascii="Times New Roman" w:hAnsi="Times New Roman"/>
          <w:sz w:val="24"/>
        </w:rPr>
        <w:t xml:space="preserve"> </w:t>
      </w:r>
      <w:r w:rsidR="00B57B8F">
        <w:rPr>
          <w:rFonts w:ascii="Times New Roman" w:hAnsi="Times New Roman"/>
          <w:sz w:val="24"/>
        </w:rPr>
        <w:t xml:space="preserve">determines </w:t>
      </w:r>
      <w:r w:rsidR="001E68F7" w:rsidRPr="00815A3B">
        <w:rPr>
          <w:rFonts w:ascii="Times New Roman" w:hAnsi="Times New Roman"/>
          <w:i/>
          <w:sz w:val="24"/>
        </w:rPr>
        <w:t xml:space="preserve">Reporting Standard ARS </w:t>
      </w:r>
      <w:r w:rsidR="00100E26">
        <w:rPr>
          <w:rFonts w:ascii="Times New Roman" w:hAnsi="Times New Roman"/>
          <w:i/>
          <w:sz w:val="24"/>
        </w:rPr>
        <w:t>223.0 Residential Mortgage Lending</w:t>
      </w:r>
      <w:r w:rsidR="004750D2">
        <w:rPr>
          <w:rFonts w:ascii="Times New Roman" w:hAnsi="Times New Roman"/>
          <w:i/>
          <w:sz w:val="24"/>
        </w:rPr>
        <w:t xml:space="preserve"> </w:t>
      </w:r>
      <w:r w:rsidR="004750D2">
        <w:rPr>
          <w:rFonts w:ascii="Times New Roman" w:hAnsi="Times New Roman"/>
          <w:sz w:val="24"/>
        </w:rPr>
        <w:t>(ARS 223.0)</w:t>
      </w:r>
      <w:r w:rsidR="00100E26">
        <w:rPr>
          <w:rFonts w:ascii="Times New Roman" w:hAnsi="Times New Roman"/>
          <w:i/>
          <w:sz w:val="24"/>
        </w:rPr>
        <w:t>.</w:t>
      </w:r>
    </w:p>
    <w:p w14:paraId="541A9D1E" w14:textId="501D8BED" w:rsidR="00A76A99" w:rsidRDefault="00022370" w:rsidP="006424B5">
      <w:pPr>
        <w:widowControl w:val="0"/>
        <w:spacing w:before="120" w:after="60"/>
        <w:rPr>
          <w:rFonts w:ascii="Times New Roman" w:hAnsi="Times New Roman"/>
          <w:sz w:val="24"/>
        </w:rPr>
      </w:pPr>
      <w:r>
        <w:rPr>
          <w:rFonts w:ascii="Times New Roman" w:hAnsi="Times New Roman"/>
          <w:sz w:val="24"/>
        </w:rPr>
        <w:t xml:space="preserve">The </w:t>
      </w:r>
      <w:r w:rsidR="00E557AD">
        <w:rPr>
          <w:rFonts w:ascii="Times New Roman" w:hAnsi="Times New Roman"/>
          <w:sz w:val="24"/>
        </w:rPr>
        <w:t xml:space="preserve">instrument commences </w:t>
      </w:r>
      <w:r w:rsidR="001F05C1">
        <w:rPr>
          <w:rFonts w:ascii="Times New Roman" w:hAnsi="Times New Roman"/>
          <w:sz w:val="24"/>
        </w:rPr>
        <w:t xml:space="preserve">on </w:t>
      </w:r>
      <w:r w:rsidR="00CE6756">
        <w:rPr>
          <w:rFonts w:ascii="Times New Roman" w:hAnsi="Times New Roman"/>
          <w:sz w:val="24"/>
        </w:rPr>
        <w:t>1 February 2018</w:t>
      </w:r>
      <w:r w:rsidR="001F05C1" w:rsidRPr="001F05C1">
        <w:rPr>
          <w:rFonts w:ascii="Times New Roman" w:hAnsi="Times New Roman"/>
          <w:sz w:val="24"/>
        </w:rPr>
        <w:t>.</w:t>
      </w:r>
    </w:p>
    <w:p w14:paraId="3A5945D1" w14:textId="77777777" w:rsidR="00214C9C" w:rsidRPr="00BD0C19" w:rsidRDefault="00214C9C" w:rsidP="006424B5">
      <w:pPr>
        <w:widowControl w:val="0"/>
        <w:spacing w:before="120" w:after="60"/>
        <w:rPr>
          <w:rFonts w:ascii="Times New Roman" w:hAnsi="Times New Roman"/>
          <w:sz w:val="24"/>
        </w:rPr>
      </w:pPr>
    </w:p>
    <w:p w14:paraId="3A5945D2" w14:textId="77777777" w:rsidR="006424B5" w:rsidRPr="00BD0C19" w:rsidRDefault="00B0401E" w:rsidP="006424B5">
      <w:pPr>
        <w:pStyle w:val="Heading"/>
        <w:numPr>
          <w:ilvl w:val="0"/>
          <w:numId w:val="1"/>
        </w:numPr>
        <w:spacing w:before="120" w:after="60"/>
        <w:jc w:val="both"/>
        <w:outlineLvl w:val="0"/>
        <w:rPr>
          <w:rFonts w:ascii="Times New Roman" w:hAnsi="Times New Roman"/>
          <w:b/>
          <w:sz w:val="24"/>
        </w:rPr>
      </w:pPr>
      <w:r w:rsidRPr="00BD0C19">
        <w:rPr>
          <w:rFonts w:ascii="Times New Roman" w:hAnsi="Times New Roman"/>
          <w:b/>
          <w:sz w:val="24"/>
        </w:rPr>
        <w:t>Background</w:t>
      </w:r>
    </w:p>
    <w:p w14:paraId="5E8CA655" w14:textId="77777777" w:rsidR="004750D2" w:rsidRDefault="004750D2" w:rsidP="004750D2">
      <w:pPr>
        <w:jc w:val="both"/>
        <w:rPr>
          <w:rFonts w:ascii="Times New Roman" w:eastAsia="Calibri" w:hAnsi="Times New Roman"/>
          <w:sz w:val="24"/>
        </w:rPr>
      </w:pPr>
      <w:bookmarkStart w:id="5" w:name="bkBackground"/>
      <w:bookmarkEnd w:id="5"/>
    </w:p>
    <w:p w14:paraId="3A5945D9" w14:textId="76A2028B" w:rsidR="007A47D4" w:rsidRDefault="002474EB" w:rsidP="004750D2">
      <w:pPr>
        <w:jc w:val="both"/>
        <w:rPr>
          <w:rFonts w:ascii="Times New Roman" w:eastAsia="Calibri" w:hAnsi="Times New Roman"/>
          <w:sz w:val="24"/>
        </w:rPr>
      </w:pPr>
      <w:r w:rsidRPr="002474EB">
        <w:rPr>
          <w:rFonts w:ascii="Times New Roman" w:eastAsia="Calibri" w:hAnsi="Times New Roman"/>
          <w:sz w:val="24"/>
        </w:rPr>
        <w:lastRenderedPageBreak/>
        <w:t xml:space="preserve">APRA’s mandate is to ensure the safety and soundness of prudentially regulated financial institutions so that they can meet their financial promises to depositors, </w:t>
      </w:r>
      <w:r w:rsidRPr="002474EB">
        <w:rPr>
          <w:rFonts w:ascii="Times New Roman" w:hAnsi="Times New Roman"/>
          <w:sz w:val="24"/>
        </w:rPr>
        <w:t>policyholders</w:t>
      </w:r>
      <w:r w:rsidRPr="002474EB">
        <w:rPr>
          <w:rFonts w:ascii="Times New Roman" w:eastAsia="Calibri" w:hAnsi="Times New Roman"/>
          <w:sz w:val="24"/>
        </w:rPr>
        <w:t xml:space="preserve"> and fund </w:t>
      </w:r>
      <w:r w:rsidRPr="004750D2">
        <w:rPr>
          <w:rFonts w:ascii="Times New Roman" w:hAnsi="Times New Roman"/>
          <w:sz w:val="24"/>
          <w:lang w:eastAsia="en-US"/>
        </w:rPr>
        <w:t>members</w:t>
      </w:r>
      <w:r w:rsidRPr="002474EB">
        <w:rPr>
          <w:rFonts w:ascii="Times New Roman" w:eastAsia="Calibri" w:hAnsi="Times New Roman"/>
          <w:sz w:val="24"/>
        </w:rPr>
        <w:t xml:space="preserve"> within a stable, efficient and competitive financial system. APRA carries out this mandate through a multi-layered prudential framework and is empowered under the </w:t>
      </w:r>
      <w:r w:rsidRPr="002474EB">
        <w:rPr>
          <w:rFonts w:ascii="Times New Roman" w:eastAsia="Calibri" w:hAnsi="Times New Roman"/>
          <w:i/>
          <w:sz w:val="24"/>
        </w:rPr>
        <w:t>Banking Act 1959</w:t>
      </w:r>
      <w:r w:rsidRPr="002474EB">
        <w:rPr>
          <w:rFonts w:ascii="Times New Roman" w:eastAsia="Calibri" w:hAnsi="Times New Roman"/>
          <w:sz w:val="24"/>
        </w:rPr>
        <w:t xml:space="preserve"> to issue legally binding prudential standards that set out specific prudential requirements with which ADIs must comply.</w:t>
      </w:r>
    </w:p>
    <w:p w14:paraId="559C692D" w14:textId="77777777" w:rsidR="004750D2" w:rsidRDefault="004750D2" w:rsidP="004750D2">
      <w:pPr>
        <w:jc w:val="both"/>
        <w:rPr>
          <w:rFonts w:ascii="Times New Roman" w:eastAsia="Calibri" w:hAnsi="Times New Roman"/>
          <w:sz w:val="24"/>
        </w:rPr>
      </w:pPr>
    </w:p>
    <w:p w14:paraId="6C7BB9D0" w14:textId="4B64799D" w:rsidR="004750D2" w:rsidRDefault="004750D2" w:rsidP="004750D2">
      <w:pPr>
        <w:jc w:val="both"/>
        <w:rPr>
          <w:rFonts w:ascii="Times New Roman" w:eastAsia="Calibri" w:hAnsi="Times New Roman"/>
          <w:sz w:val="24"/>
        </w:rPr>
      </w:pPr>
      <w:r w:rsidRPr="004750D2">
        <w:rPr>
          <w:rFonts w:ascii="Times New Roman" w:eastAsia="Calibri" w:hAnsi="Times New Roman"/>
          <w:sz w:val="24"/>
        </w:rPr>
        <w:t>Residential mortgages as a proportion of ADIs’ lending exposures has increased over the past few years, currently standing at more than 60 per cent of total loans. Given the significance of the concentration in residential mortgage lending, a build-up of risks in this segment has the potential to pose significant prudential and financial stability risks.</w:t>
      </w:r>
    </w:p>
    <w:p w14:paraId="7F5743E5" w14:textId="77777777" w:rsidR="004750D2" w:rsidRDefault="004750D2" w:rsidP="004750D2">
      <w:pPr>
        <w:jc w:val="both"/>
        <w:rPr>
          <w:rFonts w:ascii="Times New Roman" w:eastAsia="Calibri" w:hAnsi="Times New Roman"/>
          <w:sz w:val="24"/>
        </w:rPr>
      </w:pPr>
    </w:p>
    <w:p w14:paraId="361062C9" w14:textId="05D1CA7D" w:rsidR="004750D2" w:rsidRDefault="004750D2" w:rsidP="004750D2">
      <w:pPr>
        <w:jc w:val="both"/>
        <w:rPr>
          <w:rFonts w:ascii="Times New Roman" w:eastAsia="Calibri" w:hAnsi="Times New Roman"/>
          <w:sz w:val="24"/>
        </w:rPr>
      </w:pPr>
      <w:r>
        <w:rPr>
          <w:rFonts w:ascii="Times New Roman" w:eastAsia="Calibri" w:hAnsi="Times New Roman"/>
          <w:sz w:val="24"/>
        </w:rPr>
        <w:t xml:space="preserve">In response, APRA </w:t>
      </w:r>
      <w:r w:rsidRPr="004750D2">
        <w:rPr>
          <w:rFonts w:ascii="Times New Roman" w:eastAsia="Calibri" w:hAnsi="Times New Roman"/>
          <w:sz w:val="24"/>
        </w:rPr>
        <w:t xml:space="preserve">and other regulators have increased their focus on residential lending practices, which requires access to robust data about various aspects of ADIs’ lending practices and activities, including loan purpose, counterparty and other risk indicators. Analysis of this information </w:t>
      </w:r>
      <w:r>
        <w:rPr>
          <w:rFonts w:ascii="Times New Roman" w:eastAsia="Calibri" w:hAnsi="Times New Roman"/>
          <w:sz w:val="24"/>
        </w:rPr>
        <w:t>underpins</w:t>
      </w:r>
      <w:r w:rsidRPr="004750D2">
        <w:rPr>
          <w:rFonts w:ascii="Times New Roman" w:eastAsia="Calibri" w:hAnsi="Times New Roman"/>
          <w:sz w:val="24"/>
        </w:rPr>
        <w:t xml:space="preserve"> measures </w:t>
      </w:r>
      <w:r>
        <w:rPr>
          <w:rFonts w:ascii="Times New Roman" w:eastAsia="Calibri" w:hAnsi="Times New Roman"/>
          <w:sz w:val="24"/>
        </w:rPr>
        <w:t xml:space="preserve">taken by </w:t>
      </w:r>
      <w:r w:rsidRPr="004750D2">
        <w:rPr>
          <w:rFonts w:ascii="Times New Roman" w:eastAsia="Calibri" w:hAnsi="Times New Roman"/>
          <w:sz w:val="24"/>
        </w:rPr>
        <w:t>APRA to help contain the risks associated with ADIs’ residential mortgage portfolios.</w:t>
      </w:r>
    </w:p>
    <w:p w14:paraId="3182812A" w14:textId="77777777" w:rsidR="004750D2" w:rsidRPr="002474EB" w:rsidRDefault="004750D2" w:rsidP="004750D2">
      <w:pPr>
        <w:jc w:val="both"/>
        <w:rPr>
          <w:rFonts w:ascii="Times New Roman" w:eastAsia="Calibri" w:hAnsi="Times New Roman"/>
          <w:sz w:val="24"/>
        </w:rPr>
      </w:pPr>
    </w:p>
    <w:p w14:paraId="3A5945DA" w14:textId="77777777" w:rsidR="006424B5" w:rsidRDefault="00B0401E" w:rsidP="00133A27">
      <w:pPr>
        <w:pStyle w:val="ListParagraph"/>
        <w:widowControl w:val="0"/>
        <w:numPr>
          <w:ilvl w:val="0"/>
          <w:numId w:val="1"/>
        </w:numPr>
        <w:spacing w:before="120" w:after="60"/>
        <w:rPr>
          <w:rFonts w:ascii="Times New Roman" w:hAnsi="Times New Roman"/>
          <w:b/>
          <w:sz w:val="24"/>
        </w:rPr>
      </w:pPr>
      <w:r w:rsidRPr="00BD0C19">
        <w:rPr>
          <w:rFonts w:ascii="Times New Roman" w:hAnsi="Times New Roman"/>
          <w:b/>
          <w:sz w:val="24"/>
        </w:rPr>
        <w:t>Purpose of the instrument</w:t>
      </w:r>
    </w:p>
    <w:p w14:paraId="579B176B" w14:textId="77777777" w:rsidR="00814AB9" w:rsidRPr="00BD0C19" w:rsidRDefault="00814AB9" w:rsidP="00814AB9">
      <w:pPr>
        <w:pStyle w:val="ListParagraph"/>
        <w:widowControl w:val="0"/>
        <w:spacing w:before="120" w:after="60"/>
        <w:ind w:left="567"/>
        <w:rPr>
          <w:rFonts w:ascii="Times New Roman" w:hAnsi="Times New Roman"/>
          <w:b/>
          <w:sz w:val="24"/>
        </w:rPr>
      </w:pPr>
    </w:p>
    <w:p w14:paraId="7A17EEBD" w14:textId="15B5BA0E" w:rsidR="002C0B1C" w:rsidRDefault="006424B5" w:rsidP="002C0B1C">
      <w:pPr>
        <w:jc w:val="both"/>
        <w:rPr>
          <w:rFonts w:ascii="Times New Roman" w:hAnsi="Times New Roman"/>
          <w:sz w:val="24"/>
        </w:rPr>
      </w:pPr>
      <w:r w:rsidRPr="00BD0C19">
        <w:rPr>
          <w:rFonts w:ascii="Times New Roman" w:hAnsi="Times New Roman"/>
          <w:sz w:val="24"/>
        </w:rPr>
        <w:t xml:space="preserve">The purpose of the </w:t>
      </w:r>
      <w:r w:rsidRPr="002C0B1C">
        <w:rPr>
          <w:rFonts w:ascii="Times New Roman" w:eastAsia="Calibri" w:hAnsi="Times New Roman"/>
          <w:sz w:val="24"/>
        </w:rPr>
        <w:t>instrument</w:t>
      </w:r>
      <w:r w:rsidRPr="00BD0C19">
        <w:rPr>
          <w:rFonts w:ascii="Times New Roman" w:hAnsi="Times New Roman"/>
          <w:sz w:val="24"/>
        </w:rPr>
        <w:t xml:space="preserve"> is to </w:t>
      </w:r>
      <w:r w:rsidR="009A7C6B" w:rsidRPr="00BD0C19">
        <w:rPr>
          <w:rFonts w:ascii="Times New Roman" w:hAnsi="Times New Roman"/>
          <w:sz w:val="24"/>
        </w:rPr>
        <w:t>determine a new reporting standard</w:t>
      </w:r>
      <w:r w:rsidR="004750D2">
        <w:rPr>
          <w:rFonts w:ascii="Times New Roman" w:hAnsi="Times New Roman"/>
          <w:sz w:val="24"/>
        </w:rPr>
        <w:t xml:space="preserve"> ARS 223.0, which introduces a new reporting form,</w:t>
      </w:r>
      <w:r w:rsidR="009A7C6B" w:rsidRPr="00BD0C19">
        <w:rPr>
          <w:rFonts w:ascii="Times New Roman" w:hAnsi="Times New Roman"/>
          <w:sz w:val="24"/>
        </w:rPr>
        <w:t xml:space="preserve"> </w:t>
      </w:r>
      <w:r w:rsidR="004750D2">
        <w:rPr>
          <w:rFonts w:ascii="Times New Roman" w:hAnsi="Times New Roman"/>
          <w:i/>
          <w:sz w:val="24"/>
        </w:rPr>
        <w:t xml:space="preserve">Reporting Form ARF 223.0 Residential Mortgage Lending. </w:t>
      </w:r>
      <w:r w:rsidR="004750D2">
        <w:rPr>
          <w:rFonts w:ascii="Times New Roman" w:hAnsi="Times New Roman"/>
          <w:sz w:val="24"/>
        </w:rPr>
        <w:t>ARS 223.0</w:t>
      </w:r>
      <w:r w:rsidR="002C0B1C">
        <w:rPr>
          <w:rFonts w:ascii="Times New Roman" w:hAnsi="Times New Roman"/>
          <w:sz w:val="24"/>
        </w:rPr>
        <w:t xml:space="preserve"> </w:t>
      </w:r>
      <w:r w:rsidR="002C0B1C" w:rsidRPr="002C0B1C">
        <w:rPr>
          <w:rFonts w:ascii="Times New Roman" w:hAnsi="Times New Roman"/>
          <w:sz w:val="24"/>
        </w:rPr>
        <w:t xml:space="preserve">0 collects information </w:t>
      </w:r>
      <w:r w:rsidR="002C0B1C" w:rsidRPr="002C0B1C">
        <w:rPr>
          <w:rFonts w:ascii="Times New Roman" w:hAnsi="Times New Roman"/>
          <w:sz w:val="24"/>
        </w:rPr>
        <w:lastRenderedPageBreak/>
        <w:t xml:space="preserve">from ADIs </w:t>
      </w:r>
      <w:r w:rsidR="00C80C53" w:rsidRPr="00C80C53">
        <w:rPr>
          <w:rFonts w:ascii="Times New Roman" w:hAnsi="Times New Roman"/>
          <w:sz w:val="24"/>
        </w:rPr>
        <w:t xml:space="preserve">on both the portfolio stock and new lending activity each quarter. </w:t>
      </w:r>
      <w:r w:rsidR="002C0B1C" w:rsidRPr="002C0B1C">
        <w:rPr>
          <w:rFonts w:ascii="Times New Roman" w:hAnsi="Times New Roman"/>
          <w:sz w:val="24"/>
        </w:rPr>
        <w:t xml:space="preserve">This information </w:t>
      </w:r>
      <w:r w:rsidR="00CE6756">
        <w:rPr>
          <w:rFonts w:ascii="Times New Roman" w:hAnsi="Times New Roman"/>
          <w:sz w:val="24"/>
        </w:rPr>
        <w:t xml:space="preserve">will be </w:t>
      </w:r>
      <w:r w:rsidR="002C0B1C" w:rsidRPr="002C0B1C">
        <w:rPr>
          <w:rFonts w:ascii="Times New Roman" w:hAnsi="Times New Roman"/>
          <w:sz w:val="24"/>
        </w:rPr>
        <w:t>used by APRA for the purpose of prudential supervision. This information may also be used by the Reserve Bank of Australia.</w:t>
      </w:r>
    </w:p>
    <w:p w14:paraId="4266D4F7" w14:textId="77777777" w:rsidR="00A76A99" w:rsidRDefault="00A76A99" w:rsidP="003962C0">
      <w:pPr>
        <w:pStyle w:val="Heading"/>
        <w:tabs>
          <w:tab w:val="left" w:pos="360"/>
        </w:tabs>
        <w:spacing w:before="120"/>
        <w:ind w:left="567"/>
        <w:rPr>
          <w:rFonts w:ascii="Times New Roman" w:hAnsi="Times New Roman"/>
          <w:b/>
          <w:sz w:val="24"/>
        </w:rPr>
      </w:pPr>
    </w:p>
    <w:p w14:paraId="6456A579" w14:textId="77777777" w:rsidR="002C0B1C" w:rsidRDefault="002C0B1C" w:rsidP="003962C0">
      <w:pPr>
        <w:pStyle w:val="Heading"/>
        <w:tabs>
          <w:tab w:val="left" w:pos="360"/>
        </w:tabs>
        <w:spacing w:before="120"/>
        <w:ind w:left="567"/>
        <w:rPr>
          <w:rFonts w:ascii="Times New Roman" w:hAnsi="Times New Roman"/>
          <w:b/>
          <w:sz w:val="24"/>
        </w:rPr>
      </w:pPr>
    </w:p>
    <w:p w14:paraId="3A5945E3" w14:textId="77777777" w:rsidR="009A7C6B" w:rsidRPr="00BD0C19" w:rsidRDefault="009A7C6B" w:rsidP="003962C0">
      <w:pPr>
        <w:pStyle w:val="Heading"/>
        <w:numPr>
          <w:ilvl w:val="0"/>
          <w:numId w:val="9"/>
        </w:numPr>
        <w:tabs>
          <w:tab w:val="left" w:pos="360"/>
        </w:tabs>
        <w:spacing w:before="120"/>
        <w:rPr>
          <w:rFonts w:ascii="Times New Roman" w:hAnsi="Times New Roman"/>
          <w:b/>
          <w:sz w:val="24"/>
        </w:rPr>
      </w:pPr>
      <w:bookmarkStart w:id="6" w:name="bkConsultation"/>
      <w:bookmarkEnd w:id="6"/>
      <w:r w:rsidRPr="00BD0C19">
        <w:rPr>
          <w:rFonts w:ascii="Times New Roman" w:hAnsi="Times New Roman"/>
          <w:b/>
          <w:sz w:val="24"/>
        </w:rPr>
        <w:t>Consultation</w:t>
      </w:r>
    </w:p>
    <w:p w14:paraId="3A5945E4" w14:textId="77777777" w:rsidR="0071518A" w:rsidRPr="00BD0C19" w:rsidRDefault="0071518A" w:rsidP="0071518A">
      <w:pPr>
        <w:jc w:val="both"/>
        <w:rPr>
          <w:sz w:val="24"/>
          <w:lang w:eastAsia="en-US"/>
        </w:rPr>
      </w:pPr>
      <w:bookmarkStart w:id="7" w:name="bkRISNO"/>
      <w:bookmarkEnd w:id="7"/>
    </w:p>
    <w:p w14:paraId="3A5945E7" w14:textId="186446BE" w:rsidR="00A4054F" w:rsidRPr="00BD0C19" w:rsidRDefault="00B153F0" w:rsidP="0071518A">
      <w:pPr>
        <w:jc w:val="both"/>
        <w:rPr>
          <w:rFonts w:ascii="Times New Roman" w:hAnsi="Times New Roman"/>
          <w:sz w:val="24"/>
          <w:lang w:eastAsia="en-US"/>
        </w:rPr>
      </w:pPr>
      <w:r>
        <w:rPr>
          <w:rFonts w:ascii="Times New Roman" w:hAnsi="Times New Roman"/>
          <w:sz w:val="24"/>
          <w:lang w:eastAsia="en-US"/>
        </w:rPr>
        <w:t xml:space="preserve">On </w:t>
      </w:r>
      <w:r w:rsidR="00C80C53">
        <w:rPr>
          <w:rFonts w:ascii="Times New Roman" w:hAnsi="Times New Roman"/>
          <w:sz w:val="24"/>
          <w:lang w:eastAsia="en-US"/>
        </w:rPr>
        <w:t>24 October 2016</w:t>
      </w:r>
      <w:r w:rsidR="0071518A" w:rsidRPr="00BD0C19">
        <w:rPr>
          <w:rFonts w:ascii="Times New Roman" w:hAnsi="Times New Roman"/>
          <w:sz w:val="24"/>
          <w:lang w:eastAsia="en-US"/>
        </w:rPr>
        <w:t xml:space="preserve">, APRA released a discussion paper, </w:t>
      </w:r>
      <w:r w:rsidR="00C80C53" w:rsidRPr="00C80C53">
        <w:rPr>
          <w:rFonts w:ascii="Times New Roman" w:hAnsi="Times New Roman"/>
          <w:i/>
          <w:sz w:val="24"/>
          <w:lang w:eastAsia="en-US"/>
        </w:rPr>
        <w:t xml:space="preserve">Residential mortgage lending reporting requirements </w:t>
      </w:r>
      <w:r w:rsidR="00C80C53">
        <w:rPr>
          <w:rFonts w:ascii="Times New Roman" w:hAnsi="Times New Roman"/>
          <w:i/>
          <w:sz w:val="24"/>
          <w:lang w:eastAsia="en-US"/>
        </w:rPr>
        <w:t>for ADIs</w:t>
      </w:r>
      <w:r w:rsidR="0071518A" w:rsidRPr="00BD0C19">
        <w:rPr>
          <w:rFonts w:ascii="Times New Roman" w:hAnsi="Times New Roman"/>
          <w:i/>
          <w:sz w:val="24"/>
          <w:lang w:eastAsia="en-US"/>
        </w:rPr>
        <w:t xml:space="preserve"> </w:t>
      </w:r>
      <w:r w:rsidR="0071518A" w:rsidRPr="00BD0C19">
        <w:rPr>
          <w:rFonts w:ascii="Times New Roman" w:hAnsi="Times New Roman"/>
          <w:sz w:val="24"/>
          <w:lang w:eastAsia="en-US"/>
        </w:rPr>
        <w:t>(</w:t>
      </w:r>
      <w:r w:rsidR="00BE42AF" w:rsidRPr="00BD0C19">
        <w:rPr>
          <w:rFonts w:ascii="Times New Roman" w:hAnsi="Times New Roman"/>
          <w:sz w:val="24"/>
          <w:lang w:eastAsia="en-US"/>
        </w:rPr>
        <w:t xml:space="preserve">the </w:t>
      </w:r>
      <w:r w:rsidR="0071518A" w:rsidRPr="00BD0C19">
        <w:rPr>
          <w:rFonts w:ascii="Times New Roman" w:hAnsi="Times New Roman"/>
          <w:sz w:val="24"/>
          <w:lang w:eastAsia="en-US"/>
        </w:rPr>
        <w:t xml:space="preserve">Discussion Paper), on </w:t>
      </w:r>
      <w:r w:rsidR="00C80C53">
        <w:rPr>
          <w:rFonts w:ascii="Times New Roman" w:hAnsi="Times New Roman"/>
          <w:sz w:val="24"/>
          <w:lang w:eastAsia="en-US"/>
        </w:rPr>
        <w:t xml:space="preserve">the </w:t>
      </w:r>
      <w:r>
        <w:rPr>
          <w:rFonts w:ascii="Times New Roman" w:hAnsi="Times New Roman"/>
          <w:sz w:val="24"/>
          <w:lang w:eastAsia="en-US"/>
        </w:rPr>
        <w:t xml:space="preserve">proposed </w:t>
      </w:r>
      <w:r w:rsidR="00C80C53">
        <w:rPr>
          <w:rFonts w:ascii="Times New Roman" w:hAnsi="Times New Roman"/>
          <w:sz w:val="24"/>
          <w:lang w:eastAsia="en-US"/>
        </w:rPr>
        <w:t>introduction of ARS 223.0, along with a draft reporting standard</w:t>
      </w:r>
      <w:r w:rsidR="00C80C53">
        <w:rPr>
          <w:rStyle w:val="FootnoteReference"/>
          <w:rFonts w:ascii="Times New Roman" w:hAnsi="Times New Roman"/>
          <w:sz w:val="24"/>
          <w:lang w:eastAsia="en-US"/>
        </w:rPr>
        <w:footnoteReference w:id="1"/>
      </w:r>
      <w:r w:rsidR="00C80C53">
        <w:rPr>
          <w:rFonts w:ascii="Times New Roman" w:hAnsi="Times New Roman"/>
          <w:sz w:val="24"/>
          <w:lang w:eastAsia="en-US"/>
        </w:rPr>
        <w:t xml:space="preserve">. This was followed by a second consultation letter </w:t>
      </w:r>
      <w:r w:rsidR="006F21AB">
        <w:rPr>
          <w:rFonts w:ascii="Times New Roman" w:hAnsi="Times New Roman"/>
          <w:sz w:val="24"/>
          <w:lang w:eastAsia="en-US"/>
        </w:rPr>
        <w:t>on 23</w:t>
      </w:r>
      <w:r w:rsidR="00C80C53">
        <w:rPr>
          <w:rFonts w:ascii="Times New Roman" w:hAnsi="Times New Roman"/>
          <w:sz w:val="24"/>
          <w:lang w:eastAsia="en-US"/>
        </w:rPr>
        <w:t xml:space="preserve"> May 2017</w:t>
      </w:r>
      <w:r w:rsidR="006F21AB">
        <w:rPr>
          <w:rStyle w:val="FootnoteReference"/>
          <w:rFonts w:ascii="Times New Roman" w:hAnsi="Times New Roman"/>
          <w:sz w:val="24"/>
          <w:lang w:eastAsia="en-US"/>
        </w:rPr>
        <w:footnoteReference w:id="2"/>
      </w:r>
      <w:r w:rsidR="00C80C53">
        <w:rPr>
          <w:rFonts w:ascii="Times New Roman" w:hAnsi="Times New Roman"/>
          <w:sz w:val="24"/>
          <w:lang w:eastAsia="en-US"/>
        </w:rPr>
        <w:t>. APRA released the final response to submissions and final</w:t>
      </w:r>
      <w:r w:rsidR="00CE6756">
        <w:rPr>
          <w:rFonts w:ascii="Times New Roman" w:hAnsi="Times New Roman"/>
          <w:sz w:val="24"/>
          <w:lang w:eastAsia="en-US"/>
        </w:rPr>
        <w:t xml:space="preserve"> form of the proposed</w:t>
      </w:r>
      <w:r w:rsidR="00C80C53">
        <w:rPr>
          <w:rFonts w:ascii="Times New Roman" w:hAnsi="Times New Roman"/>
          <w:sz w:val="24"/>
          <w:lang w:eastAsia="en-US"/>
        </w:rPr>
        <w:t xml:space="preserve"> ARS 223.0 </w:t>
      </w:r>
      <w:r w:rsidR="00C80C53" w:rsidRPr="00323951">
        <w:rPr>
          <w:rFonts w:ascii="Times New Roman" w:hAnsi="Times New Roman"/>
          <w:sz w:val="24"/>
          <w:lang w:eastAsia="en-US"/>
        </w:rPr>
        <w:t>on 10 January 2018, incorporating</w:t>
      </w:r>
      <w:r w:rsidR="00C80C53">
        <w:rPr>
          <w:rFonts w:ascii="Times New Roman" w:hAnsi="Times New Roman"/>
          <w:sz w:val="24"/>
          <w:lang w:eastAsia="en-US"/>
        </w:rPr>
        <w:t xml:space="preserve"> the feedback received from the consultation</w:t>
      </w:r>
      <w:r w:rsidR="006F21AB">
        <w:rPr>
          <w:rStyle w:val="FootnoteReference"/>
          <w:rFonts w:ascii="Times New Roman" w:hAnsi="Times New Roman"/>
          <w:sz w:val="24"/>
          <w:lang w:eastAsia="en-US"/>
        </w:rPr>
        <w:footnoteReference w:id="3"/>
      </w:r>
      <w:r w:rsidR="00C80C53">
        <w:rPr>
          <w:rFonts w:ascii="Times New Roman" w:hAnsi="Times New Roman"/>
          <w:sz w:val="24"/>
          <w:lang w:eastAsia="en-US"/>
        </w:rPr>
        <w:t>.</w:t>
      </w:r>
      <w:r>
        <w:rPr>
          <w:rFonts w:ascii="Times New Roman" w:hAnsi="Times New Roman"/>
          <w:i/>
          <w:sz w:val="24"/>
        </w:rPr>
        <w:t xml:space="preserve"> </w:t>
      </w:r>
    </w:p>
    <w:p w14:paraId="3A5945EC" w14:textId="77777777" w:rsidR="00A4054F" w:rsidRPr="00BD0C19" w:rsidRDefault="00A4054F" w:rsidP="0071518A">
      <w:pPr>
        <w:jc w:val="both"/>
        <w:rPr>
          <w:rFonts w:ascii="Times New Roman" w:hAnsi="Times New Roman"/>
          <w:sz w:val="24"/>
          <w:lang w:eastAsia="en-US"/>
        </w:rPr>
      </w:pPr>
    </w:p>
    <w:p w14:paraId="3A5945ED" w14:textId="77777777" w:rsidR="00555DAC" w:rsidRPr="00BD0C19" w:rsidRDefault="00555DAC" w:rsidP="003962C0">
      <w:pPr>
        <w:pStyle w:val="Heading"/>
        <w:numPr>
          <w:ilvl w:val="0"/>
          <w:numId w:val="9"/>
        </w:numPr>
        <w:tabs>
          <w:tab w:val="left" w:pos="360"/>
        </w:tabs>
        <w:spacing w:after="240"/>
        <w:rPr>
          <w:rFonts w:ascii="Times New Roman" w:hAnsi="Times New Roman"/>
          <w:b/>
          <w:sz w:val="24"/>
        </w:rPr>
      </w:pPr>
      <w:bookmarkStart w:id="8" w:name="bkRIS"/>
      <w:r w:rsidRPr="00BD0C19">
        <w:rPr>
          <w:rFonts w:ascii="Times New Roman" w:hAnsi="Times New Roman"/>
          <w:b/>
          <w:sz w:val="24"/>
        </w:rPr>
        <w:t>Regulation Impact Statement</w:t>
      </w:r>
    </w:p>
    <w:bookmarkEnd w:id="8"/>
    <w:p w14:paraId="3A5945EE" w14:textId="3F4A8770" w:rsidR="00555DAC" w:rsidRDefault="00C80C53" w:rsidP="00C80C53">
      <w:pPr>
        <w:pStyle w:val="Heading"/>
        <w:spacing w:after="240"/>
        <w:rPr>
          <w:rFonts w:ascii="Times New Roman" w:hAnsi="Times New Roman"/>
          <w:sz w:val="24"/>
        </w:rPr>
      </w:pPr>
      <w:r w:rsidRPr="00C80C53">
        <w:rPr>
          <w:rFonts w:ascii="Times New Roman" w:hAnsi="Times New Roman"/>
          <w:sz w:val="24"/>
        </w:rPr>
        <w:lastRenderedPageBreak/>
        <w:t>APRA prepared a Regulation Impact Statement which has been lodged as supporting material.</w:t>
      </w:r>
    </w:p>
    <w:p w14:paraId="3A5945EF" w14:textId="77777777" w:rsidR="00555DAC" w:rsidRPr="00BD0C19" w:rsidRDefault="00555DAC" w:rsidP="003962C0">
      <w:pPr>
        <w:pStyle w:val="Heading"/>
        <w:numPr>
          <w:ilvl w:val="0"/>
          <w:numId w:val="9"/>
        </w:numPr>
        <w:tabs>
          <w:tab w:val="left" w:pos="360"/>
        </w:tabs>
        <w:spacing w:after="240"/>
        <w:rPr>
          <w:rFonts w:ascii="Times New Roman" w:hAnsi="Times New Roman"/>
          <w:b/>
          <w:sz w:val="24"/>
        </w:rPr>
      </w:pPr>
      <w:r w:rsidRPr="00BD0C19">
        <w:rPr>
          <w:rFonts w:ascii="Times New Roman" w:hAnsi="Times New Roman"/>
          <w:b/>
          <w:sz w:val="24"/>
        </w:rPr>
        <w:t xml:space="preserve">Statement of compatibility prepared in accordance with Part 3 of the </w:t>
      </w:r>
      <w:r w:rsidRPr="00CE6756">
        <w:rPr>
          <w:rFonts w:ascii="Times New Roman" w:hAnsi="Times New Roman"/>
          <w:b/>
          <w:i/>
          <w:sz w:val="24"/>
        </w:rPr>
        <w:t>Human Rights (Parliamentary Scrutiny) Act 2011</w:t>
      </w:r>
    </w:p>
    <w:p w14:paraId="3A5945F0" w14:textId="77777777" w:rsidR="00555DAC" w:rsidRPr="00BD0C19" w:rsidRDefault="00555DAC" w:rsidP="00555DAC">
      <w:pPr>
        <w:pStyle w:val="Heading"/>
        <w:spacing w:after="240"/>
        <w:rPr>
          <w:rFonts w:ascii="Times New Roman" w:hAnsi="Times New Roman"/>
          <w:b/>
          <w:sz w:val="24"/>
        </w:rPr>
      </w:pPr>
      <w:r w:rsidRPr="00BD0C19">
        <w:rPr>
          <w:rFonts w:ascii="Times New Roman" w:hAnsi="Times New Roman"/>
          <w:sz w:val="24"/>
        </w:rPr>
        <w:t xml:space="preserve">A Statement of compatibility prepared in accordance with Part 3 of the </w:t>
      </w:r>
      <w:r w:rsidRPr="00BD0C19">
        <w:rPr>
          <w:rFonts w:ascii="Times New Roman" w:hAnsi="Times New Roman"/>
          <w:i/>
          <w:sz w:val="24"/>
        </w:rPr>
        <w:t>Human Rights (Parliamentary Scrutiny) Act 2011</w:t>
      </w:r>
      <w:r w:rsidRPr="00BD0C19">
        <w:rPr>
          <w:rFonts w:ascii="Times New Roman" w:hAnsi="Times New Roman"/>
          <w:sz w:val="24"/>
        </w:rPr>
        <w:t xml:space="preserve"> is provided at Attachment A to this Explanatory Statement.</w:t>
      </w:r>
    </w:p>
    <w:p w14:paraId="3A5945F1" w14:textId="77777777" w:rsidR="00555DAC" w:rsidRDefault="00555DAC" w:rsidP="00555DAC">
      <w:pPr>
        <w:rPr>
          <w:b/>
          <w:sz w:val="26"/>
          <w:szCs w:val="22"/>
        </w:rPr>
      </w:pPr>
      <w:r>
        <w:br w:type="page"/>
      </w:r>
    </w:p>
    <w:p w14:paraId="3A5945F2" w14:textId="77777777" w:rsidR="00555DAC" w:rsidRDefault="00555DAC" w:rsidP="00555DAC">
      <w:pPr>
        <w:pStyle w:val="Heading"/>
        <w:spacing w:after="240"/>
      </w:pPr>
    </w:p>
    <w:p w14:paraId="3A5945F3" w14:textId="77777777" w:rsidR="00555DAC" w:rsidRDefault="00555DAC" w:rsidP="00555DAC">
      <w:pPr>
        <w:pStyle w:val="Heading"/>
        <w:spacing w:after="240"/>
      </w:pPr>
    </w:p>
    <w:p w14:paraId="3A5945F4" w14:textId="77777777" w:rsidR="00555DAC" w:rsidRDefault="00555DAC" w:rsidP="00555DAC">
      <w:pPr>
        <w:pStyle w:val="Heading"/>
        <w:spacing w:after="240"/>
      </w:pPr>
    </w:p>
    <w:p w14:paraId="3A5945F5" w14:textId="77777777" w:rsidR="00555DAC" w:rsidRPr="008178C2" w:rsidRDefault="00555DAC" w:rsidP="00555DAC">
      <w:pPr>
        <w:spacing w:after="360"/>
        <w:jc w:val="both"/>
        <w:rPr>
          <w:rFonts w:ascii="Times New Roman" w:hAnsi="Times New Roman"/>
          <w:b/>
          <w:sz w:val="24"/>
        </w:rPr>
      </w:pPr>
      <w:r w:rsidRPr="008178C2">
        <w:rPr>
          <w:rFonts w:ascii="Times New Roman" w:hAnsi="Times New Roman"/>
          <w:b/>
          <w:sz w:val="24"/>
          <w:u w:val="single"/>
          <w:lang w:val="en-GB"/>
        </w:rPr>
        <w:t>ATTACHMENT A</w:t>
      </w:r>
    </w:p>
    <w:p w14:paraId="3A5945F6" w14:textId="77777777" w:rsidR="00555DAC" w:rsidRPr="00751835" w:rsidRDefault="00555DAC" w:rsidP="00555DAC">
      <w:pPr>
        <w:spacing w:after="240"/>
        <w:jc w:val="center"/>
        <w:rPr>
          <w:rFonts w:ascii="Times New Roman" w:hAnsi="Times New Roman"/>
          <w:b/>
          <w:sz w:val="24"/>
        </w:rPr>
      </w:pPr>
      <w:r w:rsidRPr="00751835">
        <w:rPr>
          <w:rFonts w:ascii="Times New Roman" w:hAnsi="Times New Roman"/>
          <w:b/>
          <w:sz w:val="24"/>
        </w:rPr>
        <w:t>Statement of Compatibility with Human Rights</w:t>
      </w:r>
    </w:p>
    <w:p w14:paraId="3A5945F7" w14:textId="77777777" w:rsidR="00555DAC" w:rsidRPr="00751835" w:rsidRDefault="00555DAC" w:rsidP="00555DAC">
      <w:pPr>
        <w:keepNext/>
        <w:keepLines/>
        <w:spacing w:after="240"/>
        <w:jc w:val="center"/>
        <w:outlineLvl w:val="0"/>
        <w:rPr>
          <w:rFonts w:ascii="Times New Roman" w:hAnsi="Times New Roman"/>
          <w:bCs/>
          <w:i/>
          <w:color w:val="000000"/>
          <w:sz w:val="24"/>
        </w:rPr>
      </w:pPr>
      <w:r w:rsidRPr="00B35F22">
        <w:rPr>
          <w:rFonts w:ascii="Times New Roman" w:hAnsi="Times New Roman"/>
          <w:bCs/>
          <w:color w:val="000000"/>
          <w:sz w:val="24"/>
        </w:rPr>
        <w:t>Prepared in accordance with Part 3 of the</w:t>
      </w:r>
      <w:r w:rsidRPr="00751835">
        <w:rPr>
          <w:rFonts w:ascii="Times New Roman" w:hAnsi="Times New Roman"/>
          <w:bCs/>
          <w:i/>
          <w:color w:val="000000"/>
          <w:sz w:val="24"/>
        </w:rPr>
        <w:t xml:space="preserve"> Human Rights (Parliamentary Scrutiny) Act 2011</w:t>
      </w:r>
    </w:p>
    <w:p w14:paraId="3A5945F8" w14:textId="6947D7CB" w:rsidR="00F4178E" w:rsidRPr="00751835" w:rsidRDefault="00F4178E" w:rsidP="00F4178E">
      <w:pPr>
        <w:pStyle w:val="Heading"/>
        <w:spacing w:before="120"/>
        <w:jc w:val="center"/>
        <w:rPr>
          <w:rFonts w:ascii="Times New Roman" w:hAnsi="Times New Roman"/>
          <w:b/>
          <w:sz w:val="24"/>
        </w:rPr>
      </w:pPr>
      <w:r w:rsidRPr="00751835">
        <w:rPr>
          <w:rFonts w:ascii="Times New Roman" w:hAnsi="Times New Roman"/>
          <w:b/>
          <w:sz w:val="24"/>
        </w:rPr>
        <w:t xml:space="preserve">Financial Sector (Collection of Data) (reporting standard) determination No. </w:t>
      </w:r>
      <w:r w:rsidR="00F844B0">
        <w:rPr>
          <w:rFonts w:ascii="Times New Roman" w:hAnsi="Times New Roman"/>
          <w:b/>
          <w:sz w:val="24"/>
        </w:rPr>
        <w:t>2</w:t>
      </w:r>
      <w:r w:rsidR="0043657E">
        <w:rPr>
          <w:rFonts w:ascii="Times New Roman" w:hAnsi="Times New Roman"/>
          <w:b/>
          <w:sz w:val="24"/>
        </w:rPr>
        <w:t xml:space="preserve"> </w:t>
      </w:r>
      <w:r w:rsidRPr="00751835">
        <w:rPr>
          <w:rFonts w:ascii="Times New Roman" w:hAnsi="Times New Roman"/>
          <w:b/>
          <w:sz w:val="24"/>
        </w:rPr>
        <w:t>of 201</w:t>
      </w:r>
      <w:r w:rsidR="006F21AB">
        <w:rPr>
          <w:rFonts w:ascii="Times New Roman" w:hAnsi="Times New Roman"/>
          <w:b/>
          <w:sz w:val="24"/>
        </w:rPr>
        <w:t>8</w:t>
      </w:r>
      <w:r w:rsidRPr="00751835">
        <w:rPr>
          <w:rFonts w:ascii="Times New Roman" w:hAnsi="Times New Roman"/>
          <w:b/>
          <w:sz w:val="24"/>
        </w:rPr>
        <w:t xml:space="preserve"> – Reporting standard ARS </w:t>
      </w:r>
      <w:r w:rsidR="006F21AB">
        <w:rPr>
          <w:rFonts w:ascii="Times New Roman" w:hAnsi="Times New Roman"/>
          <w:b/>
          <w:sz w:val="24"/>
        </w:rPr>
        <w:t>223.0 Residential Mortgage Lending</w:t>
      </w:r>
    </w:p>
    <w:p w14:paraId="3A5945F9" w14:textId="77777777" w:rsidR="00555DAC" w:rsidRPr="00751835" w:rsidRDefault="00555DAC" w:rsidP="00555DAC">
      <w:pPr>
        <w:jc w:val="center"/>
        <w:rPr>
          <w:rFonts w:ascii="Times New Roman" w:hAnsi="Times New Roman"/>
          <w:sz w:val="24"/>
        </w:rPr>
      </w:pPr>
    </w:p>
    <w:p w14:paraId="3A5945FA"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sz w:val="24"/>
        </w:rPr>
        <w:t xml:space="preserve">This Legislative Instrument is compatible with the human rights and freedoms recognised or declared in the international instrument listed in section 3 of the </w:t>
      </w:r>
      <w:r w:rsidRPr="00751835">
        <w:rPr>
          <w:rFonts w:ascii="Times New Roman" w:hAnsi="Times New Roman"/>
          <w:i/>
          <w:sz w:val="24"/>
        </w:rPr>
        <w:t>Human Rights (Parliamentary Scrutiny) Act 2011</w:t>
      </w:r>
      <w:r w:rsidRPr="00751835">
        <w:rPr>
          <w:rFonts w:ascii="Times New Roman" w:hAnsi="Times New Roman"/>
          <w:sz w:val="24"/>
        </w:rPr>
        <w:t xml:space="preserve"> (HRPS Act).</w:t>
      </w:r>
    </w:p>
    <w:p w14:paraId="3A5945FB"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b/>
          <w:sz w:val="24"/>
        </w:rPr>
        <w:t>Overview of the legislative instrument</w:t>
      </w:r>
    </w:p>
    <w:p w14:paraId="3A5945FC" w14:textId="0EC63FD2" w:rsidR="00555DAC" w:rsidRPr="00751835" w:rsidRDefault="00CA5735" w:rsidP="006F21AB">
      <w:pPr>
        <w:widowControl w:val="0"/>
        <w:spacing w:before="120" w:after="60"/>
        <w:jc w:val="both"/>
        <w:rPr>
          <w:rFonts w:ascii="Times New Roman" w:hAnsi="Times New Roman"/>
          <w:sz w:val="24"/>
        </w:rPr>
      </w:pPr>
      <w:r w:rsidRPr="00751835">
        <w:rPr>
          <w:rFonts w:ascii="Times New Roman" w:hAnsi="Times New Roman"/>
          <w:sz w:val="24"/>
        </w:rPr>
        <w:t>The instrument determines a new reporting standard</w:t>
      </w:r>
      <w:r w:rsidR="006F21AB">
        <w:rPr>
          <w:rFonts w:ascii="Times New Roman" w:hAnsi="Times New Roman"/>
          <w:sz w:val="24"/>
        </w:rPr>
        <w:t xml:space="preserve"> </w:t>
      </w:r>
      <w:r w:rsidR="00340F0D" w:rsidRPr="00751835">
        <w:rPr>
          <w:rFonts w:ascii="Times New Roman" w:hAnsi="Times New Roman"/>
          <w:sz w:val="24"/>
        </w:rPr>
        <w:t xml:space="preserve">under the </w:t>
      </w:r>
      <w:r w:rsidR="00340F0D" w:rsidRPr="00751835">
        <w:rPr>
          <w:rFonts w:ascii="Times New Roman" w:hAnsi="Times New Roman"/>
          <w:i/>
          <w:sz w:val="24"/>
        </w:rPr>
        <w:t>Financial Sector (Collection of Data) Act 2003</w:t>
      </w:r>
      <w:r w:rsidRPr="00751835">
        <w:rPr>
          <w:rFonts w:ascii="Times New Roman" w:hAnsi="Times New Roman"/>
          <w:sz w:val="24"/>
        </w:rPr>
        <w:t xml:space="preserve">.  The new reporting standard </w:t>
      </w:r>
      <w:r w:rsidR="006F21AB">
        <w:rPr>
          <w:rFonts w:ascii="Times New Roman" w:hAnsi="Times New Roman"/>
          <w:sz w:val="24"/>
        </w:rPr>
        <w:t>collects information from ADIs on their residential mortgage lending activity.</w:t>
      </w:r>
    </w:p>
    <w:p w14:paraId="3A5945FD" w14:textId="77777777" w:rsidR="00555DAC" w:rsidRPr="00751835" w:rsidRDefault="00555DAC" w:rsidP="00555DAC">
      <w:pPr>
        <w:rPr>
          <w:rFonts w:ascii="Times New Roman" w:hAnsi="Times New Roman"/>
          <w:sz w:val="24"/>
        </w:rPr>
      </w:pPr>
    </w:p>
    <w:p w14:paraId="3A5945FE"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b/>
          <w:sz w:val="24"/>
        </w:rPr>
        <w:t>Human rights implications</w:t>
      </w:r>
    </w:p>
    <w:p w14:paraId="3A5945FF"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sz w:val="24"/>
        </w:rPr>
        <w:lastRenderedPageBreak/>
        <w:t xml:space="preserve">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3A594600" w14:textId="77777777" w:rsidR="00555DAC" w:rsidRPr="00751835" w:rsidRDefault="00555DAC" w:rsidP="00555DAC">
      <w:pPr>
        <w:spacing w:after="240"/>
        <w:jc w:val="both"/>
        <w:rPr>
          <w:rFonts w:ascii="Times New Roman" w:hAnsi="Times New Roman"/>
          <w:b/>
          <w:sz w:val="24"/>
        </w:rPr>
      </w:pPr>
      <w:r w:rsidRPr="00751835">
        <w:rPr>
          <w:rFonts w:ascii="Times New Roman" w:hAnsi="Times New Roman"/>
          <w:b/>
          <w:sz w:val="24"/>
        </w:rPr>
        <w:t>Conclusion</w:t>
      </w:r>
    </w:p>
    <w:p w14:paraId="3A594601" w14:textId="77777777" w:rsidR="00555DAC" w:rsidRPr="00751835" w:rsidRDefault="00555DAC" w:rsidP="00555DAC">
      <w:pPr>
        <w:spacing w:after="240"/>
        <w:jc w:val="both"/>
        <w:rPr>
          <w:rFonts w:ascii="Times New Roman" w:hAnsi="Times New Roman"/>
          <w:sz w:val="24"/>
        </w:rPr>
      </w:pPr>
      <w:r w:rsidRPr="00751835">
        <w:rPr>
          <w:rFonts w:ascii="Times New Roman" w:hAnsi="Times New Roman"/>
          <w:sz w:val="24"/>
        </w:rPr>
        <w:t xml:space="preserve">This Legislative Instrument is compatible with human rights as it does not raise any human rights issues. </w:t>
      </w:r>
    </w:p>
    <w:p w14:paraId="3A594602" w14:textId="77777777" w:rsidR="00555DAC" w:rsidRDefault="00555DAC" w:rsidP="00555DAC"/>
    <w:p w14:paraId="3A594603" w14:textId="77777777" w:rsidR="00555DAC" w:rsidRPr="008178C2" w:rsidRDefault="00555DAC" w:rsidP="00555DAC"/>
    <w:p w14:paraId="3A594604" w14:textId="77777777" w:rsidR="00B04B20" w:rsidRPr="00A4054F" w:rsidRDefault="00B04B20" w:rsidP="0071518A">
      <w:pPr>
        <w:pStyle w:val="Heading"/>
        <w:tabs>
          <w:tab w:val="left" w:pos="360"/>
        </w:tabs>
        <w:spacing w:before="120"/>
        <w:rPr>
          <w:rFonts w:ascii="Times New Roman" w:hAnsi="Times New Roman"/>
        </w:rPr>
      </w:pPr>
    </w:p>
    <w:sectPr w:rsidR="00B04B20" w:rsidRPr="00A4054F" w:rsidSect="00793106">
      <w:headerReference w:type="even" r:id="rId13"/>
      <w:headerReference w:type="default" r:id="rId14"/>
      <w:footerReference w:type="even" r:id="rId15"/>
      <w:pgSz w:w="11906" w:h="16838"/>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94607" w14:textId="77777777" w:rsidR="00B153F0" w:rsidRDefault="00B153F0" w:rsidP="00F544F4">
      <w:r>
        <w:separator/>
      </w:r>
    </w:p>
  </w:endnote>
  <w:endnote w:type="continuationSeparator" w:id="0">
    <w:p w14:paraId="3A594608" w14:textId="77777777" w:rsidR="00B153F0" w:rsidRDefault="00B153F0" w:rsidP="00F5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460D" w14:textId="77777777" w:rsidR="00B153F0" w:rsidRDefault="00B153F0" w:rsidP="00793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4605" w14:textId="77777777" w:rsidR="00B153F0" w:rsidRDefault="00B153F0" w:rsidP="00F544F4">
      <w:r>
        <w:separator/>
      </w:r>
    </w:p>
  </w:footnote>
  <w:footnote w:type="continuationSeparator" w:id="0">
    <w:p w14:paraId="3A594606" w14:textId="77777777" w:rsidR="00B153F0" w:rsidRDefault="00B153F0" w:rsidP="00F544F4">
      <w:r>
        <w:continuationSeparator/>
      </w:r>
    </w:p>
  </w:footnote>
  <w:footnote w:id="1">
    <w:p w14:paraId="37059AE5" w14:textId="4CAF384F" w:rsidR="00C80C53" w:rsidRPr="00F844B0" w:rsidRDefault="00C80C53">
      <w:pPr>
        <w:pStyle w:val="FootnoteText"/>
      </w:pPr>
      <w:r w:rsidRPr="00F844B0">
        <w:rPr>
          <w:rStyle w:val="FootnoteReference"/>
        </w:rPr>
        <w:footnoteRef/>
      </w:r>
      <w:r w:rsidRPr="00F844B0">
        <w:t xml:space="preserve"> </w:t>
      </w:r>
      <w:hyperlink r:id="rId1" w:history="1">
        <w:r w:rsidR="006F21AB" w:rsidRPr="00F844B0">
          <w:rPr>
            <w:rStyle w:val="Hyperlink"/>
          </w:rPr>
          <w:t>http://www.apra.gov.au/adi/PrudentialFramework/Pages/residential-mortgage-lending-reporting-requirements-ADIs-Oct16.aspx</w:t>
        </w:r>
      </w:hyperlink>
    </w:p>
  </w:footnote>
  <w:footnote w:id="2">
    <w:p w14:paraId="56A814C7" w14:textId="3B4FA9E5" w:rsidR="006F21AB" w:rsidRPr="00F844B0" w:rsidRDefault="006F21AB">
      <w:pPr>
        <w:pStyle w:val="FootnoteText"/>
      </w:pPr>
      <w:r w:rsidRPr="00F844B0">
        <w:rPr>
          <w:rStyle w:val="FootnoteReference"/>
        </w:rPr>
        <w:footnoteRef/>
      </w:r>
      <w:r w:rsidRPr="00F844B0">
        <w:t xml:space="preserve"> </w:t>
      </w:r>
      <w:hyperlink r:id="rId2" w:history="1">
        <w:r w:rsidRPr="00F844B0">
          <w:rPr>
            <w:rStyle w:val="Hyperlink"/>
          </w:rPr>
          <w:t>http://www.apra.gov.au/adi/PrudentialFramework/Pages/Response-to-submissions-New-residential-mortgage-reporting-requirements-for-ADIs.aspx</w:t>
        </w:r>
      </w:hyperlink>
      <w:r w:rsidRPr="00F844B0">
        <w:t xml:space="preserve"> </w:t>
      </w:r>
    </w:p>
  </w:footnote>
  <w:footnote w:id="3">
    <w:p w14:paraId="7087DB3E" w14:textId="5ECDE6A7" w:rsidR="006F21AB" w:rsidRDefault="006F21AB">
      <w:pPr>
        <w:pStyle w:val="FootnoteText"/>
      </w:pPr>
      <w:r w:rsidRPr="00F844B0">
        <w:rPr>
          <w:rStyle w:val="FootnoteReference"/>
        </w:rPr>
        <w:footnoteRef/>
      </w:r>
      <w:r w:rsidRPr="00F844B0">
        <w:t xml:space="preserve"> </w:t>
      </w:r>
      <w:hyperlink r:id="rId3" w:history="1">
        <w:r w:rsidR="00F844B0" w:rsidRPr="00F844B0">
          <w:rPr>
            <w:rStyle w:val="Hyperlink"/>
          </w:rPr>
          <w:t>http://www.apra.gov.au/adi/PrudentialFramework/Pages/Residential-mortgage-lending-reporting-requirements-response-Jan-2018.aspx</w:t>
        </w:r>
      </w:hyperlink>
      <w:r w:rsidR="00F844B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4609" w14:textId="77777777" w:rsidR="00B153F0" w:rsidRDefault="00B153F0" w:rsidP="007931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2C0">
      <w:rPr>
        <w:rStyle w:val="PageNumber"/>
        <w:noProof/>
      </w:rPr>
      <w:t>3</w:t>
    </w:r>
    <w:r>
      <w:rPr>
        <w:rStyle w:val="PageNumber"/>
      </w:rPr>
      <w:fldChar w:fldCharType="end"/>
    </w:r>
  </w:p>
  <w:p w14:paraId="3A59460A" w14:textId="77777777" w:rsidR="00B153F0" w:rsidRDefault="00B153F0" w:rsidP="0079310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460B" w14:textId="77777777" w:rsidR="00B153F0" w:rsidRDefault="00B153F0" w:rsidP="007931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0F5D">
      <w:rPr>
        <w:rStyle w:val="PageNumber"/>
        <w:noProof/>
      </w:rPr>
      <w:t>3</w:t>
    </w:r>
    <w:r>
      <w:rPr>
        <w:rStyle w:val="PageNumber"/>
      </w:rPr>
      <w:fldChar w:fldCharType="end"/>
    </w:r>
  </w:p>
  <w:p w14:paraId="3A59460C" w14:textId="77777777" w:rsidR="00B153F0" w:rsidRDefault="00B15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AD7"/>
    <w:multiLevelType w:val="hybridMultilevel"/>
    <w:tmpl w:val="2AB85D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706588"/>
    <w:multiLevelType w:val="hybridMultilevel"/>
    <w:tmpl w:val="CD8872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81249"/>
    <w:multiLevelType w:val="hybridMultilevel"/>
    <w:tmpl w:val="38BA9B32"/>
    <w:lvl w:ilvl="0" w:tplc="9DBA6952">
      <w:start w:val="1"/>
      <w:numFmt w:val="decimal"/>
      <w:lvlText w:val="%1."/>
      <w:lvlJc w:val="left"/>
      <w:pPr>
        <w:tabs>
          <w:tab w:val="num" w:pos="567"/>
        </w:tabs>
        <w:ind w:left="567" w:hanging="567"/>
      </w:pPr>
      <w:rPr>
        <w:rFonts w:cs="Times New Roman" w:hint="default"/>
      </w:rPr>
    </w:lvl>
    <w:lvl w:ilvl="1" w:tplc="D032B5BC">
      <w:start w:val="1"/>
      <w:numFmt w:val="bullet"/>
      <w:lvlText w:val=""/>
      <w:lvlJc w:val="left"/>
      <w:pPr>
        <w:tabs>
          <w:tab w:val="num" w:pos="567"/>
        </w:tabs>
        <w:ind w:left="567" w:hanging="567"/>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4714AD"/>
    <w:multiLevelType w:val="hybridMultilevel"/>
    <w:tmpl w:val="EB90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0B5623"/>
    <w:multiLevelType w:val="hybridMultilevel"/>
    <w:tmpl w:val="7B92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221D4E"/>
    <w:multiLevelType w:val="hybridMultilevel"/>
    <w:tmpl w:val="034863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3259B3"/>
    <w:multiLevelType w:val="hybridMultilevel"/>
    <w:tmpl w:val="3B08FB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042F8"/>
    <w:multiLevelType w:val="hybridMultilevel"/>
    <w:tmpl w:val="D778A990"/>
    <w:lvl w:ilvl="0" w:tplc="31283B48">
      <w:start w:val="3"/>
      <w:numFmt w:val="decimal"/>
      <w:lvlText w:val="%1."/>
      <w:lvlJc w:val="left"/>
      <w:pPr>
        <w:tabs>
          <w:tab w:val="num" w:pos="567"/>
        </w:tabs>
        <w:ind w:left="567" w:hanging="567"/>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FD3BA1"/>
    <w:multiLevelType w:val="hybridMultilevel"/>
    <w:tmpl w:val="9DD21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4"/>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A8"/>
    <w:rsid w:val="00022370"/>
    <w:rsid w:val="0002707F"/>
    <w:rsid w:val="000558EA"/>
    <w:rsid w:val="000825D0"/>
    <w:rsid w:val="0008738B"/>
    <w:rsid w:val="00091EE5"/>
    <w:rsid w:val="000C5F47"/>
    <w:rsid w:val="000C7C38"/>
    <w:rsid w:val="000D0BFA"/>
    <w:rsid w:val="000D2036"/>
    <w:rsid w:val="00100E26"/>
    <w:rsid w:val="001024C7"/>
    <w:rsid w:val="00107EB1"/>
    <w:rsid w:val="00133A27"/>
    <w:rsid w:val="00170642"/>
    <w:rsid w:val="00182FA1"/>
    <w:rsid w:val="00193206"/>
    <w:rsid w:val="001C0597"/>
    <w:rsid w:val="001C67C8"/>
    <w:rsid w:val="001C7C92"/>
    <w:rsid w:val="001D1C15"/>
    <w:rsid w:val="001E153D"/>
    <w:rsid w:val="001E68F7"/>
    <w:rsid w:val="001F05C1"/>
    <w:rsid w:val="001F16F3"/>
    <w:rsid w:val="001F49C0"/>
    <w:rsid w:val="00200B4F"/>
    <w:rsid w:val="00214C9C"/>
    <w:rsid w:val="00224E43"/>
    <w:rsid w:val="00246C3C"/>
    <w:rsid w:val="002474EB"/>
    <w:rsid w:val="002631B2"/>
    <w:rsid w:val="002862F1"/>
    <w:rsid w:val="00291605"/>
    <w:rsid w:val="002C0B1C"/>
    <w:rsid w:val="002C2CC1"/>
    <w:rsid w:val="002C3FDC"/>
    <w:rsid w:val="002C689F"/>
    <w:rsid w:val="002D2EF2"/>
    <w:rsid w:val="002E655B"/>
    <w:rsid w:val="002E683B"/>
    <w:rsid w:val="00303B8A"/>
    <w:rsid w:val="00303C1A"/>
    <w:rsid w:val="00323951"/>
    <w:rsid w:val="00340F0D"/>
    <w:rsid w:val="00346FB2"/>
    <w:rsid w:val="003643A7"/>
    <w:rsid w:val="003962C0"/>
    <w:rsid w:val="003A108C"/>
    <w:rsid w:val="003D5032"/>
    <w:rsid w:val="003F289E"/>
    <w:rsid w:val="00416B78"/>
    <w:rsid w:val="0043657E"/>
    <w:rsid w:val="00450908"/>
    <w:rsid w:val="004750D2"/>
    <w:rsid w:val="0048356E"/>
    <w:rsid w:val="00495974"/>
    <w:rsid w:val="004C3D07"/>
    <w:rsid w:val="004F4629"/>
    <w:rsid w:val="004F4FDE"/>
    <w:rsid w:val="005003A8"/>
    <w:rsid w:val="0052353E"/>
    <w:rsid w:val="00541700"/>
    <w:rsid w:val="00555DAC"/>
    <w:rsid w:val="00566818"/>
    <w:rsid w:val="005A5950"/>
    <w:rsid w:val="005D3560"/>
    <w:rsid w:val="005D3831"/>
    <w:rsid w:val="005E3AFE"/>
    <w:rsid w:val="005E5910"/>
    <w:rsid w:val="00622480"/>
    <w:rsid w:val="006424B5"/>
    <w:rsid w:val="00644153"/>
    <w:rsid w:val="00647D58"/>
    <w:rsid w:val="00652690"/>
    <w:rsid w:val="00661FBA"/>
    <w:rsid w:val="006675CD"/>
    <w:rsid w:val="00684F73"/>
    <w:rsid w:val="00692DEB"/>
    <w:rsid w:val="006F21AB"/>
    <w:rsid w:val="006F7334"/>
    <w:rsid w:val="007031F4"/>
    <w:rsid w:val="00715017"/>
    <w:rsid w:val="0071518A"/>
    <w:rsid w:val="007376EF"/>
    <w:rsid w:val="00751835"/>
    <w:rsid w:val="00751D6B"/>
    <w:rsid w:val="00771EF4"/>
    <w:rsid w:val="007756F4"/>
    <w:rsid w:val="00793106"/>
    <w:rsid w:val="007A47D4"/>
    <w:rsid w:val="007D4CC4"/>
    <w:rsid w:val="00814AB9"/>
    <w:rsid w:val="00815A3B"/>
    <w:rsid w:val="00821F5B"/>
    <w:rsid w:val="00840F5D"/>
    <w:rsid w:val="00886481"/>
    <w:rsid w:val="008930A6"/>
    <w:rsid w:val="008B66D6"/>
    <w:rsid w:val="0091439F"/>
    <w:rsid w:val="009341FE"/>
    <w:rsid w:val="00944109"/>
    <w:rsid w:val="00962762"/>
    <w:rsid w:val="009631F7"/>
    <w:rsid w:val="009757D0"/>
    <w:rsid w:val="009839D5"/>
    <w:rsid w:val="00984310"/>
    <w:rsid w:val="00984746"/>
    <w:rsid w:val="00990266"/>
    <w:rsid w:val="009957A6"/>
    <w:rsid w:val="009A7C03"/>
    <w:rsid w:val="009A7C6B"/>
    <w:rsid w:val="009C5368"/>
    <w:rsid w:val="00A3003D"/>
    <w:rsid w:val="00A4054F"/>
    <w:rsid w:val="00A47F8A"/>
    <w:rsid w:val="00A63A2B"/>
    <w:rsid w:val="00A76A99"/>
    <w:rsid w:val="00AA73C1"/>
    <w:rsid w:val="00AC2517"/>
    <w:rsid w:val="00AD1A4D"/>
    <w:rsid w:val="00AD6714"/>
    <w:rsid w:val="00AD6864"/>
    <w:rsid w:val="00AF752F"/>
    <w:rsid w:val="00B0401E"/>
    <w:rsid w:val="00B04B20"/>
    <w:rsid w:val="00B05385"/>
    <w:rsid w:val="00B142E5"/>
    <w:rsid w:val="00B153F0"/>
    <w:rsid w:val="00B35F22"/>
    <w:rsid w:val="00B57B8F"/>
    <w:rsid w:val="00BA1EFB"/>
    <w:rsid w:val="00BA5D9B"/>
    <w:rsid w:val="00BB297D"/>
    <w:rsid w:val="00BD0C19"/>
    <w:rsid w:val="00BE42AF"/>
    <w:rsid w:val="00BE4B61"/>
    <w:rsid w:val="00C302FA"/>
    <w:rsid w:val="00C4099D"/>
    <w:rsid w:val="00C75958"/>
    <w:rsid w:val="00C80C53"/>
    <w:rsid w:val="00C90AD7"/>
    <w:rsid w:val="00C93BD1"/>
    <w:rsid w:val="00CA45E2"/>
    <w:rsid w:val="00CA5735"/>
    <w:rsid w:val="00CA6CB3"/>
    <w:rsid w:val="00CE3784"/>
    <w:rsid w:val="00CE6756"/>
    <w:rsid w:val="00CF6615"/>
    <w:rsid w:val="00D33334"/>
    <w:rsid w:val="00D46458"/>
    <w:rsid w:val="00D46E13"/>
    <w:rsid w:val="00D55AC1"/>
    <w:rsid w:val="00D64906"/>
    <w:rsid w:val="00D77D02"/>
    <w:rsid w:val="00DB380A"/>
    <w:rsid w:val="00E02376"/>
    <w:rsid w:val="00E15497"/>
    <w:rsid w:val="00E17A61"/>
    <w:rsid w:val="00E201A8"/>
    <w:rsid w:val="00E45622"/>
    <w:rsid w:val="00E557AD"/>
    <w:rsid w:val="00E70047"/>
    <w:rsid w:val="00E8236C"/>
    <w:rsid w:val="00E85C49"/>
    <w:rsid w:val="00E90C89"/>
    <w:rsid w:val="00EB0370"/>
    <w:rsid w:val="00EB1C97"/>
    <w:rsid w:val="00EC2093"/>
    <w:rsid w:val="00EC5653"/>
    <w:rsid w:val="00EF1341"/>
    <w:rsid w:val="00F05034"/>
    <w:rsid w:val="00F27606"/>
    <w:rsid w:val="00F4178E"/>
    <w:rsid w:val="00F42C6B"/>
    <w:rsid w:val="00F544F4"/>
    <w:rsid w:val="00F72A90"/>
    <w:rsid w:val="00F7706D"/>
    <w:rsid w:val="00F844B0"/>
    <w:rsid w:val="00FA5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5945C9"/>
  <w15:docId w15:val="{8EBBA75F-4573-4FCE-958A-42875D16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A8"/>
    <w:pPr>
      <w:spacing w:after="0" w:line="240" w:lineRule="auto"/>
    </w:pPr>
    <w:rPr>
      <w:rFonts w:ascii="Trebuchet MS" w:eastAsia="Times New Roman" w:hAnsi="Trebuchet MS" w:cs="Times New Roman"/>
      <w:szCs w:val="24"/>
      <w:lang w:eastAsia="en-AU"/>
    </w:rPr>
  </w:style>
  <w:style w:type="paragraph" w:styleId="Heading1">
    <w:name w:val="heading 1"/>
    <w:basedOn w:val="Normal"/>
    <w:next w:val="Normal"/>
    <w:link w:val="Heading1Char"/>
    <w:uiPriority w:val="5"/>
    <w:qFormat/>
    <w:rsid w:val="009C5368"/>
    <w:pPr>
      <w:keepNext/>
      <w:keepLines/>
      <w:outlineLvl w:val="0"/>
    </w:pPr>
    <w:rPr>
      <w:rFonts w:eastAsiaTheme="majorEastAsia" w:cstheme="majorBidi"/>
      <w:b/>
      <w:bCs/>
      <w:color w:val="000000" w:themeColor="text1"/>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heme="majorEastAsia" w:cstheme="majorBidi"/>
      <w:b/>
      <w:bCs/>
      <w:color w:val="000000" w:themeColor="text1"/>
    </w:rPr>
  </w:style>
  <w:style w:type="paragraph" w:styleId="Heading3">
    <w:name w:val="heading 3"/>
    <w:basedOn w:val="Normal"/>
    <w:next w:val="Normal"/>
    <w:link w:val="Heading3Char"/>
    <w:uiPriority w:val="7"/>
    <w:unhideWhenUsed/>
    <w:qFormat/>
    <w:rsid w:val="00F7706D"/>
    <w:pPr>
      <w:keepNext/>
      <w:keepLines/>
      <w:outlineLvl w:val="2"/>
    </w:pPr>
    <w:rPr>
      <w:rFonts w:eastAsiaTheme="majorEastAsia" w:cstheme="majorBidi"/>
      <w:bCs/>
      <w:i/>
      <w:color w:val="000000" w:themeColor="text1"/>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heme="majorEastAsia" w:cstheme="majorBidi"/>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heme="majorEastAsia" w:hAnsi="Trebuchet MS" w:cstheme="majorBidi"/>
      <w:b/>
      <w:bCs/>
      <w:color w:val="000000" w:themeColor="text1"/>
      <w:sz w:val="26"/>
      <w:szCs w:val="26"/>
    </w:rPr>
  </w:style>
  <w:style w:type="character" w:customStyle="1" w:styleId="Heading2Char">
    <w:name w:val="Heading 2 Char"/>
    <w:basedOn w:val="DefaultParagraphFont"/>
    <w:link w:val="Heading2"/>
    <w:uiPriority w:val="6"/>
    <w:rsid w:val="00F7706D"/>
    <w:rPr>
      <w:rFonts w:ascii="Trebuchet MS" w:eastAsiaTheme="majorEastAsia" w:hAnsi="Trebuchet MS" w:cstheme="majorBidi"/>
      <w:b/>
      <w:bCs/>
      <w:color w:val="000000" w:themeColor="text1"/>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heme="majorEastAsia" w:hAnsi="Trebuchet MS" w:cstheme="majorBidi"/>
      <w:bCs/>
      <w:i/>
      <w:color w:val="000000" w:themeColor="text1"/>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heme="majorEastAsia" w:hAnsi="Trebuchet MS" w:cstheme="majorBidi"/>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7031F4"/>
    <w:rPr>
      <w:rFonts w:eastAsiaTheme="majorEastAsia" w:cstheme="majorBidi"/>
      <w:sz w:val="20"/>
      <w:szCs w:val="20"/>
    </w:rPr>
  </w:style>
  <w:style w:type="paragraph" w:customStyle="1" w:styleId="Heading">
    <w:name w:val="Heading"/>
    <w:basedOn w:val="Normal"/>
    <w:rsid w:val="005003A8"/>
  </w:style>
  <w:style w:type="paragraph" w:styleId="Header">
    <w:name w:val="header"/>
    <w:basedOn w:val="Normal"/>
    <w:link w:val="HeaderChar"/>
    <w:uiPriority w:val="99"/>
    <w:rsid w:val="005003A8"/>
    <w:pPr>
      <w:tabs>
        <w:tab w:val="center" w:pos="4153"/>
        <w:tab w:val="right" w:pos="8306"/>
      </w:tabs>
    </w:pPr>
  </w:style>
  <w:style w:type="character" w:customStyle="1" w:styleId="HeaderChar">
    <w:name w:val="Header Char"/>
    <w:basedOn w:val="DefaultParagraphFont"/>
    <w:link w:val="Header"/>
    <w:uiPriority w:val="99"/>
    <w:rsid w:val="005003A8"/>
    <w:rPr>
      <w:rFonts w:ascii="Trebuchet MS" w:eastAsia="Times New Roman" w:hAnsi="Trebuchet MS" w:cs="Times New Roman"/>
      <w:szCs w:val="24"/>
      <w:lang w:eastAsia="en-AU"/>
    </w:rPr>
  </w:style>
  <w:style w:type="paragraph" w:styleId="Footer">
    <w:name w:val="footer"/>
    <w:basedOn w:val="Normal"/>
    <w:link w:val="FooterChar"/>
    <w:uiPriority w:val="99"/>
    <w:rsid w:val="005003A8"/>
    <w:pPr>
      <w:tabs>
        <w:tab w:val="center" w:pos="4153"/>
        <w:tab w:val="right" w:pos="8306"/>
      </w:tabs>
    </w:pPr>
  </w:style>
  <w:style w:type="character" w:customStyle="1" w:styleId="FooterChar">
    <w:name w:val="Footer Char"/>
    <w:basedOn w:val="DefaultParagraphFont"/>
    <w:link w:val="Footer"/>
    <w:uiPriority w:val="99"/>
    <w:rsid w:val="005003A8"/>
    <w:rPr>
      <w:rFonts w:ascii="Trebuchet MS" w:eastAsia="Times New Roman" w:hAnsi="Trebuchet MS" w:cs="Times New Roman"/>
      <w:szCs w:val="24"/>
      <w:lang w:eastAsia="en-AU"/>
    </w:rPr>
  </w:style>
  <w:style w:type="character" w:styleId="PageNumber">
    <w:name w:val="page number"/>
    <w:basedOn w:val="DefaultParagraphFont"/>
    <w:uiPriority w:val="99"/>
    <w:rsid w:val="005003A8"/>
    <w:rPr>
      <w:rFonts w:cs="Times New Roman"/>
    </w:rPr>
  </w:style>
  <w:style w:type="character" w:styleId="CommentReference">
    <w:name w:val="annotation reference"/>
    <w:basedOn w:val="DefaultParagraphFont"/>
    <w:uiPriority w:val="99"/>
    <w:semiHidden/>
    <w:unhideWhenUsed/>
    <w:rsid w:val="00793106"/>
    <w:rPr>
      <w:sz w:val="16"/>
      <w:szCs w:val="16"/>
    </w:rPr>
  </w:style>
  <w:style w:type="paragraph" w:styleId="CommentText">
    <w:name w:val="annotation text"/>
    <w:basedOn w:val="Normal"/>
    <w:link w:val="CommentTextChar"/>
    <w:uiPriority w:val="99"/>
    <w:unhideWhenUsed/>
    <w:rsid w:val="00793106"/>
    <w:rPr>
      <w:sz w:val="20"/>
      <w:szCs w:val="20"/>
    </w:rPr>
  </w:style>
  <w:style w:type="character" w:customStyle="1" w:styleId="CommentTextChar">
    <w:name w:val="Comment Text Char"/>
    <w:basedOn w:val="DefaultParagraphFont"/>
    <w:link w:val="CommentText"/>
    <w:uiPriority w:val="99"/>
    <w:rsid w:val="00793106"/>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106"/>
    <w:rPr>
      <w:b/>
      <w:bCs/>
    </w:rPr>
  </w:style>
  <w:style w:type="character" w:customStyle="1" w:styleId="CommentSubjectChar">
    <w:name w:val="Comment Subject Char"/>
    <w:basedOn w:val="CommentTextChar"/>
    <w:link w:val="CommentSubject"/>
    <w:uiPriority w:val="99"/>
    <w:semiHidden/>
    <w:rsid w:val="00793106"/>
    <w:rPr>
      <w:rFonts w:ascii="Trebuchet MS" w:eastAsia="Times New Roman" w:hAnsi="Trebuchet MS" w:cs="Times New Roman"/>
      <w:b/>
      <w:bCs/>
      <w:sz w:val="20"/>
      <w:szCs w:val="20"/>
      <w:lang w:eastAsia="en-AU"/>
    </w:rPr>
  </w:style>
  <w:style w:type="character" w:styleId="Hyperlink">
    <w:name w:val="Hyperlink"/>
    <w:basedOn w:val="DefaultParagraphFont"/>
    <w:uiPriority w:val="99"/>
    <w:unhideWhenUsed/>
    <w:rsid w:val="00793106"/>
    <w:rPr>
      <w:color w:val="0000FF" w:themeColor="hyperlink"/>
      <w:u w:val="single"/>
    </w:rPr>
  </w:style>
  <w:style w:type="character" w:styleId="FollowedHyperlink">
    <w:name w:val="FollowedHyperlink"/>
    <w:basedOn w:val="DefaultParagraphFont"/>
    <w:uiPriority w:val="99"/>
    <w:semiHidden/>
    <w:unhideWhenUsed/>
    <w:rsid w:val="00751D6B"/>
    <w:rPr>
      <w:color w:val="800080" w:themeColor="followedHyperlink"/>
      <w:u w:val="single"/>
    </w:rPr>
  </w:style>
  <w:style w:type="paragraph" w:styleId="ListParagraph">
    <w:name w:val="List Paragraph"/>
    <w:basedOn w:val="Normal"/>
    <w:uiPriority w:val="34"/>
    <w:rsid w:val="00133A27"/>
    <w:pPr>
      <w:ind w:left="720"/>
      <w:contextualSpacing/>
    </w:pPr>
  </w:style>
  <w:style w:type="paragraph" w:customStyle="1" w:styleId="IntroTo">
    <w:name w:val="IntroTo:"/>
    <w:basedOn w:val="Normal"/>
    <w:rsid w:val="002E683B"/>
    <w:pPr>
      <w:ind w:left="720" w:hanging="720"/>
    </w:pPr>
    <w:rPr>
      <w:rFonts w:ascii="Times New Roman" w:hAnsi="Times New Roman"/>
      <w:sz w:val="24"/>
      <w:szCs w:val="20"/>
      <w:lang w:eastAsia="en-US"/>
    </w:rPr>
  </w:style>
  <w:style w:type="paragraph" w:styleId="FootnoteText">
    <w:name w:val="footnote text"/>
    <w:basedOn w:val="Normal"/>
    <w:link w:val="FootnoteTextChar"/>
    <w:uiPriority w:val="99"/>
    <w:semiHidden/>
    <w:unhideWhenUsed/>
    <w:rsid w:val="00C80C53"/>
    <w:rPr>
      <w:sz w:val="20"/>
      <w:szCs w:val="20"/>
    </w:rPr>
  </w:style>
  <w:style w:type="character" w:customStyle="1" w:styleId="FootnoteTextChar">
    <w:name w:val="Footnote Text Char"/>
    <w:basedOn w:val="DefaultParagraphFont"/>
    <w:link w:val="FootnoteText"/>
    <w:uiPriority w:val="99"/>
    <w:semiHidden/>
    <w:rsid w:val="00C80C53"/>
    <w:rPr>
      <w:rFonts w:ascii="Trebuchet MS" w:eastAsia="Times New Roman" w:hAnsi="Trebuchet MS" w:cs="Times New Roman"/>
      <w:sz w:val="20"/>
      <w:szCs w:val="20"/>
      <w:lang w:eastAsia="en-AU"/>
    </w:rPr>
  </w:style>
  <w:style w:type="character" w:styleId="FootnoteReference">
    <w:name w:val="footnote reference"/>
    <w:basedOn w:val="DefaultParagraphFont"/>
    <w:uiPriority w:val="99"/>
    <w:semiHidden/>
    <w:unhideWhenUsed/>
    <w:rsid w:val="00C80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adi/PrudentialFramework/Pages/Residential-mortgage-lending-reporting-requirements-response-Jan-2018.aspx" TargetMode="External"/><Relationship Id="rId2" Type="http://schemas.openxmlformats.org/officeDocument/2006/relationships/hyperlink" Target="http://www.apra.gov.au/adi/PrudentialFramework/Pages/Response-to-submissions-New-residential-mortgage-reporting-requirements-for-ADIs.aspx" TargetMode="External"/><Relationship Id="rId1" Type="http://schemas.openxmlformats.org/officeDocument/2006/relationships/hyperlink" Target="http://www.apra.gov.au/adi/PrudentialFramework/Pages/residential-mortgage-lending-reporting-requirements-ADIs-Oct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2018-01-15T13:00:00+00:00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2 of 2018</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5JENXJJSCC7A-445999044-6225</_dlc_DocId>
    <_dlc_DocIdUrl xmlns="814d62cb-2db6-4c25-ab62-b9075facbc11">
      <Url>https://im/teams/LEGAL/_layouts/15/DocIdRedir.aspx?ID=5JENXJJSCC7A-445999044-6225</Url>
      <Description>5JENXJJSCC7A-445999044-6225</Description>
    </_dlc_DocIdUrl>
    <APRAMeetingDate xmlns="814d62cb-2db6-4c25-ab62-b9075facbc11" xsi:nil="true"/>
    <APRAMeetingNumber xmlns="814d62cb-2db6-4c25-ab62-b9075facbc11" xsi:nil="true"/>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6628-4F43-43B3-BC95-E6BF1BC80851}">
  <ds:schemaRefs>
    <ds:schemaRef ds:uri="http://schemas.microsoft.com/office/2006/metadata/properties"/>
    <ds:schemaRef ds:uri="http://schemas.microsoft.com/office/2006/documentManagement/types"/>
    <ds:schemaRef ds:uri="814d62cb-2db6-4c25-ab62-b9075facbc11"/>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84981F1C-47BE-4E38-A9A4-00DF52BB0D8B}">
  <ds:schemaRefs>
    <ds:schemaRef ds:uri="Microsoft.SharePoint.Taxonomy.ContentTypeSync"/>
  </ds:schemaRefs>
</ds:datastoreItem>
</file>

<file path=customXml/itemProps3.xml><?xml version="1.0" encoding="utf-8"?>
<ds:datastoreItem xmlns:ds="http://schemas.openxmlformats.org/officeDocument/2006/customXml" ds:itemID="{F4A39FBF-32AE-41EB-A6C3-CD6F6BE5D327}">
  <ds:schemaRefs>
    <ds:schemaRef ds:uri="http://schemas.microsoft.com/sharepoint/events"/>
  </ds:schemaRefs>
</ds:datastoreItem>
</file>

<file path=customXml/itemProps4.xml><?xml version="1.0" encoding="utf-8"?>
<ds:datastoreItem xmlns:ds="http://schemas.openxmlformats.org/officeDocument/2006/customXml" ds:itemID="{F6952A81-D193-460F-B340-6AC1B9020AA8}">
  <ds:schemaRefs>
    <ds:schemaRef ds:uri="http://schemas.microsoft.com/sharepoint/v3/contenttype/forms"/>
  </ds:schemaRefs>
</ds:datastoreItem>
</file>

<file path=customXml/itemProps5.xml><?xml version="1.0" encoding="utf-8"?>
<ds:datastoreItem xmlns:ds="http://schemas.openxmlformats.org/officeDocument/2006/customXml" ds:itemID="{367C0855-31C6-498B-8D86-32ACD3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ABE783-5D7B-43C4-A731-442DF685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4090</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Explanatory Statement re ARS 731.1</vt:lpstr>
    </vt:vector>
  </TitlesOfParts>
  <Company>APRA</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Financial Sector (Collection of Data) (Reporting Standard) determination No 2 of 2018</dc:title>
  <dc:subject/>
  <dc:creator>Michael Puli</dc:creator>
  <cp:keywords>[SEC=UNCLASSIFIED]</cp:keywords>
  <dc:description/>
  <cp:lastModifiedBy>Toni Michalis</cp:lastModifiedBy>
  <cp:revision>2</cp:revision>
  <cp:lastPrinted>2017-08-09T06:03:00Z</cp:lastPrinted>
  <dcterms:created xsi:type="dcterms:W3CDTF">2018-01-18T06:12:00Z</dcterms:created>
  <dcterms:modified xsi:type="dcterms:W3CDTF">2018-01-18T06:12:00Z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27C27E4E23F5458D63D9C4EB2FDA941B2906ECA9</vt:lpwstr>
  </property>
  <property fmtid="{D5CDD505-2E9C-101B-9397-08002B2CF9AE}" pid="7" name="PM_InsertionValue">
    <vt:lpwstr>UNCLASSIFIED</vt:lpwstr>
  </property>
  <property fmtid="{D5CDD505-2E9C-101B-9397-08002B2CF9AE}" pid="8" name="PM_Hash_Salt">
    <vt:lpwstr>E0D53B7588751B5E92E7BF4EBAA7A61F</vt:lpwstr>
  </property>
  <property fmtid="{D5CDD505-2E9C-101B-9397-08002B2CF9AE}" pid="9" name="PM_Hash_Version">
    <vt:lpwstr>2016.1</vt:lpwstr>
  </property>
  <property fmtid="{D5CDD505-2E9C-101B-9397-08002B2CF9AE}" pid="10" name="PM_Hash_Salt_Prev">
    <vt:lpwstr>9842D0610FAA953D0E32D530DECB5ABF</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9E4BACE195844304B17C3CB434904035</vt:lpwstr>
  </property>
  <property fmtid="{D5CDD505-2E9C-101B-9397-08002B2CF9AE}" pid="21" name="PM_OriginationTimeStamp">
    <vt:lpwstr>2018-01-18T06:12:08Z</vt:lpwstr>
  </property>
  <property fmtid="{D5CDD505-2E9C-101B-9397-08002B2CF9AE}" pid="22" name="PM_MinimumSecurityClassification">
    <vt:lpwstr/>
  </property>
  <property fmtid="{D5CDD505-2E9C-101B-9397-08002B2CF9AE}" pid="23" name="ContentTypeId">
    <vt:lpwstr>0x0101008CA7A4F8331B45C7B0D3158B4994D0CA0200577EC0F5A1FBFC498F9A8436B963F8A6</vt:lpwstr>
  </property>
  <property fmtid="{D5CDD505-2E9C-101B-9397-08002B2CF9AE}" pid="24" name="APRAPeriod">
    <vt:lpwstr/>
  </property>
  <property fmtid="{D5CDD505-2E9C-101B-9397-08002B2CF9AE}" pid="25" name="APRAActivity">
    <vt:lpwstr>10;#Registration|390476ce-d76d-4e8d-905f-28e32d2df127;#109;#Statutory instrument|fe68928c-5a9c-4caf-bc8c-6c18cedcb17f</vt:lpwstr>
  </property>
  <property fmtid="{D5CDD505-2E9C-101B-9397-08002B2CF9AE}" pid="26" name="APRAYear">
    <vt:lpwstr>171;#2018|337d548e-be9a-4363-bbb3-ec2b7c3daa90</vt:lpwstr>
  </property>
  <property fmtid="{D5CDD505-2E9C-101B-9397-08002B2CF9AE}" pid="27" name="APRAIndustry">
    <vt:lpwstr/>
  </property>
  <property fmtid="{D5CDD505-2E9C-101B-9397-08002B2CF9AE}" pid="28" name="APRAPRSG">
    <vt:lpwstr/>
  </property>
  <property fmtid="{D5CDD505-2E9C-101B-9397-08002B2CF9AE}" pid="29" name="_dlc_DocIdItemGuid">
    <vt:lpwstr>6ed79a71-8888-4cfa-81bd-8fa5e37ba6f5</vt:lpwstr>
  </property>
  <property fmtid="{D5CDD505-2E9C-101B-9397-08002B2CF9AE}" pid="30" name="IsLocked">
    <vt:lpwstr>False</vt:lpwstr>
  </property>
  <property fmtid="{D5CDD505-2E9C-101B-9397-08002B2CF9AE}" pid="31"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Corporate and Resolution|696624b1-19f4-47b2-a07b-57868a922a96</vt:lpwstr>
  </property>
  <property fmtid="{D5CDD505-2E9C-101B-9397-08002B2CF9AE}" pid="32" name="IT system type">
    <vt:lpwstr/>
  </property>
  <property fmtid="{D5CDD505-2E9C-101B-9397-08002B2CF9AE}" pid="33" name="APRACategory">
    <vt:lpwstr/>
  </property>
  <property fmtid="{D5CDD505-2E9C-101B-9397-08002B2CF9AE}" pid="34" name="APRADocumentType">
    <vt:lpwstr>234;#Explanatory statement|b22f2e2f-3f73-411b-9a7c-34264d26fa25</vt:lpwstr>
  </property>
  <property fmtid="{D5CDD505-2E9C-101B-9397-08002B2CF9AE}" pid="35" name="APRAStatus">
    <vt:lpwstr>19;#Final|84d6b2d0-8498-4d62-bf46-bab38babbe9e</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{6ed79a71-8888-4cfa-81bd-8fa5e37ba6f5}</vt:lpwstr>
  </property>
  <property fmtid="{D5CDD505-2E9C-101B-9397-08002B2CF9AE}" pid="45" name="RecordPoint_RecordNumberSubmitted">
    <vt:lpwstr>R0000280460</vt:lpwstr>
  </property>
  <property fmtid="{D5CDD505-2E9C-101B-9397-08002B2CF9AE}" pid="46" name="RecordPoint_SubmissionCompleted">
    <vt:lpwstr>2018-01-18T18:14:53.8664837+11:00</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