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D016BB" w14:textId="77777777" w:rsidR="008C7F55" w:rsidRDefault="008C7F55" w:rsidP="008C7F55">
      <w:pPr>
        <w:pStyle w:val="Heading1"/>
        <w:spacing w:line="360" w:lineRule="auto"/>
        <w:ind w:firstLine="142"/>
      </w:pPr>
      <w:bookmarkStart w:id="0" w:name="_GoBack"/>
      <w:bookmarkEnd w:id="0"/>
      <w:r>
        <w:t>EXPLANATORY STATEMENT</w:t>
      </w:r>
    </w:p>
    <w:p w14:paraId="2704B966" w14:textId="77777777" w:rsidR="008C7F55" w:rsidRDefault="008C7F55" w:rsidP="008C7F55">
      <w:pPr>
        <w:pStyle w:val="Heading2"/>
        <w:spacing w:before="120" w:after="360" w:line="360" w:lineRule="auto"/>
        <w:ind w:left="0" w:firstLine="142"/>
      </w:pPr>
      <w:r w:rsidRPr="0094373A">
        <w:rPr>
          <w:i/>
        </w:rPr>
        <w:t xml:space="preserve">Migration Regulations 1994 </w:t>
      </w:r>
    </w:p>
    <w:p w14:paraId="7B493563" w14:textId="3E574793" w:rsidR="008C7F55" w:rsidRDefault="00BB33E9" w:rsidP="008C7F55">
      <w:pPr>
        <w:spacing w:after="120" w:line="360" w:lineRule="auto"/>
        <w:ind w:firstLine="142"/>
        <w:jc w:val="center"/>
        <w:rPr>
          <w:i/>
          <w:sz w:val="24"/>
        </w:rPr>
      </w:pPr>
      <w:r w:rsidRPr="00BB33E9">
        <w:rPr>
          <w:b/>
          <w:sz w:val="24"/>
        </w:rPr>
        <w:t xml:space="preserve">MIGRATION (IMMI </w:t>
      </w:r>
      <w:r w:rsidR="001901AD">
        <w:rPr>
          <w:b/>
          <w:sz w:val="24"/>
        </w:rPr>
        <w:t>18/007</w:t>
      </w:r>
      <w:r w:rsidRPr="00BB33E9">
        <w:rPr>
          <w:b/>
          <w:sz w:val="24"/>
        </w:rPr>
        <w:t>: SPECIFICATION OF OCCUPATIONS AND ASSESS</w:t>
      </w:r>
      <w:r w:rsidR="001901AD">
        <w:rPr>
          <w:b/>
          <w:sz w:val="24"/>
        </w:rPr>
        <w:t>ING AUTHORITIES) INSTRUMENT 2018</w:t>
      </w:r>
    </w:p>
    <w:p w14:paraId="4292206C" w14:textId="5A0A5E44" w:rsidR="008C7F55" w:rsidRPr="000C2732" w:rsidRDefault="008C7F55" w:rsidP="00BB33E9">
      <w:pPr>
        <w:spacing w:after="480" w:line="360" w:lineRule="auto"/>
        <w:ind w:left="142"/>
        <w:jc w:val="center"/>
        <w:rPr>
          <w:i/>
          <w:sz w:val="22"/>
          <w:szCs w:val="22"/>
        </w:rPr>
      </w:pPr>
      <w:r w:rsidRPr="00F75A5B">
        <w:rPr>
          <w:i/>
          <w:sz w:val="22"/>
          <w:szCs w:val="22"/>
        </w:rPr>
        <w:t>(</w:t>
      </w:r>
      <w:proofErr w:type="gramStart"/>
      <w:r w:rsidR="00BB33E9" w:rsidRPr="00F75A5B">
        <w:rPr>
          <w:i/>
          <w:sz w:val="22"/>
          <w:szCs w:val="22"/>
        </w:rPr>
        <w:t>regulation</w:t>
      </w:r>
      <w:proofErr w:type="gramEnd"/>
      <w:r w:rsidR="00BB33E9" w:rsidRPr="00F75A5B">
        <w:rPr>
          <w:i/>
          <w:sz w:val="22"/>
          <w:szCs w:val="22"/>
        </w:rPr>
        <w:t xml:space="preserve"> 1.03; </w:t>
      </w:r>
      <w:proofErr w:type="spellStart"/>
      <w:r w:rsidR="00BB33E9" w:rsidRPr="00F75A5B">
        <w:rPr>
          <w:i/>
          <w:sz w:val="22"/>
          <w:szCs w:val="22"/>
        </w:rPr>
        <w:t>subregulation</w:t>
      </w:r>
      <w:proofErr w:type="spellEnd"/>
      <w:r w:rsidR="00BB33E9" w:rsidRPr="00F75A5B">
        <w:rPr>
          <w:i/>
          <w:sz w:val="22"/>
          <w:szCs w:val="22"/>
        </w:rPr>
        <w:t xml:space="preserve"> 1.15I(1); </w:t>
      </w:r>
      <w:proofErr w:type="spellStart"/>
      <w:r w:rsidR="00BB33E9" w:rsidRPr="00F75A5B">
        <w:rPr>
          <w:i/>
          <w:sz w:val="22"/>
          <w:szCs w:val="22"/>
        </w:rPr>
        <w:t>subregulation</w:t>
      </w:r>
      <w:proofErr w:type="spellEnd"/>
      <w:r w:rsidR="00BB33E9" w:rsidRPr="00F75A5B">
        <w:rPr>
          <w:i/>
          <w:sz w:val="22"/>
          <w:szCs w:val="22"/>
        </w:rPr>
        <w:t xml:space="preserve"> 2.26B(1); </w:t>
      </w:r>
      <w:proofErr w:type="spellStart"/>
      <w:r w:rsidR="00B40A38" w:rsidRPr="00F75A5B">
        <w:rPr>
          <w:i/>
          <w:sz w:val="22"/>
          <w:szCs w:val="22"/>
        </w:rPr>
        <w:t>subitem</w:t>
      </w:r>
      <w:proofErr w:type="spellEnd"/>
      <w:r w:rsidR="00B40A38" w:rsidRPr="00F75A5B">
        <w:rPr>
          <w:i/>
          <w:sz w:val="22"/>
          <w:szCs w:val="22"/>
        </w:rPr>
        <w:t xml:space="preserve"> 1137(4C) of Schedule 1</w:t>
      </w:r>
      <w:r w:rsidR="00BB33E9" w:rsidRPr="00F75A5B">
        <w:rPr>
          <w:i/>
          <w:sz w:val="22"/>
          <w:szCs w:val="22"/>
        </w:rPr>
        <w:t xml:space="preserve">; item 4 of the table in </w:t>
      </w:r>
      <w:proofErr w:type="spellStart"/>
      <w:r w:rsidR="00BB33E9" w:rsidRPr="00F75A5B">
        <w:rPr>
          <w:i/>
          <w:sz w:val="22"/>
          <w:szCs w:val="22"/>
        </w:rPr>
        <w:t>subitem</w:t>
      </w:r>
      <w:proofErr w:type="spellEnd"/>
      <w:r w:rsidR="00BB33E9" w:rsidRPr="00F75A5B">
        <w:rPr>
          <w:i/>
          <w:sz w:val="22"/>
          <w:szCs w:val="22"/>
        </w:rPr>
        <w:t xml:space="preserve"> 1138(4) of Schedule 1; paragraph 1229(3)(k) of Schedule 1;</w:t>
      </w:r>
      <w:r w:rsidR="00542DB1">
        <w:rPr>
          <w:i/>
          <w:sz w:val="22"/>
          <w:szCs w:val="22"/>
        </w:rPr>
        <w:t xml:space="preserve"> and</w:t>
      </w:r>
      <w:r w:rsidR="00BB33E9" w:rsidRPr="00F75A5B">
        <w:rPr>
          <w:i/>
          <w:sz w:val="22"/>
          <w:szCs w:val="22"/>
        </w:rPr>
        <w:t xml:space="preserve"> item 4 of the table in </w:t>
      </w:r>
      <w:proofErr w:type="spellStart"/>
      <w:r w:rsidR="00BB33E9" w:rsidRPr="00F75A5B">
        <w:rPr>
          <w:i/>
          <w:sz w:val="22"/>
          <w:szCs w:val="22"/>
        </w:rPr>
        <w:t>subitem</w:t>
      </w:r>
      <w:proofErr w:type="spellEnd"/>
      <w:r w:rsidR="00BB33E9" w:rsidRPr="00F75A5B">
        <w:rPr>
          <w:i/>
          <w:sz w:val="22"/>
          <w:szCs w:val="22"/>
        </w:rPr>
        <w:t xml:space="preserve"> 1230(4) of Schedule 1</w:t>
      </w:r>
      <w:r w:rsidRPr="00F75A5B">
        <w:rPr>
          <w:i/>
          <w:sz w:val="22"/>
          <w:szCs w:val="22"/>
        </w:rPr>
        <w:t>)</w:t>
      </w:r>
    </w:p>
    <w:p w14:paraId="7AF29E6E" w14:textId="58857496" w:rsidR="008C7F55" w:rsidRPr="00F75A5B" w:rsidRDefault="00B40183" w:rsidP="007A0FEA">
      <w:pPr>
        <w:numPr>
          <w:ilvl w:val="0"/>
          <w:numId w:val="1"/>
        </w:numPr>
        <w:spacing w:line="360" w:lineRule="auto"/>
        <w:ind w:left="567" w:hanging="567"/>
        <w:jc w:val="both"/>
        <w:rPr>
          <w:sz w:val="24"/>
        </w:rPr>
      </w:pPr>
      <w:r>
        <w:rPr>
          <w:sz w:val="24"/>
        </w:rPr>
        <w:t xml:space="preserve">Instrument IMMI </w:t>
      </w:r>
      <w:r w:rsidR="001901AD">
        <w:rPr>
          <w:sz w:val="24"/>
        </w:rPr>
        <w:t>18/007</w:t>
      </w:r>
      <w:r w:rsidR="008C7F55" w:rsidRPr="00F75A5B">
        <w:rPr>
          <w:sz w:val="24"/>
        </w:rPr>
        <w:t xml:space="preserve"> is made </w:t>
      </w:r>
      <w:r w:rsidR="00542DB1">
        <w:rPr>
          <w:sz w:val="24"/>
        </w:rPr>
        <w:t>under</w:t>
      </w:r>
      <w:r w:rsidR="00BB33E9" w:rsidRPr="00F75A5B">
        <w:rPr>
          <w:sz w:val="24"/>
        </w:rPr>
        <w:t xml:space="preserve"> regulation 1.03; </w:t>
      </w:r>
      <w:proofErr w:type="spellStart"/>
      <w:r w:rsidR="00BB33E9" w:rsidRPr="00F75A5B">
        <w:rPr>
          <w:sz w:val="24"/>
        </w:rPr>
        <w:t>subregulation</w:t>
      </w:r>
      <w:proofErr w:type="spellEnd"/>
      <w:r w:rsidR="00BB33E9" w:rsidRPr="00F75A5B">
        <w:rPr>
          <w:sz w:val="24"/>
        </w:rPr>
        <w:t xml:space="preserve"> 1.15I(1); </w:t>
      </w:r>
      <w:proofErr w:type="spellStart"/>
      <w:r w:rsidR="00BB33E9" w:rsidRPr="00F75A5B">
        <w:rPr>
          <w:sz w:val="24"/>
        </w:rPr>
        <w:t>subregulation</w:t>
      </w:r>
      <w:proofErr w:type="spellEnd"/>
      <w:r w:rsidR="00BB33E9" w:rsidRPr="00F75A5B">
        <w:rPr>
          <w:sz w:val="24"/>
        </w:rPr>
        <w:t xml:space="preserve"> 2.26B(1); </w:t>
      </w:r>
      <w:proofErr w:type="spellStart"/>
      <w:r w:rsidR="00B40A38" w:rsidRPr="00F75A5B">
        <w:rPr>
          <w:sz w:val="24"/>
        </w:rPr>
        <w:t>subitem</w:t>
      </w:r>
      <w:proofErr w:type="spellEnd"/>
      <w:r w:rsidR="00B40A38" w:rsidRPr="00F75A5B">
        <w:rPr>
          <w:sz w:val="24"/>
        </w:rPr>
        <w:t xml:space="preserve"> 1137(4C) of Schedule 1</w:t>
      </w:r>
      <w:r w:rsidR="00BB33E9" w:rsidRPr="00F75A5B">
        <w:rPr>
          <w:sz w:val="24"/>
        </w:rPr>
        <w:t xml:space="preserve">; item 4 of the table in </w:t>
      </w:r>
      <w:proofErr w:type="spellStart"/>
      <w:r w:rsidR="00BB33E9" w:rsidRPr="00F75A5B">
        <w:rPr>
          <w:sz w:val="24"/>
        </w:rPr>
        <w:t>subitem</w:t>
      </w:r>
      <w:proofErr w:type="spellEnd"/>
      <w:r w:rsidR="00BB33E9" w:rsidRPr="00F75A5B">
        <w:rPr>
          <w:sz w:val="24"/>
        </w:rPr>
        <w:t xml:space="preserve"> 1138(4) of Schedule 1; paragraph 1229(3)(k) of Schedule 1; </w:t>
      </w:r>
      <w:r w:rsidR="00542DB1">
        <w:rPr>
          <w:sz w:val="24"/>
        </w:rPr>
        <w:t xml:space="preserve">and </w:t>
      </w:r>
      <w:r w:rsidR="00BB33E9" w:rsidRPr="00F75A5B">
        <w:rPr>
          <w:sz w:val="24"/>
        </w:rPr>
        <w:t xml:space="preserve">item 4 of the table in </w:t>
      </w:r>
      <w:proofErr w:type="spellStart"/>
      <w:r w:rsidR="00BB33E9" w:rsidRPr="00F75A5B">
        <w:rPr>
          <w:sz w:val="24"/>
        </w:rPr>
        <w:t>subitem</w:t>
      </w:r>
      <w:proofErr w:type="spellEnd"/>
      <w:r w:rsidR="00BB33E9" w:rsidRPr="00F75A5B">
        <w:rPr>
          <w:sz w:val="24"/>
        </w:rPr>
        <w:t xml:space="preserve"> 1230(4) of Schedule 1</w:t>
      </w:r>
      <w:r w:rsidR="00BB33E9" w:rsidRPr="00A77DFB">
        <w:rPr>
          <w:sz w:val="24"/>
        </w:rPr>
        <w:t xml:space="preserve"> to</w:t>
      </w:r>
      <w:r w:rsidR="008C7F55" w:rsidRPr="00F75A5B">
        <w:rPr>
          <w:sz w:val="24"/>
        </w:rPr>
        <w:t xml:space="preserve"> the </w:t>
      </w:r>
      <w:r w:rsidR="008C7F55" w:rsidRPr="00F75A5B">
        <w:rPr>
          <w:i/>
          <w:sz w:val="24"/>
        </w:rPr>
        <w:t>Migration Regulations 1994</w:t>
      </w:r>
      <w:r w:rsidR="008C7F55" w:rsidRPr="00F75A5B">
        <w:rPr>
          <w:sz w:val="24"/>
        </w:rPr>
        <w:t xml:space="preserve"> (the Regulations).</w:t>
      </w:r>
    </w:p>
    <w:p w14:paraId="48B4E1F0" w14:textId="2D79325E" w:rsidR="008362AF" w:rsidRDefault="008C7F55" w:rsidP="000C2732">
      <w:pPr>
        <w:numPr>
          <w:ilvl w:val="0"/>
          <w:numId w:val="1"/>
        </w:numPr>
        <w:spacing w:before="360" w:line="360" w:lineRule="auto"/>
        <w:ind w:left="567" w:hanging="567"/>
        <w:jc w:val="both"/>
        <w:rPr>
          <w:sz w:val="24"/>
        </w:rPr>
      </w:pPr>
      <w:r w:rsidRPr="00B7616D">
        <w:rPr>
          <w:sz w:val="24"/>
        </w:rPr>
        <w:t xml:space="preserve">The </w:t>
      </w:r>
      <w:r w:rsidR="00A36A34">
        <w:rPr>
          <w:sz w:val="24"/>
        </w:rPr>
        <w:t>i</w:t>
      </w:r>
      <w:r w:rsidRPr="00B7616D">
        <w:rPr>
          <w:sz w:val="24"/>
        </w:rPr>
        <w:t>nstrument operates to</w:t>
      </w:r>
      <w:r w:rsidR="008362AF">
        <w:rPr>
          <w:sz w:val="24"/>
        </w:rPr>
        <w:t>:</w:t>
      </w:r>
    </w:p>
    <w:p w14:paraId="5E4C9751" w14:textId="77777777" w:rsidR="00B40A38" w:rsidRDefault="0097193A" w:rsidP="000C2732">
      <w:pPr>
        <w:numPr>
          <w:ilvl w:val="1"/>
          <w:numId w:val="1"/>
        </w:numPr>
        <w:spacing w:before="360" w:line="360" w:lineRule="auto"/>
        <w:jc w:val="both"/>
        <w:rPr>
          <w:sz w:val="24"/>
        </w:rPr>
      </w:pPr>
      <w:r>
        <w:rPr>
          <w:sz w:val="24"/>
        </w:rPr>
        <w:t xml:space="preserve">specify skilled occupations </w:t>
      </w:r>
      <w:r w:rsidR="00B40183">
        <w:rPr>
          <w:sz w:val="24"/>
        </w:rPr>
        <w:t>applicable for the</w:t>
      </w:r>
      <w:r>
        <w:rPr>
          <w:sz w:val="24"/>
        </w:rPr>
        <w:t xml:space="preserve"> class for the purposes of </w:t>
      </w:r>
      <w:r w:rsidR="008C7F55" w:rsidRPr="008362AF">
        <w:rPr>
          <w:sz w:val="24"/>
        </w:rPr>
        <w:t xml:space="preserve"> </w:t>
      </w:r>
      <w:proofErr w:type="spellStart"/>
      <w:r w:rsidRPr="0097193A">
        <w:rPr>
          <w:sz w:val="24"/>
        </w:rPr>
        <w:t>subregulation</w:t>
      </w:r>
      <w:proofErr w:type="spellEnd"/>
      <w:r w:rsidRPr="0097193A">
        <w:rPr>
          <w:sz w:val="24"/>
        </w:rPr>
        <w:t xml:space="preserve"> </w:t>
      </w:r>
      <w:r>
        <w:rPr>
          <w:sz w:val="24"/>
        </w:rPr>
        <w:t>1.15I(1);</w:t>
      </w:r>
    </w:p>
    <w:p w14:paraId="3B55E42E" w14:textId="6AF754B2" w:rsidR="00095F5A" w:rsidRPr="00B40A38" w:rsidRDefault="00095F5A" w:rsidP="000C2732">
      <w:pPr>
        <w:numPr>
          <w:ilvl w:val="1"/>
          <w:numId w:val="1"/>
        </w:numPr>
        <w:spacing w:before="360" w:line="360" w:lineRule="auto"/>
        <w:jc w:val="both"/>
        <w:rPr>
          <w:sz w:val="24"/>
        </w:rPr>
      </w:pPr>
      <w:r w:rsidRPr="00B40A38">
        <w:rPr>
          <w:sz w:val="24"/>
        </w:rPr>
        <w:t xml:space="preserve">specify skilled occupations for the purposes of item 4 of the table in </w:t>
      </w:r>
      <w:proofErr w:type="spellStart"/>
      <w:r w:rsidRPr="00B40A38">
        <w:rPr>
          <w:sz w:val="24"/>
        </w:rPr>
        <w:t>subitem</w:t>
      </w:r>
      <w:proofErr w:type="spellEnd"/>
      <w:r w:rsidRPr="00B40A38">
        <w:rPr>
          <w:sz w:val="24"/>
        </w:rPr>
        <w:t xml:space="preserve"> 1137(4</w:t>
      </w:r>
      <w:r w:rsidR="00B40A38" w:rsidRPr="00B40A38">
        <w:rPr>
          <w:sz w:val="24"/>
        </w:rPr>
        <w:t>B</w:t>
      </w:r>
      <w:r w:rsidRPr="00B40A38">
        <w:rPr>
          <w:sz w:val="24"/>
        </w:rPr>
        <w:t>)</w:t>
      </w:r>
      <w:r w:rsidR="00F80A48" w:rsidRPr="00B40A38">
        <w:rPr>
          <w:sz w:val="24"/>
        </w:rPr>
        <w:t xml:space="preserve">, </w:t>
      </w:r>
      <w:r w:rsidR="00FB0258" w:rsidRPr="00B40A38">
        <w:rPr>
          <w:sz w:val="24"/>
        </w:rPr>
        <w:t xml:space="preserve">item 4 of the table in </w:t>
      </w:r>
      <w:proofErr w:type="spellStart"/>
      <w:r w:rsidR="00FB0258" w:rsidRPr="00B40A38">
        <w:rPr>
          <w:sz w:val="24"/>
        </w:rPr>
        <w:t>subitem</w:t>
      </w:r>
      <w:proofErr w:type="spellEnd"/>
      <w:r w:rsidR="00FB0258" w:rsidRPr="00B40A38">
        <w:rPr>
          <w:sz w:val="24"/>
        </w:rPr>
        <w:t xml:space="preserve"> 1230(4), paragraph 1229(3)(k), </w:t>
      </w:r>
      <w:r w:rsidRPr="000C2732">
        <w:rPr>
          <w:sz w:val="24"/>
        </w:rPr>
        <w:t xml:space="preserve">item 4 of the table in </w:t>
      </w:r>
      <w:proofErr w:type="spellStart"/>
      <w:r w:rsidRPr="000C2732">
        <w:rPr>
          <w:sz w:val="24"/>
        </w:rPr>
        <w:t>subitem</w:t>
      </w:r>
      <w:proofErr w:type="spellEnd"/>
      <w:r w:rsidRPr="000C2732">
        <w:rPr>
          <w:sz w:val="24"/>
        </w:rPr>
        <w:t xml:space="preserve"> 1138(4)</w:t>
      </w:r>
      <w:r w:rsidR="00FB0258" w:rsidRPr="00B40A38">
        <w:rPr>
          <w:sz w:val="24"/>
        </w:rPr>
        <w:t xml:space="preserve">, and item 4 of the table in </w:t>
      </w:r>
      <w:proofErr w:type="spellStart"/>
      <w:r w:rsidR="00FB0258" w:rsidRPr="00B40A38">
        <w:rPr>
          <w:sz w:val="24"/>
        </w:rPr>
        <w:t>subitem</w:t>
      </w:r>
      <w:proofErr w:type="spellEnd"/>
      <w:r w:rsidR="00FB0258" w:rsidRPr="00B40A38">
        <w:rPr>
          <w:sz w:val="24"/>
        </w:rPr>
        <w:t xml:space="preserve"> 1230(4), of Schedule 1 to the Regulations</w:t>
      </w:r>
      <w:r w:rsidR="00B40A38" w:rsidRPr="000C2732">
        <w:rPr>
          <w:sz w:val="24"/>
        </w:rPr>
        <w:t xml:space="preserve"> in regard to the specification of occupations</w:t>
      </w:r>
      <w:r w:rsidR="00B40183">
        <w:rPr>
          <w:sz w:val="24"/>
        </w:rPr>
        <w:t>, where relevant,</w:t>
      </w:r>
      <w:r w:rsidR="00B40A38" w:rsidRPr="000C2732">
        <w:rPr>
          <w:sz w:val="24"/>
        </w:rPr>
        <w:t xml:space="preserve"> on the Medium and Long-term Strat</w:t>
      </w:r>
      <w:r w:rsidR="00B40183">
        <w:rPr>
          <w:sz w:val="24"/>
        </w:rPr>
        <w:t>egic Skills List (MLTSSL) or</w:t>
      </w:r>
      <w:r w:rsidR="00B40A38" w:rsidRPr="000C2732">
        <w:rPr>
          <w:sz w:val="24"/>
        </w:rPr>
        <w:t xml:space="preserve"> the Short-term </w:t>
      </w:r>
      <w:r w:rsidR="00D70E23">
        <w:rPr>
          <w:sz w:val="24"/>
        </w:rPr>
        <w:t>Skilled Occupation List (STSOL)</w:t>
      </w:r>
      <w:r w:rsidRPr="00B40A38">
        <w:rPr>
          <w:sz w:val="24"/>
        </w:rPr>
        <w:t>;</w:t>
      </w:r>
      <w:r w:rsidR="00FB0258" w:rsidRPr="00B40A38">
        <w:rPr>
          <w:sz w:val="24"/>
        </w:rPr>
        <w:t xml:space="preserve"> and </w:t>
      </w:r>
    </w:p>
    <w:p w14:paraId="691F85CF" w14:textId="77777777" w:rsidR="0097193A" w:rsidRPr="000C2732" w:rsidRDefault="0097193A" w:rsidP="000C2732">
      <w:pPr>
        <w:numPr>
          <w:ilvl w:val="1"/>
          <w:numId w:val="1"/>
        </w:numPr>
        <w:spacing w:before="360" w:line="360" w:lineRule="auto"/>
        <w:jc w:val="both"/>
        <w:rPr>
          <w:sz w:val="24"/>
        </w:rPr>
      </w:pPr>
      <w:proofErr w:type="gramStart"/>
      <w:r>
        <w:rPr>
          <w:sz w:val="24"/>
        </w:rPr>
        <w:t>specify</w:t>
      </w:r>
      <w:proofErr w:type="gramEnd"/>
      <w:r>
        <w:rPr>
          <w:sz w:val="24"/>
        </w:rPr>
        <w:t xml:space="preserve"> persons and bodies as relevant assessing authorities for the purposes of </w:t>
      </w:r>
      <w:proofErr w:type="spellStart"/>
      <w:r w:rsidRPr="0097193A">
        <w:rPr>
          <w:sz w:val="24"/>
        </w:rPr>
        <w:t>subregulation</w:t>
      </w:r>
      <w:proofErr w:type="spellEnd"/>
      <w:r w:rsidRPr="0097193A">
        <w:rPr>
          <w:sz w:val="24"/>
        </w:rPr>
        <w:t xml:space="preserve"> 2.26B(1)</w:t>
      </w:r>
      <w:r w:rsidR="00FB0258">
        <w:rPr>
          <w:sz w:val="24"/>
        </w:rPr>
        <w:t>.</w:t>
      </w:r>
      <w:r>
        <w:rPr>
          <w:sz w:val="24"/>
        </w:rPr>
        <w:t xml:space="preserve"> </w:t>
      </w:r>
    </w:p>
    <w:p w14:paraId="517EAFBB" w14:textId="2B3E86FC" w:rsidR="001670BA" w:rsidRDefault="000E10A6" w:rsidP="001670BA">
      <w:pPr>
        <w:numPr>
          <w:ilvl w:val="0"/>
          <w:numId w:val="1"/>
        </w:numPr>
        <w:tabs>
          <w:tab w:val="left" w:pos="567"/>
        </w:tabs>
        <w:spacing w:before="360" w:line="360" w:lineRule="auto"/>
        <w:ind w:left="567" w:hanging="567"/>
        <w:jc w:val="both"/>
        <w:rPr>
          <w:sz w:val="24"/>
          <w:szCs w:val="24"/>
        </w:rPr>
      </w:pPr>
      <w:r>
        <w:rPr>
          <w:sz w:val="24"/>
        </w:rPr>
        <w:t>The occupations that</w:t>
      </w:r>
      <w:r w:rsidR="001670BA">
        <w:rPr>
          <w:sz w:val="24"/>
        </w:rPr>
        <w:t xml:space="preserve"> have been </w:t>
      </w:r>
      <w:r w:rsidR="001670BA" w:rsidRPr="006B4E3A">
        <w:rPr>
          <w:sz w:val="24"/>
        </w:rPr>
        <w:t xml:space="preserve">added to and removed from the MLTSSL and STSOL </w:t>
      </w:r>
      <w:r w:rsidR="001670BA">
        <w:rPr>
          <w:sz w:val="24"/>
        </w:rPr>
        <w:t>compared to</w:t>
      </w:r>
      <w:r w:rsidR="001670BA" w:rsidRPr="006B4E3A">
        <w:rPr>
          <w:sz w:val="24"/>
        </w:rPr>
        <w:t xml:space="preserve"> the previous relevant instrument IMMI </w:t>
      </w:r>
      <w:r w:rsidR="001670BA">
        <w:rPr>
          <w:sz w:val="24"/>
        </w:rPr>
        <w:t>17/072</w:t>
      </w:r>
      <w:r w:rsidR="001670BA" w:rsidRPr="006B4E3A">
        <w:rPr>
          <w:sz w:val="24"/>
        </w:rPr>
        <w:t xml:space="preserve"> </w:t>
      </w:r>
      <w:r w:rsidR="008B7E67">
        <w:rPr>
          <w:sz w:val="24"/>
        </w:rPr>
        <w:t>follow</w:t>
      </w:r>
      <w:r w:rsidR="001670BA" w:rsidRPr="006B4E3A">
        <w:rPr>
          <w:sz w:val="24"/>
        </w:rPr>
        <w:t xml:space="preserve"> </w:t>
      </w:r>
      <w:r w:rsidR="001670BA">
        <w:rPr>
          <w:sz w:val="24"/>
        </w:rPr>
        <w:t>a regular six-monthly</w:t>
      </w:r>
      <w:r w:rsidR="001670BA" w:rsidRPr="006B4E3A">
        <w:rPr>
          <w:sz w:val="24"/>
        </w:rPr>
        <w:t xml:space="preserve"> review </w:t>
      </w:r>
      <w:r w:rsidR="001670BA">
        <w:rPr>
          <w:sz w:val="24"/>
        </w:rPr>
        <w:t>by the Department of</w:t>
      </w:r>
      <w:r w:rsidR="00E11E18">
        <w:rPr>
          <w:sz w:val="24"/>
        </w:rPr>
        <w:t xml:space="preserve"> Jobs and Small Business</w:t>
      </w:r>
      <w:r w:rsidR="001670BA">
        <w:rPr>
          <w:sz w:val="24"/>
        </w:rPr>
        <w:t xml:space="preserve"> </w:t>
      </w:r>
      <w:r w:rsidR="001670BA" w:rsidRPr="006B4E3A">
        <w:rPr>
          <w:sz w:val="24"/>
        </w:rPr>
        <w:t xml:space="preserve">of occupations eligible for skilled visas. </w:t>
      </w:r>
      <w:r w:rsidR="008B7E67">
        <w:rPr>
          <w:sz w:val="24"/>
        </w:rPr>
        <w:t>This review takes into account</w:t>
      </w:r>
      <w:r w:rsidR="001670BA" w:rsidRPr="006B4E3A">
        <w:rPr>
          <w:sz w:val="24"/>
        </w:rPr>
        <w:t xml:space="preserve"> advice from Government departments</w:t>
      </w:r>
      <w:r w:rsidR="001670BA">
        <w:rPr>
          <w:sz w:val="24"/>
        </w:rPr>
        <w:t>, labour market analysis</w:t>
      </w:r>
      <w:r w:rsidR="001670BA" w:rsidRPr="006B4E3A">
        <w:rPr>
          <w:sz w:val="24"/>
        </w:rPr>
        <w:t xml:space="preserve"> and</w:t>
      </w:r>
      <w:r w:rsidR="008B7E67">
        <w:rPr>
          <w:sz w:val="24"/>
        </w:rPr>
        <w:t xml:space="preserve"> stakeholder</w:t>
      </w:r>
      <w:r w:rsidR="001670BA" w:rsidRPr="006B4E3A">
        <w:rPr>
          <w:sz w:val="24"/>
        </w:rPr>
        <w:t xml:space="preserve"> consultation. The amended occupation lists ensure that </w:t>
      </w:r>
      <w:r w:rsidR="001670BA" w:rsidRPr="006B4E3A">
        <w:rPr>
          <w:sz w:val="24"/>
        </w:rPr>
        <w:lastRenderedPageBreak/>
        <w:t>the entry of skilled foreign workers to Australia remains carefully calibrated to Australia’s needs.</w:t>
      </w:r>
    </w:p>
    <w:p w14:paraId="6CCCE9F8" w14:textId="1B14B32E" w:rsidR="00D70E23" w:rsidRDefault="00D70E23" w:rsidP="00E246E2">
      <w:pPr>
        <w:numPr>
          <w:ilvl w:val="0"/>
          <w:numId w:val="1"/>
        </w:numPr>
        <w:tabs>
          <w:tab w:val="left" w:pos="567"/>
        </w:tabs>
        <w:spacing w:before="360" w:line="36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The instrument is different from the instrument it replaces, IMMI 17/072, in the following respects:</w:t>
      </w:r>
    </w:p>
    <w:p w14:paraId="042AAE67" w14:textId="2322B37F" w:rsidR="00D70E23" w:rsidRPr="00D70E23" w:rsidRDefault="00D70E23" w:rsidP="00D70E23">
      <w:pPr>
        <w:pStyle w:val="ListParagraph"/>
        <w:numPr>
          <w:ilvl w:val="0"/>
          <w:numId w:val="2"/>
        </w:numPr>
        <w:tabs>
          <w:tab w:val="left" w:pos="567"/>
        </w:tabs>
        <w:spacing w:before="360" w:line="360" w:lineRule="auto"/>
        <w:jc w:val="both"/>
        <w:rPr>
          <w:sz w:val="24"/>
          <w:szCs w:val="24"/>
        </w:rPr>
      </w:pPr>
      <w:r>
        <w:rPr>
          <w:sz w:val="24"/>
        </w:rPr>
        <w:t>The occupations of “horse breeder” (</w:t>
      </w:r>
      <w:r w:rsidR="006604D0">
        <w:rPr>
          <w:sz w:val="24"/>
        </w:rPr>
        <w:t>ANZSCO</w:t>
      </w:r>
      <w:r>
        <w:rPr>
          <w:sz w:val="24"/>
        </w:rPr>
        <w:t xml:space="preserve"> 121316) and “management consultant” (</w:t>
      </w:r>
      <w:r w:rsidR="006604D0">
        <w:rPr>
          <w:sz w:val="24"/>
        </w:rPr>
        <w:t>ANZSCO</w:t>
      </w:r>
      <w:r>
        <w:rPr>
          <w:sz w:val="24"/>
        </w:rPr>
        <w:t xml:space="preserve"> 224711) have been removed from the STSOL and added to the MLTSSL.</w:t>
      </w:r>
    </w:p>
    <w:p w14:paraId="6DE1DC8D" w14:textId="054CCF0E" w:rsidR="00D70E23" w:rsidRDefault="001670BA" w:rsidP="00D70E23">
      <w:pPr>
        <w:numPr>
          <w:ilvl w:val="0"/>
          <w:numId w:val="2"/>
        </w:numPr>
        <w:spacing w:before="3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The assessing authority for the occupation “accountant (general)”</w:t>
      </w:r>
      <w:r w:rsidR="00DD1871">
        <w:rPr>
          <w:sz w:val="24"/>
          <w:szCs w:val="24"/>
        </w:rPr>
        <w:t xml:space="preserve"> (</w:t>
      </w:r>
      <w:r w:rsidR="006604D0">
        <w:rPr>
          <w:sz w:val="24"/>
          <w:szCs w:val="24"/>
        </w:rPr>
        <w:t>ANZSCO</w:t>
      </w:r>
      <w:r w:rsidR="00DD1871">
        <w:rPr>
          <w:sz w:val="24"/>
          <w:szCs w:val="24"/>
        </w:rPr>
        <w:t xml:space="preserve"> 221111)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has</w:t>
      </w:r>
      <w:r w:rsidR="00A5311D">
        <w:rPr>
          <w:sz w:val="24"/>
          <w:szCs w:val="24"/>
        </w:rPr>
        <w:t xml:space="preserve"> </w:t>
      </w:r>
      <w:r>
        <w:rPr>
          <w:sz w:val="24"/>
          <w:szCs w:val="24"/>
        </w:rPr>
        <w:t>been changed</w:t>
      </w:r>
      <w:proofErr w:type="gramEnd"/>
      <w:r>
        <w:rPr>
          <w:sz w:val="24"/>
          <w:szCs w:val="24"/>
        </w:rPr>
        <w:t xml:space="preserve"> from the</w:t>
      </w:r>
      <w:r w:rsidR="00E11E18">
        <w:rPr>
          <w:sz w:val="24"/>
          <w:szCs w:val="24"/>
        </w:rPr>
        <w:t xml:space="preserve"> Institute of Chartered Accountants of Australia (</w:t>
      </w:r>
      <w:r>
        <w:rPr>
          <w:sz w:val="24"/>
          <w:szCs w:val="24"/>
        </w:rPr>
        <w:t>ICAA</w:t>
      </w:r>
      <w:r w:rsidR="00E11E18">
        <w:rPr>
          <w:sz w:val="24"/>
          <w:szCs w:val="24"/>
        </w:rPr>
        <w:t>) to C</w:t>
      </w:r>
      <w:r w:rsidR="00A5311D">
        <w:rPr>
          <w:sz w:val="24"/>
          <w:szCs w:val="24"/>
        </w:rPr>
        <w:t>hartered Accountants Australia and New Zealand</w:t>
      </w:r>
      <w:r w:rsidR="00E11E18">
        <w:rPr>
          <w:sz w:val="24"/>
          <w:szCs w:val="24"/>
        </w:rPr>
        <w:t xml:space="preserve"> (CAANZ).</w:t>
      </w:r>
    </w:p>
    <w:p w14:paraId="633722CB" w14:textId="7092ECFE" w:rsidR="001670BA" w:rsidRPr="001670BA" w:rsidRDefault="001670BA" w:rsidP="00D70E23">
      <w:pPr>
        <w:numPr>
          <w:ilvl w:val="0"/>
          <w:numId w:val="2"/>
        </w:numPr>
        <w:spacing w:before="360" w:line="360" w:lineRule="auto"/>
        <w:jc w:val="both"/>
        <w:rPr>
          <w:sz w:val="24"/>
          <w:szCs w:val="24"/>
        </w:rPr>
      </w:pPr>
      <w:r>
        <w:rPr>
          <w:sz w:val="24"/>
        </w:rPr>
        <w:t>The occupations of “hair or beauty salon manager” (</w:t>
      </w:r>
      <w:r w:rsidR="006604D0">
        <w:rPr>
          <w:sz w:val="24"/>
        </w:rPr>
        <w:t>ANZSCO</w:t>
      </w:r>
      <w:r>
        <w:rPr>
          <w:sz w:val="24"/>
        </w:rPr>
        <w:t xml:space="preserve"> 142114) and “building associate” (</w:t>
      </w:r>
      <w:r w:rsidR="006604D0">
        <w:rPr>
          <w:sz w:val="24"/>
        </w:rPr>
        <w:t>ANZSCO</w:t>
      </w:r>
      <w:r>
        <w:rPr>
          <w:sz w:val="24"/>
        </w:rPr>
        <w:t xml:space="preserve"> 312112) have been removed from the STSOL.</w:t>
      </w:r>
    </w:p>
    <w:p w14:paraId="4CE138B0" w14:textId="28A61896" w:rsidR="001670BA" w:rsidRPr="00D70E23" w:rsidRDefault="001670BA" w:rsidP="001670BA">
      <w:pPr>
        <w:numPr>
          <w:ilvl w:val="0"/>
          <w:numId w:val="2"/>
        </w:numPr>
        <w:spacing w:before="360" w:line="360" w:lineRule="auto"/>
        <w:jc w:val="both"/>
        <w:rPr>
          <w:sz w:val="24"/>
          <w:szCs w:val="24"/>
        </w:rPr>
      </w:pPr>
      <w:r>
        <w:rPr>
          <w:sz w:val="24"/>
        </w:rPr>
        <w:t>The occupations of “psychotherapist” (</w:t>
      </w:r>
      <w:r w:rsidR="006604D0">
        <w:rPr>
          <w:sz w:val="24"/>
        </w:rPr>
        <w:t>ANZSCO</w:t>
      </w:r>
      <w:r>
        <w:rPr>
          <w:sz w:val="24"/>
        </w:rPr>
        <w:t xml:space="preserve"> 272314), “property manager” (</w:t>
      </w:r>
      <w:r w:rsidR="006604D0">
        <w:rPr>
          <w:sz w:val="24"/>
        </w:rPr>
        <w:t>ANZSCO</w:t>
      </w:r>
      <w:r>
        <w:rPr>
          <w:sz w:val="24"/>
        </w:rPr>
        <w:t xml:space="preserve"> 612112) and “real estate representative” (</w:t>
      </w:r>
      <w:r w:rsidR="006604D0">
        <w:rPr>
          <w:sz w:val="24"/>
        </w:rPr>
        <w:t>ANZSCO</w:t>
      </w:r>
      <w:r>
        <w:rPr>
          <w:sz w:val="24"/>
        </w:rPr>
        <w:t xml:space="preserve"> 612115) have been added to the STSOL.</w:t>
      </w:r>
    </w:p>
    <w:p w14:paraId="0EF5F5FF" w14:textId="2DC8AC80" w:rsidR="00B12E96" w:rsidRDefault="00B12E96" w:rsidP="00B12E96">
      <w:pPr>
        <w:numPr>
          <w:ilvl w:val="0"/>
          <w:numId w:val="1"/>
        </w:numPr>
        <w:spacing w:before="360" w:line="360" w:lineRule="auto"/>
        <w:ind w:left="567" w:hanging="567"/>
        <w:jc w:val="both"/>
        <w:rPr>
          <w:sz w:val="24"/>
        </w:rPr>
      </w:pPr>
      <w:r>
        <w:rPr>
          <w:sz w:val="24"/>
        </w:rPr>
        <w:t xml:space="preserve">The instrument repeals the </w:t>
      </w:r>
      <w:r w:rsidRPr="001901AD">
        <w:rPr>
          <w:i/>
          <w:sz w:val="24"/>
        </w:rPr>
        <w:t>Migration (IMMI 17/072: Specification of Occupations and Assessing Authorities) Instrument 2017</w:t>
      </w:r>
      <w:r>
        <w:rPr>
          <w:sz w:val="24"/>
        </w:rPr>
        <w:t xml:space="preserve"> in accordance with subsection 33(3) of the </w:t>
      </w:r>
      <w:r w:rsidRPr="009D71AA">
        <w:rPr>
          <w:i/>
          <w:sz w:val="24"/>
        </w:rPr>
        <w:t>Acts Interpretation Act 1901</w:t>
      </w:r>
      <w:r>
        <w:rPr>
          <w:sz w:val="24"/>
        </w:rPr>
        <w:t xml:space="preserve"> (the Acts Interpretation Act). Subsection 33(3) of the Acts Interpretation Act states that where an Act confers a power to make, grant or issue any instrument of a legislative or administrative character, the power shall be construed as including a power exercisable in the like manner and subject to the like conditions (if any) to repeal, rescind, revoke, amend, or vary any such instrument.</w:t>
      </w:r>
    </w:p>
    <w:p w14:paraId="1F87082F" w14:textId="1295667C" w:rsidR="00B12E96" w:rsidRPr="00E50D7C" w:rsidRDefault="00B12E96" w:rsidP="00B12E96">
      <w:pPr>
        <w:numPr>
          <w:ilvl w:val="0"/>
          <w:numId w:val="1"/>
        </w:numPr>
        <w:tabs>
          <w:tab w:val="left" w:pos="567"/>
        </w:tabs>
        <w:spacing w:before="360" w:line="360" w:lineRule="auto"/>
        <w:ind w:left="567" w:hanging="567"/>
        <w:jc w:val="both"/>
        <w:rPr>
          <w:i/>
          <w:sz w:val="24"/>
          <w:szCs w:val="24"/>
        </w:rPr>
      </w:pPr>
      <w:r w:rsidRPr="00E50D7C">
        <w:rPr>
          <w:sz w:val="24"/>
          <w:szCs w:val="24"/>
        </w:rPr>
        <w:t xml:space="preserve">The application provision in Part 2 of Schedule 1 to the instruments provides that the repealed instrument continues in force </w:t>
      </w:r>
      <w:r w:rsidR="002C7049" w:rsidRPr="00E50D7C">
        <w:rPr>
          <w:sz w:val="24"/>
          <w:szCs w:val="24"/>
        </w:rPr>
        <w:t>in relation to the following:</w:t>
      </w:r>
    </w:p>
    <w:p w14:paraId="3A19B0FF" w14:textId="0709ED77" w:rsidR="008B7E67" w:rsidRDefault="00EC5E8C" w:rsidP="002C7049">
      <w:pPr>
        <w:numPr>
          <w:ilvl w:val="1"/>
          <w:numId w:val="1"/>
        </w:numPr>
        <w:tabs>
          <w:tab w:val="left" w:pos="567"/>
        </w:tabs>
        <w:spacing w:before="3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e</w:t>
      </w:r>
      <w:r w:rsidR="006604D0">
        <w:rPr>
          <w:sz w:val="24"/>
          <w:szCs w:val="24"/>
        </w:rPr>
        <w:t xml:space="preserve">ach person included in </w:t>
      </w:r>
      <w:r w:rsidR="008B7E67">
        <w:rPr>
          <w:sz w:val="24"/>
          <w:szCs w:val="24"/>
        </w:rPr>
        <w:t>a class of persons mentioned in</w:t>
      </w:r>
      <w:r w:rsidR="006604D0">
        <w:rPr>
          <w:sz w:val="24"/>
          <w:szCs w:val="24"/>
        </w:rPr>
        <w:t xml:space="preserve"> column 1 of</w:t>
      </w:r>
      <w:r w:rsidR="008B7E67">
        <w:rPr>
          <w:sz w:val="24"/>
          <w:szCs w:val="24"/>
        </w:rPr>
        <w:t xml:space="preserve"> items 1 and 3 of the table in subsection 6(1) of the repealed instrument, if the invitation mentioned in th</w:t>
      </w:r>
      <w:r w:rsidR="006604D0">
        <w:rPr>
          <w:sz w:val="24"/>
          <w:szCs w:val="24"/>
        </w:rPr>
        <w:t>ose</w:t>
      </w:r>
      <w:r w:rsidR="008B7E67">
        <w:rPr>
          <w:sz w:val="24"/>
          <w:szCs w:val="24"/>
        </w:rPr>
        <w:t xml:space="preserve"> item</w:t>
      </w:r>
      <w:r w:rsidR="006604D0">
        <w:rPr>
          <w:sz w:val="24"/>
          <w:szCs w:val="24"/>
        </w:rPr>
        <w:t>s</w:t>
      </w:r>
      <w:r w:rsidR="008B7E67">
        <w:rPr>
          <w:sz w:val="24"/>
          <w:szCs w:val="24"/>
        </w:rPr>
        <w:t xml:space="preserve"> is issued before 17 January 2018; and</w:t>
      </w:r>
    </w:p>
    <w:p w14:paraId="2FDE2EC2" w14:textId="2AEB91A9" w:rsidR="002C7049" w:rsidRPr="00E50D7C" w:rsidRDefault="00EC5E8C" w:rsidP="002C7049">
      <w:pPr>
        <w:numPr>
          <w:ilvl w:val="1"/>
          <w:numId w:val="1"/>
        </w:numPr>
        <w:tabs>
          <w:tab w:val="left" w:pos="567"/>
        </w:tabs>
        <w:spacing w:before="360"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 w:rsidR="006604D0">
        <w:rPr>
          <w:sz w:val="24"/>
          <w:szCs w:val="24"/>
        </w:rPr>
        <w:t xml:space="preserve"> person included in the </w:t>
      </w:r>
      <w:r w:rsidR="008B7E67">
        <w:rPr>
          <w:sz w:val="24"/>
          <w:szCs w:val="24"/>
        </w:rPr>
        <w:t xml:space="preserve">class of persons mentioned in </w:t>
      </w:r>
      <w:r w:rsidR="006604D0">
        <w:rPr>
          <w:sz w:val="24"/>
          <w:szCs w:val="24"/>
        </w:rPr>
        <w:t xml:space="preserve">column 1 of </w:t>
      </w:r>
      <w:r w:rsidR="008B7E67">
        <w:rPr>
          <w:sz w:val="24"/>
          <w:szCs w:val="24"/>
        </w:rPr>
        <w:t xml:space="preserve">item 2 </w:t>
      </w:r>
      <w:r w:rsidR="006604D0">
        <w:rPr>
          <w:sz w:val="24"/>
          <w:szCs w:val="24"/>
        </w:rPr>
        <w:t>in</w:t>
      </w:r>
      <w:r w:rsidR="008B7E67">
        <w:rPr>
          <w:sz w:val="24"/>
          <w:szCs w:val="24"/>
        </w:rPr>
        <w:t xml:space="preserve"> the table in subsection 6(1) of the repealed instrument, if the visa application mentioned in that item is made </w:t>
      </w:r>
      <w:r>
        <w:rPr>
          <w:sz w:val="24"/>
          <w:szCs w:val="24"/>
        </w:rPr>
        <w:t xml:space="preserve">by that person </w:t>
      </w:r>
      <w:r w:rsidR="008B7E67">
        <w:rPr>
          <w:sz w:val="24"/>
          <w:szCs w:val="24"/>
        </w:rPr>
        <w:t>before 17 January 2018</w:t>
      </w:r>
      <w:r w:rsidR="002C7049" w:rsidRPr="00E50D7C">
        <w:rPr>
          <w:sz w:val="24"/>
          <w:szCs w:val="24"/>
        </w:rPr>
        <w:t>.</w:t>
      </w:r>
    </w:p>
    <w:p w14:paraId="1D13E5CE" w14:textId="6848124D" w:rsidR="001670BA" w:rsidRPr="002B3E05" w:rsidRDefault="001670BA" w:rsidP="001670BA">
      <w:pPr>
        <w:numPr>
          <w:ilvl w:val="0"/>
          <w:numId w:val="1"/>
        </w:numPr>
        <w:tabs>
          <w:tab w:val="left" w:pos="567"/>
        </w:tabs>
        <w:spacing w:before="360" w:line="360" w:lineRule="auto"/>
        <w:ind w:left="567" w:hanging="567"/>
        <w:jc w:val="both"/>
        <w:rPr>
          <w:i/>
          <w:sz w:val="24"/>
          <w:szCs w:val="24"/>
        </w:rPr>
      </w:pPr>
      <w:r>
        <w:rPr>
          <w:sz w:val="24"/>
          <w:szCs w:val="24"/>
        </w:rPr>
        <w:t>The Department of</w:t>
      </w:r>
      <w:r w:rsidR="00E11E18">
        <w:rPr>
          <w:sz w:val="24"/>
          <w:szCs w:val="24"/>
        </w:rPr>
        <w:t xml:space="preserve"> Jobs and Small Business</w:t>
      </w:r>
      <w:r>
        <w:rPr>
          <w:sz w:val="24"/>
          <w:szCs w:val="24"/>
        </w:rPr>
        <w:t xml:space="preserve"> led this review, and consulted with the Department of Home Affairs</w:t>
      </w:r>
      <w:r w:rsidR="00E11E18">
        <w:rPr>
          <w:sz w:val="24"/>
          <w:szCs w:val="24"/>
        </w:rPr>
        <w:t xml:space="preserve"> as well as a number of other Government agencies, stakeholders</w:t>
      </w:r>
      <w:r>
        <w:rPr>
          <w:sz w:val="24"/>
          <w:szCs w:val="24"/>
        </w:rPr>
        <w:t xml:space="preserve"> and industry representatives</w:t>
      </w:r>
      <w:r w:rsidRPr="002B3E05">
        <w:rPr>
          <w:sz w:val="24"/>
          <w:szCs w:val="24"/>
        </w:rPr>
        <w:t xml:space="preserve">. </w:t>
      </w:r>
    </w:p>
    <w:p w14:paraId="226A2956" w14:textId="560E6513" w:rsidR="00FA6D40" w:rsidRPr="006B4E3A" w:rsidRDefault="008C7F55" w:rsidP="008C7F55">
      <w:pPr>
        <w:numPr>
          <w:ilvl w:val="0"/>
          <w:numId w:val="1"/>
        </w:numPr>
        <w:tabs>
          <w:tab w:val="left" w:pos="567"/>
        </w:tabs>
        <w:spacing w:before="360" w:line="360" w:lineRule="auto"/>
        <w:ind w:left="567" w:hanging="567"/>
        <w:jc w:val="both"/>
        <w:rPr>
          <w:i/>
          <w:sz w:val="24"/>
          <w:szCs w:val="24"/>
        </w:rPr>
      </w:pPr>
      <w:r w:rsidRPr="006B4E3A">
        <w:rPr>
          <w:sz w:val="24"/>
          <w:szCs w:val="24"/>
        </w:rPr>
        <w:t xml:space="preserve">The Office of Best Practice Regulation (OBPR) has advised that a Regulatory Impact Statement is not required (OBPR Reference: </w:t>
      </w:r>
      <w:r w:rsidR="00762D29">
        <w:rPr>
          <w:sz w:val="24"/>
          <w:szCs w:val="24"/>
        </w:rPr>
        <w:t>23086</w:t>
      </w:r>
      <w:r w:rsidRPr="006B4E3A">
        <w:rPr>
          <w:sz w:val="24"/>
          <w:szCs w:val="24"/>
        </w:rPr>
        <w:t>).</w:t>
      </w:r>
    </w:p>
    <w:p w14:paraId="5DC09DF5" w14:textId="77777777" w:rsidR="00FA6D40" w:rsidRPr="000C2732" w:rsidRDefault="00FA6D40" w:rsidP="000C2732">
      <w:pPr>
        <w:numPr>
          <w:ilvl w:val="0"/>
          <w:numId w:val="1"/>
        </w:numPr>
        <w:tabs>
          <w:tab w:val="left" w:pos="567"/>
        </w:tabs>
        <w:spacing w:before="360" w:line="360" w:lineRule="auto"/>
        <w:ind w:left="567" w:hanging="567"/>
        <w:jc w:val="both"/>
        <w:rPr>
          <w:sz w:val="24"/>
          <w:szCs w:val="24"/>
        </w:rPr>
      </w:pPr>
      <w:r w:rsidRPr="006B4E3A">
        <w:rPr>
          <w:sz w:val="24"/>
          <w:szCs w:val="24"/>
        </w:rPr>
        <w:t xml:space="preserve">Under section 10 of the </w:t>
      </w:r>
      <w:r w:rsidRPr="00762D29">
        <w:rPr>
          <w:i/>
          <w:sz w:val="24"/>
          <w:szCs w:val="24"/>
        </w:rPr>
        <w:t>Legislation (Exemptions and Other Matters) Regulation 2015</w:t>
      </w:r>
      <w:r w:rsidRPr="006B4E3A">
        <w:rPr>
          <w:sz w:val="24"/>
          <w:szCs w:val="24"/>
        </w:rPr>
        <w:t>, the instrument is exempt from disallowance and therefore a Statement</w:t>
      </w:r>
      <w:r w:rsidRPr="000C2732">
        <w:rPr>
          <w:sz w:val="24"/>
          <w:szCs w:val="24"/>
        </w:rPr>
        <w:t xml:space="preserve"> of Compatibility with Human Rights is not required.</w:t>
      </w:r>
    </w:p>
    <w:p w14:paraId="4178B86A" w14:textId="205151DD" w:rsidR="008C7F55" w:rsidRPr="0094373A" w:rsidRDefault="008C7F55" w:rsidP="008C7F55">
      <w:pPr>
        <w:numPr>
          <w:ilvl w:val="0"/>
          <w:numId w:val="1"/>
        </w:numPr>
        <w:spacing w:before="360" w:line="360" w:lineRule="auto"/>
        <w:ind w:left="567" w:hanging="567"/>
        <w:jc w:val="both"/>
        <w:rPr>
          <w:sz w:val="24"/>
          <w:szCs w:val="24"/>
        </w:rPr>
      </w:pPr>
      <w:r>
        <w:rPr>
          <w:sz w:val="24"/>
        </w:rPr>
        <w:t xml:space="preserve">The </w:t>
      </w:r>
      <w:r w:rsidR="00A36A34">
        <w:rPr>
          <w:sz w:val="24"/>
        </w:rPr>
        <w:t>i</w:t>
      </w:r>
      <w:r>
        <w:rPr>
          <w:sz w:val="24"/>
        </w:rPr>
        <w:t xml:space="preserve">nstrument commences on </w:t>
      </w:r>
      <w:r w:rsidR="00762D29">
        <w:rPr>
          <w:sz w:val="24"/>
        </w:rPr>
        <w:t>17 January 2018</w:t>
      </w:r>
      <w:r>
        <w:rPr>
          <w:sz w:val="24"/>
        </w:rPr>
        <w:t>.</w:t>
      </w:r>
    </w:p>
    <w:p w14:paraId="4F479060" w14:textId="7873DD37" w:rsidR="008C7F55" w:rsidRDefault="008C7F55" w:rsidP="008C7F55">
      <w:pPr>
        <w:spacing w:after="120"/>
        <w:rPr>
          <w:sz w:val="24"/>
        </w:rPr>
      </w:pPr>
      <w:r w:rsidRPr="00963E14">
        <w:rPr>
          <w:b/>
          <w:sz w:val="24"/>
        </w:rPr>
        <w:t xml:space="preserve"> </w:t>
      </w:r>
    </w:p>
    <w:p w14:paraId="077A92DD" w14:textId="77777777" w:rsidR="008F59C1" w:rsidRDefault="008F59C1"/>
    <w:sectPr w:rsidR="008F59C1" w:rsidSect="00C85D16">
      <w:headerReference w:type="default" r:id="rId8"/>
      <w:pgSz w:w="11906" w:h="16838"/>
      <w:pgMar w:top="1560" w:right="1416" w:bottom="1134" w:left="1418" w:header="426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961959" w14:textId="77777777" w:rsidR="008C7F55" w:rsidRDefault="008C7F55" w:rsidP="008C7F55">
      <w:r>
        <w:separator/>
      </w:r>
    </w:p>
  </w:endnote>
  <w:endnote w:type="continuationSeparator" w:id="0">
    <w:p w14:paraId="142312EA" w14:textId="77777777" w:rsidR="008C7F55" w:rsidRDefault="008C7F55" w:rsidP="008C7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D802C8" w14:textId="77777777" w:rsidR="008C7F55" w:rsidRDefault="008C7F55" w:rsidP="008C7F55">
      <w:r>
        <w:separator/>
      </w:r>
    </w:p>
  </w:footnote>
  <w:footnote w:type="continuationSeparator" w:id="0">
    <w:p w14:paraId="6B3846EF" w14:textId="77777777" w:rsidR="008C7F55" w:rsidRDefault="008C7F55" w:rsidP="008C7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68D21" w14:textId="3FDDA899" w:rsidR="005455C0" w:rsidRPr="000A2C52" w:rsidRDefault="000C2732" w:rsidP="00C85D16">
    <w:pPr>
      <w:pStyle w:val="Header"/>
      <w:jc w:val="right"/>
      <w:rPr>
        <w:rFonts w:ascii="Times New Roman" w:hAnsi="Times New Roman"/>
        <w:i/>
        <w:sz w:val="22"/>
        <w:szCs w:val="22"/>
      </w:rPr>
    </w:pPr>
    <w:r>
      <w:rPr>
        <w:rFonts w:ascii="Times New Roman" w:hAnsi="Times New Roman"/>
        <w:i/>
        <w:sz w:val="22"/>
        <w:szCs w:val="22"/>
      </w:rPr>
      <w:t xml:space="preserve">IMMI </w:t>
    </w:r>
    <w:r w:rsidR="001901AD">
      <w:rPr>
        <w:rFonts w:ascii="Times New Roman" w:hAnsi="Times New Roman"/>
        <w:i/>
        <w:sz w:val="22"/>
        <w:szCs w:val="22"/>
      </w:rPr>
      <w:t>18/007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B3044"/>
    <w:multiLevelType w:val="hybridMultilevel"/>
    <w:tmpl w:val="6EF2ACBA"/>
    <w:lvl w:ilvl="0" w:tplc="EEB68044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C090019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CD3B7B"/>
    <w:multiLevelType w:val="hybridMultilevel"/>
    <w:tmpl w:val="20BC4F36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6CB7796A"/>
    <w:multiLevelType w:val="singleLevel"/>
    <w:tmpl w:val="3E6ACC2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4703977"/>
    <w:multiLevelType w:val="hybridMultilevel"/>
    <w:tmpl w:val="92E4D96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F55"/>
    <w:rsid w:val="0001454C"/>
    <w:rsid w:val="00095F5A"/>
    <w:rsid w:val="000C2732"/>
    <w:rsid w:val="000E10A6"/>
    <w:rsid w:val="001670BA"/>
    <w:rsid w:val="00173CB9"/>
    <w:rsid w:val="001901AD"/>
    <w:rsid w:val="001A29CE"/>
    <w:rsid w:val="001E7AEF"/>
    <w:rsid w:val="001F4214"/>
    <w:rsid w:val="002C7049"/>
    <w:rsid w:val="00367C93"/>
    <w:rsid w:val="00542DB1"/>
    <w:rsid w:val="006604D0"/>
    <w:rsid w:val="006B4E3A"/>
    <w:rsid w:val="006D6FC6"/>
    <w:rsid w:val="00762D29"/>
    <w:rsid w:val="007A0FEA"/>
    <w:rsid w:val="008362AF"/>
    <w:rsid w:val="008B7E67"/>
    <w:rsid w:val="008C7F55"/>
    <w:rsid w:val="008F59C1"/>
    <w:rsid w:val="0097193A"/>
    <w:rsid w:val="00990085"/>
    <w:rsid w:val="009D2112"/>
    <w:rsid w:val="00A06CF0"/>
    <w:rsid w:val="00A36A34"/>
    <w:rsid w:val="00A5311D"/>
    <w:rsid w:val="00A77DFB"/>
    <w:rsid w:val="00AB70F7"/>
    <w:rsid w:val="00B12E96"/>
    <w:rsid w:val="00B40183"/>
    <w:rsid w:val="00B40A38"/>
    <w:rsid w:val="00B9361B"/>
    <w:rsid w:val="00BB33E9"/>
    <w:rsid w:val="00C31FC2"/>
    <w:rsid w:val="00D70E23"/>
    <w:rsid w:val="00D858A1"/>
    <w:rsid w:val="00DD1871"/>
    <w:rsid w:val="00E11E18"/>
    <w:rsid w:val="00E246E2"/>
    <w:rsid w:val="00E50D7C"/>
    <w:rsid w:val="00E739B1"/>
    <w:rsid w:val="00EB2DB2"/>
    <w:rsid w:val="00EC5E8C"/>
    <w:rsid w:val="00F5503E"/>
    <w:rsid w:val="00F75A5B"/>
    <w:rsid w:val="00F80A48"/>
    <w:rsid w:val="00FA6D40"/>
    <w:rsid w:val="00FB0258"/>
    <w:rsid w:val="00FB51A5"/>
    <w:rsid w:val="00FB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80ED6B"/>
  <w15:docId w15:val="{3384CDDF-FC8B-4F6C-A518-4155A0255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F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8C7F55"/>
    <w:pPr>
      <w:keepNext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8C7F55"/>
    <w:pPr>
      <w:keepNext/>
      <w:ind w:left="1440" w:hanging="1440"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C7F55"/>
    <w:rPr>
      <w:rFonts w:ascii="Times New Roman" w:eastAsia="Times New Roman" w:hAnsi="Times New Roman" w:cs="Times New Roman"/>
      <w:b/>
      <w:sz w:val="24"/>
      <w:szCs w:val="20"/>
      <w:u w:val="single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8C7F55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Header">
    <w:name w:val="header"/>
    <w:basedOn w:val="Normal"/>
    <w:link w:val="HeaderChar"/>
    <w:uiPriority w:val="99"/>
    <w:rsid w:val="008C7F55"/>
    <w:pPr>
      <w:tabs>
        <w:tab w:val="center" w:pos="4320"/>
        <w:tab w:val="right" w:pos="8640"/>
      </w:tabs>
    </w:pPr>
    <w:rPr>
      <w:rFonts w:ascii="Arial" w:hAnsi="Arial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8C7F55"/>
    <w:rPr>
      <w:rFonts w:ascii="Arial" w:eastAsia="Times New Roman" w:hAnsi="Arial" w:cs="Times New Roman"/>
      <w:sz w:val="24"/>
      <w:szCs w:val="20"/>
      <w:lang w:eastAsia="en-AU"/>
    </w:rPr>
  </w:style>
  <w:style w:type="paragraph" w:customStyle="1" w:styleId="CharChar">
    <w:name w:val="Char Char"/>
    <w:basedOn w:val="Normal"/>
    <w:rsid w:val="008C7F55"/>
    <w:pPr>
      <w:spacing w:before="120" w:after="120"/>
    </w:pPr>
    <w:rPr>
      <w:rFonts w:ascii="Arial" w:hAnsi="Arial"/>
      <w:sz w:val="22"/>
      <w:lang w:eastAsia="en-US"/>
    </w:rPr>
  </w:style>
  <w:style w:type="character" w:styleId="CommentReference">
    <w:name w:val="annotation reference"/>
    <w:uiPriority w:val="99"/>
    <w:semiHidden/>
    <w:unhideWhenUsed/>
    <w:rsid w:val="008C7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7F5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7F55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F55"/>
    <w:rPr>
      <w:rFonts w:ascii="Tahoma" w:eastAsia="Times New Roman" w:hAnsi="Tahoma" w:cs="Tahoma"/>
      <w:sz w:val="16"/>
      <w:szCs w:val="16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8C7F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F55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FA6D40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33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33E9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styleId="Revision">
    <w:name w:val="Revision"/>
    <w:hidden/>
    <w:uiPriority w:val="99"/>
    <w:semiHidden/>
    <w:rsid w:val="00BB3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notedraft">
    <w:name w:val="note(draft)"/>
    <w:aliases w:val="nd"/>
    <w:basedOn w:val="Normal"/>
    <w:rsid w:val="00FB71C4"/>
    <w:pPr>
      <w:spacing w:before="240"/>
      <w:ind w:left="284" w:hanging="284"/>
    </w:pPr>
    <w:rPr>
      <w:i/>
      <w:sz w:val="24"/>
    </w:rPr>
  </w:style>
  <w:style w:type="paragraph" w:customStyle="1" w:styleId="CharChar0">
    <w:name w:val="Char Char"/>
    <w:basedOn w:val="Normal"/>
    <w:rsid w:val="001901AD"/>
    <w:pPr>
      <w:spacing w:before="120" w:after="120"/>
    </w:pPr>
    <w:rPr>
      <w:rFonts w:ascii="Arial" w:hAnsi="Arial"/>
      <w:sz w:val="22"/>
      <w:lang w:eastAsia="en-US"/>
    </w:rPr>
  </w:style>
  <w:style w:type="paragraph" w:customStyle="1" w:styleId="subsection">
    <w:name w:val="subsection"/>
    <w:aliases w:val="ss,Subsection"/>
    <w:basedOn w:val="Normal"/>
    <w:link w:val="subsectionChar"/>
    <w:rsid w:val="002C7049"/>
    <w:pPr>
      <w:tabs>
        <w:tab w:val="right" w:pos="1021"/>
      </w:tabs>
      <w:spacing w:before="180"/>
      <w:ind w:left="1134" w:hanging="1134"/>
    </w:pPr>
    <w:rPr>
      <w:sz w:val="2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C7049"/>
    <w:rPr>
      <w:rFonts w:ascii="Times New Roman" w:eastAsia="Times New Roman" w:hAnsi="Times New Roman" w:cs="Times New Roman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3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79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84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96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23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201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768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38423">
                                              <w:marLeft w:val="0"/>
                                              <w:marRight w:val="135"/>
                                              <w:marTop w:val="180"/>
                                              <w:marBottom w:val="0"/>
                                              <w:divBdr>
                                                <w:top w:val="single" w:sz="6" w:space="0" w:color="9E9E9E"/>
                                                <w:left w:val="single" w:sz="6" w:space="0" w:color="9E9E9E"/>
                                                <w:bottom w:val="single" w:sz="6" w:space="0" w:color="9E9E9E"/>
                                                <w:right w:val="single" w:sz="6" w:space="0" w:color="9E9E9E"/>
                                              </w:divBdr>
                                              <w:divsChild>
                                                <w:div w:id="1721978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9E9E9E"/>
                                                    <w:left w:val="single" w:sz="6" w:space="0" w:color="9E9E9E"/>
                                                    <w:bottom w:val="single" w:sz="6" w:space="0" w:color="9E9E9E"/>
                                                    <w:right w:val="single" w:sz="6" w:space="0" w:color="9E9E9E"/>
                                                  </w:divBdr>
                                                  <w:divsChild>
                                                    <w:div w:id="1643998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7396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7251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14A41-83DA-47C7-B06C-D5C9945FD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Immigration and Citizenship</Company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LONG</dc:creator>
  <cp:lastModifiedBy>Olivia BARTLETT</cp:lastModifiedBy>
  <cp:revision>2</cp:revision>
  <cp:lastPrinted>2018-01-02T06:03:00Z</cp:lastPrinted>
  <dcterms:created xsi:type="dcterms:W3CDTF">2018-01-08T07:56:00Z</dcterms:created>
  <dcterms:modified xsi:type="dcterms:W3CDTF">2018-01-08T07:56:00Z</dcterms:modified>
</cp:coreProperties>
</file>