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CFE38" w14:textId="77777777" w:rsidR="00F55F81" w:rsidRDefault="00F55F81" w:rsidP="00F55F81">
      <w:pPr>
        <w:pStyle w:val="Heading1"/>
        <w:spacing w:line="360" w:lineRule="auto"/>
        <w:ind w:firstLine="142"/>
      </w:pPr>
      <w:r>
        <w:t>EXPLANATORY STATEMENT</w:t>
      </w:r>
    </w:p>
    <w:p w14:paraId="66515AF8" w14:textId="77777777" w:rsidR="00F55F81" w:rsidRDefault="00F55F81" w:rsidP="00F55F81">
      <w:pPr>
        <w:pStyle w:val="Heading2"/>
        <w:spacing w:before="120" w:after="360" w:line="360" w:lineRule="auto"/>
        <w:ind w:left="0" w:firstLine="142"/>
      </w:pPr>
      <w:r w:rsidRPr="0094373A">
        <w:rPr>
          <w:i/>
        </w:rPr>
        <w:t xml:space="preserve">Migration Regulations 1994 </w:t>
      </w:r>
    </w:p>
    <w:p w14:paraId="5A1BD7E0" w14:textId="4EA90C70" w:rsidR="00F55F81" w:rsidRDefault="00F55F81" w:rsidP="006F0221">
      <w:pPr>
        <w:spacing w:after="120" w:line="360" w:lineRule="auto"/>
        <w:ind w:firstLine="142"/>
        <w:jc w:val="center"/>
        <w:rPr>
          <w:b/>
          <w:sz w:val="24"/>
        </w:rPr>
      </w:pPr>
      <w:r w:rsidRPr="00F55F81">
        <w:rPr>
          <w:b/>
          <w:sz w:val="24"/>
        </w:rPr>
        <w:t xml:space="preserve">MIGRATION (IMMI </w:t>
      </w:r>
      <w:r w:rsidR="006F0221">
        <w:rPr>
          <w:b/>
          <w:sz w:val="24"/>
        </w:rPr>
        <w:t>18/005</w:t>
      </w:r>
      <w:r w:rsidRPr="00F55F81">
        <w:rPr>
          <w:b/>
          <w:sz w:val="24"/>
        </w:rPr>
        <w:t>: SPECIFICATION OF OCCUPATIONS AND ASSESSING AUTHORITIES—SU</w:t>
      </w:r>
      <w:r w:rsidR="006F0221">
        <w:rPr>
          <w:b/>
          <w:sz w:val="24"/>
        </w:rPr>
        <w:t>BCLASS 186 VISA) INSTRUMENT 2018</w:t>
      </w:r>
      <w:r w:rsidRPr="00F55F81">
        <w:rPr>
          <w:b/>
          <w:sz w:val="24"/>
        </w:rPr>
        <w:t xml:space="preserve"> </w:t>
      </w:r>
    </w:p>
    <w:p w14:paraId="793588E9" w14:textId="5DBA10D4" w:rsidR="00F55F81" w:rsidRPr="00F55F81" w:rsidRDefault="00F55F81" w:rsidP="00F55F81">
      <w:pPr>
        <w:spacing w:after="480" w:line="360" w:lineRule="auto"/>
        <w:ind w:left="142"/>
        <w:jc w:val="center"/>
        <w:rPr>
          <w:i/>
          <w:sz w:val="22"/>
          <w:szCs w:val="22"/>
        </w:rPr>
      </w:pPr>
      <w:r w:rsidRPr="000A2C52">
        <w:rPr>
          <w:i/>
          <w:sz w:val="22"/>
          <w:szCs w:val="22"/>
        </w:rPr>
        <w:t>(</w:t>
      </w:r>
      <w:proofErr w:type="gramStart"/>
      <w:r w:rsidR="006F0221">
        <w:rPr>
          <w:i/>
          <w:sz w:val="22"/>
          <w:szCs w:val="22"/>
        </w:rPr>
        <w:t>sub-sub</w:t>
      </w:r>
      <w:r>
        <w:rPr>
          <w:i/>
          <w:sz w:val="22"/>
          <w:szCs w:val="22"/>
        </w:rPr>
        <w:t>paragraph</w:t>
      </w:r>
      <w:proofErr w:type="gramEnd"/>
      <w:r>
        <w:rPr>
          <w:i/>
          <w:sz w:val="22"/>
          <w:szCs w:val="22"/>
        </w:rPr>
        <w:t xml:space="preserve"> 5.19(4)(h)(</w:t>
      </w:r>
      <w:proofErr w:type="spellStart"/>
      <w:r>
        <w:rPr>
          <w:i/>
          <w:sz w:val="22"/>
          <w:szCs w:val="22"/>
        </w:rPr>
        <w:t>i</w:t>
      </w:r>
      <w:proofErr w:type="spellEnd"/>
      <w:r>
        <w:rPr>
          <w:i/>
          <w:sz w:val="22"/>
          <w:szCs w:val="22"/>
        </w:rPr>
        <w:t xml:space="preserve">)(A) and </w:t>
      </w:r>
      <w:r w:rsidRPr="00F55F81">
        <w:rPr>
          <w:i/>
          <w:sz w:val="22"/>
          <w:szCs w:val="22"/>
        </w:rPr>
        <w:t>paragraph 186.234(2)(a) of Schedule 2</w:t>
      </w:r>
      <w:r w:rsidRPr="000A2C52">
        <w:rPr>
          <w:i/>
          <w:sz w:val="22"/>
          <w:szCs w:val="22"/>
        </w:rPr>
        <w:t>)</w:t>
      </w:r>
    </w:p>
    <w:p w14:paraId="15D23900" w14:textId="1E5A299E" w:rsidR="00F55F81" w:rsidRDefault="00F55F81" w:rsidP="00F55F81">
      <w:pPr>
        <w:numPr>
          <w:ilvl w:val="0"/>
          <w:numId w:val="1"/>
        </w:numPr>
        <w:spacing w:line="360" w:lineRule="auto"/>
        <w:jc w:val="both"/>
        <w:rPr>
          <w:sz w:val="24"/>
        </w:rPr>
      </w:pPr>
      <w:r>
        <w:rPr>
          <w:sz w:val="24"/>
        </w:rPr>
        <w:t xml:space="preserve">Instrument IMMI </w:t>
      </w:r>
      <w:r w:rsidR="006F0221">
        <w:rPr>
          <w:sz w:val="24"/>
        </w:rPr>
        <w:t>18/005</w:t>
      </w:r>
      <w:r>
        <w:rPr>
          <w:sz w:val="24"/>
        </w:rPr>
        <w:t xml:space="preserve"> is made </w:t>
      </w:r>
      <w:r w:rsidRPr="000A2C52">
        <w:rPr>
          <w:sz w:val="24"/>
        </w:rPr>
        <w:t xml:space="preserve">under </w:t>
      </w:r>
      <w:r w:rsidRPr="00F55F81">
        <w:rPr>
          <w:sz w:val="24"/>
        </w:rPr>
        <w:t>sub-subparagraph 5.19(4</w:t>
      </w:r>
      <w:proofErr w:type="gramStart"/>
      <w:r w:rsidRPr="00F55F81">
        <w:rPr>
          <w:sz w:val="24"/>
        </w:rPr>
        <w:t>)(</w:t>
      </w:r>
      <w:proofErr w:type="gramEnd"/>
      <w:r w:rsidRPr="00F55F81">
        <w:rPr>
          <w:sz w:val="24"/>
        </w:rPr>
        <w:t>h)(</w:t>
      </w:r>
      <w:proofErr w:type="spellStart"/>
      <w:r w:rsidRPr="00F55F81">
        <w:rPr>
          <w:sz w:val="24"/>
        </w:rPr>
        <w:t>i</w:t>
      </w:r>
      <w:proofErr w:type="spellEnd"/>
      <w:r w:rsidRPr="00F55F81">
        <w:rPr>
          <w:sz w:val="24"/>
        </w:rPr>
        <w:t xml:space="preserve">)(A) and paragraph 186.234(2)(a) of Schedule 2 to </w:t>
      </w:r>
      <w:r w:rsidRPr="000A2C52">
        <w:rPr>
          <w:sz w:val="24"/>
        </w:rPr>
        <w:t xml:space="preserve">the </w:t>
      </w:r>
      <w:r w:rsidRPr="002F66AA">
        <w:rPr>
          <w:i/>
          <w:sz w:val="24"/>
        </w:rPr>
        <w:t>Migration Regulations 1994</w:t>
      </w:r>
      <w:r w:rsidRPr="000A2C52">
        <w:rPr>
          <w:sz w:val="24"/>
        </w:rPr>
        <w:t xml:space="preserve"> (the Regulations).</w:t>
      </w:r>
    </w:p>
    <w:p w14:paraId="58DDEA39" w14:textId="3A98CDA6" w:rsidR="00170692" w:rsidRDefault="00CE2842" w:rsidP="008E13A2">
      <w:pPr>
        <w:numPr>
          <w:ilvl w:val="0"/>
          <w:numId w:val="1"/>
        </w:numPr>
        <w:spacing w:before="360" w:line="360" w:lineRule="auto"/>
        <w:jc w:val="both"/>
        <w:rPr>
          <w:sz w:val="24"/>
        </w:rPr>
      </w:pPr>
      <w:r>
        <w:rPr>
          <w:sz w:val="24"/>
        </w:rPr>
        <w:t>I</w:t>
      </w:r>
      <w:r w:rsidR="00F55F81" w:rsidRPr="00B7616D">
        <w:rPr>
          <w:sz w:val="24"/>
        </w:rPr>
        <w:t xml:space="preserve">nstrument </w:t>
      </w:r>
      <w:r w:rsidR="00C85A64">
        <w:rPr>
          <w:sz w:val="24"/>
        </w:rPr>
        <w:t xml:space="preserve">IMMI </w:t>
      </w:r>
      <w:r w:rsidR="006F0221">
        <w:rPr>
          <w:sz w:val="24"/>
        </w:rPr>
        <w:t>18/005</w:t>
      </w:r>
      <w:r w:rsidR="00C85A64">
        <w:rPr>
          <w:sz w:val="24"/>
        </w:rPr>
        <w:t xml:space="preserve"> </w:t>
      </w:r>
      <w:r w:rsidR="00F55F81" w:rsidRPr="00B7616D">
        <w:rPr>
          <w:sz w:val="24"/>
        </w:rPr>
        <w:t>operates to</w:t>
      </w:r>
      <w:r w:rsidR="008E13A2">
        <w:rPr>
          <w:sz w:val="24"/>
        </w:rPr>
        <w:t xml:space="preserve"> </w:t>
      </w:r>
      <w:r w:rsidR="00F55F81" w:rsidRPr="008E13A2">
        <w:rPr>
          <w:sz w:val="24"/>
        </w:rPr>
        <w:t xml:space="preserve">specify occupations for the purposes of </w:t>
      </w:r>
      <w:r w:rsidR="000C569D" w:rsidRPr="008E13A2">
        <w:rPr>
          <w:sz w:val="24"/>
        </w:rPr>
        <w:t>sub-subparagraph 5.19(4)(h)(</w:t>
      </w:r>
      <w:proofErr w:type="spellStart"/>
      <w:r w:rsidR="000C569D" w:rsidRPr="008E13A2">
        <w:rPr>
          <w:sz w:val="24"/>
        </w:rPr>
        <w:t>i</w:t>
      </w:r>
      <w:proofErr w:type="spellEnd"/>
      <w:r w:rsidR="000C569D" w:rsidRPr="008E13A2">
        <w:rPr>
          <w:sz w:val="24"/>
        </w:rPr>
        <w:t>)(A)</w:t>
      </w:r>
      <w:r w:rsidR="008E13A2">
        <w:rPr>
          <w:sz w:val="24"/>
        </w:rPr>
        <w:t>,</w:t>
      </w:r>
      <w:r w:rsidR="000C569D" w:rsidRPr="008E13A2">
        <w:rPr>
          <w:sz w:val="24"/>
        </w:rPr>
        <w:t xml:space="preserve"> </w:t>
      </w:r>
      <w:r w:rsidR="008E13A2" w:rsidRPr="008E13A2">
        <w:rPr>
          <w:sz w:val="24"/>
        </w:rPr>
        <w:t>and specify assessing authorities for the purposes of 186.234(2)(a) of Schedule 2 to the Regulations</w:t>
      </w:r>
      <w:r w:rsidR="008E13A2">
        <w:rPr>
          <w:sz w:val="24"/>
        </w:rPr>
        <w:t>,</w:t>
      </w:r>
      <w:r w:rsidR="008E13A2" w:rsidRPr="008E13A2">
        <w:rPr>
          <w:sz w:val="24"/>
        </w:rPr>
        <w:t xml:space="preserve"> </w:t>
      </w:r>
      <w:r w:rsidR="00F55F81" w:rsidRPr="008E13A2">
        <w:rPr>
          <w:sz w:val="24"/>
        </w:rPr>
        <w:t xml:space="preserve">in regard to the specification of occupations on the Medium and Long-term Strategic Skills List (MLTSSL) and the Short-term Skilled Occupation List (STSOL). </w:t>
      </w:r>
      <w:r w:rsidR="00C85A64">
        <w:rPr>
          <w:sz w:val="24"/>
        </w:rPr>
        <w:t xml:space="preserve">Those occupations were previously specified in instrument IMMI </w:t>
      </w:r>
      <w:r w:rsidR="006F0221">
        <w:rPr>
          <w:sz w:val="24"/>
        </w:rPr>
        <w:t>17/080</w:t>
      </w:r>
      <w:r w:rsidR="00C85A64">
        <w:rPr>
          <w:sz w:val="24"/>
        </w:rPr>
        <w:t>.</w:t>
      </w:r>
    </w:p>
    <w:p w14:paraId="26D4D9F3" w14:textId="1AEEAED4" w:rsidR="00170692" w:rsidRPr="008D523F" w:rsidRDefault="00C85A64" w:rsidP="00170692">
      <w:pPr>
        <w:numPr>
          <w:ilvl w:val="0"/>
          <w:numId w:val="1"/>
        </w:numPr>
        <w:spacing w:before="360" w:line="360" w:lineRule="auto"/>
        <w:jc w:val="both"/>
        <w:rPr>
          <w:sz w:val="24"/>
          <w:szCs w:val="24"/>
        </w:rPr>
      </w:pPr>
      <w:r w:rsidRPr="008D523F">
        <w:rPr>
          <w:sz w:val="24"/>
        </w:rPr>
        <w:t>The occupations that have been added and removed from</w:t>
      </w:r>
      <w:r w:rsidR="00170692" w:rsidRPr="008D523F">
        <w:rPr>
          <w:sz w:val="24"/>
        </w:rPr>
        <w:t xml:space="preserve"> the MLTSSL and STSOL from the previous instrument IMMI </w:t>
      </w:r>
      <w:r w:rsidR="00A77A12">
        <w:rPr>
          <w:sz w:val="24"/>
        </w:rPr>
        <w:t xml:space="preserve">17/080, and the changes to the inapplicability conditions </w:t>
      </w:r>
      <w:r w:rsidR="006F0221">
        <w:rPr>
          <w:sz w:val="24"/>
        </w:rPr>
        <w:t xml:space="preserve">or </w:t>
      </w:r>
      <w:r w:rsidR="00A77A12">
        <w:rPr>
          <w:sz w:val="24"/>
        </w:rPr>
        <w:t>‘</w:t>
      </w:r>
      <w:r w:rsidR="006F0221">
        <w:rPr>
          <w:sz w:val="24"/>
        </w:rPr>
        <w:t>caveats</w:t>
      </w:r>
      <w:r w:rsidR="00A77A12">
        <w:rPr>
          <w:sz w:val="24"/>
        </w:rPr>
        <w:t>’</w:t>
      </w:r>
      <w:r w:rsidR="006F0221">
        <w:rPr>
          <w:sz w:val="24"/>
        </w:rPr>
        <w:t xml:space="preserve"> on these occupations,</w:t>
      </w:r>
      <w:r w:rsidR="00B7458B" w:rsidRPr="008D523F">
        <w:rPr>
          <w:sz w:val="24"/>
        </w:rPr>
        <w:t xml:space="preserve"> </w:t>
      </w:r>
      <w:r w:rsidRPr="008D523F">
        <w:rPr>
          <w:sz w:val="24"/>
        </w:rPr>
        <w:t xml:space="preserve">are </w:t>
      </w:r>
      <w:r w:rsidR="00B7458B" w:rsidRPr="008D523F">
        <w:rPr>
          <w:sz w:val="24"/>
        </w:rPr>
        <w:t xml:space="preserve">based on </w:t>
      </w:r>
      <w:r w:rsidR="006F0221">
        <w:rPr>
          <w:sz w:val="24"/>
        </w:rPr>
        <w:t>a regular six-monthly</w:t>
      </w:r>
      <w:r w:rsidR="00B7458B" w:rsidRPr="008D523F">
        <w:rPr>
          <w:sz w:val="24"/>
        </w:rPr>
        <w:t xml:space="preserve"> review </w:t>
      </w:r>
      <w:r w:rsidR="000E66D0">
        <w:rPr>
          <w:sz w:val="24"/>
        </w:rPr>
        <w:t xml:space="preserve">by the Department of </w:t>
      </w:r>
      <w:r w:rsidR="008E584A">
        <w:rPr>
          <w:sz w:val="24"/>
        </w:rPr>
        <w:t xml:space="preserve">Jobs and Small Business </w:t>
      </w:r>
      <w:r w:rsidR="00B7458B" w:rsidRPr="008D523F">
        <w:rPr>
          <w:sz w:val="24"/>
        </w:rPr>
        <w:t>of occupations eligible for skilled visas. The changes made are a result of advice from Government departments</w:t>
      </w:r>
      <w:r w:rsidR="000E66D0">
        <w:rPr>
          <w:sz w:val="24"/>
        </w:rPr>
        <w:t>, labour market analysis</w:t>
      </w:r>
      <w:r w:rsidR="00B7458B" w:rsidRPr="008D523F">
        <w:rPr>
          <w:sz w:val="24"/>
        </w:rPr>
        <w:t xml:space="preserve"> and consultation with industry. The amended occupation lists ensure that the entry of skilled foreign workers to Australia remains carefully calibrated to Australia’s needs.</w:t>
      </w:r>
    </w:p>
    <w:p w14:paraId="36891B91" w14:textId="0464730C" w:rsidR="00170692" w:rsidRPr="006F0221" w:rsidRDefault="006F0221" w:rsidP="00170692">
      <w:pPr>
        <w:numPr>
          <w:ilvl w:val="0"/>
          <w:numId w:val="1"/>
        </w:numPr>
        <w:spacing w:before="360" w:line="360" w:lineRule="auto"/>
        <w:jc w:val="both"/>
        <w:rPr>
          <w:sz w:val="24"/>
          <w:szCs w:val="24"/>
        </w:rPr>
      </w:pPr>
      <w:r>
        <w:rPr>
          <w:sz w:val="24"/>
        </w:rPr>
        <w:t>This instrument is different from the instrument it replaces, IMMI 17/080, in the following respects:</w:t>
      </w:r>
    </w:p>
    <w:p w14:paraId="1C9E439E" w14:textId="2CDD524E" w:rsidR="006F0221" w:rsidRPr="000C78C7" w:rsidRDefault="006F0221" w:rsidP="006F0221">
      <w:pPr>
        <w:pStyle w:val="ListParagraph"/>
        <w:numPr>
          <w:ilvl w:val="0"/>
          <w:numId w:val="3"/>
        </w:numPr>
        <w:spacing w:before="360" w:line="360" w:lineRule="auto"/>
        <w:jc w:val="both"/>
        <w:rPr>
          <w:sz w:val="24"/>
          <w:szCs w:val="24"/>
        </w:rPr>
      </w:pPr>
      <w:r>
        <w:rPr>
          <w:sz w:val="24"/>
        </w:rPr>
        <w:t>The occupations of “horse breeder” (</w:t>
      </w:r>
      <w:r w:rsidR="0043594B">
        <w:rPr>
          <w:sz w:val="24"/>
        </w:rPr>
        <w:t>ANZSCO</w:t>
      </w:r>
      <w:r>
        <w:rPr>
          <w:sz w:val="24"/>
        </w:rPr>
        <w:t xml:space="preserve"> 121316) and </w:t>
      </w:r>
      <w:r w:rsidRPr="000C78C7">
        <w:rPr>
          <w:sz w:val="24"/>
        </w:rPr>
        <w:t>“management consultant” (</w:t>
      </w:r>
      <w:r w:rsidR="0043594B">
        <w:rPr>
          <w:sz w:val="24"/>
        </w:rPr>
        <w:t>ANZSCO</w:t>
      </w:r>
      <w:r w:rsidRPr="000C78C7">
        <w:rPr>
          <w:sz w:val="24"/>
        </w:rPr>
        <w:t xml:space="preserve"> 224711) have been removed from the STSOL and added to the MLTSSL. A new inapplicability condition has been added to the occupation of “management consultant”. New condition 23 has been in</w:t>
      </w:r>
      <w:r w:rsidR="008E584A">
        <w:rPr>
          <w:sz w:val="24"/>
        </w:rPr>
        <w:t>serted in the table in section 9</w:t>
      </w:r>
      <w:r w:rsidRPr="000C78C7">
        <w:rPr>
          <w:sz w:val="24"/>
        </w:rPr>
        <w:t xml:space="preserve"> of Part 2 of the instrument and provides that the position cannot have a nominated base salary of less than AUD90</w:t>
      </w:r>
      <w:proofErr w:type="gramStart"/>
      <w:r w:rsidRPr="000C78C7">
        <w:rPr>
          <w:sz w:val="24"/>
        </w:rPr>
        <w:t>,000</w:t>
      </w:r>
      <w:proofErr w:type="gramEnd"/>
      <w:r w:rsidRPr="000C78C7">
        <w:rPr>
          <w:sz w:val="24"/>
        </w:rPr>
        <w:t>.</w:t>
      </w:r>
    </w:p>
    <w:p w14:paraId="73B14640" w14:textId="41AB5453" w:rsidR="006F0221" w:rsidRDefault="006F0221" w:rsidP="006F0221">
      <w:pPr>
        <w:numPr>
          <w:ilvl w:val="0"/>
          <w:numId w:val="3"/>
        </w:numPr>
        <w:spacing w:before="360" w:line="360" w:lineRule="auto"/>
        <w:jc w:val="both"/>
        <w:rPr>
          <w:sz w:val="24"/>
        </w:rPr>
      </w:pPr>
      <w:proofErr w:type="gramStart"/>
      <w:r>
        <w:rPr>
          <w:sz w:val="24"/>
        </w:rPr>
        <w:lastRenderedPageBreak/>
        <w:t>The following inapplicability conditions have been added to the occupation of “management accountant” (</w:t>
      </w:r>
      <w:r w:rsidR="0043594B">
        <w:rPr>
          <w:sz w:val="24"/>
        </w:rPr>
        <w:t>ANZSCO</w:t>
      </w:r>
      <w:r>
        <w:rPr>
          <w:sz w:val="24"/>
        </w:rPr>
        <w:t xml:space="preserve"> 221112): condition 6 (the position cannot be a clerical, bookkeeper or accounting clerk position); condition 19 (the position cannot be in a business that has an annual turnover of less than AUD1,000,000); and condition 21 (the position cannot be in a business that has fewer than 5 employees).</w:t>
      </w:r>
      <w:proofErr w:type="gramEnd"/>
    </w:p>
    <w:p w14:paraId="625D3F8E" w14:textId="64CED3C2" w:rsidR="006F0221" w:rsidRPr="006F0221" w:rsidRDefault="006F0221" w:rsidP="006F0221">
      <w:pPr>
        <w:pStyle w:val="ListParagraph"/>
        <w:numPr>
          <w:ilvl w:val="0"/>
          <w:numId w:val="3"/>
        </w:numPr>
        <w:spacing w:before="360" w:line="360" w:lineRule="auto"/>
        <w:jc w:val="both"/>
        <w:rPr>
          <w:sz w:val="24"/>
          <w:szCs w:val="24"/>
        </w:rPr>
      </w:pPr>
      <w:r>
        <w:rPr>
          <w:sz w:val="24"/>
        </w:rPr>
        <w:t xml:space="preserve">The following inapplicability conditions </w:t>
      </w:r>
      <w:proofErr w:type="gramStart"/>
      <w:r>
        <w:rPr>
          <w:sz w:val="24"/>
        </w:rPr>
        <w:t>have been added</w:t>
      </w:r>
      <w:proofErr w:type="gramEnd"/>
      <w:r>
        <w:rPr>
          <w:sz w:val="24"/>
        </w:rPr>
        <w:t xml:space="preserve"> to the occupation of “taxation accountant”</w:t>
      </w:r>
      <w:r w:rsidR="00E20D49">
        <w:rPr>
          <w:sz w:val="24"/>
        </w:rPr>
        <w:t xml:space="preserve"> (</w:t>
      </w:r>
      <w:r w:rsidR="0043594B">
        <w:rPr>
          <w:sz w:val="24"/>
        </w:rPr>
        <w:t>ANZSCO</w:t>
      </w:r>
      <w:r w:rsidR="00E20D49">
        <w:rPr>
          <w:sz w:val="24"/>
        </w:rPr>
        <w:t xml:space="preserve"> 221113)</w:t>
      </w:r>
      <w:r>
        <w:rPr>
          <w:sz w:val="24"/>
        </w:rPr>
        <w:t>: conditions 19 and 21.</w:t>
      </w:r>
    </w:p>
    <w:p w14:paraId="7374A14B" w14:textId="6D9EB0FC" w:rsidR="006F0221" w:rsidRDefault="006F0221" w:rsidP="006F0221">
      <w:pPr>
        <w:numPr>
          <w:ilvl w:val="0"/>
          <w:numId w:val="3"/>
        </w:numPr>
        <w:spacing w:before="360" w:line="360" w:lineRule="auto"/>
        <w:jc w:val="both"/>
        <w:rPr>
          <w:sz w:val="24"/>
        </w:rPr>
      </w:pPr>
      <w:proofErr w:type="gramStart"/>
      <w:r>
        <w:rPr>
          <w:sz w:val="24"/>
        </w:rPr>
        <w:t>For the occupation of “supply and distribution manager” (</w:t>
      </w:r>
      <w:r w:rsidR="0043594B">
        <w:rPr>
          <w:sz w:val="24"/>
        </w:rPr>
        <w:t>ANZSCO</w:t>
      </w:r>
      <w:r>
        <w:rPr>
          <w:sz w:val="24"/>
        </w:rPr>
        <w:t xml:space="preserve"> 133611), the inapplicability condition has changed from 19 to condition 20 (the position cannot be in a business that has an annual turnover of less than AUD1,000,000, and if the person is to be transferred to fill the position – the transfer is an intra-corporate transfer to which an international trade obligation applies).</w:t>
      </w:r>
      <w:proofErr w:type="gramEnd"/>
    </w:p>
    <w:p w14:paraId="5C5CB221" w14:textId="7BF8A8E2" w:rsidR="006F0221" w:rsidRDefault="006F0221" w:rsidP="006F0221">
      <w:pPr>
        <w:numPr>
          <w:ilvl w:val="0"/>
          <w:numId w:val="3"/>
        </w:numPr>
        <w:spacing w:before="360" w:line="360" w:lineRule="auto"/>
        <w:jc w:val="both"/>
        <w:rPr>
          <w:sz w:val="24"/>
        </w:rPr>
      </w:pPr>
      <w:r>
        <w:rPr>
          <w:sz w:val="24"/>
        </w:rPr>
        <w:t>The following inapplicability condition has been added to the occupation of “accommodation and hospitality managers (</w:t>
      </w:r>
      <w:proofErr w:type="spellStart"/>
      <w:r>
        <w:rPr>
          <w:sz w:val="24"/>
        </w:rPr>
        <w:t>nec</w:t>
      </w:r>
      <w:proofErr w:type="spellEnd"/>
      <w:r>
        <w:rPr>
          <w:sz w:val="24"/>
        </w:rPr>
        <w:t>)”</w:t>
      </w:r>
      <w:r w:rsidR="00E20D49">
        <w:rPr>
          <w:sz w:val="24"/>
        </w:rPr>
        <w:t xml:space="preserve"> (</w:t>
      </w:r>
      <w:r w:rsidR="0043594B">
        <w:rPr>
          <w:sz w:val="24"/>
        </w:rPr>
        <w:t>ANZSCO</w:t>
      </w:r>
      <w:r w:rsidR="00E20D49">
        <w:rPr>
          <w:sz w:val="24"/>
        </w:rPr>
        <w:t xml:space="preserve"> 141999)</w:t>
      </w:r>
      <w:r>
        <w:rPr>
          <w:sz w:val="24"/>
        </w:rPr>
        <w:t xml:space="preserve">: condition 10 (the position </w:t>
      </w:r>
      <w:r w:rsidR="006B655D">
        <w:rPr>
          <w:sz w:val="24"/>
        </w:rPr>
        <w:t>must</w:t>
      </w:r>
      <w:r>
        <w:rPr>
          <w:sz w:val="24"/>
        </w:rPr>
        <w:t xml:space="preserve"> be located in regional Australia (within the meaning of </w:t>
      </w:r>
      <w:proofErr w:type="spellStart"/>
      <w:r>
        <w:rPr>
          <w:sz w:val="24"/>
        </w:rPr>
        <w:t>subregulation</w:t>
      </w:r>
      <w:proofErr w:type="spellEnd"/>
      <w:r>
        <w:rPr>
          <w:sz w:val="24"/>
        </w:rPr>
        <w:t xml:space="preserve"> 5.19(7) of the Regulations)).</w:t>
      </w:r>
    </w:p>
    <w:p w14:paraId="6B2A8DCD" w14:textId="2F32344C" w:rsidR="006F0221" w:rsidRDefault="006F0221" w:rsidP="006F0221">
      <w:pPr>
        <w:numPr>
          <w:ilvl w:val="0"/>
          <w:numId w:val="3"/>
        </w:numPr>
        <w:spacing w:before="360" w:line="360" w:lineRule="auto"/>
        <w:jc w:val="both"/>
        <w:rPr>
          <w:sz w:val="24"/>
        </w:rPr>
      </w:pPr>
      <w:r>
        <w:rPr>
          <w:sz w:val="24"/>
        </w:rPr>
        <w:t>The occupations of “hair or beauty salon manager” (</w:t>
      </w:r>
      <w:r w:rsidR="0043594B">
        <w:rPr>
          <w:sz w:val="24"/>
        </w:rPr>
        <w:t>ANZSCO</w:t>
      </w:r>
      <w:r>
        <w:rPr>
          <w:sz w:val="24"/>
        </w:rPr>
        <w:t xml:space="preserve"> 142114) and “</w:t>
      </w:r>
      <w:r w:rsidRPr="000C78C7">
        <w:rPr>
          <w:sz w:val="24"/>
        </w:rPr>
        <w:t>building associate”</w:t>
      </w:r>
      <w:r>
        <w:rPr>
          <w:sz w:val="24"/>
        </w:rPr>
        <w:t xml:space="preserve"> (</w:t>
      </w:r>
      <w:r w:rsidR="0043594B">
        <w:rPr>
          <w:sz w:val="24"/>
        </w:rPr>
        <w:t>ANZSCO</w:t>
      </w:r>
      <w:r>
        <w:rPr>
          <w:sz w:val="24"/>
        </w:rPr>
        <w:t xml:space="preserve"> 312112) have been removed from the STSOL. </w:t>
      </w:r>
      <w:r w:rsidRPr="0014719D">
        <w:rPr>
          <w:sz w:val="24"/>
        </w:rPr>
        <w:t>As a consequence, inapplicability condition 13 has been removed from the ta</w:t>
      </w:r>
      <w:r w:rsidR="008E584A">
        <w:rPr>
          <w:sz w:val="24"/>
        </w:rPr>
        <w:t>ble in section 9</w:t>
      </w:r>
      <w:r w:rsidRPr="0014719D">
        <w:rPr>
          <w:sz w:val="24"/>
        </w:rPr>
        <w:t xml:space="preserve"> of Part 2 of the instrument as the only occupation to which it applied was the occupation of “hair or beauty salon manager”.</w:t>
      </w:r>
    </w:p>
    <w:p w14:paraId="5A8EEE4D" w14:textId="340D049A" w:rsidR="006F0221" w:rsidRDefault="006F0221" w:rsidP="006F0221">
      <w:pPr>
        <w:numPr>
          <w:ilvl w:val="0"/>
          <w:numId w:val="3"/>
        </w:numPr>
        <w:spacing w:before="360" w:line="360" w:lineRule="auto"/>
        <w:jc w:val="both"/>
        <w:rPr>
          <w:sz w:val="24"/>
        </w:rPr>
      </w:pPr>
      <w:r>
        <w:rPr>
          <w:sz w:val="24"/>
        </w:rPr>
        <w:t>The inapplicability condition 2 (the position cannot have a nominated base salary of less than AUD65</w:t>
      </w:r>
      <w:proofErr w:type="gramStart"/>
      <w:r>
        <w:rPr>
          <w:sz w:val="24"/>
        </w:rPr>
        <w:t>,000</w:t>
      </w:r>
      <w:proofErr w:type="gramEnd"/>
      <w:r>
        <w:rPr>
          <w:sz w:val="24"/>
        </w:rPr>
        <w:t>) has been removed from the occupation of “recruitment consultant” (</w:t>
      </w:r>
      <w:r w:rsidR="0043594B">
        <w:rPr>
          <w:sz w:val="24"/>
        </w:rPr>
        <w:t>ANZSCO</w:t>
      </w:r>
      <w:r>
        <w:rPr>
          <w:sz w:val="24"/>
        </w:rPr>
        <w:t xml:space="preserve"> 223112) and new condition 23 has been added, providing that the position cannot have a nominated base salary of less than AUD90,000.</w:t>
      </w:r>
    </w:p>
    <w:p w14:paraId="7BACA519" w14:textId="1C951CC9" w:rsidR="006F0221" w:rsidRPr="000C78C7" w:rsidRDefault="006F0221" w:rsidP="006F0221">
      <w:pPr>
        <w:pStyle w:val="ListParagraph"/>
        <w:numPr>
          <w:ilvl w:val="0"/>
          <w:numId w:val="3"/>
        </w:numPr>
        <w:spacing w:before="360" w:line="360" w:lineRule="auto"/>
        <w:jc w:val="both"/>
        <w:rPr>
          <w:sz w:val="24"/>
          <w:szCs w:val="24"/>
        </w:rPr>
      </w:pPr>
      <w:r>
        <w:rPr>
          <w:sz w:val="24"/>
        </w:rPr>
        <w:t>The occupations of “psychotherapist” (</w:t>
      </w:r>
      <w:r w:rsidR="0043594B">
        <w:rPr>
          <w:sz w:val="24"/>
        </w:rPr>
        <w:t>ANZSCO</w:t>
      </w:r>
      <w:r>
        <w:rPr>
          <w:sz w:val="24"/>
        </w:rPr>
        <w:t xml:space="preserve"> 272314), “property manager” (</w:t>
      </w:r>
      <w:r w:rsidR="0043594B">
        <w:rPr>
          <w:sz w:val="24"/>
        </w:rPr>
        <w:t>ANZSCO</w:t>
      </w:r>
      <w:r>
        <w:rPr>
          <w:sz w:val="24"/>
        </w:rPr>
        <w:t xml:space="preserve"> 612112) and “real estate representative” (</w:t>
      </w:r>
      <w:r w:rsidR="0043594B">
        <w:rPr>
          <w:sz w:val="24"/>
        </w:rPr>
        <w:t>ANZSCO</w:t>
      </w:r>
      <w:r>
        <w:rPr>
          <w:sz w:val="24"/>
        </w:rPr>
        <w:t xml:space="preserve"> 612115) have been </w:t>
      </w:r>
      <w:r>
        <w:rPr>
          <w:sz w:val="24"/>
        </w:rPr>
        <w:lastRenderedPageBreak/>
        <w:t xml:space="preserve">added to the STSOL. </w:t>
      </w:r>
      <w:r w:rsidRPr="00FE29A0">
        <w:rPr>
          <w:sz w:val="24"/>
        </w:rPr>
        <w:t>The occupation</w:t>
      </w:r>
      <w:r w:rsidR="008E584A">
        <w:rPr>
          <w:sz w:val="24"/>
        </w:rPr>
        <w:t>s</w:t>
      </w:r>
      <w:r w:rsidRPr="00FE29A0">
        <w:rPr>
          <w:sz w:val="24"/>
        </w:rPr>
        <w:t xml:space="preserve"> o</w:t>
      </w:r>
      <w:r w:rsidR="008E584A">
        <w:rPr>
          <w:sz w:val="24"/>
        </w:rPr>
        <w:t>f “property manager” and</w:t>
      </w:r>
      <w:r w:rsidRPr="00FE29A0">
        <w:rPr>
          <w:sz w:val="24"/>
        </w:rPr>
        <w:t xml:space="preserve"> “real estate representative</w:t>
      </w:r>
      <w:r w:rsidR="008E584A">
        <w:rPr>
          <w:sz w:val="24"/>
        </w:rPr>
        <w:t xml:space="preserve">” are </w:t>
      </w:r>
      <w:r w:rsidRPr="00FE29A0">
        <w:rPr>
          <w:sz w:val="24"/>
        </w:rPr>
        <w:t>subject to inapplicability condition</w:t>
      </w:r>
      <w:r w:rsidR="008E584A">
        <w:rPr>
          <w:sz w:val="24"/>
        </w:rPr>
        <w:t>s</w:t>
      </w:r>
      <w:r w:rsidRPr="00FE29A0">
        <w:rPr>
          <w:sz w:val="24"/>
        </w:rPr>
        <w:t xml:space="preserve"> 2, </w:t>
      </w:r>
      <w:r>
        <w:rPr>
          <w:sz w:val="24"/>
        </w:rPr>
        <w:t xml:space="preserve">10, </w:t>
      </w:r>
      <w:r w:rsidRPr="00FE29A0">
        <w:rPr>
          <w:sz w:val="24"/>
        </w:rPr>
        <w:t>19 and 21.</w:t>
      </w:r>
    </w:p>
    <w:p w14:paraId="4995E964" w14:textId="73BE9DC5" w:rsidR="000C78C7" w:rsidRPr="000C78C7" w:rsidRDefault="000C78C7" w:rsidP="000C78C7">
      <w:pPr>
        <w:numPr>
          <w:ilvl w:val="0"/>
          <w:numId w:val="3"/>
        </w:numPr>
        <w:spacing w:before="360" w:line="360" w:lineRule="auto"/>
        <w:jc w:val="both"/>
        <w:rPr>
          <w:sz w:val="24"/>
        </w:rPr>
      </w:pPr>
      <w:r>
        <w:rPr>
          <w:sz w:val="24"/>
        </w:rPr>
        <w:t xml:space="preserve">A typographical error has been corrected in item 12 of the table in section 8 of Part 2 of the instrument, providing at paragraph (d) that the </w:t>
      </w:r>
      <w:r w:rsidR="000E66D0">
        <w:rPr>
          <w:sz w:val="24"/>
        </w:rPr>
        <w:t xml:space="preserve">occupation is inapplicable if the </w:t>
      </w:r>
      <w:r>
        <w:rPr>
          <w:sz w:val="24"/>
        </w:rPr>
        <w:t xml:space="preserve">position </w:t>
      </w:r>
      <w:r w:rsidR="000E66D0">
        <w:rPr>
          <w:sz w:val="24"/>
        </w:rPr>
        <w:t>is</w:t>
      </w:r>
      <w:r>
        <w:rPr>
          <w:sz w:val="24"/>
        </w:rPr>
        <w:t xml:space="preserve"> in a retail setting.</w:t>
      </w:r>
    </w:p>
    <w:p w14:paraId="4C757585" w14:textId="50A7DF4B" w:rsidR="00CE2842" w:rsidRPr="001809EE" w:rsidRDefault="00F53443" w:rsidP="00FC4D98">
      <w:pPr>
        <w:numPr>
          <w:ilvl w:val="0"/>
          <w:numId w:val="1"/>
        </w:numPr>
        <w:tabs>
          <w:tab w:val="left" w:pos="567"/>
        </w:tabs>
        <w:spacing w:before="360" w:line="360" w:lineRule="auto"/>
        <w:jc w:val="both"/>
        <w:rPr>
          <w:sz w:val="24"/>
          <w:szCs w:val="24"/>
        </w:rPr>
      </w:pPr>
      <w:r w:rsidRPr="001809EE">
        <w:rPr>
          <w:sz w:val="24"/>
          <w:szCs w:val="24"/>
        </w:rPr>
        <w:t>The effect of the application provision</w:t>
      </w:r>
      <w:r w:rsidR="001809EE" w:rsidRPr="001809EE">
        <w:rPr>
          <w:sz w:val="24"/>
          <w:szCs w:val="24"/>
        </w:rPr>
        <w:t xml:space="preserve"> in paragraph 11(a)</w:t>
      </w:r>
      <w:r w:rsidRPr="001809EE">
        <w:rPr>
          <w:sz w:val="24"/>
          <w:szCs w:val="24"/>
        </w:rPr>
        <w:t xml:space="preserve"> of Part 3 of the instrument is that the instrument applies only in relation to an application</w:t>
      </w:r>
      <w:r w:rsidR="002A7ADA" w:rsidRPr="001809EE">
        <w:rPr>
          <w:sz w:val="24"/>
          <w:szCs w:val="24"/>
        </w:rPr>
        <w:t xml:space="preserve"> for approval of a nomination of a position if the application </w:t>
      </w:r>
      <w:proofErr w:type="gramStart"/>
      <w:r w:rsidR="002A7ADA" w:rsidRPr="001809EE">
        <w:rPr>
          <w:sz w:val="24"/>
          <w:szCs w:val="24"/>
        </w:rPr>
        <w:t>is made</w:t>
      </w:r>
      <w:proofErr w:type="gramEnd"/>
      <w:r w:rsidR="002A7ADA" w:rsidRPr="001809EE">
        <w:rPr>
          <w:sz w:val="24"/>
          <w:szCs w:val="24"/>
        </w:rPr>
        <w:t xml:space="preserve"> </w:t>
      </w:r>
      <w:r w:rsidRPr="001809EE">
        <w:rPr>
          <w:sz w:val="24"/>
          <w:szCs w:val="24"/>
        </w:rPr>
        <w:t xml:space="preserve">on or after 17 January 2018. </w:t>
      </w:r>
      <w:r w:rsidR="00CE2842" w:rsidRPr="001809EE">
        <w:rPr>
          <w:sz w:val="24"/>
          <w:szCs w:val="24"/>
        </w:rPr>
        <w:t xml:space="preserve">The effect of the </w:t>
      </w:r>
      <w:r w:rsidR="002A7ADA" w:rsidRPr="001809EE">
        <w:rPr>
          <w:sz w:val="24"/>
          <w:szCs w:val="24"/>
        </w:rPr>
        <w:t>application provision in paragraph</w:t>
      </w:r>
      <w:r w:rsidR="00CE2842" w:rsidRPr="001809EE">
        <w:rPr>
          <w:sz w:val="24"/>
          <w:szCs w:val="24"/>
        </w:rPr>
        <w:t xml:space="preserve"> 11(b) of Part 3 of the instrument is that the instrument applies to an application</w:t>
      </w:r>
      <w:r w:rsidR="002A7ADA" w:rsidRPr="001809EE">
        <w:rPr>
          <w:sz w:val="24"/>
          <w:szCs w:val="24"/>
        </w:rPr>
        <w:t xml:space="preserve"> made on or after 17 January 2018</w:t>
      </w:r>
      <w:r w:rsidR="00CE2842" w:rsidRPr="001809EE">
        <w:rPr>
          <w:sz w:val="24"/>
          <w:szCs w:val="24"/>
        </w:rPr>
        <w:t xml:space="preserve"> for a Subclass 186 </w:t>
      </w:r>
      <w:r w:rsidR="002A7ADA" w:rsidRPr="001809EE">
        <w:rPr>
          <w:sz w:val="24"/>
          <w:szCs w:val="24"/>
        </w:rPr>
        <w:t xml:space="preserve">(Employer </w:t>
      </w:r>
      <w:bookmarkStart w:id="0" w:name="_GoBack"/>
      <w:bookmarkEnd w:id="0"/>
      <w:r w:rsidR="002A7ADA" w:rsidRPr="001809EE">
        <w:rPr>
          <w:sz w:val="24"/>
          <w:szCs w:val="24"/>
        </w:rPr>
        <w:t>Nomination Scheme) visa</w:t>
      </w:r>
      <w:r w:rsidR="00FC4D98">
        <w:rPr>
          <w:sz w:val="24"/>
          <w:szCs w:val="24"/>
        </w:rPr>
        <w:t xml:space="preserve">, </w:t>
      </w:r>
      <w:r w:rsidR="00FC4D98" w:rsidRPr="001809EE">
        <w:rPr>
          <w:sz w:val="24"/>
          <w:szCs w:val="24"/>
        </w:rPr>
        <w:t xml:space="preserve">but only in those circumstances where the related application for approval </w:t>
      </w:r>
      <w:r w:rsidR="00FC4D98">
        <w:rPr>
          <w:sz w:val="24"/>
          <w:szCs w:val="24"/>
        </w:rPr>
        <w:t xml:space="preserve">of a nomination was made on or after </w:t>
      </w:r>
      <w:r w:rsidR="00FC4D98" w:rsidRPr="001809EE">
        <w:rPr>
          <w:sz w:val="24"/>
          <w:szCs w:val="24"/>
        </w:rPr>
        <w:t>17 January 2018</w:t>
      </w:r>
    </w:p>
    <w:p w14:paraId="2F4A88F8" w14:textId="1F7DFD86" w:rsidR="00CE2842" w:rsidRDefault="00CE2842" w:rsidP="00CE2842">
      <w:pPr>
        <w:numPr>
          <w:ilvl w:val="0"/>
          <w:numId w:val="1"/>
        </w:numPr>
        <w:spacing w:before="360" w:line="360" w:lineRule="auto"/>
        <w:jc w:val="both"/>
        <w:rPr>
          <w:sz w:val="24"/>
        </w:rPr>
      </w:pPr>
      <w:r>
        <w:rPr>
          <w:sz w:val="24"/>
        </w:rPr>
        <w:t xml:space="preserve">The instrument repeals the </w:t>
      </w:r>
      <w:r>
        <w:rPr>
          <w:i/>
          <w:sz w:val="24"/>
        </w:rPr>
        <w:t>Migration (IMMI 17/08</w:t>
      </w:r>
      <w:r w:rsidRPr="009D71AA">
        <w:rPr>
          <w:i/>
          <w:sz w:val="24"/>
        </w:rPr>
        <w:t>0: Specification of Occupations</w:t>
      </w:r>
      <w:r w:rsidR="00A77A12">
        <w:rPr>
          <w:i/>
          <w:sz w:val="24"/>
        </w:rPr>
        <w:t xml:space="preserve"> and Assessing Authorities –</w:t>
      </w:r>
      <w:r>
        <w:rPr>
          <w:i/>
          <w:sz w:val="24"/>
        </w:rPr>
        <w:t>Subclass 186 Visa</w:t>
      </w:r>
      <w:r w:rsidRPr="009D71AA">
        <w:rPr>
          <w:i/>
          <w:sz w:val="24"/>
        </w:rPr>
        <w:t>) Instrument 2017</w:t>
      </w:r>
      <w:r>
        <w:rPr>
          <w:sz w:val="24"/>
        </w:rPr>
        <w:t xml:space="preserve"> made under sub-subparagraph 5.19(4)(h)(</w:t>
      </w:r>
      <w:proofErr w:type="spellStart"/>
      <w:r>
        <w:rPr>
          <w:sz w:val="24"/>
        </w:rPr>
        <w:t>i</w:t>
      </w:r>
      <w:proofErr w:type="spellEnd"/>
      <w:r>
        <w:rPr>
          <w:sz w:val="24"/>
        </w:rPr>
        <w:t xml:space="preserve">)(A) and paragraph 186.234(2)(a) of the Regulations and in accordance with subsection 33(3) of the </w:t>
      </w:r>
      <w:r w:rsidRPr="009D71AA">
        <w:rPr>
          <w:i/>
          <w:sz w:val="24"/>
        </w:rPr>
        <w:t>Acts Interpretation Act 1901</w:t>
      </w:r>
      <w:r>
        <w:rPr>
          <w:sz w:val="24"/>
        </w:rPr>
        <w:t xml:space="preserve"> (the Acts Interpretation Act). Subsection 33(3) of the Acts Interpretation Act states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
    <w:p w14:paraId="43DCC602" w14:textId="4AC57D23" w:rsidR="00E4627A" w:rsidRPr="001809EE" w:rsidRDefault="00F53443" w:rsidP="005648C6">
      <w:pPr>
        <w:numPr>
          <w:ilvl w:val="0"/>
          <w:numId w:val="1"/>
        </w:numPr>
        <w:tabs>
          <w:tab w:val="left" w:pos="567"/>
        </w:tabs>
        <w:spacing w:before="360" w:line="360" w:lineRule="auto"/>
        <w:jc w:val="both"/>
        <w:rPr>
          <w:sz w:val="24"/>
          <w:szCs w:val="24"/>
        </w:rPr>
      </w:pPr>
      <w:r w:rsidRPr="001809EE">
        <w:rPr>
          <w:sz w:val="24"/>
          <w:szCs w:val="24"/>
        </w:rPr>
        <w:t>The application provision in</w:t>
      </w:r>
      <w:r w:rsidR="001809EE" w:rsidRPr="001809EE">
        <w:rPr>
          <w:sz w:val="24"/>
          <w:szCs w:val="24"/>
        </w:rPr>
        <w:t xml:space="preserve"> Sec</w:t>
      </w:r>
      <w:r w:rsidR="00E4627A" w:rsidRPr="001809EE">
        <w:rPr>
          <w:sz w:val="24"/>
          <w:szCs w:val="24"/>
        </w:rPr>
        <w:t>tion 1 of</w:t>
      </w:r>
      <w:r w:rsidRPr="001809EE">
        <w:rPr>
          <w:sz w:val="24"/>
          <w:szCs w:val="24"/>
        </w:rPr>
        <w:t xml:space="preserve"> Part 2 of Schedule 1 to the instrument provides that the repeal</w:t>
      </w:r>
      <w:r w:rsidR="005648C6" w:rsidRPr="001809EE">
        <w:rPr>
          <w:sz w:val="24"/>
          <w:szCs w:val="24"/>
        </w:rPr>
        <w:t>ed instrument</w:t>
      </w:r>
      <w:r w:rsidR="00E4627A" w:rsidRPr="001809EE">
        <w:rPr>
          <w:sz w:val="24"/>
          <w:szCs w:val="24"/>
        </w:rPr>
        <w:t xml:space="preserve"> continues to apply in relation to:</w:t>
      </w:r>
    </w:p>
    <w:p w14:paraId="3A07BED0" w14:textId="370A4FCD" w:rsidR="00E4627A" w:rsidRPr="001809EE" w:rsidRDefault="00E4627A" w:rsidP="00E4627A">
      <w:pPr>
        <w:numPr>
          <w:ilvl w:val="1"/>
          <w:numId w:val="1"/>
        </w:numPr>
        <w:tabs>
          <w:tab w:val="left" w:pos="567"/>
        </w:tabs>
        <w:spacing w:before="360" w:line="360" w:lineRule="auto"/>
        <w:jc w:val="both"/>
        <w:rPr>
          <w:sz w:val="24"/>
          <w:szCs w:val="24"/>
        </w:rPr>
      </w:pPr>
      <w:r w:rsidRPr="001809EE">
        <w:rPr>
          <w:sz w:val="24"/>
          <w:szCs w:val="24"/>
        </w:rPr>
        <w:t>an application of the kind mentioned in subsection 10(1) of the repealed instrument if the application is made before 17 January 2018 (subsection 10(1) deals with the application of the repealed instrument to application</w:t>
      </w:r>
      <w:r w:rsidR="00A77A12">
        <w:rPr>
          <w:sz w:val="24"/>
          <w:szCs w:val="24"/>
        </w:rPr>
        <w:t>s for approval of a nomination)</w:t>
      </w:r>
      <w:r w:rsidRPr="001809EE">
        <w:rPr>
          <w:sz w:val="24"/>
          <w:szCs w:val="24"/>
        </w:rPr>
        <w:t>; and</w:t>
      </w:r>
    </w:p>
    <w:p w14:paraId="738844AC" w14:textId="2F3A90DF" w:rsidR="005648C6" w:rsidRPr="001809EE" w:rsidRDefault="00E4627A" w:rsidP="00E4627A">
      <w:pPr>
        <w:numPr>
          <w:ilvl w:val="1"/>
          <w:numId w:val="1"/>
        </w:numPr>
        <w:tabs>
          <w:tab w:val="left" w:pos="567"/>
        </w:tabs>
        <w:spacing w:before="360" w:line="360" w:lineRule="auto"/>
        <w:jc w:val="both"/>
        <w:rPr>
          <w:sz w:val="24"/>
          <w:szCs w:val="24"/>
        </w:rPr>
      </w:pPr>
      <w:r w:rsidRPr="001809EE">
        <w:rPr>
          <w:sz w:val="24"/>
          <w:szCs w:val="24"/>
        </w:rPr>
        <w:t xml:space="preserve">an application of a kind mentioned in subsection 10(2) of the repealed instrument, if the application is made before, on or after 17 January 2018, but only in those </w:t>
      </w:r>
      <w:r w:rsidRPr="001809EE">
        <w:rPr>
          <w:sz w:val="24"/>
          <w:szCs w:val="24"/>
        </w:rPr>
        <w:lastRenderedPageBreak/>
        <w:t>circumstances where the related application for approval of a nomination was made before 17 January 2018 (subsection 10(2) deals with the application of the repealed instrument to applications for a Subclass 186 (Employer Nomination Scheme) visa</w:t>
      </w:r>
      <w:r w:rsidR="001809EE" w:rsidRPr="001809EE">
        <w:rPr>
          <w:sz w:val="24"/>
          <w:szCs w:val="24"/>
        </w:rPr>
        <w:t>)</w:t>
      </w:r>
      <w:r w:rsidRPr="001809EE">
        <w:rPr>
          <w:sz w:val="24"/>
          <w:szCs w:val="24"/>
        </w:rPr>
        <w:t xml:space="preserve">. </w:t>
      </w:r>
    </w:p>
    <w:p w14:paraId="4EEEB7BF" w14:textId="23C4FE14" w:rsidR="00170692" w:rsidRDefault="000E66D0" w:rsidP="00170692">
      <w:pPr>
        <w:numPr>
          <w:ilvl w:val="0"/>
          <w:numId w:val="1"/>
        </w:numPr>
        <w:spacing w:before="360" w:line="360" w:lineRule="auto"/>
        <w:jc w:val="both"/>
        <w:rPr>
          <w:sz w:val="24"/>
          <w:szCs w:val="24"/>
        </w:rPr>
      </w:pPr>
      <w:r>
        <w:rPr>
          <w:sz w:val="24"/>
          <w:szCs w:val="24"/>
        </w:rPr>
        <w:t>The Department of</w:t>
      </w:r>
      <w:r w:rsidR="008E584A">
        <w:rPr>
          <w:sz w:val="24"/>
          <w:szCs w:val="24"/>
        </w:rPr>
        <w:t xml:space="preserve"> Jobs and Small Business </w:t>
      </w:r>
      <w:r>
        <w:rPr>
          <w:sz w:val="24"/>
          <w:szCs w:val="24"/>
        </w:rPr>
        <w:t>led this review, and consulted with the Department of Home Affairs,</w:t>
      </w:r>
      <w:r w:rsidR="008E584A">
        <w:rPr>
          <w:sz w:val="24"/>
          <w:szCs w:val="24"/>
        </w:rPr>
        <w:t xml:space="preserve"> as well as a number of other Government agencies,</w:t>
      </w:r>
      <w:r>
        <w:rPr>
          <w:sz w:val="24"/>
          <w:szCs w:val="24"/>
        </w:rPr>
        <w:t xml:space="preserve"> stakeholders and industry representatives</w:t>
      </w:r>
      <w:r w:rsidR="00170692">
        <w:rPr>
          <w:sz w:val="24"/>
          <w:szCs w:val="24"/>
        </w:rPr>
        <w:t>.</w:t>
      </w:r>
    </w:p>
    <w:p w14:paraId="1235A554" w14:textId="5AECF75C" w:rsidR="00170692" w:rsidRPr="008D523F" w:rsidRDefault="00170692" w:rsidP="00170692">
      <w:pPr>
        <w:numPr>
          <w:ilvl w:val="0"/>
          <w:numId w:val="1"/>
        </w:numPr>
        <w:spacing w:before="360" w:line="360" w:lineRule="auto"/>
        <w:jc w:val="both"/>
        <w:rPr>
          <w:sz w:val="24"/>
          <w:szCs w:val="24"/>
        </w:rPr>
      </w:pPr>
      <w:r>
        <w:rPr>
          <w:sz w:val="24"/>
          <w:szCs w:val="24"/>
        </w:rPr>
        <w:t xml:space="preserve">The </w:t>
      </w:r>
      <w:r w:rsidRPr="007478FA">
        <w:rPr>
          <w:sz w:val="24"/>
          <w:szCs w:val="24"/>
        </w:rPr>
        <w:t xml:space="preserve">Office of Best </w:t>
      </w:r>
      <w:r w:rsidRPr="008D523F">
        <w:rPr>
          <w:sz w:val="24"/>
          <w:szCs w:val="24"/>
        </w:rPr>
        <w:t>Practice Regulation (OBPR) has advised that a Regulatory Impact Statement is not required (OBPR Reference: 2</w:t>
      </w:r>
      <w:r w:rsidR="000C78C7">
        <w:rPr>
          <w:sz w:val="24"/>
          <w:szCs w:val="24"/>
        </w:rPr>
        <w:t>3086</w:t>
      </w:r>
      <w:r w:rsidRPr="008D523F">
        <w:rPr>
          <w:sz w:val="24"/>
          <w:szCs w:val="24"/>
        </w:rPr>
        <w:t>).</w:t>
      </w:r>
    </w:p>
    <w:p w14:paraId="72DDDB32" w14:textId="2D11630C" w:rsidR="00170692" w:rsidRDefault="00170692" w:rsidP="00170692">
      <w:pPr>
        <w:numPr>
          <w:ilvl w:val="0"/>
          <w:numId w:val="1"/>
        </w:numPr>
        <w:spacing w:before="360" w:line="360" w:lineRule="auto"/>
        <w:jc w:val="both"/>
        <w:rPr>
          <w:sz w:val="24"/>
          <w:szCs w:val="24"/>
        </w:rPr>
      </w:pPr>
      <w:r>
        <w:rPr>
          <w:sz w:val="24"/>
          <w:szCs w:val="24"/>
        </w:rPr>
        <w:t xml:space="preserve">Under </w:t>
      </w:r>
      <w:r w:rsidRPr="004D3463">
        <w:rPr>
          <w:sz w:val="24"/>
          <w:szCs w:val="24"/>
        </w:rPr>
        <w:t xml:space="preserve">section 10 of the </w:t>
      </w:r>
      <w:r w:rsidRPr="000C78C7">
        <w:rPr>
          <w:i/>
          <w:sz w:val="24"/>
          <w:szCs w:val="24"/>
        </w:rPr>
        <w:t>Legislation (Exemptions and Other Matters) Regulation 2015</w:t>
      </w:r>
      <w:r w:rsidRPr="004D3463">
        <w:rPr>
          <w:sz w:val="24"/>
          <w:szCs w:val="24"/>
        </w:rPr>
        <w:t>, the instrument is exempt from disallowance and therefore a Statement of Compatibility with Human Rights is not required</w:t>
      </w:r>
      <w:r>
        <w:rPr>
          <w:sz w:val="24"/>
          <w:szCs w:val="24"/>
        </w:rPr>
        <w:t>.</w:t>
      </w:r>
    </w:p>
    <w:p w14:paraId="37E7E6C0" w14:textId="4F7BAACE" w:rsidR="00D35E5D" w:rsidRDefault="00170692" w:rsidP="009D4018">
      <w:pPr>
        <w:numPr>
          <w:ilvl w:val="0"/>
          <w:numId w:val="1"/>
        </w:numPr>
        <w:spacing w:before="360" w:line="360" w:lineRule="auto"/>
        <w:jc w:val="both"/>
      </w:pPr>
      <w:r w:rsidRPr="000E66D0">
        <w:rPr>
          <w:sz w:val="24"/>
          <w:szCs w:val="24"/>
        </w:rPr>
        <w:t xml:space="preserve">The </w:t>
      </w:r>
      <w:r w:rsidR="00C85A64" w:rsidRPr="000E66D0">
        <w:rPr>
          <w:sz w:val="24"/>
        </w:rPr>
        <w:t>i</w:t>
      </w:r>
      <w:r w:rsidRPr="000E66D0">
        <w:rPr>
          <w:sz w:val="24"/>
        </w:rPr>
        <w:t xml:space="preserve">nstrument commences on </w:t>
      </w:r>
      <w:r w:rsidR="000C78C7" w:rsidRPr="000E66D0">
        <w:rPr>
          <w:sz w:val="24"/>
        </w:rPr>
        <w:t>17 January 2018</w:t>
      </w:r>
      <w:r w:rsidRPr="000E66D0">
        <w:rPr>
          <w:sz w:val="24"/>
        </w:rPr>
        <w:t>.</w:t>
      </w:r>
      <w:r w:rsidR="00F55F81" w:rsidRPr="000E66D0">
        <w:rPr>
          <w:b/>
          <w:sz w:val="24"/>
        </w:rPr>
        <w:t xml:space="preserve"> </w:t>
      </w:r>
    </w:p>
    <w:sectPr w:rsidR="00D35E5D" w:rsidSect="00C85D16">
      <w:headerReference w:type="default" r:id="rId8"/>
      <w:pgSz w:w="11906" w:h="16838"/>
      <w:pgMar w:top="1560" w:right="1416" w:bottom="1134" w:left="1418" w:header="426"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BB62B" w14:textId="77777777" w:rsidR="00F55F81" w:rsidRDefault="00F55F81" w:rsidP="00F55F81">
      <w:r>
        <w:separator/>
      </w:r>
    </w:p>
  </w:endnote>
  <w:endnote w:type="continuationSeparator" w:id="0">
    <w:p w14:paraId="63930B5C" w14:textId="77777777" w:rsidR="00F55F81" w:rsidRDefault="00F55F81" w:rsidP="00F5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1E4D3" w14:textId="77777777" w:rsidR="00F55F81" w:rsidRDefault="00F55F81" w:rsidP="00F55F81">
      <w:r>
        <w:separator/>
      </w:r>
    </w:p>
  </w:footnote>
  <w:footnote w:type="continuationSeparator" w:id="0">
    <w:p w14:paraId="411A8656" w14:textId="77777777" w:rsidR="00F55F81" w:rsidRDefault="00F55F81" w:rsidP="00F5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E7A01" w14:textId="34BA4E34" w:rsidR="005455C0" w:rsidRPr="000A2C52" w:rsidRDefault="008E4388" w:rsidP="00C85D16">
    <w:pPr>
      <w:pStyle w:val="Header"/>
      <w:jc w:val="right"/>
      <w:rPr>
        <w:rFonts w:ascii="Times New Roman" w:hAnsi="Times New Roman"/>
        <w:i/>
        <w:sz w:val="22"/>
        <w:szCs w:val="22"/>
      </w:rPr>
    </w:pPr>
    <w:r>
      <w:rPr>
        <w:rFonts w:ascii="Times New Roman" w:hAnsi="Times New Roman"/>
        <w:i/>
        <w:sz w:val="22"/>
        <w:szCs w:val="22"/>
      </w:rPr>
      <w:t xml:space="preserve">IMMI </w:t>
    </w:r>
    <w:r w:rsidR="006F0221">
      <w:rPr>
        <w:rFonts w:ascii="Times New Roman" w:hAnsi="Times New Roman"/>
        <w:i/>
        <w:sz w:val="22"/>
        <w:szCs w:val="22"/>
      </w:rPr>
      <w:t>18/005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B3044"/>
    <w:multiLevelType w:val="hybridMultilevel"/>
    <w:tmpl w:val="022CAE4E"/>
    <w:lvl w:ilvl="0" w:tplc="EEB68044">
      <w:start w:val="1"/>
      <w:numFmt w:val="decimal"/>
      <w:lvlText w:val="%1."/>
      <w:lvlJc w:val="left"/>
      <w:pPr>
        <w:ind w:left="502" w:hanging="360"/>
      </w:pPr>
      <w:rPr>
        <w:i w:val="0"/>
      </w:rPr>
    </w:lvl>
    <w:lvl w:ilvl="1" w:tplc="0C090001">
      <w:start w:val="1"/>
      <w:numFmt w:val="bullet"/>
      <w:lvlText w:val=""/>
      <w:lvlJc w:val="left"/>
      <w:pPr>
        <w:ind w:left="1222" w:hanging="360"/>
      </w:pPr>
      <w:rPr>
        <w:rFonts w:ascii="Symbol" w:hAnsi="Symbol"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2B8C4A37"/>
    <w:multiLevelType w:val="hybridMultilevel"/>
    <w:tmpl w:val="E6A29AF2"/>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2DB12385"/>
    <w:multiLevelType w:val="hybridMultilevel"/>
    <w:tmpl w:val="6EF2ACBA"/>
    <w:lvl w:ilvl="0" w:tplc="EEB68044">
      <w:start w:val="1"/>
      <w:numFmt w:val="decimal"/>
      <w:lvlText w:val="%1."/>
      <w:lvlJc w:val="left"/>
      <w:pPr>
        <w:ind w:left="502" w:hanging="360"/>
      </w:pPr>
      <w:rPr>
        <w:i w:val="0"/>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3A730128"/>
    <w:multiLevelType w:val="hybridMultilevel"/>
    <w:tmpl w:val="FC4EDDB6"/>
    <w:lvl w:ilvl="0" w:tplc="0C09000F">
      <w:start w:val="1"/>
      <w:numFmt w:val="decimal"/>
      <w:lvlText w:val="%1."/>
      <w:lvlJc w:val="left"/>
      <w:pPr>
        <w:tabs>
          <w:tab w:val="num" w:pos="698"/>
        </w:tabs>
        <w:ind w:left="698" w:hanging="360"/>
      </w:pPr>
    </w:lvl>
    <w:lvl w:ilvl="1" w:tplc="0C090019" w:tentative="1">
      <w:start w:val="1"/>
      <w:numFmt w:val="lowerLetter"/>
      <w:lvlText w:val="%2."/>
      <w:lvlJc w:val="left"/>
      <w:pPr>
        <w:tabs>
          <w:tab w:val="num" w:pos="1418"/>
        </w:tabs>
        <w:ind w:left="1418" w:hanging="360"/>
      </w:pPr>
    </w:lvl>
    <w:lvl w:ilvl="2" w:tplc="0C09001B" w:tentative="1">
      <w:start w:val="1"/>
      <w:numFmt w:val="lowerRoman"/>
      <w:lvlText w:val="%3."/>
      <w:lvlJc w:val="right"/>
      <w:pPr>
        <w:tabs>
          <w:tab w:val="num" w:pos="2138"/>
        </w:tabs>
        <w:ind w:left="2138" w:hanging="180"/>
      </w:pPr>
    </w:lvl>
    <w:lvl w:ilvl="3" w:tplc="0C09000F" w:tentative="1">
      <w:start w:val="1"/>
      <w:numFmt w:val="decimal"/>
      <w:lvlText w:val="%4."/>
      <w:lvlJc w:val="left"/>
      <w:pPr>
        <w:tabs>
          <w:tab w:val="num" w:pos="2858"/>
        </w:tabs>
        <w:ind w:left="2858" w:hanging="360"/>
      </w:pPr>
    </w:lvl>
    <w:lvl w:ilvl="4" w:tplc="0C090019" w:tentative="1">
      <w:start w:val="1"/>
      <w:numFmt w:val="lowerLetter"/>
      <w:lvlText w:val="%5."/>
      <w:lvlJc w:val="left"/>
      <w:pPr>
        <w:tabs>
          <w:tab w:val="num" w:pos="3578"/>
        </w:tabs>
        <w:ind w:left="3578" w:hanging="360"/>
      </w:pPr>
    </w:lvl>
    <w:lvl w:ilvl="5" w:tplc="0C09001B" w:tentative="1">
      <w:start w:val="1"/>
      <w:numFmt w:val="lowerRoman"/>
      <w:lvlText w:val="%6."/>
      <w:lvlJc w:val="right"/>
      <w:pPr>
        <w:tabs>
          <w:tab w:val="num" w:pos="4298"/>
        </w:tabs>
        <w:ind w:left="4298" w:hanging="180"/>
      </w:pPr>
    </w:lvl>
    <w:lvl w:ilvl="6" w:tplc="0C09000F" w:tentative="1">
      <w:start w:val="1"/>
      <w:numFmt w:val="decimal"/>
      <w:lvlText w:val="%7."/>
      <w:lvlJc w:val="left"/>
      <w:pPr>
        <w:tabs>
          <w:tab w:val="num" w:pos="5018"/>
        </w:tabs>
        <w:ind w:left="5018" w:hanging="360"/>
      </w:pPr>
    </w:lvl>
    <w:lvl w:ilvl="7" w:tplc="0C090019" w:tentative="1">
      <w:start w:val="1"/>
      <w:numFmt w:val="lowerLetter"/>
      <w:lvlText w:val="%8."/>
      <w:lvlJc w:val="left"/>
      <w:pPr>
        <w:tabs>
          <w:tab w:val="num" w:pos="5738"/>
        </w:tabs>
        <w:ind w:left="5738" w:hanging="360"/>
      </w:pPr>
    </w:lvl>
    <w:lvl w:ilvl="8" w:tplc="0C09001B" w:tentative="1">
      <w:start w:val="1"/>
      <w:numFmt w:val="lowerRoman"/>
      <w:lvlText w:val="%9."/>
      <w:lvlJc w:val="right"/>
      <w:pPr>
        <w:tabs>
          <w:tab w:val="num" w:pos="6458"/>
        </w:tabs>
        <w:ind w:left="6458" w:hanging="180"/>
      </w:pPr>
    </w:lvl>
  </w:abstractNum>
  <w:abstractNum w:abstractNumId="4" w15:restartNumberingAfterBreak="0">
    <w:nsid w:val="7BA11D10"/>
    <w:multiLevelType w:val="hybridMultilevel"/>
    <w:tmpl w:val="4302288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7E932A3C"/>
    <w:multiLevelType w:val="hybridMultilevel"/>
    <w:tmpl w:val="D256C99A"/>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81"/>
    <w:rsid w:val="000C569D"/>
    <w:rsid w:val="000C78C7"/>
    <w:rsid w:val="000E66D0"/>
    <w:rsid w:val="00102CC4"/>
    <w:rsid w:val="0014719D"/>
    <w:rsid w:val="00170692"/>
    <w:rsid w:val="001809EE"/>
    <w:rsid w:val="00282078"/>
    <w:rsid w:val="002A7ADA"/>
    <w:rsid w:val="003435CA"/>
    <w:rsid w:val="00430632"/>
    <w:rsid w:val="0043594B"/>
    <w:rsid w:val="004E28D1"/>
    <w:rsid w:val="005648C6"/>
    <w:rsid w:val="006B655D"/>
    <w:rsid w:val="006F0221"/>
    <w:rsid w:val="00754765"/>
    <w:rsid w:val="008D0A7B"/>
    <w:rsid w:val="008D523F"/>
    <w:rsid w:val="008E0487"/>
    <w:rsid w:val="008E13A2"/>
    <w:rsid w:val="008E4388"/>
    <w:rsid w:val="008E584A"/>
    <w:rsid w:val="009A264A"/>
    <w:rsid w:val="00A1280D"/>
    <w:rsid w:val="00A34334"/>
    <w:rsid w:val="00A43F33"/>
    <w:rsid w:val="00A77A12"/>
    <w:rsid w:val="00AF44EB"/>
    <w:rsid w:val="00B7458B"/>
    <w:rsid w:val="00BE7A18"/>
    <w:rsid w:val="00C85A64"/>
    <w:rsid w:val="00CC5384"/>
    <w:rsid w:val="00CE2842"/>
    <w:rsid w:val="00D35E5D"/>
    <w:rsid w:val="00DA29FE"/>
    <w:rsid w:val="00E17325"/>
    <w:rsid w:val="00E20D49"/>
    <w:rsid w:val="00E4627A"/>
    <w:rsid w:val="00E51B11"/>
    <w:rsid w:val="00EE0AF2"/>
    <w:rsid w:val="00F0021B"/>
    <w:rsid w:val="00F0164D"/>
    <w:rsid w:val="00F53443"/>
    <w:rsid w:val="00F55F81"/>
    <w:rsid w:val="00FC4D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44F03E"/>
  <w15:docId w15:val="{AD029753-8DFB-4DBC-B14C-DF1D4E9D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F81"/>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F55F81"/>
    <w:pPr>
      <w:keepNext/>
      <w:jc w:val="center"/>
      <w:outlineLvl w:val="0"/>
    </w:pPr>
    <w:rPr>
      <w:b/>
      <w:sz w:val="24"/>
      <w:u w:val="single"/>
    </w:rPr>
  </w:style>
  <w:style w:type="paragraph" w:styleId="Heading2">
    <w:name w:val="heading 2"/>
    <w:basedOn w:val="Normal"/>
    <w:next w:val="Normal"/>
    <w:link w:val="Heading2Char"/>
    <w:uiPriority w:val="9"/>
    <w:qFormat/>
    <w:rsid w:val="00F55F81"/>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5F81"/>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uiPriority w:val="9"/>
    <w:rsid w:val="00F55F81"/>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F55F81"/>
    <w:pPr>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F55F81"/>
    <w:rPr>
      <w:rFonts w:ascii="Arial" w:eastAsia="Times New Roman" w:hAnsi="Arial" w:cs="Times New Roman"/>
      <w:sz w:val="24"/>
      <w:szCs w:val="20"/>
      <w:lang w:eastAsia="en-AU"/>
    </w:rPr>
  </w:style>
  <w:style w:type="paragraph" w:customStyle="1" w:styleId="CharChar">
    <w:name w:val="Char Char"/>
    <w:basedOn w:val="Normal"/>
    <w:rsid w:val="00F55F81"/>
    <w:pPr>
      <w:spacing w:before="120" w:after="120"/>
    </w:pPr>
    <w:rPr>
      <w:rFonts w:ascii="Arial" w:hAnsi="Arial"/>
      <w:sz w:val="22"/>
      <w:lang w:eastAsia="en-US"/>
    </w:rPr>
  </w:style>
  <w:style w:type="character" w:styleId="CommentReference">
    <w:name w:val="annotation reference"/>
    <w:uiPriority w:val="99"/>
    <w:semiHidden/>
    <w:unhideWhenUsed/>
    <w:rsid w:val="00F55F81"/>
    <w:rPr>
      <w:sz w:val="16"/>
      <w:szCs w:val="16"/>
    </w:rPr>
  </w:style>
  <w:style w:type="paragraph" w:styleId="CommentText">
    <w:name w:val="annotation text"/>
    <w:basedOn w:val="Normal"/>
    <w:link w:val="CommentTextChar"/>
    <w:uiPriority w:val="99"/>
    <w:semiHidden/>
    <w:unhideWhenUsed/>
    <w:rsid w:val="00F55F81"/>
  </w:style>
  <w:style w:type="character" w:customStyle="1" w:styleId="CommentTextChar">
    <w:name w:val="Comment Text Char"/>
    <w:basedOn w:val="DefaultParagraphFont"/>
    <w:link w:val="CommentText"/>
    <w:uiPriority w:val="99"/>
    <w:semiHidden/>
    <w:rsid w:val="00F55F81"/>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F55F81"/>
    <w:rPr>
      <w:rFonts w:ascii="Tahoma" w:hAnsi="Tahoma" w:cs="Tahoma"/>
      <w:sz w:val="16"/>
      <w:szCs w:val="16"/>
    </w:rPr>
  </w:style>
  <w:style w:type="character" w:customStyle="1" w:styleId="BalloonTextChar">
    <w:name w:val="Balloon Text Char"/>
    <w:basedOn w:val="DefaultParagraphFont"/>
    <w:link w:val="BalloonText"/>
    <w:uiPriority w:val="99"/>
    <w:semiHidden/>
    <w:rsid w:val="00F55F81"/>
    <w:rPr>
      <w:rFonts w:ascii="Tahoma" w:eastAsia="Times New Roman" w:hAnsi="Tahoma" w:cs="Tahoma"/>
      <w:sz w:val="16"/>
      <w:szCs w:val="16"/>
      <w:lang w:eastAsia="en-AU"/>
    </w:rPr>
  </w:style>
  <w:style w:type="paragraph" w:styleId="Footer">
    <w:name w:val="footer"/>
    <w:basedOn w:val="Normal"/>
    <w:link w:val="FooterChar"/>
    <w:uiPriority w:val="99"/>
    <w:unhideWhenUsed/>
    <w:rsid w:val="00F55F81"/>
    <w:pPr>
      <w:tabs>
        <w:tab w:val="center" w:pos="4513"/>
        <w:tab w:val="right" w:pos="9026"/>
      </w:tabs>
    </w:pPr>
  </w:style>
  <w:style w:type="character" w:customStyle="1" w:styleId="FooterChar">
    <w:name w:val="Footer Char"/>
    <w:basedOn w:val="DefaultParagraphFont"/>
    <w:link w:val="Footer"/>
    <w:uiPriority w:val="99"/>
    <w:rsid w:val="00F55F8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E0487"/>
    <w:rPr>
      <w:b/>
      <w:bCs/>
    </w:rPr>
  </w:style>
  <w:style w:type="character" w:customStyle="1" w:styleId="CommentSubjectChar">
    <w:name w:val="Comment Subject Char"/>
    <w:basedOn w:val="CommentTextChar"/>
    <w:link w:val="CommentSubject"/>
    <w:uiPriority w:val="99"/>
    <w:semiHidden/>
    <w:rsid w:val="008E0487"/>
    <w:rPr>
      <w:rFonts w:ascii="Times New Roman" w:eastAsia="Times New Roman" w:hAnsi="Times New Roman" w:cs="Times New Roman"/>
      <w:b/>
      <w:bCs/>
      <w:sz w:val="20"/>
      <w:szCs w:val="20"/>
      <w:lang w:eastAsia="en-AU"/>
    </w:rPr>
  </w:style>
  <w:style w:type="paragraph" w:styleId="Revision">
    <w:name w:val="Revision"/>
    <w:hidden/>
    <w:uiPriority w:val="99"/>
    <w:semiHidden/>
    <w:rsid w:val="008E0487"/>
    <w:pPr>
      <w:spacing w:after="0" w:line="240" w:lineRule="auto"/>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0C569D"/>
    <w:pPr>
      <w:ind w:left="720"/>
      <w:contextualSpacing/>
    </w:pPr>
  </w:style>
  <w:style w:type="paragraph" w:customStyle="1" w:styleId="CharChar0">
    <w:name w:val="Char Char"/>
    <w:basedOn w:val="Normal"/>
    <w:rsid w:val="006F0221"/>
    <w:pPr>
      <w:spacing w:before="120" w:after="120"/>
    </w:pPr>
    <w:rPr>
      <w:rFonts w:ascii="Arial" w:hAnsi="Arial"/>
      <w:sz w:val="22"/>
      <w:lang w:eastAsia="en-US"/>
    </w:rPr>
  </w:style>
  <w:style w:type="paragraph" w:customStyle="1" w:styleId="CharChar1">
    <w:name w:val="Char Char"/>
    <w:basedOn w:val="Normal"/>
    <w:rsid w:val="00F53443"/>
    <w:pPr>
      <w:spacing w:before="120" w:after="120"/>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AA246-51B1-451A-B595-F58833DD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LONG</dc:creator>
  <cp:lastModifiedBy>Olivia BARTLETT</cp:lastModifiedBy>
  <cp:revision>7</cp:revision>
  <cp:lastPrinted>2017-06-23T02:27:00Z</cp:lastPrinted>
  <dcterms:created xsi:type="dcterms:W3CDTF">2018-01-08T06:55:00Z</dcterms:created>
  <dcterms:modified xsi:type="dcterms:W3CDTF">2018-01-09T01:34:00Z</dcterms:modified>
</cp:coreProperties>
</file>