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75D28" w14:textId="6C446376" w:rsidR="00CD4FA5" w:rsidRDefault="00792251" w:rsidP="00CD4FA5">
      <w:pPr>
        <w:tabs>
          <w:tab w:val="right" w:pos="8312"/>
        </w:tabs>
        <w:rPr>
          <w:b/>
        </w:rPr>
      </w:pPr>
      <w:r>
        <w:rPr>
          <w:rFonts w:ascii="Arial Narrow" w:hAnsi="Arial Narrow"/>
          <w:b/>
          <w:noProof/>
          <w:color w:val="C86464"/>
          <w:sz w:val="36"/>
          <w:szCs w:val="36"/>
          <w:lang w:eastAsia="en-AU"/>
        </w:rPr>
        <w:drawing>
          <wp:inline distT="0" distB="0" distL="0" distR="0" wp14:anchorId="07F28BFC" wp14:editId="141E5F8D">
            <wp:extent cx="2466975" cy="676275"/>
            <wp:effectExtent l="0" t="0" r="9525" b="9525"/>
            <wp:docPr id="1" name="Picture 1" descr="AUSTRAC_inlineS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C_inlineSho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975" cy="676275"/>
                    </a:xfrm>
                    <a:prstGeom prst="rect">
                      <a:avLst/>
                    </a:prstGeom>
                    <a:noFill/>
                    <a:ln>
                      <a:noFill/>
                    </a:ln>
                  </pic:spPr>
                </pic:pic>
              </a:graphicData>
            </a:graphic>
          </wp:inline>
        </w:drawing>
      </w:r>
      <w:r w:rsidR="00CD4FA5">
        <w:rPr>
          <w:b/>
        </w:rPr>
        <w:tab/>
      </w:r>
    </w:p>
    <w:p w14:paraId="139DA857" w14:textId="77777777" w:rsidR="00CD4FA5" w:rsidRDefault="00CD4FA5" w:rsidP="00CD4FA5">
      <w:pPr>
        <w:rPr>
          <w:b/>
        </w:rPr>
      </w:pPr>
    </w:p>
    <w:p w14:paraId="224FDF29" w14:textId="77777777" w:rsidR="00CD4FA5" w:rsidRDefault="00CD4FA5" w:rsidP="00CD4FA5">
      <w:pPr>
        <w:rPr>
          <w:rFonts w:ascii="Times New Roman" w:hAnsi="Times New Roman"/>
          <w:b/>
          <w:sz w:val="24"/>
        </w:rPr>
      </w:pPr>
    </w:p>
    <w:p w14:paraId="6D30DB4B" w14:textId="77777777" w:rsidR="00CD4FA5" w:rsidRPr="00051713" w:rsidRDefault="00CD4FA5" w:rsidP="00CD4FA5">
      <w:pPr>
        <w:rPr>
          <w:rFonts w:ascii="Times New Roman" w:hAnsi="Times New Roman"/>
          <w:b/>
          <w:sz w:val="24"/>
        </w:rPr>
      </w:pPr>
    </w:p>
    <w:p w14:paraId="0659BD51" w14:textId="720C093A" w:rsidR="00CD4FA5" w:rsidRDefault="00CD4FA5" w:rsidP="00CD4FA5">
      <w:pPr>
        <w:tabs>
          <w:tab w:val="left" w:pos="360"/>
          <w:tab w:val="left" w:pos="1080"/>
          <w:tab w:val="left" w:pos="3600"/>
        </w:tabs>
        <w:jc w:val="center"/>
        <w:rPr>
          <w:rFonts w:ascii="Times New Roman" w:hAnsi="Times New Roman"/>
          <w:b/>
          <w:i/>
          <w:sz w:val="24"/>
        </w:rPr>
      </w:pPr>
      <w:r w:rsidRPr="00CD4FA5">
        <w:rPr>
          <w:rFonts w:ascii="Times New Roman" w:hAnsi="Times New Roman"/>
          <w:b/>
          <w:sz w:val="24"/>
        </w:rPr>
        <w:t xml:space="preserve">Explanatory Statement – </w:t>
      </w:r>
      <w:r w:rsidRPr="00CD4FA5">
        <w:rPr>
          <w:rFonts w:ascii="Times New Roman" w:hAnsi="Times New Roman"/>
          <w:b/>
          <w:i/>
          <w:sz w:val="24"/>
        </w:rPr>
        <w:t xml:space="preserve">Anti-Money </w:t>
      </w:r>
      <w:proofErr w:type="gramStart"/>
      <w:r w:rsidRPr="00CD4FA5">
        <w:rPr>
          <w:rFonts w:ascii="Times New Roman" w:hAnsi="Times New Roman"/>
          <w:b/>
          <w:i/>
          <w:sz w:val="24"/>
        </w:rPr>
        <w:t>Laundering</w:t>
      </w:r>
      <w:proofErr w:type="gramEnd"/>
      <w:r w:rsidRPr="00CD4FA5">
        <w:rPr>
          <w:rFonts w:ascii="Times New Roman" w:hAnsi="Times New Roman"/>
          <w:b/>
          <w:i/>
          <w:sz w:val="24"/>
        </w:rPr>
        <w:t xml:space="preserve"> and Counter-Terrorism Financing Rules Amendment Instrument </w:t>
      </w:r>
      <w:r w:rsidR="00923713" w:rsidRPr="00CD4FA5">
        <w:rPr>
          <w:rFonts w:ascii="Times New Roman" w:hAnsi="Times New Roman"/>
          <w:b/>
          <w:i/>
          <w:sz w:val="24"/>
        </w:rPr>
        <w:t>201</w:t>
      </w:r>
      <w:r w:rsidR="00923713">
        <w:rPr>
          <w:rFonts w:ascii="Times New Roman" w:hAnsi="Times New Roman"/>
          <w:b/>
          <w:i/>
          <w:sz w:val="24"/>
        </w:rPr>
        <w:t>8</w:t>
      </w:r>
      <w:r w:rsidR="00923713" w:rsidRPr="00CD4FA5">
        <w:rPr>
          <w:rFonts w:ascii="Times New Roman" w:hAnsi="Times New Roman"/>
          <w:b/>
          <w:i/>
          <w:sz w:val="24"/>
        </w:rPr>
        <w:t xml:space="preserve"> </w:t>
      </w:r>
      <w:r w:rsidRPr="00CD4FA5">
        <w:rPr>
          <w:rFonts w:ascii="Times New Roman" w:hAnsi="Times New Roman"/>
          <w:b/>
          <w:i/>
          <w:sz w:val="24"/>
        </w:rPr>
        <w:t xml:space="preserve">(No. </w:t>
      </w:r>
      <w:r w:rsidR="00923713">
        <w:rPr>
          <w:rFonts w:ascii="Times New Roman" w:hAnsi="Times New Roman"/>
          <w:b/>
          <w:i/>
          <w:sz w:val="24"/>
        </w:rPr>
        <w:t>1</w:t>
      </w:r>
      <w:r w:rsidRPr="00CD4FA5">
        <w:rPr>
          <w:rFonts w:ascii="Times New Roman" w:hAnsi="Times New Roman"/>
          <w:b/>
          <w:i/>
          <w:sz w:val="24"/>
        </w:rPr>
        <w:t xml:space="preserve">) </w:t>
      </w:r>
      <w:r w:rsidRPr="00CD4FA5">
        <w:rPr>
          <w:rFonts w:ascii="Times New Roman" w:hAnsi="Times New Roman"/>
          <w:b/>
          <w:sz w:val="24"/>
        </w:rPr>
        <w:t xml:space="preserve">amending the </w:t>
      </w:r>
      <w:r w:rsidRPr="00CD4FA5">
        <w:rPr>
          <w:rFonts w:ascii="Times New Roman" w:hAnsi="Times New Roman"/>
          <w:b/>
          <w:i/>
          <w:sz w:val="24"/>
        </w:rPr>
        <w:t xml:space="preserve">Anti-Money Laundering and Counter-Terrorism Financing Rules Instrument 2007 (No. </w:t>
      </w:r>
      <w:r w:rsidR="00DE4DCD">
        <w:rPr>
          <w:rFonts w:ascii="Times New Roman" w:hAnsi="Times New Roman"/>
          <w:b/>
          <w:i/>
          <w:sz w:val="24"/>
        </w:rPr>
        <w:t>1</w:t>
      </w:r>
      <w:r w:rsidRPr="00CD4FA5">
        <w:rPr>
          <w:rFonts w:ascii="Times New Roman" w:hAnsi="Times New Roman"/>
          <w:b/>
          <w:i/>
          <w:sz w:val="24"/>
        </w:rPr>
        <w:t xml:space="preserve">) </w:t>
      </w:r>
    </w:p>
    <w:p w14:paraId="1448EFCD" w14:textId="77777777" w:rsidR="00A247CD" w:rsidRPr="00CD4FA5" w:rsidRDefault="00A247CD" w:rsidP="00CD4FA5">
      <w:pPr>
        <w:tabs>
          <w:tab w:val="left" w:pos="360"/>
          <w:tab w:val="left" w:pos="1080"/>
          <w:tab w:val="left" w:pos="3600"/>
        </w:tabs>
        <w:jc w:val="center"/>
        <w:rPr>
          <w:rFonts w:ascii="Times New Roman" w:hAnsi="Times New Roman"/>
          <w:b/>
          <w:sz w:val="24"/>
        </w:rPr>
      </w:pPr>
    </w:p>
    <w:p w14:paraId="588032C7" w14:textId="6F6C5290" w:rsidR="00CD4FA5" w:rsidRDefault="00CD4FA5" w:rsidP="00301D3F">
      <w:pPr>
        <w:spacing w:before="240"/>
        <w:rPr>
          <w:rFonts w:ascii="Times New Roman" w:hAnsi="Times New Roman"/>
          <w:b/>
          <w:sz w:val="24"/>
        </w:rPr>
      </w:pPr>
      <w:r w:rsidRPr="00CD4FA5">
        <w:rPr>
          <w:rFonts w:ascii="Times New Roman" w:hAnsi="Times New Roman"/>
          <w:b/>
          <w:sz w:val="24"/>
        </w:rPr>
        <w:t>Purpose and operation of Anti-Money Laundering/Counter</w:t>
      </w:r>
      <w:r w:rsidRPr="00CD4FA5">
        <w:rPr>
          <w:rFonts w:ascii="Times New Roman" w:hAnsi="Times New Roman"/>
          <w:b/>
          <w:sz w:val="24"/>
        </w:rPr>
        <w:noBreakHyphen/>
        <w:t xml:space="preserve">Terrorism Financing Rules (AML/CTF Rules) </w:t>
      </w:r>
      <w:r w:rsidR="00923713">
        <w:rPr>
          <w:rFonts w:ascii="Times New Roman" w:hAnsi="Times New Roman"/>
          <w:b/>
          <w:sz w:val="24"/>
        </w:rPr>
        <w:t>amending Chapters 1, 4, 8, 9, 30 and 36</w:t>
      </w:r>
      <w:r w:rsidRPr="00CD4FA5">
        <w:rPr>
          <w:rFonts w:ascii="Times New Roman" w:hAnsi="Times New Roman"/>
          <w:b/>
          <w:sz w:val="24"/>
        </w:rPr>
        <w:t xml:space="preserve">. </w:t>
      </w:r>
    </w:p>
    <w:p w14:paraId="4928DD40" w14:textId="77777777" w:rsidR="00CD4FA5" w:rsidRDefault="00CD4FA5" w:rsidP="00301D3F">
      <w:pPr>
        <w:numPr>
          <w:ilvl w:val="0"/>
          <w:numId w:val="2"/>
        </w:numPr>
        <w:autoSpaceDE w:val="0"/>
        <w:autoSpaceDN w:val="0"/>
        <w:adjustRightInd w:val="0"/>
        <w:spacing w:before="240"/>
        <w:ind w:hanging="720"/>
        <w:rPr>
          <w:rFonts w:ascii="Times New Roman" w:hAnsi="Times New Roman"/>
          <w:sz w:val="24"/>
        </w:rPr>
      </w:pPr>
      <w:r w:rsidRPr="00CD4FA5">
        <w:rPr>
          <w:rFonts w:ascii="Times New Roman" w:hAnsi="Times New Roman"/>
          <w:sz w:val="24"/>
        </w:rPr>
        <w:t xml:space="preserve">Section 229 of the </w:t>
      </w:r>
      <w:r w:rsidRPr="00BC0F96">
        <w:rPr>
          <w:rFonts w:ascii="Times New Roman" w:hAnsi="Times New Roman"/>
          <w:i/>
          <w:sz w:val="24"/>
        </w:rPr>
        <w:t>Anti-Money Laundering and Counter-Terrorism Financing Act 2006</w:t>
      </w:r>
      <w:r w:rsidRPr="00CD4FA5">
        <w:rPr>
          <w:rFonts w:ascii="Times New Roman" w:hAnsi="Times New Roman"/>
          <w:sz w:val="24"/>
        </w:rPr>
        <w:t xml:space="preserve"> (AML/CTF Act) provides that the AUSTRAC Chief Executive Officer (AUSTRAC CEO) may, by writing, make AML/CTF Rules prescribing matters required or permitted by any other provision of the AML/CTF Act.</w:t>
      </w:r>
    </w:p>
    <w:p w14:paraId="3FBCBBBD" w14:textId="7D302448" w:rsidR="00CD4FA5" w:rsidRPr="00DE4DCD" w:rsidRDefault="00923713" w:rsidP="00301D3F">
      <w:pPr>
        <w:spacing w:before="240"/>
        <w:rPr>
          <w:rFonts w:ascii="Times New Roman" w:hAnsi="Times New Roman"/>
          <w:b/>
          <w:sz w:val="24"/>
        </w:rPr>
      </w:pPr>
      <w:r>
        <w:rPr>
          <w:rFonts w:ascii="Times New Roman" w:hAnsi="Times New Roman"/>
          <w:b/>
          <w:sz w:val="24"/>
        </w:rPr>
        <w:t>Amendment</w:t>
      </w:r>
      <w:r w:rsidR="00B26413">
        <w:rPr>
          <w:rFonts w:ascii="Times New Roman" w:hAnsi="Times New Roman"/>
          <w:b/>
          <w:sz w:val="24"/>
        </w:rPr>
        <w:t>s</w:t>
      </w:r>
      <w:r>
        <w:rPr>
          <w:rFonts w:ascii="Times New Roman" w:hAnsi="Times New Roman"/>
          <w:b/>
          <w:sz w:val="24"/>
        </w:rPr>
        <w:t xml:space="preserve"> </w:t>
      </w:r>
      <w:r w:rsidR="00B26413">
        <w:rPr>
          <w:rFonts w:ascii="Times New Roman" w:hAnsi="Times New Roman"/>
          <w:b/>
          <w:sz w:val="24"/>
        </w:rPr>
        <w:t>to</w:t>
      </w:r>
      <w:r w:rsidR="001B7562">
        <w:rPr>
          <w:rFonts w:ascii="Times New Roman" w:hAnsi="Times New Roman"/>
          <w:b/>
          <w:sz w:val="24"/>
        </w:rPr>
        <w:t xml:space="preserve"> Chapter </w:t>
      </w:r>
      <w:r>
        <w:rPr>
          <w:rFonts w:ascii="Times New Roman" w:hAnsi="Times New Roman"/>
          <w:b/>
          <w:sz w:val="24"/>
        </w:rPr>
        <w:t>1</w:t>
      </w:r>
      <w:r w:rsidR="00A265DF">
        <w:rPr>
          <w:rFonts w:ascii="Times New Roman" w:hAnsi="Times New Roman"/>
          <w:b/>
          <w:sz w:val="24"/>
        </w:rPr>
        <w:t xml:space="preserve"> </w:t>
      </w:r>
      <w:r w:rsidR="00B26413">
        <w:rPr>
          <w:rFonts w:ascii="Times New Roman" w:hAnsi="Times New Roman"/>
          <w:b/>
          <w:sz w:val="24"/>
        </w:rPr>
        <w:t>(Definitions)</w:t>
      </w:r>
    </w:p>
    <w:p w14:paraId="134149F0" w14:textId="26E1BCAF" w:rsidR="00135E20" w:rsidRPr="00B26413" w:rsidRDefault="00A265DF" w:rsidP="00887E1B">
      <w:pPr>
        <w:numPr>
          <w:ilvl w:val="0"/>
          <w:numId w:val="2"/>
        </w:numPr>
        <w:autoSpaceDE w:val="0"/>
        <w:autoSpaceDN w:val="0"/>
        <w:adjustRightInd w:val="0"/>
        <w:spacing w:before="240"/>
        <w:ind w:hanging="720"/>
        <w:rPr>
          <w:rFonts w:ascii="Times New Roman" w:hAnsi="Times New Roman"/>
          <w:sz w:val="24"/>
        </w:rPr>
      </w:pPr>
      <w:r w:rsidRPr="00B26413">
        <w:rPr>
          <w:rFonts w:ascii="Times New Roman" w:hAnsi="Times New Roman"/>
          <w:sz w:val="24"/>
        </w:rPr>
        <w:t xml:space="preserve">The amendments to </w:t>
      </w:r>
      <w:r w:rsidR="00135E20" w:rsidRPr="00B26413">
        <w:rPr>
          <w:rFonts w:ascii="Times New Roman" w:hAnsi="Times New Roman"/>
          <w:sz w:val="24"/>
        </w:rPr>
        <w:t xml:space="preserve">Chapter 1 </w:t>
      </w:r>
      <w:r w:rsidR="00B26413">
        <w:rPr>
          <w:rFonts w:ascii="Times New Roman" w:hAnsi="Times New Roman"/>
          <w:sz w:val="24"/>
        </w:rPr>
        <w:t>m</w:t>
      </w:r>
      <w:r w:rsidR="00135E20" w:rsidRPr="00B26413">
        <w:rPr>
          <w:rFonts w:ascii="Times New Roman" w:hAnsi="Times New Roman"/>
          <w:sz w:val="24"/>
        </w:rPr>
        <w:t>ake the definitions of ‘primary photographic identification document’, ‘primary non-photographic identification document’, and ‘secondary identification document</w:t>
      </w:r>
      <w:r w:rsidR="00792251">
        <w:rPr>
          <w:rFonts w:ascii="Times New Roman" w:hAnsi="Times New Roman"/>
          <w:sz w:val="24"/>
        </w:rPr>
        <w:t>’ inclusive</w:t>
      </w:r>
      <w:r w:rsidR="00135E20" w:rsidRPr="00B26413">
        <w:rPr>
          <w:rFonts w:ascii="Times New Roman" w:hAnsi="Times New Roman"/>
          <w:sz w:val="24"/>
        </w:rPr>
        <w:t>.</w:t>
      </w:r>
    </w:p>
    <w:p w14:paraId="1F347D1F" w14:textId="625CD77E" w:rsidR="00DC3EE1" w:rsidRPr="00DC3EE1" w:rsidRDefault="00B26413" w:rsidP="00DC3EE1">
      <w:pPr>
        <w:numPr>
          <w:ilvl w:val="0"/>
          <w:numId w:val="2"/>
        </w:numPr>
        <w:spacing w:before="240"/>
        <w:ind w:hanging="720"/>
        <w:rPr>
          <w:rFonts w:ascii="Times New Roman" w:hAnsi="Times New Roman"/>
          <w:bCs/>
          <w:sz w:val="24"/>
        </w:rPr>
      </w:pPr>
      <w:r>
        <w:rPr>
          <w:rFonts w:ascii="Times New Roman" w:hAnsi="Times New Roman"/>
          <w:sz w:val="24"/>
        </w:rPr>
        <w:t>The amendments e</w:t>
      </w:r>
      <w:r w:rsidR="00135E20" w:rsidRPr="00135E20">
        <w:rPr>
          <w:rFonts w:ascii="Times New Roman" w:hAnsi="Times New Roman"/>
          <w:sz w:val="24"/>
        </w:rPr>
        <w:t xml:space="preserve">nable </w:t>
      </w:r>
      <w:r w:rsidR="00DC3EE1" w:rsidRPr="00DC3EE1">
        <w:rPr>
          <w:rFonts w:ascii="Times New Roman" w:hAnsi="Times New Roman"/>
          <w:bCs/>
          <w:sz w:val="24"/>
        </w:rPr>
        <w:t>other ‘unique identifiers’ to be used on national identity cards</w:t>
      </w:r>
      <w:r w:rsidR="00DC3EE1">
        <w:rPr>
          <w:rFonts w:ascii="Times New Roman" w:hAnsi="Times New Roman"/>
          <w:bCs/>
          <w:sz w:val="24"/>
        </w:rPr>
        <w:t xml:space="preserve">, </w:t>
      </w:r>
      <w:r w:rsidR="00DC3EE1" w:rsidRPr="00DC3EE1">
        <w:rPr>
          <w:rFonts w:ascii="Times New Roman" w:hAnsi="Times New Roman"/>
          <w:bCs/>
          <w:sz w:val="24"/>
        </w:rPr>
        <w:t>passports</w:t>
      </w:r>
      <w:r w:rsidR="00DC3EE1">
        <w:rPr>
          <w:rFonts w:ascii="Times New Roman" w:hAnsi="Times New Roman"/>
          <w:bCs/>
          <w:sz w:val="24"/>
        </w:rPr>
        <w:t>,</w:t>
      </w:r>
      <w:r w:rsidR="00DC3EE1" w:rsidRPr="00DC3EE1">
        <w:rPr>
          <w:rFonts w:ascii="Times New Roman" w:hAnsi="Times New Roman"/>
          <w:bCs/>
          <w:sz w:val="24"/>
        </w:rPr>
        <w:t xml:space="preserve"> or similar documents in place of, or in addition to, a signature.</w:t>
      </w:r>
    </w:p>
    <w:p w14:paraId="00453B42" w14:textId="6B33ECCF" w:rsidR="00135E20" w:rsidRPr="00135E20" w:rsidRDefault="00B26413" w:rsidP="00D62B18">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 xml:space="preserve">The amendments </w:t>
      </w:r>
      <w:r w:rsidR="00792251">
        <w:rPr>
          <w:rFonts w:ascii="Times New Roman" w:hAnsi="Times New Roman"/>
          <w:sz w:val="24"/>
        </w:rPr>
        <w:t xml:space="preserve">also </w:t>
      </w:r>
      <w:r>
        <w:rPr>
          <w:rFonts w:ascii="Times New Roman" w:hAnsi="Times New Roman"/>
          <w:sz w:val="24"/>
        </w:rPr>
        <w:t>e</w:t>
      </w:r>
      <w:r w:rsidR="00135E20" w:rsidRPr="00135E20">
        <w:rPr>
          <w:rFonts w:ascii="Times New Roman" w:hAnsi="Times New Roman"/>
          <w:sz w:val="24"/>
        </w:rPr>
        <w:t>xpand the list of persons who can provide certified copies of documents to include a person in a foreign country who is authorised by law in that jurisdiction to administer oaths or affirmations or to authenticate documents.</w:t>
      </w:r>
    </w:p>
    <w:p w14:paraId="7AFEFD9C" w14:textId="010361CF" w:rsidR="00135E20" w:rsidRPr="00B26413" w:rsidRDefault="00B26413" w:rsidP="00B26413">
      <w:pPr>
        <w:autoSpaceDE w:val="0"/>
        <w:autoSpaceDN w:val="0"/>
        <w:adjustRightInd w:val="0"/>
        <w:spacing w:before="240"/>
        <w:rPr>
          <w:rFonts w:ascii="Times New Roman" w:hAnsi="Times New Roman"/>
          <w:b/>
          <w:sz w:val="24"/>
        </w:rPr>
      </w:pPr>
      <w:r w:rsidRPr="00B26413">
        <w:rPr>
          <w:rFonts w:ascii="Times New Roman" w:hAnsi="Times New Roman"/>
          <w:b/>
          <w:sz w:val="24"/>
        </w:rPr>
        <w:t xml:space="preserve">Amendments to </w:t>
      </w:r>
      <w:r w:rsidR="00135E20" w:rsidRPr="00B26413">
        <w:rPr>
          <w:rFonts w:ascii="Times New Roman" w:hAnsi="Times New Roman"/>
          <w:b/>
          <w:sz w:val="24"/>
        </w:rPr>
        <w:t xml:space="preserve">Chapter 4 </w:t>
      </w:r>
      <w:r>
        <w:rPr>
          <w:rFonts w:ascii="Times New Roman" w:hAnsi="Times New Roman"/>
          <w:b/>
          <w:sz w:val="24"/>
        </w:rPr>
        <w:t>(Customer Due Diligence)</w:t>
      </w:r>
    </w:p>
    <w:p w14:paraId="6FEB813D" w14:textId="52B1A76C" w:rsidR="00135E20" w:rsidRPr="00B26413" w:rsidRDefault="00B26413" w:rsidP="00BF65B0">
      <w:pPr>
        <w:numPr>
          <w:ilvl w:val="0"/>
          <w:numId w:val="2"/>
        </w:numPr>
        <w:autoSpaceDE w:val="0"/>
        <w:autoSpaceDN w:val="0"/>
        <w:adjustRightInd w:val="0"/>
        <w:spacing w:before="240"/>
        <w:ind w:hanging="720"/>
        <w:rPr>
          <w:rFonts w:ascii="Times New Roman" w:hAnsi="Times New Roman"/>
          <w:sz w:val="24"/>
        </w:rPr>
      </w:pPr>
      <w:r w:rsidRPr="00B26413">
        <w:rPr>
          <w:rFonts w:ascii="Times New Roman" w:hAnsi="Times New Roman"/>
          <w:sz w:val="24"/>
        </w:rPr>
        <w:t>P</w:t>
      </w:r>
      <w:r w:rsidR="00135E20" w:rsidRPr="00B26413">
        <w:rPr>
          <w:rFonts w:ascii="Times New Roman" w:hAnsi="Times New Roman"/>
          <w:sz w:val="24"/>
        </w:rPr>
        <w:t xml:space="preserve">aragraph 4.12.2 </w:t>
      </w:r>
      <w:r w:rsidRPr="00B26413">
        <w:rPr>
          <w:rFonts w:ascii="Times New Roman" w:hAnsi="Times New Roman"/>
          <w:sz w:val="24"/>
        </w:rPr>
        <w:t xml:space="preserve">is amended </w:t>
      </w:r>
      <w:r w:rsidR="00135E20" w:rsidRPr="00B26413">
        <w:rPr>
          <w:rFonts w:ascii="Times New Roman" w:hAnsi="Times New Roman"/>
          <w:sz w:val="24"/>
        </w:rPr>
        <w:t>to</w:t>
      </w:r>
      <w:r w:rsidRPr="00B26413">
        <w:rPr>
          <w:rFonts w:ascii="Times New Roman" w:hAnsi="Times New Roman"/>
          <w:sz w:val="24"/>
        </w:rPr>
        <w:t xml:space="preserve"> </w:t>
      </w:r>
      <w:r>
        <w:rPr>
          <w:rFonts w:ascii="Times New Roman" w:hAnsi="Times New Roman"/>
          <w:sz w:val="24"/>
        </w:rPr>
        <w:t>e</w:t>
      </w:r>
      <w:r w:rsidR="00135E20" w:rsidRPr="00B26413">
        <w:rPr>
          <w:rFonts w:ascii="Times New Roman" w:hAnsi="Times New Roman"/>
          <w:sz w:val="24"/>
        </w:rPr>
        <w:t>xpand the exemptions for identification of beneficial ownership to include majority-owned subsidiaries of foreign publicly-listed companies that are already subject to disclosure requirements (</w:t>
      </w:r>
      <w:proofErr w:type="gramStart"/>
      <w:r w:rsidR="00135E20" w:rsidRPr="00B26413">
        <w:rPr>
          <w:rFonts w:ascii="Times New Roman" w:hAnsi="Times New Roman"/>
          <w:sz w:val="24"/>
        </w:rPr>
        <w:t>whether</w:t>
      </w:r>
      <w:proofErr w:type="gramEnd"/>
      <w:r w:rsidR="00135E20" w:rsidRPr="00B26413">
        <w:rPr>
          <w:rFonts w:ascii="Times New Roman" w:hAnsi="Times New Roman"/>
          <w:sz w:val="24"/>
        </w:rPr>
        <w:t xml:space="preserve"> by stock exchange rules or through law or enforceable means).</w:t>
      </w:r>
    </w:p>
    <w:p w14:paraId="38C9EB1C" w14:textId="36D139C6" w:rsidR="00135E20" w:rsidRPr="00135E20" w:rsidRDefault="00B26413" w:rsidP="00D62B18">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The amendments also r</w:t>
      </w:r>
      <w:r w:rsidR="00135E20" w:rsidRPr="00135E20">
        <w:rPr>
          <w:rFonts w:ascii="Times New Roman" w:hAnsi="Times New Roman"/>
          <w:sz w:val="24"/>
        </w:rPr>
        <w:t xml:space="preserve">emove the existing </w:t>
      </w:r>
      <w:r w:rsidR="00E322F5">
        <w:rPr>
          <w:rFonts w:ascii="Times New Roman" w:hAnsi="Times New Roman"/>
          <w:sz w:val="24"/>
        </w:rPr>
        <w:t>requirement</w:t>
      </w:r>
      <w:r w:rsidR="00135E20" w:rsidRPr="00135E20">
        <w:rPr>
          <w:rFonts w:ascii="Times New Roman" w:hAnsi="Times New Roman"/>
          <w:sz w:val="24"/>
        </w:rPr>
        <w:t xml:space="preserve"> for reporting entities to ensure that the foreign disclosure requirements are “the same as, or comparable to, the requirements in Australia”</w:t>
      </w:r>
      <w:r w:rsidR="00E322F5">
        <w:rPr>
          <w:rFonts w:ascii="Times New Roman" w:hAnsi="Times New Roman"/>
          <w:sz w:val="24"/>
        </w:rPr>
        <w:t>.</w:t>
      </w:r>
      <w:r w:rsidR="00460CCD">
        <w:rPr>
          <w:rFonts w:ascii="Times New Roman" w:hAnsi="Times New Roman"/>
          <w:sz w:val="24"/>
        </w:rPr>
        <w:t xml:space="preserve"> </w:t>
      </w:r>
    </w:p>
    <w:p w14:paraId="354D6505" w14:textId="1B40EAB5" w:rsidR="00135E20" w:rsidRPr="00135E20" w:rsidRDefault="00B26413" w:rsidP="00D62B18">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The amendments add a</w:t>
      </w:r>
      <w:r w:rsidR="00135E20" w:rsidRPr="00135E20">
        <w:rPr>
          <w:rFonts w:ascii="Times New Roman" w:hAnsi="Times New Roman"/>
          <w:sz w:val="24"/>
        </w:rPr>
        <w:t xml:space="preserve"> new Part 4.15</w:t>
      </w:r>
      <w:r w:rsidR="00460CCD">
        <w:rPr>
          <w:rFonts w:ascii="Times New Roman" w:hAnsi="Times New Roman"/>
          <w:sz w:val="24"/>
        </w:rPr>
        <w:t>,</w:t>
      </w:r>
      <w:r w:rsidR="00135E20" w:rsidRPr="00135E20">
        <w:rPr>
          <w:rFonts w:ascii="Times New Roman" w:hAnsi="Times New Roman"/>
          <w:sz w:val="24"/>
        </w:rPr>
        <w:t xml:space="preserve"> which sets out procedures for reporting entities to follow in </w:t>
      </w:r>
      <w:r w:rsidR="00460CCD">
        <w:rPr>
          <w:rFonts w:ascii="Times New Roman" w:hAnsi="Times New Roman"/>
          <w:sz w:val="24"/>
        </w:rPr>
        <w:t xml:space="preserve">certain </w:t>
      </w:r>
      <w:r w:rsidR="00135E20" w:rsidRPr="00135E20">
        <w:rPr>
          <w:rFonts w:ascii="Times New Roman" w:hAnsi="Times New Roman"/>
          <w:sz w:val="24"/>
        </w:rPr>
        <w:t xml:space="preserve">limited and exceptional circumstances where a customer is unable to provide satisfactory evidence of their identity. The provisions draw on relevant sections of the National Identity Proofing Guidelines, </w:t>
      </w:r>
      <w:r w:rsidR="00460CCD">
        <w:rPr>
          <w:rFonts w:ascii="Times New Roman" w:hAnsi="Times New Roman"/>
          <w:sz w:val="24"/>
        </w:rPr>
        <w:t xml:space="preserve">as </w:t>
      </w:r>
      <w:r w:rsidR="00135E20" w:rsidRPr="00135E20">
        <w:rPr>
          <w:rFonts w:ascii="Times New Roman" w:hAnsi="Times New Roman"/>
          <w:sz w:val="24"/>
        </w:rPr>
        <w:t>prepared by the</w:t>
      </w:r>
      <w:r w:rsidR="00460CCD">
        <w:rPr>
          <w:rFonts w:ascii="Times New Roman" w:hAnsi="Times New Roman"/>
          <w:sz w:val="24"/>
        </w:rPr>
        <w:t xml:space="preserve"> Attorney-General’s Department.</w:t>
      </w:r>
      <w:r w:rsidR="00135E20" w:rsidRPr="00135E20">
        <w:rPr>
          <w:rFonts w:ascii="Times New Roman" w:hAnsi="Times New Roman"/>
          <w:sz w:val="24"/>
        </w:rPr>
        <w:t xml:space="preserve"> The proposed </w:t>
      </w:r>
      <w:r w:rsidR="00135E20" w:rsidRPr="00135E20">
        <w:rPr>
          <w:rFonts w:ascii="Times New Roman" w:hAnsi="Times New Roman"/>
          <w:sz w:val="24"/>
        </w:rPr>
        <w:lastRenderedPageBreak/>
        <w:t xml:space="preserve">amendments are in response to the </w:t>
      </w:r>
      <w:r>
        <w:rPr>
          <w:rFonts w:ascii="Times New Roman" w:hAnsi="Times New Roman"/>
          <w:sz w:val="24"/>
        </w:rPr>
        <w:t xml:space="preserve">finding of the </w:t>
      </w:r>
      <w:r w:rsidR="00135E20" w:rsidRPr="00460CCD">
        <w:rPr>
          <w:rFonts w:ascii="Times New Roman" w:hAnsi="Times New Roman"/>
          <w:i/>
          <w:sz w:val="24"/>
        </w:rPr>
        <w:t xml:space="preserve">Statutory Review </w:t>
      </w:r>
      <w:r w:rsidRPr="00460CCD">
        <w:rPr>
          <w:rFonts w:ascii="Times New Roman" w:hAnsi="Times New Roman"/>
          <w:i/>
          <w:sz w:val="24"/>
        </w:rPr>
        <w:t>of the Anti-Money Laundering and Counter-Terrorism Financing Act 2006 and Associated Rules and Regulations</w:t>
      </w:r>
      <w:r w:rsidR="00135E20" w:rsidRPr="00460CCD">
        <w:rPr>
          <w:rFonts w:ascii="Times New Roman" w:hAnsi="Times New Roman"/>
          <w:i/>
          <w:sz w:val="24"/>
        </w:rPr>
        <w:t xml:space="preserve"> </w:t>
      </w:r>
      <w:r w:rsidR="00135E20" w:rsidRPr="00135E20">
        <w:rPr>
          <w:rFonts w:ascii="Times New Roman" w:hAnsi="Times New Roman"/>
          <w:sz w:val="24"/>
        </w:rPr>
        <w:t>that “reporting entities are struggling to verify customers’ identities in some circumstances</w:t>
      </w:r>
      <w:r w:rsidR="00460CCD">
        <w:rPr>
          <w:rFonts w:ascii="Times New Roman" w:hAnsi="Times New Roman"/>
          <w:sz w:val="24"/>
        </w:rPr>
        <w:t>,”</w:t>
      </w:r>
      <w:r w:rsidR="00135E20" w:rsidRPr="00135E20">
        <w:rPr>
          <w:rFonts w:ascii="Times New Roman" w:hAnsi="Times New Roman"/>
          <w:sz w:val="24"/>
        </w:rPr>
        <w:t xml:space="preserve"> and which has been </w:t>
      </w:r>
      <w:r w:rsidR="00460CCD" w:rsidRPr="00252FB1">
        <w:rPr>
          <w:rFonts w:ascii="Times New Roman" w:hAnsi="Times New Roman"/>
          <w:sz w:val="24"/>
        </w:rPr>
        <w:t xml:space="preserve">identified as </w:t>
      </w:r>
      <w:r w:rsidR="00135E20" w:rsidRPr="00252FB1">
        <w:rPr>
          <w:rFonts w:ascii="Times New Roman" w:hAnsi="Times New Roman"/>
          <w:sz w:val="24"/>
        </w:rPr>
        <w:t xml:space="preserve">an </w:t>
      </w:r>
      <w:r w:rsidR="00460CCD" w:rsidRPr="00252FB1">
        <w:rPr>
          <w:rFonts w:ascii="Times New Roman" w:hAnsi="Times New Roman"/>
          <w:sz w:val="24"/>
        </w:rPr>
        <w:t xml:space="preserve">ongoing </w:t>
      </w:r>
      <w:r w:rsidR="00135E20" w:rsidRPr="00252FB1">
        <w:rPr>
          <w:rFonts w:ascii="Times New Roman" w:hAnsi="Times New Roman"/>
          <w:sz w:val="24"/>
        </w:rPr>
        <w:t>issue since the commencement of the AML/CTF Act in 2006.</w:t>
      </w:r>
      <w:r w:rsidR="00252FB1" w:rsidRPr="00252FB1">
        <w:rPr>
          <w:rFonts w:ascii="Times New Roman" w:hAnsi="Times New Roman"/>
          <w:bCs/>
          <w:sz w:val="24"/>
          <w:lang w:eastAsia="en-AU"/>
        </w:rPr>
        <w:t xml:space="preserve"> The amendments </w:t>
      </w:r>
      <w:r w:rsidR="00252FB1" w:rsidRPr="00252FB1">
        <w:rPr>
          <w:rFonts w:ascii="Times New Roman" w:hAnsi="Times New Roman"/>
          <w:bCs/>
          <w:sz w:val="24"/>
        </w:rPr>
        <w:t xml:space="preserve">will also assist </w:t>
      </w:r>
      <w:r w:rsidR="00252FB1">
        <w:rPr>
          <w:rFonts w:ascii="Times New Roman" w:hAnsi="Times New Roman"/>
          <w:bCs/>
          <w:sz w:val="24"/>
        </w:rPr>
        <w:t>the g</w:t>
      </w:r>
      <w:r w:rsidR="00252FB1" w:rsidRPr="00252FB1">
        <w:rPr>
          <w:rFonts w:ascii="Times New Roman" w:hAnsi="Times New Roman"/>
          <w:bCs/>
          <w:sz w:val="24"/>
        </w:rPr>
        <w:t>overnment in meeting its G20 commitment to reduce financial exclusion.</w:t>
      </w:r>
    </w:p>
    <w:p w14:paraId="75292E1B" w14:textId="16BD368E" w:rsidR="00135E20" w:rsidRPr="0030476E" w:rsidRDefault="0030476E" w:rsidP="0030476E">
      <w:pPr>
        <w:autoSpaceDE w:val="0"/>
        <w:autoSpaceDN w:val="0"/>
        <w:adjustRightInd w:val="0"/>
        <w:spacing w:before="240"/>
        <w:rPr>
          <w:rFonts w:ascii="Times New Roman" w:hAnsi="Times New Roman"/>
          <w:b/>
          <w:sz w:val="24"/>
        </w:rPr>
      </w:pPr>
      <w:r w:rsidRPr="0030476E">
        <w:rPr>
          <w:rFonts w:ascii="Times New Roman" w:hAnsi="Times New Roman"/>
          <w:b/>
          <w:sz w:val="24"/>
        </w:rPr>
        <w:t xml:space="preserve">Amendments to </w:t>
      </w:r>
      <w:r w:rsidR="00135E20" w:rsidRPr="0030476E">
        <w:rPr>
          <w:rFonts w:ascii="Times New Roman" w:hAnsi="Times New Roman"/>
          <w:b/>
          <w:sz w:val="24"/>
        </w:rPr>
        <w:t>Chapters 8 and 9 (AML/CTF Programs)</w:t>
      </w:r>
    </w:p>
    <w:p w14:paraId="47DAB1FA" w14:textId="4B3F4DA8" w:rsidR="00135E20" w:rsidRPr="00135E20" w:rsidRDefault="001E52A5" w:rsidP="00D62B18">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A</w:t>
      </w:r>
      <w:r w:rsidR="00135E20" w:rsidRPr="00135E20">
        <w:rPr>
          <w:rFonts w:ascii="Times New Roman" w:hAnsi="Times New Roman"/>
          <w:sz w:val="24"/>
        </w:rPr>
        <w:t>mendments are made to Parts 8.1 and 9.1 to make the ‘identification, m</w:t>
      </w:r>
      <w:r w:rsidR="00460CCD">
        <w:rPr>
          <w:rFonts w:ascii="Times New Roman" w:hAnsi="Times New Roman"/>
          <w:sz w:val="24"/>
        </w:rPr>
        <w:t>itigation, and management’ of money laundering and terrorism financing</w:t>
      </w:r>
      <w:r w:rsidR="00135E20" w:rsidRPr="00135E20">
        <w:rPr>
          <w:rFonts w:ascii="Times New Roman" w:hAnsi="Times New Roman"/>
          <w:sz w:val="24"/>
        </w:rPr>
        <w:t xml:space="preserve"> </w:t>
      </w:r>
      <w:r w:rsidR="002222E4">
        <w:rPr>
          <w:rFonts w:ascii="Times New Roman" w:hAnsi="Times New Roman"/>
          <w:sz w:val="24"/>
        </w:rPr>
        <w:t xml:space="preserve">(ML/TF) </w:t>
      </w:r>
      <w:r w:rsidR="00135E20" w:rsidRPr="00135E20">
        <w:rPr>
          <w:rFonts w:ascii="Times New Roman" w:hAnsi="Times New Roman"/>
          <w:sz w:val="24"/>
        </w:rPr>
        <w:t xml:space="preserve">risk a general requirement in respect </w:t>
      </w:r>
      <w:r w:rsidR="00460CCD">
        <w:rPr>
          <w:rFonts w:ascii="Times New Roman" w:hAnsi="Times New Roman"/>
          <w:sz w:val="24"/>
        </w:rPr>
        <w:t>of</w:t>
      </w:r>
      <w:r w:rsidR="00135E20" w:rsidRPr="00135E20">
        <w:rPr>
          <w:rFonts w:ascii="Times New Roman" w:hAnsi="Times New Roman"/>
          <w:sz w:val="24"/>
        </w:rPr>
        <w:t xml:space="preserve"> new designated services, new methods of delivering designated services, new technologies</w:t>
      </w:r>
      <w:r w:rsidR="00460CCD">
        <w:rPr>
          <w:rFonts w:ascii="Times New Roman" w:hAnsi="Times New Roman"/>
          <w:sz w:val="24"/>
        </w:rPr>
        <w:t>,</w:t>
      </w:r>
      <w:r w:rsidR="00135E20" w:rsidRPr="00135E20">
        <w:rPr>
          <w:rFonts w:ascii="Times New Roman" w:hAnsi="Times New Roman"/>
          <w:sz w:val="24"/>
        </w:rPr>
        <w:t xml:space="preserve"> and changes arising </w:t>
      </w:r>
      <w:r w:rsidR="00460CCD">
        <w:rPr>
          <w:rFonts w:ascii="Times New Roman" w:hAnsi="Times New Roman"/>
          <w:sz w:val="24"/>
        </w:rPr>
        <w:t>in</w:t>
      </w:r>
      <w:r w:rsidR="00135E20" w:rsidRPr="00135E20">
        <w:rPr>
          <w:rFonts w:ascii="Times New Roman" w:hAnsi="Times New Roman"/>
          <w:sz w:val="24"/>
        </w:rPr>
        <w:t xml:space="preserve"> the nature of</w:t>
      </w:r>
      <w:r w:rsidR="00460CCD">
        <w:rPr>
          <w:rFonts w:ascii="Times New Roman" w:hAnsi="Times New Roman"/>
          <w:sz w:val="24"/>
        </w:rPr>
        <w:t xml:space="preserve"> the business relationship, </w:t>
      </w:r>
      <w:r w:rsidR="00135E20" w:rsidRPr="00135E20">
        <w:rPr>
          <w:rFonts w:ascii="Times New Roman" w:hAnsi="Times New Roman"/>
          <w:sz w:val="24"/>
        </w:rPr>
        <w:t xml:space="preserve">control </w:t>
      </w:r>
      <w:r w:rsidR="00460CCD">
        <w:rPr>
          <w:rFonts w:ascii="Times New Roman" w:hAnsi="Times New Roman"/>
          <w:sz w:val="24"/>
        </w:rPr>
        <w:t xml:space="preserve">structure, and beneficial ownership </w:t>
      </w:r>
      <w:r w:rsidR="00135E20" w:rsidRPr="00135E20">
        <w:rPr>
          <w:rFonts w:ascii="Times New Roman" w:hAnsi="Times New Roman"/>
          <w:sz w:val="24"/>
        </w:rPr>
        <w:t xml:space="preserve">of the customer. </w:t>
      </w:r>
    </w:p>
    <w:p w14:paraId="6236737F" w14:textId="1D2936B2" w:rsidR="00135E20" w:rsidRPr="00135E20" w:rsidRDefault="00135E20" w:rsidP="00D62B18">
      <w:pPr>
        <w:numPr>
          <w:ilvl w:val="0"/>
          <w:numId w:val="2"/>
        </w:numPr>
        <w:autoSpaceDE w:val="0"/>
        <w:autoSpaceDN w:val="0"/>
        <w:adjustRightInd w:val="0"/>
        <w:spacing w:before="240"/>
        <w:ind w:hanging="720"/>
        <w:rPr>
          <w:rFonts w:ascii="Times New Roman" w:hAnsi="Times New Roman"/>
          <w:sz w:val="24"/>
        </w:rPr>
      </w:pPr>
      <w:r w:rsidRPr="00135E20">
        <w:rPr>
          <w:rFonts w:ascii="Times New Roman" w:hAnsi="Times New Roman"/>
          <w:sz w:val="24"/>
        </w:rPr>
        <w:t xml:space="preserve">Amendments are </w:t>
      </w:r>
      <w:r w:rsidR="001E52A5">
        <w:rPr>
          <w:rFonts w:ascii="Times New Roman" w:hAnsi="Times New Roman"/>
          <w:sz w:val="24"/>
        </w:rPr>
        <w:t xml:space="preserve">also </w:t>
      </w:r>
      <w:r w:rsidR="00460CCD">
        <w:rPr>
          <w:rFonts w:ascii="Times New Roman" w:hAnsi="Times New Roman"/>
          <w:sz w:val="24"/>
        </w:rPr>
        <w:t xml:space="preserve">made to Parts 8.6 and 9.6 </w:t>
      </w:r>
      <w:r w:rsidRPr="00135E20">
        <w:rPr>
          <w:rFonts w:ascii="Times New Roman" w:hAnsi="Times New Roman"/>
          <w:sz w:val="24"/>
        </w:rPr>
        <w:t>to guarantee the independence of the reviewer of AML/CTF programs.</w:t>
      </w:r>
    </w:p>
    <w:p w14:paraId="5DF9BC28" w14:textId="5ADF8006" w:rsidR="00135E20" w:rsidRPr="00135E20" w:rsidRDefault="001E52A5" w:rsidP="00D62B18">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The a</w:t>
      </w:r>
      <w:r w:rsidR="00460CCD">
        <w:rPr>
          <w:rFonts w:ascii="Times New Roman" w:hAnsi="Times New Roman"/>
          <w:sz w:val="24"/>
        </w:rPr>
        <w:t xml:space="preserve">mendments to Parts 8.7 and 9.7 </w:t>
      </w:r>
      <w:r w:rsidR="00135E20" w:rsidRPr="00135E20">
        <w:rPr>
          <w:rFonts w:ascii="Times New Roman" w:hAnsi="Times New Roman"/>
          <w:sz w:val="24"/>
        </w:rPr>
        <w:t xml:space="preserve">require reporting entities to incorporate guidance on </w:t>
      </w:r>
      <w:r w:rsidR="002222E4">
        <w:rPr>
          <w:rFonts w:ascii="Times New Roman" w:hAnsi="Times New Roman"/>
          <w:sz w:val="24"/>
        </w:rPr>
        <w:t>ML/TF</w:t>
      </w:r>
      <w:r w:rsidR="00460CCD" w:rsidRPr="00135E20">
        <w:rPr>
          <w:rFonts w:ascii="Times New Roman" w:hAnsi="Times New Roman"/>
          <w:sz w:val="24"/>
        </w:rPr>
        <w:t xml:space="preserve"> </w:t>
      </w:r>
      <w:r w:rsidR="00135E20" w:rsidRPr="00135E20">
        <w:rPr>
          <w:rFonts w:ascii="Times New Roman" w:hAnsi="Times New Roman"/>
          <w:sz w:val="24"/>
        </w:rPr>
        <w:t>risks provided or disseminated by AUSTRAC in the development or updating of Part A of their AML/CTF Programs.</w:t>
      </w:r>
    </w:p>
    <w:p w14:paraId="50B42F62" w14:textId="77777777" w:rsidR="00135E20" w:rsidRPr="0027417D" w:rsidRDefault="00135E20" w:rsidP="0027417D">
      <w:pPr>
        <w:autoSpaceDE w:val="0"/>
        <w:autoSpaceDN w:val="0"/>
        <w:adjustRightInd w:val="0"/>
        <w:spacing w:before="240"/>
        <w:rPr>
          <w:rFonts w:ascii="Times New Roman" w:hAnsi="Times New Roman"/>
          <w:b/>
          <w:sz w:val="24"/>
        </w:rPr>
      </w:pPr>
      <w:r w:rsidRPr="0027417D">
        <w:rPr>
          <w:rFonts w:ascii="Times New Roman" w:hAnsi="Times New Roman"/>
          <w:b/>
          <w:sz w:val="24"/>
        </w:rPr>
        <w:t>Chapter 30 (Disclosure certificates)</w:t>
      </w:r>
    </w:p>
    <w:p w14:paraId="2B8AAF2D" w14:textId="47C998FF" w:rsidR="00135E20" w:rsidRPr="00135E20" w:rsidRDefault="0027417D" w:rsidP="00D62B18">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The a</w:t>
      </w:r>
      <w:r w:rsidR="00135E20" w:rsidRPr="00135E20">
        <w:rPr>
          <w:rFonts w:ascii="Times New Roman" w:hAnsi="Times New Roman"/>
          <w:sz w:val="24"/>
        </w:rPr>
        <w:t xml:space="preserve">mendments to </w:t>
      </w:r>
      <w:r>
        <w:rPr>
          <w:rFonts w:ascii="Times New Roman" w:hAnsi="Times New Roman"/>
          <w:sz w:val="24"/>
        </w:rPr>
        <w:t xml:space="preserve">Chapter 30 </w:t>
      </w:r>
      <w:r w:rsidR="00135E20" w:rsidRPr="00135E20">
        <w:rPr>
          <w:rFonts w:ascii="Times New Roman" w:hAnsi="Times New Roman"/>
          <w:sz w:val="24"/>
        </w:rPr>
        <w:t xml:space="preserve">allow reporting entities to accept disclosure certificates that are certified by an appropriate officer of the customer using a risk-based approach. </w:t>
      </w:r>
      <w:r>
        <w:rPr>
          <w:rFonts w:ascii="Times New Roman" w:hAnsi="Times New Roman"/>
          <w:sz w:val="24"/>
        </w:rPr>
        <w:t>T</w:t>
      </w:r>
      <w:r w:rsidR="00135E20" w:rsidRPr="00135E20">
        <w:rPr>
          <w:rFonts w:ascii="Times New Roman" w:hAnsi="Times New Roman"/>
          <w:sz w:val="24"/>
        </w:rPr>
        <w:t xml:space="preserve">he amendments expressly clarify that a reporting entity must not rely on a disclosure certificate if it knows or has reason to believe that </w:t>
      </w:r>
      <w:r w:rsidR="00460CCD">
        <w:rPr>
          <w:rFonts w:ascii="Times New Roman" w:hAnsi="Times New Roman"/>
          <w:sz w:val="24"/>
        </w:rPr>
        <w:t>the information provided in the certificate is</w:t>
      </w:r>
      <w:r w:rsidR="00135E20" w:rsidRPr="00135E20">
        <w:rPr>
          <w:rFonts w:ascii="Times New Roman" w:hAnsi="Times New Roman"/>
          <w:sz w:val="24"/>
        </w:rPr>
        <w:t xml:space="preserve"> incorrect or </w:t>
      </w:r>
      <w:r w:rsidR="00460CCD">
        <w:rPr>
          <w:rFonts w:ascii="Times New Roman" w:hAnsi="Times New Roman"/>
          <w:sz w:val="24"/>
        </w:rPr>
        <w:t xml:space="preserve">otherwise </w:t>
      </w:r>
      <w:r w:rsidR="00135E20" w:rsidRPr="00135E20">
        <w:rPr>
          <w:rFonts w:ascii="Times New Roman" w:hAnsi="Times New Roman"/>
          <w:sz w:val="24"/>
        </w:rPr>
        <w:t>unreliable.</w:t>
      </w:r>
    </w:p>
    <w:p w14:paraId="026F0C65" w14:textId="77777777" w:rsidR="00135E20" w:rsidRPr="0027417D" w:rsidRDefault="00135E20" w:rsidP="0027417D">
      <w:pPr>
        <w:autoSpaceDE w:val="0"/>
        <w:autoSpaceDN w:val="0"/>
        <w:adjustRightInd w:val="0"/>
        <w:spacing w:before="240"/>
        <w:rPr>
          <w:rFonts w:ascii="Times New Roman" w:hAnsi="Times New Roman"/>
          <w:b/>
          <w:sz w:val="24"/>
        </w:rPr>
      </w:pPr>
      <w:r w:rsidRPr="0027417D">
        <w:rPr>
          <w:rFonts w:ascii="Times New Roman" w:hAnsi="Times New Roman"/>
          <w:b/>
          <w:sz w:val="24"/>
        </w:rPr>
        <w:t>Chapter 36 (Exemption of certain designated services within a corporate structure)</w:t>
      </w:r>
    </w:p>
    <w:p w14:paraId="793B3742" w14:textId="2B2184D4" w:rsidR="00135E20" w:rsidRPr="00135E20" w:rsidRDefault="0027417D" w:rsidP="00D62B18">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The a</w:t>
      </w:r>
      <w:r w:rsidRPr="00135E20">
        <w:rPr>
          <w:rFonts w:ascii="Times New Roman" w:hAnsi="Times New Roman"/>
          <w:sz w:val="24"/>
        </w:rPr>
        <w:t xml:space="preserve">mendments </w:t>
      </w:r>
      <w:r>
        <w:rPr>
          <w:rFonts w:ascii="Times New Roman" w:hAnsi="Times New Roman"/>
          <w:sz w:val="24"/>
        </w:rPr>
        <w:t>to Chapter 36</w:t>
      </w:r>
      <w:r w:rsidRPr="00135E20">
        <w:rPr>
          <w:rFonts w:ascii="Times New Roman" w:hAnsi="Times New Roman"/>
          <w:sz w:val="24"/>
        </w:rPr>
        <w:t xml:space="preserve"> </w:t>
      </w:r>
      <w:r w:rsidRPr="009C6DD3">
        <w:rPr>
          <w:rFonts w:ascii="Times New Roman" w:hAnsi="Times New Roman"/>
          <w:sz w:val="24"/>
        </w:rPr>
        <w:t>ex</w:t>
      </w:r>
      <w:r>
        <w:rPr>
          <w:rFonts w:ascii="Times New Roman" w:hAnsi="Times New Roman"/>
          <w:sz w:val="24"/>
        </w:rPr>
        <w:t>tend the</w:t>
      </w:r>
      <w:r w:rsidRPr="009C6DD3">
        <w:rPr>
          <w:rFonts w:ascii="Times New Roman" w:hAnsi="Times New Roman"/>
          <w:sz w:val="24"/>
        </w:rPr>
        <w:t xml:space="preserve"> circumstances in which </w:t>
      </w:r>
      <w:r>
        <w:rPr>
          <w:rFonts w:ascii="Times New Roman" w:hAnsi="Times New Roman"/>
          <w:sz w:val="24"/>
        </w:rPr>
        <w:t xml:space="preserve">the exemption applies when </w:t>
      </w:r>
      <w:r w:rsidRPr="009C6DD3">
        <w:rPr>
          <w:rFonts w:ascii="Times New Roman" w:hAnsi="Times New Roman"/>
          <w:sz w:val="24"/>
        </w:rPr>
        <w:t>a reporting entity is related to its customer in Chapter 36 of the AML/CTF Rules</w:t>
      </w:r>
      <w:r>
        <w:rPr>
          <w:rFonts w:ascii="Times New Roman" w:hAnsi="Times New Roman"/>
          <w:sz w:val="24"/>
        </w:rPr>
        <w:t>,</w:t>
      </w:r>
      <w:r w:rsidRPr="009C6DD3">
        <w:rPr>
          <w:rFonts w:ascii="Times New Roman" w:hAnsi="Times New Roman"/>
          <w:sz w:val="24"/>
        </w:rPr>
        <w:t xml:space="preserve"> to include partnerships where justified by the ML/TF risk. </w:t>
      </w:r>
      <w:r>
        <w:rPr>
          <w:rFonts w:ascii="Times New Roman" w:hAnsi="Times New Roman"/>
          <w:sz w:val="24"/>
        </w:rPr>
        <w:t xml:space="preserve">The amendments exclude </w:t>
      </w:r>
      <w:r w:rsidR="00135E20" w:rsidRPr="00135E20">
        <w:rPr>
          <w:rFonts w:ascii="Times New Roman" w:hAnsi="Times New Roman"/>
          <w:sz w:val="24"/>
        </w:rPr>
        <w:t>‘limited partnerships</w:t>
      </w:r>
      <w:r>
        <w:rPr>
          <w:rFonts w:ascii="Times New Roman" w:hAnsi="Times New Roman"/>
          <w:sz w:val="24"/>
        </w:rPr>
        <w:t>’</w:t>
      </w:r>
      <w:r w:rsidR="00135E20" w:rsidRPr="00135E20">
        <w:rPr>
          <w:rFonts w:ascii="Times New Roman" w:hAnsi="Times New Roman"/>
          <w:sz w:val="24"/>
        </w:rPr>
        <w:t>, which can be created and dissolved with relative ease</w:t>
      </w:r>
      <w:r>
        <w:rPr>
          <w:rFonts w:ascii="Times New Roman" w:hAnsi="Times New Roman"/>
          <w:sz w:val="24"/>
        </w:rPr>
        <w:t>.</w:t>
      </w:r>
    </w:p>
    <w:p w14:paraId="0C18AF16" w14:textId="77777777" w:rsidR="00CD4FA5" w:rsidRPr="00CD4FA5" w:rsidRDefault="00CD4FA5" w:rsidP="00301D3F">
      <w:pPr>
        <w:keepNext/>
        <w:spacing w:before="240"/>
        <w:rPr>
          <w:rFonts w:ascii="Times New Roman" w:hAnsi="Times New Roman"/>
          <w:b/>
          <w:i/>
          <w:sz w:val="24"/>
          <w:lang w:eastAsia="en-AU"/>
        </w:rPr>
      </w:pPr>
      <w:r w:rsidRPr="00CD4FA5">
        <w:rPr>
          <w:rFonts w:ascii="Times New Roman" w:hAnsi="Times New Roman"/>
          <w:b/>
          <w:sz w:val="24"/>
          <w:lang w:eastAsia="en-AU"/>
        </w:rPr>
        <w:t xml:space="preserve">Statement of Compatibility with the </w:t>
      </w:r>
      <w:r w:rsidRPr="00CD4FA5">
        <w:rPr>
          <w:rFonts w:ascii="Times New Roman" w:hAnsi="Times New Roman"/>
          <w:b/>
          <w:i/>
          <w:sz w:val="24"/>
          <w:lang w:eastAsia="en-AU"/>
        </w:rPr>
        <w:t>Human Rights (Parliamentary Scrutiny) Act 2011</w:t>
      </w:r>
    </w:p>
    <w:p w14:paraId="19A1D42A" w14:textId="1163BF97" w:rsidR="00CD4FA5" w:rsidRPr="00CD4FA5" w:rsidRDefault="00CD4FA5" w:rsidP="00CA3485">
      <w:pPr>
        <w:numPr>
          <w:ilvl w:val="0"/>
          <w:numId w:val="2"/>
        </w:numPr>
        <w:autoSpaceDE w:val="0"/>
        <w:autoSpaceDN w:val="0"/>
        <w:adjustRightInd w:val="0"/>
        <w:spacing w:before="240"/>
        <w:ind w:hanging="720"/>
        <w:rPr>
          <w:rFonts w:ascii="Times New Roman" w:hAnsi="Times New Roman"/>
          <w:sz w:val="24"/>
        </w:rPr>
      </w:pPr>
      <w:r w:rsidRPr="00CD4FA5">
        <w:rPr>
          <w:rFonts w:ascii="Times New Roman" w:hAnsi="Times New Roman"/>
          <w:sz w:val="24"/>
        </w:rPr>
        <w:t xml:space="preserve">The </w:t>
      </w:r>
      <w:r w:rsidRPr="00BC0F96">
        <w:rPr>
          <w:rFonts w:ascii="Times New Roman" w:hAnsi="Times New Roman"/>
          <w:i/>
          <w:sz w:val="24"/>
        </w:rPr>
        <w:t>Human Rights (Parliamentary Scrutiny) Act 2011</w:t>
      </w:r>
      <w:r w:rsidRPr="00CD4FA5">
        <w:rPr>
          <w:rFonts w:ascii="Times New Roman" w:hAnsi="Times New Roman"/>
          <w:sz w:val="24"/>
        </w:rPr>
        <w:t xml:space="preserve"> requires a Statement of Compatibility declaring that the relevant instrument is compatible with the human rights and freedoms recognised or declared in the international instruments listed in section 3 of that Act.</w:t>
      </w:r>
    </w:p>
    <w:p w14:paraId="70551277" w14:textId="1828CE4A" w:rsidR="00CD4FA5" w:rsidRPr="00CD4FA5" w:rsidRDefault="00CD4FA5" w:rsidP="00CA3485">
      <w:pPr>
        <w:numPr>
          <w:ilvl w:val="0"/>
          <w:numId w:val="2"/>
        </w:numPr>
        <w:autoSpaceDE w:val="0"/>
        <w:autoSpaceDN w:val="0"/>
        <w:adjustRightInd w:val="0"/>
        <w:spacing w:before="240"/>
        <w:ind w:hanging="720"/>
        <w:rPr>
          <w:rFonts w:ascii="Times New Roman" w:hAnsi="Times New Roman"/>
          <w:sz w:val="24"/>
        </w:rPr>
      </w:pPr>
      <w:r w:rsidRPr="00CD4FA5">
        <w:rPr>
          <w:rFonts w:ascii="Times New Roman" w:hAnsi="Times New Roman"/>
          <w:sz w:val="24"/>
        </w:rPr>
        <w:t xml:space="preserve">The Statement of Compatibility for the </w:t>
      </w:r>
      <w:r w:rsidRPr="00BC0F96">
        <w:rPr>
          <w:rFonts w:ascii="Times New Roman" w:hAnsi="Times New Roman"/>
          <w:i/>
          <w:sz w:val="24"/>
        </w:rPr>
        <w:t xml:space="preserve">Anti-Money Laundering and Counter-Terrorism Financing Rules Amendment Instrument </w:t>
      </w:r>
      <w:r w:rsidR="00923713" w:rsidRPr="00BC0F96">
        <w:rPr>
          <w:rFonts w:ascii="Times New Roman" w:hAnsi="Times New Roman"/>
          <w:i/>
          <w:sz w:val="24"/>
        </w:rPr>
        <w:t>201</w:t>
      </w:r>
      <w:r w:rsidR="00923713">
        <w:rPr>
          <w:rFonts w:ascii="Times New Roman" w:hAnsi="Times New Roman"/>
          <w:i/>
          <w:sz w:val="24"/>
        </w:rPr>
        <w:t>8</w:t>
      </w:r>
      <w:r w:rsidR="00923713" w:rsidRPr="00BC0F96">
        <w:rPr>
          <w:rFonts w:ascii="Times New Roman" w:hAnsi="Times New Roman"/>
          <w:i/>
          <w:sz w:val="24"/>
        </w:rPr>
        <w:t xml:space="preserve"> </w:t>
      </w:r>
      <w:r w:rsidRPr="00BC0F96">
        <w:rPr>
          <w:rFonts w:ascii="Times New Roman" w:hAnsi="Times New Roman"/>
          <w:i/>
          <w:sz w:val="24"/>
        </w:rPr>
        <w:t xml:space="preserve">(No. </w:t>
      </w:r>
      <w:r w:rsidR="00923713">
        <w:rPr>
          <w:rFonts w:ascii="Times New Roman" w:hAnsi="Times New Roman"/>
          <w:i/>
          <w:sz w:val="24"/>
        </w:rPr>
        <w:t>1</w:t>
      </w:r>
      <w:r w:rsidRPr="00BC0F96">
        <w:rPr>
          <w:rFonts w:ascii="Times New Roman" w:hAnsi="Times New Roman"/>
          <w:i/>
          <w:sz w:val="24"/>
        </w:rPr>
        <w:t>)</w:t>
      </w:r>
      <w:r w:rsidRPr="00CD4FA5">
        <w:rPr>
          <w:rFonts w:ascii="Times New Roman" w:hAnsi="Times New Roman"/>
          <w:sz w:val="24"/>
        </w:rPr>
        <w:t xml:space="preserve"> is included in </w:t>
      </w:r>
      <w:r w:rsidRPr="00CD4FA5">
        <w:rPr>
          <w:rFonts w:ascii="Times New Roman" w:hAnsi="Times New Roman"/>
          <w:sz w:val="24"/>
        </w:rPr>
        <w:lastRenderedPageBreak/>
        <w:t xml:space="preserve">this Explanatory Statement at page </w:t>
      </w:r>
      <w:r w:rsidR="00420F61">
        <w:rPr>
          <w:rFonts w:ascii="Times New Roman" w:hAnsi="Times New Roman"/>
          <w:sz w:val="24"/>
        </w:rPr>
        <w:t>7</w:t>
      </w:r>
      <w:bookmarkStart w:id="0" w:name="_GoBack"/>
      <w:bookmarkEnd w:id="0"/>
      <w:r w:rsidRPr="00CD4FA5">
        <w:rPr>
          <w:rFonts w:ascii="Times New Roman" w:hAnsi="Times New Roman"/>
          <w:sz w:val="24"/>
        </w:rPr>
        <w:t>.</w:t>
      </w:r>
      <w:r w:rsidR="00BC0F96">
        <w:rPr>
          <w:rFonts w:ascii="Times New Roman" w:hAnsi="Times New Roman"/>
          <w:sz w:val="24"/>
        </w:rPr>
        <w:t xml:space="preserve"> </w:t>
      </w:r>
      <w:r w:rsidRPr="00CD4FA5">
        <w:rPr>
          <w:rFonts w:ascii="Times New Roman" w:hAnsi="Times New Roman"/>
          <w:sz w:val="24"/>
        </w:rPr>
        <w:t xml:space="preserve">The AUSTRAC CEO, as the rule-maker of this legislative instrument, has stated that it is compatible with the human rights and freedoms recognised or declared in the international instruments listed in section 3 of the </w:t>
      </w:r>
      <w:r w:rsidRPr="00BC0F96">
        <w:rPr>
          <w:rFonts w:ascii="Times New Roman" w:hAnsi="Times New Roman"/>
          <w:i/>
          <w:sz w:val="24"/>
        </w:rPr>
        <w:t>Human Rights (Parliamentary Scrutiny) Act 2011</w:t>
      </w:r>
      <w:r w:rsidRPr="00CD4FA5">
        <w:rPr>
          <w:rFonts w:ascii="Times New Roman" w:hAnsi="Times New Roman"/>
          <w:sz w:val="24"/>
        </w:rPr>
        <w:t>.</w:t>
      </w:r>
    </w:p>
    <w:p w14:paraId="779F5B85" w14:textId="77777777" w:rsidR="00CD4FA5" w:rsidRPr="00CD4FA5" w:rsidRDefault="00CD4FA5" w:rsidP="00301D3F">
      <w:pPr>
        <w:spacing w:before="240"/>
        <w:rPr>
          <w:rFonts w:ascii="Times New Roman" w:hAnsi="Times New Roman"/>
          <w:b/>
          <w:sz w:val="24"/>
        </w:rPr>
      </w:pPr>
      <w:r w:rsidRPr="00CD4FA5">
        <w:rPr>
          <w:rFonts w:ascii="Times New Roman" w:hAnsi="Times New Roman"/>
          <w:b/>
          <w:sz w:val="24"/>
        </w:rPr>
        <w:t>Notes on sections</w:t>
      </w:r>
    </w:p>
    <w:p w14:paraId="3B07769B" w14:textId="5E9315C1" w:rsidR="00CD3332" w:rsidRDefault="00CD3332" w:rsidP="00301D3F">
      <w:pPr>
        <w:spacing w:before="240"/>
        <w:rPr>
          <w:rFonts w:ascii="Times New Roman" w:hAnsi="Times New Roman"/>
          <w:b/>
          <w:sz w:val="24"/>
        </w:rPr>
      </w:pPr>
      <w:r>
        <w:rPr>
          <w:rFonts w:ascii="Times New Roman" w:hAnsi="Times New Roman"/>
          <w:b/>
          <w:sz w:val="24"/>
        </w:rPr>
        <w:t>Part 1—Preliminary</w:t>
      </w:r>
    </w:p>
    <w:p w14:paraId="4F45D9AC" w14:textId="482D76BF" w:rsidR="00CD4FA5" w:rsidRPr="00CD4FA5" w:rsidRDefault="00A82797" w:rsidP="00301D3F">
      <w:pPr>
        <w:spacing w:before="240"/>
        <w:rPr>
          <w:rFonts w:ascii="Times New Roman" w:hAnsi="Times New Roman"/>
          <w:b/>
          <w:sz w:val="24"/>
        </w:rPr>
      </w:pPr>
      <w:r>
        <w:rPr>
          <w:rFonts w:ascii="Times New Roman" w:hAnsi="Times New Roman"/>
          <w:b/>
          <w:sz w:val="24"/>
        </w:rPr>
        <w:t>Section</w:t>
      </w:r>
      <w:r w:rsidR="00CD4FA5" w:rsidRPr="00CD4FA5">
        <w:rPr>
          <w:rFonts w:ascii="Times New Roman" w:hAnsi="Times New Roman"/>
          <w:b/>
          <w:sz w:val="24"/>
        </w:rPr>
        <w:t xml:space="preserve"> 1</w:t>
      </w:r>
    </w:p>
    <w:p w14:paraId="690AAD0A" w14:textId="5FB37F4D" w:rsidR="00CD4FA5" w:rsidRPr="00CD4FA5" w:rsidRDefault="00CD4FA5" w:rsidP="00301D3F">
      <w:pPr>
        <w:spacing w:before="240"/>
        <w:rPr>
          <w:rFonts w:ascii="Times New Roman" w:hAnsi="Times New Roman"/>
          <w:i/>
          <w:sz w:val="24"/>
        </w:rPr>
      </w:pPr>
      <w:r w:rsidRPr="00CD4FA5">
        <w:rPr>
          <w:rFonts w:ascii="Times New Roman" w:hAnsi="Times New Roman"/>
          <w:sz w:val="24"/>
        </w:rPr>
        <w:t xml:space="preserve">This </w:t>
      </w:r>
      <w:r w:rsidR="00A82797">
        <w:rPr>
          <w:rFonts w:ascii="Times New Roman" w:hAnsi="Times New Roman"/>
          <w:sz w:val="24"/>
        </w:rPr>
        <w:t>section</w:t>
      </w:r>
      <w:r w:rsidRPr="00CD4FA5">
        <w:rPr>
          <w:rFonts w:ascii="Times New Roman" w:hAnsi="Times New Roman"/>
          <w:sz w:val="24"/>
        </w:rPr>
        <w:t xml:space="preserve"> sets out the name of the Instrument, i.e. the </w:t>
      </w:r>
      <w:r w:rsidRPr="00CD4FA5">
        <w:rPr>
          <w:rFonts w:ascii="Times New Roman" w:hAnsi="Times New Roman"/>
          <w:i/>
          <w:sz w:val="24"/>
        </w:rPr>
        <w:t xml:space="preserve">Anti-Money Laundering and Counter-Terrorism Financing Rules Amendment Instrument </w:t>
      </w:r>
      <w:r w:rsidR="00923713" w:rsidRPr="00CD4FA5">
        <w:rPr>
          <w:rFonts w:ascii="Times New Roman" w:hAnsi="Times New Roman"/>
          <w:i/>
          <w:sz w:val="24"/>
        </w:rPr>
        <w:t>201</w:t>
      </w:r>
      <w:r w:rsidR="00923713">
        <w:rPr>
          <w:rFonts w:ascii="Times New Roman" w:hAnsi="Times New Roman"/>
          <w:i/>
          <w:sz w:val="24"/>
        </w:rPr>
        <w:t>8</w:t>
      </w:r>
      <w:r w:rsidR="00923713" w:rsidRPr="00CD4FA5">
        <w:rPr>
          <w:rFonts w:ascii="Times New Roman" w:hAnsi="Times New Roman"/>
          <w:i/>
          <w:sz w:val="24"/>
        </w:rPr>
        <w:t xml:space="preserve"> </w:t>
      </w:r>
      <w:r w:rsidRPr="00CD4FA5">
        <w:rPr>
          <w:rFonts w:ascii="Times New Roman" w:hAnsi="Times New Roman"/>
          <w:i/>
          <w:sz w:val="24"/>
        </w:rPr>
        <w:t xml:space="preserve">(No. </w:t>
      </w:r>
      <w:r w:rsidR="00923713">
        <w:rPr>
          <w:rFonts w:ascii="Times New Roman" w:hAnsi="Times New Roman"/>
          <w:i/>
          <w:sz w:val="24"/>
        </w:rPr>
        <w:t>1</w:t>
      </w:r>
      <w:r w:rsidRPr="00CD4FA5">
        <w:rPr>
          <w:rFonts w:ascii="Times New Roman" w:hAnsi="Times New Roman"/>
          <w:i/>
          <w:sz w:val="24"/>
        </w:rPr>
        <w:t>).</w:t>
      </w:r>
    </w:p>
    <w:p w14:paraId="01609E35" w14:textId="7CF14A38" w:rsidR="00CD4FA5" w:rsidRPr="00CD4FA5" w:rsidRDefault="00A82797" w:rsidP="00301D3F">
      <w:pPr>
        <w:spacing w:before="240"/>
        <w:rPr>
          <w:rFonts w:ascii="Times New Roman" w:hAnsi="Times New Roman"/>
          <w:b/>
          <w:sz w:val="24"/>
        </w:rPr>
      </w:pPr>
      <w:r>
        <w:rPr>
          <w:rFonts w:ascii="Times New Roman" w:hAnsi="Times New Roman"/>
          <w:b/>
          <w:sz w:val="24"/>
        </w:rPr>
        <w:t>Section</w:t>
      </w:r>
      <w:r w:rsidRPr="00CD4FA5">
        <w:rPr>
          <w:rFonts w:ascii="Times New Roman" w:hAnsi="Times New Roman"/>
          <w:b/>
          <w:sz w:val="24"/>
        </w:rPr>
        <w:t xml:space="preserve"> </w:t>
      </w:r>
      <w:r w:rsidR="00CD4FA5" w:rsidRPr="00CD4FA5">
        <w:rPr>
          <w:rFonts w:ascii="Times New Roman" w:hAnsi="Times New Roman"/>
          <w:b/>
          <w:sz w:val="24"/>
        </w:rPr>
        <w:t>2</w:t>
      </w:r>
    </w:p>
    <w:p w14:paraId="4CD8E13D" w14:textId="20456C60" w:rsidR="00CD4FA5" w:rsidRDefault="00CD4FA5" w:rsidP="00301D3F">
      <w:pPr>
        <w:spacing w:before="240"/>
        <w:rPr>
          <w:rFonts w:ascii="Times New Roman" w:hAnsi="Times New Roman"/>
          <w:sz w:val="24"/>
        </w:rPr>
      </w:pPr>
      <w:r w:rsidRPr="00CD4FA5">
        <w:rPr>
          <w:rFonts w:ascii="Times New Roman" w:hAnsi="Times New Roman"/>
          <w:sz w:val="24"/>
        </w:rPr>
        <w:t xml:space="preserve">This </w:t>
      </w:r>
      <w:r w:rsidR="00A82797">
        <w:rPr>
          <w:rFonts w:ascii="Times New Roman" w:hAnsi="Times New Roman"/>
          <w:sz w:val="24"/>
        </w:rPr>
        <w:t>section</w:t>
      </w:r>
      <w:r w:rsidR="00A82797" w:rsidRPr="00CD4FA5">
        <w:rPr>
          <w:rFonts w:ascii="Times New Roman" w:hAnsi="Times New Roman"/>
          <w:sz w:val="24"/>
        </w:rPr>
        <w:t xml:space="preserve"> </w:t>
      </w:r>
      <w:r w:rsidRPr="00CD4FA5">
        <w:rPr>
          <w:rFonts w:ascii="Times New Roman" w:hAnsi="Times New Roman"/>
          <w:sz w:val="24"/>
        </w:rPr>
        <w:t xml:space="preserve">specifies that the </w:t>
      </w:r>
      <w:r w:rsidR="00AF6BAB">
        <w:rPr>
          <w:rFonts w:ascii="Times New Roman" w:hAnsi="Times New Roman"/>
          <w:sz w:val="24"/>
        </w:rPr>
        <w:t>Instrument</w:t>
      </w:r>
      <w:r w:rsidRPr="00CD4FA5">
        <w:rPr>
          <w:rFonts w:ascii="Times New Roman" w:hAnsi="Times New Roman"/>
          <w:sz w:val="24"/>
        </w:rPr>
        <w:t xml:space="preserve"> commence</w:t>
      </w:r>
      <w:r w:rsidR="00AF6BAB">
        <w:rPr>
          <w:rFonts w:ascii="Times New Roman" w:hAnsi="Times New Roman"/>
          <w:sz w:val="24"/>
        </w:rPr>
        <w:t>s</w:t>
      </w:r>
      <w:r w:rsidRPr="00CD4FA5">
        <w:rPr>
          <w:rFonts w:ascii="Times New Roman" w:hAnsi="Times New Roman"/>
          <w:sz w:val="24"/>
        </w:rPr>
        <w:t xml:space="preserve"> on the day after </w:t>
      </w:r>
      <w:r w:rsidR="00AF6BAB">
        <w:rPr>
          <w:rFonts w:ascii="Times New Roman" w:hAnsi="Times New Roman"/>
          <w:sz w:val="24"/>
        </w:rPr>
        <w:t>it is</w:t>
      </w:r>
      <w:r w:rsidRPr="00CD4FA5">
        <w:rPr>
          <w:rFonts w:ascii="Times New Roman" w:hAnsi="Times New Roman"/>
          <w:sz w:val="24"/>
        </w:rPr>
        <w:t xml:space="preserve"> registered.</w:t>
      </w:r>
    </w:p>
    <w:p w14:paraId="06FBD982" w14:textId="0F9DF403" w:rsidR="00CD4FA5" w:rsidRPr="00CD4FA5" w:rsidRDefault="00A82797" w:rsidP="00301D3F">
      <w:pPr>
        <w:spacing w:before="240"/>
        <w:rPr>
          <w:rFonts w:ascii="Times New Roman" w:hAnsi="Times New Roman"/>
          <w:b/>
          <w:sz w:val="24"/>
        </w:rPr>
      </w:pPr>
      <w:r>
        <w:rPr>
          <w:rFonts w:ascii="Times New Roman" w:hAnsi="Times New Roman"/>
          <w:b/>
          <w:sz w:val="24"/>
        </w:rPr>
        <w:t>Section</w:t>
      </w:r>
      <w:r w:rsidRPr="00CD4FA5">
        <w:rPr>
          <w:rFonts w:ascii="Times New Roman" w:hAnsi="Times New Roman"/>
          <w:b/>
          <w:sz w:val="24"/>
        </w:rPr>
        <w:t xml:space="preserve"> </w:t>
      </w:r>
      <w:r w:rsidR="00CD4FA5" w:rsidRPr="00CD4FA5">
        <w:rPr>
          <w:rFonts w:ascii="Times New Roman" w:hAnsi="Times New Roman"/>
          <w:b/>
          <w:sz w:val="24"/>
        </w:rPr>
        <w:t>3</w:t>
      </w:r>
    </w:p>
    <w:p w14:paraId="0B8BE5F9" w14:textId="287DE9D0" w:rsidR="00CD4FA5" w:rsidRPr="00CD4FA5" w:rsidRDefault="00CD4FA5" w:rsidP="00301D3F">
      <w:pPr>
        <w:spacing w:before="240"/>
        <w:rPr>
          <w:rFonts w:ascii="Times New Roman" w:hAnsi="Times New Roman"/>
          <w:sz w:val="24"/>
        </w:rPr>
      </w:pPr>
      <w:r w:rsidRPr="00CD4FA5">
        <w:rPr>
          <w:rFonts w:ascii="Times New Roman" w:hAnsi="Times New Roman"/>
          <w:sz w:val="24"/>
        </w:rPr>
        <w:t xml:space="preserve">This </w:t>
      </w:r>
      <w:r w:rsidR="00A82797">
        <w:rPr>
          <w:rFonts w:ascii="Times New Roman" w:hAnsi="Times New Roman"/>
          <w:sz w:val="24"/>
        </w:rPr>
        <w:t>section</w:t>
      </w:r>
      <w:r w:rsidR="00A82797" w:rsidRPr="00CD4FA5">
        <w:rPr>
          <w:rFonts w:ascii="Times New Roman" w:hAnsi="Times New Roman"/>
          <w:sz w:val="24"/>
        </w:rPr>
        <w:t xml:space="preserve"> </w:t>
      </w:r>
      <w:r w:rsidR="00A82797">
        <w:rPr>
          <w:rFonts w:ascii="Times New Roman" w:hAnsi="Times New Roman"/>
          <w:sz w:val="24"/>
        </w:rPr>
        <w:t xml:space="preserve">specifies that </w:t>
      </w:r>
      <w:r w:rsidRPr="00CD4FA5">
        <w:rPr>
          <w:rFonts w:ascii="Times New Roman" w:hAnsi="Times New Roman"/>
          <w:sz w:val="24"/>
        </w:rPr>
        <w:t>Schedule 1 amend</w:t>
      </w:r>
      <w:r w:rsidR="00285066">
        <w:rPr>
          <w:rFonts w:ascii="Times New Roman" w:hAnsi="Times New Roman"/>
          <w:sz w:val="24"/>
        </w:rPr>
        <w:t>s</w:t>
      </w:r>
      <w:r w:rsidRPr="00CD4FA5">
        <w:rPr>
          <w:rFonts w:ascii="Times New Roman" w:hAnsi="Times New Roman"/>
          <w:sz w:val="24"/>
        </w:rPr>
        <w:t xml:space="preserve"> the </w:t>
      </w:r>
      <w:r w:rsidRPr="00CD4FA5">
        <w:rPr>
          <w:rFonts w:ascii="Times New Roman" w:hAnsi="Times New Roman"/>
          <w:i/>
          <w:sz w:val="24"/>
        </w:rPr>
        <w:t xml:space="preserve">Anti-Money Laundering and Counter-Terrorism Financing Rules Instrument 2007 (No. </w:t>
      </w:r>
      <w:r w:rsidR="003D7A85">
        <w:rPr>
          <w:rFonts w:ascii="Times New Roman" w:hAnsi="Times New Roman"/>
          <w:i/>
          <w:sz w:val="24"/>
        </w:rPr>
        <w:t>1</w:t>
      </w:r>
      <w:r w:rsidRPr="00CD4FA5">
        <w:rPr>
          <w:rFonts w:ascii="Times New Roman" w:hAnsi="Times New Roman"/>
          <w:i/>
          <w:sz w:val="24"/>
        </w:rPr>
        <w:t>)</w:t>
      </w:r>
      <w:r w:rsidRPr="00CD4FA5">
        <w:rPr>
          <w:rFonts w:ascii="Times New Roman" w:hAnsi="Times New Roman"/>
          <w:sz w:val="24"/>
        </w:rPr>
        <w:t>.</w:t>
      </w:r>
    </w:p>
    <w:p w14:paraId="1B9BD32C" w14:textId="56166D3C" w:rsidR="00CD4FA5" w:rsidRPr="00CD4FA5" w:rsidRDefault="00CD4FA5" w:rsidP="00301D3F">
      <w:pPr>
        <w:spacing w:before="240"/>
        <w:rPr>
          <w:rFonts w:ascii="Times New Roman" w:hAnsi="Times New Roman"/>
          <w:b/>
          <w:sz w:val="24"/>
        </w:rPr>
      </w:pPr>
      <w:r w:rsidRPr="00CD4FA5">
        <w:rPr>
          <w:rFonts w:ascii="Times New Roman" w:hAnsi="Times New Roman"/>
          <w:b/>
          <w:sz w:val="24"/>
        </w:rPr>
        <w:t>Schedule 1</w:t>
      </w:r>
      <w:r w:rsidR="00A82797">
        <w:rPr>
          <w:rFonts w:ascii="Times New Roman" w:hAnsi="Times New Roman"/>
          <w:b/>
          <w:sz w:val="24"/>
        </w:rPr>
        <w:t>—Amendments</w:t>
      </w:r>
    </w:p>
    <w:p w14:paraId="76594865" w14:textId="375BBF1B" w:rsidR="00CD4FA5" w:rsidRPr="00CD4FA5" w:rsidRDefault="00CD4FA5" w:rsidP="00301D3F">
      <w:pPr>
        <w:spacing w:before="240"/>
        <w:rPr>
          <w:rFonts w:ascii="Times New Roman" w:hAnsi="Times New Roman"/>
          <w:sz w:val="24"/>
        </w:rPr>
      </w:pPr>
      <w:r w:rsidRPr="00CD4FA5">
        <w:rPr>
          <w:rFonts w:ascii="Times New Roman" w:hAnsi="Times New Roman"/>
          <w:sz w:val="24"/>
        </w:rPr>
        <w:t xml:space="preserve">This schedule </w:t>
      </w:r>
      <w:r w:rsidR="00923713">
        <w:rPr>
          <w:rFonts w:ascii="Times New Roman" w:hAnsi="Times New Roman"/>
          <w:sz w:val="24"/>
        </w:rPr>
        <w:t>amends Chapters 1, 4, 8, 9, 30 and 36</w:t>
      </w:r>
      <w:r w:rsidR="002227A8">
        <w:rPr>
          <w:rFonts w:ascii="Times New Roman" w:hAnsi="Times New Roman"/>
          <w:sz w:val="24"/>
        </w:rPr>
        <w:t>.</w:t>
      </w:r>
    </w:p>
    <w:p w14:paraId="48A48606" w14:textId="7EC0C718" w:rsidR="00CD4FA5" w:rsidRPr="00CD4FA5" w:rsidRDefault="00CD4FA5" w:rsidP="00301D3F">
      <w:pPr>
        <w:spacing w:before="240"/>
        <w:rPr>
          <w:rFonts w:ascii="Times New Roman" w:hAnsi="Times New Roman"/>
          <w:b/>
          <w:sz w:val="24"/>
        </w:rPr>
      </w:pPr>
      <w:r w:rsidRPr="00CD4FA5">
        <w:rPr>
          <w:rFonts w:ascii="Times New Roman" w:hAnsi="Times New Roman"/>
          <w:b/>
          <w:sz w:val="24"/>
        </w:rPr>
        <w:t xml:space="preserve">Notes on </w:t>
      </w:r>
      <w:r w:rsidR="00822A17">
        <w:rPr>
          <w:rFonts w:ascii="Times New Roman" w:hAnsi="Times New Roman"/>
          <w:b/>
          <w:sz w:val="24"/>
        </w:rPr>
        <w:t>items</w:t>
      </w:r>
    </w:p>
    <w:p w14:paraId="7528B628" w14:textId="55BF2ECC" w:rsidR="00CD4FA5" w:rsidRPr="00CD4FA5" w:rsidRDefault="00CD4FA5" w:rsidP="00301D3F">
      <w:pPr>
        <w:spacing w:before="240"/>
        <w:rPr>
          <w:rFonts w:ascii="Times New Roman" w:hAnsi="Times New Roman"/>
          <w:b/>
          <w:sz w:val="24"/>
        </w:rPr>
      </w:pPr>
      <w:r w:rsidRPr="00CD4FA5">
        <w:rPr>
          <w:rFonts w:ascii="Times New Roman" w:hAnsi="Times New Roman"/>
          <w:b/>
          <w:sz w:val="24"/>
        </w:rPr>
        <w:t xml:space="preserve">Chapter </w:t>
      </w:r>
      <w:r w:rsidR="00712D1D">
        <w:rPr>
          <w:rFonts w:ascii="Times New Roman" w:hAnsi="Times New Roman"/>
          <w:b/>
          <w:sz w:val="24"/>
        </w:rPr>
        <w:t>1</w:t>
      </w:r>
    </w:p>
    <w:p w14:paraId="58B4D6E6" w14:textId="77777777" w:rsidR="00430E99" w:rsidRPr="007B0B01" w:rsidRDefault="00430E99" w:rsidP="00301D3F">
      <w:pPr>
        <w:spacing w:before="240"/>
        <w:rPr>
          <w:rFonts w:ascii="Times New Roman" w:hAnsi="Times New Roman"/>
          <w:b/>
          <w:sz w:val="24"/>
        </w:rPr>
      </w:pPr>
      <w:r w:rsidRPr="007B0B01">
        <w:rPr>
          <w:rFonts w:ascii="Times New Roman" w:hAnsi="Times New Roman"/>
          <w:b/>
          <w:sz w:val="24"/>
        </w:rPr>
        <w:t>Item 1</w:t>
      </w:r>
    </w:p>
    <w:p w14:paraId="2CA50D72" w14:textId="2F7E3C8E" w:rsidR="00430E99" w:rsidRDefault="00430E99" w:rsidP="00301D3F">
      <w:pPr>
        <w:spacing w:before="240"/>
        <w:rPr>
          <w:rFonts w:ascii="Times New Roman" w:hAnsi="Times New Roman"/>
          <w:sz w:val="24"/>
        </w:rPr>
      </w:pPr>
      <w:r>
        <w:rPr>
          <w:rFonts w:ascii="Times New Roman" w:hAnsi="Times New Roman"/>
          <w:sz w:val="24"/>
        </w:rPr>
        <w:t xml:space="preserve">This item </w:t>
      </w:r>
      <w:r w:rsidR="00735F5A">
        <w:rPr>
          <w:rFonts w:ascii="Times New Roman" w:hAnsi="Times New Roman"/>
          <w:sz w:val="24"/>
        </w:rPr>
        <w:t xml:space="preserve">provides a revised </w:t>
      </w:r>
      <w:r w:rsidR="00712D1D">
        <w:rPr>
          <w:rFonts w:ascii="Times New Roman" w:hAnsi="Times New Roman"/>
          <w:sz w:val="24"/>
        </w:rPr>
        <w:t xml:space="preserve">definition of </w:t>
      </w:r>
      <w:r w:rsidR="00735F5A">
        <w:rPr>
          <w:rFonts w:ascii="Times New Roman" w:hAnsi="Times New Roman"/>
          <w:sz w:val="24"/>
        </w:rPr>
        <w:t>‘</w:t>
      </w:r>
      <w:r w:rsidR="00712D1D">
        <w:rPr>
          <w:rFonts w:ascii="Times New Roman" w:hAnsi="Times New Roman"/>
          <w:sz w:val="24"/>
        </w:rPr>
        <w:t>certified copy</w:t>
      </w:r>
      <w:r w:rsidR="00735F5A">
        <w:rPr>
          <w:rFonts w:ascii="Times New Roman" w:hAnsi="Times New Roman"/>
          <w:sz w:val="24"/>
        </w:rPr>
        <w:t>’, which</w:t>
      </w:r>
      <w:r w:rsidR="00712D1D">
        <w:rPr>
          <w:rFonts w:ascii="Times New Roman" w:hAnsi="Times New Roman"/>
          <w:sz w:val="24"/>
        </w:rPr>
        <w:t xml:space="preserve"> </w:t>
      </w:r>
      <w:r w:rsidR="00735F5A">
        <w:rPr>
          <w:rFonts w:ascii="Times New Roman" w:hAnsi="Times New Roman"/>
          <w:sz w:val="24"/>
        </w:rPr>
        <w:t xml:space="preserve">has been extended to include certifications made by </w:t>
      </w:r>
      <w:r w:rsidR="00735F5A" w:rsidRPr="00735F5A">
        <w:rPr>
          <w:rFonts w:ascii="Times New Roman" w:hAnsi="Times New Roman"/>
          <w:sz w:val="24"/>
        </w:rPr>
        <w:t>a person in a foreign country who is authorised by law in that jurisdiction to administer oaths or affirmations or to authenticate documents.</w:t>
      </w:r>
    </w:p>
    <w:p w14:paraId="273FF413" w14:textId="478A0AF2" w:rsidR="00401DEF" w:rsidRDefault="00401DEF" w:rsidP="00712D1D">
      <w:pPr>
        <w:spacing w:before="240"/>
        <w:rPr>
          <w:rFonts w:ascii="Times New Roman" w:hAnsi="Times New Roman"/>
          <w:b/>
          <w:sz w:val="24"/>
        </w:rPr>
      </w:pPr>
      <w:r>
        <w:rPr>
          <w:rFonts w:ascii="Times New Roman" w:hAnsi="Times New Roman"/>
          <w:b/>
          <w:sz w:val="24"/>
        </w:rPr>
        <w:t>Item 2</w:t>
      </w:r>
    </w:p>
    <w:p w14:paraId="15D2C932" w14:textId="159639DE" w:rsidR="00401DEF" w:rsidRPr="00401DEF" w:rsidRDefault="00401DEF" w:rsidP="00712D1D">
      <w:pPr>
        <w:spacing w:before="240"/>
        <w:rPr>
          <w:rFonts w:ascii="Times New Roman" w:hAnsi="Times New Roman"/>
          <w:sz w:val="24"/>
        </w:rPr>
      </w:pPr>
      <w:r>
        <w:rPr>
          <w:rFonts w:ascii="Times New Roman" w:hAnsi="Times New Roman"/>
          <w:sz w:val="24"/>
        </w:rPr>
        <w:t>This item amends the definition of ‘</w:t>
      </w:r>
      <w:r w:rsidRPr="00401DEF">
        <w:rPr>
          <w:rFonts w:ascii="Times New Roman" w:hAnsi="Times New Roman"/>
          <w:sz w:val="24"/>
        </w:rPr>
        <w:t>primary non photographic identification document</w:t>
      </w:r>
      <w:r>
        <w:rPr>
          <w:rFonts w:ascii="Times New Roman" w:hAnsi="Times New Roman"/>
          <w:sz w:val="24"/>
        </w:rPr>
        <w:t xml:space="preserve">’ to make the definition inclusive. </w:t>
      </w:r>
    </w:p>
    <w:p w14:paraId="1263073B" w14:textId="2D5626E7" w:rsidR="00712D1D" w:rsidRPr="007B0B01" w:rsidRDefault="00712D1D" w:rsidP="00712D1D">
      <w:pPr>
        <w:spacing w:before="240"/>
        <w:rPr>
          <w:rFonts w:ascii="Times New Roman" w:hAnsi="Times New Roman"/>
          <w:b/>
          <w:sz w:val="24"/>
        </w:rPr>
      </w:pPr>
      <w:r w:rsidRPr="007B0B01">
        <w:rPr>
          <w:rFonts w:ascii="Times New Roman" w:hAnsi="Times New Roman"/>
          <w:b/>
          <w:sz w:val="24"/>
        </w:rPr>
        <w:t xml:space="preserve">Item </w:t>
      </w:r>
      <w:r w:rsidR="00401DEF">
        <w:rPr>
          <w:rFonts w:ascii="Times New Roman" w:hAnsi="Times New Roman"/>
          <w:b/>
          <w:sz w:val="24"/>
        </w:rPr>
        <w:t>3</w:t>
      </w:r>
    </w:p>
    <w:p w14:paraId="01FF7305" w14:textId="306C082A" w:rsidR="00430E99" w:rsidRDefault="00430E99" w:rsidP="00301D3F">
      <w:pPr>
        <w:spacing w:before="240"/>
        <w:rPr>
          <w:rFonts w:ascii="Times New Roman" w:hAnsi="Times New Roman"/>
          <w:sz w:val="24"/>
        </w:rPr>
      </w:pPr>
      <w:r>
        <w:rPr>
          <w:rFonts w:ascii="Times New Roman" w:hAnsi="Times New Roman"/>
          <w:sz w:val="24"/>
        </w:rPr>
        <w:t xml:space="preserve">This </w:t>
      </w:r>
      <w:r w:rsidR="00822A17">
        <w:rPr>
          <w:rFonts w:ascii="Times New Roman" w:hAnsi="Times New Roman"/>
          <w:sz w:val="24"/>
        </w:rPr>
        <w:t>item</w:t>
      </w:r>
      <w:r>
        <w:rPr>
          <w:rFonts w:ascii="Times New Roman" w:hAnsi="Times New Roman"/>
          <w:sz w:val="24"/>
        </w:rPr>
        <w:t xml:space="preserve"> </w:t>
      </w:r>
      <w:r w:rsidR="00CE2AEB">
        <w:rPr>
          <w:rFonts w:ascii="Times New Roman" w:hAnsi="Times New Roman"/>
          <w:sz w:val="24"/>
        </w:rPr>
        <w:t xml:space="preserve">amends the definition of </w:t>
      </w:r>
      <w:r w:rsidR="00735F5A">
        <w:rPr>
          <w:rFonts w:ascii="Times New Roman" w:hAnsi="Times New Roman"/>
          <w:sz w:val="24"/>
        </w:rPr>
        <w:t>‘</w:t>
      </w:r>
      <w:r w:rsidR="00CE2AEB">
        <w:rPr>
          <w:rFonts w:ascii="Times New Roman" w:hAnsi="Times New Roman"/>
          <w:sz w:val="24"/>
        </w:rPr>
        <w:t>primary photographic identification document</w:t>
      </w:r>
      <w:r w:rsidR="00735F5A">
        <w:rPr>
          <w:rFonts w:ascii="Times New Roman" w:hAnsi="Times New Roman"/>
          <w:sz w:val="24"/>
        </w:rPr>
        <w:t>’</w:t>
      </w:r>
      <w:r w:rsidR="00CE2AEB">
        <w:rPr>
          <w:rFonts w:ascii="Times New Roman" w:hAnsi="Times New Roman"/>
          <w:sz w:val="24"/>
        </w:rPr>
        <w:t xml:space="preserve"> </w:t>
      </w:r>
      <w:r w:rsidR="00F83A54">
        <w:rPr>
          <w:rFonts w:ascii="Times New Roman" w:hAnsi="Times New Roman"/>
          <w:sz w:val="24"/>
        </w:rPr>
        <w:t xml:space="preserve">by </w:t>
      </w:r>
      <w:r w:rsidR="00735F5A">
        <w:rPr>
          <w:rFonts w:ascii="Times New Roman" w:hAnsi="Times New Roman"/>
          <w:sz w:val="24"/>
        </w:rPr>
        <w:t>e</w:t>
      </w:r>
      <w:r w:rsidR="00E978E9">
        <w:rPr>
          <w:rFonts w:ascii="Times New Roman" w:hAnsi="Times New Roman"/>
          <w:sz w:val="24"/>
        </w:rPr>
        <w:t>nabling</w:t>
      </w:r>
      <w:r w:rsidR="000961DD">
        <w:rPr>
          <w:rFonts w:ascii="Times New Roman" w:hAnsi="Times New Roman"/>
          <w:sz w:val="24"/>
        </w:rPr>
        <w:t xml:space="preserve"> unique identifier</w:t>
      </w:r>
      <w:r w:rsidR="00E978E9">
        <w:rPr>
          <w:rFonts w:ascii="Times New Roman" w:hAnsi="Times New Roman"/>
          <w:sz w:val="24"/>
        </w:rPr>
        <w:t>s other than a signature to be used on</w:t>
      </w:r>
      <w:r w:rsidR="000961DD">
        <w:rPr>
          <w:rFonts w:ascii="Times New Roman" w:hAnsi="Times New Roman"/>
          <w:sz w:val="24"/>
        </w:rPr>
        <w:t xml:space="preserve"> specified documents.</w:t>
      </w:r>
    </w:p>
    <w:p w14:paraId="3B820993" w14:textId="286F0634" w:rsidR="00401DEF" w:rsidRDefault="00401DEF" w:rsidP="00301D3F">
      <w:pPr>
        <w:spacing w:before="240"/>
        <w:rPr>
          <w:rFonts w:ascii="Times New Roman" w:hAnsi="Times New Roman"/>
          <w:b/>
          <w:sz w:val="24"/>
        </w:rPr>
      </w:pPr>
      <w:r w:rsidRPr="00401DEF">
        <w:rPr>
          <w:rFonts w:ascii="Times New Roman" w:hAnsi="Times New Roman"/>
          <w:b/>
          <w:sz w:val="24"/>
        </w:rPr>
        <w:t>Item 4</w:t>
      </w:r>
    </w:p>
    <w:p w14:paraId="50272766" w14:textId="2278E418" w:rsidR="00E02397" w:rsidRPr="00401DEF" w:rsidRDefault="00E02397" w:rsidP="00E02397">
      <w:pPr>
        <w:spacing w:before="240"/>
        <w:rPr>
          <w:rFonts w:ascii="Times New Roman" w:hAnsi="Times New Roman"/>
          <w:sz w:val="24"/>
        </w:rPr>
      </w:pPr>
      <w:r>
        <w:rPr>
          <w:rFonts w:ascii="Times New Roman" w:hAnsi="Times New Roman"/>
          <w:sz w:val="24"/>
        </w:rPr>
        <w:t>This item amends the definition of ‘secondary</w:t>
      </w:r>
      <w:r w:rsidRPr="00401DEF">
        <w:rPr>
          <w:rFonts w:ascii="Times New Roman" w:hAnsi="Times New Roman"/>
          <w:sz w:val="24"/>
        </w:rPr>
        <w:t xml:space="preserve"> identification document</w:t>
      </w:r>
      <w:r>
        <w:rPr>
          <w:rFonts w:ascii="Times New Roman" w:hAnsi="Times New Roman"/>
          <w:sz w:val="24"/>
        </w:rPr>
        <w:t xml:space="preserve">’ to make the definition inclusive. </w:t>
      </w:r>
    </w:p>
    <w:p w14:paraId="464DBD73" w14:textId="77777777" w:rsidR="00401DEF" w:rsidRPr="00401DEF" w:rsidRDefault="00401DEF" w:rsidP="00301D3F">
      <w:pPr>
        <w:spacing w:before="240"/>
        <w:rPr>
          <w:rFonts w:ascii="Times New Roman" w:hAnsi="Times New Roman"/>
          <w:b/>
          <w:sz w:val="24"/>
        </w:rPr>
      </w:pPr>
    </w:p>
    <w:p w14:paraId="3FEC4B4D" w14:textId="72DCC5CA" w:rsidR="00430E99" w:rsidRDefault="00822A17" w:rsidP="00301D3F">
      <w:pPr>
        <w:keepNext/>
        <w:spacing w:before="240"/>
        <w:rPr>
          <w:rFonts w:ascii="Times New Roman" w:hAnsi="Times New Roman"/>
          <w:b/>
          <w:sz w:val="24"/>
        </w:rPr>
      </w:pPr>
      <w:r>
        <w:rPr>
          <w:rFonts w:ascii="Times New Roman" w:hAnsi="Times New Roman"/>
          <w:b/>
          <w:sz w:val="24"/>
        </w:rPr>
        <w:lastRenderedPageBreak/>
        <w:t>Chapter 4</w:t>
      </w:r>
    </w:p>
    <w:p w14:paraId="65E7F1CA" w14:textId="61B85A6C" w:rsidR="00822A17" w:rsidRPr="007B0B01" w:rsidRDefault="005A11B8" w:rsidP="00822A17">
      <w:pPr>
        <w:spacing w:before="240"/>
        <w:rPr>
          <w:rFonts w:ascii="Times New Roman" w:hAnsi="Times New Roman"/>
          <w:b/>
          <w:sz w:val="24"/>
        </w:rPr>
      </w:pPr>
      <w:r>
        <w:rPr>
          <w:rFonts w:ascii="Times New Roman" w:hAnsi="Times New Roman"/>
          <w:b/>
          <w:sz w:val="24"/>
        </w:rPr>
        <w:t xml:space="preserve">Item </w:t>
      </w:r>
      <w:r w:rsidR="00E02397">
        <w:rPr>
          <w:rFonts w:ascii="Times New Roman" w:hAnsi="Times New Roman"/>
          <w:b/>
          <w:sz w:val="24"/>
        </w:rPr>
        <w:t>5</w:t>
      </w:r>
    </w:p>
    <w:p w14:paraId="6711A390" w14:textId="70D7B41E" w:rsidR="00430E99" w:rsidRDefault="00430E99" w:rsidP="00822A17">
      <w:pPr>
        <w:spacing w:before="240"/>
        <w:rPr>
          <w:rFonts w:ascii="Times New Roman" w:hAnsi="Times New Roman"/>
          <w:sz w:val="24"/>
        </w:rPr>
      </w:pPr>
      <w:r>
        <w:rPr>
          <w:rFonts w:ascii="Times New Roman" w:hAnsi="Times New Roman"/>
          <w:sz w:val="24"/>
        </w:rPr>
        <w:t xml:space="preserve">This </w:t>
      </w:r>
      <w:r w:rsidR="00822A17">
        <w:rPr>
          <w:rFonts w:ascii="Times New Roman" w:hAnsi="Times New Roman"/>
          <w:sz w:val="24"/>
        </w:rPr>
        <w:t>item</w:t>
      </w:r>
      <w:r>
        <w:rPr>
          <w:rFonts w:ascii="Times New Roman" w:hAnsi="Times New Roman"/>
          <w:sz w:val="24"/>
        </w:rPr>
        <w:t xml:space="preserve"> </w:t>
      </w:r>
      <w:r w:rsidR="00822A17">
        <w:rPr>
          <w:rFonts w:ascii="Times New Roman" w:hAnsi="Times New Roman"/>
          <w:sz w:val="24"/>
        </w:rPr>
        <w:t xml:space="preserve">amends subparagraph 4.12.2 </w:t>
      </w:r>
      <w:r w:rsidR="00822A17" w:rsidRPr="00822A17">
        <w:rPr>
          <w:rFonts w:ascii="Times New Roman" w:hAnsi="Times New Roman"/>
          <w:sz w:val="24"/>
        </w:rPr>
        <w:t>to expand the</w:t>
      </w:r>
      <w:r w:rsidR="005A11B8">
        <w:rPr>
          <w:rFonts w:ascii="Times New Roman" w:hAnsi="Times New Roman"/>
          <w:sz w:val="24"/>
        </w:rPr>
        <w:t xml:space="preserve"> circumstances in which the requirements of paragraph 4.12.1 need not be applied.</w:t>
      </w:r>
      <w:r w:rsidR="00822A17" w:rsidRPr="00822A17">
        <w:rPr>
          <w:rFonts w:ascii="Times New Roman" w:hAnsi="Times New Roman"/>
          <w:sz w:val="24"/>
        </w:rPr>
        <w:t xml:space="preserve"> </w:t>
      </w:r>
    </w:p>
    <w:p w14:paraId="2ABCACF2" w14:textId="43DD2265" w:rsidR="00430E99" w:rsidRDefault="005A11B8" w:rsidP="00252FB1">
      <w:pPr>
        <w:keepNext/>
        <w:spacing w:before="240"/>
        <w:rPr>
          <w:rFonts w:ascii="Times New Roman" w:hAnsi="Times New Roman"/>
          <w:b/>
          <w:sz w:val="24"/>
        </w:rPr>
      </w:pPr>
      <w:r>
        <w:rPr>
          <w:rFonts w:ascii="Times New Roman" w:hAnsi="Times New Roman"/>
          <w:b/>
          <w:sz w:val="24"/>
        </w:rPr>
        <w:t xml:space="preserve">Item </w:t>
      </w:r>
      <w:r w:rsidR="00C73481">
        <w:rPr>
          <w:rFonts w:ascii="Times New Roman" w:hAnsi="Times New Roman"/>
          <w:b/>
          <w:sz w:val="24"/>
        </w:rPr>
        <w:t>6</w:t>
      </w:r>
    </w:p>
    <w:p w14:paraId="23438D64" w14:textId="6CE262F7" w:rsidR="00430E99" w:rsidRPr="00822A17" w:rsidRDefault="00430E99" w:rsidP="00822A17">
      <w:pPr>
        <w:spacing w:before="240"/>
        <w:rPr>
          <w:rFonts w:ascii="Times New Roman" w:hAnsi="Times New Roman"/>
          <w:sz w:val="24"/>
        </w:rPr>
      </w:pPr>
      <w:r>
        <w:rPr>
          <w:rFonts w:ascii="Times New Roman" w:hAnsi="Times New Roman"/>
          <w:sz w:val="24"/>
        </w:rPr>
        <w:t xml:space="preserve">This </w:t>
      </w:r>
      <w:r w:rsidR="00822A17">
        <w:rPr>
          <w:rFonts w:ascii="Times New Roman" w:hAnsi="Times New Roman"/>
          <w:sz w:val="24"/>
        </w:rPr>
        <w:t xml:space="preserve">item adds </w:t>
      </w:r>
      <w:r w:rsidR="00252FB1">
        <w:rPr>
          <w:rFonts w:ascii="Times New Roman" w:hAnsi="Times New Roman"/>
          <w:sz w:val="24"/>
        </w:rPr>
        <w:t>a new P</w:t>
      </w:r>
      <w:r w:rsidR="00822A17">
        <w:rPr>
          <w:rFonts w:ascii="Times New Roman" w:hAnsi="Times New Roman"/>
          <w:sz w:val="24"/>
        </w:rPr>
        <w:t xml:space="preserve">art 4.15 </w:t>
      </w:r>
      <w:r w:rsidR="00822A17" w:rsidRPr="00822A17">
        <w:rPr>
          <w:rFonts w:ascii="Times New Roman" w:hAnsi="Times New Roman"/>
          <w:sz w:val="24"/>
        </w:rPr>
        <w:t>to aid reporting entities in identifying customers that do not possess, and are unable to obtain, the necessary information or evidence of identity.</w:t>
      </w:r>
      <w:r w:rsidR="00822A17">
        <w:rPr>
          <w:rFonts w:ascii="Times New Roman" w:hAnsi="Times New Roman"/>
          <w:sz w:val="24"/>
        </w:rPr>
        <w:t xml:space="preserve"> </w:t>
      </w:r>
    </w:p>
    <w:p w14:paraId="7194081F" w14:textId="76FA66A1" w:rsidR="00430E99" w:rsidRDefault="00896697" w:rsidP="00301D3F">
      <w:pPr>
        <w:spacing w:before="240"/>
        <w:rPr>
          <w:rFonts w:ascii="Times New Roman" w:hAnsi="Times New Roman"/>
          <w:b/>
          <w:sz w:val="24"/>
        </w:rPr>
      </w:pPr>
      <w:r>
        <w:rPr>
          <w:rFonts w:ascii="Times New Roman" w:hAnsi="Times New Roman"/>
          <w:b/>
          <w:sz w:val="24"/>
        </w:rPr>
        <w:t>Chapter 8</w:t>
      </w:r>
    </w:p>
    <w:p w14:paraId="51195315" w14:textId="0D76F1C4" w:rsidR="005063DE" w:rsidRPr="00DC6773" w:rsidRDefault="005A11B8" w:rsidP="00301D3F">
      <w:pPr>
        <w:spacing w:before="240"/>
        <w:rPr>
          <w:rFonts w:ascii="Times New Roman" w:hAnsi="Times New Roman"/>
          <w:b/>
          <w:sz w:val="24"/>
        </w:rPr>
      </w:pPr>
      <w:r>
        <w:rPr>
          <w:rFonts w:ascii="Times New Roman" w:hAnsi="Times New Roman"/>
          <w:b/>
          <w:sz w:val="24"/>
        </w:rPr>
        <w:t xml:space="preserve">Item </w:t>
      </w:r>
      <w:r w:rsidR="00C73481">
        <w:rPr>
          <w:rFonts w:ascii="Times New Roman" w:hAnsi="Times New Roman"/>
          <w:b/>
          <w:sz w:val="24"/>
        </w:rPr>
        <w:t>7</w:t>
      </w:r>
    </w:p>
    <w:p w14:paraId="7F6488F1" w14:textId="7033BBFB" w:rsidR="00D67892" w:rsidRPr="00D67892" w:rsidRDefault="00306D9E" w:rsidP="00D67892">
      <w:pPr>
        <w:spacing w:before="240"/>
        <w:rPr>
          <w:rFonts w:ascii="Times New Roman" w:hAnsi="Times New Roman"/>
          <w:sz w:val="24"/>
        </w:rPr>
      </w:pPr>
      <w:r>
        <w:rPr>
          <w:rFonts w:ascii="Times New Roman" w:hAnsi="Times New Roman"/>
          <w:sz w:val="24"/>
        </w:rPr>
        <w:t xml:space="preserve">This item amends </w:t>
      </w:r>
      <w:r w:rsidR="00D67892">
        <w:rPr>
          <w:rFonts w:ascii="Times New Roman" w:hAnsi="Times New Roman"/>
          <w:sz w:val="24"/>
        </w:rPr>
        <w:t>Part 8.1</w:t>
      </w:r>
      <w:r>
        <w:rPr>
          <w:rFonts w:ascii="Times New Roman" w:hAnsi="Times New Roman"/>
          <w:sz w:val="24"/>
        </w:rPr>
        <w:t xml:space="preserve"> to </w:t>
      </w:r>
      <w:r w:rsidRPr="00306D9E">
        <w:rPr>
          <w:rFonts w:ascii="Times New Roman" w:hAnsi="Times New Roman"/>
          <w:sz w:val="24"/>
        </w:rPr>
        <w:t xml:space="preserve">require reporting entities to identify, mitigate and manage </w:t>
      </w:r>
      <w:r w:rsidR="00D67892">
        <w:rPr>
          <w:rFonts w:ascii="Times New Roman" w:hAnsi="Times New Roman"/>
          <w:sz w:val="24"/>
        </w:rPr>
        <w:t>any</w:t>
      </w:r>
      <w:r w:rsidRPr="00306D9E">
        <w:rPr>
          <w:rFonts w:ascii="Times New Roman" w:hAnsi="Times New Roman"/>
          <w:sz w:val="24"/>
        </w:rPr>
        <w:t xml:space="preserve"> ML/TF </w:t>
      </w:r>
      <w:r>
        <w:rPr>
          <w:rFonts w:ascii="Times New Roman" w:hAnsi="Times New Roman"/>
          <w:sz w:val="24"/>
        </w:rPr>
        <w:t>risk</w:t>
      </w:r>
      <w:r w:rsidR="00D67892">
        <w:rPr>
          <w:rFonts w:ascii="Times New Roman" w:hAnsi="Times New Roman"/>
          <w:sz w:val="24"/>
        </w:rPr>
        <w:t xml:space="preserve"> arising from</w:t>
      </w:r>
      <w:r>
        <w:rPr>
          <w:rFonts w:ascii="Times New Roman" w:hAnsi="Times New Roman"/>
          <w:sz w:val="24"/>
        </w:rPr>
        <w:t xml:space="preserve"> </w:t>
      </w:r>
      <w:r w:rsidR="00D67892">
        <w:rPr>
          <w:rFonts w:ascii="Times New Roman" w:hAnsi="Times New Roman"/>
          <w:sz w:val="24"/>
        </w:rPr>
        <w:t xml:space="preserve">new designated services, </w:t>
      </w:r>
      <w:r w:rsidR="00D67892" w:rsidRPr="00D67892">
        <w:rPr>
          <w:rFonts w:ascii="Times New Roman" w:hAnsi="Times New Roman"/>
          <w:sz w:val="24"/>
        </w:rPr>
        <w:t>new methods of designated service delivery</w:t>
      </w:r>
      <w:r w:rsidR="00D67892">
        <w:rPr>
          <w:rFonts w:ascii="Times New Roman" w:hAnsi="Times New Roman"/>
          <w:sz w:val="24"/>
        </w:rPr>
        <w:t xml:space="preserve">, </w:t>
      </w:r>
      <w:r w:rsidR="00D67892" w:rsidRPr="00D67892">
        <w:rPr>
          <w:rFonts w:ascii="Times New Roman" w:hAnsi="Times New Roman"/>
          <w:sz w:val="24"/>
        </w:rPr>
        <w:t>new or developing technologies used for the provision of a designated service</w:t>
      </w:r>
      <w:r w:rsidR="00D67892">
        <w:rPr>
          <w:rFonts w:ascii="Times New Roman" w:hAnsi="Times New Roman"/>
          <w:sz w:val="24"/>
        </w:rPr>
        <w:t>,</w:t>
      </w:r>
      <w:r w:rsidR="00D67892" w:rsidRPr="00D67892">
        <w:rPr>
          <w:rFonts w:ascii="Times New Roman" w:hAnsi="Times New Roman"/>
          <w:sz w:val="24"/>
        </w:rPr>
        <w:t xml:space="preserve"> and</w:t>
      </w:r>
      <w:r w:rsidR="00D67892">
        <w:rPr>
          <w:rFonts w:ascii="Times New Roman" w:hAnsi="Times New Roman"/>
          <w:sz w:val="24"/>
        </w:rPr>
        <w:t xml:space="preserve"> </w:t>
      </w:r>
      <w:r w:rsidR="00D67892" w:rsidRPr="00D67892">
        <w:rPr>
          <w:rFonts w:ascii="Times New Roman" w:hAnsi="Times New Roman"/>
          <w:sz w:val="24"/>
        </w:rPr>
        <w:t xml:space="preserve">changes in the nature of the business relationship, control structure or beneficial ownership of </w:t>
      </w:r>
      <w:r w:rsidR="00D67892">
        <w:rPr>
          <w:rFonts w:ascii="Times New Roman" w:hAnsi="Times New Roman"/>
          <w:sz w:val="24"/>
        </w:rPr>
        <w:t xml:space="preserve">their </w:t>
      </w:r>
      <w:r w:rsidR="00D67892" w:rsidRPr="00D67892">
        <w:rPr>
          <w:rFonts w:ascii="Times New Roman" w:hAnsi="Times New Roman"/>
          <w:sz w:val="24"/>
        </w:rPr>
        <w:t>customers.</w:t>
      </w:r>
    </w:p>
    <w:p w14:paraId="3BAE2F65" w14:textId="05C495D1" w:rsidR="00D67892" w:rsidRPr="00D67892" w:rsidRDefault="00D67892" w:rsidP="00306D9E">
      <w:pPr>
        <w:spacing w:before="240"/>
        <w:rPr>
          <w:rFonts w:ascii="Times New Roman" w:hAnsi="Times New Roman"/>
          <w:b/>
          <w:sz w:val="24"/>
        </w:rPr>
      </w:pPr>
      <w:r w:rsidRPr="00D67892">
        <w:rPr>
          <w:rFonts w:ascii="Times New Roman" w:hAnsi="Times New Roman"/>
          <w:b/>
          <w:sz w:val="24"/>
        </w:rPr>
        <w:t xml:space="preserve">Item </w:t>
      </w:r>
      <w:r w:rsidR="008809C8">
        <w:rPr>
          <w:rFonts w:ascii="Times New Roman" w:hAnsi="Times New Roman"/>
          <w:b/>
          <w:sz w:val="24"/>
        </w:rPr>
        <w:t>8</w:t>
      </w:r>
    </w:p>
    <w:p w14:paraId="4EFDBDC3" w14:textId="0B26DCF1" w:rsidR="00D67892" w:rsidRDefault="00D67892" w:rsidP="00306D9E">
      <w:pPr>
        <w:spacing w:before="240"/>
        <w:rPr>
          <w:rFonts w:ascii="Times New Roman" w:hAnsi="Times New Roman"/>
          <w:sz w:val="24"/>
        </w:rPr>
      </w:pPr>
      <w:r>
        <w:rPr>
          <w:rFonts w:ascii="Times New Roman" w:hAnsi="Times New Roman"/>
          <w:sz w:val="24"/>
        </w:rPr>
        <w:t xml:space="preserve">This item amends Part 8.6 to provide reporting entities with additional information around the required timing and frequency of independent reviews of Part A of an AML/CTF Program, and clarifies </w:t>
      </w:r>
      <w:r w:rsidR="000D70E9">
        <w:rPr>
          <w:rFonts w:ascii="Times New Roman" w:hAnsi="Times New Roman"/>
          <w:sz w:val="24"/>
        </w:rPr>
        <w:t>that the person undertaking the review must not have been involved in undertaking any of the functions or measured being reviewed. Reporting entities must be able to demonstrate the independence of the reviewer.</w:t>
      </w:r>
    </w:p>
    <w:p w14:paraId="4C915AAE" w14:textId="23D523A2" w:rsidR="000D70E9" w:rsidRPr="00D67892" w:rsidRDefault="000D70E9" w:rsidP="000D70E9">
      <w:pPr>
        <w:spacing w:before="240"/>
        <w:rPr>
          <w:rFonts w:ascii="Times New Roman" w:hAnsi="Times New Roman"/>
          <w:b/>
          <w:sz w:val="24"/>
        </w:rPr>
      </w:pPr>
      <w:r>
        <w:rPr>
          <w:rFonts w:ascii="Times New Roman" w:hAnsi="Times New Roman"/>
          <w:b/>
          <w:sz w:val="24"/>
        </w:rPr>
        <w:t xml:space="preserve">Item </w:t>
      </w:r>
      <w:r w:rsidR="008809C8">
        <w:rPr>
          <w:rFonts w:ascii="Times New Roman" w:hAnsi="Times New Roman"/>
          <w:b/>
          <w:sz w:val="24"/>
        </w:rPr>
        <w:t>9</w:t>
      </w:r>
    </w:p>
    <w:p w14:paraId="46802AA4" w14:textId="28112AAB" w:rsidR="000D70E9" w:rsidRDefault="000D70E9" w:rsidP="000D70E9">
      <w:pPr>
        <w:spacing w:before="240"/>
        <w:rPr>
          <w:rFonts w:ascii="Times New Roman" w:hAnsi="Times New Roman"/>
          <w:b/>
          <w:sz w:val="24"/>
        </w:rPr>
      </w:pPr>
      <w:r>
        <w:rPr>
          <w:rFonts w:ascii="Times New Roman" w:hAnsi="Times New Roman"/>
          <w:sz w:val="24"/>
        </w:rPr>
        <w:t xml:space="preserve">This item amends Part 8.7 to require reporting entities to take into account any applicable guidance material disseminated or published by AUSTRAC, as well as any feedback provided by AUSTRAC in respect of the reporting entity, </w:t>
      </w:r>
      <w:r w:rsidRPr="000D70E9">
        <w:rPr>
          <w:rFonts w:ascii="Times New Roman" w:hAnsi="Times New Roman"/>
          <w:sz w:val="24"/>
        </w:rPr>
        <w:t>that is relevant to the identification, mitigation, and management of ML/TF risk arising from the provision of a designated service by that entity</w:t>
      </w:r>
      <w:r>
        <w:rPr>
          <w:rFonts w:ascii="Times New Roman" w:hAnsi="Times New Roman"/>
          <w:sz w:val="24"/>
        </w:rPr>
        <w:t>, both when initially developing and subsequently updating Part A of an AML/CTF Program.</w:t>
      </w:r>
      <w:r w:rsidR="001F0652">
        <w:rPr>
          <w:rFonts w:ascii="Times New Roman" w:hAnsi="Times New Roman"/>
          <w:sz w:val="24"/>
        </w:rPr>
        <w:t xml:space="preserve"> </w:t>
      </w:r>
    </w:p>
    <w:p w14:paraId="43AF9856" w14:textId="5A55B308" w:rsidR="00B42965" w:rsidRDefault="00B42965" w:rsidP="00306D9E">
      <w:pPr>
        <w:spacing w:before="240"/>
        <w:rPr>
          <w:rFonts w:ascii="Times New Roman" w:hAnsi="Times New Roman"/>
          <w:b/>
          <w:sz w:val="24"/>
        </w:rPr>
      </w:pPr>
      <w:r>
        <w:rPr>
          <w:rFonts w:ascii="Times New Roman" w:hAnsi="Times New Roman"/>
          <w:b/>
          <w:sz w:val="24"/>
        </w:rPr>
        <w:t>Chapter 9</w:t>
      </w:r>
    </w:p>
    <w:p w14:paraId="38C49E53" w14:textId="1252E591" w:rsidR="00640084" w:rsidRPr="00DC6773" w:rsidRDefault="00640084" w:rsidP="00640084">
      <w:pPr>
        <w:spacing w:before="240"/>
        <w:rPr>
          <w:rFonts w:ascii="Times New Roman" w:hAnsi="Times New Roman"/>
          <w:b/>
          <w:sz w:val="24"/>
        </w:rPr>
      </w:pPr>
      <w:r>
        <w:rPr>
          <w:rFonts w:ascii="Times New Roman" w:hAnsi="Times New Roman"/>
          <w:b/>
          <w:sz w:val="24"/>
        </w:rPr>
        <w:t xml:space="preserve">Item </w:t>
      </w:r>
      <w:r w:rsidR="008809C8">
        <w:rPr>
          <w:rFonts w:ascii="Times New Roman" w:hAnsi="Times New Roman"/>
          <w:b/>
          <w:sz w:val="24"/>
        </w:rPr>
        <w:t>10</w:t>
      </w:r>
    </w:p>
    <w:p w14:paraId="69FAAD97" w14:textId="22DAFFA6" w:rsidR="00640084" w:rsidRPr="00D67892" w:rsidRDefault="00640084" w:rsidP="00640084">
      <w:pPr>
        <w:spacing w:before="240"/>
        <w:rPr>
          <w:rFonts w:ascii="Times New Roman" w:hAnsi="Times New Roman"/>
          <w:sz w:val="24"/>
        </w:rPr>
      </w:pPr>
      <w:r>
        <w:rPr>
          <w:rFonts w:ascii="Times New Roman" w:hAnsi="Times New Roman"/>
          <w:sz w:val="24"/>
        </w:rPr>
        <w:t xml:space="preserve">This item amends Part 9.1 to </w:t>
      </w:r>
      <w:r w:rsidRPr="00306D9E">
        <w:rPr>
          <w:rFonts w:ascii="Times New Roman" w:hAnsi="Times New Roman"/>
          <w:sz w:val="24"/>
        </w:rPr>
        <w:t xml:space="preserve">require reporting entities </w:t>
      </w:r>
      <w:r>
        <w:rPr>
          <w:rFonts w:ascii="Times New Roman" w:hAnsi="Times New Roman"/>
          <w:sz w:val="24"/>
        </w:rPr>
        <w:t xml:space="preserve">in a designated business group </w:t>
      </w:r>
      <w:r w:rsidRPr="00306D9E">
        <w:rPr>
          <w:rFonts w:ascii="Times New Roman" w:hAnsi="Times New Roman"/>
          <w:sz w:val="24"/>
        </w:rPr>
        <w:t xml:space="preserve">to identify, mitigate and manage </w:t>
      </w:r>
      <w:r>
        <w:rPr>
          <w:rFonts w:ascii="Times New Roman" w:hAnsi="Times New Roman"/>
          <w:sz w:val="24"/>
        </w:rPr>
        <w:t>any</w:t>
      </w:r>
      <w:r w:rsidRPr="00306D9E">
        <w:rPr>
          <w:rFonts w:ascii="Times New Roman" w:hAnsi="Times New Roman"/>
          <w:sz w:val="24"/>
        </w:rPr>
        <w:t xml:space="preserve"> ML/TF </w:t>
      </w:r>
      <w:r>
        <w:rPr>
          <w:rFonts w:ascii="Times New Roman" w:hAnsi="Times New Roman"/>
          <w:sz w:val="24"/>
        </w:rPr>
        <w:t xml:space="preserve">risk arising from new designated services, </w:t>
      </w:r>
      <w:r w:rsidRPr="00D67892">
        <w:rPr>
          <w:rFonts w:ascii="Times New Roman" w:hAnsi="Times New Roman"/>
          <w:sz w:val="24"/>
        </w:rPr>
        <w:t>new methods of designated service delivery</w:t>
      </w:r>
      <w:r>
        <w:rPr>
          <w:rFonts w:ascii="Times New Roman" w:hAnsi="Times New Roman"/>
          <w:sz w:val="24"/>
        </w:rPr>
        <w:t xml:space="preserve">, </w:t>
      </w:r>
      <w:r w:rsidRPr="00D67892">
        <w:rPr>
          <w:rFonts w:ascii="Times New Roman" w:hAnsi="Times New Roman"/>
          <w:sz w:val="24"/>
        </w:rPr>
        <w:t>new or developing technologies used for the provision of a designated service</w:t>
      </w:r>
      <w:r>
        <w:rPr>
          <w:rFonts w:ascii="Times New Roman" w:hAnsi="Times New Roman"/>
          <w:sz w:val="24"/>
        </w:rPr>
        <w:t>,</w:t>
      </w:r>
      <w:r w:rsidRPr="00D67892">
        <w:rPr>
          <w:rFonts w:ascii="Times New Roman" w:hAnsi="Times New Roman"/>
          <w:sz w:val="24"/>
        </w:rPr>
        <w:t xml:space="preserve"> and</w:t>
      </w:r>
      <w:r>
        <w:rPr>
          <w:rFonts w:ascii="Times New Roman" w:hAnsi="Times New Roman"/>
          <w:sz w:val="24"/>
        </w:rPr>
        <w:t xml:space="preserve"> </w:t>
      </w:r>
      <w:r w:rsidRPr="00D67892">
        <w:rPr>
          <w:rFonts w:ascii="Times New Roman" w:hAnsi="Times New Roman"/>
          <w:sz w:val="24"/>
        </w:rPr>
        <w:t xml:space="preserve">changes in the nature of the business relationship, control structure or beneficial ownership of </w:t>
      </w:r>
      <w:r>
        <w:rPr>
          <w:rFonts w:ascii="Times New Roman" w:hAnsi="Times New Roman"/>
          <w:sz w:val="24"/>
        </w:rPr>
        <w:t xml:space="preserve">their </w:t>
      </w:r>
      <w:r w:rsidRPr="00D67892">
        <w:rPr>
          <w:rFonts w:ascii="Times New Roman" w:hAnsi="Times New Roman"/>
          <w:sz w:val="24"/>
        </w:rPr>
        <w:t>customers.</w:t>
      </w:r>
    </w:p>
    <w:p w14:paraId="4C060C21" w14:textId="77777777" w:rsidR="0009669C" w:rsidRDefault="0009669C">
      <w:pPr>
        <w:rPr>
          <w:rFonts w:ascii="Times New Roman" w:hAnsi="Times New Roman"/>
          <w:b/>
          <w:sz w:val="24"/>
        </w:rPr>
      </w:pPr>
      <w:r>
        <w:rPr>
          <w:rFonts w:ascii="Times New Roman" w:hAnsi="Times New Roman"/>
          <w:b/>
          <w:sz w:val="24"/>
        </w:rPr>
        <w:br w:type="page"/>
      </w:r>
    </w:p>
    <w:p w14:paraId="50E27915" w14:textId="47B6D494" w:rsidR="00640084" w:rsidRPr="00D67892" w:rsidRDefault="00640084" w:rsidP="00640084">
      <w:pPr>
        <w:spacing w:before="240"/>
        <w:rPr>
          <w:rFonts w:ascii="Times New Roman" w:hAnsi="Times New Roman"/>
          <w:b/>
          <w:sz w:val="24"/>
        </w:rPr>
      </w:pPr>
      <w:r>
        <w:rPr>
          <w:rFonts w:ascii="Times New Roman" w:hAnsi="Times New Roman"/>
          <w:b/>
          <w:sz w:val="24"/>
        </w:rPr>
        <w:lastRenderedPageBreak/>
        <w:t xml:space="preserve">Item </w:t>
      </w:r>
      <w:r w:rsidR="00AB2C1F">
        <w:rPr>
          <w:rFonts w:ascii="Times New Roman" w:hAnsi="Times New Roman"/>
          <w:b/>
          <w:sz w:val="24"/>
        </w:rPr>
        <w:t>11</w:t>
      </w:r>
    </w:p>
    <w:p w14:paraId="1B4C04CE" w14:textId="055FE85C" w:rsidR="00640084" w:rsidRDefault="00640084" w:rsidP="00640084">
      <w:pPr>
        <w:spacing w:before="240"/>
        <w:rPr>
          <w:rFonts w:ascii="Times New Roman" w:hAnsi="Times New Roman"/>
          <w:sz w:val="24"/>
        </w:rPr>
      </w:pPr>
      <w:r>
        <w:rPr>
          <w:rFonts w:ascii="Times New Roman" w:hAnsi="Times New Roman"/>
          <w:sz w:val="24"/>
        </w:rPr>
        <w:t>This item amends Part 9.6 to provide reporting entities in a designated business group with additional information around the required timing and frequency of independent reviews of Part A of a joint AML/CTF Program, and clarifies that the person undertaking the review must not have been involved in undertaking any of the functions or measured being reviewed. The designated business group must be able to demonstrate the independence of the reviewer.</w:t>
      </w:r>
    </w:p>
    <w:p w14:paraId="4E611512" w14:textId="166A0C1D" w:rsidR="00640084" w:rsidRPr="00D67892" w:rsidRDefault="00640084" w:rsidP="00640084">
      <w:pPr>
        <w:spacing w:before="240"/>
        <w:rPr>
          <w:rFonts w:ascii="Times New Roman" w:hAnsi="Times New Roman"/>
          <w:b/>
          <w:sz w:val="24"/>
        </w:rPr>
      </w:pPr>
      <w:r>
        <w:rPr>
          <w:rFonts w:ascii="Times New Roman" w:hAnsi="Times New Roman"/>
          <w:b/>
          <w:sz w:val="24"/>
        </w:rPr>
        <w:t>Item 1</w:t>
      </w:r>
      <w:r w:rsidR="00AB2C1F">
        <w:rPr>
          <w:rFonts w:ascii="Times New Roman" w:hAnsi="Times New Roman"/>
          <w:b/>
          <w:sz w:val="24"/>
        </w:rPr>
        <w:t>2</w:t>
      </w:r>
    </w:p>
    <w:p w14:paraId="7D724341" w14:textId="27F9FB30" w:rsidR="00640084" w:rsidRDefault="00640084" w:rsidP="00640084">
      <w:pPr>
        <w:spacing w:before="240"/>
        <w:rPr>
          <w:rFonts w:ascii="Times New Roman" w:hAnsi="Times New Roman"/>
          <w:b/>
          <w:sz w:val="24"/>
        </w:rPr>
      </w:pPr>
      <w:r>
        <w:rPr>
          <w:rFonts w:ascii="Times New Roman" w:hAnsi="Times New Roman"/>
          <w:sz w:val="24"/>
        </w:rPr>
        <w:t xml:space="preserve">This item amends Part 9.7 to require reporting entities in a designated business group to take into account any applicable guidance material disseminated or published by AUSTRAC, as well as any feedback provided by AUSTRAC in respect of the group, </w:t>
      </w:r>
      <w:r w:rsidRPr="000D70E9">
        <w:rPr>
          <w:rFonts w:ascii="Times New Roman" w:hAnsi="Times New Roman"/>
          <w:sz w:val="24"/>
        </w:rPr>
        <w:t xml:space="preserve">that is relevant to the identification, mitigation, and management of ML/TF risk </w:t>
      </w:r>
      <w:r>
        <w:rPr>
          <w:rFonts w:ascii="Times New Roman" w:hAnsi="Times New Roman"/>
          <w:sz w:val="24"/>
        </w:rPr>
        <w:t xml:space="preserve">arising from the provision of </w:t>
      </w:r>
      <w:r w:rsidRPr="000D70E9">
        <w:rPr>
          <w:rFonts w:ascii="Times New Roman" w:hAnsi="Times New Roman"/>
          <w:sz w:val="24"/>
        </w:rPr>
        <w:t>designated service</w:t>
      </w:r>
      <w:r>
        <w:rPr>
          <w:rFonts w:ascii="Times New Roman" w:hAnsi="Times New Roman"/>
          <w:sz w:val="24"/>
        </w:rPr>
        <w:t>(s)</w:t>
      </w:r>
      <w:r w:rsidRPr="000D70E9">
        <w:rPr>
          <w:rFonts w:ascii="Times New Roman" w:hAnsi="Times New Roman"/>
          <w:sz w:val="24"/>
        </w:rPr>
        <w:t xml:space="preserve"> by that </w:t>
      </w:r>
      <w:r>
        <w:rPr>
          <w:rFonts w:ascii="Times New Roman" w:hAnsi="Times New Roman"/>
          <w:sz w:val="24"/>
        </w:rPr>
        <w:t xml:space="preserve">group, both when initially developing and subsequently updating Part A of a joint AML/CTF Program. </w:t>
      </w:r>
    </w:p>
    <w:p w14:paraId="40C587EA" w14:textId="3B4B692B" w:rsidR="00747548" w:rsidRPr="00747548" w:rsidRDefault="00747548" w:rsidP="00306D9E">
      <w:pPr>
        <w:spacing w:before="240"/>
        <w:rPr>
          <w:rFonts w:ascii="Times New Roman" w:hAnsi="Times New Roman"/>
          <w:b/>
          <w:sz w:val="24"/>
        </w:rPr>
      </w:pPr>
      <w:r w:rsidRPr="00747548">
        <w:rPr>
          <w:rFonts w:ascii="Times New Roman" w:hAnsi="Times New Roman"/>
          <w:b/>
          <w:sz w:val="24"/>
        </w:rPr>
        <w:t>Chapter 30</w:t>
      </w:r>
    </w:p>
    <w:p w14:paraId="570E752E" w14:textId="7AC175CF" w:rsidR="00747548" w:rsidRDefault="005A11B8" w:rsidP="00306D9E">
      <w:pPr>
        <w:spacing w:before="240"/>
        <w:rPr>
          <w:rFonts w:ascii="Times New Roman" w:hAnsi="Times New Roman"/>
          <w:b/>
          <w:sz w:val="24"/>
        </w:rPr>
      </w:pPr>
      <w:r>
        <w:rPr>
          <w:rFonts w:ascii="Times New Roman" w:hAnsi="Times New Roman"/>
          <w:b/>
          <w:sz w:val="24"/>
        </w:rPr>
        <w:t xml:space="preserve">Item </w:t>
      </w:r>
      <w:r w:rsidR="00DC557A">
        <w:rPr>
          <w:rFonts w:ascii="Times New Roman" w:hAnsi="Times New Roman"/>
          <w:b/>
          <w:sz w:val="24"/>
        </w:rPr>
        <w:t>1</w:t>
      </w:r>
      <w:r w:rsidR="00AB2C1F">
        <w:rPr>
          <w:rFonts w:ascii="Times New Roman" w:hAnsi="Times New Roman"/>
          <w:b/>
          <w:sz w:val="24"/>
        </w:rPr>
        <w:t>3</w:t>
      </w:r>
    </w:p>
    <w:p w14:paraId="78966111" w14:textId="64F733BB" w:rsidR="00DC557A" w:rsidRDefault="00E2389C" w:rsidP="00583869">
      <w:pPr>
        <w:spacing w:before="240"/>
        <w:rPr>
          <w:rFonts w:ascii="Times New Roman" w:hAnsi="Times New Roman"/>
          <w:sz w:val="24"/>
        </w:rPr>
      </w:pPr>
      <w:r w:rsidRPr="00E2389C">
        <w:rPr>
          <w:rFonts w:ascii="Times New Roman" w:hAnsi="Times New Roman"/>
          <w:sz w:val="24"/>
        </w:rPr>
        <w:t xml:space="preserve">This item amends Chapter 30 </w:t>
      </w:r>
      <w:r w:rsidR="00583869" w:rsidRPr="00583869">
        <w:rPr>
          <w:rFonts w:ascii="Times New Roman" w:hAnsi="Times New Roman"/>
          <w:sz w:val="24"/>
        </w:rPr>
        <w:t xml:space="preserve">to </w:t>
      </w:r>
      <w:r w:rsidR="00290DB6">
        <w:rPr>
          <w:rFonts w:ascii="Times New Roman" w:hAnsi="Times New Roman"/>
          <w:sz w:val="24"/>
        </w:rPr>
        <w:t xml:space="preserve">further specify the contents of a disclosure certificate, and to </w:t>
      </w:r>
      <w:r w:rsidR="00DC557A">
        <w:rPr>
          <w:rFonts w:ascii="Times New Roman" w:hAnsi="Times New Roman"/>
          <w:sz w:val="24"/>
        </w:rPr>
        <w:t>require that</w:t>
      </w:r>
      <w:r w:rsidR="00583869" w:rsidRPr="00583869">
        <w:rPr>
          <w:rFonts w:ascii="Times New Roman" w:hAnsi="Times New Roman"/>
          <w:sz w:val="24"/>
        </w:rPr>
        <w:t xml:space="preserve"> certificates </w:t>
      </w:r>
      <w:r w:rsidR="00DC557A">
        <w:rPr>
          <w:rFonts w:ascii="Times New Roman" w:hAnsi="Times New Roman"/>
          <w:sz w:val="24"/>
        </w:rPr>
        <w:t>be certified by an appropriate officer of</w:t>
      </w:r>
      <w:r w:rsidR="00583869" w:rsidRPr="00583869">
        <w:rPr>
          <w:rFonts w:ascii="Times New Roman" w:hAnsi="Times New Roman"/>
          <w:sz w:val="24"/>
        </w:rPr>
        <w:t xml:space="preserve"> the customer. </w:t>
      </w:r>
      <w:r w:rsidR="00DC557A">
        <w:rPr>
          <w:rFonts w:ascii="Times New Roman" w:hAnsi="Times New Roman"/>
          <w:sz w:val="24"/>
        </w:rPr>
        <w:t>The reporting entity is provided with discretion to determine who is an ‘appropriate officer’ for this purpose, in accordance with its internal risk-based systems and controls. T</w:t>
      </w:r>
      <w:r w:rsidR="00DC557A" w:rsidRPr="00135E20">
        <w:rPr>
          <w:rFonts w:ascii="Times New Roman" w:hAnsi="Times New Roman"/>
          <w:sz w:val="24"/>
        </w:rPr>
        <w:t xml:space="preserve">he amendments </w:t>
      </w:r>
      <w:r w:rsidR="00DC557A">
        <w:rPr>
          <w:rFonts w:ascii="Times New Roman" w:hAnsi="Times New Roman"/>
          <w:sz w:val="24"/>
        </w:rPr>
        <w:t>include an express requirement</w:t>
      </w:r>
      <w:r w:rsidR="00DC557A" w:rsidRPr="00135E20">
        <w:rPr>
          <w:rFonts w:ascii="Times New Roman" w:hAnsi="Times New Roman"/>
          <w:sz w:val="24"/>
        </w:rPr>
        <w:t xml:space="preserve"> that a reporting entity must not rely on a disclosure certificate if it knows or has reason to believe that </w:t>
      </w:r>
      <w:r w:rsidR="00DC557A">
        <w:rPr>
          <w:rFonts w:ascii="Times New Roman" w:hAnsi="Times New Roman"/>
          <w:sz w:val="24"/>
        </w:rPr>
        <w:t>the information provided in the certificate is</w:t>
      </w:r>
      <w:r w:rsidR="00DC557A" w:rsidRPr="00135E20">
        <w:rPr>
          <w:rFonts w:ascii="Times New Roman" w:hAnsi="Times New Roman"/>
          <w:sz w:val="24"/>
        </w:rPr>
        <w:t xml:space="preserve"> incorrect or unreliable.</w:t>
      </w:r>
      <w:r w:rsidR="00333424">
        <w:rPr>
          <w:rFonts w:ascii="Times New Roman" w:hAnsi="Times New Roman"/>
          <w:sz w:val="24"/>
        </w:rPr>
        <w:t xml:space="preserve"> </w:t>
      </w:r>
    </w:p>
    <w:p w14:paraId="1AE33022" w14:textId="73B37514" w:rsidR="00777624" w:rsidRPr="00747548" w:rsidRDefault="00777624" w:rsidP="00777624">
      <w:pPr>
        <w:spacing w:before="240"/>
        <w:rPr>
          <w:rFonts w:ascii="Times New Roman" w:hAnsi="Times New Roman"/>
          <w:b/>
          <w:sz w:val="24"/>
        </w:rPr>
      </w:pPr>
      <w:r w:rsidRPr="00747548">
        <w:rPr>
          <w:rFonts w:ascii="Times New Roman" w:hAnsi="Times New Roman"/>
          <w:b/>
          <w:sz w:val="24"/>
        </w:rPr>
        <w:t>Chapter 3</w:t>
      </w:r>
      <w:r>
        <w:rPr>
          <w:rFonts w:ascii="Times New Roman" w:hAnsi="Times New Roman"/>
          <w:b/>
          <w:sz w:val="24"/>
        </w:rPr>
        <w:t>6</w:t>
      </w:r>
    </w:p>
    <w:p w14:paraId="18BA3A68" w14:textId="2B3A5131" w:rsidR="00777624" w:rsidRDefault="005A11B8" w:rsidP="00777624">
      <w:pPr>
        <w:spacing w:before="240"/>
        <w:rPr>
          <w:rFonts w:ascii="Times New Roman" w:hAnsi="Times New Roman"/>
          <w:b/>
          <w:sz w:val="24"/>
        </w:rPr>
      </w:pPr>
      <w:r>
        <w:rPr>
          <w:rFonts w:ascii="Times New Roman" w:hAnsi="Times New Roman"/>
          <w:b/>
          <w:sz w:val="24"/>
        </w:rPr>
        <w:t xml:space="preserve">Item </w:t>
      </w:r>
      <w:r w:rsidR="002F67E2">
        <w:rPr>
          <w:rFonts w:ascii="Times New Roman" w:hAnsi="Times New Roman"/>
          <w:b/>
          <w:sz w:val="24"/>
        </w:rPr>
        <w:t>1</w:t>
      </w:r>
      <w:r w:rsidR="00AB2C1F">
        <w:rPr>
          <w:rFonts w:ascii="Times New Roman" w:hAnsi="Times New Roman"/>
          <w:b/>
          <w:sz w:val="24"/>
        </w:rPr>
        <w:t>4</w:t>
      </w:r>
    </w:p>
    <w:p w14:paraId="7A1FA919" w14:textId="2B98D5A7" w:rsidR="009C6DD3" w:rsidRPr="009C6DD3" w:rsidRDefault="009C6DD3" w:rsidP="009C6DD3">
      <w:pPr>
        <w:spacing w:before="240"/>
        <w:rPr>
          <w:rFonts w:ascii="Times New Roman" w:hAnsi="Times New Roman"/>
          <w:sz w:val="24"/>
        </w:rPr>
      </w:pPr>
      <w:r>
        <w:rPr>
          <w:rFonts w:ascii="Times New Roman" w:hAnsi="Times New Roman"/>
          <w:sz w:val="24"/>
        </w:rPr>
        <w:t xml:space="preserve">This item amends Chapter 36 to </w:t>
      </w:r>
      <w:r w:rsidRPr="009C6DD3">
        <w:rPr>
          <w:rFonts w:ascii="Times New Roman" w:hAnsi="Times New Roman"/>
          <w:sz w:val="24"/>
        </w:rPr>
        <w:t>ex</w:t>
      </w:r>
      <w:r>
        <w:rPr>
          <w:rFonts w:ascii="Times New Roman" w:hAnsi="Times New Roman"/>
          <w:sz w:val="24"/>
        </w:rPr>
        <w:t>tend the</w:t>
      </w:r>
      <w:r w:rsidRPr="009C6DD3">
        <w:rPr>
          <w:rFonts w:ascii="Times New Roman" w:hAnsi="Times New Roman"/>
          <w:sz w:val="24"/>
        </w:rPr>
        <w:t xml:space="preserve"> circumstances in which </w:t>
      </w:r>
      <w:r>
        <w:rPr>
          <w:rFonts w:ascii="Times New Roman" w:hAnsi="Times New Roman"/>
          <w:sz w:val="24"/>
        </w:rPr>
        <w:t xml:space="preserve">the exemption applies when </w:t>
      </w:r>
      <w:r w:rsidRPr="009C6DD3">
        <w:rPr>
          <w:rFonts w:ascii="Times New Roman" w:hAnsi="Times New Roman"/>
          <w:sz w:val="24"/>
        </w:rPr>
        <w:t>a reporting entity is related to its customer in Chapter 36 of the AML/CTF Rules</w:t>
      </w:r>
      <w:r>
        <w:rPr>
          <w:rFonts w:ascii="Times New Roman" w:hAnsi="Times New Roman"/>
          <w:sz w:val="24"/>
        </w:rPr>
        <w:t>,</w:t>
      </w:r>
      <w:r w:rsidRPr="009C6DD3">
        <w:rPr>
          <w:rFonts w:ascii="Times New Roman" w:hAnsi="Times New Roman"/>
          <w:sz w:val="24"/>
        </w:rPr>
        <w:t xml:space="preserve"> to include partnerships where justified by the ML/TF risk. </w:t>
      </w:r>
    </w:p>
    <w:p w14:paraId="09AE51DC" w14:textId="4C047ACF" w:rsidR="00747548" w:rsidRDefault="009C6DD3" w:rsidP="009C6DD3">
      <w:pPr>
        <w:spacing w:before="240"/>
        <w:rPr>
          <w:rFonts w:ascii="Times New Roman" w:hAnsi="Times New Roman"/>
          <w:sz w:val="24"/>
        </w:rPr>
      </w:pPr>
      <w:r>
        <w:rPr>
          <w:rFonts w:ascii="Times New Roman" w:hAnsi="Times New Roman"/>
          <w:sz w:val="24"/>
        </w:rPr>
        <w:t>However, t</w:t>
      </w:r>
      <w:r w:rsidRPr="009C6DD3">
        <w:rPr>
          <w:rFonts w:ascii="Times New Roman" w:hAnsi="Times New Roman"/>
          <w:sz w:val="24"/>
        </w:rPr>
        <w:t xml:space="preserve">he AML/CTF Act contains a definition of ‘partnership’ which includes ‘limited partnerships’. </w:t>
      </w:r>
      <w:r>
        <w:rPr>
          <w:rFonts w:ascii="Times New Roman" w:hAnsi="Times New Roman"/>
          <w:sz w:val="24"/>
        </w:rPr>
        <w:t>T</w:t>
      </w:r>
      <w:r w:rsidRPr="009C6DD3">
        <w:rPr>
          <w:rFonts w:ascii="Times New Roman" w:hAnsi="Times New Roman"/>
          <w:sz w:val="24"/>
        </w:rPr>
        <w:t>h</w:t>
      </w:r>
      <w:r>
        <w:rPr>
          <w:rFonts w:ascii="Times New Roman" w:hAnsi="Times New Roman"/>
          <w:sz w:val="24"/>
        </w:rPr>
        <w:t>is type</w:t>
      </w:r>
      <w:r w:rsidRPr="009C6DD3">
        <w:rPr>
          <w:rFonts w:ascii="Times New Roman" w:hAnsi="Times New Roman"/>
          <w:sz w:val="24"/>
        </w:rPr>
        <w:t xml:space="preserve"> </w:t>
      </w:r>
      <w:r>
        <w:rPr>
          <w:rFonts w:ascii="Times New Roman" w:hAnsi="Times New Roman"/>
          <w:sz w:val="24"/>
        </w:rPr>
        <w:t xml:space="preserve">of partnership </w:t>
      </w:r>
      <w:r w:rsidRPr="009C6DD3">
        <w:rPr>
          <w:rFonts w:ascii="Times New Roman" w:hAnsi="Times New Roman"/>
          <w:sz w:val="24"/>
        </w:rPr>
        <w:t>could be created a</w:t>
      </w:r>
      <w:r>
        <w:rPr>
          <w:rFonts w:ascii="Times New Roman" w:hAnsi="Times New Roman"/>
          <w:sz w:val="24"/>
        </w:rPr>
        <w:t>nd dissolved with relative ease</w:t>
      </w:r>
      <w:r w:rsidRPr="009C6DD3">
        <w:rPr>
          <w:rFonts w:ascii="Times New Roman" w:hAnsi="Times New Roman"/>
          <w:sz w:val="24"/>
        </w:rPr>
        <w:t xml:space="preserve"> and therefore be at odds with the policy intention of the </w:t>
      </w:r>
      <w:r>
        <w:rPr>
          <w:rFonts w:ascii="Times New Roman" w:hAnsi="Times New Roman"/>
          <w:sz w:val="24"/>
        </w:rPr>
        <w:t>amendment</w:t>
      </w:r>
      <w:r w:rsidRPr="009C6DD3">
        <w:rPr>
          <w:rFonts w:ascii="Times New Roman" w:hAnsi="Times New Roman"/>
          <w:sz w:val="24"/>
        </w:rPr>
        <w:t>.</w:t>
      </w:r>
      <w:r>
        <w:rPr>
          <w:rFonts w:ascii="Times New Roman" w:hAnsi="Times New Roman"/>
          <w:sz w:val="24"/>
        </w:rPr>
        <w:t xml:space="preserve"> </w:t>
      </w:r>
      <w:r w:rsidRPr="009C6DD3">
        <w:rPr>
          <w:rFonts w:ascii="Times New Roman" w:hAnsi="Times New Roman"/>
          <w:sz w:val="24"/>
        </w:rPr>
        <w:t>Accordingly, a new paragraph has been inserted to exclude ‘limited partnerships’</w:t>
      </w:r>
      <w:r w:rsidR="002F67E2">
        <w:rPr>
          <w:rFonts w:ascii="Times New Roman" w:hAnsi="Times New Roman"/>
          <w:sz w:val="24"/>
        </w:rPr>
        <w:t xml:space="preserve"> from the scope of the exemption</w:t>
      </w:r>
      <w:r w:rsidRPr="009C6DD3">
        <w:rPr>
          <w:rFonts w:ascii="Times New Roman" w:hAnsi="Times New Roman"/>
          <w:sz w:val="24"/>
        </w:rPr>
        <w:t>.</w:t>
      </w:r>
    </w:p>
    <w:p w14:paraId="5CE57DC8" w14:textId="77777777" w:rsidR="00CD4FA5" w:rsidRPr="00CD4FA5" w:rsidRDefault="00CD4FA5" w:rsidP="00301D3F">
      <w:pPr>
        <w:autoSpaceDE w:val="0"/>
        <w:autoSpaceDN w:val="0"/>
        <w:adjustRightInd w:val="0"/>
        <w:spacing w:before="240"/>
        <w:rPr>
          <w:rFonts w:ascii="Times New Roman" w:hAnsi="Times New Roman"/>
          <w:b/>
          <w:sz w:val="24"/>
        </w:rPr>
      </w:pPr>
      <w:r w:rsidRPr="00CD4FA5">
        <w:rPr>
          <w:rFonts w:ascii="Times New Roman" w:hAnsi="Times New Roman"/>
          <w:b/>
          <w:sz w:val="24"/>
        </w:rPr>
        <w:t>Legislative instruments</w:t>
      </w:r>
    </w:p>
    <w:p w14:paraId="6B173BF1" w14:textId="77777777" w:rsidR="00CD4FA5" w:rsidRDefault="00CD4FA5" w:rsidP="00301D3F">
      <w:pPr>
        <w:spacing w:before="240"/>
        <w:rPr>
          <w:rFonts w:ascii="Times New Roman" w:hAnsi="Times New Roman"/>
          <w:sz w:val="24"/>
        </w:rPr>
      </w:pPr>
      <w:r w:rsidRPr="00CD4FA5">
        <w:rPr>
          <w:rFonts w:ascii="Times New Roman" w:hAnsi="Times New Roman"/>
          <w:sz w:val="24"/>
        </w:rPr>
        <w:t xml:space="preserve">These AML/CTF Rules are legislative instruments as defined in section 8 of the </w:t>
      </w:r>
      <w:r w:rsidRPr="00CD4FA5">
        <w:rPr>
          <w:rFonts w:ascii="Times New Roman" w:hAnsi="Times New Roman"/>
          <w:i/>
          <w:sz w:val="24"/>
        </w:rPr>
        <w:t>Legislation Act 2003</w:t>
      </w:r>
      <w:r w:rsidRPr="00CD4FA5">
        <w:rPr>
          <w:rFonts w:ascii="Times New Roman" w:hAnsi="Times New Roman"/>
          <w:sz w:val="24"/>
        </w:rPr>
        <w:t>.</w:t>
      </w:r>
    </w:p>
    <w:p w14:paraId="75638808" w14:textId="77777777" w:rsidR="00CD4FA5" w:rsidRPr="00CD4FA5" w:rsidRDefault="00CD4FA5" w:rsidP="00301D3F">
      <w:pPr>
        <w:spacing w:before="240"/>
        <w:rPr>
          <w:rFonts w:ascii="Times New Roman" w:hAnsi="Times New Roman"/>
          <w:b/>
          <w:sz w:val="24"/>
        </w:rPr>
      </w:pPr>
      <w:r w:rsidRPr="00CD4FA5">
        <w:rPr>
          <w:rFonts w:ascii="Times New Roman" w:hAnsi="Times New Roman"/>
          <w:b/>
          <w:sz w:val="24"/>
        </w:rPr>
        <w:t>Likely impact</w:t>
      </w:r>
    </w:p>
    <w:p w14:paraId="1F850FB7" w14:textId="6B752720" w:rsidR="00FA2372" w:rsidRPr="00FA2372" w:rsidRDefault="00FA2372" w:rsidP="00FA2372">
      <w:pPr>
        <w:spacing w:before="240"/>
        <w:rPr>
          <w:rFonts w:ascii="Times New Roman" w:hAnsi="Times New Roman"/>
          <w:sz w:val="24"/>
        </w:rPr>
      </w:pPr>
      <w:r w:rsidRPr="00FA2372">
        <w:rPr>
          <w:rFonts w:ascii="Times New Roman" w:hAnsi="Times New Roman"/>
          <w:sz w:val="24"/>
        </w:rPr>
        <w:lastRenderedPageBreak/>
        <w:t>The amendments to Chapters 1</w:t>
      </w:r>
      <w:r>
        <w:rPr>
          <w:rFonts w:ascii="Times New Roman" w:hAnsi="Times New Roman"/>
          <w:sz w:val="24"/>
        </w:rPr>
        <w:t>, 30 and 36</w:t>
      </w:r>
      <w:r w:rsidRPr="00FA2372">
        <w:rPr>
          <w:rFonts w:ascii="Times New Roman" w:hAnsi="Times New Roman"/>
          <w:sz w:val="24"/>
        </w:rPr>
        <w:t xml:space="preserve"> are </w:t>
      </w:r>
      <w:r w:rsidR="008C02FE">
        <w:rPr>
          <w:rFonts w:ascii="Times New Roman" w:hAnsi="Times New Roman"/>
          <w:sz w:val="24"/>
        </w:rPr>
        <w:t xml:space="preserve">predominantly </w:t>
      </w:r>
      <w:r w:rsidRPr="00FA2372">
        <w:rPr>
          <w:rFonts w:ascii="Times New Roman" w:hAnsi="Times New Roman"/>
          <w:sz w:val="24"/>
        </w:rPr>
        <w:t>minor, technical amendments that seek to remove complexity and provide greater flexibility to reporting entities, without substantively amending existing obligations.</w:t>
      </w:r>
    </w:p>
    <w:p w14:paraId="4EB895A7" w14:textId="76E84EAF" w:rsidR="00FA2372" w:rsidRPr="00FA2372" w:rsidRDefault="00FA2372" w:rsidP="00FA2372">
      <w:pPr>
        <w:spacing w:before="240"/>
        <w:rPr>
          <w:rFonts w:ascii="Times New Roman" w:hAnsi="Times New Roman"/>
          <w:sz w:val="24"/>
        </w:rPr>
      </w:pPr>
      <w:r w:rsidRPr="00FA2372">
        <w:rPr>
          <w:rFonts w:ascii="Times New Roman" w:hAnsi="Times New Roman"/>
          <w:sz w:val="24"/>
        </w:rPr>
        <w:t>The amendments to Chapter 4 are likely to have a deregulatory impact, by</w:t>
      </w:r>
      <w:r>
        <w:rPr>
          <w:rFonts w:ascii="Times New Roman" w:hAnsi="Times New Roman"/>
          <w:sz w:val="24"/>
        </w:rPr>
        <w:t xml:space="preserve"> </w:t>
      </w:r>
      <w:r w:rsidRPr="00FA2372">
        <w:rPr>
          <w:rFonts w:ascii="Times New Roman" w:hAnsi="Times New Roman"/>
          <w:sz w:val="24"/>
        </w:rPr>
        <w:t xml:space="preserve">removing the need to assess the cross-jurisdictional equivalency of disclosure requirements relating to beneficial ownership identification, and providing reporting entities with greater flexibility when identifying and on-boarding customers. </w:t>
      </w:r>
    </w:p>
    <w:p w14:paraId="7D18F231" w14:textId="589307EA" w:rsidR="006B0CA0" w:rsidRDefault="00FA2372" w:rsidP="00FA2372">
      <w:pPr>
        <w:spacing w:before="240"/>
        <w:rPr>
          <w:rFonts w:ascii="Times New Roman" w:hAnsi="Times New Roman"/>
          <w:sz w:val="24"/>
        </w:rPr>
      </w:pPr>
      <w:r w:rsidRPr="00FA2372">
        <w:rPr>
          <w:rFonts w:ascii="Times New Roman" w:hAnsi="Times New Roman"/>
          <w:sz w:val="24"/>
        </w:rPr>
        <w:t>The amendments to Chapter</w:t>
      </w:r>
      <w:r>
        <w:rPr>
          <w:rFonts w:ascii="Times New Roman" w:hAnsi="Times New Roman"/>
          <w:sz w:val="24"/>
        </w:rPr>
        <w:t>s</w:t>
      </w:r>
      <w:r w:rsidRPr="00FA2372">
        <w:rPr>
          <w:rFonts w:ascii="Times New Roman" w:hAnsi="Times New Roman"/>
          <w:sz w:val="24"/>
        </w:rPr>
        <w:t xml:space="preserve"> 8 and 9 are likely to have a minor regulatory impact, by requiring reporting entities to take into account any applicable guidance material disseminated by AUSTRAC when developing and updating Part A of an AML/CTF Program. </w:t>
      </w:r>
    </w:p>
    <w:p w14:paraId="0C317704" w14:textId="5E502323" w:rsidR="00D420DC" w:rsidRPr="00D420DC" w:rsidRDefault="00D420DC" w:rsidP="00301D3F">
      <w:pPr>
        <w:pStyle w:val="Paragraph"/>
        <w:rPr>
          <w:szCs w:val="24"/>
          <w:lang w:eastAsia="en-US"/>
        </w:rPr>
      </w:pPr>
      <w:r w:rsidRPr="00D420DC">
        <w:rPr>
          <w:szCs w:val="24"/>
          <w:lang w:eastAsia="en-US"/>
        </w:rPr>
        <w:t xml:space="preserve">The Office of Best Practice Regulation (OBPR) indicated that </w:t>
      </w:r>
      <w:r w:rsidRPr="00D420DC">
        <w:rPr>
          <w:bCs/>
          <w:szCs w:val="24"/>
          <w:lang w:eastAsia="en-US"/>
        </w:rPr>
        <w:t xml:space="preserve">the proposed amendments are likely to have a minor regulatory impact on business, community organisations or individuals, but </w:t>
      </w:r>
      <w:r w:rsidRPr="00D420DC">
        <w:rPr>
          <w:szCs w:val="24"/>
          <w:lang w:eastAsia="en-US"/>
        </w:rPr>
        <w:t xml:space="preserve">advised AUSTRAC that costings were not required to be undertaken. </w:t>
      </w:r>
    </w:p>
    <w:p w14:paraId="3747E562" w14:textId="77777777" w:rsidR="008C02FE" w:rsidRPr="00CD4FA5" w:rsidRDefault="008C02FE" w:rsidP="008C02FE">
      <w:pPr>
        <w:spacing w:before="240"/>
        <w:rPr>
          <w:rFonts w:ascii="Times New Roman" w:hAnsi="Times New Roman"/>
          <w:b/>
          <w:color w:val="000000"/>
          <w:sz w:val="24"/>
        </w:rPr>
      </w:pPr>
      <w:r w:rsidRPr="00CD4FA5">
        <w:rPr>
          <w:rFonts w:ascii="Times New Roman" w:hAnsi="Times New Roman"/>
          <w:b/>
          <w:color w:val="000000"/>
          <w:sz w:val="24"/>
        </w:rPr>
        <w:t>Assessment of benefits</w:t>
      </w:r>
    </w:p>
    <w:p w14:paraId="14D6EC9F" w14:textId="30FB6DC7" w:rsidR="00B22B01" w:rsidRPr="00B22B01" w:rsidRDefault="008C02FE" w:rsidP="00B22B01">
      <w:pPr>
        <w:pStyle w:val="Paragraph"/>
      </w:pPr>
      <w:r>
        <w:rPr>
          <w:szCs w:val="24"/>
          <w:lang w:eastAsia="en-US"/>
        </w:rPr>
        <w:t xml:space="preserve">The amendments to </w:t>
      </w:r>
      <w:r>
        <w:t xml:space="preserve">Chapters 1, 4, 8, 9, 30 and 36 implement </w:t>
      </w:r>
      <w:r w:rsidR="00B22B01">
        <w:t>several</w:t>
      </w:r>
      <w:r>
        <w:t xml:space="preserve"> recommendations arising </w:t>
      </w:r>
      <w:r w:rsidR="00B22B01">
        <w:t>out of</w:t>
      </w:r>
      <w:r>
        <w:t xml:space="preserve"> the </w:t>
      </w:r>
      <w:r w:rsidR="00B22B01" w:rsidRPr="00B22B01">
        <w:rPr>
          <w:i/>
          <w:iCs/>
        </w:rPr>
        <w:t>Statutory Review of the Anti-Money Laundering and Counter-Terrorism Financing Act 2006 and Associated Rules and Regulations</w:t>
      </w:r>
      <w:r w:rsidR="00B22B01">
        <w:rPr>
          <w:iCs/>
        </w:rPr>
        <w:t>,</w:t>
      </w:r>
      <w:r w:rsidR="00B22B01" w:rsidRPr="00B22B01">
        <w:rPr>
          <w:i/>
          <w:iCs/>
        </w:rPr>
        <w:t xml:space="preserve"> </w:t>
      </w:r>
      <w:r>
        <w:t xml:space="preserve">and address </w:t>
      </w:r>
      <w:r w:rsidR="00B22B01">
        <w:t>a number of</w:t>
      </w:r>
      <w:r>
        <w:t xml:space="preserve"> deficiencies identified by the Financial Action Task Force (FATF) in its Mutual Evaluation of Australia’s AML/CTF regime</w:t>
      </w:r>
      <w:r w:rsidR="00B22B01">
        <w:t xml:space="preserve">. The amendments seek to remove complexity in existing drafting and </w:t>
      </w:r>
      <w:r w:rsidR="00B22B01" w:rsidRPr="00B22B01">
        <w:t xml:space="preserve">provide </w:t>
      </w:r>
      <w:r w:rsidR="00B22B01">
        <w:t xml:space="preserve">reporting entities with </w:t>
      </w:r>
      <w:r w:rsidR="00B22B01" w:rsidRPr="00B22B01">
        <w:t xml:space="preserve">greater flexibility </w:t>
      </w:r>
      <w:r w:rsidR="00B22B01">
        <w:t>in complying with their obligations, while continuing to strengthen Australia’s AML/CTF regime and protect our financial system from criminal abuse.</w:t>
      </w:r>
    </w:p>
    <w:p w14:paraId="4E8844C0" w14:textId="4565EB55" w:rsidR="00AA6218" w:rsidRPr="00B22B01" w:rsidRDefault="00AA6218" w:rsidP="00301D3F">
      <w:pPr>
        <w:pStyle w:val="Paragraph"/>
        <w:rPr>
          <w:b/>
          <w:szCs w:val="24"/>
        </w:rPr>
      </w:pPr>
      <w:r w:rsidRPr="00B22B01">
        <w:rPr>
          <w:b/>
          <w:szCs w:val="24"/>
        </w:rPr>
        <w:t>Consultation</w:t>
      </w:r>
    </w:p>
    <w:p w14:paraId="6EF1D658" w14:textId="69DAE31D" w:rsidR="00285066" w:rsidRPr="00285066" w:rsidRDefault="00E34D58" w:rsidP="00301D3F">
      <w:pPr>
        <w:spacing w:before="240"/>
        <w:rPr>
          <w:rFonts w:ascii="Times New Roman" w:hAnsi="Times New Roman"/>
          <w:sz w:val="24"/>
        </w:rPr>
      </w:pPr>
      <w:r>
        <w:rPr>
          <w:rFonts w:ascii="Times New Roman" w:hAnsi="Times New Roman"/>
          <w:sz w:val="24"/>
        </w:rPr>
        <w:t>The amendments to Chapters 1, 4, 8, 9, 30 and 36</w:t>
      </w:r>
      <w:r w:rsidR="00304F91">
        <w:rPr>
          <w:rFonts w:ascii="Times New Roman" w:hAnsi="Times New Roman"/>
          <w:sz w:val="24"/>
        </w:rPr>
        <w:t xml:space="preserve"> </w:t>
      </w:r>
      <w:r>
        <w:rPr>
          <w:rFonts w:ascii="Times New Roman" w:hAnsi="Times New Roman"/>
          <w:sz w:val="24"/>
        </w:rPr>
        <w:t>were</w:t>
      </w:r>
      <w:r w:rsidR="00AA6218">
        <w:rPr>
          <w:rFonts w:ascii="Times New Roman" w:hAnsi="Times New Roman"/>
          <w:sz w:val="24"/>
        </w:rPr>
        <w:t xml:space="preserve"> published on the AUSTRAC website </w:t>
      </w:r>
      <w:r w:rsidR="00AA6218" w:rsidRPr="00C86384">
        <w:rPr>
          <w:rFonts w:ascii="Times New Roman" w:hAnsi="Times New Roman"/>
          <w:sz w:val="24"/>
        </w:rPr>
        <w:t xml:space="preserve">from </w:t>
      </w:r>
      <w:r w:rsidR="00C86384" w:rsidRPr="00C86384">
        <w:rPr>
          <w:rFonts w:ascii="Times New Roman" w:hAnsi="Times New Roman"/>
          <w:sz w:val="24"/>
        </w:rPr>
        <w:t>24 April 2017</w:t>
      </w:r>
      <w:r w:rsidR="00AA6218" w:rsidRPr="00C86384">
        <w:rPr>
          <w:rFonts w:ascii="Times New Roman" w:hAnsi="Times New Roman"/>
          <w:sz w:val="24"/>
        </w:rPr>
        <w:t xml:space="preserve"> to </w:t>
      </w:r>
      <w:r w:rsidR="00C86384" w:rsidRPr="00C86384">
        <w:rPr>
          <w:rFonts w:ascii="Times New Roman" w:hAnsi="Times New Roman"/>
          <w:sz w:val="24"/>
        </w:rPr>
        <w:t>22 May</w:t>
      </w:r>
      <w:r w:rsidR="00157B80" w:rsidRPr="00C86384">
        <w:rPr>
          <w:rFonts w:ascii="Times New Roman" w:hAnsi="Times New Roman"/>
          <w:sz w:val="24"/>
        </w:rPr>
        <w:t xml:space="preserve"> 2017</w:t>
      </w:r>
      <w:r w:rsidR="00EF3F73" w:rsidRPr="00C86384">
        <w:rPr>
          <w:rFonts w:ascii="Times New Roman" w:hAnsi="Times New Roman"/>
          <w:sz w:val="24"/>
        </w:rPr>
        <w:t>.</w:t>
      </w:r>
      <w:r w:rsidR="00285066">
        <w:rPr>
          <w:rFonts w:ascii="Times New Roman" w:hAnsi="Times New Roman"/>
          <w:sz w:val="24"/>
        </w:rPr>
        <w:t xml:space="preserve"> </w:t>
      </w:r>
    </w:p>
    <w:p w14:paraId="07B57DA1" w14:textId="6C6C8FCC" w:rsidR="00AA6218" w:rsidRDefault="00AA6218" w:rsidP="00301D3F">
      <w:pPr>
        <w:spacing w:before="240"/>
        <w:rPr>
          <w:rFonts w:ascii="Times New Roman" w:hAnsi="Times New Roman"/>
          <w:sz w:val="24"/>
        </w:rPr>
      </w:pPr>
      <w:r w:rsidRPr="004062DD">
        <w:rPr>
          <w:rFonts w:ascii="Times New Roman" w:hAnsi="Times New Roman"/>
          <w:sz w:val="24"/>
        </w:rPr>
        <w:t xml:space="preserve">AUSTRAC has consulted with the Australian Taxation Office, the Department of Immigration and Border Protection, </w:t>
      </w:r>
      <w:r w:rsidR="00810376">
        <w:rPr>
          <w:rFonts w:ascii="Times New Roman" w:hAnsi="Times New Roman"/>
          <w:sz w:val="24"/>
        </w:rPr>
        <w:t xml:space="preserve">the Attorney-General’s Department, </w:t>
      </w:r>
      <w:r w:rsidRPr="004062DD">
        <w:rPr>
          <w:rFonts w:ascii="Times New Roman" w:hAnsi="Times New Roman"/>
          <w:sz w:val="24"/>
        </w:rPr>
        <w:t>the Australian Federal Police, the Australian Criminal Intelligence Commission and the Office of the Australian Information Commissioner.</w:t>
      </w:r>
    </w:p>
    <w:p w14:paraId="58A13C23" w14:textId="77777777" w:rsidR="00AA6218" w:rsidRPr="00B22B01" w:rsidRDefault="00AA6218" w:rsidP="00301D3F">
      <w:pPr>
        <w:spacing w:before="240"/>
        <w:rPr>
          <w:rFonts w:ascii="Times New Roman" w:hAnsi="Times New Roman"/>
          <w:b/>
          <w:sz w:val="24"/>
        </w:rPr>
      </w:pPr>
      <w:r w:rsidRPr="00B22B01">
        <w:rPr>
          <w:rFonts w:ascii="Times New Roman" w:hAnsi="Times New Roman"/>
          <w:b/>
          <w:sz w:val="24"/>
        </w:rPr>
        <w:t>Ongoing consultation</w:t>
      </w:r>
    </w:p>
    <w:p w14:paraId="3C8D02D3" w14:textId="6C0453A5" w:rsidR="00B414A6" w:rsidRDefault="00AA6218" w:rsidP="00301D3F">
      <w:pPr>
        <w:spacing w:before="240"/>
        <w:rPr>
          <w:rFonts w:ascii="Times New Roman" w:hAnsi="Times New Roman"/>
          <w:sz w:val="24"/>
        </w:rPr>
      </w:pPr>
      <w:r>
        <w:rPr>
          <w:rFonts w:ascii="Times New Roman" w:hAnsi="Times New Roman"/>
          <w:sz w:val="24"/>
        </w:rPr>
        <w:t>AUSTRAC will conduct ongoing consultation with stakeholders on the operation of these AML/CTF Rules</w:t>
      </w:r>
      <w:r w:rsidRPr="00EE3DCD">
        <w:rPr>
          <w:rFonts w:ascii="Times New Roman" w:hAnsi="Times New Roman"/>
          <w:sz w:val="24"/>
        </w:rPr>
        <w:t>.</w:t>
      </w:r>
      <w:r>
        <w:rPr>
          <w:rFonts w:ascii="Times New Roman" w:hAnsi="Times New Roman"/>
          <w:sz w:val="24"/>
        </w:rPr>
        <w:t xml:space="preserve"> </w:t>
      </w:r>
    </w:p>
    <w:p w14:paraId="6E4A1ECD" w14:textId="7D09C69E" w:rsidR="00B414A6" w:rsidRDefault="00B414A6" w:rsidP="00301D3F">
      <w:pPr>
        <w:spacing w:before="240"/>
        <w:rPr>
          <w:rFonts w:ascii="Times New Roman" w:hAnsi="Times New Roman"/>
          <w:sz w:val="24"/>
        </w:rPr>
      </w:pPr>
      <w:r>
        <w:rPr>
          <w:rFonts w:ascii="Times New Roman" w:hAnsi="Times New Roman"/>
          <w:sz w:val="24"/>
        </w:rPr>
        <w:br w:type="page"/>
      </w:r>
    </w:p>
    <w:p w14:paraId="3D460995" w14:textId="0F453D37" w:rsidR="00CD4FA5" w:rsidRDefault="00CD4FA5" w:rsidP="00CD4FA5">
      <w:pPr>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CD4FA5">
        <w:rPr>
          <w:rFonts w:ascii="Times New Roman" w:hAnsi="Times New Roman"/>
          <w:b/>
          <w:sz w:val="24"/>
        </w:rPr>
        <w:lastRenderedPageBreak/>
        <w:t>Statement of Compatibility with Human Rights</w:t>
      </w:r>
    </w:p>
    <w:p w14:paraId="64CD9967" w14:textId="77777777" w:rsidR="00304398" w:rsidRPr="00CD4FA5" w:rsidRDefault="00304398" w:rsidP="00CD4FA5">
      <w:pPr>
        <w:pBdr>
          <w:top w:val="single" w:sz="4" w:space="1" w:color="auto"/>
          <w:left w:val="single" w:sz="4" w:space="4" w:color="auto"/>
          <w:bottom w:val="single" w:sz="4" w:space="1" w:color="auto"/>
          <w:right w:val="single" w:sz="4" w:space="4" w:color="auto"/>
        </w:pBdr>
        <w:jc w:val="center"/>
        <w:rPr>
          <w:rFonts w:ascii="Times New Roman" w:hAnsi="Times New Roman"/>
          <w:b/>
          <w:sz w:val="24"/>
        </w:rPr>
      </w:pPr>
    </w:p>
    <w:p w14:paraId="33DF8D15" w14:textId="77777777" w:rsidR="00CD4FA5" w:rsidRPr="00CD4FA5" w:rsidRDefault="00CD4FA5" w:rsidP="00A247CD">
      <w:pPr>
        <w:pBdr>
          <w:top w:val="single" w:sz="4" w:space="1" w:color="auto"/>
          <w:left w:val="single" w:sz="4" w:space="4" w:color="auto"/>
          <w:bottom w:val="single" w:sz="4" w:space="1" w:color="auto"/>
          <w:right w:val="single" w:sz="4" w:space="4" w:color="auto"/>
        </w:pBdr>
        <w:spacing w:before="240"/>
        <w:rPr>
          <w:rFonts w:ascii="Times New Roman" w:hAnsi="Times New Roman"/>
          <w:i/>
          <w:sz w:val="24"/>
        </w:rPr>
      </w:pPr>
      <w:r w:rsidRPr="00CD4FA5">
        <w:rPr>
          <w:rFonts w:ascii="Times New Roman" w:hAnsi="Times New Roman"/>
          <w:i/>
          <w:sz w:val="24"/>
        </w:rPr>
        <w:t>Prepared in accordance with Part 3 of the Human Rights (Parliamentary Scrutiny) Act 2011</w:t>
      </w:r>
    </w:p>
    <w:p w14:paraId="465BFCCE" w14:textId="29A7B8A7" w:rsidR="00CD4FA5" w:rsidRDefault="00CD4FA5" w:rsidP="00A247CD">
      <w:pPr>
        <w:pBdr>
          <w:top w:val="single" w:sz="4" w:space="1" w:color="auto"/>
          <w:left w:val="single" w:sz="4" w:space="4" w:color="auto"/>
          <w:bottom w:val="single" w:sz="4" w:space="1" w:color="auto"/>
          <w:right w:val="single" w:sz="4" w:space="4" w:color="auto"/>
        </w:pBdr>
        <w:spacing w:before="240"/>
        <w:jc w:val="center"/>
        <w:rPr>
          <w:rFonts w:ascii="Times New Roman" w:hAnsi="Times New Roman"/>
          <w:b/>
          <w:i/>
          <w:sz w:val="24"/>
        </w:rPr>
      </w:pPr>
      <w:r w:rsidRPr="00CD4FA5">
        <w:rPr>
          <w:rFonts w:ascii="Times New Roman" w:hAnsi="Times New Roman"/>
          <w:b/>
          <w:i/>
          <w:sz w:val="24"/>
        </w:rPr>
        <w:t>Anti-Money Laundering and Counter-Terrorism Financing Rules Amendment Instrument 201</w:t>
      </w:r>
      <w:r w:rsidR="001A25CB">
        <w:rPr>
          <w:rFonts w:ascii="Times New Roman" w:hAnsi="Times New Roman"/>
          <w:b/>
          <w:i/>
          <w:sz w:val="24"/>
        </w:rPr>
        <w:t>8</w:t>
      </w:r>
      <w:r w:rsidRPr="00CD4FA5">
        <w:rPr>
          <w:rFonts w:ascii="Times New Roman" w:hAnsi="Times New Roman"/>
          <w:b/>
          <w:i/>
          <w:sz w:val="24"/>
        </w:rPr>
        <w:t xml:space="preserve"> (No. </w:t>
      </w:r>
      <w:r w:rsidR="001A25CB">
        <w:rPr>
          <w:rFonts w:ascii="Times New Roman" w:hAnsi="Times New Roman"/>
          <w:b/>
          <w:i/>
          <w:sz w:val="24"/>
        </w:rPr>
        <w:t>1</w:t>
      </w:r>
      <w:r w:rsidRPr="00CD4FA5">
        <w:rPr>
          <w:rFonts w:ascii="Times New Roman" w:hAnsi="Times New Roman"/>
          <w:b/>
          <w:i/>
          <w:sz w:val="24"/>
        </w:rPr>
        <w:t>)</w:t>
      </w:r>
    </w:p>
    <w:p w14:paraId="1FF7110B" w14:textId="77777777" w:rsidR="00CD4FA5" w:rsidRPr="00CD4FA5" w:rsidRDefault="00CD4FA5" w:rsidP="00A247CD">
      <w:pPr>
        <w:pBdr>
          <w:top w:val="single" w:sz="4" w:space="1" w:color="auto"/>
          <w:left w:val="single" w:sz="4" w:space="4" w:color="auto"/>
          <w:bottom w:val="single" w:sz="4" w:space="1" w:color="auto"/>
          <w:right w:val="single" w:sz="4" w:space="4" w:color="auto"/>
        </w:pBdr>
        <w:spacing w:before="240"/>
        <w:rPr>
          <w:rFonts w:ascii="Times New Roman" w:hAnsi="Times New Roman"/>
          <w:sz w:val="24"/>
        </w:rPr>
      </w:pPr>
      <w:r w:rsidRPr="00CD4FA5">
        <w:rPr>
          <w:rFonts w:ascii="Times New Roman" w:hAnsi="Times New Roman"/>
          <w:sz w:val="24"/>
        </w:rPr>
        <w:t xml:space="preserve">This Instrument is compatible with the human rights and freedoms recognised or declared in the international instruments listed in section 3 of the </w:t>
      </w:r>
      <w:r w:rsidRPr="00CD4FA5">
        <w:rPr>
          <w:rFonts w:ascii="Times New Roman" w:hAnsi="Times New Roman"/>
          <w:i/>
          <w:sz w:val="24"/>
        </w:rPr>
        <w:t>Human Rights (Parliamentary Scrutiny) Act 2011</w:t>
      </w:r>
      <w:r w:rsidRPr="00CD4FA5">
        <w:rPr>
          <w:rFonts w:ascii="Times New Roman" w:hAnsi="Times New Roman"/>
          <w:sz w:val="24"/>
        </w:rPr>
        <w:t>.</w:t>
      </w:r>
    </w:p>
    <w:p w14:paraId="4208CB20" w14:textId="77777777" w:rsidR="00CD4FA5" w:rsidRDefault="00CD4FA5" w:rsidP="00A247CD">
      <w:pPr>
        <w:pBdr>
          <w:top w:val="single" w:sz="4" w:space="1" w:color="auto"/>
          <w:left w:val="single" w:sz="4" w:space="4" w:color="auto"/>
          <w:bottom w:val="single" w:sz="4" w:space="1" w:color="auto"/>
          <w:right w:val="single" w:sz="4" w:space="4" w:color="auto"/>
        </w:pBdr>
        <w:spacing w:before="240"/>
        <w:rPr>
          <w:rFonts w:ascii="Times New Roman" w:hAnsi="Times New Roman"/>
          <w:b/>
          <w:sz w:val="24"/>
        </w:rPr>
      </w:pPr>
      <w:r w:rsidRPr="00CD4FA5">
        <w:rPr>
          <w:rFonts w:ascii="Times New Roman" w:hAnsi="Times New Roman"/>
          <w:b/>
          <w:sz w:val="24"/>
        </w:rPr>
        <w:t>Overview of the legislative instrument</w:t>
      </w:r>
    </w:p>
    <w:p w14:paraId="5751B2D4" w14:textId="2A6C8B21" w:rsidR="001A25CB" w:rsidRDefault="00CD4FA5" w:rsidP="00A247CD">
      <w:pPr>
        <w:pBdr>
          <w:top w:val="single" w:sz="4" w:space="1" w:color="auto"/>
          <w:left w:val="single" w:sz="4" w:space="4" w:color="auto"/>
          <w:bottom w:val="single" w:sz="4" w:space="1" w:color="auto"/>
          <w:right w:val="single" w:sz="4" w:space="4" w:color="auto"/>
        </w:pBdr>
        <w:spacing w:before="240"/>
        <w:rPr>
          <w:rFonts w:ascii="Times New Roman" w:hAnsi="Times New Roman"/>
          <w:sz w:val="24"/>
        </w:rPr>
      </w:pPr>
      <w:r w:rsidRPr="00CD4FA5">
        <w:rPr>
          <w:rFonts w:ascii="Times New Roman" w:hAnsi="Times New Roman"/>
          <w:sz w:val="24"/>
        </w:rPr>
        <w:t xml:space="preserve">The Instrument </w:t>
      </w:r>
      <w:r w:rsidR="001A25CB">
        <w:rPr>
          <w:rFonts w:ascii="Times New Roman" w:hAnsi="Times New Roman"/>
          <w:sz w:val="24"/>
        </w:rPr>
        <w:t>amends Chapters 1, 4, 8, 9, 30 and 36</w:t>
      </w:r>
      <w:r w:rsidR="00304F91" w:rsidRPr="00304F91">
        <w:rPr>
          <w:rFonts w:ascii="Times New Roman" w:hAnsi="Times New Roman"/>
          <w:sz w:val="24"/>
        </w:rPr>
        <w:t xml:space="preserve"> </w:t>
      </w:r>
      <w:r w:rsidR="00304F91">
        <w:rPr>
          <w:rFonts w:ascii="Times New Roman" w:hAnsi="Times New Roman"/>
          <w:sz w:val="24"/>
        </w:rPr>
        <w:t xml:space="preserve">to </w:t>
      </w:r>
      <w:r w:rsidR="006E4F7D" w:rsidRPr="006E4F7D">
        <w:rPr>
          <w:rFonts w:ascii="Times New Roman" w:hAnsi="Times New Roman"/>
          <w:sz w:val="24"/>
        </w:rPr>
        <w:t xml:space="preserve">implement </w:t>
      </w:r>
      <w:r w:rsidR="006E4F7D">
        <w:rPr>
          <w:rFonts w:ascii="Times New Roman" w:hAnsi="Times New Roman"/>
          <w:sz w:val="24"/>
        </w:rPr>
        <w:t>a number of</w:t>
      </w:r>
      <w:r w:rsidR="006E4F7D" w:rsidRPr="006E4F7D">
        <w:rPr>
          <w:rFonts w:ascii="Times New Roman" w:hAnsi="Times New Roman"/>
          <w:sz w:val="24"/>
        </w:rPr>
        <w:t xml:space="preserve"> recommendations arising out of the </w:t>
      </w:r>
      <w:r w:rsidR="006E4F7D" w:rsidRPr="006E4F7D">
        <w:rPr>
          <w:rFonts w:ascii="Times New Roman" w:hAnsi="Times New Roman"/>
          <w:i/>
          <w:iCs/>
          <w:sz w:val="24"/>
        </w:rPr>
        <w:t>Statutory Review of the Anti-Money Laundering and Counter-Terrorism Financing Act 2006 and Associated Rules and Regulations</w:t>
      </w:r>
      <w:r w:rsidR="006E4F7D" w:rsidRPr="006E4F7D">
        <w:rPr>
          <w:rFonts w:ascii="Times New Roman" w:hAnsi="Times New Roman"/>
          <w:iCs/>
          <w:sz w:val="24"/>
        </w:rPr>
        <w:t>,</w:t>
      </w:r>
      <w:r w:rsidR="006E4F7D" w:rsidRPr="006E4F7D">
        <w:rPr>
          <w:rFonts w:ascii="Times New Roman" w:hAnsi="Times New Roman"/>
          <w:i/>
          <w:iCs/>
          <w:sz w:val="24"/>
        </w:rPr>
        <w:t xml:space="preserve"> </w:t>
      </w:r>
      <w:r w:rsidR="006E4F7D" w:rsidRPr="006E4F7D">
        <w:rPr>
          <w:rFonts w:ascii="Times New Roman" w:hAnsi="Times New Roman"/>
          <w:sz w:val="24"/>
        </w:rPr>
        <w:t xml:space="preserve">and address </w:t>
      </w:r>
      <w:r w:rsidR="006E4F7D">
        <w:rPr>
          <w:rFonts w:ascii="Times New Roman" w:hAnsi="Times New Roman"/>
          <w:sz w:val="24"/>
        </w:rPr>
        <w:t>several</w:t>
      </w:r>
      <w:r w:rsidR="006E4F7D" w:rsidRPr="006E4F7D">
        <w:rPr>
          <w:rFonts w:ascii="Times New Roman" w:hAnsi="Times New Roman"/>
          <w:sz w:val="24"/>
        </w:rPr>
        <w:t xml:space="preserve"> deficiencies identified by the Financial Action Task Force (FATF)</w:t>
      </w:r>
      <w:r w:rsidR="006E4F7D">
        <w:rPr>
          <w:rFonts w:ascii="Times New Roman" w:hAnsi="Times New Roman"/>
          <w:sz w:val="24"/>
        </w:rPr>
        <w:t xml:space="preserve"> in its </w:t>
      </w:r>
      <w:r w:rsidR="006E4F7D" w:rsidRPr="006E4F7D">
        <w:rPr>
          <w:rFonts w:ascii="Times New Roman" w:hAnsi="Times New Roman"/>
          <w:sz w:val="24"/>
        </w:rPr>
        <w:t>Mutual Evaluation of Australia’s AML/CTF regime</w:t>
      </w:r>
      <w:r w:rsidR="006E4F7D">
        <w:rPr>
          <w:rFonts w:ascii="Times New Roman" w:hAnsi="Times New Roman"/>
          <w:sz w:val="24"/>
        </w:rPr>
        <w:t>.</w:t>
      </w:r>
    </w:p>
    <w:p w14:paraId="1B9B14F4" w14:textId="277F3CF1" w:rsidR="00CD4FA5" w:rsidRPr="00CD4FA5" w:rsidRDefault="00CD4FA5" w:rsidP="00A247CD">
      <w:pPr>
        <w:pBdr>
          <w:top w:val="single" w:sz="4" w:space="1" w:color="auto"/>
          <w:left w:val="single" w:sz="4" w:space="4" w:color="auto"/>
          <w:bottom w:val="single" w:sz="4" w:space="1" w:color="auto"/>
          <w:right w:val="single" w:sz="4" w:space="4" w:color="auto"/>
        </w:pBdr>
        <w:spacing w:before="240"/>
        <w:rPr>
          <w:rFonts w:ascii="Times New Roman" w:hAnsi="Times New Roman"/>
          <w:b/>
          <w:sz w:val="24"/>
        </w:rPr>
      </w:pPr>
      <w:r w:rsidRPr="00CD4FA5">
        <w:rPr>
          <w:rFonts w:ascii="Times New Roman" w:hAnsi="Times New Roman"/>
          <w:b/>
          <w:sz w:val="24"/>
        </w:rPr>
        <w:t>Human rights implications</w:t>
      </w:r>
    </w:p>
    <w:p w14:paraId="6610D07A" w14:textId="273DCBAD" w:rsidR="00CD4FA5" w:rsidRPr="00CD4FA5" w:rsidRDefault="00CD4FA5" w:rsidP="00A247CD">
      <w:pPr>
        <w:pBdr>
          <w:top w:val="single" w:sz="4" w:space="1" w:color="auto"/>
          <w:left w:val="single" w:sz="4" w:space="4" w:color="auto"/>
          <w:bottom w:val="single" w:sz="4" w:space="1" w:color="auto"/>
          <w:right w:val="single" w:sz="4" w:space="4" w:color="auto"/>
        </w:pBdr>
        <w:spacing w:before="240"/>
        <w:rPr>
          <w:rFonts w:ascii="Times New Roman" w:hAnsi="Times New Roman"/>
          <w:sz w:val="24"/>
        </w:rPr>
      </w:pPr>
      <w:r w:rsidRPr="00CD4FA5">
        <w:rPr>
          <w:rFonts w:ascii="Times New Roman" w:hAnsi="Times New Roman"/>
          <w:sz w:val="24"/>
        </w:rPr>
        <w:t>It is considered that this Instrument does not engage any of the applicable rights or freedoms.</w:t>
      </w:r>
    </w:p>
    <w:p w14:paraId="5525730B" w14:textId="77777777" w:rsidR="00CD4FA5" w:rsidRPr="00CD4FA5" w:rsidRDefault="00CD4FA5" w:rsidP="00A247CD">
      <w:pPr>
        <w:pBdr>
          <w:top w:val="single" w:sz="4" w:space="1" w:color="auto"/>
          <w:left w:val="single" w:sz="4" w:space="4" w:color="auto"/>
          <w:bottom w:val="single" w:sz="4" w:space="1" w:color="auto"/>
          <w:right w:val="single" w:sz="4" w:space="4" w:color="auto"/>
        </w:pBdr>
        <w:spacing w:before="240"/>
        <w:rPr>
          <w:rFonts w:ascii="Times New Roman" w:hAnsi="Times New Roman"/>
          <w:b/>
          <w:sz w:val="24"/>
        </w:rPr>
      </w:pPr>
      <w:r w:rsidRPr="00CD4FA5">
        <w:rPr>
          <w:rFonts w:ascii="Times New Roman" w:hAnsi="Times New Roman"/>
          <w:b/>
          <w:sz w:val="24"/>
        </w:rPr>
        <w:t>Conclusion</w:t>
      </w:r>
    </w:p>
    <w:p w14:paraId="649C05C6" w14:textId="77777777" w:rsidR="00CD4FA5" w:rsidRPr="00CD4FA5" w:rsidRDefault="00CD4FA5" w:rsidP="00A247CD">
      <w:pPr>
        <w:pBdr>
          <w:top w:val="single" w:sz="4" w:space="1" w:color="auto"/>
          <w:left w:val="single" w:sz="4" w:space="4" w:color="auto"/>
          <w:bottom w:val="single" w:sz="4" w:space="1" w:color="auto"/>
          <w:right w:val="single" w:sz="4" w:space="4" w:color="auto"/>
        </w:pBdr>
        <w:spacing w:before="240"/>
        <w:rPr>
          <w:rFonts w:ascii="Times New Roman" w:hAnsi="Times New Roman"/>
          <w:sz w:val="24"/>
        </w:rPr>
      </w:pPr>
      <w:r w:rsidRPr="00CD4FA5">
        <w:rPr>
          <w:rFonts w:ascii="Times New Roman" w:hAnsi="Times New Roman"/>
          <w:sz w:val="24"/>
        </w:rPr>
        <w:t>This Instrument is, therefore, compatible with human rights as it does not raise any human rights issues.</w:t>
      </w:r>
    </w:p>
    <w:p w14:paraId="5504F49E" w14:textId="77777777" w:rsidR="00CD4FA5" w:rsidRPr="00CD4FA5" w:rsidRDefault="00CD4FA5" w:rsidP="00A247CD">
      <w:pPr>
        <w:pBdr>
          <w:top w:val="single" w:sz="4" w:space="1" w:color="auto"/>
          <w:left w:val="single" w:sz="4" w:space="4" w:color="auto"/>
          <w:bottom w:val="single" w:sz="4" w:space="1" w:color="auto"/>
          <w:right w:val="single" w:sz="4" w:space="4" w:color="auto"/>
        </w:pBdr>
        <w:spacing w:before="240"/>
        <w:rPr>
          <w:rFonts w:ascii="Times New Roman" w:hAnsi="Times New Roman"/>
          <w:sz w:val="24"/>
        </w:rPr>
      </w:pPr>
    </w:p>
    <w:p w14:paraId="3A2936B4" w14:textId="360B5665" w:rsidR="00CD4FA5" w:rsidRPr="00CD4FA5" w:rsidRDefault="00786207" w:rsidP="00CD4FA5">
      <w:pPr>
        <w:pBdr>
          <w:top w:val="single" w:sz="4" w:space="1" w:color="auto"/>
          <w:left w:val="single" w:sz="4" w:space="4" w:color="auto"/>
          <w:bottom w:val="single" w:sz="4" w:space="1" w:color="auto"/>
          <w:right w:val="single" w:sz="4" w:space="4" w:color="auto"/>
        </w:pBdr>
        <w:rPr>
          <w:rFonts w:ascii="Times New Roman" w:hAnsi="Times New Roman"/>
          <w:sz w:val="24"/>
        </w:rPr>
      </w:pPr>
      <w:r>
        <w:rPr>
          <w:rFonts w:ascii="Times New Roman" w:hAnsi="Times New Roman"/>
          <w:sz w:val="24"/>
        </w:rPr>
        <w:t>Nicole Rose</w:t>
      </w:r>
      <w:r w:rsidR="000B3A73">
        <w:rPr>
          <w:rFonts w:ascii="Times New Roman" w:hAnsi="Times New Roman"/>
          <w:sz w:val="24"/>
        </w:rPr>
        <w:t xml:space="preserve"> </w:t>
      </w:r>
      <w:r w:rsidR="000B3A73">
        <w:rPr>
          <w:rFonts w:ascii="Times New Roman" w:hAnsi="Times New Roman"/>
          <w:sz w:val="20"/>
          <w:szCs w:val="20"/>
        </w:rPr>
        <w:t>PSM</w:t>
      </w:r>
    </w:p>
    <w:p w14:paraId="5A24610B" w14:textId="45010168" w:rsidR="00CD4FA5" w:rsidRPr="00CD4FA5" w:rsidRDefault="00CD4FA5" w:rsidP="00CD4FA5">
      <w:pPr>
        <w:pBdr>
          <w:top w:val="single" w:sz="4" w:space="1" w:color="auto"/>
          <w:left w:val="single" w:sz="4" w:space="4" w:color="auto"/>
          <w:bottom w:val="single" w:sz="4" w:space="1" w:color="auto"/>
          <w:right w:val="single" w:sz="4" w:space="4" w:color="auto"/>
        </w:pBdr>
        <w:rPr>
          <w:rFonts w:ascii="Times New Roman" w:hAnsi="Times New Roman"/>
          <w:sz w:val="24"/>
        </w:rPr>
      </w:pPr>
      <w:r w:rsidRPr="00CD4FA5">
        <w:rPr>
          <w:rFonts w:ascii="Times New Roman" w:hAnsi="Times New Roman"/>
          <w:sz w:val="24"/>
        </w:rPr>
        <w:t>Chief Executive Officer</w:t>
      </w:r>
    </w:p>
    <w:p w14:paraId="40ABD20A" w14:textId="77777777" w:rsidR="00CD4FA5" w:rsidRPr="00CD4FA5" w:rsidRDefault="00CD4FA5" w:rsidP="00CD4FA5">
      <w:pPr>
        <w:pBdr>
          <w:top w:val="single" w:sz="4" w:space="1" w:color="auto"/>
          <w:left w:val="single" w:sz="4" w:space="4" w:color="auto"/>
          <w:bottom w:val="single" w:sz="4" w:space="1" w:color="auto"/>
          <w:right w:val="single" w:sz="4" w:space="4" w:color="auto"/>
        </w:pBdr>
        <w:rPr>
          <w:rFonts w:ascii="Times New Roman" w:hAnsi="Times New Roman"/>
          <w:sz w:val="24"/>
        </w:rPr>
      </w:pPr>
      <w:r w:rsidRPr="00CD4FA5">
        <w:rPr>
          <w:rFonts w:ascii="Times New Roman" w:hAnsi="Times New Roman"/>
          <w:sz w:val="24"/>
        </w:rPr>
        <w:t>Australian Transaction Reports and Analysis Centre</w:t>
      </w:r>
    </w:p>
    <w:sectPr w:rsidR="00CD4FA5" w:rsidRPr="00CD4FA5" w:rsidSect="0091656F">
      <w:footerReference w:type="even" r:id="rId9"/>
      <w:footerReference w:type="default" r:id="rId10"/>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2029E" w14:textId="77777777" w:rsidR="00FD6954" w:rsidRDefault="00FD6954">
      <w:r>
        <w:separator/>
      </w:r>
    </w:p>
  </w:endnote>
  <w:endnote w:type="continuationSeparator" w:id="0">
    <w:p w14:paraId="1CED8562" w14:textId="77777777" w:rsidR="00FD6954" w:rsidRDefault="00FD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4BEE1" w14:textId="77777777" w:rsidR="00FD6954" w:rsidRDefault="00FD6954" w:rsidP="003F2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07F4">
      <w:rPr>
        <w:rStyle w:val="PageNumber"/>
        <w:noProof/>
      </w:rPr>
      <w:t>6</w:t>
    </w:r>
    <w:r>
      <w:rPr>
        <w:rStyle w:val="PageNumber"/>
      </w:rPr>
      <w:fldChar w:fldCharType="end"/>
    </w:r>
  </w:p>
  <w:p w14:paraId="74EB9ADF" w14:textId="77777777" w:rsidR="00FD6954" w:rsidRDefault="00FD6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0745" w14:textId="07123BD4" w:rsidR="00FD6954" w:rsidRDefault="00FD6954" w:rsidP="003F2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F61">
      <w:rPr>
        <w:rStyle w:val="PageNumber"/>
        <w:noProof/>
      </w:rPr>
      <w:t>7</w:t>
    </w:r>
    <w:r>
      <w:rPr>
        <w:rStyle w:val="PageNumber"/>
      </w:rPr>
      <w:fldChar w:fldCharType="end"/>
    </w:r>
  </w:p>
  <w:p w14:paraId="1D4C9A6A" w14:textId="77777777" w:rsidR="00FD6954" w:rsidRDefault="00FD6954" w:rsidP="003B752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02A4F" w14:textId="77777777" w:rsidR="00FD6954" w:rsidRDefault="00FD6954">
      <w:r>
        <w:separator/>
      </w:r>
    </w:p>
  </w:footnote>
  <w:footnote w:type="continuationSeparator" w:id="0">
    <w:p w14:paraId="385BED6D" w14:textId="77777777" w:rsidR="00FD6954" w:rsidRDefault="00FD6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503"/>
    <w:multiLevelType w:val="hybridMultilevel"/>
    <w:tmpl w:val="FDC2C2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126EF2"/>
    <w:multiLevelType w:val="hybridMultilevel"/>
    <w:tmpl w:val="8BE0A230"/>
    <w:lvl w:ilvl="0" w:tplc="5AF4C4D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8252079"/>
    <w:multiLevelType w:val="hybridMultilevel"/>
    <w:tmpl w:val="D42C468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 w15:restartNumberingAfterBreak="0">
    <w:nsid w:val="0C6D6350"/>
    <w:multiLevelType w:val="hybridMultilevel"/>
    <w:tmpl w:val="427E53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F6B255C"/>
    <w:multiLevelType w:val="hybridMultilevel"/>
    <w:tmpl w:val="D1C87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5A2E73"/>
    <w:multiLevelType w:val="hybridMultilevel"/>
    <w:tmpl w:val="626638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9A32BF4"/>
    <w:multiLevelType w:val="hybridMultilevel"/>
    <w:tmpl w:val="C6288D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CAC3A54"/>
    <w:multiLevelType w:val="hybridMultilevel"/>
    <w:tmpl w:val="B246BFA6"/>
    <w:lvl w:ilvl="0" w:tplc="0C090001">
      <w:start w:val="1"/>
      <w:numFmt w:val="bullet"/>
      <w:lvlText w:val=""/>
      <w:lvlJc w:val="left"/>
      <w:pPr>
        <w:ind w:left="2205" w:hanging="360"/>
      </w:pPr>
      <w:rPr>
        <w:rFonts w:ascii="Symbol" w:hAnsi="Symbol" w:hint="default"/>
      </w:rPr>
    </w:lvl>
    <w:lvl w:ilvl="1" w:tplc="0C090003" w:tentative="1">
      <w:start w:val="1"/>
      <w:numFmt w:val="bullet"/>
      <w:lvlText w:val="o"/>
      <w:lvlJc w:val="left"/>
      <w:pPr>
        <w:ind w:left="2925" w:hanging="360"/>
      </w:pPr>
      <w:rPr>
        <w:rFonts w:ascii="Courier New" w:hAnsi="Courier New" w:cs="Courier New" w:hint="default"/>
      </w:rPr>
    </w:lvl>
    <w:lvl w:ilvl="2" w:tplc="0C090005" w:tentative="1">
      <w:start w:val="1"/>
      <w:numFmt w:val="bullet"/>
      <w:lvlText w:val=""/>
      <w:lvlJc w:val="left"/>
      <w:pPr>
        <w:ind w:left="3645" w:hanging="360"/>
      </w:pPr>
      <w:rPr>
        <w:rFonts w:ascii="Wingdings" w:hAnsi="Wingdings"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8" w15:restartNumberingAfterBreak="0">
    <w:nsid w:val="1CBD24EF"/>
    <w:multiLevelType w:val="hybridMultilevel"/>
    <w:tmpl w:val="60F407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3AD4AC9"/>
    <w:multiLevelType w:val="hybridMultilevel"/>
    <w:tmpl w:val="3C54B8EA"/>
    <w:lvl w:ilvl="0" w:tplc="4AAAE60E">
      <w:start w:val="17"/>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853313A"/>
    <w:multiLevelType w:val="hybridMultilevel"/>
    <w:tmpl w:val="93804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89754F4"/>
    <w:multiLevelType w:val="hybridMultilevel"/>
    <w:tmpl w:val="1BCA82BC"/>
    <w:lvl w:ilvl="0" w:tplc="4DBA64FC">
      <w:start w:val="1"/>
      <w:numFmt w:val="decimal"/>
      <w:lvlText w:val="%1."/>
      <w:lvlJc w:val="left"/>
      <w:pPr>
        <w:ind w:left="720" w:hanging="360"/>
      </w:pPr>
      <w:rPr>
        <w:b w:val="0"/>
      </w:rPr>
    </w:lvl>
    <w:lvl w:ilvl="1" w:tplc="C50CFE3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C13A8D"/>
    <w:multiLevelType w:val="hybridMultilevel"/>
    <w:tmpl w:val="FDB83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CC40D1"/>
    <w:multiLevelType w:val="hybridMultilevel"/>
    <w:tmpl w:val="F880D4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F06278F"/>
    <w:multiLevelType w:val="multilevel"/>
    <w:tmpl w:val="FF9C90D0"/>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FE474B4"/>
    <w:multiLevelType w:val="hybridMultilevel"/>
    <w:tmpl w:val="6F4E62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0DC16C4"/>
    <w:multiLevelType w:val="hybridMultilevel"/>
    <w:tmpl w:val="57B2ABA4"/>
    <w:lvl w:ilvl="0" w:tplc="FFB6A95A">
      <w:start w:val="1"/>
      <w:numFmt w:val="decimal"/>
      <w:lvlText w:val="%1."/>
      <w:lvlJc w:val="left"/>
      <w:pPr>
        <w:ind w:left="360" w:hanging="360"/>
      </w:pPr>
      <w:rPr>
        <w:rFonts w:ascii="Times New Roman" w:eastAsia="Times New Roman" w:hAnsi="Times New Roman" w:cs="Times New Roman"/>
      </w:rPr>
    </w:lvl>
    <w:lvl w:ilvl="1" w:tplc="515A7CE6">
      <w:start w:val="1"/>
      <w:numFmt w:val="lowerLetter"/>
      <w:lvlText w:val="(%2)"/>
      <w:lvlJc w:val="left"/>
      <w:pPr>
        <w:ind w:left="1080" w:hanging="360"/>
      </w:pPr>
      <w:rPr>
        <w:rFonts w:ascii="Times New Roman" w:eastAsia="Times New Roman" w:hAnsi="Times New Roman" w:cs="Times New Roman"/>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9CB548B"/>
    <w:multiLevelType w:val="hybridMultilevel"/>
    <w:tmpl w:val="3A08B9A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8" w15:restartNumberingAfterBreak="0">
    <w:nsid w:val="3D6F0001"/>
    <w:multiLevelType w:val="hybridMultilevel"/>
    <w:tmpl w:val="9A763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212D74"/>
    <w:multiLevelType w:val="hybridMultilevel"/>
    <w:tmpl w:val="04429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04A293B"/>
    <w:multiLevelType w:val="hybridMultilevel"/>
    <w:tmpl w:val="830A868E"/>
    <w:lvl w:ilvl="0" w:tplc="F6606D1A">
      <w:start w:val="1"/>
      <w:numFmt w:val="bullet"/>
      <w:lvlText w:val=""/>
      <w:lvlJc w:val="left"/>
      <w:pPr>
        <w:tabs>
          <w:tab w:val="num" w:pos="0"/>
        </w:tabs>
        <w:ind w:left="17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807B4B"/>
    <w:multiLevelType w:val="hybridMultilevel"/>
    <w:tmpl w:val="7D3A8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AF6EE4"/>
    <w:multiLevelType w:val="hybridMultilevel"/>
    <w:tmpl w:val="F6E40D7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477631B5"/>
    <w:multiLevelType w:val="hybridMultilevel"/>
    <w:tmpl w:val="46E054D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15:restartNumberingAfterBreak="0">
    <w:nsid w:val="4AF029E9"/>
    <w:multiLevelType w:val="hybridMultilevel"/>
    <w:tmpl w:val="27B6D4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F98301C"/>
    <w:multiLevelType w:val="hybridMultilevel"/>
    <w:tmpl w:val="B7A0FB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17670BA"/>
    <w:multiLevelType w:val="hybridMultilevel"/>
    <w:tmpl w:val="9C0CDF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0C64AE"/>
    <w:multiLevelType w:val="hybridMultilevel"/>
    <w:tmpl w:val="A7C6D62A"/>
    <w:lvl w:ilvl="0" w:tplc="1FECFAA6">
      <w:start w:val="1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296005F"/>
    <w:multiLevelType w:val="hybridMultilevel"/>
    <w:tmpl w:val="AB989A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2FC5908"/>
    <w:multiLevelType w:val="hybridMultilevel"/>
    <w:tmpl w:val="A32C36E0"/>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0" w15:restartNumberingAfterBreak="0">
    <w:nsid w:val="58C65A21"/>
    <w:multiLevelType w:val="hybridMultilevel"/>
    <w:tmpl w:val="EEF4C094"/>
    <w:lvl w:ilvl="0" w:tplc="5AF4C4DC">
      <w:start w:val="30"/>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DC05F41"/>
    <w:multiLevelType w:val="hybridMultilevel"/>
    <w:tmpl w:val="21A62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C13A1B"/>
    <w:multiLevelType w:val="hybridMultilevel"/>
    <w:tmpl w:val="4C8E725C"/>
    <w:lvl w:ilvl="0" w:tplc="F6606D1A">
      <w:start w:val="1"/>
      <w:numFmt w:val="bullet"/>
      <w:lvlText w:val=""/>
      <w:lvlJc w:val="left"/>
      <w:pPr>
        <w:tabs>
          <w:tab w:val="num" w:pos="1500"/>
        </w:tabs>
        <w:ind w:left="1670" w:hanging="170"/>
      </w:pPr>
      <w:rPr>
        <w:rFonts w:ascii="Symbol" w:hAnsi="Symbol" w:hint="default"/>
      </w:rPr>
    </w:lvl>
    <w:lvl w:ilvl="1" w:tplc="0C090003" w:tentative="1">
      <w:start w:val="1"/>
      <w:numFmt w:val="bullet"/>
      <w:lvlText w:val="o"/>
      <w:lvlJc w:val="left"/>
      <w:pPr>
        <w:tabs>
          <w:tab w:val="num" w:pos="2940"/>
        </w:tabs>
        <w:ind w:left="2940" w:hanging="360"/>
      </w:pPr>
      <w:rPr>
        <w:rFonts w:ascii="Courier New" w:hAnsi="Courier New" w:cs="Courier New" w:hint="default"/>
      </w:rPr>
    </w:lvl>
    <w:lvl w:ilvl="2" w:tplc="0C090005" w:tentative="1">
      <w:start w:val="1"/>
      <w:numFmt w:val="bullet"/>
      <w:lvlText w:val=""/>
      <w:lvlJc w:val="left"/>
      <w:pPr>
        <w:tabs>
          <w:tab w:val="num" w:pos="3660"/>
        </w:tabs>
        <w:ind w:left="3660" w:hanging="360"/>
      </w:pPr>
      <w:rPr>
        <w:rFonts w:ascii="Wingdings" w:hAnsi="Wingdings" w:hint="default"/>
      </w:rPr>
    </w:lvl>
    <w:lvl w:ilvl="3" w:tplc="0C090001" w:tentative="1">
      <w:start w:val="1"/>
      <w:numFmt w:val="bullet"/>
      <w:lvlText w:val=""/>
      <w:lvlJc w:val="left"/>
      <w:pPr>
        <w:tabs>
          <w:tab w:val="num" w:pos="4380"/>
        </w:tabs>
        <w:ind w:left="4380" w:hanging="360"/>
      </w:pPr>
      <w:rPr>
        <w:rFonts w:ascii="Symbol" w:hAnsi="Symbol" w:hint="default"/>
      </w:rPr>
    </w:lvl>
    <w:lvl w:ilvl="4" w:tplc="0C090003" w:tentative="1">
      <w:start w:val="1"/>
      <w:numFmt w:val="bullet"/>
      <w:lvlText w:val="o"/>
      <w:lvlJc w:val="left"/>
      <w:pPr>
        <w:tabs>
          <w:tab w:val="num" w:pos="5100"/>
        </w:tabs>
        <w:ind w:left="5100" w:hanging="360"/>
      </w:pPr>
      <w:rPr>
        <w:rFonts w:ascii="Courier New" w:hAnsi="Courier New" w:cs="Courier New" w:hint="default"/>
      </w:rPr>
    </w:lvl>
    <w:lvl w:ilvl="5" w:tplc="0C090005" w:tentative="1">
      <w:start w:val="1"/>
      <w:numFmt w:val="bullet"/>
      <w:lvlText w:val=""/>
      <w:lvlJc w:val="left"/>
      <w:pPr>
        <w:tabs>
          <w:tab w:val="num" w:pos="5820"/>
        </w:tabs>
        <w:ind w:left="5820" w:hanging="360"/>
      </w:pPr>
      <w:rPr>
        <w:rFonts w:ascii="Wingdings" w:hAnsi="Wingdings" w:hint="default"/>
      </w:rPr>
    </w:lvl>
    <w:lvl w:ilvl="6" w:tplc="0C090001" w:tentative="1">
      <w:start w:val="1"/>
      <w:numFmt w:val="bullet"/>
      <w:lvlText w:val=""/>
      <w:lvlJc w:val="left"/>
      <w:pPr>
        <w:tabs>
          <w:tab w:val="num" w:pos="6540"/>
        </w:tabs>
        <w:ind w:left="6540" w:hanging="360"/>
      </w:pPr>
      <w:rPr>
        <w:rFonts w:ascii="Symbol" w:hAnsi="Symbol" w:hint="default"/>
      </w:rPr>
    </w:lvl>
    <w:lvl w:ilvl="7" w:tplc="0C090003" w:tentative="1">
      <w:start w:val="1"/>
      <w:numFmt w:val="bullet"/>
      <w:lvlText w:val="o"/>
      <w:lvlJc w:val="left"/>
      <w:pPr>
        <w:tabs>
          <w:tab w:val="num" w:pos="7260"/>
        </w:tabs>
        <w:ind w:left="7260" w:hanging="360"/>
      </w:pPr>
      <w:rPr>
        <w:rFonts w:ascii="Courier New" w:hAnsi="Courier New" w:cs="Courier New" w:hint="default"/>
      </w:rPr>
    </w:lvl>
    <w:lvl w:ilvl="8" w:tplc="0C090005" w:tentative="1">
      <w:start w:val="1"/>
      <w:numFmt w:val="bullet"/>
      <w:lvlText w:val=""/>
      <w:lvlJc w:val="left"/>
      <w:pPr>
        <w:tabs>
          <w:tab w:val="num" w:pos="7980"/>
        </w:tabs>
        <w:ind w:left="7980" w:hanging="360"/>
      </w:pPr>
      <w:rPr>
        <w:rFonts w:ascii="Wingdings" w:hAnsi="Wingdings" w:hint="default"/>
      </w:rPr>
    </w:lvl>
  </w:abstractNum>
  <w:abstractNum w:abstractNumId="33" w15:restartNumberingAfterBreak="0">
    <w:nsid w:val="5FE80D0D"/>
    <w:multiLevelType w:val="hybridMultilevel"/>
    <w:tmpl w:val="D6EA8562"/>
    <w:lvl w:ilvl="0" w:tplc="78ACFE64">
      <w:start w:val="1"/>
      <w:numFmt w:val="decimal"/>
      <w:lvlText w:val="%1."/>
      <w:lvlJc w:val="left"/>
      <w:pPr>
        <w:tabs>
          <w:tab w:val="num" w:pos="720"/>
        </w:tabs>
        <w:ind w:left="720" w:hanging="360"/>
      </w:pPr>
      <w:rPr>
        <w:rFonts w:hint="default"/>
        <w:b w:val="0"/>
        <w:i w:val="0"/>
        <w:sz w:val="24"/>
        <w:szCs w:val="24"/>
      </w:rPr>
    </w:lvl>
    <w:lvl w:ilvl="1" w:tplc="F6606D1A">
      <w:start w:val="1"/>
      <w:numFmt w:val="bullet"/>
      <w:lvlText w:val=""/>
      <w:lvlJc w:val="left"/>
      <w:pPr>
        <w:tabs>
          <w:tab w:val="num" w:pos="1080"/>
        </w:tabs>
        <w:ind w:left="1250" w:hanging="170"/>
      </w:pPr>
      <w:rPr>
        <w:rFonts w:ascii="Symbol" w:hAnsi="Symbol" w:hint="default"/>
        <w:sz w:val="24"/>
        <w:szCs w:val="24"/>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64112B95"/>
    <w:multiLevelType w:val="hybridMultilevel"/>
    <w:tmpl w:val="7BFE5F9C"/>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35" w15:restartNumberingAfterBreak="0">
    <w:nsid w:val="64F429FD"/>
    <w:multiLevelType w:val="hybridMultilevel"/>
    <w:tmpl w:val="5A1A1DA4"/>
    <w:lvl w:ilvl="0" w:tplc="414099EC">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65B173D7"/>
    <w:multiLevelType w:val="hybridMultilevel"/>
    <w:tmpl w:val="AD9CF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F2A2F"/>
    <w:multiLevelType w:val="multilevel"/>
    <w:tmpl w:val="468CB70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64070E2"/>
    <w:multiLevelType w:val="hybridMultilevel"/>
    <w:tmpl w:val="3B90928A"/>
    <w:lvl w:ilvl="0" w:tplc="952667DA">
      <w:start w:val="2"/>
      <w:numFmt w:val="decimal"/>
      <w:lvlText w:val="(%1)"/>
      <w:lvlJc w:val="left"/>
      <w:pPr>
        <w:ind w:left="1080" w:hanging="360"/>
      </w:pPr>
      <w:rPr>
        <w:rFonts w:hint="default"/>
      </w:rPr>
    </w:lvl>
    <w:lvl w:ilvl="1" w:tplc="3B4C537C">
      <w:start w:val="1"/>
      <w:numFmt w:val="lowerLetter"/>
      <w:lvlText w:val="(%2)"/>
      <w:lvlJc w:val="left"/>
      <w:pPr>
        <w:ind w:left="1800" w:hanging="360"/>
      </w:pPr>
      <w:rPr>
        <w:rFonts w:ascii="Times New Roman" w:eastAsia="Times New Roman" w:hAnsi="Times New Roman" w:cs="Times New Roman"/>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89A19DC"/>
    <w:multiLevelType w:val="multilevel"/>
    <w:tmpl w:val="5100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8C34085"/>
    <w:multiLevelType w:val="hybridMultilevel"/>
    <w:tmpl w:val="ECEA7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CC4578"/>
    <w:multiLevelType w:val="hybridMultilevel"/>
    <w:tmpl w:val="A134CFE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2" w15:restartNumberingAfterBreak="0">
    <w:nsid w:val="6DC2042D"/>
    <w:multiLevelType w:val="hybridMultilevel"/>
    <w:tmpl w:val="A9B2C40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3" w15:restartNumberingAfterBreak="0">
    <w:nsid w:val="7101756C"/>
    <w:multiLevelType w:val="hybridMultilevel"/>
    <w:tmpl w:val="1834C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37E09C7"/>
    <w:multiLevelType w:val="hybridMultilevel"/>
    <w:tmpl w:val="7196F280"/>
    <w:lvl w:ilvl="0" w:tplc="04463F80">
      <w:start w:val="1"/>
      <w:numFmt w:val="decimal"/>
      <w:lvlText w:val="(%1)"/>
      <w:lvlJc w:val="left"/>
      <w:pPr>
        <w:tabs>
          <w:tab w:val="num" w:pos="1110"/>
        </w:tabs>
        <w:ind w:left="1110" w:hanging="39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5" w15:restartNumberingAfterBreak="0">
    <w:nsid w:val="75493ED5"/>
    <w:multiLevelType w:val="hybridMultilevel"/>
    <w:tmpl w:val="041015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33"/>
  </w:num>
  <w:num w:numId="3">
    <w:abstractNumId w:val="1"/>
  </w:num>
  <w:num w:numId="4">
    <w:abstractNumId w:val="30"/>
  </w:num>
  <w:num w:numId="5">
    <w:abstractNumId w:val="39"/>
  </w:num>
  <w:num w:numId="6">
    <w:abstractNumId w:val="27"/>
  </w:num>
  <w:num w:numId="7">
    <w:abstractNumId w:val="44"/>
  </w:num>
  <w:num w:numId="8">
    <w:abstractNumId w:val="37"/>
  </w:num>
  <w:num w:numId="9">
    <w:abstractNumId w:val="14"/>
  </w:num>
  <w:num w:numId="10">
    <w:abstractNumId w:val="32"/>
  </w:num>
  <w:num w:numId="11">
    <w:abstractNumId w:val="20"/>
  </w:num>
  <w:num w:numId="12">
    <w:abstractNumId w:val="35"/>
  </w:num>
  <w:num w:numId="13">
    <w:abstractNumId w:val="10"/>
  </w:num>
  <w:num w:numId="14">
    <w:abstractNumId w:val="3"/>
  </w:num>
  <w:num w:numId="15">
    <w:abstractNumId w:val="6"/>
  </w:num>
  <w:num w:numId="16">
    <w:abstractNumId w:val="16"/>
  </w:num>
  <w:num w:numId="17">
    <w:abstractNumId w:val="38"/>
  </w:num>
  <w:num w:numId="18">
    <w:abstractNumId w:val="5"/>
  </w:num>
  <w:num w:numId="19">
    <w:abstractNumId w:val="0"/>
  </w:num>
  <w:num w:numId="20">
    <w:abstractNumId w:val="40"/>
  </w:num>
  <w:num w:numId="21">
    <w:abstractNumId w:val="28"/>
  </w:num>
  <w:num w:numId="22">
    <w:abstractNumId w:val="21"/>
  </w:num>
  <w:num w:numId="23">
    <w:abstractNumId w:val="8"/>
  </w:num>
  <w:num w:numId="24">
    <w:abstractNumId w:val="19"/>
  </w:num>
  <w:num w:numId="25">
    <w:abstractNumId w:val="42"/>
  </w:num>
  <w:num w:numId="26">
    <w:abstractNumId w:val="24"/>
  </w:num>
  <w:num w:numId="27">
    <w:abstractNumId w:val="25"/>
  </w:num>
  <w:num w:numId="28">
    <w:abstractNumId w:val="2"/>
  </w:num>
  <w:num w:numId="29">
    <w:abstractNumId w:val="29"/>
  </w:num>
  <w:num w:numId="30">
    <w:abstractNumId w:val="17"/>
  </w:num>
  <w:num w:numId="31">
    <w:abstractNumId w:val="41"/>
  </w:num>
  <w:num w:numId="32">
    <w:abstractNumId w:val="12"/>
  </w:num>
  <w:num w:numId="33">
    <w:abstractNumId w:val="4"/>
  </w:num>
  <w:num w:numId="34">
    <w:abstractNumId w:val="36"/>
  </w:num>
  <w:num w:numId="35">
    <w:abstractNumId w:val="18"/>
  </w:num>
  <w:num w:numId="36">
    <w:abstractNumId w:val="45"/>
  </w:num>
  <w:num w:numId="37">
    <w:abstractNumId w:val="43"/>
  </w:num>
  <w:num w:numId="38">
    <w:abstractNumId w:val="9"/>
  </w:num>
  <w:num w:numId="39">
    <w:abstractNumId w:val="13"/>
  </w:num>
  <w:num w:numId="40">
    <w:abstractNumId w:val="34"/>
  </w:num>
  <w:num w:numId="41">
    <w:abstractNumId w:val="23"/>
  </w:num>
  <w:num w:numId="42">
    <w:abstractNumId w:val="22"/>
  </w:num>
  <w:num w:numId="43">
    <w:abstractNumId w:val="7"/>
  </w:num>
  <w:num w:numId="44">
    <w:abstractNumId w:val="31"/>
  </w:num>
  <w:num w:numId="45">
    <w:abstractNumId w:val="1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24"/>
    <w:rsid w:val="0000129C"/>
    <w:rsid w:val="00002D59"/>
    <w:rsid w:val="00004237"/>
    <w:rsid w:val="00005185"/>
    <w:rsid w:val="0001158F"/>
    <w:rsid w:val="00011BFD"/>
    <w:rsid w:val="00013686"/>
    <w:rsid w:val="000222A4"/>
    <w:rsid w:val="00024C66"/>
    <w:rsid w:val="00027747"/>
    <w:rsid w:val="0003033B"/>
    <w:rsid w:val="00033B8D"/>
    <w:rsid w:val="00035795"/>
    <w:rsid w:val="000358DA"/>
    <w:rsid w:val="00037327"/>
    <w:rsid w:val="000430D4"/>
    <w:rsid w:val="00050B40"/>
    <w:rsid w:val="00050CE5"/>
    <w:rsid w:val="00051713"/>
    <w:rsid w:val="00053A7A"/>
    <w:rsid w:val="000572EA"/>
    <w:rsid w:val="00057C98"/>
    <w:rsid w:val="0006328D"/>
    <w:rsid w:val="000673A4"/>
    <w:rsid w:val="00072759"/>
    <w:rsid w:val="00075472"/>
    <w:rsid w:val="0008191B"/>
    <w:rsid w:val="000869B9"/>
    <w:rsid w:val="000926BD"/>
    <w:rsid w:val="00092891"/>
    <w:rsid w:val="0009363E"/>
    <w:rsid w:val="000942AF"/>
    <w:rsid w:val="000961DD"/>
    <w:rsid w:val="0009669C"/>
    <w:rsid w:val="00097839"/>
    <w:rsid w:val="000A0109"/>
    <w:rsid w:val="000A1B36"/>
    <w:rsid w:val="000A25BE"/>
    <w:rsid w:val="000A448C"/>
    <w:rsid w:val="000A71FF"/>
    <w:rsid w:val="000B07C2"/>
    <w:rsid w:val="000B3A73"/>
    <w:rsid w:val="000B3D22"/>
    <w:rsid w:val="000B4EE1"/>
    <w:rsid w:val="000B7D16"/>
    <w:rsid w:val="000C4CBB"/>
    <w:rsid w:val="000C4DEC"/>
    <w:rsid w:val="000C5E2A"/>
    <w:rsid w:val="000D0E25"/>
    <w:rsid w:val="000D13F2"/>
    <w:rsid w:val="000D143A"/>
    <w:rsid w:val="000D180A"/>
    <w:rsid w:val="000D1DA2"/>
    <w:rsid w:val="000D261E"/>
    <w:rsid w:val="000D4F84"/>
    <w:rsid w:val="000D658D"/>
    <w:rsid w:val="000D70E9"/>
    <w:rsid w:val="000E63EE"/>
    <w:rsid w:val="000F0AA0"/>
    <w:rsid w:val="00100A29"/>
    <w:rsid w:val="00100E9D"/>
    <w:rsid w:val="00101CDF"/>
    <w:rsid w:val="0010234E"/>
    <w:rsid w:val="0010649D"/>
    <w:rsid w:val="001138C2"/>
    <w:rsid w:val="00114B13"/>
    <w:rsid w:val="00115CA1"/>
    <w:rsid w:val="001161BA"/>
    <w:rsid w:val="001212F7"/>
    <w:rsid w:val="00121FC3"/>
    <w:rsid w:val="00122D9B"/>
    <w:rsid w:val="00133529"/>
    <w:rsid w:val="0013429C"/>
    <w:rsid w:val="00134CA6"/>
    <w:rsid w:val="00135E20"/>
    <w:rsid w:val="001369B9"/>
    <w:rsid w:val="00142983"/>
    <w:rsid w:val="00143BAA"/>
    <w:rsid w:val="00146670"/>
    <w:rsid w:val="00146C29"/>
    <w:rsid w:val="001475BE"/>
    <w:rsid w:val="00151851"/>
    <w:rsid w:val="00151CE0"/>
    <w:rsid w:val="0015491C"/>
    <w:rsid w:val="00156041"/>
    <w:rsid w:val="0015621A"/>
    <w:rsid w:val="00156C39"/>
    <w:rsid w:val="00157B80"/>
    <w:rsid w:val="00160041"/>
    <w:rsid w:val="001602B8"/>
    <w:rsid w:val="00162CC7"/>
    <w:rsid w:val="001663D5"/>
    <w:rsid w:val="0017034F"/>
    <w:rsid w:val="00190C40"/>
    <w:rsid w:val="00193377"/>
    <w:rsid w:val="001941DA"/>
    <w:rsid w:val="00194C14"/>
    <w:rsid w:val="0019595E"/>
    <w:rsid w:val="001970B1"/>
    <w:rsid w:val="00197E8A"/>
    <w:rsid w:val="001A11DA"/>
    <w:rsid w:val="001A25CB"/>
    <w:rsid w:val="001A58BA"/>
    <w:rsid w:val="001A63E8"/>
    <w:rsid w:val="001B005E"/>
    <w:rsid w:val="001B3A61"/>
    <w:rsid w:val="001B679A"/>
    <w:rsid w:val="001B6FCC"/>
    <w:rsid w:val="001B7562"/>
    <w:rsid w:val="001B7DCC"/>
    <w:rsid w:val="001C2371"/>
    <w:rsid w:val="001C37C9"/>
    <w:rsid w:val="001C57DA"/>
    <w:rsid w:val="001C5B36"/>
    <w:rsid w:val="001C60F1"/>
    <w:rsid w:val="001C6C6F"/>
    <w:rsid w:val="001D022F"/>
    <w:rsid w:val="001D3034"/>
    <w:rsid w:val="001D3559"/>
    <w:rsid w:val="001D3968"/>
    <w:rsid w:val="001D3C6E"/>
    <w:rsid w:val="001D5E25"/>
    <w:rsid w:val="001D6003"/>
    <w:rsid w:val="001E005B"/>
    <w:rsid w:val="001E23BF"/>
    <w:rsid w:val="001E2728"/>
    <w:rsid w:val="001E4D8A"/>
    <w:rsid w:val="001E52A5"/>
    <w:rsid w:val="001F0652"/>
    <w:rsid w:val="001F108A"/>
    <w:rsid w:val="001F396D"/>
    <w:rsid w:val="001F4CE5"/>
    <w:rsid w:val="0020292C"/>
    <w:rsid w:val="00205D35"/>
    <w:rsid w:val="00205D9F"/>
    <w:rsid w:val="0020702F"/>
    <w:rsid w:val="00207A4E"/>
    <w:rsid w:val="00207D34"/>
    <w:rsid w:val="002222BA"/>
    <w:rsid w:val="002222E4"/>
    <w:rsid w:val="002227A8"/>
    <w:rsid w:val="00231302"/>
    <w:rsid w:val="00232C59"/>
    <w:rsid w:val="00234EE9"/>
    <w:rsid w:val="002358FE"/>
    <w:rsid w:val="00236988"/>
    <w:rsid w:val="00237735"/>
    <w:rsid w:val="00241858"/>
    <w:rsid w:val="00243298"/>
    <w:rsid w:val="00243C97"/>
    <w:rsid w:val="00244D95"/>
    <w:rsid w:val="00246666"/>
    <w:rsid w:val="00247043"/>
    <w:rsid w:val="002475AC"/>
    <w:rsid w:val="002526C4"/>
    <w:rsid w:val="00252A86"/>
    <w:rsid w:val="00252FB1"/>
    <w:rsid w:val="0025603C"/>
    <w:rsid w:val="002570AB"/>
    <w:rsid w:val="00261776"/>
    <w:rsid w:val="002632D9"/>
    <w:rsid w:val="00263EDA"/>
    <w:rsid w:val="002700FC"/>
    <w:rsid w:val="00270F89"/>
    <w:rsid w:val="00272368"/>
    <w:rsid w:val="0027417D"/>
    <w:rsid w:val="002748A5"/>
    <w:rsid w:val="00276CC0"/>
    <w:rsid w:val="00285066"/>
    <w:rsid w:val="00285882"/>
    <w:rsid w:val="00290DB6"/>
    <w:rsid w:val="00291994"/>
    <w:rsid w:val="00292115"/>
    <w:rsid w:val="002948D1"/>
    <w:rsid w:val="0029686B"/>
    <w:rsid w:val="002A02FC"/>
    <w:rsid w:val="002A0A5F"/>
    <w:rsid w:val="002A2BE8"/>
    <w:rsid w:val="002A5004"/>
    <w:rsid w:val="002A6852"/>
    <w:rsid w:val="002A6B5F"/>
    <w:rsid w:val="002B0655"/>
    <w:rsid w:val="002B0D2D"/>
    <w:rsid w:val="002B4D5C"/>
    <w:rsid w:val="002C10AE"/>
    <w:rsid w:val="002C2936"/>
    <w:rsid w:val="002C3BD6"/>
    <w:rsid w:val="002C7537"/>
    <w:rsid w:val="002C75DD"/>
    <w:rsid w:val="002C76AE"/>
    <w:rsid w:val="002D123A"/>
    <w:rsid w:val="002D18EA"/>
    <w:rsid w:val="002D67A4"/>
    <w:rsid w:val="002D7A9B"/>
    <w:rsid w:val="002E74AC"/>
    <w:rsid w:val="002F38AD"/>
    <w:rsid w:val="002F4E2A"/>
    <w:rsid w:val="002F67E2"/>
    <w:rsid w:val="003017CC"/>
    <w:rsid w:val="00301D3F"/>
    <w:rsid w:val="00303AFD"/>
    <w:rsid w:val="00304398"/>
    <w:rsid w:val="0030476E"/>
    <w:rsid w:val="00304ACF"/>
    <w:rsid w:val="00304F91"/>
    <w:rsid w:val="0030571B"/>
    <w:rsid w:val="00306189"/>
    <w:rsid w:val="00306D9E"/>
    <w:rsid w:val="003112C7"/>
    <w:rsid w:val="00313FAF"/>
    <w:rsid w:val="00316294"/>
    <w:rsid w:val="00322DBF"/>
    <w:rsid w:val="00325102"/>
    <w:rsid w:val="00326047"/>
    <w:rsid w:val="00327A8D"/>
    <w:rsid w:val="00330393"/>
    <w:rsid w:val="00333424"/>
    <w:rsid w:val="003340DB"/>
    <w:rsid w:val="00341E53"/>
    <w:rsid w:val="00344E15"/>
    <w:rsid w:val="00345CA1"/>
    <w:rsid w:val="003559A1"/>
    <w:rsid w:val="003568F8"/>
    <w:rsid w:val="00360349"/>
    <w:rsid w:val="00363F21"/>
    <w:rsid w:val="00365FD7"/>
    <w:rsid w:val="003676D9"/>
    <w:rsid w:val="003747EE"/>
    <w:rsid w:val="003911F4"/>
    <w:rsid w:val="003912AD"/>
    <w:rsid w:val="003932F4"/>
    <w:rsid w:val="00393952"/>
    <w:rsid w:val="00393D2A"/>
    <w:rsid w:val="003A1795"/>
    <w:rsid w:val="003A3B0B"/>
    <w:rsid w:val="003A49E8"/>
    <w:rsid w:val="003A73B8"/>
    <w:rsid w:val="003B2DDD"/>
    <w:rsid w:val="003B4F88"/>
    <w:rsid w:val="003B7524"/>
    <w:rsid w:val="003C0500"/>
    <w:rsid w:val="003C43B6"/>
    <w:rsid w:val="003C57E7"/>
    <w:rsid w:val="003D1772"/>
    <w:rsid w:val="003D672A"/>
    <w:rsid w:val="003D7390"/>
    <w:rsid w:val="003D7A85"/>
    <w:rsid w:val="003D7BC9"/>
    <w:rsid w:val="003E07F4"/>
    <w:rsid w:val="003E13D0"/>
    <w:rsid w:val="003E2DC9"/>
    <w:rsid w:val="003E6AA6"/>
    <w:rsid w:val="003F12F1"/>
    <w:rsid w:val="003F166D"/>
    <w:rsid w:val="003F16C9"/>
    <w:rsid w:val="003F250A"/>
    <w:rsid w:val="003F2F59"/>
    <w:rsid w:val="003F5ADD"/>
    <w:rsid w:val="003F623E"/>
    <w:rsid w:val="00401DEF"/>
    <w:rsid w:val="00402D9E"/>
    <w:rsid w:val="0040415D"/>
    <w:rsid w:val="00404190"/>
    <w:rsid w:val="0040525D"/>
    <w:rsid w:val="004062DD"/>
    <w:rsid w:val="004065F6"/>
    <w:rsid w:val="00412303"/>
    <w:rsid w:val="004132BB"/>
    <w:rsid w:val="00413391"/>
    <w:rsid w:val="00413620"/>
    <w:rsid w:val="0041386C"/>
    <w:rsid w:val="0041387C"/>
    <w:rsid w:val="004171CA"/>
    <w:rsid w:val="00420F61"/>
    <w:rsid w:val="0042132D"/>
    <w:rsid w:val="004253AB"/>
    <w:rsid w:val="004255A4"/>
    <w:rsid w:val="00426515"/>
    <w:rsid w:val="00430DA3"/>
    <w:rsid w:val="00430E99"/>
    <w:rsid w:val="00431575"/>
    <w:rsid w:val="004321FD"/>
    <w:rsid w:val="00433B24"/>
    <w:rsid w:val="00433C9D"/>
    <w:rsid w:val="0043626D"/>
    <w:rsid w:val="004379C6"/>
    <w:rsid w:val="004444B7"/>
    <w:rsid w:val="00445B35"/>
    <w:rsid w:val="004479B7"/>
    <w:rsid w:val="00451459"/>
    <w:rsid w:val="004521B8"/>
    <w:rsid w:val="004571E2"/>
    <w:rsid w:val="00460BA8"/>
    <w:rsid w:val="00460CCD"/>
    <w:rsid w:val="00460E86"/>
    <w:rsid w:val="004619BB"/>
    <w:rsid w:val="004661D5"/>
    <w:rsid w:val="00474718"/>
    <w:rsid w:val="00474DE4"/>
    <w:rsid w:val="004760F8"/>
    <w:rsid w:val="0048013E"/>
    <w:rsid w:val="004811E8"/>
    <w:rsid w:val="00482B80"/>
    <w:rsid w:val="004849C5"/>
    <w:rsid w:val="00484BF4"/>
    <w:rsid w:val="00486E49"/>
    <w:rsid w:val="004878CA"/>
    <w:rsid w:val="0049116B"/>
    <w:rsid w:val="0049443F"/>
    <w:rsid w:val="004A2AEF"/>
    <w:rsid w:val="004A3E59"/>
    <w:rsid w:val="004A49A4"/>
    <w:rsid w:val="004A4CD9"/>
    <w:rsid w:val="004B06CC"/>
    <w:rsid w:val="004B06F0"/>
    <w:rsid w:val="004B17CA"/>
    <w:rsid w:val="004B231F"/>
    <w:rsid w:val="004B3D32"/>
    <w:rsid w:val="004C1454"/>
    <w:rsid w:val="004D1BEF"/>
    <w:rsid w:val="004D29B8"/>
    <w:rsid w:val="004D3937"/>
    <w:rsid w:val="004D4B9B"/>
    <w:rsid w:val="004D6131"/>
    <w:rsid w:val="004F566E"/>
    <w:rsid w:val="004F6865"/>
    <w:rsid w:val="00504315"/>
    <w:rsid w:val="005063DE"/>
    <w:rsid w:val="005073C6"/>
    <w:rsid w:val="00507EC4"/>
    <w:rsid w:val="005107A4"/>
    <w:rsid w:val="005114F2"/>
    <w:rsid w:val="005117CC"/>
    <w:rsid w:val="00512DE8"/>
    <w:rsid w:val="00514F91"/>
    <w:rsid w:val="00515AE5"/>
    <w:rsid w:val="00515F66"/>
    <w:rsid w:val="00517752"/>
    <w:rsid w:val="00521F8E"/>
    <w:rsid w:val="0052299B"/>
    <w:rsid w:val="00524990"/>
    <w:rsid w:val="00525E3E"/>
    <w:rsid w:val="00527C66"/>
    <w:rsid w:val="005300D6"/>
    <w:rsid w:val="00531FCB"/>
    <w:rsid w:val="005352F5"/>
    <w:rsid w:val="00535FD4"/>
    <w:rsid w:val="0054012A"/>
    <w:rsid w:val="00540572"/>
    <w:rsid w:val="00542129"/>
    <w:rsid w:val="00543C45"/>
    <w:rsid w:val="00543FD3"/>
    <w:rsid w:val="005467A0"/>
    <w:rsid w:val="005472C1"/>
    <w:rsid w:val="005474A0"/>
    <w:rsid w:val="005516F3"/>
    <w:rsid w:val="005522D5"/>
    <w:rsid w:val="00555A1B"/>
    <w:rsid w:val="0055701C"/>
    <w:rsid w:val="00560220"/>
    <w:rsid w:val="0056172E"/>
    <w:rsid w:val="00565748"/>
    <w:rsid w:val="00570274"/>
    <w:rsid w:val="005723CF"/>
    <w:rsid w:val="00573FB1"/>
    <w:rsid w:val="00575F3B"/>
    <w:rsid w:val="00580BF2"/>
    <w:rsid w:val="00582944"/>
    <w:rsid w:val="00583869"/>
    <w:rsid w:val="0058606F"/>
    <w:rsid w:val="00592027"/>
    <w:rsid w:val="0059487B"/>
    <w:rsid w:val="00596868"/>
    <w:rsid w:val="005A11B8"/>
    <w:rsid w:val="005A3C8A"/>
    <w:rsid w:val="005A3F83"/>
    <w:rsid w:val="005B0550"/>
    <w:rsid w:val="005B548D"/>
    <w:rsid w:val="005B5AD3"/>
    <w:rsid w:val="005B5D9A"/>
    <w:rsid w:val="005B6807"/>
    <w:rsid w:val="005B69DB"/>
    <w:rsid w:val="005B7452"/>
    <w:rsid w:val="005C0442"/>
    <w:rsid w:val="005C0E87"/>
    <w:rsid w:val="005C51C8"/>
    <w:rsid w:val="005C77BF"/>
    <w:rsid w:val="005D1AAB"/>
    <w:rsid w:val="005D51C8"/>
    <w:rsid w:val="005D58B2"/>
    <w:rsid w:val="005D59E2"/>
    <w:rsid w:val="005D650F"/>
    <w:rsid w:val="005D67E7"/>
    <w:rsid w:val="005E5849"/>
    <w:rsid w:val="005E5E7F"/>
    <w:rsid w:val="005E600A"/>
    <w:rsid w:val="005E7F24"/>
    <w:rsid w:val="005F2F3D"/>
    <w:rsid w:val="005F5E52"/>
    <w:rsid w:val="005F5F9C"/>
    <w:rsid w:val="0060028C"/>
    <w:rsid w:val="006032DC"/>
    <w:rsid w:val="00603BC5"/>
    <w:rsid w:val="00604416"/>
    <w:rsid w:val="00605791"/>
    <w:rsid w:val="00607A71"/>
    <w:rsid w:val="00611827"/>
    <w:rsid w:val="00613E6B"/>
    <w:rsid w:val="00617ECA"/>
    <w:rsid w:val="00621D05"/>
    <w:rsid w:val="00624DF2"/>
    <w:rsid w:val="00625479"/>
    <w:rsid w:val="006262A1"/>
    <w:rsid w:val="00626E80"/>
    <w:rsid w:val="00627996"/>
    <w:rsid w:val="00627C0B"/>
    <w:rsid w:val="0063048E"/>
    <w:rsid w:val="00631254"/>
    <w:rsid w:val="00631371"/>
    <w:rsid w:val="006361B8"/>
    <w:rsid w:val="00637851"/>
    <w:rsid w:val="00640084"/>
    <w:rsid w:val="00640C28"/>
    <w:rsid w:val="00642710"/>
    <w:rsid w:val="006474D5"/>
    <w:rsid w:val="00650E63"/>
    <w:rsid w:val="006552E8"/>
    <w:rsid w:val="006568C2"/>
    <w:rsid w:val="00656B01"/>
    <w:rsid w:val="00657A4D"/>
    <w:rsid w:val="006613BC"/>
    <w:rsid w:val="00661BFE"/>
    <w:rsid w:val="00662190"/>
    <w:rsid w:val="006757A9"/>
    <w:rsid w:val="006760CB"/>
    <w:rsid w:val="00685865"/>
    <w:rsid w:val="00685FBE"/>
    <w:rsid w:val="006867FD"/>
    <w:rsid w:val="00686BF3"/>
    <w:rsid w:val="006A0527"/>
    <w:rsid w:val="006A400D"/>
    <w:rsid w:val="006A44F1"/>
    <w:rsid w:val="006A5671"/>
    <w:rsid w:val="006B0CA0"/>
    <w:rsid w:val="006B1285"/>
    <w:rsid w:val="006B2808"/>
    <w:rsid w:val="006B3A2F"/>
    <w:rsid w:val="006B520D"/>
    <w:rsid w:val="006C1ED7"/>
    <w:rsid w:val="006C3F77"/>
    <w:rsid w:val="006D0503"/>
    <w:rsid w:val="006D1560"/>
    <w:rsid w:val="006E438F"/>
    <w:rsid w:val="006E4F7D"/>
    <w:rsid w:val="006E51E2"/>
    <w:rsid w:val="006E5F4D"/>
    <w:rsid w:val="006E6DFF"/>
    <w:rsid w:val="006F4E28"/>
    <w:rsid w:val="006F5D16"/>
    <w:rsid w:val="0070191D"/>
    <w:rsid w:val="0070277B"/>
    <w:rsid w:val="007030C7"/>
    <w:rsid w:val="00703DE2"/>
    <w:rsid w:val="0070408F"/>
    <w:rsid w:val="00704289"/>
    <w:rsid w:val="00706BE4"/>
    <w:rsid w:val="007102B3"/>
    <w:rsid w:val="007103FF"/>
    <w:rsid w:val="00710EA7"/>
    <w:rsid w:val="00712840"/>
    <w:rsid w:val="00712D1D"/>
    <w:rsid w:val="00713311"/>
    <w:rsid w:val="00715DED"/>
    <w:rsid w:val="007202F1"/>
    <w:rsid w:val="00720D25"/>
    <w:rsid w:val="00722B4C"/>
    <w:rsid w:val="00722E42"/>
    <w:rsid w:val="00723200"/>
    <w:rsid w:val="00725474"/>
    <w:rsid w:val="00730049"/>
    <w:rsid w:val="00731178"/>
    <w:rsid w:val="00731CAB"/>
    <w:rsid w:val="007350B4"/>
    <w:rsid w:val="00735F5A"/>
    <w:rsid w:val="00736E51"/>
    <w:rsid w:val="007402D2"/>
    <w:rsid w:val="00740E05"/>
    <w:rsid w:val="00743DDD"/>
    <w:rsid w:val="007442E3"/>
    <w:rsid w:val="00745E6D"/>
    <w:rsid w:val="00746C4A"/>
    <w:rsid w:val="00747409"/>
    <w:rsid w:val="00747548"/>
    <w:rsid w:val="00753E95"/>
    <w:rsid w:val="00760411"/>
    <w:rsid w:val="00766E95"/>
    <w:rsid w:val="00774219"/>
    <w:rsid w:val="00775723"/>
    <w:rsid w:val="00775BBE"/>
    <w:rsid w:val="00777624"/>
    <w:rsid w:val="00780E18"/>
    <w:rsid w:val="00784906"/>
    <w:rsid w:val="00785B2D"/>
    <w:rsid w:val="00786207"/>
    <w:rsid w:val="007868DF"/>
    <w:rsid w:val="00787D9C"/>
    <w:rsid w:val="00791450"/>
    <w:rsid w:val="00792251"/>
    <w:rsid w:val="007929FC"/>
    <w:rsid w:val="00794DB6"/>
    <w:rsid w:val="007A4967"/>
    <w:rsid w:val="007A7979"/>
    <w:rsid w:val="007B0B01"/>
    <w:rsid w:val="007B0ECA"/>
    <w:rsid w:val="007B174A"/>
    <w:rsid w:val="007B1B95"/>
    <w:rsid w:val="007B404C"/>
    <w:rsid w:val="007C52B3"/>
    <w:rsid w:val="007C6B20"/>
    <w:rsid w:val="007C7671"/>
    <w:rsid w:val="007D0554"/>
    <w:rsid w:val="007D0816"/>
    <w:rsid w:val="007D191E"/>
    <w:rsid w:val="007D1961"/>
    <w:rsid w:val="007D2DBB"/>
    <w:rsid w:val="007D3E7B"/>
    <w:rsid w:val="007D52F8"/>
    <w:rsid w:val="007D57F7"/>
    <w:rsid w:val="007D5F87"/>
    <w:rsid w:val="007D7E86"/>
    <w:rsid w:val="007E08A2"/>
    <w:rsid w:val="007E2861"/>
    <w:rsid w:val="007E2D73"/>
    <w:rsid w:val="007E32CD"/>
    <w:rsid w:val="007E6720"/>
    <w:rsid w:val="007E67BF"/>
    <w:rsid w:val="007F2F0F"/>
    <w:rsid w:val="007F550C"/>
    <w:rsid w:val="007F6190"/>
    <w:rsid w:val="007F6303"/>
    <w:rsid w:val="007F7874"/>
    <w:rsid w:val="00800032"/>
    <w:rsid w:val="00800383"/>
    <w:rsid w:val="00800465"/>
    <w:rsid w:val="00801D69"/>
    <w:rsid w:val="00802A94"/>
    <w:rsid w:val="00803999"/>
    <w:rsid w:val="00810376"/>
    <w:rsid w:val="00813180"/>
    <w:rsid w:val="008156AC"/>
    <w:rsid w:val="008158AC"/>
    <w:rsid w:val="008169EF"/>
    <w:rsid w:val="0082090C"/>
    <w:rsid w:val="00821DE1"/>
    <w:rsid w:val="00822A17"/>
    <w:rsid w:val="00822B6C"/>
    <w:rsid w:val="008275EE"/>
    <w:rsid w:val="00832FD7"/>
    <w:rsid w:val="0083420B"/>
    <w:rsid w:val="008344D1"/>
    <w:rsid w:val="00834E6A"/>
    <w:rsid w:val="00836D05"/>
    <w:rsid w:val="00842441"/>
    <w:rsid w:val="00844BEE"/>
    <w:rsid w:val="00850188"/>
    <w:rsid w:val="00850EFB"/>
    <w:rsid w:val="00851AE0"/>
    <w:rsid w:val="00853BDB"/>
    <w:rsid w:val="00853EB5"/>
    <w:rsid w:val="00854C0D"/>
    <w:rsid w:val="00854FDF"/>
    <w:rsid w:val="00856FD6"/>
    <w:rsid w:val="00860109"/>
    <w:rsid w:val="00862CF5"/>
    <w:rsid w:val="008634E5"/>
    <w:rsid w:val="00873BEA"/>
    <w:rsid w:val="008759D0"/>
    <w:rsid w:val="008809C8"/>
    <w:rsid w:val="00881FF0"/>
    <w:rsid w:val="0088590B"/>
    <w:rsid w:val="008929D0"/>
    <w:rsid w:val="00893479"/>
    <w:rsid w:val="00893E97"/>
    <w:rsid w:val="008944A3"/>
    <w:rsid w:val="00896697"/>
    <w:rsid w:val="008A4E5F"/>
    <w:rsid w:val="008A5AE5"/>
    <w:rsid w:val="008A602F"/>
    <w:rsid w:val="008B14C4"/>
    <w:rsid w:val="008B2491"/>
    <w:rsid w:val="008B4637"/>
    <w:rsid w:val="008B5AA2"/>
    <w:rsid w:val="008C002C"/>
    <w:rsid w:val="008C02FE"/>
    <w:rsid w:val="008C3631"/>
    <w:rsid w:val="008C3CEA"/>
    <w:rsid w:val="008C67CA"/>
    <w:rsid w:val="008D00E8"/>
    <w:rsid w:val="008D0E3B"/>
    <w:rsid w:val="008D128E"/>
    <w:rsid w:val="008D1D16"/>
    <w:rsid w:val="008D25B6"/>
    <w:rsid w:val="008E016D"/>
    <w:rsid w:val="008E09CA"/>
    <w:rsid w:val="008E4D07"/>
    <w:rsid w:val="008E7F86"/>
    <w:rsid w:val="008F36B9"/>
    <w:rsid w:val="008F5EA5"/>
    <w:rsid w:val="008F6EB6"/>
    <w:rsid w:val="00901510"/>
    <w:rsid w:val="00901A26"/>
    <w:rsid w:val="00903128"/>
    <w:rsid w:val="00903A21"/>
    <w:rsid w:val="00906E18"/>
    <w:rsid w:val="009103AC"/>
    <w:rsid w:val="00915C8B"/>
    <w:rsid w:val="0091656F"/>
    <w:rsid w:val="00920455"/>
    <w:rsid w:val="00922EA2"/>
    <w:rsid w:val="00923713"/>
    <w:rsid w:val="00935459"/>
    <w:rsid w:val="009413B8"/>
    <w:rsid w:val="009430AC"/>
    <w:rsid w:val="0094470E"/>
    <w:rsid w:val="009451CB"/>
    <w:rsid w:val="009471D1"/>
    <w:rsid w:val="00951A7D"/>
    <w:rsid w:val="0095227F"/>
    <w:rsid w:val="009531E4"/>
    <w:rsid w:val="00955AF7"/>
    <w:rsid w:val="00956137"/>
    <w:rsid w:val="0096018A"/>
    <w:rsid w:val="00961209"/>
    <w:rsid w:val="00961CA2"/>
    <w:rsid w:val="00962024"/>
    <w:rsid w:val="0096237A"/>
    <w:rsid w:val="009671EF"/>
    <w:rsid w:val="00967838"/>
    <w:rsid w:val="00972512"/>
    <w:rsid w:val="0097268A"/>
    <w:rsid w:val="0097373B"/>
    <w:rsid w:val="00976AF8"/>
    <w:rsid w:val="00977E50"/>
    <w:rsid w:val="009808DB"/>
    <w:rsid w:val="00980BB2"/>
    <w:rsid w:val="00981803"/>
    <w:rsid w:val="00983976"/>
    <w:rsid w:val="00986F88"/>
    <w:rsid w:val="00987A3A"/>
    <w:rsid w:val="00992FA8"/>
    <w:rsid w:val="00995FE6"/>
    <w:rsid w:val="009A05A7"/>
    <w:rsid w:val="009A188F"/>
    <w:rsid w:val="009A70D8"/>
    <w:rsid w:val="009B18E1"/>
    <w:rsid w:val="009B30D9"/>
    <w:rsid w:val="009B66AA"/>
    <w:rsid w:val="009C2AEA"/>
    <w:rsid w:val="009C6DD3"/>
    <w:rsid w:val="009C7626"/>
    <w:rsid w:val="009D20F2"/>
    <w:rsid w:val="009D4EDA"/>
    <w:rsid w:val="009D7365"/>
    <w:rsid w:val="009E2403"/>
    <w:rsid w:val="009E3615"/>
    <w:rsid w:val="009E3ABB"/>
    <w:rsid w:val="009F1526"/>
    <w:rsid w:val="009F24E4"/>
    <w:rsid w:val="009F55D4"/>
    <w:rsid w:val="009F7B8D"/>
    <w:rsid w:val="00A046E3"/>
    <w:rsid w:val="00A15D25"/>
    <w:rsid w:val="00A15FD8"/>
    <w:rsid w:val="00A220EF"/>
    <w:rsid w:val="00A247CD"/>
    <w:rsid w:val="00A265DF"/>
    <w:rsid w:val="00A3220B"/>
    <w:rsid w:val="00A33486"/>
    <w:rsid w:val="00A33736"/>
    <w:rsid w:val="00A35354"/>
    <w:rsid w:val="00A364BC"/>
    <w:rsid w:val="00A40D24"/>
    <w:rsid w:val="00A41DC2"/>
    <w:rsid w:val="00A42783"/>
    <w:rsid w:val="00A427FE"/>
    <w:rsid w:val="00A42967"/>
    <w:rsid w:val="00A434EF"/>
    <w:rsid w:val="00A44FB5"/>
    <w:rsid w:val="00A52F00"/>
    <w:rsid w:val="00A55140"/>
    <w:rsid w:val="00A55530"/>
    <w:rsid w:val="00A56A87"/>
    <w:rsid w:val="00A57F33"/>
    <w:rsid w:val="00A629AC"/>
    <w:rsid w:val="00A66647"/>
    <w:rsid w:val="00A66E81"/>
    <w:rsid w:val="00A673EB"/>
    <w:rsid w:val="00A67B86"/>
    <w:rsid w:val="00A72496"/>
    <w:rsid w:val="00A72603"/>
    <w:rsid w:val="00A73A2F"/>
    <w:rsid w:val="00A76C79"/>
    <w:rsid w:val="00A810CD"/>
    <w:rsid w:val="00A825E5"/>
    <w:rsid w:val="00A82797"/>
    <w:rsid w:val="00A82F52"/>
    <w:rsid w:val="00A83001"/>
    <w:rsid w:val="00A91296"/>
    <w:rsid w:val="00A920E5"/>
    <w:rsid w:val="00A93FC1"/>
    <w:rsid w:val="00AA0188"/>
    <w:rsid w:val="00AA28B4"/>
    <w:rsid w:val="00AA6218"/>
    <w:rsid w:val="00AB2C1F"/>
    <w:rsid w:val="00AB3147"/>
    <w:rsid w:val="00AB4A86"/>
    <w:rsid w:val="00AC2B2D"/>
    <w:rsid w:val="00AC4DF8"/>
    <w:rsid w:val="00AC4EFE"/>
    <w:rsid w:val="00AC63D0"/>
    <w:rsid w:val="00AD12F4"/>
    <w:rsid w:val="00AD168B"/>
    <w:rsid w:val="00AE0609"/>
    <w:rsid w:val="00AE0E61"/>
    <w:rsid w:val="00AE10CB"/>
    <w:rsid w:val="00AE23BF"/>
    <w:rsid w:val="00AE52B2"/>
    <w:rsid w:val="00AE7619"/>
    <w:rsid w:val="00AF361F"/>
    <w:rsid w:val="00AF543F"/>
    <w:rsid w:val="00AF6BAB"/>
    <w:rsid w:val="00B0398F"/>
    <w:rsid w:val="00B05B5F"/>
    <w:rsid w:val="00B06115"/>
    <w:rsid w:val="00B0751C"/>
    <w:rsid w:val="00B12DE7"/>
    <w:rsid w:val="00B12E5F"/>
    <w:rsid w:val="00B142A8"/>
    <w:rsid w:val="00B14DFD"/>
    <w:rsid w:val="00B177C9"/>
    <w:rsid w:val="00B20C44"/>
    <w:rsid w:val="00B22B01"/>
    <w:rsid w:val="00B235C2"/>
    <w:rsid w:val="00B26413"/>
    <w:rsid w:val="00B268B2"/>
    <w:rsid w:val="00B3042A"/>
    <w:rsid w:val="00B319D0"/>
    <w:rsid w:val="00B35542"/>
    <w:rsid w:val="00B414A6"/>
    <w:rsid w:val="00B41C9C"/>
    <w:rsid w:val="00B42965"/>
    <w:rsid w:val="00B45F8C"/>
    <w:rsid w:val="00B4677F"/>
    <w:rsid w:val="00B47D6F"/>
    <w:rsid w:val="00B53805"/>
    <w:rsid w:val="00B572B0"/>
    <w:rsid w:val="00B647FD"/>
    <w:rsid w:val="00B66083"/>
    <w:rsid w:val="00B7008F"/>
    <w:rsid w:val="00B70663"/>
    <w:rsid w:val="00B76175"/>
    <w:rsid w:val="00B77480"/>
    <w:rsid w:val="00B804DA"/>
    <w:rsid w:val="00B85A4C"/>
    <w:rsid w:val="00B907A6"/>
    <w:rsid w:val="00B925C6"/>
    <w:rsid w:val="00B936F6"/>
    <w:rsid w:val="00B94373"/>
    <w:rsid w:val="00B950C0"/>
    <w:rsid w:val="00B96862"/>
    <w:rsid w:val="00B969D5"/>
    <w:rsid w:val="00BA0C4A"/>
    <w:rsid w:val="00BA11F5"/>
    <w:rsid w:val="00BA1275"/>
    <w:rsid w:val="00BA2CFE"/>
    <w:rsid w:val="00BA7E86"/>
    <w:rsid w:val="00BB186F"/>
    <w:rsid w:val="00BB454B"/>
    <w:rsid w:val="00BB57CE"/>
    <w:rsid w:val="00BB59CE"/>
    <w:rsid w:val="00BB6C62"/>
    <w:rsid w:val="00BB6FC8"/>
    <w:rsid w:val="00BC0846"/>
    <w:rsid w:val="00BC0F96"/>
    <w:rsid w:val="00BC1C66"/>
    <w:rsid w:val="00BC221B"/>
    <w:rsid w:val="00BC451A"/>
    <w:rsid w:val="00BC71EB"/>
    <w:rsid w:val="00BD06AD"/>
    <w:rsid w:val="00BD07E8"/>
    <w:rsid w:val="00BD14DB"/>
    <w:rsid w:val="00BD2466"/>
    <w:rsid w:val="00BD3813"/>
    <w:rsid w:val="00BE3D82"/>
    <w:rsid w:val="00BE509D"/>
    <w:rsid w:val="00BF0E87"/>
    <w:rsid w:val="00BF295D"/>
    <w:rsid w:val="00BF4F6F"/>
    <w:rsid w:val="00BF7EAB"/>
    <w:rsid w:val="00C00D41"/>
    <w:rsid w:val="00C039F5"/>
    <w:rsid w:val="00C13200"/>
    <w:rsid w:val="00C13686"/>
    <w:rsid w:val="00C1446B"/>
    <w:rsid w:val="00C15AD7"/>
    <w:rsid w:val="00C21C37"/>
    <w:rsid w:val="00C32017"/>
    <w:rsid w:val="00C320D4"/>
    <w:rsid w:val="00C3257C"/>
    <w:rsid w:val="00C35234"/>
    <w:rsid w:val="00C3543E"/>
    <w:rsid w:val="00C35547"/>
    <w:rsid w:val="00C40447"/>
    <w:rsid w:val="00C40751"/>
    <w:rsid w:val="00C40CB3"/>
    <w:rsid w:val="00C44C32"/>
    <w:rsid w:val="00C47BCA"/>
    <w:rsid w:val="00C53B7B"/>
    <w:rsid w:val="00C562F5"/>
    <w:rsid w:val="00C5647C"/>
    <w:rsid w:val="00C57C3B"/>
    <w:rsid w:val="00C64858"/>
    <w:rsid w:val="00C672BC"/>
    <w:rsid w:val="00C70146"/>
    <w:rsid w:val="00C73481"/>
    <w:rsid w:val="00C74DF5"/>
    <w:rsid w:val="00C813A6"/>
    <w:rsid w:val="00C822A4"/>
    <w:rsid w:val="00C83B9B"/>
    <w:rsid w:val="00C83C74"/>
    <w:rsid w:val="00C86384"/>
    <w:rsid w:val="00C87509"/>
    <w:rsid w:val="00CA0D07"/>
    <w:rsid w:val="00CA1878"/>
    <w:rsid w:val="00CA215F"/>
    <w:rsid w:val="00CA239D"/>
    <w:rsid w:val="00CA3485"/>
    <w:rsid w:val="00CA497D"/>
    <w:rsid w:val="00CB12E9"/>
    <w:rsid w:val="00CB2871"/>
    <w:rsid w:val="00CB2E92"/>
    <w:rsid w:val="00CB5002"/>
    <w:rsid w:val="00CB6711"/>
    <w:rsid w:val="00CB675F"/>
    <w:rsid w:val="00CC054E"/>
    <w:rsid w:val="00CC0775"/>
    <w:rsid w:val="00CC34D4"/>
    <w:rsid w:val="00CC3776"/>
    <w:rsid w:val="00CD3332"/>
    <w:rsid w:val="00CD4FA5"/>
    <w:rsid w:val="00CD5822"/>
    <w:rsid w:val="00CE05AD"/>
    <w:rsid w:val="00CE2AEB"/>
    <w:rsid w:val="00CE3A3D"/>
    <w:rsid w:val="00CE3E37"/>
    <w:rsid w:val="00CE3FFF"/>
    <w:rsid w:val="00CE532B"/>
    <w:rsid w:val="00CE7678"/>
    <w:rsid w:val="00CE7F16"/>
    <w:rsid w:val="00CF081A"/>
    <w:rsid w:val="00CF3A4F"/>
    <w:rsid w:val="00CF684B"/>
    <w:rsid w:val="00D008C3"/>
    <w:rsid w:val="00D071F3"/>
    <w:rsid w:val="00D07AC3"/>
    <w:rsid w:val="00D1119E"/>
    <w:rsid w:val="00D13DE2"/>
    <w:rsid w:val="00D13F7F"/>
    <w:rsid w:val="00D17CB5"/>
    <w:rsid w:val="00D21F50"/>
    <w:rsid w:val="00D25D42"/>
    <w:rsid w:val="00D26799"/>
    <w:rsid w:val="00D300A2"/>
    <w:rsid w:val="00D335F0"/>
    <w:rsid w:val="00D34049"/>
    <w:rsid w:val="00D36795"/>
    <w:rsid w:val="00D37860"/>
    <w:rsid w:val="00D420DC"/>
    <w:rsid w:val="00D426F8"/>
    <w:rsid w:val="00D4382C"/>
    <w:rsid w:val="00D447B2"/>
    <w:rsid w:val="00D44977"/>
    <w:rsid w:val="00D44DEA"/>
    <w:rsid w:val="00D456F1"/>
    <w:rsid w:val="00D4591E"/>
    <w:rsid w:val="00D5606C"/>
    <w:rsid w:val="00D569FC"/>
    <w:rsid w:val="00D62B18"/>
    <w:rsid w:val="00D62BC3"/>
    <w:rsid w:val="00D631C4"/>
    <w:rsid w:val="00D65393"/>
    <w:rsid w:val="00D656CC"/>
    <w:rsid w:val="00D67892"/>
    <w:rsid w:val="00D70C84"/>
    <w:rsid w:val="00D71B84"/>
    <w:rsid w:val="00D72E28"/>
    <w:rsid w:val="00D74443"/>
    <w:rsid w:val="00D763EF"/>
    <w:rsid w:val="00D808DA"/>
    <w:rsid w:val="00D80A79"/>
    <w:rsid w:val="00D80B64"/>
    <w:rsid w:val="00D852BA"/>
    <w:rsid w:val="00D92A32"/>
    <w:rsid w:val="00D932DB"/>
    <w:rsid w:val="00DA141C"/>
    <w:rsid w:val="00DA5511"/>
    <w:rsid w:val="00DA6BA2"/>
    <w:rsid w:val="00DA6E85"/>
    <w:rsid w:val="00DA7965"/>
    <w:rsid w:val="00DB317D"/>
    <w:rsid w:val="00DB32A9"/>
    <w:rsid w:val="00DB46BA"/>
    <w:rsid w:val="00DB59B1"/>
    <w:rsid w:val="00DB626B"/>
    <w:rsid w:val="00DB6EF1"/>
    <w:rsid w:val="00DB7E90"/>
    <w:rsid w:val="00DC3EE1"/>
    <w:rsid w:val="00DC3F5A"/>
    <w:rsid w:val="00DC5399"/>
    <w:rsid w:val="00DC557A"/>
    <w:rsid w:val="00DC6773"/>
    <w:rsid w:val="00DC73ED"/>
    <w:rsid w:val="00DD029B"/>
    <w:rsid w:val="00DD17DD"/>
    <w:rsid w:val="00DD464C"/>
    <w:rsid w:val="00DE08BE"/>
    <w:rsid w:val="00DE43EB"/>
    <w:rsid w:val="00DE4563"/>
    <w:rsid w:val="00DE4DCD"/>
    <w:rsid w:val="00DE6A9B"/>
    <w:rsid w:val="00DE7AA1"/>
    <w:rsid w:val="00DE7DBA"/>
    <w:rsid w:val="00DF0101"/>
    <w:rsid w:val="00E00882"/>
    <w:rsid w:val="00E02397"/>
    <w:rsid w:val="00E0591C"/>
    <w:rsid w:val="00E06A12"/>
    <w:rsid w:val="00E07FA9"/>
    <w:rsid w:val="00E108DB"/>
    <w:rsid w:val="00E1250A"/>
    <w:rsid w:val="00E1267D"/>
    <w:rsid w:val="00E13361"/>
    <w:rsid w:val="00E157F5"/>
    <w:rsid w:val="00E1765C"/>
    <w:rsid w:val="00E2389C"/>
    <w:rsid w:val="00E322F5"/>
    <w:rsid w:val="00E32833"/>
    <w:rsid w:val="00E32F27"/>
    <w:rsid w:val="00E33BDF"/>
    <w:rsid w:val="00E34D58"/>
    <w:rsid w:val="00E36D58"/>
    <w:rsid w:val="00E454F8"/>
    <w:rsid w:val="00E5533D"/>
    <w:rsid w:val="00E600DC"/>
    <w:rsid w:val="00E61D36"/>
    <w:rsid w:val="00E635EC"/>
    <w:rsid w:val="00E64F1D"/>
    <w:rsid w:val="00E67FF6"/>
    <w:rsid w:val="00E72232"/>
    <w:rsid w:val="00E773B9"/>
    <w:rsid w:val="00E83DF0"/>
    <w:rsid w:val="00E90EF9"/>
    <w:rsid w:val="00E9115C"/>
    <w:rsid w:val="00E912AF"/>
    <w:rsid w:val="00E93F84"/>
    <w:rsid w:val="00E943AE"/>
    <w:rsid w:val="00E961FB"/>
    <w:rsid w:val="00E978E9"/>
    <w:rsid w:val="00EA1048"/>
    <w:rsid w:val="00EA5F4F"/>
    <w:rsid w:val="00EB1C10"/>
    <w:rsid w:val="00EB51D0"/>
    <w:rsid w:val="00EB5C57"/>
    <w:rsid w:val="00EB5F44"/>
    <w:rsid w:val="00EB6E3B"/>
    <w:rsid w:val="00EC51D6"/>
    <w:rsid w:val="00EC58C8"/>
    <w:rsid w:val="00EC638E"/>
    <w:rsid w:val="00ED0231"/>
    <w:rsid w:val="00ED38BE"/>
    <w:rsid w:val="00ED6C78"/>
    <w:rsid w:val="00ED7333"/>
    <w:rsid w:val="00EE04A8"/>
    <w:rsid w:val="00EE3472"/>
    <w:rsid w:val="00EE7D92"/>
    <w:rsid w:val="00EF1910"/>
    <w:rsid w:val="00EF1BAE"/>
    <w:rsid w:val="00EF30D3"/>
    <w:rsid w:val="00EF3F73"/>
    <w:rsid w:val="00EF7964"/>
    <w:rsid w:val="00F00884"/>
    <w:rsid w:val="00F021D4"/>
    <w:rsid w:val="00F03C63"/>
    <w:rsid w:val="00F06A0F"/>
    <w:rsid w:val="00F10923"/>
    <w:rsid w:val="00F15258"/>
    <w:rsid w:val="00F17295"/>
    <w:rsid w:val="00F21CB2"/>
    <w:rsid w:val="00F228A0"/>
    <w:rsid w:val="00F239B5"/>
    <w:rsid w:val="00F24D4D"/>
    <w:rsid w:val="00F2653B"/>
    <w:rsid w:val="00F30B06"/>
    <w:rsid w:val="00F30D1C"/>
    <w:rsid w:val="00F35A73"/>
    <w:rsid w:val="00F36D4C"/>
    <w:rsid w:val="00F3748B"/>
    <w:rsid w:val="00F43D4C"/>
    <w:rsid w:val="00F44835"/>
    <w:rsid w:val="00F45001"/>
    <w:rsid w:val="00F47B4B"/>
    <w:rsid w:val="00F53284"/>
    <w:rsid w:val="00F55412"/>
    <w:rsid w:val="00F62A16"/>
    <w:rsid w:val="00F72014"/>
    <w:rsid w:val="00F7392E"/>
    <w:rsid w:val="00F74E13"/>
    <w:rsid w:val="00F76DE0"/>
    <w:rsid w:val="00F7776E"/>
    <w:rsid w:val="00F81405"/>
    <w:rsid w:val="00F82B9F"/>
    <w:rsid w:val="00F83A54"/>
    <w:rsid w:val="00F83DEF"/>
    <w:rsid w:val="00F8508D"/>
    <w:rsid w:val="00F85165"/>
    <w:rsid w:val="00F86738"/>
    <w:rsid w:val="00F905A2"/>
    <w:rsid w:val="00F910C0"/>
    <w:rsid w:val="00F927A7"/>
    <w:rsid w:val="00F92905"/>
    <w:rsid w:val="00FA1690"/>
    <w:rsid w:val="00FA17AB"/>
    <w:rsid w:val="00FA1EEF"/>
    <w:rsid w:val="00FA2372"/>
    <w:rsid w:val="00FA4351"/>
    <w:rsid w:val="00FA45DE"/>
    <w:rsid w:val="00FA4A39"/>
    <w:rsid w:val="00FA5793"/>
    <w:rsid w:val="00FA7AE1"/>
    <w:rsid w:val="00FC3DE0"/>
    <w:rsid w:val="00FC42B9"/>
    <w:rsid w:val="00FC504D"/>
    <w:rsid w:val="00FD3177"/>
    <w:rsid w:val="00FD5727"/>
    <w:rsid w:val="00FD5819"/>
    <w:rsid w:val="00FD6954"/>
    <w:rsid w:val="00FE38AB"/>
    <w:rsid w:val="00FE415A"/>
    <w:rsid w:val="00FE5A97"/>
    <w:rsid w:val="00FE78D3"/>
    <w:rsid w:val="00FF299A"/>
    <w:rsid w:val="00FF525E"/>
    <w:rsid w:val="00FF7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47F62"/>
  <w15:docId w15:val="{1DCFF0E7-F9E6-48AC-9650-878A9E8C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524"/>
    <w:rPr>
      <w:rFonts w:ascii="CG Omega" w:hAnsi="CG Omega"/>
      <w:sz w:val="22"/>
      <w:szCs w:val="24"/>
      <w:lang w:eastAsia="en-US"/>
    </w:rPr>
  </w:style>
  <w:style w:type="paragraph" w:styleId="Heading2">
    <w:name w:val="heading 2"/>
    <w:basedOn w:val="Normal"/>
    <w:next w:val="Normal"/>
    <w:link w:val="Heading2Char"/>
    <w:uiPriority w:val="9"/>
    <w:unhideWhenUsed/>
    <w:qFormat/>
    <w:rsid w:val="00DB32A9"/>
    <w:pPr>
      <w:keepNext/>
      <w:keepLines/>
      <w:spacing w:before="200"/>
      <w:outlineLvl w:val="1"/>
    </w:pPr>
    <w:rPr>
      <w:rFonts w:ascii="Times New Roman" w:hAnsi="Times New Roman"/>
      <w:b/>
      <w:bCs/>
      <w:color w:val="4F81BD"/>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7524"/>
    <w:pPr>
      <w:numPr>
        <w:ilvl w:val="12"/>
      </w:numPr>
      <w:spacing w:before="240"/>
    </w:pPr>
    <w:rPr>
      <w:rFonts w:ascii="Times New Roman" w:hAnsi="Times New Roman"/>
      <w:sz w:val="24"/>
      <w:szCs w:val="20"/>
      <w:lang w:eastAsia="en-AU"/>
    </w:rPr>
  </w:style>
  <w:style w:type="paragraph" w:customStyle="1" w:styleId="StyleLeft349cmRight-011cm">
    <w:name w:val="Style Left:  3.49 cm Right:  -0.11 cm"/>
    <w:basedOn w:val="Normal"/>
    <w:rsid w:val="003B7524"/>
    <w:pPr>
      <w:ind w:left="1979" w:right="1701"/>
    </w:pPr>
    <w:rPr>
      <w:rFonts w:ascii="Times New Roman" w:hAnsi="Times New Roman"/>
      <w:sz w:val="24"/>
      <w:szCs w:val="20"/>
      <w:lang w:eastAsia="en-AU"/>
    </w:rPr>
  </w:style>
  <w:style w:type="paragraph" w:styleId="Footer">
    <w:name w:val="footer"/>
    <w:basedOn w:val="Normal"/>
    <w:rsid w:val="003B7524"/>
    <w:pPr>
      <w:tabs>
        <w:tab w:val="center" w:pos="4153"/>
        <w:tab w:val="right" w:pos="8306"/>
      </w:tabs>
    </w:pPr>
  </w:style>
  <w:style w:type="character" w:styleId="PageNumber">
    <w:name w:val="page number"/>
    <w:basedOn w:val="DefaultParagraphFont"/>
    <w:rsid w:val="003B7524"/>
  </w:style>
  <w:style w:type="paragraph" w:customStyle="1" w:styleId="Default1">
    <w:name w:val="Default1"/>
    <w:basedOn w:val="Normal"/>
    <w:next w:val="Normal"/>
    <w:rsid w:val="003B7524"/>
    <w:pPr>
      <w:autoSpaceDE w:val="0"/>
      <w:autoSpaceDN w:val="0"/>
      <w:adjustRightInd w:val="0"/>
      <w:spacing w:after="240"/>
    </w:pPr>
    <w:rPr>
      <w:rFonts w:ascii="Times New Roman" w:hAnsi="Times New Roman"/>
      <w:sz w:val="24"/>
      <w:lang w:eastAsia="en-AU"/>
    </w:rPr>
  </w:style>
  <w:style w:type="paragraph" w:styleId="Header">
    <w:name w:val="header"/>
    <w:aliases w:val="h"/>
    <w:basedOn w:val="Normal"/>
    <w:link w:val="HeaderChar"/>
    <w:uiPriority w:val="99"/>
    <w:rsid w:val="003B7524"/>
    <w:pPr>
      <w:tabs>
        <w:tab w:val="center" w:pos="4153"/>
        <w:tab w:val="right" w:pos="8306"/>
      </w:tabs>
    </w:pPr>
  </w:style>
  <w:style w:type="paragraph" w:styleId="BalloonText">
    <w:name w:val="Balloon Text"/>
    <w:basedOn w:val="Normal"/>
    <w:semiHidden/>
    <w:rsid w:val="00146C29"/>
    <w:rPr>
      <w:rFonts w:ascii="Tahoma" w:hAnsi="Tahoma" w:cs="Tahoma"/>
      <w:sz w:val="16"/>
      <w:szCs w:val="16"/>
    </w:rPr>
  </w:style>
  <w:style w:type="character" w:styleId="CommentReference">
    <w:name w:val="annotation reference"/>
    <w:semiHidden/>
    <w:rsid w:val="0009363E"/>
    <w:rPr>
      <w:sz w:val="16"/>
      <w:szCs w:val="16"/>
    </w:rPr>
  </w:style>
  <w:style w:type="paragraph" w:styleId="CommentText">
    <w:name w:val="annotation text"/>
    <w:basedOn w:val="Normal"/>
    <w:link w:val="CommentTextChar"/>
    <w:semiHidden/>
    <w:rsid w:val="0009363E"/>
    <w:rPr>
      <w:sz w:val="20"/>
      <w:szCs w:val="20"/>
    </w:rPr>
  </w:style>
  <w:style w:type="paragraph" w:styleId="CommentSubject">
    <w:name w:val="annotation subject"/>
    <w:basedOn w:val="CommentText"/>
    <w:next w:val="CommentText"/>
    <w:semiHidden/>
    <w:rsid w:val="0009363E"/>
    <w:rPr>
      <w:b/>
      <w:bCs/>
    </w:rPr>
  </w:style>
  <w:style w:type="paragraph" w:customStyle="1" w:styleId="Default">
    <w:name w:val="Default"/>
    <w:rsid w:val="00F7392E"/>
    <w:pPr>
      <w:autoSpaceDE w:val="0"/>
      <w:autoSpaceDN w:val="0"/>
      <w:adjustRightInd w:val="0"/>
    </w:pPr>
    <w:rPr>
      <w:color w:val="000000"/>
      <w:sz w:val="24"/>
      <w:szCs w:val="24"/>
    </w:rPr>
  </w:style>
  <w:style w:type="character" w:styleId="Hyperlink">
    <w:name w:val="Hyperlink"/>
    <w:rsid w:val="004D1BEF"/>
    <w:rPr>
      <w:color w:val="0000FF"/>
      <w:u w:val="single"/>
    </w:rPr>
  </w:style>
  <w:style w:type="paragraph" w:styleId="ListParagraph">
    <w:name w:val="List Paragraph"/>
    <w:basedOn w:val="Normal"/>
    <w:uiPriority w:val="34"/>
    <w:qFormat/>
    <w:rsid w:val="00433B24"/>
    <w:pPr>
      <w:ind w:left="720"/>
    </w:pPr>
  </w:style>
  <w:style w:type="character" w:customStyle="1" w:styleId="CommentTextChar">
    <w:name w:val="Comment Text Char"/>
    <w:link w:val="CommentText"/>
    <w:semiHidden/>
    <w:rsid w:val="00190C40"/>
    <w:rPr>
      <w:rFonts w:ascii="CG Omega" w:hAnsi="CG Omega"/>
      <w:lang w:eastAsia="en-US"/>
    </w:rPr>
  </w:style>
  <w:style w:type="character" w:customStyle="1" w:styleId="Heading2Char">
    <w:name w:val="Heading 2 Char"/>
    <w:basedOn w:val="DefaultParagraphFont"/>
    <w:link w:val="Heading2"/>
    <w:uiPriority w:val="9"/>
    <w:rsid w:val="00DB32A9"/>
    <w:rPr>
      <w:b/>
      <w:bCs/>
      <w:color w:val="4F81BD"/>
      <w:sz w:val="26"/>
      <w:szCs w:val="26"/>
    </w:rPr>
  </w:style>
  <w:style w:type="table" w:styleId="TableGrid">
    <w:name w:val="Table Grid"/>
    <w:basedOn w:val="TableNormal"/>
    <w:rsid w:val="00DB32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25E3E"/>
    <w:rPr>
      <w:color w:val="800080" w:themeColor="followedHyperlink"/>
      <w:u w:val="single"/>
    </w:rPr>
  </w:style>
  <w:style w:type="character" w:customStyle="1" w:styleId="HeaderChar">
    <w:name w:val="Header Char"/>
    <w:aliases w:val="h Char"/>
    <w:link w:val="Header"/>
    <w:uiPriority w:val="99"/>
    <w:rsid w:val="00800032"/>
    <w:rPr>
      <w:rFonts w:ascii="CG Omega" w:hAnsi="CG Omega"/>
      <w:sz w:val="22"/>
      <w:szCs w:val="24"/>
      <w:lang w:eastAsia="en-US"/>
    </w:rPr>
  </w:style>
  <w:style w:type="paragraph" w:customStyle="1" w:styleId="TableText">
    <w:name w:val="TableText"/>
    <w:basedOn w:val="Normal"/>
    <w:qFormat/>
    <w:rsid w:val="00114B13"/>
    <w:pPr>
      <w:spacing w:before="120" w:after="120"/>
    </w:pPr>
    <w:rPr>
      <w:rFonts w:ascii="Arial" w:hAnsi="Arial" w:cs="Arial"/>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6803">
      <w:bodyDiv w:val="1"/>
      <w:marLeft w:val="0"/>
      <w:marRight w:val="0"/>
      <w:marTop w:val="0"/>
      <w:marBottom w:val="0"/>
      <w:divBdr>
        <w:top w:val="none" w:sz="0" w:space="0" w:color="auto"/>
        <w:left w:val="none" w:sz="0" w:space="0" w:color="auto"/>
        <w:bottom w:val="none" w:sz="0" w:space="0" w:color="auto"/>
        <w:right w:val="none" w:sz="0" w:space="0" w:color="auto"/>
      </w:divBdr>
    </w:div>
    <w:div w:id="1297375660">
      <w:bodyDiv w:val="1"/>
      <w:marLeft w:val="0"/>
      <w:marRight w:val="0"/>
      <w:marTop w:val="0"/>
      <w:marBottom w:val="0"/>
      <w:divBdr>
        <w:top w:val="none" w:sz="0" w:space="0" w:color="auto"/>
        <w:left w:val="none" w:sz="0" w:space="0" w:color="auto"/>
        <w:bottom w:val="none" w:sz="0" w:space="0" w:color="auto"/>
        <w:right w:val="none" w:sz="0" w:space="0" w:color="auto"/>
      </w:divBdr>
    </w:div>
    <w:div w:id="1364942763">
      <w:bodyDiv w:val="1"/>
      <w:marLeft w:val="0"/>
      <w:marRight w:val="0"/>
      <w:marTop w:val="0"/>
      <w:marBottom w:val="0"/>
      <w:divBdr>
        <w:top w:val="none" w:sz="0" w:space="0" w:color="auto"/>
        <w:left w:val="none" w:sz="0" w:space="0" w:color="auto"/>
        <w:bottom w:val="none" w:sz="0" w:space="0" w:color="auto"/>
        <w:right w:val="none" w:sz="0" w:space="0" w:color="auto"/>
      </w:divBdr>
    </w:div>
    <w:div w:id="1506900722">
      <w:bodyDiv w:val="1"/>
      <w:marLeft w:val="0"/>
      <w:marRight w:val="0"/>
      <w:marTop w:val="0"/>
      <w:marBottom w:val="0"/>
      <w:divBdr>
        <w:top w:val="none" w:sz="0" w:space="0" w:color="auto"/>
        <w:left w:val="none" w:sz="0" w:space="0" w:color="auto"/>
        <w:bottom w:val="none" w:sz="0" w:space="0" w:color="auto"/>
        <w:right w:val="none" w:sz="0" w:space="0" w:color="auto"/>
      </w:divBdr>
    </w:div>
    <w:div w:id="1538814880">
      <w:bodyDiv w:val="1"/>
      <w:marLeft w:val="0"/>
      <w:marRight w:val="0"/>
      <w:marTop w:val="0"/>
      <w:marBottom w:val="0"/>
      <w:divBdr>
        <w:top w:val="none" w:sz="0" w:space="0" w:color="auto"/>
        <w:left w:val="none" w:sz="0" w:space="0" w:color="auto"/>
        <w:bottom w:val="none" w:sz="0" w:space="0" w:color="auto"/>
        <w:right w:val="none" w:sz="0" w:space="0" w:color="auto"/>
      </w:divBdr>
    </w:div>
    <w:div w:id="1561791439">
      <w:bodyDiv w:val="1"/>
      <w:marLeft w:val="0"/>
      <w:marRight w:val="0"/>
      <w:marTop w:val="0"/>
      <w:marBottom w:val="0"/>
      <w:divBdr>
        <w:top w:val="none" w:sz="0" w:space="0" w:color="auto"/>
        <w:left w:val="none" w:sz="0" w:space="0" w:color="auto"/>
        <w:bottom w:val="none" w:sz="0" w:space="0" w:color="auto"/>
        <w:right w:val="none" w:sz="0" w:space="0" w:color="auto"/>
      </w:divBdr>
    </w:div>
    <w:div w:id="20447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B4ED6-C149-48F1-BF01-8F0C88284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2117</Words>
  <Characters>12032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pjohns</dc:creator>
  <cp:lastModifiedBy>Hugh Dixon</cp:lastModifiedBy>
  <cp:revision>5</cp:revision>
  <cp:lastPrinted>2018-01-10T03:33:00Z</cp:lastPrinted>
  <dcterms:created xsi:type="dcterms:W3CDTF">2018-01-10T03:21:00Z</dcterms:created>
  <dcterms:modified xsi:type="dcterms:W3CDTF">2018-01-10T05:11:00Z</dcterms:modified>
</cp:coreProperties>
</file>