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A30" w:rsidRDefault="00210A30" w:rsidP="00210A30">
      <w:pPr>
        <w:pStyle w:val="BlockText-Plain"/>
      </w:pPr>
      <w:bookmarkStart w:id="0" w:name="_Toc459458316"/>
      <w:bookmarkStart w:id="1" w:name="_Toc459459619"/>
      <w:bookmarkStart w:id="2" w:name="_Toc459459691"/>
      <w:bookmarkStart w:id="3" w:name="_Toc459459754"/>
      <w:bookmarkStart w:id="4" w:name="citation"/>
      <w:r>
        <w:rPr>
          <w:noProof/>
        </w:rPr>
        <w:drawing>
          <wp:inline distT="0" distB="0" distL="0" distR="0" wp14:anchorId="33DAD291" wp14:editId="6CCCD9DE">
            <wp:extent cx="1466850" cy="1076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D41" w:rsidRDefault="00B51D41" w:rsidP="00B51D41">
      <w:pPr>
        <w:pStyle w:val="ShortT"/>
      </w:pPr>
      <w:r>
        <w:t>Defence Determination 201</w:t>
      </w:r>
      <w:r w:rsidR="00694BA2">
        <w:t>8</w:t>
      </w:r>
      <w:r>
        <w:t>/</w:t>
      </w:r>
      <w:r w:rsidR="00634AE1">
        <w:t>1</w:t>
      </w:r>
      <w:r>
        <w:t xml:space="preserve">, </w:t>
      </w:r>
      <w:r w:rsidR="00F64CF4">
        <w:t xml:space="preserve">Hardship and location allowance – amendment </w:t>
      </w:r>
    </w:p>
    <w:p w:rsidR="00B51D41" w:rsidRPr="00D91C18" w:rsidRDefault="00B51D41" w:rsidP="00B51D41">
      <w:pPr>
        <w:pStyle w:val="SignCoverPageStart"/>
        <w:spacing w:before="240"/>
        <w:ind w:right="91"/>
        <w:rPr>
          <w:i/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 xml:space="preserve">PHILLIP JOHN HOGLIN, Acting Assistant Secretary, People Policy and Employment Conditions, make the following Determination under section 58B of the </w:t>
      </w:r>
      <w:r>
        <w:rPr>
          <w:i/>
          <w:szCs w:val="22"/>
        </w:rPr>
        <w:t>Defence Act 1903.</w:t>
      </w:r>
    </w:p>
    <w:p w:rsidR="00B51D41" w:rsidRPr="00B924FB" w:rsidRDefault="00B51D41" w:rsidP="00B51D41">
      <w:pPr>
        <w:keepNext/>
        <w:spacing w:before="300" w:line="240" w:lineRule="atLeast"/>
        <w:ind w:right="397"/>
        <w:jc w:val="both"/>
        <w:rPr>
          <w:rFonts w:ascii="Times New Roman" w:hAnsi="Times New Roman"/>
          <w:szCs w:val="22"/>
        </w:rPr>
      </w:pPr>
      <w:r w:rsidRPr="00B924FB">
        <w:rPr>
          <w:rFonts w:ascii="Times New Roman" w:hAnsi="Times New Roman"/>
          <w:szCs w:val="22"/>
        </w:rPr>
        <w:t>Dated</w:t>
      </w:r>
      <w:r w:rsidR="00131BC1">
        <w:rPr>
          <w:rFonts w:ascii="Times New Roman" w:hAnsi="Times New Roman"/>
          <w:szCs w:val="22"/>
        </w:rPr>
        <w:t xml:space="preserve"> 9 </w:t>
      </w:r>
      <w:r w:rsidR="00694BA2">
        <w:rPr>
          <w:rFonts w:ascii="Times New Roman" w:hAnsi="Times New Roman"/>
          <w:szCs w:val="22"/>
        </w:rPr>
        <w:t>January</w:t>
      </w:r>
      <w:r w:rsidRPr="00B924FB">
        <w:rPr>
          <w:rFonts w:ascii="Times New Roman" w:hAnsi="Times New Roman"/>
          <w:szCs w:val="22"/>
        </w:rPr>
        <w:t xml:space="preserve"> 201</w:t>
      </w:r>
      <w:r w:rsidR="00694BA2">
        <w:rPr>
          <w:rFonts w:ascii="Times New Roman" w:hAnsi="Times New Roman"/>
          <w:szCs w:val="22"/>
        </w:rPr>
        <w:t>8</w:t>
      </w:r>
    </w:p>
    <w:p w:rsidR="00B51D41" w:rsidRPr="00AB45C7" w:rsidRDefault="00131BC1" w:rsidP="00B51D41">
      <w:pPr>
        <w:pStyle w:val="SignCoverPageEnd"/>
        <w:spacing w:before="1440"/>
        <w:ind w:right="91"/>
        <w:rPr>
          <w:sz w:val="22"/>
        </w:rPr>
      </w:pPr>
      <w:r>
        <w:rPr>
          <w:sz w:val="22"/>
        </w:rPr>
        <w:t>P J HOGLIN</w:t>
      </w:r>
    </w:p>
    <w:p w:rsidR="00B51D41" w:rsidRPr="00AB45C7" w:rsidRDefault="00B51D41" w:rsidP="00B51D41">
      <w:pPr>
        <w:pStyle w:val="SignCoverPageEnd"/>
        <w:ind w:right="91"/>
        <w:rPr>
          <w:sz w:val="22"/>
        </w:rPr>
      </w:pPr>
      <w:r>
        <w:rPr>
          <w:sz w:val="22"/>
        </w:rPr>
        <w:t>Acting Assistant Secretary</w:t>
      </w:r>
      <w:r>
        <w:rPr>
          <w:sz w:val="22"/>
        </w:rPr>
        <w:br/>
        <w:t>People Policy and Employment Conditions</w:t>
      </w:r>
      <w:r>
        <w:rPr>
          <w:sz w:val="22"/>
        </w:rPr>
        <w:br/>
        <w:t>Defence People Group</w:t>
      </w:r>
    </w:p>
    <w:p w:rsidR="00B51D41" w:rsidRDefault="00B51D41" w:rsidP="00B51D41"/>
    <w:bookmarkEnd w:id="0"/>
    <w:bookmarkEnd w:id="1"/>
    <w:bookmarkEnd w:id="2"/>
    <w:bookmarkEnd w:id="3"/>
    <w:bookmarkEnd w:id="4"/>
    <w:p w:rsidR="00210A30" w:rsidRDefault="00210A30" w:rsidP="00210A30">
      <w:pPr>
        <w:pStyle w:val="BlockText-Plain"/>
      </w:pPr>
    </w:p>
    <w:p w:rsidR="008B2A3D" w:rsidRDefault="008B2A3D">
      <w:pPr>
        <w:keepLines w:val="0"/>
        <w:spacing w:after="200" w:line="276" w:lineRule="auto"/>
        <w:rPr>
          <w:sz w:val="20"/>
        </w:rPr>
      </w:pPr>
      <w:r>
        <w:br w:type="page"/>
      </w:r>
    </w:p>
    <w:p w:rsidR="00210A30" w:rsidRDefault="00210A30" w:rsidP="00210A30">
      <w:pPr>
        <w:pStyle w:val="BlockText-Plain"/>
      </w:pPr>
    </w:p>
    <w:p w:rsidR="00102EEE" w:rsidRPr="00102EEE" w:rsidRDefault="00102EEE" w:rsidP="00102EEE">
      <w:pPr>
        <w:outlineLvl w:val="0"/>
        <w:rPr>
          <w:rFonts w:ascii="Times New Roman" w:hAnsi="Times New Roman"/>
          <w:sz w:val="36"/>
        </w:rPr>
      </w:pPr>
      <w:r w:rsidRPr="00102EEE">
        <w:rPr>
          <w:rFonts w:ascii="Times New Roman" w:hAnsi="Times New Roman"/>
          <w:sz w:val="36"/>
        </w:rPr>
        <w:t>Contents</w:t>
      </w:r>
    </w:p>
    <w:bookmarkStart w:id="5" w:name="BKCheck15B_2"/>
    <w:bookmarkEnd w:id="5"/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E317F">
        <w:rPr>
          <w:noProof/>
          <w:sz w:val="20"/>
        </w:rPr>
        <w:tab/>
      </w:r>
      <w:r w:rsidR="008B2A3D">
        <w:rPr>
          <w:noProof/>
          <w:sz w:val="20"/>
        </w:rPr>
        <w:t>2</w:t>
      </w:r>
    </w:p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="008B2A3D">
        <w:rPr>
          <w:noProof/>
          <w:sz w:val="20"/>
        </w:rPr>
        <w:t>2</w:t>
      </w:r>
    </w:p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="008B2A3D">
        <w:rPr>
          <w:noProof/>
          <w:sz w:val="20"/>
        </w:rPr>
        <w:t>2</w:t>
      </w:r>
    </w:p>
    <w:p w:rsidR="00102EEE" w:rsidRDefault="00102EEE" w:rsidP="00102EE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="008B2A3D">
        <w:rPr>
          <w:noProof/>
          <w:sz w:val="20"/>
        </w:rPr>
        <w:t>2</w:t>
      </w:r>
    </w:p>
    <w:p w:rsidR="00102EEE" w:rsidRDefault="00102EEE" w:rsidP="00102E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</w:t>
      </w:r>
      <w:r w:rsidR="008B2A3D">
        <w:rPr>
          <w:noProof/>
        </w:rPr>
        <w:t>Hardship and location allowance</w:t>
      </w:r>
      <w:r w:rsidRPr="005E317F">
        <w:rPr>
          <w:b w:val="0"/>
          <w:noProof/>
          <w:sz w:val="20"/>
        </w:rPr>
        <w:tab/>
      </w:r>
      <w:r w:rsidR="008B2A3D">
        <w:rPr>
          <w:b w:val="0"/>
          <w:noProof/>
          <w:sz w:val="20"/>
        </w:rPr>
        <w:t>3</w:t>
      </w:r>
    </w:p>
    <w:p w:rsidR="00102EEE" w:rsidRDefault="008B2A3D" w:rsidP="00102E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Determination 2016/19, Conditions of service</w:t>
      </w:r>
      <w:r w:rsidR="00102EEE" w:rsidRPr="005E317F">
        <w:rPr>
          <w:i w:val="0"/>
          <w:noProof/>
        </w:rPr>
        <w:tab/>
      </w:r>
      <w:r>
        <w:rPr>
          <w:i w:val="0"/>
          <w:noProof/>
        </w:rPr>
        <w:t>3</w:t>
      </w:r>
    </w:p>
    <w:p w:rsidR="00102EEE" w:rsidRDefault="00102EEE" w:rsidP="00102EE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2—</w:t>
      </w:r>
      <w:r w:rsidR="008B2A3D">
        <w:rPr>
          <w:noProof/>
        </w:rPr>
        <w:t>Transitional provision</w:t>
      </w:r>
      <w:r w:rsidRPr="005E317F">
        <w:rPr>
          <w:b w:val="0"/>
          <w:noProof/>
          <w:sz w:val="20"/>
        </w:rPr>
        <w:tab/>
      </w:r>
      <w:r w:rsidR="008B2A3D">
        <w:rPr>
          <w:b w:val="0"/>
          <w:noProof/>
          <w:sz w:val="20"/>
        </w:rPr>
        <w:t>4</w:t>
      </w:r>
    </w:p>
    <w:p w:rsidR="00102EEE" w:rsidRDefault="008B2A3D" w:rsidP="00102EE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Defence Determination 2016/19, Conditions of service</w:t>
      </w:r>
      <w:r w:rsidR="00102EEE" w:rsidRPr="005E317F">
        <w:rPr>
          <w:i w:val="0"/>
          <w:noProof/>
        </w:rPr>
        <w:tab/>
      </w:r>
      <w:r>
        <w:rPr>
          <w:i w:val="0"/>
          <w:noProof/>
        </w:rPr>
        <w:t>4</w:t>
      </w:r>
    </w:p>
    <w:p w:rsidR="00210A30" w:rsidRPr="00DB5C86" w:rsidRDefault="00102EEE" w:rsidP="00102EEE">
      <w:pPr>
        <w:pStyle w:val="BlockText-Plain"/>
        <w:rPr>
          <w:rFonts w:ascii="Arial (W1)" w:hAnsi="Arial (W1)"/>
          <w:vanish/>
        </w:rPr>
      </w:pPr>
      <w:r w:rsidRPr="005E317F">
        <w:fldChar w:fldCharType="end"/>
      </w:r>
    </w:p>
    <w:p w:rsidR="00210A30" w:rsidRDefault="00210A30" w:rsidP="00210A30">
      <w:pPr>
        <w:pStyle w:val="BlockText-Plain"/>
        <w:sectPr w:rsidR="00210A30" w:rsidSect="003652AA">
          <w:footerReference w:type="first" r:id="rId9"/>
          <w:pgSz w:w="11906" w:h="16838" w:code="9"/>
          <w:pgMar w:top="1134" w:right="1134" w:bottom="992" w:left="1418" w:header="720" w:footer="720" w:gutter="0"/>
          <w:cols w:space="720"/>
        </w:sectPr>
      </w:pPr>
    </w:p>
    <w:p w:rsidR="00210A30" w:rsidRDefault="00210A30" w:rsidP="00210A30">
      <w:pPr>
        <w:pStyle w:val="BlockText-Plain"/>
      </w:pPr>
    </w:p>
    <w:p w:rsidR="00B51D41" w:rsidRPr="009C2562" w:rsidRDefault="00B51D41" w:rsidP="00B51D41">
      <w:pPr>
        <w:pStyle w:val="ActHead5"/>
      </w:pPr>
      <w:bookmarkStart w:id="6" w:name="_Toc478567687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6"/>
      <w:proofErr w:type="gramEnd"/>
    </w:p>
    <w:p w:rsidR="00B51D41" w:rsidRDefault="00B51D41" w:rsidP="00B51D41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="00F64CF4">
        <w:t>is the Defence Determination 201</w:t>
      </w:r>
      <w:r w:rsidR="00694BA2">
        <w:t>8</w:t>
      </w:r>
      <w:r w:rsidR="00F64CF4">
        <w:t>/</w:t>
      </w:r>
      <w:r w:rsidR="00634AE1">
        <w:t>1</w:t>
      </w:r>
      <w:r w:rsidR="00F64CF4">
        <w:t>, Hardship and location allowance – amendment</w:t>
      </w:r>
      <w:r w:rsidRPr="009C2562">
        <w:t>.</w:t>
      </w:r>
    </w:p>
    <w:p w:rsidR="00B51D41" w:rsidRDefault="00B51D41" w:rsidP="00B51D41">
      <w:pPr>
        <w:pStyle w:val="ActHead5"/>
      </w:pPr>
      <w:bookmarkStart w:id="7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7"/>
      <w:proofErr w:type="gramEnd"/>
    </w:p>
    <w:p w:rsidR="00B51D41" w:rsidRPr="00232984" w:rsidRDefault="00B51D41" w:rsidP="00B51D41">
      <w:pPr>
        <w:pStyle w:val="subsection"/>
      </w:pPr>
      <w:r>
        <w:tab/>
      </w:r>
      <w:r>
        <w:tab/>
        <w:t xml:space="preserve">This instrument commences </w:t>
      </w:r>
      <w:r w:rsidR="00E744C8">
        <w:t>on 11 January 2018</w:t>
      </w:r>
      <w:r>
        <w:t>.</w:t>
      </w:r>
    </w:p>
    <w:p w:rsidR="00B51D41" w:rsidRPr="009C2562" w:rsidRDefault="00B51D41" w:rsidP="00B51D41">
      <w:pPr>
        <w:pStyle w:val="ActHead5"/>
      </w:pPr>
      <w:bookmarkStart w:id="8" w:name="_Toc47856768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8"/>
      <w:proofErr w:type="gramEnd"/>
    </w:p>
    <w:p w:rsidR="00B51D41" w:rsidRPr="009C2562" w:rsidRDefault="00B51D41" w:rsidP="00B51D41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1D6EA5">
        <w:rPr>
          <w:szCs w:val="22"/>
        </w:rPr>
        <w:t xml:space="preserve">section 58B of the </w:t>
      </w:r>
      <w:r w:rsidR="001D6EA5">
        <w:rPr>
          <w:i/>
          <w:szCs w:val="22"/>
        </w:rPr>
        <w:t>Defence Act 1903</w:t>
      </w:r>
    </w:p>
    <w:p w:rsidR="00B51D41" w:rsidRPr="006065DA" w:rsidRDefault="00B51D41" w:rsidP="00B51D41">
      <w:pPr>
        <w:pStyle w:val="ActHead5"/>
      </w:pPr>
      <w:bookmarkStart w:id="9" w:name="_Toc478567690"/>
      <w:proofErr w:type="gramStart"/>
      <w:r w:rsidRPr="006065DA">
        <w:t>4  Schedules</w:t>
      </w:r>
      <w:bookmarkEnd w:id="9"/>
      <w:proofErr w:type="gramEnd"/>
    </w:p>
    <w:p w:rsidR="00B51D41" w:rsidRDefault="00B51D41" w:rsidP="00B51D41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210A30" w:rsidRDefault="00210A30" w:rsidP="00210A30"/>
    <w:p w:rsidR="00210A30" w:rsidRDefault="00210A30" w:rsidP="00210A30">
      <w:pPr>
        <w:sectPr w:rsidR="00210A30" w:rsidSect="00DE4C66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1134" w:bottom="992" w:left="1418" w:header="720" w:footer="720" w:gutter="0"/>
          <w:pgNumType w:start="2"/>
          <w:cols w:space="720"/>
        </w:sectPr>
      </w:pPr>
    </w:p>
    <w:p w:rsidR="00210A30" w:rsidRPr="00355EFE" w:rsidRDefault="00210A30" w:rsidP="00210A30">
      <w:pPr>
        <w:pStyle w:val="acthead6"/>
        <w:keepNext/>
        <w:shd w:val="clear" w:color="auto" w:fill="FFFFFF"/>
        <w:spacing w:before="0" w:beforeAutospacing="0" w:after="0" w:afterAutospacing="0" w:line="360" w:lineRule="atLeast"/>
        <w:rPr>
          <w:rStyle w:val="charamschtext"/>
          <w:rFonts w:ascii="Arial" w:hAnsi="Arial" w:cs="Arial"/>
          <w:b/>
          <w:bCs/>
          <w:sz w:val="32"/>
          <w:szCs w:val="32"/>
        </w:rPr>
      </w:pPr>
      <w:r w:rsidRPr="00355EFE">
        <w:rPr>
          <w:rStyle w:val="charamschno"/>
          <w:rFonts w:ascii="Arial" w:hAnsi="Arial" w:cs="Arial"/>
          <w:b/>
          <w:bCs/>
          <w:sz w:val="32"/>
          <w:szCs w:val="32"/>
        </w:rPr>
        <w:lastRenderedPageBreak/>
        <w:t>Schedule 1</w:t>
      </w:r>
      <w:r w:rsidRPr="00355EFE">
        <w:rPr>
          <w:rFonts w:ascii="Arial" w:hAnsi="Arial" w:cs="Arial"/>
          <w:b/>
          <w:bCs/>
          <w:sz w:val="32"/>
          <w:szCs w:val="32"/>
        </w:rPr>
        <w:t>—</w:t>
      </w:r>
      <w:r w:rsidR="00437858">
        <w:rPr>
          <w:rFonts w:ascii="Arial" w:hAnsi="Arial" w:cs="Arial"/>
          <w:b/>
          <w:bCs/>
          <w:sz w:val="32"/>
          <w:szCs w:val="32"/>
        </w:rPr>
        <w:t>Hardship and location allowance</w:t>
      </w:r>
    </w:p>
    <w:p w:rsidR="00210A30" w:rsidRDefault="00210A30" w:rsidP="00210A30">
      <w:pPr>
        <w:pStyle w:val="BlockTextArial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Defence Determination 2016/19, Conditions of service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210A30" w:rsidTr="00F01FA9">
        <w:tc>
          <w:tcPr>
            <w:tcW w:w="992" w:type="dxa"/>
          </w:tcPr>
          <w:p w:rsidR="00210A30" w:rsidRDefault="00437858" w:rsidP="00F01FA9">
            <w:pPr>
              <w:pStyle w:val="Heading5"/>
            </w:pPr>
            <w:r>
              <w:t>1</w:t>
            </w:r>
          </w:p>
        </w:tc>
        <w:tc>
          <w:tcPr>
            <w:tcW w:w="8367" w:type="dxa"/>
          </w:tcPr>
          <w:p w:rsidR="00210A30" w:rsidRDefault="00437858" w:rsidP="00437858">
            <w:pPr>
              <w:pStyle w:val="Heading5"/>
            </w:pPr>
            <w:r>
              <w:t>Annex 16.A</w:t>
            </w:r>
            <w:r w:rsidR="00210A30">
              <w:t xml:space="preserve"> (</w:t>
            </w:r>
            <w:r>
              <w:t>Hardship post conditions of service – member posted before 1 July 2017</w:t>
            </w:r>
            <w:r w:rsidR="00210A30">
              <w:t xml:space="preserve">) </w:t>
            </w:r>
          </w:p>
        </w:tc>
      </w:tr>
      <w:tr w:rsidR="00210A30" w:rsidTr="00F01FA9">
        <w:tc>
          <w:tcPr>
            <w:tcW w:w="992" w:type="dxa"/>
          </w:tcPr>
          <w:p w:rsidR="00210A30" w:rsidRDefault="00210A30" w:rsidP="00F01FA9">
            <w:pPr>
              <w:pStyle w:val="BlockText-Plain"/>
              <w:jc w:val="center"/>
            </w:pPr>
          </w:p>
        </w:tc>
        <w:tc>
          <w:tcPr>
            <w:tcW w:w="8367" w:type="dxa"/>
          </w:tcPr>
          <w:p w:rsidR="00210A30" w:rsidRPr="004B0C48" w:rsidRDefault="00437858" w:rsidP="00F01FA9">
            <w:pPr>
              <w:pStyle w:val="BlockText-Plain"/>
            </w:pPr>
            <w:r>
              <w:rPr>
                <w:iCs/>
              </w:rPr>
              <w:t>After table item 24, insert:</w:t>
            </w:r>
          </w:p>
        </w:tc>
      </w:tr>
    </w:tbl>
    <w:p w:rsidR="00437858" w:rsidRDefault="00437858"/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"/>
        <w:gridCol w:w="2208"/>
        <w:gridCol w:w="851"/>
        <w:gridCol w:w="1701"/>
        <w:gridCol w:w="1559"/>
        <w:gridCol w:w="850"/>
        <w:gridCol w:w="1418"/>
        <w:gridCol w:w="850"/>
        <w:gridCol w:w="993"/>
      </w:tblGrid>
      <w:tr w:rsidR="00437858" w:rsidRPr="005A3FCD" w:rsidTr="00437858">
        <w:tc>
          <w:tcPr>
            <w:tcW w:w="628" w:type="dxa"/>
            <w:shd w:val="clear" w:color="auto" w:fill="auto"/>
            <w:vAlign w:val="center"/>
          </w:tcPr>
          <w:p w:rsidR="00437858" w:rsidRPr="005A3FCD" w:rsidRDefault="00437858" w:rsidP="00437858">
            <w:pPr>
              <w:pStyle w:val="BlockTextArial"/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4A</w:t>
            </w:r>
            <w:r w:rsidRPr="005A3FC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437858" w:rsidRPr="005A3FCD" w:rsidRDefault="00437858" w:rsidP="00437858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 xml:space="preserve">Malaysia – </w:t>
            </w:r>
            <w:proofErr w:type="spellStart"/>
            <w:r>
              <w:rPr>
                <w:rFonts w:cs="Arial"/>
                <w:sz w:val="18"/>
                <w:szCs w:val="18"/>
              </w:rPr>
              <w:t>Lumut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Capital city (1)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Capital city (1)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37858" w:rsidRPr="005A3FCD" w:rsidRDefault="00437858" w:rsidP="000F3F15">
            <w:pPr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Regional centre only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D</w:t>
            </w:r>
          </w:p>
        </w:tc>
      </w:tr>
    </w:tbl>
    <w:p w:rsidR="00437858" w:rsidRDefault="00437858"/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8367"/>
      </w:tblGrid>
      <w:tr w:rsidR="00210A30" w:rsidTr="00F01FA9">
        <w:tc>
          <w:tcPr>
            <w:tcW w:w="992" w:type="dxa"/>
          </w:tcPr>
          <w:p w:rsidR="00210A30" w:rsidRDefault="00437858" w:rsidP="00F01FA9">
            <w:pPr>
              <w:pStyle w:val="Heading5"/>
            </w:pPr>
            <w:r>
              <w:t>2</w:t>
            </w:r>
          </w:p>
        </w:tc>
        <w:tc>
          <w:tcPr>
            <w:tcW w:w="8367" w:type="dxa"/>
          </w:tcPr>
          <w:p w:rsidR="00210A30" w:rsidRDefault="00437858" w:rsidP="00437858">
            <w:pPr>
              <w:pStyle w:val="Heading5"/>
            </w:pPr>
            <w:r>
              <w:t>Annex 16.B</w:t>
            </w:r>
            <w:r w:rsidR="00210A30">
              <w:t xml:space="preserve"> (</w:t>
            </w:r>
            <w:r>
              <w:t>Hardship post conditions of service – member posted on or after 1 July 2017</w:t>
            </w:r>
            <w:r w:rsidR="00210A30">
              <w:t xml:space="preserve">) </w:t>
            </w:r>
          </w:p>
        </w:tc>
      </w:tr>
      <w:tr w:rsidR="00210A30" w:rsidTr="00F01FA9">
        <w:tc>
          <w:tcPr>
            <w:tcW w:w="992" w:type="dxa"/>
          </w:tcPr>
          <w:p w:rsidR="00210A30" w:rsidRDefault="00210A30" w:rsidP="00F01FA9">
            <w:pPr>
              <w:pStyle w:val="BlockText-Plain"/>
              <w:jc w:val="center"/>
            </w:pPr>
          </w:p>
        </w:tc>
        <w:tc>
          <w:tcPr>
            <w:tcW w:w="8367" w:type="dxa"/>
          </w:tcPr>
          <w:p w:rsidR="00210A30" w:rsidRPr="004B0C48" w:rsidRDefault="00437858" w:rsidP="00F01FA9">
            <w:pPr>
              <w:pStyle w:val="BlockText-Plain"/>
            </w:pPr>
            <w:r>
              <w:rPr>
                <w:iCs/>
              </w:rPr>
              <w:t>After table item 29</w:t>
            </w:r>
            <w:r w:rsidR="00210A30">
              <w:rPr>
                <w:iCs/>
              </w:rPr>
              <w:t>, insert:</w:t>
            </w:r>
          </w:p>
        </w:tc>
      </w:tr>
    </w:tbl>
    <w:p w:rsidR="00437858" w:rsidRDefault="00437858"/>
    <w:tbl>
      <w:tblPr>
        <w:tblW w:w="10876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386"/>
        <w:gridCol w:w="840"/>
        <w:gridCol w:w="1804"/>
        <w:gridCol w:w="1598"/>
        <w:gridCol w:w="992"/>
        <w:gridCol w:w="1612"/>
        <w:gridCol w:w="940"/>
      </w:tblGrid>
      <w:tr w:rsidR="00437858" w:rsidRPr="005A3FCD" w:rsidTr="00437858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437858" w:rsidRPr="005A3FCD" w:rsidRDefault="00437858" w:rsidP="00437858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9A</w:t>
            </w:r>
            <w:r w:rsidRPr="005A3FCD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386" w:type="dxa"/>
            <w:shd w:val="clear" w:color="auto" w:fill="auto"/>
            <w:vAlign w:val="center"/>
          </w:tcPr>
          <w:p w:rsidR="00437858" w:rsidRPr="005A3FCD" w:rsidRDefault="00437858" w:rsidP="00437858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 xml:space="preserve">Malaysia – </w:t>
            </w:r>
            <w:proofErr w:type="spellStart"/>
            <w:r>
              <w:rPr>
                <w:rFonts w:cs="Arial"/>
                <w:sz w:val="18"/>
                <w:szCs w:val="18"/>
              </w:rPr>
              <w:t>Lumut</w:t>
            </w:r>
            <w:proofErr w:type="spellEnd"/>
          </w:p>
        </w:tc>
        <w:tc>
          <w:tcPr>
            <w:tcW w:w="840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Capital city (1)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Capital city (1)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437858" w:rsidRPr="005A3FCD" w:rsidRDefault="00437858" w:rsidP="000F3F15">
            <w:pPr>
              <w:spacing w:before="20" w:after="20"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Regional centre only</w:t>
            </w:r>
          </w:p>
        </w:tc>
        <w:tc>
          <w:tcPr>
            <w:tcW w:w="940" w:type="dxa"/>
            <w:shd w:val="clear" w:color="auto" w:fill="auto"/>
            <w:vAlign w:val="center"/>
          </w:tcPr>
          <w:p w:rsidR="00437858" w:rsidRPr="005A3FCD" w:rsidRDefault="00437858" w:rsidP="000F3F15">
            <w:pPr>
              <w:pStyle w:val="TableTextArial-left"/>
              <w:keepLines/>
              <w:jc w:val="center"/>
              <w:rPr>
                <w:rFonts w:cs="Arial"/>
                <w:sz w:val="18"/>
                <w:szCs w:val="18"/>
              </w:rPr>
            </w:pPr>
            <w:r w:rsidRPr="005A3FCD">
              <w:rPr>
                <w:rFonts w:cs="Arial"/>
                <w:sz w:val="18"/>
                <w:szCs w:val="18"/>
              </w:rPr>
              <w:t>D</w:t>
            </w:r>
          </w:p>
        </w:tc>
      </w:tr>
    </w:tbl>
    <w:p w:rsidR="00437858" w:rsidRDefault="00437858"/>
    <w:p w:rsidR="00210A30" w:rsidRDefault="00210A30" w:rsidP="00210A30">
      <w:pPr>
        <w:pStyle w:val="BlockText-PlainNoSpacing"/>
      </w:pPr>
    </w:p>
    <w:p w:rsidR="00210A30" w:rsidRDefault="00210A30" w:rsidP="00210A30">
      <w:pPr>
        <w:pStyle w:val="BlockText-Plain"/>
        <w:sectPr w:rsidR="00210A30" w:rsidSect="008B2A3D">
          <w:footerReference w:type="default" r:id="rId13"/>
          <w:pgSz w:w="11906" w:h="16838" w:code="9"/>
          <w:pgMar w:top="1134" w:right="1134" w:bottom="992" w:left="1418" w:header="720" w:footer="720" w:gutter="0"/>
          <w:cols w:space="720"/>
        </w:sectPr>
      </w:pPr>
    </w:p>
    <w:p w:rsidR="00437858" w:rsidRPr="00355EFE" w:rsidRDefault="00437858" w:rsidP="00437858">
      <w:pPr>
        <w:pStyle w:val="acthead6"/>
        <w:keepNext/>
        <w:shd w:val="clear" w:color="auto" w:fill="FFFFFF"/>
        <w:spacing w:before="0" w:beforeAutospacing="0" w:after="0" w:afterAutospacing="0" w:line="360" w:lineRule="atLeast"/>
        <w:rPr>
          <w:rStyle w:val="charamschtext"/>
          <w:rFonts w:ascii="Arial" w:hAnsi="Arial" w:cs="Arial"/>
          <w:b/>
          <w:bCs/>
          <w:sz w:val="32"/>
          <w:szCs w:val="32"/>
        </w:rPr>
      </w:pPr>
      <w:r w:rsidRPr="00355EFE">
        <w:rPr>
          <w:rStyle w:val="charamschno"/>
          <w:rFonts w:ascii="Arial" w:hAnsi="Arial" w:cs="Arial"/>
          <w:b/>
          <w:bCs/>
          <w:sz w:val="32"/>
          <w:szCs w:val="32"/>
        </w:rPr>
        <w:lastRenderedPageBreak/>
        <w:t>Schedule </w:t>
      </w:r>
      <w:r>
        <w:rPr>
          <w:rStyle w:val="charamschno"/>
          <w:rFonts w:ascii="Arial" w:hAnsi="Arial" w:cs="Arial"/>
          <w:b/>
          <w:bCs/>
          <w:sz w:val="32"/>
          <w:szCs w:val="32"/>
        </w:rPr>
        <w:t>2</w:t>
      </w:r>
      <w:r w:rsidRPr="00355EFE">
        <w:rPr>
          <w:rFonts w:ascii="Arial" w:hAnsi="Arial" w:cs="Arial"/>
          <w:b/>
          <w:bCs/>
          <w:sz w:val="32"/>
          <w:szCs w:val="32"/>
        </w:rPr>
        <w:t>—</w:t>
      </w:r>
      <w:r>
        <w:rPr>
          <w:rFonts w:ascii="Arial" w:hAnsi="Arial" w:cs="Arial"/>
          <w:b/>
          <w:bCs/>
          <w:sz w:val="32"/>
          <w:szCs w:val="32"/>
        </w:rPr>
        <w:t>T</w:t>
      </w:r>
      <w:r>
        <w:rPr>
          <w:rStyle w:val="charamschtext"/>
          <w:rFonts w:ascii="Arial" w:hAnsi="Arial" w:cs="Arial"/>
          <w:b/>
          <w:bCs/>
          <w:sz w:val="32"/>
          <w:szCs w:val="32"/>
        </w:rPr>
        <w:t>ransitional provision</w:t>
      </w:r>
    </w:p>
    <w:p w:rsidR="00437858" w:rsidRDefault="00437858" w:rsidP="00437858">
      <w:pPr>
        <w:pStyle w:val="BlockTextArial"/>
        <w:rPr>
          <w:b/>
          <w:bCs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Defence Determination 2016/19, Conditions of service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992"/>
        <w:gridCol w:w="567"/>
        <w:gridCol w:w="7800"/>
      </w:tblGrid>
      <w:tr w:rsidR="00437858" w:rsidTr="000F3F15">
        <w:tc>
          <w:tcPr>
            <w:tcW w:w="992" w:type="dxa"/>
          </w:tcPr>
          <w:p w:rsidR="00437858" w:rsidRDefault="00437858" w:rsidP="000F3F15">
            <w:pPr>
              <w:pStyle w:val="Heading5"/>
            </w:pPr>
            <w:r>
              <w:t>1</w:t>
            </w:r>
          </w:p>
        </w:tc>
        <w:tc>
          <w:tcPr>
            <w:tcW w:w="8367" w:type="dxa"/>
            <w:gridSpan w:val="2"/>
          </w:tcPr>
          <w:p w:rsidR="00437858" w:rsidRDefault="00437858" w:rsidP="000F3F15">
            <w:pPr>
              <w:pStyle w:val="Heading5"/>
            </w:pPr>
            <w:r>
              <w:t>Hardship and location allowance – transitional provision</w:t>
            </w:r>
          </w:p>
        </w:tc>
      </w:tr>
      <w:tr w:rsidR="00437858" w:rsidTr="000F3F15">
        <w:tc>
          <w:tcPr>
            <w:tcW w:w="992" w:type="dxa"/>
          </w:tcPr>
          <w:p w:rsidR="00437858" w:rsidRDefault="00C84E08" w:rsidP="000F3F15">
            <w:pPr>
              <w:pStyle w:val="BlockText-Plain"/>
              <w:jc w:val="center"/>
            </w:pPr>
            <w:r>
              <w:t>1.</w:t>
            </w:r>
          </w:p>
        </w:tc>
        <w:tc>
          <w:tcPr>
            <w:tcW w:w="8367" w:type="dxa"/>
            <w:gridSpan w:val="2"/>
          </w:tcPr>
          <w:p w:rsidR="00437858" w:rsidRPr="004B0C48" w:rsidRDefault="00437858" w:rsidP="000F3F15">
            <w:pPr>
              <w:pStyle w:val="BlockText-Plain"/>
            </w:pPr>
            <w:r>
              <w:rPr>
                <w:iCs/>
              </w:rPr>
              <w:t>This section applies to a member who meets all of the following conditions</w:t>
            </w:r>
            <w:r w:rsidR="00D20DC0">
              <w:rPr>
                <w:iCs/>
              </w:rPr>
              <w:t>.</w:t>
            </w:r>
          </w:p>
        </w:tc>
      </w:tr>
      <w:tr w:rsidR="00437858" w:rsidRPr="00821FFB" w:rsidTr="00437858">
        <w:trPr>
          <w:cantSplit/>
        </w:trPr>
        <w:tc>
          <w:tcPr>
            <w:tcW w:w="992" w:type="dxa"/>
          </w:tcPr>
          <w:p w:rsidR="00437858" w:rsidRPr="00821FFB" w:rsidRDefault="00437858" w:rsidP="000F3F15">
            <w:pPr>
              <w:pStyle w:val="BlockText-Plain"/>
            </w:pPr>
          </w:p>
        </w:tc>
        <w:tc>
          <w:tcPr>
            <w:tcW w:w="567" w:type="dxa"/>
          </w:tcPr>
          <w:p w:rsidR="00437858" w:rsidRPr="00821FFB" w:rsidRDefault="00437858" w:rsidP="000F3F15">
            <w:pPr>
              <w:pStyle w:val="BlockText-Plain"/>
            </w:pPr>
            <w:r w:rsidRPr="00821FFB">
              <w:t>a.</w:t>
            </w:r>
          </w:p>
        </w:tc>
        <w:tc>
          <w:tcPr>
            <w:tcW w:w="7800" w:type="dxa"/>
          </w:tcPr>
          <w:p w:rsidR="00437858" w:rsidRPr="00821FFB" w:rsidRDefault="00C84E08" w:rsidP="00827084">
            <w:pPr>
              <w:pStyle w:val="BlockText-Plain"/>
            </w:pPr>
            <w:r>
              <w:t>T</w:t>
            </w:r>
            <w:r w:rsidR="00827084">
              <w:t xml:space="preserve">he member was on short-term duty in </w:t>
            </w:r>
            <w:r>
              <w:t>a hardship location before 1 July 2017.</w:t>
            </w:r>
          </w:p>
        </w:tc>
      </w:tr>
      <w:tr w:rsidR="00C84E08" w:rsidRPr="00821FFB" w:rsidTr="00437858">
        <w:trPr>
          <w:cantSplit/>
        </w:trPr>
        <w:tc>
          <w:tcPr>
            <w:tcW w:w="992" w:type="dxa"/>
          </w:tcPr>
          <w:p w:rsidR="00C84E08" w:rsidRPr="00821FFB" w:rsidRDefault="00C84E08" w:rsidP="000F3F15">
            <w:pPr>
              <w:pStyle w:val="BlockText-Plain"/>
            </w:pPr>
          </w:p>
        </w:tc>
        <w:tc>
          <w:tcPr>
            <w:tcW w:w="567" w:type="dxa"/>
          </w:tcPr>
          <w:p w:rsidR="00C84E08" w:rsidRDefault="00F8527D" w:rsidP="000F3F15">
            <w:pPr>
              <w:pStyle w:val="BlockText-Plain"/>
            </w:pPr>
            <w:r>
              <w:t>b</w:t>
            </w:r>
            <w:r w:rsidR="00C84E08">
              <w:t>.</w:t>
            </w:r>
          </w:p>
        </w:tc>
        <w:tc>
          <w:tcPr>
            <w:tcW w:w="7800" w:type="dxa"/>
          </w:tcPr>
          <w:p w:rsidR="00C84E08" w:rsidRDefault="00C84E08" w:rsidP="000F3F15">
            <w:pPr>
              <w:pStyle w:val="BlockText-Plain"/>
            </w:pPr>
            <w:r>
              <w:t>The member remained in the hardship location on or after 1 July 2017.</w:t>
            </w:r>
          </w:p>
        </w:tc>
      </w:tr>
      <w:tr w:rsidR="00C84E08" w:rsidTr="00E207A4">
        <w:tc>
          <w:tcPr>
            <w:tcW w:w="992" w:type="dxa"/>
          </w:tcPr>
          <w:p w:rsidR="00C84E08" w:rsidRDefault="00827084" w:rsidP="00E207A4">
            <w:pPr>
              <w:pStyle w:val="BlockText-Plain"/>
              <w:jc w:val="center"/>
            </w:pPr>
            <w:r>
              <w:t>2.</w:t>
            </w:r>
          </w:p>
        </w:tc>
        <w:tc>
          <w:tcPr>
            <w:tcW w:w="8367" w:type="dxa"/>
            <w:gridSpan w:val="2"/>
          </w:tcPr>
          <w:p w:rsidR="00C84E08" w:rsidRPr="00A048AE" w:rsidRDefault="009A45EE" w:rsidP="00EA6B10">
            <w:pPr>
              <w:pStyle w:val="BlockText-Plain"/>
            </w:pPr>
            <w:r w:rsidRPr="00A048AE">
              <w:t xml:space="preserve">The </w:t>
            </w:r>
            <w:r w:rsidR="00EA6B10" w:rsidRPr="00A048AE">
              <w:t>period that the member spent</w:t>
            </w:r>
            <w:r w:rsidRPr="00A048AE">
              <w:t xml:space="preserve"> in the hardship location before 1 July 2017 </w:t>
            </w:r>
            <w:r w:rsidR="00EA6B10" w:rsidRPr="00A048AE">
              <w:t>is to count</w:t>
            </w:r>
            <w:r w:rsidRPr="00A048AE">
              <w:t xml:space="preserve"> towards the 28 day qualifying period under section 16.2A.4 of the Principal Determination for the payment of location allowance</w:t>
            </w:r>
            <w:r w:rsidR="00C84E08" w:rsidRPr="00A048AE">
              <w:t>.</w:t>
            </w:r>
          </w:p>
        </w:tc>
      </w:tr>
      <w:tr w:rsidR="00C84E08" w:rsidTr="00E207A4">
        <w:tc>
          <w:tcPr>
            <w:tcW w:w="992" w:type="dxa"/>
          </w:tcPr>
          <w:p w:rsidR="00C84E08" w:rsidRDefault="00827084" w:rsidP="004555D0">
            <w:pPr>
              <w:pStyle w:val="BlockText-Plain"/>
              <w:jc w:val="center"/>
            </w:pPr>
            <w:r>
              <w:t>3.</w:t>
            </w:r>
          </w:p>
        </w:tc>
        <w:tc>
          <w:tcPr>
            <w:tcW w:w="8367" w:type="dxa"/>
            <w:gridSpan w:val="2"/>
          </w:tcPr>
          <w:p w:rsidR="00C84E08" w:rsidRPr="00A048AE" w:rsidRDefault="00E86B17" w:rsidP="00F8527D">
            <w:pPr>
              <w:pStyle w:val="BlockText-Plain"/>
            </w:pPr>
            <w:r w:rsidRPr="00A048AE">
              <w:t>I</w:t>
            </w:r>
            <w:r w:rsidR="00654E90" w:rsidRPr="00A048AE">
              <w:t xml:space="preserve">f the member completed the 28 day qualifying period under section </w:t>
            </w:r>
            <w:r w:rsidR="008E6B3A" w:rsidRPr="00A048AE">
              <w:t>16.2A.4 using the period set out in subsection 2</w:t>
            </w:r>
            <w:r w:rsidR="00654E90" w:rsidRPr="00A048AE">
              <w:t>, t</w:t>
            </w:r>
            <w:r w:rsidR="00C84E08" w:rsidRPr="00A048AE">
              <w:t xml:space="preserve">he member is eligible for the payment of the following </w:t>
            </w:r>
            <w:r w:rsidR="00827084" w:rsidRPr="00A048AE">
              <w:t>allowances</w:t>
            </w:r>
            <w:r w:rsidR="00A048AE" w:rsidRPr="00A048AE">
              <w:t xml:space="preserve"> for each day of duty</w:t>
            </w:r>
            <w:r w:rsidR="00C84E08" w:rsidRPr="00A048AE">
              <w:t>.</w:t>
            </w:r>
          </w:p>
        </w:tc>
      </w:tr>
      <w:tr w:rsidR="00C84E08" w:rsidRPr="00821FFB" w:rsidTr="00087BED">
        <w:trPr>
          <w:cantSplit/>
        </w:trPr>
        <w:tc>
          <w:tcPr>
            <w:tcW w:w="992" w:type="dxa"/>
          </w:tcPr>
          <w:p w:rsidR="00C84E08" w:rsidRPr="00821FFB" w:rsidRDefault="00C84E08" w:rsidP="00087BED">
            <w:pPr>
              <w:pStyle w:val="BlockText-Plain"/>
            </w:pPr>
          </w:p>
        </w:tc>
        <w:tc>
          <w:tcPr>
            <w:tcW w:w="567" w:type="dxa"/>
          </w:tcPr>
          <w:p w:rsidR="00C84E08" w:rsidRPr="00821FFB" w:rsidRDefault="00C84E08" w:rsidP="00087BED">
            <w:pPr>
              <w:pStyle w:val="BlockText-Plain"/>
            </w:pPr>
            <w:r w:rsidRPr="00821FFB">
              <w:t>a.</w:t>
            </w:r>
          </w:p>
        </w:tc>
        <w:tc>
          <w:tcPr>
            <w:tcW w:w="7800" w:type="dxa"/>
          </w:tcPr>
          <w:p w:rsidR="00C84E08" w:rsidRPr="00A048AE" w:rsidRDefault="00C84E08" w:rsidP="00E86B17">
            <w:pPr>
              <w:pStyle w:val="BlockText-Plain"/>
            </w:pPr>
            <w:r w:rsidRPr="00A048AE">
              <w:t>Hardship allowance for the period spent in the hardship location before 1</w:t>
            </w:r>
            <w:r w:rsidR="00D20DC0" w:rsidRPr="00A048AE">
              <w:t> </w:t>
            </w:r>
            <w:r w:rsidRPr="00A048AE">
              <w:t>July</w:t>
            </w:r>
            <w:r w:rsidR="00D20DC0" w:rsidRPr="00A048AE">
              <w:t> </w:t>
            </w:r>
            <w:r w:rsidRPr="00A048AE">
              <w:t>2017</w:t>
            </w:r>
            <w:r w:rsidR="00E86B17" w:rsidRPr="00A048AE">
              <w:t xml:space="preserve">, </w:t>
            </w:r>
            <w:r w:rsidR="00E86B17" w:rsidRPr="00A048AE">
              <w:rPr>
                <w:lang w:eastAsia="en-US"/>
              </w:rPr>
              <w:t>less the amount of hardship allowance that the member received for the same period of duty in the area specified.</w:t>
            </w:r>
          </w:p>
        </w:tc>
      </w:tr>
      <w:tr w:rsidR="00C84E08" w:rsidRPr="00821FFB" w:rsidTr="00087BED">
        <w:trPr>
          <w:cantSplit/>
        </w:trPr>
        <w:tc>
          <w:tcPr>
            <w:tcW w:w="992" w:type="dxa"/>
          </w:tcPr>
          <w:p w:rsidR="00C84E08" w:rsidRPr="00821FFB" w:rsidRDefault="00C84E08" w:rsidP="00087BED">
            <w:pPr>
              <w:pStyle w:val="BlockText-Plain"/>
            </w:pPr>
          </w:p>
        </w:tc>
        <w:tc>
          <w:tcPr>
            <w:tcW w:w="567" w:type="dxa"/>
          </w:tcPr>
          <w:p w:rsidR="00C84E08" w:rsidRPr="00821FFB" w:rsidRDefault="00C84E08" w:rsidP="00087BED">
            <w:pPr>
              <w:pStyle w:val="BlockText-Plain"/>
            </w:pPr>
            <w:r>
              <w:t>b.</w:t>
            </w:r>
          </w:p>
        </w:tc>
        <w:tc>
          <w:tcPr>
            <w:tcW w:w="7800" w:type="dxa"/>
          </w:tcPr>
          <w:p w:rsidR="00C84E08" w:rsidRPr="00A048AE" w:rsidRDefault="00C84E08" w:rsidP="00A048AE">
            <w:pPr>
              <w:pStyle w:val="BlockText-Plain"/>
            </w:pPr>
            <w:r w:rsidRPr="00A048AE">
              <w:t xml:space="preserve">Location allowance for the period spent in the hardship location </w:t>
            </w:r>
            <w:r w:rsidR="009A45EE" w:rsidRPr="00A048AE">
              <w:t>on or after</w:t>
            </w:r>
            <w:r w:rsidRPr="00A048AE">
              <w:t xml:space="preserve"> 1</w:t>
            </w:r>
            <w:r w:rsidR="00D20DC0" w:rsidRPr="00A048AE">
              <w:t> </w:t>
            </w:r>
            <w:r w:rsidRPr="00A048AE">
              <w:t>July</w:t>
            </w:r>
            <w:r w:rsidR="00D20DC0" w:rsidRPr="00A048AE">
              <w:t> </w:t>
            </w:r>
            <w:r w:rsidRPr="00A048AE">
              <w:t>2017</w:t>
            </w:r>
            <w:r w:rsidR="00E86B17" w:rsidRPr="00A048AE">
              <w:t xml:space="preserve"> </w:t>
            </w:r>
            <w:r w:rsidR="00E86B17" w:rsidRPr="00A048AE">
              <w:rPr>
                <w:lang w:eastAsia="en-US"/>
              </w:rPr>
              <w:t xml:space="preserve">less the amount of </w:t>
            </w:r>
            <w:r w:rsidR="00A048AE" w:rsidRPr="00A048AE">
              <w:rPr>
                <w:lang w:eastAsia="en-US"/>
              </w:rPr>
              <w:t>location</w:t>
            </w:r>
            <w:r w:rsidR="00E86B17" w:rsidRPr="00A048AE">
              <w:rPr>
                <w:lang w:eastAsia="en-US"/>
              </w:rPr>
              <w:t xml:space="preserve"> allowance that the member received for the same period of duty in the area specified.</w:t>
            </w:r>
          </w:p>
        </w:tc>
      </w:tr>
    </w:tbl>
    <w:p w:rsidR="00437858" w:rsidRDefault="00437858" w:rsidP="00437858">
      <w:pPr>
        <w:pStyle w:val="BlockText-PlainNoSpacing"/>
      </w:pPr>
    </w:p>
    <w:p w:rsidR="00437858" w:rsidRDefault="00437858" w:rsidP="00437858">
      <w:pPr>
        <w:pStyle w:val="BlockText-PlainNoSpacing"/>
      </w:pPr>
    </w:p>
    <w:p w:rsidR="00D861BC" w:rsidRDefault="00D861BC">
      <w:bookmarkStart w:id="10" w:name="_GoBack"/>
      <w:bookmarkEnd w:id="10"/>
    </w:p>
    <w:sectPr w:rsidR="00D861BC" w:rsidSect="003652A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99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3D4" w:rsidRDefault="00D643D4">
      <w:r>
        <w:separator/>
      </w:r>
    </w:p>
  </w:endnote>
  <w:endnote w:type="continuationSeparator" w:id="0">
    <w:p w:rsidR="00D643D4" w:rsidRDefault="00D6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90C" w:rsidRDefault="00D643D4" w:rsidP="00CD590C">
    <w:pPr>
      <w:pStyle w:val="Footer"/>
      <w:ind w:left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210A30" w:rsidP="003652AA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1818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95A" w:rsidRDefault="00210A30" w:rsidP="00CD590C">
    <w:pPr>
      <w:pStyle w:val="Footer"/>
      <w:ind w:right="360"/>
    </w:pPr>
    <w:r>
      <w:tab/>
    </w:r>
    <w:r>
      <w:tab/>
    </w:r>
    <w:r>
      <w:rPr>
        <w:rStyle w:val="PageNumber"/>
      </w:rPr>
      <w:t>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A3D" w:rsidRDefault="008B2A3D" w:rsidP="003652AA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B1818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30" w:rsidRDefault="00D643D4">
    <w:pPr>
      <w:pStyle w:val="Footer"/>
      <w:ind w:left="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30" w:rsidRDefault="00D643D4">
    <w:pPr>
      <w:pStyle w:val="Footer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3D4" w:rsidRDefault="00D643D4">
      <w:r>
        <w:separator/>
      </w:r>
    </w:p>
  </w:footnote>
  <w:footnote w:type="continuationSeparator" w:id="0">
    <w:p w:rsidR="00D643D4" w:rsidRDefault="00D643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D643D4"/>
  <w:p w:rsidR="003652AA" w:rsidRDefault="00D643D4">
    <w:pPr>
      <w:tabs>
        <w:tab w:val="right" w:pos="2410"/>
      </w:tabs>
      <w:ind w:left="2835" w:hanging="2835"/>
    </w:pPr>
  </w:p>
  <w:p w:rsidR="003652AA" w:rsidRDefault="00D643D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D643D4"/>
  <w:p w:rsidR="003652AA" w:rsidRDefault="00D643D4">
    <w:pPr>
      <w:tabs>
        <w:tab w:val="right" w:pos="2410"/>
      </w:tabs>
      <w:ind w:left="2835" w:hanging="2835"/>
    </w:pPr>
  </w:p>
  <w:p w:rsidR="003652AA" w:rsidRDefault="00D643D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2AA" w:rsidRDefault="00D643D4"/>
  <w:p w:rsidR="003652AA" w:rsidRDefault="00D643D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57EE"/>
    <w:multiLevelType w:val="hybridMultilevel"/>
    <w:tmpl w:val="39E674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A30"/>
    <w:rsid w:val="00102EEE"/>
    <w:rsid w:val="00116C5A"/>
    <w:rsid w:val="00131BC1"/>
    <w:rsid w:val="001D6EA5"/>
    <w:rsid w:val="00210A30"/>
    <w:rsid w:val="002659E2"/>
    <w:rsid w:val="00284CD3"/>
    <w:rsid w:val="002E5A7A"/>
    <w:rsid w:val="002E6513"/>
    <w:rsid w:val="00355C78"/>
    <w:rsid w:val="003778C9"/>
    <w:rsid w:val="00387403"/>
    <w:rsid w:val="003B4D02"/>
    <w:rsid w:val="00437858"/>
    <w:rsid w:val="00441473"/>
    <w:rsid w:val="00443981"/>
    <w:rsid w:val="00584613"/>
    <w:rsid w:val="00634AE1"/>
    <w:rsid w:val="006437AF"/>
    <w:rsid w:val="00654E90"/>
    <w:rsid w:val="00694BA2"/>
    <w:rsid w:val="00817946"/>
    <w:rsid w:val="00827084"/>
    <w:rsid w:val="008B2A3D"/>
    <w:rsid w:val="008E6B3A"/>
    <w:rsid w:val="009127E7"/>
    <w:rsid w:val="009A45EE"/>
    <w:rsid w:val="009B1818"/>
    <w:rsid w:val="00A048AE"/>
    <w:rsid w:val="00AD6D51"/>
    <w:rsid w:val="00B51D41"/>
    <w:rsid w:val="00B924FB"/>
    <w:rsid w:val="00C84E08"/>
    <w:rsid w:val="00C87F19"/>
    <w:rsid w:val="00D11CEC"/>
    <w:rsid w:val="00D20DC0"/>
    <w:rsid w:val="00D26384"/>
    <w:rsid w:val="00D643D4"/>
    <w:rsid w:val="00D668C3"/>
    <w:rsid w:val="00D861BC"/>
    <w:rsid w:val="00E744C8"/>
    <w:rsid w:val="00E86B17"/>
    <w:rsid w:val="00EA6B10"/>
    <w:rsid w:val="00F64CF4"/>
    <w:rsid w:val="00F8527D"/>
    <w:rsid w:val="00FE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30"/>
    <w:pPr>
      <w:keepLines/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aliases w:val="Document/Determination Title"/>
    <w:basedOn w:val="Normal"/>
    <w:next w:val="BlockTextArial"/>
    <w:link w:val="Heading1Char"/>
    <w:qFormat/>
    <w:rsid w:val="00210A30"/>
    <w:pPr>
      <w:keepLines w:val="0"/>
      <w:widowControl w:val="0"/>
      <w:spacing w:after="240"/>
      <w:outlineLvl w:val="0"/>
    </w:pPr>
    <w:rPr>
      <w:b/>
      <w:sz w:val="36"/>
    </w:rPr>
  </w:style>
  <w:style w:type="paragraph" w:styleId="Heading2">
    <w:name w:val="heading 2"/>
    <w:aliases w:val="Chapter Title"/>
    <w:basedOn w:val="Normal"/>
    <w:next w:val="BlockTextArial"/>
    <w:link w:val="Heading2Char"/>
    <w:qFormat/>
    <w:rsid w:val="00210A30"/>
    <w:pPr>
      <w:keepNext/>
      <w:shd w:val="clear" w:color="FFFF00" w:fill="auto"/>
      <w:spacing w:after="240"/>
      <w:outlineLvl w:val="1"/>
    </w:pPr>
    <w:rPr>
      <w:b/>
      <w:color w:val="000080"/>
      <w:sz w:val="30"/>
    </w:rPr>
  </w:style>
  <w:style w:type="paragraph" w:styleId="Heading5">
    <w:name w:val="heading 5"/>
    <w:aliases w:val="Clause/Block Label"/>
    <w:basedOn w:val="Normal"/>
    <w:next w:val="BlockTextArial"/>
    <w:link w:val="Heading5Char"/>
    <w:qFormat/>
    <w:rsid w:val="00210A30"/>
    <w:pPr>
      <w:keepNext/>
      <w:spacing w:before="360" w:after="1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210A30"/>
    <w:rPr>
      <w:rFonts w:ascii="Arial" w:eastAsia="Times New Roman" w:hAnsi="Arial" w:cs="Times New Roman"/>
      <w:b/>
      <w:sz w:val="36"/>
      <w:szCs w:val="20"/>
      <w:lang w:eastAsia="en-AU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210A30"/>
    <w:rPr>
      <w:rFonts w:ascii="Arial" w:eastAsia="Times New Roman" w:hAnsi="Arial" w:cs="Times New Roman"/>
      <w:b/>
      <w:color w:val="000080"/>
      <w:sz w:val="30"/>
      <w:szCs w:val="20"/>
      <w:shd w:val="clear" w:color="FFFF00" w:fill="auto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10A30"/>
    <w:rPr>
      <w:rFonts w:ascii="Arial" w:eastAsia="Times New Roman" w:hAnsi="Arial" w:cs="Times New Roman"/>
      <w:b/>
      <w:szCs w:val="20"/>
      <w:lang w:eastAsia="en-AU"/>
    </w:rPr>
  </w:style>
  <w:style w:type="paragraph" w:customStyle="1" w:styleId="BlockText-PlainNoSpacing">
    <w:name w:val="Block Text - Plain (No Spacing)"/>
    <w:basedOn w:val="Normal"/>
    <w:rsid w:val="00210A30"/>
    <w:pPr>
      <w:keepNext/>
      <w:spacing w:before="20" w:after="20"/>
    </w:pPr>
    <w:rPr>
      <w:sz w:val="20"/>
    </w:rPr>
  </w:style>
  <w:style w:type="paragraph" w:customStyle="1" w:styleId="BlockTextArial">
    <w:name w:val="Block Text (Arial)"/>
    <w:basedOn w:val="Normal"/>
    <w:rsid w:val="00210A30"/>
    <w:pPr>
      <w:spacing w:before="120" w:after="120"/>
    </w:pPr>
  </w:style>
  <w:style w:type="paragraph" w:customStyle="1" w:styleId="BlockText-Plain">
    <w:name w:val="Block Text- Plain"/>
    <w:basedOn w:val="Normal"/>
    <w:link w:val="BlockText-PlainChar"/>
    <w:rsid w:val="00210A30"/>
    <w:pPr>
      <w:keepLines w:val="0"/>
      <w:spacing w:after="200"/>
    </w:pPr>
    <w:rPr>
      <w:sz w:val="20"/>
    </w:rPr>
  </w:style>
  <w:style w:type="paragraph" w:styleId="Footer">
    <w:name w:val="footer"/>
    <w:basedOn w:val="Normal"/>
    <w:link w:val="FooterChar"/>
    <w:rsid w:val="00210A30"/>
    <w:pPr>
      <w:tabs>
        <w:tab w:val="center" w:pos="4395"/>
        <w:tab w:val="right" w:pos="8931"/>
      </w:tabs>
      <w:ind w:left="-425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10A30"/>
    <w:rPr>
      <w:rFonts w:ascii="Arial" w:eastAsia="Times New Roman" w:hAnsi="Arial" w:cs="Times New Roman"/>
      <w:sz w:val="18"/>
      <w:szCs w:val="20"/>
      <w:lang w:eastAsia="en-AU"/>
    </w:rPr>
  </w:style>
  <w:style w:type="character" w:styleId="PageNumber">
    <w:name w:val="page number"/>
    <w:basedOn w:val="DefaultParagraphFont"/>
    <w:rsid w:val="00210A30"/>
  </w:style>
  <w:style w:type="character" w:customStyle="1" w:styleId="BlockText-PlainChar">
    <w:name w:val="Block Text- Plain Char"/>
    <w:basedOn w:val="DefaultParagraphFont"/>
    <w:link w:val="BlockText-Plain"/>
    <w:rsid w:val="00210A30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locktext-plain0">
    <w:name w:val="blocktext-plain"/>
    <w:basedOn w:val="Normal"/>
    <w:rsid w:val="00210A30"/>
    <w:pPr>
      <w:keepLines w:val="0"/>
      <w:spacing w:after="200"/>
    </w:pPr>
    <w:rPr>
      <w:rFonts w:cs="Arial"/>
      <w:sz w:val="20"/>
    </w:rPr>
  </w:style>
  <w:style w:type="paragraph" w:customStyle="1" w:styleId="acthead6">
    <w:name w:val="acthead6"/>
    <w:basedOn w:val="Normal"/>
    <w:rsid w:val="00210A30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mschno">
    <w:name w:val="charamschno"/>
    <w:basedOn w:val="DefaultParagraphFont"/>
    <w:rsid w:val="00210A30"/>
  </w:style>
  <w:style w:type="character" w:customStyle="1" w:styleId="charamschtext">
    <w:name w:val="charamschtext"/>
    <w:basedOn w:val="DefaultParagraphFont"/>
    <w:rsid w:val="00210A30"/>
  </w:style>
  <w:style w:type="paragraph" w:styleId="BalloonText">
    <w:name w:val="Balloon Text"/>
    <w:basedOn w:val="Normal"/>
    <w:link w:val="BalloonTextChar"/>
    <w:uiPriority w:val="99"/>
    <w:semiHidden/>
    <w:unhideWhenUsed/>
    <w:rsid w:val="0021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3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ShortT">
    <w:name w:val="ShortT"/>
    <w:basedOn w:val="Normal"/>
    <w:next w:val="Normal"/>
    <w:qFormat/>
    <w:rsid w:val="00B51D41"/>
    <w:pPr>
      <w:keepLines w:val="0"/>
    </w:pPr>
    <w:rPr>
      <w:rFonts w:ascii="Times New Roman" w:hAnsi="Times New Roman"/>
      <w:b/>
      <w:sz w:val="40"/>
    </w:rPr>
  </w:style>
  <w:style w:type="paragraph" w:customStyle="1" w:styleId="SignCoverPageEnd">
    <w:name w:val="SignCoverPageEnd"/>
    <w:basedOn w:val="Normal"/>
    <w:next w:val="Normal"/>
    <w:rsid w:val="00B51D41"/>
    <w:pPr>
      <w:keepNext/>
      <w:keepLines w:val="0"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ascii="Times New Roman" w:hAnsi="Times New Roman"/>
      <w:sz w:val="24"/>
    </w:rPr>
  </w:style>
  <w:style w:type="paragraph" w:customStyle="1" w:styleId="SignCoverPageStart">
    <w:name w:val="SignCoverPageStart"/>
    <w:basedOn w:val="Normal"/>
    <w:next w:val="Normal"/>
    <w:rsid w:val="00B51D41"/>
    <w:pPr>
      <w:keepLines w:val="0"/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hAnsi="Times New Roman"/>
    </w:rPr>
  </w:style>
  <w:style w:type="paragraph" w:customStyle="1" w:styleId="ActHead5">
    <w:name w:val="ActHead 5"/>
    <w:aliases w:val="s"/>
    <w:basedOn w:val="Normal"/>
    <w:next w:val="Normal"/>
    <w:qFormat/>
    <w:rsid w:val="00B51D41"/>
    <w:pPr>
      <w:keepNext/>
      <w:spacing w:before="280"/>
      <w:ind w:left="1134" w:hanging="1134"/>
      <w:outlineLvl w:val="4"/>
    </w:pPr>
    <w:rPr>
      <w:rFonts w:ascii="Times New Roman" w:hAnsi="Times New Roman"/>
      <w:b/>
      <w:kern w:val="28"/>
      <w:sz w:val="24"/>
    </w:rPr>
  </w:style>
  <w:style w:type="character" w:customStyle="1" w:styleId="CharSectno">
    <w:name w:val="CharSectno"/>
    <w:basedOn w:val="DefaultParagraphFont"/>
    <w:qFormat/>
    <w:rsid w:val="00B51D41"/>
  </w:style>
  <w:style w:type="paragraph" w:customStyle="1" w:styleId="subsection">
    <w:name w:val="subsection"/>
    <w:aliases w:val="ss"/>
    <w:basedOn w:val="Normal"/>
    <w:link w:val="subsectionChar"/>
    <w:rsid w:val="00B51D41"/>
    <w:pPr>
      <w:keepLines w:val="0"/>
      <w:tabs>
        <w:tab w:val="right" w:pos="1021"/>
      </w:tabs>
      <w:spacing w:before="180"/>
      <w:ind w:left="1134" w:hanging="1134"/>
    </w:pPr>
    <w:rPr>
      <w:rFonts w:ascii="Times New Roman" w:hAnsi="Times New Roman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1D4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102EEE"/>
    <w:pPr>
      <w:keepNext/>
      <w:spacing w:before="240"/>
      <w:ind w:left="1134" w:hanging="1134"/>
      <w:outlineLvl w:val="2"/>
    </w:pPr>
    <w:rPr>
      <w:rFonts w:ascii="Times New Roman" w:hAnsi="Times New Roman"/>
      <w:b/>
      <w:kern w:val="28"/>
      <w:sz w:val="28"/>
    </w:rPr>
  </w:style>
  <w:style w:type="paragraph" w:styleId="TOC5">
    <w:name w:val="toc 5"/>
    <w:basedOn w:val="Normal"/>
    <w:next w:val="Normal"/>
    <w:uiPriority w:val="39"/>
    <w:unhideWhenUsed/>
    <w:rsid w:val="00102EEE"/>
    <w:pPr>
      <w:tabs>
        <w:tab w:val="right" w:leader="dot" w:pos="8278"/>
      </w:tabs>
      <w:spacing w:before="40"/>
      <w:ind w:left="1985" w:right="567" w:hanging="567"/>
    </w:pPr>
    <w:rPr>
      <w:rFonts w:ascii="Times New Roman" w:hAnsi="Times New Roman"/>
      <w:kern w:val="28"/>
      <w:sz w:val="18"/>
    </w:rPr>
  </w:style>
  <w:style w:type="paragraph" w:styleId="TOC6">
    <w:name w:val="toc 6"/>
    <w:basedOn w:val="Normal"/>
    <w:next w:val="Normal"/>
    <w:uiPriority w:val="39"/>
    <w:unhideWhenUsed/>
    <w:rsid w:val="00102EEE"/>
    <w:pPr>
      <w:tabs>
        <w:tab w:val="right" w:pos="8278"/>
      </w:tabs>
      <w:spacing w:before="120"/>
      <w:ind w:left="1344" w:right="567" w:hanging="1344"/>
    </w:pPr>
    <w:rPr>
      <w:rFonts w:ascii="Times New Roman" w:hAnsi="Times New Roman"/>
      <w:b/>
      <w:kern w:val="28"/>
      <w:sz w:val="24"/>
    </w:rPr>
  </w:style>
  <w:style w:type="paragraph" w:styleId="TOC9">
    <w:name w:val="toc 9"/>
    <w:basedOn w:val="Normal"/>
    <w:next w:val="Normal"/>
    <w:uiPriority w:val="39"/>
    <w:unhideWhenUsed/>
    <w:rsid w:val="00102EEE"/>
    <w:pPr>
      <w:tabs>
        <w:tab w:val="right" w:pos="8278"/>
      </w:tabs>
      <w:spacing w:before="80"/>
      <w:ind w:left="851" w:right="567"/>
    </w:pPr>
    <w:rPr>
      <w:rFonts w:ascii="Times New Roman" w:hAnsi="Times New Roman"/>
      <w:i/>
      <w:kern w:val="28"/>
      <w:sz w:val="20"/>
    </w:rPr>
  </w:style>
  <w:style w:type="paragraph" w:customStyle="1" w:styleId="TableTextArial-left">
    <w:name w:val="Table Text (Arial - left)"/>
    <w:basedOn w:val="Normal"/>
    <w:link w:val="TableTextArial-leftChar"/>
    <w:rsid w:val="00437858"/>
    <w:pPr>
      <w:keepLines w:val="0"/>
      <w:spacing w:before="20" w:after="20"/>
    </w:pPr>
    <w:rPr>
      <w:sz w:val="20"/>
    </w:rPr>
  </w:style>
  <w:style w:type="character" w:customStyle="1" w:styleId="TableTextArial-leftChar">
    <w:name w:val="Table Text (Arial - left) Char"/>
    <w:link w:val="TableTextArial-left"/>
    <w:locked/>
    <w:rsid w:val="00437858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84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E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E08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E08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B2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A3D"/>
    <w:rPr>
      <w:rFonts w:ascii="Arial" w:eastAsia="Times New Roman" w:hAnsi="Arial" w:cs="Times New Roman"/>
      <w:szCs w:val="20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A30"/>
    <w:pPr>
      <w:keepLines/>
      <w:spacing w:after="0" w:line="240" w:lineRule="auto"/>
    </w:pPr>
    <w:rPr>
      <w:rFonts w:ascii="Arial" w:eastAsia="Times New Roman" w:hAnsi="Arial" w:cs="Times New Roman"/>
      <w:szCs w:val="20"/>
      <w:lang w:eastAsia="en-AU"/>
    </w:rPr>
  </w:style>
  <w:style w:type="paragraph" w:styleId="Heading1">
    <w:name w:val="heading 1"/>
    <w:aliases w:val="Document/Determination Title"/>
    <w:basedOn w:val="Normal"/>
    <w:next w:val="BlockTextArial"/>
    <w:link w:val="Heading1Char"/>
    <w:qFormat/>
    <w:rsid w:val="00210A30"/>
    <w:pPr>
      <w:keepLines w:val="0"/>
      <w:widowControl w:val="0"/>
      <w:spacing w:after="240"/>
      <w:outlineLvl w:val="0"/>
    </w:pPr>
    <w:rPr>
      <w:b/>
      <w:sz w:val="36"/>
    </w:rPr>
  </w:style>
  <w:style w:type="paragraph" w:styleId="Heading2">
    <w:name w:val="heading 2"/>
    <w:aliases w:val="Chapter Title"/>
    <w:basedOn w:val="Normal"/>
    <w:next w:val="BlockTextArial"/>
    <w:link w:val="Heading2Char"/>
    <w:qFormat/>
    <w:rsid w:val="00210A30"/>
    <w:pPr>
      <w:keepNext/>
      <w:shd w:val="clear" w:color="FFFF00" w:fill="auto"/>
      <w:spacing w:after="240"/>
      <w:outlineLvl w:val="1"/>
    </w:pPr>
    <w:rPr>
      <w:b/>
      <w:color w:val="000080"/>
      <w:sz w:val="30"/>
    </w:rPr>
  </w:style>
  <w:style w:type="paragraph" w:styleId="Heading5">
    <w:name w:val="heading 5"/>
    <w:aliases w:val="Clause/Block Label"/>
    <w:basedOn w:val="Normal"/>
    <w:next w:val="BlockTextArial"/>
    <w:link w:val="Heading5Char"/>
    <w:qFormat/>
    <w:rsid w:val="00210A30"/>
    <w:pPr>
      <w:keepNext/>
      <w:spacing w:before="360" w:after="120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210A30"/>
    <w:rPr>
      <w:rFonts w:ascii="Arial" w:eastAsia="Times New Roman" w:hAnsi="Arial" w:cs="Times New Roman"/>
      <w:b/>
      <w:sz w:val="36"/>
      <w:szCs w:val="20"/>
      <w:lang w:eastAsia="en-AU"/>
    </w:rPr>
  </w:style>
  <w:style w:type="character" w:customStyle="1" w:styleId="Heading2Char">
    <w:name w:val="Heading 2 Char"/>
    <w:aliases w:val="Chapter Title Char"/>
    <w:basedOn w:val="DefaultParagraphFont"/>
    <w:link w:val="Heading2"/>
    <w:rsid w:val="00210A30"/>
    <w:rPr>
      <w:rFonts w:ascii="Arial" w:eastAsia="Times New Roman" w:hAnsi="Arial" w:cs="Times New Roman"/>
      <w:b/>
      <w:color w:val="000080"/>
      <w:sz w:val="30"/>
      <w:szCs w:val="20"/>
      <w:shd w:val="clear" w:color="FFFF00" w:fill="auto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210A30"/>
    <w:rPr>
      <w:rFonts w:ascii="Arial" w:eastAsia="Times New Roman" w:hAnsi="Arial" w:cs="Times New Roman"/>
      <w:b/>
      <w:szCs w:val="20"/>
      <w:lang w:eastAsia="en-AU"/>
    </w:rPr>
  </w:style>
  <w:style w:type="paragraph" w:customStyle="1" w:styleId="BlockText-PlainNoSpacing">
    <w:name w:val="Block Text - Plain (No Spacing)"/>
    <w:basedOn w:val="Normal"/>
    <w:rsid w:val="00210A30"/>
    <w:pPr>
      <w:keepNext/>
      <w:spacing w:before="20" w:after="20"/>
    </w:pPr>
    <w:rPr>
      <w:sz w:val="20"/>
    </w:rPr>
  </w:style>
  <w:style w:type="paragraph" w:customStyle="1" w:styleId="BlockTextArial">
    <w:name w:val="Block Text (Arial)"/>
    <w:basedOn w:val="Normal"/>
    <w:rsid w:val="00210A30"/>
    <w:pPr>
      <w:spacing w:before="120" w:after="120"/>
    </w:pPr>
  </w:style>
  <w:style w:type="paragraph" w:customStyle="1" w:styleId="BlockText-Plain">
    <w:name w:val="Block Text- Plain"/>
    <w:basedOn w:val="Normal"/>
    <w:link w:val="BlockText-PlainChar"/>
    <w:rsid w:val="00210A30"/>
    <w:pPr>
      <w:keepLines w:val="0"/>
      <w:spacing w:after="200"/>
    </w:pPr>
    <w:rPr>
      <w:sz w:val="20"/>
    </w:rPr>
  </w:style>
  <w:style w:type="paragraph" w:styleId="Footer">
    <w:name w:val="footer"/>
    <w:basedOn w:val="Normal"/>
    <w:link w:val="FooterChar"/>
    <w:rsid w:val="00210A30"/>
    <w:pPr>
      <w:tabs>
        <w:tab w:val="center" w:pos="4395"/>
        <w:tab w:val="right" w:pos="8931"/>
      </w:tabs>
      <w:ind w:left="-425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210A30"/>
    <w:rPr>
      <w:rFonts w:ascii="Arial" w:eastAsia="Times New Roman" w:hAnsi="Arial" w:cs="Times New Roman"/>
      <w:sz w:val="18"/>
      <w:szCs w:val="20"/>
      <w:lang w:eastAsia="en-AU"/>
    </w:rPr>
  </w:style>
  <w:style w:type="character" w:styleId="PageNumber">
    <w:name w:val="page number"/>
    <w:basedOn w:val="DefaultParagraphFont"/>
    <w:rsid w:val="00210A30"/>
  </w:style>
  <w:style w:type="character" w:customStyle="1" w:styleId="BlockText-PlainChar">
    <w:name w:val="Block Text- Plain Char"/>
    <w:basedOn w:val="DefaultParagraphFont"/>
    <w:link w:val="BlockText-Plain"/>
    <w:rsid w:val="00210A30"/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blocktext-plain0">
    <w:name w:val="blocktext-plain"/>
    <w:basedOn w:val="Normal"/>
    <w:rsid w:val="00210A30"/>
    <w:pPr>
      <w:keepLines w:val="0"/>
      <w:spacing w:after="200"/>
    </w:pPr>
    <w:rPr>
      <w:rFonts w:cs="Arial"/>
      <w:sz w:val="20"/>
    </w:rPr>
  </w:style>
  <w:style w:type="paragraph" w:customStyle="1" w:styleId="acthead6">
    <w:name w:val="acthead6"/>
    <w:basedOn w:val="Normal"/>
    <w:rsid w:val="00210A30"/>
    <w:pPr>
      <w:keepLines w:val="0"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mschno">
    <w:name w:val="charamschno"/>
    <w:basedOn w:val="DefaultParagraphFont"/>
    <w:rsid w:val="00210A30"/>
  </w:style>
  <w:style w:type="character" w:customStyle="1" w:styleId="charamschtext">
    <w:name w:val="charamschtext"/>
    <w:basedOn w:val="DefaultParagraphFont"/>
    <w:rsid w:val="00210A30"/>
  </w:style>
  <w:style w:type="paragraph" w:styleId="BalloonText">
    <w:name w:val="Balloon Text"/>
    <w:basedOn w:val="Normal"/>
    <w:link w:val="BalloonTextChar"/>
    <w:uiPriority w:val="99"/>
    <w:semiHidden/>
    <w:unhideWhenUsed/>
    <w:rsid w:val="00210A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A30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ShortT">
    <w:name w:val="ShortT"/>
    <w:basedOn w:val="Normal"/>
    <w:next w:val="Normal"/>
    <w:qFormat/>
    <w:rsid w:val="00B51D41"/>
    <w:pPr>
      <w:keepLines w:val="0"/>
    </w:pPr>
    <w:rPr>
      <w:rFonts w:ascii="Times New Roman" w:hAnsi="Times New Roman"/>
      <w:b/>
      <w:sz w:val="40"/>
    </w:rPr>
  </w:style>
  <w:style w:type="paragraph" w:customStyle="1" w:styleId="SignCoverPageEnd">
    <w:name w:val="SignCoverPageEnd"/>
    <w:basedOn w:val="Normal"/>
    <w:next w:val="Normal"/>
    <w:rsid w:val="00B51D41"/>
    <w:pPr>
      <w:keepNext/>
      <w:keepLines w:val="0"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rFonts w:ascii="Times New Roman" w:hAnsi="Times New Roman"/>
      <w:sz w:val="24"/>
    </w:rPr>
  </w:style>
  <w:style w:type="paragraph" w:customStyle="1" w:styleId="SignCoverPageStart">
    <w:name w:val="SignCoverPageStart"/>
    <w:basedOn w:val="Normal"/>
    <w:next w:val="Normal"/>
    <w:rsid w:val="00B51D41"/>
    <w:pPr>
      <w:keepLines w:val="0"/>
      <w:pBdr>
        <w:top w:val="single" w:sz="4" w:space="1" w:color="auto"/>
      </w:pBdr>
      <w:spacing w:before="360" w:line="260" w:lineRule="atLeast"/>
      <w:ind w:right="397"/>
      <w:jc w:val="both"/>
    </w:pPr>
    <w:rPr>
      <w:rFonts w:ascii="Times New Roman" w:hAnsi="Times New Roman"/>
    </w:rPr>
  </w:style>
  <w:style w:type="paragraph" w:customStyle="1" w:styleId="ActHead5">
    <w:name w:val="ActHead 5"/>
    <w:aliases w:val="s"/>
    <w:basedOn w:val="Normal"/>
    <w:next w:val="Normal"/>
    <w:qFormat/>
    <w:rsid w:val="00B51D41"/>
    <w:pPr>
      <w:keepNext/>
      <w:spacing w:before="280"/>
      <w:ind w:left="1134" w:hanging="1134"/>
      <w:outlineLvl w:val="4"/>
    </w:pPr>
    <w:rPr>
      <w:rFonts w:ascii="Times New Roman" w:hAnsi="Times New Roman"/>
      <w:b/>
      <w:kern w:val="28"/>
      <w:sz w:val="24"/>
    </w:rPr>
  </w:style>
  <w:style w:type="character" w:customStyle="1" w:styleId="CharSectno">
    <w:name w:val="CharSectno"/>
    <w:basedOn w:val="DefaultParagraphFont"/>
    <w:qFormat/>
    <w:rsid w:val="00B51D41"/>
  </w:style>
  <w:style w:type="paragraph" w:customStyle="1" w:styleId="subsection">
    <w:name w:val="subsection"/>
    <w:aliases w:val="ss"/>
    <w:basedOn w:val="Normal"/>
    <w:link w:val="subsectionChar"/>
    <w:rsid w:val="00B51D41"/>
    <w:pPr>
      <w:keepLines w:val="0"/>
      <w:tabs>
        <w:tab w:val="right" w:pos="1021"/>
      </w:tabs>
      <w:spacing w:before="180"/>
      <w:ind w:left="1134" w:hanging="1134"/>
    </w:pPr>
    <w:rPr>
      <w:rFonts w:ascii="Times New Roman" w:hAnsi="Times New Roman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B51D41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3">
    <w:name w:val="ActHead 3"/>
    <w:aliases w:val="d"/>
    <w:basedOn w:val="Normal"/>
    <w:next w:val="Normal"/>
    <w:qFormat/>
    <w:rsid w:val="00102EEE"/>
    <w:pPr>
      <w:keepNext/>
      <w:spacing w:before="240"/>
      <w:ind w:left="1134" w:hanging="1134"/>
      <w:outlineLvl w:val="2"/>
    </w:pPr>
    <w:rPr>
      <w:rFonts w:ascii="Times New Roman" w:hAnsi="Times New Roman"/>
      <w:b/>
      <w:kern w:val="28"/>
      <w:sz w:val="28"/>
    </w:rPr>
  </w:style>
  <w:style w:type="paragraph" w:styleId="TOC5">
    <w:name w:val="toc 5"/>
    <w:basedOn w:val="Normal"/>
    <w:next w:val="Normal"/>
    <w:uiPriority w:val="39"/>
    <w:unhideWhenUsed/>
    <w:rsid w:val="00102EEE"/>
    <w:pPr>
      <w:tabs>
        <w:tab w:val="right" w:leader="dot" w:pos="8278"/>
      </w:tabs>
      <w:spacing w:before="40"/>
      <w:ind w:left="1985" w:right="567" w:hanging="567"/>
    </w:pPr>
    <w:rPr>
      <w:rFonts w:ascii="Times New Roman" w:hAnsi="Times New Roman"/>
      <w:kern w:val="28"/>
      <w:sz w:val="18"/>
    </w:rPr>
  </w:style>
  <w:style w:type="paragraph" w:styleId="TOC6">
    <w:name w:val="toc 6"/>
    <w:basedOn w:val="Normal"/>
    <w:next w:val="Normal"/>
    <w:uiPriority w:val="39"/>
    <w:unhideWhenUsed/>
    <w:rsid w:val="00102EEE"/>
    <w:pPr>
      <w:tabs>
        <w:tab w:val="right" w:pos="8278"/>
      </w:tabs>
      <w:spacing w:before="120"/>
      <w:ind w:left="1344" w:right="567" w:hanging="1344"/>
    </w:pPr>
    <w:rPr>
      <w:rFonts w:ascii="Times New Roman" w:hAnsi="Times New Roman"/>
      <w:b/>
      <w:kern w:val="28"/>
      <w:sz w:val="24"/>
    </w:rPr>
  </w:style>
  <w:style w:type="paragraph" w:styleId="TOC9">
    <w:name w:val="toc 9"/>
    <w:basedOn w:val="Normal"/>
    <w:next w:val="Normal"/>
    <w:uiPriority w:val="39"/>
    <w:unhideWhenUsed/>
    <w:rsid w:val="00102EEE"/>
    <w:pPr>
      <w:tabs>
        <w:tab w:val="right" w:pos="8278"/>
      </w:tabs>
      <w:spacing w:before="80"/>
      <w:ind w:left="851" w:right="567"/>
    </w:pPr>
    <w:rPr>
      <w:rFonts w:ascii="Times New Roman" w:hAnsi="Times New Roman"/>
      <w:i/>
      <w:kern w:val="28"/>
      <w:sz w:val="20"/>
    </w:rPr>
  </w:style>
  <w:style w:type="paragraph" w:customStyle="1" w:styleId="TableTextArial-left">
    <w:name w:val="Table Text (Arial - left)"/>
    <w:basedOn w:val="Normal"/>
    <w:link w:val="TableTextArial-leftChar"/>
    <w:rsid w:val="00437858"/>
    <w:pPr>
      <w:keepLines w:val="0"/>
      <w:spacing w:before="20" w:after="20"/>
    </w:pPr>
    <w:rPr>
      <w:sz w:val="20"/>
    </w:rPr>
  </w:style>
  <w:style w:type="character" w:customStyle="1" w:styleId="TableTextArial-leftChar">
    <w:name w:val="Table Text (Arial - left) Char"/>
    <w:link w:val="TableTextArial-left"/>
    <w:locked/>
    <w:rsid w:val="00437858"/>
    <w:rPr>
      <w:rFonts w:ascii="Arial" w:eastAsia="Times New Roman" w:hAnsi="Arial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84E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E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E08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E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E08"/>
    <w:rPr>
      <w:rFonts w:ascii="Arial" w:eastAsia="Times New Roman" w:hAnsi="Arial" w:cs="Times New Roman"/>
      <w:b/>
      <w:bCs/>
      <w:sz w:val="20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B2A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A3D"/>
    <w:rPr>
      <w:rFonts w:ascii="Arial" w:eastAsia="Times New Roman" w:hAnsi="Arial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Defence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Urbani, Karen MS</dc:creator>
  <cp:lastModifiedBy>Urbani, Karen MS</cp:lastModifiedBy>
  <cp:revision>3</cp:revision>
  <cp:lastPrinted>2018-01-08T05:29:00Z</cp:lastPrinted>
  <dcterms:created xsi:type="dcterms:W3CDTF">2018-01-09T01:51:00Z</dcterms:created>
  <dcterms:modified xsi:type="dcterms:W3CDTF">2018-01-09T01:56:00Z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AB33840422</vt:lpwstr>
  </property>
  <property fmtid="{D5CDD505-2E9C-101B-9397-08002B2CF9AE}" pid="4" name="Objective-Title">
    <vt:lpwstr>58B_2018_1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2017-12-12T05:27:57Z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2018-01-09T01:50:42Z</vt:filetime>
  </property>
  <property fmtid="{D5CDD505-2E9C-101B-9397-08002B2CF9AE}" pid="11" name="Objective-Owner">
    <vt:lpwstr>Urbani, Karen Ms</vt:lpwstr>
  </property>
  <property fmtid="{D5CDD505-2E9C-101B-9397-08002B2CF9AE}" pid="12" name="Objective-Path">
    <vt:lpwstr>Objective Global Folder - PROD:Defence Business Units:Chief Operating Officer Group:Defence People Group:DPG-PPEC : Personnel Policy and Employment Conditions:20 - Directorates:20 Engagement, Priorities and Drafting:DEPD: Directorate of Engagement, Priori</vt:lpwstr>
  </property>
  <property fmtid="{D5CDD505-2E9C-101B-9397-08002B2CF9AE}" pid="13" name="Objective-Parent">
    <vt:lpwstr>58B_2018_1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11.1</vt:lpwstr>
  </property>
  <property fmtid="{D5CDD505-2E9C-101B-9397-08002B2CF9AE}" pid="16" name="Objective-VersionNumber">
    <vt:i4>12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>
    </vt:lpwstr>
  </property>
  <property fmtid="{D5CDD505-2E9C-101B-9397-08002B2CF9AE}" pid="21" name="Objective-Document Type [system]">
    <vt:lpwstr>
    </vt:lpwstr>
  </property>
</Properties>
</file>