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0C627D" w:rsidRDefault="00DA186E" w:rsidP="00B05CF4">
      <w:pPr>
        <w:rPr>
          <w:sz w:val="28"/>
        </w:rPr>
      </w:pPr>
      <w:r w:rsidRPr="000C627D">
        <w:rPr>
          <w:noProof/>
          <w:lang w:eastAsia="en-AU"/>
        </w:rPr>
        <w:drawing>
          <wp:inline distT="0" distB="0" distL="0" distR="0" wp14:anchorId="3C11FB4A" wp14:editId="18E21AC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0C627D" w:rsidRDefault="00715914" w:rsidP="00715914">
      <w:pPr>
        <w:rPr>
          <w:sz w:val="19"/>
        </w:rPr>
      </w:pPr>
    </w:p>
    <w:p w:rsidR="00715914" w:rsidRPr="000C627D" w:rsidRDefault="00321154" w:rsidP="00715914">
      <w:pPr>
        <w:pStyle w:val="ShortT"/>
      </w:pPr>
      <w:r w:rsidRPr="000C627D">
        <w:t>Product Emissions Standards Rules</w:t>
      </w:r>
      <w:r w:rsidR="000C627D" w:rsidRPr="000C627D">
        <w:t> </w:t>
      </w:r>
      <w:r w:rsidRPr="000C627D">
        <w:t>2017</w:t>
      </w:r>
    </w:p>
    <w:p w:rsidR="00801B89" w:rsidRPr="000C627D" w:rsidRDefault="00801B89" w:rsidP="008D1217">
      <w:pPr>
        <w:pStyle w:val="SignCoverPageStart"/>
        <w:rPr>
          <w:szCs w:val="22"/>
        </w:rPr>
      </w:pPr>
      <w:r w:rsidRPr="000C627D">
        <w:rPr>
          <w:szCs w:val="22"/>
        </w:rPr>
        <w:t xml:space="preserve">I, Josh </w:t>
      </w:r>
      <w:proofErr w:type="spellStart"/>
      <w:r w:rsidRPr="000C627D">
        <w:rPr>
          <w:szCs w:val="22"/>
        </w:rPr>
        <w:t>Frydenberg</w:t>
      </w:r>
      <w:proofErr w:type="spellEnd"/>
      <w:r w:rsidRPr="000C627D">
        <w:rPr>
          <w:szCs w:val="22"/>
        </w:rPr>
        <w:t>, Minister for the Environment and Energy, make the following rules.</w:t>
      </w:r>
    </w:p>
    <w:p w:rsidR="00801B89" w:rsidRPr="000C627D" w:rsidRDefault="00801B89" w:rsidP="008D1217">
      <w:pPr>
        <w:keepNext/>
        <w:spacing w:before="300" w:line="240" w:lineRule="atLeast"/>
        <w:ind w:right="397"/>
        <w:jc w:val="both"/>
        <w:rPr>
          <w:szCs w:val="22"/>
        </w:rPr>
      </w:pPr>
      <w:r w:rsidRPr="000C627D">
        <w:rPr>
          <w:szCs w:val="22"/>
        </w:rPr>
        <w:t>Dated</w:t>
      </w:r>
      <w:r w:rsidR="000309EC">
        <w:rPr>
          <w:szCs w:val="22"/>
        </w:rPr>
        <w:t xml:space="preserve"> </w:t>
      </w:r>
      <w:r w:rsidRPr="000C627D">
        <w:rPr>
          <w:szCs w:val="22"/>
        </w:rPr>
        <w:fldChar w:fldCharType="begin"/>
      </w:r>
      <w:r w:rsidRPr="000C627D">
        <w:rPr>
          <w:szCs w:val="22"/>
        </w:rPr>
        <w:instrText xml:space="preserve"> DOCPROPERTY  DateMade </w:instrText>
      </w:r>
      <w:r w:rsidRPr="000C627D">
        <w:rPr>
          <w:szCs w:val="22"/>
        </w:rPr>
        <w:fldChar w:fldCharType="separate"/>
      </w:r>
      <w:r w:rsidR="000309EC">
        <w:rPr>
          <w:szCs w:val="22"/>
        </w:rPr>
        <w:t>18 December 2017</w:t>
      </w:r>
      <w:r w:rsidRPr="000C627D">
        <w:rPr>
          <w:szCs w:val="22"/>
        </w:rPr>
        <w:fldChar w:fldCharType="end"/>
      </w:r>
    </w:p>
    <w:p w:rsidR="00801B89" w:rsidRPr="000C627D" w:rsidRDefault="00801B89" w:rsidP="008D1217">
      <w:pPr>
        <w:keepNext/>
        <w:tabs>
          <w:tab w:val="left" w:pos="3402"/>
        </w:tabs>
        <w:spacing w:before="1440" w:line="300" w:lineRule="atLeast"/>
        <w:ind w:right="397"/>
        <w:rPr>
          <w:szCs w:val="22"/>
        </w:rPr>
      </w:pPr>
      <w:r w:rsidRPr="000C627D">
        <w:rPr>
          <w:szCs w:val="22"/>
        </w:rPr>
        <w:t xml:space="preserve">Josh </w:t>
      </w:r>
      <w:proofErr w:type="spellStart"/>
      <w:r w:rsidRPr="000C627D">
        <w:rPr>
          <w:szCs w:val="22"/>
        </w:rPr>
        <w:t>Frydenberg</w:t>
      </w:r>
      <w:proofErr w:type="spellEnd"/>
    </w:p>
    <w:p w:rsidR="00801B89" w:rsidRPr="000C627D" w:rsidRDefault="00801B89" w:rsidP="008D1217">
      <w:pPr>
        <w:pStyle w:val="SignCoverPageEnd"/>
        <w:rPr>
          <w:szCs w:val="22"/>
        </w:rPr>
      </w:pPr>
      <w:r w:rsidRPr="000C627D">
        <w:rPr>
          <w:szCs w:val="22"/>
        </w:rPr>
        <w:t>Minister for the Environment and Energy</w:t>
      </w:r>
    </w:p>
    <w:p w:rsidR="00801B89" w:rsidRPr="000C627D" w:rsidRDefault="00801B89" w:rsidP="008D1217"/>
    <w:p w:rsidR="00801B89" w:rsidRPr="000C627D" w:rsidRDefault="00801B89" w:rsidP="00801B89"/>
    <w:p w:rsidR="00715914" w:rsidRPr="000C627D" w:rsidRDefault="00715914" w:rsidP="00715914">
      <w:pPr>
        <w:pStyle w:val="Header"/>
        <w:tabs>
          <w:tab w:val="clear" w:pos="4150"/>
          <w:tab w:val="clear" w:pos="8307"/>
        </w:tabs>
      </w:pPr>
      <w:r w:rsidRPr="000C627D">
        <w:rPr>
          <w:rStyle w:val="CharChapNo"/>
        </w:rPr>
        <w:t xml:space="preserve"> </w:t>
      </w:r>
      <w:r w:rsidRPr="000C627D">
        <w:rPr>
          <w:rStyle w:val="CharChapText"/>
        </w:rPr>
        <w:t xml:space="preserve"> </w:t>
      </w:r>
    </w:p>
    <w:p w:rsidR="00715914" w:rsidRPr="000C627D" w:rsidRDefault="00715914" w:rsidP="00715914">
      <w:pPr>
        <w:pStyle w:val="Header"/>
        <w:tabs>
          <w:tab w:val="clear" w:pos="4150"/>
          <w:tab w:val="clear" w:pos="8307"/>
        </w:tabs>
      </w:pPr>
      <w:r w:rsidRPr="000C627D">
        <w:rPr>
          <w:rStyle w:val="CharPartNo"/>
        </w:rPr>
        <w:t xml:space="preserve"> </w:t>
      </w:r>
      <w:r w:rsidRPr="000C627D">
        <w:rPr>
          <w:rStyle w:val="CharPartText"/>
        </w:rPr>
        <w:t xml:space="preserve"> </w:t>
      </w:r>
    </w:p>
    <w:p w:rsidR="00715914" w:rsidRPr="000C627D" w:rsidRDefault="00715914" w:rsidP="00715914">
      <w:pPr>
        <w:pStyle w:val="Header"/>
        <w:tabs>
          <w:tab w:val="clear" w:pos="4150"/>
          <w:tab w:val="clear" w:pos="8307"/>
        </w:tabs>
      </w:pPr>
      <w:r w:rsidRPr="000C627D">
        <w:rPr>
          <w:rStyle w:val="CharDivNo"/>
        </w:rPr>
        <w:t xml:space="preserve"> </w:t>
      </w:r>
      <w:r w:rsidRPr="000C627D">
        <w:rPr>
          <w:rStyle w:val="CharDivText"/>
        </w:rPr>
        <w:t xml:space="preserve"> </w:t>
      </w:r>
    </w:p>
    <w:p w:rsidR="00715914" w:rsidRPr="000C627D" w:rsidRDefault="00715914" w:rsidP="00715914">
      <w:pPr>
        <w:sectPr w:rsidR="00715914" w:rsidRPr="000C627D" w:rsidSect="009A21A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0C627D" w:rsidRDefault="00715914" w:rsidP="00FD5533">
      <w:pPr>
        <w:rPr>
          <w:sz w:val="36"/>
        </w:rPr>
      </w:pPr>
      <w:r w:rsidRPr="000C627D">
        <w:rPr>
          <w:sz w:val="36"/>
        </w:rPr>
        <w:lastRenderedPageBreak/>
        <w:t>Contents</w:t>
      </w:r>
    </w:p>
    <w:p w:rsidR="001A2FDF" w:rsidRPr="000C627D" w:rsidRDefault="001A2FDF">
      <w:pPr>
        <w:pStyle w:val="TOC2"/>
        <w:rPr>
          <w:rFonts w:asciiTheme="minorHAnsi" w:eastAsiaTheme="minorEastAsia" w:hAnsiTheme="minorHAnsi" w:cstheme="minorBidi"/>
          <w:b w:val="0"/>
          <w:noProof/>
          <w:kern w:val="0"/>
          <w:sz w:val="22"/>
          <w:szCs w:val="22"/>
        </w:rPr>
      </w:pPr>
      <w:r w:rsidRPr="000C627D">
        <w:fldChar w:fldCharType="begin"/>
      </w:r>
      <w:r w:rsidRPr="000C627D">
        <w:instrText xml:space="preserve"> TOC \o "1-9" </w:instrText>
      </w:r>
      <w:r w:rsidRPr="000C627D">
        <w:fldChar w:fldCharType="separate"/>
      </w:r>
      <w:r w:rsidRPr="000C627D">
        <w:rPr>
          <w:noProof/>
        </w:rPr>
        <w:t>Part</w:t>
      </w:r>
      <w:r w:rsidR="000C627D" w:rsidRPr="000C627D">
        <w:rPr>
          <w:noProof/>
        </w:rPr>
        <w:t> </w:t>
      </w:r>
      <w:r w:rsidRPr="000C627D">
        <w:rPr>
          <w:noProof/>
        </w:rPr>
        <w:t>1—Preliminary</w:t>
      </w:r>
      <w:r w:rsidRPr="000C627D">
        <w:rPr>
          <w:b w:val="0"/>
          <w:noProof/>
          <w:sz w:val="18"/>
        </w:rPr>
        <w:tab/>
      </w:r>
      <w:r w:rsidRPr="000C627D">
        <w:rPr>
          <w:b w:val="0"/>
          <w:noProof/>
          <w:sz w:val="18"/>
        </w:rPr>
        <w:fldChar w:fldCharType="begin"/>
      </w:r>
      <w:r w:rsidRPr="000C627D">
        <w:rPr>
          <w:b w:val="0"/>
          <w:noProof/>
          <w:sz w:val="18"/>
        </w:rPr>
        <w:instrText xml:space="preserve"> PAGEREF _Toc500512543 \h </w:instrText>
      </w:r>
      <w:r w:rsidRPr="000C627D">
        <w:rPr>
          <w:b w:val="0"/>
          <w:noProof/>
          <w:sz w:val="18"/>
        </w:rPr>
      </w:r>
      <w:r w:rsidRPr="000C627D">
        <w:rPr>
          <w:b w:val="0"/>
          <w:noProof/>
          <w:sz w:val="18"/>
        </w:rPr>
        <w:fldChar w:fldCharType="separate"/>
      </w:r>
      <w:r w:rsidR="000309EC">
        <w:rPr>
          <w:b w:val="0"/>
          <w:noProof/>
          <w:sz w:val="18"/>
        </w:rPr>
        <w:t>1</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1</w:t>
      </w:r>
      <w:r w:rsidRPr="000C627D">
        <w:rPr>
          <w:noProof/>
        </w:rPr>
        <w:tab/>
        <w:t>Name</w:t>
      </w:r>
      <w:r w:rsidRPr="000C627D">
        <w:rPr>
          <w:noProof/>
        </w:rPr>
        <w:tab/>
      </w:r>
      <w:r w:rsidRPr="000C627D">
        <w:rPr>
          <w:noProof/>
        </w:rPr>
        <w:fldChar w:fldCharType="begin"/>
      </w:r>
      <w:r w:rsidRPr="000C627D">
        <w:rPr>
          <w:noProof/>
        </w:rPr>
        <w:instrText xml:space="preserve"> PAGEREF _Toc500512544 \h </w:instrText>
      </w:r>
      <w:r w:rsidRPr="000C627D">
        <w:rPr>
          <w:noProof/>
        </w:rPr>
      </w:r>
      <w:r w:rsidRPr="000C627D">
        <w:rPr>
          <w:noProof/>
        </w:rPr>
        <w:fldChar w:fldCharType="separate"/>
      </w:r>
      <w:r w:rsidR="000309EC">
        <w:rPr>
          <w:noProof/>
        </w:rPr>
        <w:t>1</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2</w:t>
      </w:r>
      <w:r w:rsidRPr="000C627D">
        <w:rPr>
          <w:noProof/>
        </w:rPr>
        <w:tab/>
        <w:t>Commencement</w:t>
      </w:r>
      <w:r w:rsidRPr="000C627D">
        <w:rPr>
          <w:noProof/>
        </w:rPr>
        <w:tab/>
      </w:r>
      <w:r w:rsidRPr="000C627D">
        <w:rPr>
          <w:noProof/>
        </w:rPr>
        <w:fldChar w:fldCharType="begin"/>
      </w:r>
      <w:r w:rsidRPr="000C627D">
        <w:rPr>
          <w:noProof/>
        </w:rPr>
        <w:instrText xml:space="preserve"> PAGEREF _Toc500512545 \h </w:instrText>
      </w:r>
      <w:r w:rsidRPr="000C627D">
        <w:rPr>
          <w:noProof/>
        </w:rPr>
      </w:r>
      <w:r w:rsidRPr="000C627D">
        <w:rPr>
          <w:noProof/>
        </w:rPr>
        <w:fldChar w:fldCharType="separate"/>
      </w:r>
      <w:r w:rsidR="000309EC">
        <w:rPr>
          <w:noProof/>
        </w:rPr>
        <w:t>1</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3</w:t>
      </w:r>
      <w:r w:rsidRPr="000C627D">
        <w:rPr>
          <w:noProof/>
        </w:rPr>
        <w:tab/>
        <w:t>Authority</w:t>
      </w:r>
      <w:r w:rsidRPr="000C627D">
        <w:rPr>
          <w:noProof/>
        </w:rPr>
        <w:tab/>
      </w:r>
      <w:r w:rsidRPr="000C627D">
        <w:rPr>
          <w:noProof/>
        </w:rPr>
        <w:fldChar w:fldCharType="begin"/>
      </w:r>
      <w:r w:rsidRPr="000C627D">
        <w:rPr>
          <w:noProof/>
        </w:rPr>
        <w:instrText xml:space="preserve"> PAGEREF _Toc500512546 \h </w:instrText>
      </w:r>
      <w:r w:rsidRPr="000C627D">
        <w:rPr>
          <w:noProof/>
        </w:rPr>
      </w:r>
      <w:r w:rsidRPr="000C627D">
        <w:rPr>
          <w:noProof/>
        </w:rPr>
        <w:fldChar w:fldCharType="separate"/>
      </w:r>
      <w:r w:rsidR="000309EC">
        <w:rPr>
          <w:noProof/>
        </w:rPr>
        <w:t>1</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4</w:t>
      </w:r>
      <w:r w:rsidRPr="000C627D">
        <w:rPr>
          <w:noProof/>
        </w:rPr>
        <w:tab/>
        <w:t>Simplified outline</w:t>
      </w:r>
      <w:r w:rsidRPr="000C627D">
        <w:rPr>
          <w:noProof/>
        </w:rPr>
        <w:tab/>
      </w:r>
      <w:r w:rsidRPr="000C627D">
        <w:rPr>
          <w:noProof/>
        </w:rPr>
        <w:fldChar w:fldCharType="begin"/>
      </w:r>
      <w:r w:rsidRPr="000C627D">
        <w:rPr>
          <w:noProof/>
        </w:rPr>
        <w:instrText xml:space="preserve"> PAGEREF _Toc500512547 \h </w:instrText>
      </w:r>
      <w:r w:rsidRPr="000C627D">
        <w:rPr>
          <w:noProof/>
        </w:rPr>
      </w:r>
      <w:r w:rsidRPr="000C627D">
        <w:rPr>
          <w:noProof/>
        </w:rPr>
        <w:fldChar w:fldCharType="separate"/>
      </w:r>
      <w:r w:rsidR="000309EC">
        <w:rPr>
          <w:noProof/>
        </w:rPr>
        <w:t>1</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5</w:t>
      </w:r>
      <w:r w:rsidRPr="000C627D">
        <w:rPr>
          <w:noProof/>
        </w:rPr>
        <w:tab/>
        <w:t>Definitions</w:t>
      </w:r>
      <w:r w:rsidRPr="000C627D">
        <w:rPr>
          <w:noProof/>
        </w:rPr>
        <w:tab/>
      </w:r>
      <w:r w:rsidRPr="000C627D">
        <w:rPr>
          <w:noProof/>
        </w:rPr>
        <w:fldChar w:fldCharType="begin"/>
      </w:r>
      <w:r w:rsidRPr="000C627D">
        <w:rPr>
          <w:noProof/>
        </w:rPr>
        <w:instrText xml:space="preserve"> PAGEREF _Toc500512548 \h </w:instrText>
      </w:r>
      <w:r w:rsidRPr="000C627D">
        <w:rPr>
          <w:noProof/>
        </w:rPr>
      </w:r>
      <w:r w:rsidRPr="000C627D">
        <w:rPr>
          <w:noProof/>
        </w:rPr>
        <w:fldChar w:fldCharType="separate"/>
      </w:r>
      <w:r w:rsidR="000309EC">
        <w:rPr>
          <w:noProof/>
        </w:rPr>
        <w:t>2</w:t>
      </w:r>
      <w:r w:rsidRPr="000C627D">
        <w:rPr>
          <w:noProof/>
        </w:rPr>
        <w:fldChar w:fldCharType="end"/>
      </w:r>
    </w:p>
    <w:p w:rsidR="001A2FDF" w:rsidRPr="000C627D" w:rsidRDefault="001A2FDF">
      <w:pPr>
        <w:pStyle w:val="TOC2"/>
        <w:rPr>
          <w:rFonts w:asciiTheme="minorHAnsi" w:eastAsiaTheme="minorEastAsia" w:hAnsiTheme="minorHAnsi" w:cstheme="minorBidi"/>
          <w:b w:val="0"/>
          <w:noProof/>
          <w:kern w:val="0"/>
          <w:sz w:val="22"/>
          <w:szCs w:val="22"/>
        </w:rPr>
      </w:pPr>
      <w:r w:rsidRPr="000C627D">
        <w:rPr>
          <w:noProof/>
        </w:rPr>
        <w:t>Part</w:t>
      </w:r>
      <w:r w:rsidR="000C627D" w:rsidRPr="000C627D">
        <w:rPr>
          <w:noProof/>
        </w:rPr>
        <w:t> </w:t>
      </w:r>
      <w:r w:rsidRPr="000C627D">
        <w:rPr>
          <w:noProof/>
        </w:rPr>
        <w:t>2—Emissions</w:t>
      </w:r>
      <w:r w:rsidR="000C627D">
        <w:rPr>
          <w:noProof/>
        </w:rPr>
        <w:noBreakHyphen/>
      </w:r>
      <w:r w:rsidRPr="000C627D">
        <w:rPr>
          <w:noProof/>
        </w:rPr>
        <w:t>controlled products</w:t>
      </w:r>
      <w:r w:rsidRPr="000C627D">
        <w:rPr>
          <w:b w:val="0"/>
          <w:noProof/>
          <w:sz w:val="18"/>
        </w:rPr>
        <w:tab/>
      </w:r>
      <w:r w:rsidRPr="000C627D">
        <w:rPr>
          <w:b w:val="0"/>
          <w:noProof/>
          <w:sz w:val="18"/>
        </w:rPr>
        <w:fldChar w:fldCharType="begin"/>
      </w:r>
      <w:r w:rsidRPr="000C627D">
        <w:rPr>
          <w:b w:val="0"/>
          <w:noProof/>
          <w:sz w:val="18"/>
        </w:rPr>
        <w:instrText xml:space="preserve"> PAGEREF _Toc500512549 \h </w:instrText>
      </w:r>
      <w:r w:rsidRPr="000C627D">
        <w:rPr>
          <w:b w:val="0"/>
          <w:noProof/>
          <w:sz w:val="18"/>
        </w:rPr>
      </w:r>
      <w:r w:rsidRPr="000C627D">
        <w:rPr>
          <w:b w:val="0"/>
          <w:noProof/>
          <w:sz w:val="18"/>
        </w:rPr>
        <w:fldChar w:fldCharType="separate"/>
      </w:r>
      <w:r w:rsidR="000309EC">
        <w:rPr>
          <w:b w:val="0"/>
          <w:noProof/>
          <w:sz w:val="18"/>
        </w:rPr>
        <w:t>4</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6</w:t>
      </w:r>
      <w:r w:rsidRPr="000C627D">
        <w:rPr>
          <w:noProof/>
        </w:rPr>
        <w:tab/>
        <w:t>Emissions</w:t>
      </w:r>
      <w:r w:rsidR="000C627D">
        <w:rPr>
          <w:noProof/>
        </w:rPr>
        <w:noBreakHyphen/>
      </w:r>
      <w:r w:rsidRPr="000C627D">
        <w:rPr>
          <w:noProof/>
        </w:rPr>
        <w:t>controlled products</w:t>
      </w:r>
      <w:r w:rsidRPr="000C627D">
        <w:rPr>
          <w:noProof/>
        </w:rPr>
        <w:tab/>
      </w:r>
      <w:r w:rsidRPr="000C627D">
        <w:rPr>
          <w:noProof/>
        </w:rPr>
        <w:fldChar w:fldCharType="begin"/>
      </w:r>
      <w:r w:rsidRPr="000C627D">
        <w:rPr>
          <w:noProof/>
        </w:rPr>
        <w:instrText xml:space="preserve"> PAGEREF _Toc500512550 \h </w:instrText>
      </w:r>
      <w:r w:rsidRPr="000C627D">
        <w:rPr>
          <w:noProof/>
        </w:rPr>
      </w:r>
      <w:r w:rsidRPr="000C627D">
        <w:rPr>
          <w:noProof/>
        </w:rPr>
        <w:fldChar w:fldCharType="separate"/>
      </w:r>
      <w:r w:rsidR="000309EC">
        <w:rPr>
          <w:noProof/>
        </w:rPr>
        <w:t>4</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7</w:t>
      </w:r>
      <w:r w:rsidRPr="000C627D">
        <w:rPr>
          <w:noProof/>
        </w:rPr>
        <w:tab/>
        <w:t xml:space="preserve">Definition of </w:t>
      </w:r>
      <w:r w:rsidRPr="000C627D">
        <w:rPr>
          <w:i/>
          <w:noProof/>
        </w:rPr>
        <w:t>propulsion marine engine</w:t>
      </w:r>
      <w:r w:rsidRPr="000C627D">
        <w:rPr>
          <w:noProof/>
        </w:rPr>
        <w:tab/>
      </w:r>
      <w:r w:rsidRPr="000C627D">
        <w:rPr>
          <w:noProof/>
        </w:rPr>
        <w:fldChar w:fldCharType="begin"/>
      </w:r>
      <w:r w:rsidRPr="000C627D">
        <w:rPr>
          <w:noProof/>
        </w:rPr>
        <w:instrText xml:space="preserve"> PAGEREF _Toc500512551 \h </w:instrText>
      </w:r>
      <w:r w:rsidRPr="000C627D">
        <w:rPr>
          <w:noProof/>
        </w:rPr>
      </w:r>
      <w:r w:rsidRPr="000C627D">
        <w:rPr>
          <w:noProof/>
        </w:rPr>
        <w:fldChar w:fldCharType="separate"/>
      </w:r>
      <w:r w:rsidR="000309EC">
        <w:rPr>
          <w:noProof/>
        </w:rPr>
        <w:t>4</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8</w:t>
      </w:r>
      <w:r w:rsidRPr="000C627D">
        <w:rPr>
          <w:noProof/>
        </w:rPr>
        <w:tab/>
        <w:t xml:space="preserve">Definition of </w:t>
      </w:r>
      <w:r w:rsidRPr="000C627D">
        <w:rPr>
          <w:i/>
          <w:noProof/>
        </w:rPr>
        <w:t>non</w:t>
      </w:r>
      <w:r w:rsidR="000C627D">
        <w:rPr>
          <w:i/>
          <w:noProof/>
        </w:rPr>
        <w:noBreakHyphen/>
      </w:r>
      <w:r w:rsidRPr="000C627D">
        <w:rPr>
          <w:i/>
          <w:noProof/>
        </w:rPr>
        <w:t>road engine</w:t>
      </w:r>
      <w:r w:rsidRPr="000C627D">
        <w:rPr>
          <w:noProof/>
        </w:rPr>
        <w:tab/>
      </w:r>
      <w:r w:rsidRPr="000C627D">
        <w:rPr>
          <w:noProof/>
        </w:rPr>
        <w:fldChar w:fldCharType="begin"/>
      </w:r>
      <w:r w:rsidRPr="000C627D">
        <w:rPr>
          <w:noProof/>
        </w:rPr>
        <w:instrText xml:space="preserve"> PAGEREF _Toc500512552 \h </w:instrText>
      </w:r>
      <w:r w:rsidRPr="000C627D">
        <w:rPr>
          <w:noProof/>
        </w:rPr>
      </w:r>
      <w:r w:rsidRPr="000C627D">
        <w:rPr>
          <w:noProof/>
        </w:rPr>
        <w:fldChar w:fldCharType="separate"/>
      </w:r>
      <w:r w:rsidR="000309EC">
        <w:rPr>
          <w:noProof/>
        </w:rPr>
        <w:t>4</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9</w:t>
      </w:r>
      <w:r w:rsidRPr="000C627D">
        <w:rPr>
          <w:noProof/>
        </w:rPr>
        <w:tab/>
        <w:t>Other definitions relating to engines</w:t>
      </w:r>
      <w:r w:rsidRPr="000C627D">
        <w:rPr>
          <w:noProof/>
        </w:rPr>
        <w:tab/>
      </w:r>
      <w:r w:rsidRPr="000C627D">
        <w:rPr>
          <w:noProof/>
        </w:rPr>
        <w:fldChar w:fldCharType="begin"/>
      </w:r>
      <w:r w:rsidRPr="000C627D">
        <w:rPr>
          <w:noProof/>
        </w:rPr>
        <w:instrText xml:space="preserve"> PAGEREF _Toc500512553 \h </w:instrText>
      </w:r>
      <w:r w:rsidRPr="000C627D">
        <w:rPr>
          <w:noProof/>
        </w:rPr>
      </w:r>
      <w:r w:rsidRPr="000C627D">
        <w:rPr>
          <w:noProof/>
        </w:rPr>
        <w:fldChar w:fldCharType="separate"/>
      </w:r>
      <w:r w:rsidR="000309EC">
        <w:rPr>
          <w:noProof/>
        </w:rPr>
        <w:t>5</w:t>
      </w:r>
      <w:r w:rsidRPr="000C627D">
        <w:rPr>
          <w:noProof/>
        </w:rPr>
        <w:fldChar w:fldCharType="end"/>
      </w:r>
    </w:p>
    <w:p w:rsidR="001A2FDF" w:rsidRPr="000C627D" w:rsidRDefault="001A2FDF">
      <w:pPr>
        <w:pStyle w:val="TOC2"/>
        <w:rPr>
          <w:rFonts w:asciiTheme="minorHAnsi" w:eastAsiaTheme="minorEastAsia" w:hAnsiTheme="minorHAnsi" w:cstheme="minorBidi"/>
          <w:b w:val="0"/>
          <w:noProof/>
          <w:kern w:val="0"/>
          <w:sz w:val="22"/>
          <w:szCs w:val="22"/>
        </w:rPr>
      </w:pPr>
      <w:r w:rsidRPr="000C627D">
        <w:rPr>
          <w:noProof/>
        </w:rPr>
        <w:t>Part</w:t>
      </w:r>
      <w:r w:rsidR="000C627D" w:rsidRPr="000C627D">
        <w:rPr>
          <w:noProof/>
        </w:rPr>
        <w:t> </w:t>
      </w:r>
      <w:r w:rsidRPr="000C627D">
        <w:rPr>
          <w:noProof/>
        </w:rPr>
        <w:t>3—Australian Emissions Standards</w:t>
      </w:r>
      <w:r w:rsidRPr="000C627D">
        <w:rPr>
          <w:b w:val="0"/>
          <w:noProof/>
          <w:sz w:val="18"/>
        </w:rPr>
        <w:tab/>
      </w:r>
      <w:r w:rsidRPr="000C627D">
        <w:rPr>
          <w:b w:val="0"/>
          <w:noProof/>
          <w:sz w:val="18"/>
        </w:rPr>
        <w:fldChar w:fldCharType="begin"/>
      </w:r>
      <w:r w:rsidRPr="000C627D">
        <w:rPr>
          <w:b w:val="0"/>
          <w:noProof/>
          <w:sz w:val="18"/>
        </w:rPr>
        <w:instrText xml:space="preserve"> PAGEREF _Toc500512554 \h </w:instrText>
      </w:r>
      <w:r w:rsidRPr="000C627D">
        <w:rPr>
          <w:b w:val="0"/>
          <w:noProof/>
          <w:sz w:val="18"/>
        </w:rPr>
      </w:r>
      <w:r w:rsidRPr="000C627D">
        <w:rPr>
          <w:b w:val="0"/>
          <w:noProof/>
          <w:sz w:val="18"/>
        </w:rPr>
        <w:fldChar w:fldCharType="separate"/>
      </w:r>
      <w:r w:rsidR="000309EC">
        <w:rPr>
          <w:b w:val="0"/>
          <w:noProof/>
          <w:sz w:val="18"/>
        </w:rPr>
        <w:t>6</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10</w:t>
      </w:r>
      <w:r w:rsidRPr="000C627D">
        <w:rPr>
          <w:noProof/>
        </w:rPr>
        <w:tab/>
        <w:t>Purposes of this Part</w:t>
      </w:r>
      <w:r w:rsidRPr="000C627D">
        <w:rPr>
          <w:noProof/>
        </w:rPr>
        <w:tab/>
      </w:r>
      <w:r w:rsidRPr="000C627D">
        <w:rPr>
          <w:noProof/>
        </w:rPr>
        <w:fldChar w:fldCharType="begin"/>
      </w:r>
      <w:r w:rsidRPr="000C627D">
        <w:rPr>
          <w:noProof/>
        </w:rPr>
        <w:instrText xml:space="preserve"> PAGEREF _Toc500512555 \h </w:instrText>
      </w:r>
      <w:r w:rsidRPr="000C627D">
        <w:rPr>
          <w:noProof/>
        </w:rPr>
      </w:r>
      <w:r w:rsidRPr="000C627D">
        <w:rPr>
          <w:noProof/>
        </w:rPr>
        <w:fldChar w:fldCharType="separate"/>
      </w:r>
      <w:r w:rsidR="000309EC">
        <w:rPr>
          <w:noProof/>
        </w:rPr>
        <w:t>6</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11</w:t>
      </w:r>
      <w:r w:rsidRPr="000C627D">
        <w:rPr>
          <w:noProof/>
        </w:rPr>
        <w:tab/>
        <w:t>Australian emissions standard for propulsion marine engines</w:t>
      </w:r>
      <w:r w:rsidRPr="000C627D">
        <w:rPr>
          <w:noProof/>
        </w:rPr>
        <w:tab/>
      </w:r>
      <w:r w:rsidRPr="000C627D">
        <w:rPr>
          <w:noProof/>
        </w:rPr>
        <w:fldChar w:fldCharType="begin"/>
      </w:r>
      <w:r w:rsidRPr="000C627D">
        <w:rPr>
          <w:noProof/>
        </w:rPr>
        <w:instrText xml:space="preserve"> PAGEREF _Toc500512556 \h </w:instrText>
      </w:r>
      <w:r w:rsidRPr="000C627D">
        <w:rPr>
          <w:noProof/>
        </w:rPr>
      </w:r>
      <w:r w:rsidRPr="000C627D">
        <w:rPr>
          <w:noProof/>
        </w:rPr>
        <w:fldChar w:fldCharType="separate"/>
      </w:r>
      <w:r w:rsidR="000309EC">
        <w:rPr>
          <w:noProof/>
        </w:rPr>
        <w:t>6</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12</w:t>
      </w:r>
      <w:r w:rsidRPr="000C627D">
        <w:rPr>
          <w:noProof/>
        </w:rPr>
        <w:tab/>
        <w:t>Australian emissions standard for non</w:t>
      </w:r>
      <w:r w:rsidR="000C627D">
        <w:rPr>
          <w:noProof/>
        </w:rPr>
        <w:noBreakHyphen/>
      </w:r>
      <w:r w:rsidRPr="000C627D">
        <w:rPr>
          <w:noProof/>
        </w:rPr>
        <w:t>road engines</w:t>
      </w:r>
      <w:r w:rsidRPr="000C627D">
        <w:rPr>
          <w:noProof/>
        </w:rPr>
        <w:tab/>
      </w:r>
      <w:r w:rsidRPr="000C627D">
        <w:rPr>
          <w:noProof/>
        </w:rPr>
        <w:fldChar w:fldCharType="begin"/>
      </w:r>
      <w:r w:rsidRPr="000C627D">
        <w:rPr>
          <w:noProof/>
        </w:rPr>
        <w:instrText xml:space="preserve"> PAGEREF _Toc500512557 \h </w:instrText>
      </w:r>
      <w:r w:rsidRPr="000C627D">
        <w:rPr>
          <w:noProof/>
        </w:rPr>
      </w:r>
      <w:r w:rsidRPr="000C627D">
        <w:rPr>
          <w:noProof/>
        </w:rPr>
        <w:fldChar w:fldCharType="separate"/>
      </w:r>
      <w:r w:rsidR="000309EC">
        <w:rPr>
          <w:noProof/>
        </w:rPr>
        <w:t>8</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13</w:t>
      </w:r>
      <w:r w:rsidRPr="000C627D">
        <w:rPr>
          <w:noProof/>
        </w:rPr>
        <w:tab/>
        <w:t>Test facilities</w:t>
      </w:r>
      <w:r w:rsidRPr="000C627D">
        <w:rPr>
          <w:noProof/>
        </w:rPr>
        <w:tab/>
      </w:r>
      <w:r w:rsidRPr="000C627D">
        <w:rPr>
          <w:noProof/>
        </w:rPr>
        <w:fldChar w:fldCharType="begin"/>
      </w:r>
      <w:r w:rsidRPr="000C627D">
        <w:rPr>
          <w:noProof/>
        </w:rPr>
        <w:instrText xml:space="preserve"> PAGEREF _Toc500512558 \h </w:instrText>
      </w:r>
      <w:r w:rsidRPr="000C627D">
        <w:rPr>
          <w:noProof/>
        </w:rPr>
      </w:r>
      <w:r w:rsidRPr="000C627D">
        <w:rPr>
          <w:noProof/>
        </w:rPr>
        <w:fldChar w:fldCharType="separate"/>
      </w:r>
      <w:r w:rsidR="000309EC">
        <w:rPr>
          <w:noProof/>
        </w:rPr>
        <w:t>9</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14</w:t>
      </w:r>
      <w:r w:rsidRPr="000C627D">
        <w:rPr>
          <w:noProof/>
        </w:rPr>
        <w:tab/>
        <w:t>Secretary may have regard to how other regulatory authorities exercise powers</w:t>
      </w:r>
      <w:r w:rsidRPr="000C627D">
        <w:rPr>
          <w:noProof/>
        </w:rPr>
        <w:tab/>
      </w:r>
      <w:r w:rsidRPr="000C627D">
        <w:rPr>
          <w:noProof/>
        </w:rPr>
        <w:fldChar w:fldCharType="begin"/>
      </w:r>
      <w:r w:rsidRPr="000C627D">
        <w:rPr>
          <w:noProof/>
        </w:rPr>
        <w:instrText xml:space="preserve"> PAGEREF _Toc500512559 \h </w:instrText>
      </w:r>
      <w:r w:rsidRPr="000C627D">
        <w:rPr>
          <w:noProof/>
        </w:rPr>
      </w:r>
      <w:r w:rsidRPr="000C627D">
        <w:rPr>
          <w:noProof/>
        </w:rPr>
        <w:fldChar w:fldCharType="separate"/>
      </w:r>
      <w:r w:rsidR="000309EC">
        <w:rPr>
          <w:noProof/>
        </w:rPr>
        <w:t>10</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15</w:t>
      </w:r>
      <w:r w:rsidRPr="000C627D">
        <w:rPr>
          <w:noProof/>
        </w:rPr>
        <w:tab/>
        <w:t>Incorporation of instruments etc. as in force from time to time—prescribed organisations</w:t>
      </w:r>
      <w:r w:rsidRPr="000C627D">
        <w:rPr>
          <w:noProof/>
        </w:rPr>
        <w:tab/>
      </w:r>
      <w:r w:rsidRPr="000C627D">
        <w:rPr>
          <w:noProof/>
        </w:rPr>
        <w:fldChar w:fldCharType="begin"/>
      </w:r>
      <w:r w:rsidRPr="000C627D">
        <w:rPr>
          <w:noProof/>
        </w:rPr>
        <w:instrText xml:space="preserve"> PAGEREF _Toc500512560 \h </w:instrText>
      </w:r>
      <w:r w:rsidRPr="000C627D">
        <w:rPr>
          <w:noProof/>
        </w:rPr>
      </w:r>
      <w:r w:rsidRPr="000C627D">
        <w:rPr>
          <w:noProof/>
        </w:rPr>
        <w:fldChar w:fldCharType="separate"/>
      </w:r>
      <w:r w:rsidR="000309EC">
        <w:rPr>
          <w:noProof/>
        </w:rPr>
        <w:t>10</w:t>
      </w:r>
      <w:r w:rsidRPr="000C627D">
        <w:rPr>
          <w:noProof/>
        </w:rPr>
        <w:fldChar w:fldCharType="end"/>
      </w:r>
    </w:p>
    <w:p w:rsidR="001A2FDF" w:rsidRPr="000C627D" w:rsidRDefault="001A2FDF">
      <w:pPr>
        <w:pStyle w:val="TOC2"/>
        <w:rPr>
          <w:rFonts w:asciiTheme="minorHAnsi" w:eastAsiaTheme="minorEastAsia" w:hAnsiTheme="minorHAnsi" w:cstheme="minorBidi"/>
          <w:b w:val="0"/>
          <w:noProof/>
          <w:kern w:val="0"/>
          <w:sz w:val="22"/>
          <w:szCs w:val="22"/>
        </w:rPr>
      </w:pPr>
      <w:r w:rsidRPr="000C627D">
        <w:rPr>
          <w:noProof/>
        </w:rPr>
        <w:t>Part</w:t>
      </w:r>
      <w:r w:rsidR="000C627D" w:rsidRPr="000C627D">
        <w:rPr>
          <w:noProof/>
        </w:rPr>
        <w:t> </w:t>
      </w:r>
      <w:r w:rsidRPr="000C627D">
        <w:rPr>
          <w:noProof/>
        </w:rPr>
        <w:t>4—Certification</w:t>
      </w:r>
      <w:r w:rsidRPr="000C627D">
        <w:rPr>
          <w:b w:val="0"/>
          <w:noProof/>
          <w:sz w:val="18"/>
        </w:rPr>
        <w:tab/>
      </w:r>
      <w:r w:rsidRPr="000C627D">
        <w:rPr>
          <w:b w:val="0"/>
          <w:noProof/>
          <w:sz w:val="18"/>
        </w:rPr>
        <w:fldChar w:fldCharType="begin"/>
      </w:r>
      <w:r w:rsidRPr="000C627D">
        <w:rPr>
          <w:b w:val="0"/>
          <w:noProof/>
          <w:sz w:val="18"/>
        </w:rPr>
        <w:instrText xml:space="preserve"> PAGEREF _Toc500512561 \h </w:instrText>
      </w:r>
      <w:r w:rsidRPr="000C627D">
        <w:rPr>
          <w:b w:val="0"/>
          <w:noProof/>
          <w:sz w:val="18"/>
        </w:rPr>
      </w:r>
      <w:r w:rsidRPr="000C627D">
        <w:rPr>
          <w:b w:val="0"/>
          <w:noProof/>
          <w:sz w:val="18"/>
        </w:rPr>
        <w:fldChar w:fldCharType="separate"/>
      </w:r>
      <w:r w:rsidR="000309EC">
        <w:rPr>
          <w:b w:val="0"/>
          <w:noProof/>
          <w:sz w:val="18"/>
        </w:rPr>
        <w:t>11</w:t>
      </w:r>
      <w:r w:rsidRPr="000C627D">
        <w:rPr>
          <w:b w:val="0"/>
          <w:noProof/>
          <w:sz w:val="18"/>
        </w:rPr>
        <w:fldChar w:fldCharType="end"/>
      </w:r>
    </w:p>
    <w:p w:rsidR="001A2FDF" w:rsidRPr="000C627D" w:rsidRDefault="001A2FDF">
      <w:pPr>
        <w:pStyle w:val="TOC3"/>
        <w:rPr>
          <w:rFonts w:asciiTheme="minorHAnsi" w:eastAsiaTheme="minorEastAsia" w:hAnsiTheme="minorHAnsi" w:cstheme="minorBidi"/>
          <w:b w:val="0"/>
          <w:noProof/>
          <w:kern w:val="0"/>
          <w:szCs w:val="22"/>
        </w:rPr>
      </w:pPr>
      <w:r w:rsidRPr="000C627D">
        <w:rPr>
          <w:noProof/>
        </w:rPr>
        <w:t>Division</w:t>
      </w:r>
      <w:r w:rsidR="000C627D" w:rsidRPr="000C627D">
        <w:rPr>
          <w:noProof/>
        </w:rPr>
        <w:t> </w:t>
      </w:r>
      <w:r w:rsidRPr="000C627D">
        <w:rPr>
          <w:noProof/>
        </w:rPr>
        <w:t>1—Preliminary</w:t>
      </w:r>
      <w:r w:rsidRPr="000C627D">
        <w:rPr>
          <w:b w:val="0"/>
          <w:noProof/>
          <w:sz w:val="18"/>
        </w:rPr>
        <w:tab/>
      </w:r>
      <w:r w:rsidRPr="000C627D">
        <w:rPr>
          <w:b w:val="0"/>
          <w:noProof/>
          <w:sz w:val="18"/>
        </w:rPr>
        <w:fldChar w:fldCharType="begin"/>
      </w:r>
      <w:r w:rsidRPr="000C627D">
        <w:rPr>
          <w:b w:val="0"/>
          <w:noProof/>
          <w:sz w:val="18"/>
        </w:rPr>
        <w:instrText xml:space="preserve"> PAGEREF _Toc500512562 \h </w:instrText>
      </w:r>
      <w:r w:rsidRPr="000C627D">
        <w:rPr>
          <w:b w:val="0"/>
          <w:noProof/>
          <w:sz w:val="18"/>
        </w:rPr>
      </w:r>
      <w:r w:rsidRPr="000C627D">
        <w:rPr>
          <w:b w:val="0"/>
          <w:noProof/>
          <w:sz w:val="18"/>
        </w:rPr>
        <w:fldChar w:fldCharType="separate"/>
      </w:r>
      <w:r w:rsidR="000309EC">
        <w:rPr>
          <w:b w:val="0"/>
          <w:noProof/>
          <w:sz w:val="18"/>
        </w:rPr>
        <w:t>11</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16</w:t>
      </w:r>
      <w:r w:rsidRPr="000C627D">
        <w:rPr>
          <w:noProof/>
        </w:rPr>
        <w:tab/>
        <w:t>Purposes of this Part</w:t>
      </w:r>
      <w:r w:rsidRPr="000C627D">
        <w:rPr>
          <w:noProof/>
        </w:rPr>
        <w:tab/>
      </w:r>
      <w:r w:rsidRPr="000C627D">
        <w:rPr>
          <w:noProof/>
        </w:rPr>
        <w:fldChar w:fldCharType="begin"/>
      </w:r>
      <w:r w:rsidRPr="000C627D">
        <w:rPr>
          <w:noProof/>
        </w:rPr>
        <w:instrText xml:space="preserve"> PAGEREF _Toc500512563 \h </w:instrText>
      </w:r>
      <w:r w:rsidRPr="000C627D">
        <w:rPr>
          <w:noProof/>
        </w:rPr>
      </w:r>
      <w:r w:rsidRPr="000C627D">
        <w:rPr>
          <w:noProof/>
        </w:rPr>
        <w:fldChar w:fldCharType="separate"/>
      </w:r>
      <w:r w:rsidR="000309EC">
        <w:rPr>
          <w:noProof/>
        </w:rPr>
        <w:t>11</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17</w:t>
      </w:r>
      <w:r w:rsidRPr="000C627D">
        <w:rPr>
          <w:noProof/>
        </w:rPr>
        <w:tab/>
        <w:t>Types of certification</w:t>
      </w:r>
      <w:r w:rsidRPr="000C627D">
        <w:rPr>
          <w:noProof/>
        </w:rPr>
        <w:tab/>
      </w:r>
      <w:r w:rsidRPr="000C627D">
        <w:rPr>
          <w:noProof/>
        </w:rPr>
        <w:fldChar w:fldCharType="begin"/>
      </w:r>
      <w:r w:rsidRPr="000C627D">
        <w:rPr>
          <w:noProof/>
        </w:rPr>
        <w:instrText xml:space="preserve"> PAGEREF _Toc500512564 \h </w:instrText>
      </w:r>
      <w:r w:rsidRPr="000C627D">
        <w:rPr>
          <w:noProof/>
        </w:rPr>
      </w:r>
      <w:r w:rsidRPr="000C627D">
        <w:rPr>
          <w:noProof/>
        </w:rPr>
        <w:fldChar w:fldCharType="separate"/>
      </w:r>
      <w:r w:rsidR="000309EC">
        <w:rPr>
          <w:noProof/>
        </w:rPr>
        <w:t>11</w:t>
      </w:r>
      <w:r w:rsidRPr="000C627D">
        <w:rPr>
          <w:noProof/>
        </w:rPr>
        <w:fldChar w:fldCharType="end"/>
      </w:r>
    </w:p>
    <w:p w:rsidR="001A2FDF" w:rsidRPr="000C627D" w:rsidRDefault="001A2FDF">
      <w:pPr>
        <w:pStyle w:val="TOC3"/>
        <w:rPr>
          <w:rFonts w:asciiTheme="minorHAnsi" w:eastAsiaTheme="minorEastAsia" w:hAnsiTheme="minorHAnsi" w:cstheme="minorBidi"/>
          <w:b w:val="0"/>
          <w:noProof/>
          <w:kern w:val="0"/>
          <w:szCs w:val="22"/>
        </w:rPr>
      </w:pPr>
      <w:r w:rsidRPr="000C627D">
        <w:rPr>
          <w:noProof/>
        </w:rPr>
        <w:t>Division</w:t>
      </w:r>
      <w:r w:rsidR="000C627D" w:rsidRPr="000C627D">
        <w:rPr>
          <w:noProof/>
        </w:rPr>
        <w:t> </w:t>
      </w:r>
      <w:r w:rsidRPr="000C627D">
        <w:rPr>
          <w:noProof/>
        </w:rPr>
        <w:t>2—Australian certification</w:t>
      </w:r>
      <w:r w:rsidRPr="000C627D">
        <w:rPr>
          <w:b w:val="0"/>
          <w:noProof/>
          <w:sz w:val="18"/>
        </w:rPr>
        <w:tab/>
      </w:r>
      <w:r w:rsidRPr="000C627D">
        <w:rPr>
          <w:b w:val="0"/>
          <w:noProof/>
          <w:sz w:val="18"/>
        </w:rPr>
        <w:fldChar w:fldCharType="begin"/>
      </w:r>
      <w:r w:rsidRPr="000C627D">
        <w:rPr>
          <w:b w:val="0"/>
          <w:noProof/>
          <w:sz w:val="18"/>
        </w:rPr>
        <w:instrText xml:space="preserve"> PAGEREF _Toc500512565 \h </w:instrText>
      </w:r>
      <w:r w:rsidRPr="000C627D">
        <w:rPr>
          <w:b w:val="0"/>
          <w:noProof/>
          <w:sz w:val="18"/>
        </w:rPr>
      </w:r>
      <w:r w:rsidRPr="000C627D">
        <w:rPr>
          <w:b w:val="0"/>
          <w:noProof/>
          <w:sz w:val="18"/>
        </w:rPr>
        <w:fldChar w:fldCharType="separate"/>
      </w:r>
      <w:r w:rsidR="000309EC">
        <w:rPr>
          <w:b w:val="0"/>
          <w:noProof/>
          <w:sz w:val="18"/>
        </w:rPr>
        <w:t>12</w:t>
      </w:r>
      <w:r w:rsidRPr="000C627D">
        <w:rPr>
          <w:b w:val="0"/>
          <w:noProof/>
          <w:sz w:val="18"/>
        </w:rPr>
        <w:fldChar w:fldCharType="end"/>
      </w:r>
    </w:p>
    <w:p w:rsidR="001A2FDF" w:rsidRPr="000C627D" w:rsidRDefault="001A2FDF">
      <w:pPr>
        <w:pStyle w:val="TOC4"/>
        <w:rPr>
          <w:rFonts w:asciiTheme="minorHAnsi" w:eastAsiaTheme="minorEastAsia" w:hAnsiTheme="minorHAnsi" w:cstheme="minorBidi"/>
          <w:b w:val="0"/>
          <w:noProof/>
          <w:kern w:val="0"/>
          <w:sz w:val="22"/>
          <w:szCs w:val="22"/>
        </w:rPr>
      </w:pPr>
      <w:r w:rsidRPr="000C627D">
        <w:rPr>
          <w:noProof/>
        </w:rPr>
        <w:t>Subdivision A—Australian certification</w:t>
      </w:r>
      <w:r w:rsidRPr="000C627D">
        <w:rPr>
          <w:b w:val="0"/>
          <w:noProof/>
          <w:sz w:val="18"/>
        </w:rPr>
        <w:tab/>
      </w:r>
      <w:r w:rsidRPr="000C627D">
        <w:rPr>
          <w:b w:val="0"/>
          <w:noProof/>
          <w:sz w:val="18"/>
        </w:rPr>
        <w:fldChar w:fldCharType="begin"/>
      </w:r>
      <w:r w:rsidRPr="000C627D">
        <w:rPr>
          <w:b w:val="0"/>
          <w:noProof/>
          <w:sz w:val="18"/>
        </w:rPr>
        <w:instrText xml:space="preserve"> PAGEREF _Toc500512566 \h </w:instrText>
      </w:r>
      <w:r w:rsidRPr="000C627D">
        <w:rPr>
          <w:b w:val="0"/>
          <w:noProof/>
          <w:sz w:val="18"/>
        </w:rPr>
      </w:r>
      <w:r w:rsidRPr="000C627D">
        <w:rPr>
          <w:b w:val="0"/>
          <w:noProof/>
          <w:sz w:val="18"/>
        </w:rPr>
        <w:fldChar w:fldCharType="separate"/>
      </w:r>
      <w:r w:rsidR="000309EC">
        <w:rPr>
          <w:b w:val="0"/>
          <w:noProof/>
          <w:sz w:val="18"/>
        </w:rPr>
        <w:t>12</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18</w:t>
      </w:r>
      <w:r w:rsidRPr="000C627D">
        <w:rPr>
          <w:noProof/>
        </w:rPr>
        <w:tab/>
        <w:t>Applying for certification</w:t>
      </w:r>
      <w:r w:rsidRPr="000C627D">
        <w:rPr>
          <w:noProof/>
        </w:rPr>
        <w:tab/>
      </w:r>
      <w:r w:rsidRPr="000C627D">
        <w:rPr>
          <w:noProof/>
        </w:rPr>
        <w:fldChar w:fldCharType="begin"/>
      </w:r>
      <w:r w:rsidRPr="000C627D">
        <w:rPr>
          <w:noProof/>
        </w:rPr>
        <w:instrText xml:space="preserve"> PAGEREF _Toc500512567 \h </w:instrText>
      </w:r>
      <w:r w:rsidRPr="000C627D">
        <w:rPr>
          <w:noProof/>
        </w:rPr>
      </w:r>
      <w:r w:rsidRPr="000C627D">
        <w:rPr>
          <w:noProof/>
        </w:rPr>
        <w:fldChar w:fldCharType="separate"/>
      </w:r>
      <w:r w:rsidR="000309EC">
        <w:rPr>
          <w:noProof/>
        </w:rPr>
        <w:t>12</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19</w:t>
      </w:r>
      <w:r w:rsidRPr="000C627D">
        <w:rPr>
          <w:noProof/>
        </w:rPr>
        <w:tab/>
        <w:t>Request for further information</w:t>
      </w:r>
      <w:r w:rsidRPr="000C627D">
        <w:rPr>
          <w:noProof/>
        </w:rPr>
        <w:tab/>
      </w:r>
      <w:r w:rsidRPr="000C627D">
        <w:rPr>
          <w:noProof/>
        </w:rPr>
        <w:fldChar w:fldCharType="begin"/>
      </w:r>
      <w:r w:rsidRPr="000C627D">
        <w:rPr>
          <w:noProof/>
        </w:rPr>
        <w:instrText xml:space="preserve"> PAGEREF _Toc500512568 \h </w:instrText>
      </w:r>
      <w:r w:rsidRPr="000C627D">
        <w:rPr>
          <w:noProof/>
        </w:rPr>
      </w:r>
      <w:r w:rsidRPr="000C627D">
        <w:rPr>
          <w:noProof/>
        </w:rPr>
        <w:fldChar w:fldCharType="separate"/>
      </w:r>
      <w:r w:rsidR="000309EC">
        <w:rPr>
          <w:noProof/>
        </w:rPr>
        <w:t>12</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20</w:t>
      </w:r>
      <w:r w:rsidRPr="000C627D">
        <w:rPr>
          <w:noProof/>
        </w:rPr>
        <w:tab/>
        <w:t>Issuing Australian certificates of conformity</w:t>
      </w:r>
      <w:r w:rsidRPr="000C627D">
        <w:rPr>
          <w:noProof/>
        </w:rPr>
        <w:tab/>
      </w:r>
      <w:r w:rsidRPr="000C627D">
        <w:rPr>
          <w:noProof/>
        </w:rPr>
        <w:fldChar w:fldCharType="begin"/>
      </w:r>
      <w:r w:rsidRPr="000C627D">
        <w:rPr>
          <w:noProof/>
        </w:rPr>
        <w:instrText xml:space="preserve"> PAGEREF _Toc500512569 \h </w:instrText>
      </w:r>
      <w:r w:rsidRPr="000C627D">
        <w:rPr>
          <w:noProof/>
        </w:rPr>
      </w:r>
      <w:r w:rsidRPr="000C627D">
        <w:rPr>
          <w:noProof/>
        </w:rPr>
        <w:fldChar w:fldCharType="separate"/>
      </w:r>
      <w:r w:rsidR="000309EC">
        <w:rPr>
          <w:noProof/>
        </w:rPr>
        <w:t>12</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21</w:t>
      </w:r>
      <w:r w:rsidRPr="000C627D">
        <w:rPr>
          <w:noProof/>
        </w:rPr>
        <w:tab/>
        <w:t>Deemed refusal if Secretary does not make decision within 60 days</w:t>
      </w:r>
      <w:r w:rsidRPr="000C627D">
        <w:rPr>
          <w:noProof/>
        </w:rPr>
        <w:tab/>
      </w:r>
      <w:r w:rsidRPr="000C627D">
        <w:rPr>
          <w:noProof/>
        </w:rPr>
        <w:fldChar w:fldCharType="begin"/>
      </w:r>
      <w:r w:rsidRPr="000C627D">
        <w:rPr>
          <w:noProof/>
        </w:rPr>
        <w:instrText xml:space="preserve"> PAGEREF _Toc500512570 \h </w:instrText>
      </w:r>
      <w:r w:rsidRPr="000C627D">
        <w:rPr>
          <w:noProof/>
        </w:rPr>
      </w:r>
      <w:r w:rsidRPr="000C627D">
        <w:rPr>
          <w:noProof/>
        </w:rPr>
        <w:fldChar w:fldCharType="separate"/>
      </w:r>
      <w:r w:rsidR="000309EC">
        <w:rPr>
          <w:noProof/>
        </w:rPr>
        <w:t>13</w:t>
      </w:r>
      <w:r w:rsidRPr="000C627D">
        <w:rPr>
          <w:noProof/>
        </w:rPr>
        <w:fldChar w:fldCharType="end"/>
      </w:r>
    </w:p>
    <w:p w:rsidR="001A2FDF" w:rsidRPr="000C627D" w:rsidRDefault="001A2FDF">
      <w:pPr>
        <w:pStyle w:val="TOC4"/>
        <w:rPr>
          <w:rFonts w:asciiTheme="minorHAnsi" w:eastAsiaTheme="minorEastAsia" w:hAnsiTheme="minorHAnsi" w:cstheme="minorBidi"/>
          <w:b w:val="0"/>
          <w:noProof/>
          <w:kern w:val="0"/>
          <w:sz w:val="22"/>
          <w:szCs w:val="22"/>
        </w:rPr>
      </w:pPr>
      <w:r w:rsidRPr="000C627D">
        <w:rPr>
          <w:noProof/>
        </w:rPr>
        <w:t>Subdivision B—Varying, suspending and revoking Australian certificates of conformity</w:t>
      </w:r>
      <w:r w:rsidRPr="000C627D">
        <w:rPr>
          <w:b w:val="0"/>
          <w:noProof/>
          <w:sz w:val="18"/>
        </w:rPr>
        <w:tab/>
      </w:r>
      <w:r w:rsidRPr="000C627D">
        <w:rPr>
          <w:b w:val="0"/>
          <w:noProof/>
          <w:sz w:val="18"/>
        </w:rPr>
        <w:fldChar w:fldCharType="begin"/>
      </w:r>
      <w:r w:rsidRPr="000C627D">
        <w:rPr>
          <w:b w:val="0"/>
          <w:noProof/>
          <w:sz w:val="18"/>
        </w:rPr>
        <w:instrText xml:space="preserve"> PAGEREF _Toc500512571 \h </w:instrText>
      </w:r>
      <w:r w:rsidRPr="000C627D">
        <w:rPr>
          <w:b w:val="0"/>
          <w:noProof/>
          <w:sz w:val="18"/>
        </w:rPr>
      </w:r>
      <w:r w:rsidRPr="000C627D">
        <w:rPr>
          <w:b w:val="0"/>
          <w:noProof/>
          <w:sz w:val="18"/>
        </w:rPr>
        <w:fldChar w:fldCharType="separate"/>
      </w:r>
      <w:r w:rsidR="000309EC">
        <w:rPr>
          <w:b w:val="0"/>
          <w:noProof/>
          <w:sz w:val="18"/>
        </w:rPr>
        <w:t>13</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22</w:t>
      </w:r>
      <w:r w:rsidRPr="000C627D">
        <w:rPr>
          <w:noProof/>
        </w:rPr>
        <w:tab/>
        <w:t>Varying Australian certificates of conformity</w:t>
      </w:r>
      <w:r w:rsidRPr="000C627D">
        <w:rPr>
          <w:noProof/>
        </w:rPr>
        <w:tab/>
      </w:r>
      <w:r w:rsidRPr="000C627D">
        <w:rPr>
          <w:noProof/>
        </w:rPr>
        <w:fldChar w:fldCharType="begin"/>
      </w:r>
      <w:r w:rsidRPr="000C627D">
        <w:rPr>
          <w:noProof/>
        </w:rPr>
        <w:instrText xml:space="preserve"> PAGEREF _Toc500512572 \h </w:instrText>
      </w:r>
      <w:r w:rsidRPr="000C627D">
        <w:rPr>
          <w:noProof/>
        </w:rPr>
      </w:r>
      <w:r w:rsidRPr="000C627D">
        <w:rPr>
          <w:noProof/>
        </w:rPr>
        <w:fldChar w:fldCharType="separate"/>
      </w:r>
      <w:r w:rsidR="000309EC">
        <w:rPr>
          <w:noProof/>
        </w:rPr>
        <w:t>13</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23</w:t>
      </w:r>
      <w:r w:rsidRPr="000C627D">
        <w:rPr>
          <w:noProof/>
        </w:rPr>
        <w:tab/>
        <w:t>Suspending Australian certificates of conformity</w:t>
      </w:r>
      <w:r w:rsidRPr="000C627D">
        <w:rPr>
          <w:noProof/>
        </w:rPr>
        <w:tab/>
      </w:r>
      <w:r w:rsidRPr="000C627D">
        <w:rPr>
          <w:noProof/>
        </w:rPr>
        <w:fldChar w:fldCharType="begin"/>
      </w:r>
      <w:r w:rsidRPr="000C627D">
        <w:rPr>
          <w:noProof/>
        </w:rPr>
        <w:instrText xml:space="preserve"> PAGEREF _Toc500512573 \h </w:instrText>
      </w:r>
      <w:r w:rsidRPr="000C627D">
        <w:rPr>
          <w:noProof/>
        </w:rPr>
      </w:r>
      <w:r w:rsidRPr="000C627D">
        <w:rPr>
          <w:noProof/>
        </w:rPr>
        <w:fldChar w:fldCharType="separate"/>
      </w:r>
      <w:r w:rsidR="000309EC">
        <w:rPr>
          <w:noProof/>
        </w:rPr>
        <w:t>14</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24</w:t>
      </w:r>
      <w:r w:rsidRPr="000C627D">
        <w:rPr>
          <w:noProof/>
        </w:rPr>
        <w:tab/>
        <w:t>Revoking Australian certificates of conformity</w:t>
      </w:r>
      <w:r w:rsidRPr="000C627D">
        <w:rPr>
          <w:noProof/>
        </w:rPr>
        <w:tab/>
      </w:r>
      <w:r w:rsidRPr="000C627D">
        <w:rPr>
          <w:noProof/>
        </w:rPr>
        <w:fldChar w:fldCharType="begin"/>
      </w:r>
      <w:r w:rsidRPr="000C627D">
        <w:rPr>
          <w:noProof/>
        </w:rPr>
        <w:instrText xml:space="preserve"> PAGEREF _Toc500512574 \h </w:instrText>
      </w:r>
      <w:r w:rsidRPr="000C627D">
        <w:rPr>
          <w:noProof/>
        </w:rPr>
      </w:r>
      <w:r w:rsidRPr="000C627D">
        <w:rPr>
          <w:noProof/>
        </w:rPr>
        <w:fldChar w:fldCharType="separate"/>
      </w:r>
      <w:r w:rsidR="000309EC">
        <w:rPr>
          <w:noProof/>
        </w:rPr>
        <w:t>14</w:t>
      </w:r>
      <w:r w:rsidRPr="000C627D">
        <w:rPr>
          <w:noProof/>
        </w:rPr>
        <w:fldChar w:fldCharType="end"/>
      </w:r>
    </w:p>
    <w:p w:rsidR="001A2FDF" w:rsidRPr="000C627D" w:rsidRDefault="001A2FDF">
      <w:pPr>
        <w:pStyle w:val="TOC4"/>
        <w:rPr>
          <w:rFonts w:asciiTheme="minorHAnsi" w:eastAsiaTheme="minorEastAsia" w:hAnsiTheme="minorHAnsi" w:cstheme="minorBidi"/>
          <w:b w:val="0"/>
          <w:noProof/>
          <w:kern w:val="0"/>
          <w:sz w:val="22"/>
          <w:szCs w:val="22"/>
        </w:rPr>
      </w:pPr>
      <w:r w:rsidRPr="000C627D">
        <w:rPr>
          <w:noProof/>
        </w:rPr>
        <w:t>Subdivision C—Secretary must give copies of notices to applicants</w:t>
      </w:r>
      <w:r w:rsidRPr="000C627D">
        <w:rPr>
          <w:b w:val="0"/>
          <w:noProof/>
          <w:sz w:val="18"/>
        </w:rPr>
        <w:tab/>
      </w:r>
      <w:r w:rsidRPr="000C627D">
        <w:rPr>
          <w:b w:val="0"/>
          <w:noProof/>
          <w:sz w:val="18"/>
        </w:rPr>
        <w:fldChar w:fldCharType="begin"/>
      </w:r>
      <w:r w:rsidRPr="000C627D">
        <w:rPr>
          <w:b w:val="0"/>
          <w:noProof/>
          <w:sz w:val="18"/>
        </w:rPr>
        <w:instrText xml:space="preserve"> PAGEREF _Toc500512575 \h </w:instrText>
      </w:r>
      <w:r w:rsidRPr="000C627D">
        <w:rPr>
          <w:b w:val="0"/>
          <w:noProof/>
          <w:sz w:val="18"/>
        </w:rPr>
      </w:r>
      <w:r w:rsidRPr="000C627D">
        <w:rPr>
          <w:b w:val="0"/>
          <w:noProof/>
          <w:sz w:val="18"/>
        </w:rPr>
        <w:fldChar w:fldCharType="separate"/>
      </w:r>
      <w:r w:rsidR="000309EC">
        <w:rPr>
          <w:b w:val="0"/>
          <w:noProof/>
          <w:sz w:val="18"/>
        </w:rPr>
        <w:t>14</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25</w:t>
      </w:r>
      <w:r w:rsidRPr="000C627D">
        <w:rPr>
          <w:noProof/>
        </w:rPr>
        <w:tab/>
        <w:t>Secretary must give copies of notices to applicants</w:t>
      </w:r>
      <w:r w:rsidRPr="000C627D">
        <w:rPr>
          <w:noProof/>
        </w:rPr>
        <w:tab/>
      </w:r>
      <w:r w:rsidRPr="000C627D">
        <w:rPr>
          <w:noProof/>
        </w:rPr>
        <w:fldChar w:fldCharType="begin"/>
      </w:r>
      <w:r w:rsidRPr="000C627D">
        <w:rPr>
          <w:noProof/>
        </w:rPr>
        <w:instrText xml:space="preserve"> PAGEREF _Toc500512576 \h </w:instrText>
      </w:r>
      <w:r w:rsidRPr="000C627D">
        <w:rPr>
          <w:noProof/>
        </w:rPr>
      </w:r>
      <w:r w:rsidRPr="000C627D">
        <w:rPr>
          <w:noProof/>
        </w:rPr>
        <w:fldChar w:fldCharType="separate"/>
      </w:r>
      <w:r w:rsidR="000309EC">
        <w:rPr>
          <w:noProof/>
        </w:rPr>
        <w:t>14</w:t>
      </w:r>
      <w:r w:rsidRPr="000C627D">
        <w:rPr>
          <w:noProof/>
        </w:rPr>
        <w:fldChar w:fldCharType="end"/>
      </w:r>
    </w:p>
    <w:p w:rsidR="001A2FDF" w:rsidRPr="000C627D" w:rsidRDefault="001A2FDF">
      <w:pPr>
        <w:pStyle w:val="TOC3"/>
        <w:rPr>
          <w:rFonts w:asciiTheme="minorHAnsi" w:eastAsiaTheme="minorEastAsia" w:hAnsiTheme="minorHAnsi" w:cstheme="minorBidi"/>
          <w:b w:val="0"/>
          <w:noProof/>
          <w:kern w:val="0"/>
          <w:szCs w:val="22"/>
        </w:rPr>
      </w:pPr>
      <w:r w:rsidRPr="000C627D">
        <w:rPr>
          <w:noProof/>
        </w:rPr>
        <w:t>Division</w:t>
      </w:r>
      <w:r w:rsidR="000C627D" w:rsidRPr="000C627D">
        <w:rPr>
          <w:noProof/>
        </w:rPr>
        <w:t> </w:t>
      </w:r>
      <w:r w:rsidRPr="000C627D">
        <w:rPr>
          <w:noProof/>
        </w:rPr>
        <w:t>3—Foreign certification</w:t>
      </w:r>
      <w:r w:rsidRPr="000C627D">
        <w:rPr>
          <w:b w:val="0"/>
          <w:noProof/>
          <w:sz w:val="18"/>
        </w:rPr>
        <w:tab/>
      </w:r>
      <w:r w:rsidRPr="000C627D">
        <w:rPr>
          <w:b w:val="0"/>
          <w:noProof/>
          <w:sz w:val="18"/>
        </w:rPr>
        <w:fldChar w:fldCharType="begin"/>
      </w:r>
      <w:r w:rsidRPr="000C627D">
        <w:rPr>
          <w:b w:val="0"/>
          <w:noProof/>
          <w:sz w:val="18"/>
        </w:rPr>
        <w:instrText xml:space="preserve"> PAGEREF _Toc500512577 \h </w:instrText>
      </w:r>
      <w:r w:rsidRPr="000C627D">
        <w:rPr>
          <w:b w:val="0"/>
          <w:noProof/>
          <w:sz w:val="18"/>
        </w:rPr>
      </w:r>
      <w:r w:rsidRPr="000C627D">
        <w:rPr>
          <w:b w:val="0"/>
          <w:noProof/>
          <w:sz w:val="18"/>
        </w:rPr>
        <w:fldChar w:fldCharType="separate"/>
      </w:r>
      <w:r w:rsidR="000309EC">
        <w:rPr>
          <w:b w:val="0"/>
          <w:noProof/>
          <w:sz w:val="18"/>
        </w:rPr>
        <w:t>16</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26</w:t>
      </w:r>
      <w:r w:rsidRPr="000C627D">
        <w:rPr>
          <w:noProof/>
        </w:rPr>
        <w:tab/>
        <w:t>Foreign certification</w:t>
      </w:r>
      <w:r w:rsidRPr="000C627D">
        <w:rPr>
          <w:noProof/>
        </w:rPr>
        <w:tab/>
      </w:r>
      <w:r w:rsidRPr="000C627D">
        <w:rPr>
          <w:noProof/>
        </w:rPr>
        <w:fldChar w:fldCharType="begin"/>
      </w:r>
      <w:r w:rsidRPr="000C627D">
        <w:rPr>
          <w:noProof/>
        </w:rPr>
        <w:instrText xml:space="preserve"> PAGEREF _Toc500512578 \h </w:instrText>
      </w:r>
      <w:r w:rsidRPr="000C627D">
        <w:rPr>
          <w:noProof/>
        </w:rPr>
      </w:r>
      <w:r w:rsidRPr="000C627D">
        <w:rPr>
          <w:noProof/>
        </w:rPr>
        <w:fldChar w:fldCharType="separate"/>
      </w:r>
      <w:r w:rsidR="000309EC">
        <w:rPr>
          <w:noProof/>
        </w:rPr>
        <w:t>16</w:t>
      </w:r>
      <w:r w:rsidRPr="000C627D">
        <w:rPr>
          <w:noProof/>
        </w:rPr>
        <w:fldChar w:fldCharType="end"/>
      </w:r>
    </w:p>
    <w:p w:rsidR="001A2FDF" w:rsidRPr="000C627D" w:rsidRDefault="001A2FDF">
      <w:pPr>
        <w:pStyle w:val="TOC2"/>
        <w:rPr>
          <w:rFonts w:asciiTheme="minorHAnsi" w:eastAsiaTheme="minorEastAsia" w:hAnsiTheme="minorHAnsi" w:cstheme="minorBidi"/>
          <w:b w:val="0"/>
          <w:noProof/>
          <w:kern w:val="0"/>
          <w:sz w:val="22"/>
          <w:szCs w:val="22"/>
        </w:rPr>
      </w:pPr>
      <w:r w:rsidRPr="000C627D">
        <w:rPr>
          <w:noProof/>
        </w:rPr>
        <w:t>Part</w:t>
      </w:r>
      <w:r w:rsidR="000C627D" w:rsidRPr="000C627D">
        <w:rPr>
          <w:noProof/>
        </w:rPr>
        <w:t> </w:t>
      </w:r>
      <w:r w:rsidRPr="000C627D">
        <w:rPr>
          <w:noProof/>
        </w:rPr>
        <w:t>5—Exemptions</w:t>
      </w:r>
      <w:r w:rsidRPr="000C627D">
        <w:rPr>
          <w:b w:val="0"/>
          <w:noProof/>
          <w:sz w:val="18"/>
        </w:rPr>
        <w:tab/>
      </w:r>
      <w:r w:rsidRPr="000C627D">
        <w:rPr>
          <w:b w:val="0"/>
          <w:noProof/>
          <w:sz w:val="18"/>
        </w:rPr>
        <w:fldChar w:fldCharType="begin"/>
      </w:r>
      <w:r w:rsidRPr="000C627D">
        <w:rPr>
          <w:b w:val="0"/>
          <w:noProof/>
          <w:sz w:val="18"/>
        </w:rPr>
        <w:instrText xml:space="preserve"> PAGEREF _Toc500512579 \h </w:instrText>
      </w:r>
      <w:r w:rsidRPr="000C627D">
        <w:rPr>
          <w:b w:val="0"/>
          <w:noProof/>
          <w:sz w:val="18"/>
        </w:rPr>
      </w:r>
      <w:r w:rsidRPr="000C627D">
        <w:rPr>
          <w:b w:val="0"/>
          <w:noProof/>
          <w:sz w:val="18"/>
        </w:rPr>
        <w:fldChar w:fldCharType="separate"/>
      </w:r>
      <w:r w:rsidR="000309EC">
        <w:rPr>
          <w:b w:val="0"/>
          <w:noProof/>
          <w:sz w:val="18"/>
        </w:rPr>
        <w:t>19</w:t>
      </w:r>
      <w:r w:rsidRPr="000C627D">
        <w:rPr>
          <w:b w:val="0"/>
          <w:noProof/>
          <w:sz w:val="18"/>
        </w:rPr>
        <w:fldChar w:fldCharType="end"/>
      </w:r>
    </w:p>
    <w:p w:rsidR="001A2FDF" w:rsidRPr="000C627D" w:rsidRDefault="001A2FDF">
      <w:pPr>
        <w:pStyle w:val="TOC3"/>
        <w:rPr>
          <w:rFonts w:asciiTheme="minorHAnsi" w:eastAsiaTheme="minorEastAsia" w:hAnsiTheme="minorHAnsi" w:cstheme="minorBidi"/>
          <w:b w:val="0"/>
          <w:noProof/>
          <w:kern w:val="0"/>
          <w:szCs w:val="22"/>
        </w:rPr>
      </w:pPr>
      <w:r w:rsidRPr="000C627D">
        <w:rPr>
          <w:noProof/>
        </w:rPr>
        <w:t>Division</w:t>
      </w:r>
      <w:r w:rsidR="000C627D" w:rsidRPr="000C627D">
        <w:rPr>
          <w:noProof/>
        </w:rPr>
        <w:t> </w:t>
      </w:r>
      <w:r w:rsidRPr="000C627D">
        <w:rPr>
          <w:noProof/>
        </w:rPr>
        <w:t>1—Preliminary</w:t>
      </w:r>
      <w:r w:rsidRPr="000C627D">
        <w:rPr>
          <w:b w:val="0"/>
          <w:noProof/>
          <w:sz w:val="18"/>
        </w:rPr>
        <w:tab/>
      </w:r>
      <w:r w:rsidRPr="000C627D">
        <w:rPr>
          <w:b w:val="0"/>
          <w:noProof/>
          <w:sz w:val="18"/>
        </w:rPr>
        <w:fldChar w:fldCharType="begin"/>
      </w:r>
      <w:r w:rsidRPr="000C627D">
        <w:rPr>
          <w:b w:val="0"/>
          <w:noProof/>
          <w:sz w:val="18"/>
        </w:rPr>
        <w:instrText xml:space="preserve"> PAGEREF _Toc500512580 \h </w:instrText>
      </w:r>
      <w:r w:rsidRPr="000C627D">
        <w:rPr>
          <w:b w:val="0"/>
          <w:noProof/>
          <w:sz w:val="18"/>
        </w:rPr>
      </w:r>
      <w:r w:rsidRPr="000C627D">
        <w:rPr>
          <w:b w:val="0"/>
          <w:noProof/>
          <w:sz w:val="18"/>
        </w:rPr>
        <w:fldChar w:fldCharType="separate"/>
      </w:r>
      <w:r w:rsidR="000309EC">
        <w:rPr>
          <w:b w:val="0"/>
          <w:noProof/>
          <w:sz w:val="18"/>
        </w:rPr>
        <w:t>19</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27</w:t>
      </w:r>
      <w:r w:rsidRPr="000C627D">
        <w:rPr>
          <w:noProof/>
        </w:rPr>
        <w:tab/>
        <w:t>Purposes of this Part</w:t>
      </w:r>
      <w:r w:rsidRPr="000C627D">
        <w:rPr>
          <w:noProof/>
        </w:rPr>
        <w:tab/>
      </w:r>
      <w:r w:rsidRPr="000C627D">
        <w:rPr>
          <w:noProof/>
        </w:rPr>
        <w:fldChar w:fldCharType="begin"/>
      </w:r>
      <w:r w:rsidRPr="000C627D">
        <w:rPr>
          <w:noProof/>
        </w:rPr>
        <w:instrText xml:space="preserve"> PAGEREF _Toc500512581 \h </w:instrText>
      </w:r>
      <w:r w:rsidRPr="000C627D">
        <w:rPr>
          <w:noProof/>
        </w:rPr>
      </w:r>
      <w:r w:rsidRPr="000C627D">
        <w:rPr>
          <w:noProof/>
        </w:rPr>
        <w:fldChar w:fldCharType="separate"/>
      </w:r>
      <w:r w:rsidR="000309EC">
        <w:rPr>
          <w:noProof/>
        </w:rPr>
        <w:t>19</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28</w:t>
      </w:r>
      <w:r w:rsidRPr="000C627D">
        <w:rPr>
          <w:noProof/>
        </w:rPr>
        <w:tab/>
        <w:t>Circumstances in which products and persons are exempt from provisions of Part</w:t>
      </w:r>
      <w:r w:rsidR="000C627D" w:rsidRPr="000C627D">
        <w:rPr>
          <w:noProof/>
        </w:rPr>
        <w:t> </w:t>
      </w:r>
      <w:r w:rsidRPr="000C627D">
        <w:rPr>
          <w:noProof/>
        </w:rPr>
        <w:t>3 and 4 of the Act</w:t>
      </w:r>
      <w:r w:rsidRPr="000C627D">
        <w:rPr>
          <w:noProof/>
        </w:rPr>
        <w:tab/>
      </w:r>
      <w:r w:rsidRPr="000C627D">
        <w:rPr>
          <w:noProof/>
        </w:rPr>
        <w:fldChar w:fldCharType="begin"/>
      </w:r>
      <w:r w:rsidRPr="000C627D">
        <w:rPr>
          <w:noProof/>
        </w:rPr>
        <w:instrText xml:space="preserve"> PAGEREF _Toc500512582 \h </w:instrText>
      </w:r>
      <w:r w:rsidRPr="000C627D">
        <w:rPr>
          <w:noProof/>
        </w:rPr>
      </w:r>
      <w:r w:rsidRPr="000C627D">
        <w:rPr>
          <w:noProof/>
        </w:rPr>
        <w:fldChar w:fldCharType="separate"/>
      </w:r>
      <w:r w:rsidR="000309EC">
        <w:rPr>
          <w:noProof/>
        </w:rPr>
        <w:t>19</w:t>
      </w:r>
      <w:r w:rsidRPr="000C627D">
        <w:rPr>
          <w:noProof/>
        </w:rPr>
        <w:fldChar w:fldCharType="end"/>
      </w:r>
    </w:p>
    <w:p w:rsidR="001A2FDF" w:rsidRPr="000C627D" w:rsidRDefault="001A2FDF">
      <w:pPr>
        <w:pStyle w:val="TOC3"/>
        <w:rPr>
          <w:rFonts w:asciiTheme="minorHAnsi" w:eastAsiaTheme="minorEastAsia" w:hAnsiTheme="minorHAnsi" w:cstheme="minorBidi"/>
          <w:b w:val="0"/>
          <w:noProof/>
          <w:kern w:val="0"/>
          <w:szCs w:val="22"/>
        </w:rPr>
      </w:pPr>
      <w:r w:rsidRPr="000C627D">
        <w:rPr>
          <w:noProof/>
        </w:rPr>
        <w:t>Division</w:t>
      </w:r>
      <w:r w:rsidR="000C627D" w:rsidRPr="000C627D">
        <w:rPr>
          <w:noProof/>
        </w:rPr>
        <w:t> </w:t>
      </w:r>
      <w:r w:rsidRPr="000C627D">
        <w:rPr>
          <w:noProof/>
        </w:rPr>
        <w:t>2—Granting exemptions</w:t>
      </w:r>
      <w:r w:rsidRPr="000C627D">
        <w:rPr>
          <w:b w:val="0"/>
          <w:noProof/>
          <w:sz w:val="18"/>
        </w:rPr>
        <w:tab/>
      </w:r>
      <w:r w:rsidRPr="000C627D">
        <w:rPr>
          <w:b w:val="0"/>
          <w:noProof/>
          <w:sz w:val="18"/>
        </w:rPr>
        <w:fldChar w:fldCharType="begin"/>
      </w:r>
      <w:r w:rsidRPr="000C627D">
        <w:rPr>
          <w:b w:val="0"/>
          <w:noProof/>
          <w:sz w:val="18"/>
        </w:rPr>
        <w:instrText xml:space="preserve"> PAGEREF _Toc500512583 \h </w:instrText>
      </w:r>
      <w:r w:rsidRPr="000C627D">
        <w:rPr>
          <w:b w:val="0"/>
          <w:noProof/>
          <w:sz w:val="18"/>
        </w:rPr>
      </w:r>
      <w:r w:rsidRPr="000C627D">
        <w:rPr>
          <w:b w:val="0"/>
          <w:noProof/>
          <w:sz w:val="18"/>
        </w:rPr>
        <w:fldChar w:fldCharType="separate"/>
      </w:r>
      <w:r w:rsidR="000309EC">
        <w:rPr>
          <w:b w:val="0"/>
          <w:noProof/>
          <w:sz w:val="18"/>
        </w:rPr>
        <w:t>20</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29</w:t>
      </w:r>
      <w:r w:rsidRPr="000C627D">
        <w:rPr>
          <w:noProof/>
        </w:rPr>
        <w:tab/>
        <w:t>Applying for exemptions</w:t>
      </w:r>
      <w:r w:rsidRPr="000C627D">
        <w:rPr>
          <w:noProof/>
        </w:rPr>
        <w:tab/>
      </w:r>
      <w:r w:rsidRPr="000C627D">
        <w:rPr>
          <w:noProof/>
        </w:rPr>
        <w:fldChar w:fldCharType="begin"/>
      </w:r>
      <w:r w:rsidRPr="000C627D">
        <w:rPr>
          <w:noProof/>
        </w:rPr>
        <w:instrText xml:space="preserve"> PAGEREF _Toc500512584 \h </w:instrText>
      </w:r>
      <w:r w:rsidRPr="000C627D">
        <w:rPr>
          <w:noProof/>
        </w:rPr>
      </w:r>
      <w:r w:rsidRPr="000C627D">
        <w:rPr>
          <w:noProof/>
        </w:rPr>
        <w:fldChar w:fldCharType="separate"/>
      </w:r>
      <w:r w:rsidR="000309EC">
        <w:rPr>
          <w:noProof/>
        </w:rPr>
        <w:t>20</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lastRenderedPageBreak/>
        <w:t>30</w:t>
      </w:r>
      <w:r w:rsidRPr="000C627D">
        <w:rPr>
          <w:noProof/>
        </w:rPr>
        <w:tab/>
        <w:t>Exemption categories</w:t>
      </w:r>
      <w:r w:rsidRPr="000C627D">
        <w:rPr>
          <w:noProof/>
        </w:rPr>
        <w:tab/>
      </w:r>
      <w:r w:rsidRPr="000C627D">
        <w:rPr>
          <w:noProof/>
        </w:rPr>
        <w:fldChar w:fldCharType="begin"/>
      </w:r>
      <w:r w:rsidRPr="000C627D">
        <w:rPr>
          <w:noProof/>
        </w:rPr>
        <w:instrText xml:space="preserve"> PAGEREF _Toc500512585 \h </w:instrText>
      </w:r>
      <w:r w:rsidRPr="000C627D">
        <w:rPr>
          <w:noProof/>
        </w:rPr>
      </w:r>
      <w:r w:rsidRPr="000C627D">
        <w:rPr>
          <w:noProof/>
        </w:rPr>
        <w:fldChar w:fldCharType="separate"/>
      </w:r>
      <w:r w:rsidR="000309EC">
        <w:rPr>
          <w:noProof/>
        </w:rPr>
        <w:t>20</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31</w:t>
      </w:r>
      <w:r w:rsidRPr="000C627D">
        <w:rPr>
          <w:noProof/>
        </w:rPr>
        <w:tab/>
        <w:t>Request for further information</w:t>
      </w:r>
      <w:r w:rsidRPr="000C627D">
        <w:rPr>
          <w:noProof/>
        </w:rPr>
        <w:tab/>
      </w:r>
      <w:r w:rsidRPr="000C627D">
        <w:rPr>
          <w:noProof/>
        </w:rPr>
        <w:fldChar w:fldCharType="begin"/>
      </w:r>
      <w:r w:rsidRPr="000C627D">
        <w:rPr>
          <w:noProof/>
        </w:rPr>
        <w:instrText xml:space="preserve"> PAGEREF _Toc500512586 \h </w:instrText>
      </w:r>
      <w:r w:rsidRPr="000C627D">
        <w:rPr>
          <w:noProof/>
        </w:rPr>
      </w:r>
      <w:r w:rsidRPr="000C627D">
        <w:rPr>
          <w:noProof/>
        </w:rPr>
        <w:fldChar w:fldCharType="separate"/>
      </w:r>
      <w:r w:rsidR="000309EC">
        <w:rPr>
          <w:noProof/>
        </w:rPr>
        <w:t>22</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32</w:t>
      </w:r>
      <w:r w:rsidRPr="000C627D">
        <w:rPr>
          <w:noProof/>
        </w:rPr>
        <w:tab/>
        <w:t>Granting exemptions</w:t>
      </w:r>
      <w:r w:rsidRPr="000C627D">
        <w:rPr>
          <w:noProof/>
        </w:rPr>
        <w:tab/>
      </w:r>
      <w:r w:rsidRPr="000C627D">
        <w:rPr>
          <w:noProof/>
        </w:rPr>
        <w:fldChar w:fldCharType="begin"/>
      </w:r>
      <w:r w:rsidRPr="000C627D">
        <w:rPr>
          <w:noProof/>
        </w:rPr>
        <w:instrText xml:space="preserve"> PAGEREF _Toc500512587 \h </w:instrText>
      </w:r>
      <w:r w:rsidRPr="000C627D">
        <w:rPr>
          <w:noProof/>
        </w:rPr>
      </w:r>
      <w:r w:rsidRPr="000C627D">
        <w:rPr>
          <w:noProof/>
        </w:rPr>
        <w:fldChar w:fldCharType="separate"/>
      </w:r>
      <w:r w:rsidR="000309EC">
        <w:rPr>
          <w:noProof/>
        </w:rPr>
        <w:t>22</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33</w:t>
      </w:r>
      <w:r w:rsidRPr="000C627D">
        <w:rPr>
          <w:noProof/>
        </w:rPr>
        <w:tab/>
        <w:t>Deemed refusal if Secretary does not make decision within 60 days</w:t>
      </w:r>
      <w:r w:rsidRPr="000C627D">
        <w:rPr>
          <w:noProof/>
        </w:rPr>
        <w:tab/>
      </w:r>
      <w:r w:rsidRPr="000C627D">
        <w:rPr>
          <w:noProof/>
        </w:rPr>
        <w:fldChar w:fldCharType="begin"/>
      </w:r>
      <w:r w:rsidRPr="000C627D">
        <w:rPr>
          <w:noProof/>
        </w:rPr>
        <w:instrText xml:space="preserve"> PAGEREF _Toc500512588 \h </w:instrText>
      </w:r>
      <w:r w:rsidRPr="000C627D">
        <w:rPr>
          <w:noProof/>
        </w:rPr>
      </w:r>
      <w:r w:rsidRPr="000C627D">
        <w:rPr>
          <w:noProof/>
        </w:rPr>
        <w:fldChar w:fldCharType="separate"/>
      </w:r>
      <w:r w:rsidR="000309EC">
        <w:rPr>
          <w:noProof/>
        </w:rPr>
        <w:t>22</w:t>
      </w:r>
      <w:r w:rsidRPr="000C627D">
        <w:rPr>
          <w:noProof/>
        </w:rPr>
        <w:fldChar w:fldCharType="end"/>
      </w:r>
    </w:p>
    <w:p w:rsidR="001A2FDF" w:rsidRPr="000C627D" w:rsidRDefault="001A2FDF">
      <w:pPr>
        <w:pStyle w:val="TOC3"/>
        <w:rPr>
          <w:rFonts w:asciiTheme="minorHAnsi" w:eastAsiaTheme="minorEastAsia" w:hAnsiTheme="minorHAnsi" w:cstheme="minorBidi"/>
          <w:b w:val="0"/>
          <w:noProof/>
          <w:kern w:val="0"/>
          <w:szCs w:val="22"/>
        </w:rPr>
      </w:pPr>
      <w:r w:rsidRPr="000C627D">
        <w:rPr>
          <w:noProof/>
        </w:rPr>
        <w:t>Division</w:t>
      </w:r>
      <w:r w:rsidR="000C627D" w:rsidRPr="000C627D">
        <w:rPr>
          <w:noProof/>
        </w:rPr>
        <w:t> </w:t>
      </w:r>
      <w:r w:rsidRPr="000C627D">
        <w:rPr>
          <w:noProof/>
        </w:rPr>
        <w:t>3—Conditions on exemptions</w:t>
      </w:r>
      <w:r w:rsidRPr="000C627D">
        <w:rPr>
          <w:b w:val="0"/>
          <w:noProof/>
          <w:sz w:val="18"/>
        </w:rPr>
        <w:tab/>
      </w:r>
      <w:r w:rsidRPr="000C627D">
        <w:rPr>
          <w:b w:val="0"/>
          <w:noProof/>
          <w:sz w:val="18"/>
        </w:rPr>
        <w:fldChar w:fldCharType="begin"/>
      </w:r>
      <w:r w:rsidRPr="000C627D">
        <w:rPr>
          <w:b w:val="0"/>
          <w:noProof/>
          <w:sz w:val="18"/>
        </w:rPr>
        <w:instrText xml:space="preserve"> PAGEREF _Toc500512589 \h </w:instrText>
      </w:r>
      <w:r w:rsidRPr="000C627D">
        <w:rPr>
          <w:b w:val="0"/>
          <w:noProof/>
          <w:sz w:val="18"/>
        </w:rPr>
      </w:r>
      <w:r w:rsidRPr="000C627D">
        <w:rPr>
          <w:b w:val="0"/>
          <w:noProof/>
          <w:sz w:val="18"/>
        </w:rPr>
        <w:fldChar w:fldCharType="separate"/>
      </w:r>
      <w:r w:rsidR="000309EC">
        <w:rPr>
          <w:b w:val="0"/>
          <w:noProof/>
          <w:sz w:val="18"/>
        </w:rPr>
        <w:t>24</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34</w:t>
      </w:r>
      <w:r w:rsidRPr="000C627D">
        <w:rPr>
          <w:noProof/>
        </w:rPr>
        <w:tab/>
        <w:t>Conditions on exemptions</w:t>
      </w:r>
      <w:r w:rsidRPr="000C627D">
        <w:rPr>
          <w:noProof/>
        </w:rPr>
        <w:tab/>
      </w:r>
      <w:r w:rsidRPr="000C627D">
        <w:rPr>
          <w:noProof/>
        </w:rPr>
        <w:fldChar w:fldCharType="begin"/>
      </w:r>
      <w:r w:rsidRPr="000C627D">
        <w:rPr>
          <w:noProof/>
        </w:rPr>
        <w:instrText xml:space="preserve"> PAGEREF _Toc500512590 \h </w:instrText>
      </w:r>
      <w:r w:rsidRPr="000C627D">
        <w:rPr>
          <w:noProof/>
        </w:rPr>
      </w:r>
      <w:r w:rsidRPr="000C627D">
        <w:rPr>
          <w:noProof/>
        </w:rPr>
        <w:fldChar w:fldCharType="separate"/>
      </w:r>
      <w:r w:rsidR="000309EC">
        <w:rPr>
          <w:noProof/>
        </w:rPr>
        <w:t>24</w:t>
      </w:r>
      <w:r w:rsidRPr="000C627D">
        <w:rPr>
          <w:noProof/>
        </w:rPr>
        <w:fldChar w:fldCharType="end"/>
      </w:r>
    </w:p>
    <w:p w:rsidR="001A2FDF" w:rsidRPr="000C627D" w:rsidRDefault="001A2FDF">
      <w:pPr>
        <w:pStyle w:val="TOC3"/>
        <w:rPr>
          <w:rFonts w:asciiTheme="minorHAnsi" w:eastAsiaTheme="minorEastAsia" w:hAnsiTheme="minorHAnsi" w:cstheme="minorBidi"/>
          <w:b w:val="0"/>
          <w:noProof/>
          <w:kern w:val="0"/>
          <w:szCs w:val="22"/>
        </w:rPr>
      </w:pPr>
      <w:r w:rsidRPr="000C627D">
        <w:rPr>
          <w:noProof/>
        </w:rPr>
        <w:t>Division</w:t>
      </w:r>
      <w:r w:rsidR="000C627D" w:rsidRPr="000C627D">
        <w:rPr>
          <w:noProof/>
        </w:rPr>
        <w:t> </w:t>
      </w:r>
      <w:r w:rsidRPr="000C627D">
        <w:rPr>
          <w:noProof/>
        </w:rPr>
        <w:t>4—Varying, suspending and revoking exemptions</w:t>
      </w:r>
      <w:r w:rsidRPr="000C627D">
        <w:rPr>
          <w:b w:val="0"/>
          <w:noProof/>
          <w:sz w:val="18"/>
        </w:rPr>
        <w:tab/>
      </w:r>
      <w:r w:rsidRPr="000C627D">
        <w:rPr>
          <w:b w:val="0"/>
          <w:noProof/>
          <w:sz w:val="18"/>
        </w:rPr>
        <w:fldChar w:fldCharType="begin"/>
      </w:r>
      <w:r w:rsidRPr="000C627D">
        <w:rPr>
          <w:b w:val="0"/>
          <w:noProof/>
          <w:sz w:val="18"/>
        </w:rPr>
        <w:instrText xml:space="preserve"> PAGEREF _Toc500512591 \h </w:instrText>
      </w:r>
      <w:r w:rsidRPr="000C627D">
        <w:rPr>
          <w:b w:val="0"/>
          <w:noProof/>
          <w:sz w:val="18"/>
        </w:rPr>
      </w:r>
      <w:r w:rsidRPr="000C627D">
        <w:rPr>
          <w:b w:val="0"/>
          <w:noProof/>
          <w:sz w:val="18"/>
        </w:rPr>
        <w:fldChar w:fldCharType="separate"/>
      </w:r>
      <w:r w:rsidR="000309EC">
        <w:rPr>
          <w:b w:val="0"/>
          <w:noProof/>
          <w:sz w:val="18"/>
        </w:rPr>
        <w:t>25</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35</w:t>
      </w:r>
      <w:r w:rsidRPr="000C627D">
        <w:rPr>
          <w:noProof/>
        </w:rPr>
        <w:tab/>
        <w:t>Varying exemptions</w:t>
      </w:r>
      <w:r w:rsidRPr="000C627D">
        <w:rPr>
          <w:noProof/>
        </w:rPr>
        <w:tab/>
      </w:r>
      <w:r w:rsidRPr="000C627D">
        <w:rPr>
          <w:noProof/>
        </w:rPr>
        <w:fldChar w:fldCharType="begin"/>
      </w:r>
      <w:r w:rsidRPr="000C627D">
        <w:rPr>
          <w:noProof/>
        </w:rPr>
        <w:instrText xml:space="preserve"> PAGEREF _Toc500512592 \h </w:instrText>
      </w:r>
      <w:r w:rsidRPr="000C627D">
        <w:rPr>
          <w:noProof/>
        </w:rPr>
      </w:r>
      <w:r w:rsidRPr="000C627D">
        <w:rPr>
          <w:noProof/>
        </w:rPr>
        <w:fldChar w:fldCharType="separate"/>
      </w:r>
      <w:r w:rsidR="000309EC">
        <w:rPr>
          <w:noProof/>
        </w:rPr>
        <w:t>25</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36</w:t>
      </w:r>
      <w:r w:rsidRPr="000C627D">
        <w:rPr>
          <w:noProof/>
        </w:rPr>
        <w:tab/>
        <w:t>Suspending exemptions</w:t>
      </w:r>
      <w:r w:rsidRPr="000C627D">
        <w:rPr>
          <w:noProof/>
        </w:rPr>
        <w:tab/>
      </w:r>
      <w:r w:rsidRPr="000C627D">
        <w:rPr>
          <w:noProof/>
        </w:rPr>
        <w:fldChar w:fldCharType="begin"/>
      </w:r>
      <w:r w:rsidRPr="000C627D">
        <w:rPr>
          <w:noProof/>
        </w:rPr>
        <w:instrText xml:space="preserve"> PAGEREF _Toc500512593 \h </w:instrText>
      </w:r>
      <w:r w:rsidRPr="000C627D">
        <w:rPr>
          <w:noProof/>
        </w:rPr>
      </w:r>
      <w:r w:rsidRPr="000C627D">
        <w:rPr>
          <w:noProof/>
        </w:rPr>
        <w:fldChar w:fldCharType="separate"/>
      </w:r>
      <w:r w:rsidR="000309EC">
        <w:rPr>
          <w:noProof/>
        </w:rPr>
        <w:t>25</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37</w:t>
      </w:r>
      <w:r w:rsidRPr="000C627D">
        <w:rPr>
          <w:noProof/>
        </w:rPr>
        <w:tab/>
        <w:t>Revoking exemptions</w:t>
      </w:r>
      <w:r w:rsidRPr="000C627D">
        <w:rPr>
          <w:noProof/>
        </w:rPr>
        <w:tab/>
      </w:r>
      <w:r w:rsidRPr="000C627D">
        <w:rPr>
          <w:noProof/>
        </w:rPr>
        <w:fldChar w:fldCharType="begin"/>
      </w:r>
      <w:r w:rsidRPr="000C627D">
        <w:rPr>
          <w:noProof/>
        </w:rPr>
        <w:instrText xml:space="preserve"> PAGEREF _Toc500512594 \h </w:instrText>
      </w:r>
      <w:r w:rsidRPr="000C627D">
        <w:rPr>
          <w:noProof/>
        </w:rPr>
      </w:r>
      <w:r w:rsidRPr="000C627D">
        <w:rPr>
          <w:noProof/>
        </w:rPr>
        <w:fldChar w:fldCharType="separate"/>
      </w:r>
      <w:r w:rsidR="000309EC">
        <w:rPr>
          <w:noProof/>
        </w:rPr>
        <w:t>25</w:t>
      </w:r>
      <w:r w:rsidRPr="000C627D">
        <w:rPr>
          <w:noProof/>
        </w:rPr>
        <w:fldChar w:fldCharType="end"/>
      </w:r>
    </w:p>
    <w:p w:rsidR="001A2FDF" w:rsidRPr="000C627D" w:rsidRDefault="001A2FDF">
      <w:pPr>
        <w:pStyle w:val="TOC3"/>
        <w:rPr>
          <w:rFonts w:asciiTheme="minorHAnsi" w:eastAsiaTheme="minorEastAsia" w:hAnsiTheme="minorHAnsi" w:cstheme="minorBidi"/>
          <w:b w:val="0"/>
          <w:noProof/>
          <w:kern w:val="0"/>
          <w:szCs w:val="22"/>
        </w:rPr>
      </w:pPr>
      <w:r w:rsidRPr="000C627D">
        <w:rPr>
          <w:noProof/>
        </w:rPr>
        <w:t>Division</w:t>
      </w:r>
      <w:r w:rsidR="000C627D" w:rsidRPr="000C627D">
        <w:rPr>
          <w:noProof/>
        </w:rPr>
        <w:t> </w:t>
      </w:r>
      <w:r w:rsidRPr="000C627D">
        <w:rPr>
          <w:noProof/>
        </w:rPr>
        <w:t>5—Secretary must give copies of notices to applicants</w:t>
      </w:r>
      <w:r w:rsidRPr="000C627D">
        <w:rPr>
          <w:b w:val="0"/>
          <w:noProof/>
          <w:sz w:val="18"/>
        </w:rPr>
        <w:tab/>
      </w:r>
      <w:r w:rsidRPr="000C627D">
        <w:rPr>
          <w:b w:val="0"/>
          <w:noProof/>
          <w:sz w:val="18"/>
        </w:rPr>
        <w:fldChar w:fldCharType="begin"/>
      </w:r>
      <w:r w:rsidRPr="000C627D">
        <w:rPr>
          <w:b w:val="0"/>
          <w:noProof/>
          <w:sz w:val="18"/>
        </w:rPr>
        <w:instrText xml:space="preserve"> PAGEREF _Toc500512595 \h </w:instrText>
      </w:r>
      <w:r w:rsidRPr="000C627D">
        <w:rPr>
          <w:b w:val="0"/>
          <w:noProof/>
          <w:sz w:val="18"/>
        </w:rPr>
      </w:r>
      <w:r w:rsidRPr="000C627D">
        <w:rPr>
          <w:b w:val="0"/>
          <w:noProof/>
          <w:sz w:val="18"/>
        </w:rPr>
        <w:fldChar w:fldCharType="separate"/>
      </w:r>
      <w:r w:rsidR="000309EC">
        <w:rPr>
          <w:b w:val="0"/>
          <w:noProof/>
          <w:sz w:val="18"/>
        </w:rPr>
        <w:t>26</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38</w:t>
      </w:r>
      <w:r w:rsidRPr="000C627D">
        <w:rPr>
          <w:noProof/>
        </w:rPr>
        <w:tab/>
        <w:t>Secretary must give copies of notices to applicants</w:t>
      </w:r>
      <w:r w:rsidRPr="000C627D">
        <w:rPr>
          <w:noProof/>
        </w:rPr>
        <w:tab/>
      </w:r>
      <w:r w:rsidRPr="000C627D">
        <w:rPr>
          <w:noProof/>
        </w:rPr>
        <w:fldChar w:fldCharType="begin"/>
      </w:r>
      <w:r w:rsidRPr="000C627D">
        <w:rPr>
          <w:noProof/>
        </w:rPr>
        <w:instrText xml:space="preserve"> PAGEREF _Toc500512596 \h </w:instrText>
      </w:r>
      <w:r w:rsidRPr="000C627D">
        <w:rPr>
          <w:noProof/>
        </w:rPr>
      </w:r>
      <w:r w:rsidRPr="000C627D">
        <w:rPr>
          <w:noProof/>
        </w:rPr>
        <w:fldChar w:fldCharType="separate"/>
      </w:r>
      <w:r w:rsidR="000309EC">
        <w:rPr>
          <w:noProof/>
        </w:rPr>
        <w:t>26</w:t>
      </w:r>
      <w:r w:rsidRPr="000C627D">
        <w:rPr>
          <w:noProof/>
        </w:rPr>
        <w:fldChar w:fldCharType="end"/>
      </w:r>
    </w:p>
    <w:p w:rsidR="001A2FDF" w:rsidRPr="000C627D" w:rsidRDefault="001A2FDF">
      <w:pPr>
        <w:pStyle w:val="TOC2"/>
        <w:rPr>
          <w:rFonts w:asciiTheme="minorHAnsi" w:eastAsiaTheme="minorEastAsia" w:hAnsiTheme="minorHAnsi" w:cstheme="minorBidi"/>
          <w:b w:val="0"/>
          <w:noProof/>
          <w:kern w:val="0"/>
          <w:sz w:val="22"/>
          <w:szCs w:val="22"/>
        </w:rPr>
      </w:pPr>
      <w:r w:rsidRPr="000C627D">
        <w:rPr>
          <w:noProof/>
        </w:rPr>
        <w:t>Part</w:t>
      </w:r>
      <w:r w:rsidR="000C627D" w:rsidRPr="000C627D">
        <w:rPr>
          <w:noProof/>
        </w:rPr>
        <w:t> </w:t>
      </w:r>
      <w:r w:rsidRPr="000C627D">
        <w:rPr>
          <w:noProof/>
        </w:rPr>
        <w:t>6—Marking</w:t>
      </w:r>
      <w:r w:rsidRPr="000C627D">
        <w:rPr>
          <w:b w:val="0"/>
          <w:noProof/>
          <w:sz w:val="18"/>
        </w:rPr>
        <w:tab/>
      </w:r>
      <w:r w:rsidRPr="000C627D">
        <w:rPr>
          <w:b w:val="0"/>
          <w:noProof/>
          <w:sz w:val="18"/>
        </w:rPr>
        <w:fldChar w:fldCharType="begin"/>
      </w:r>
      <w:r w:rsidRPr="000C627D">
        <w:rPr>
          <w:b w:val="0"/>
          <w:noProof/>
          <w:sz w:val="18"/>
        </w:rPr>
        <w:instrText xml:space="preserve"> PAGEREF _Toc500512597 \h </w:instrText>
      </w:r>
      <w:r w:rsidRPr="000C627D">
        <w:rPr>
          <w:b w:val="0"/>
          <w:noProof/>
          <w:sz w:val="18"/>
        </w:rPr>
      </w:r>
      <w:r w:rsidRPr="000C627D">
        <w:rPr>
          <w:b w:val="0"/>
          <w:noProof/>
          <w:sz w:val="18"/>
        </w:rPr>
        <w:fldChar w:fldCharType="separate"/>
      </w:r>
      <w:r w:rsidR="000309EC">
        <w:rPr>
          <w:b w:val="0"/>
          <w:noProof/>
          <w:sz w:val="18"/>
        </w:rPr>
        <w:t>27</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39</w:t>
      </w:r>
      <w:r w:rsidRPr="000C627D">
        <w:rPr>
          <w:noProof/>
        </w:rPr>
        <w:tab/>
        <w:t>Marking requirements</w:t>
      </w:r>
      <w:r w:rsidRPr="000C627D">
        <w:rPr>
          <w:noProof/>
        </w:rPr>
        <w:tab/>
      </w:r>
      <w:r w:rsidRPr="000C627D">
        <w:rPr>
          <w:noProof/>
        </w:rPr>
        <w:fldChar w:fldCharType="begin"/>
      </w:r>
      <w:r w:rsidRPr="000C627D">
        <w:rPr>
          <w:noProof/>
        </w:rPr>
        <w:instrText xml:space="preserve"> PAGEREF _Toc500512598 \h </w:instrText>
      </w:r>
      <w:r w:rsidRPr="000C627D">
        <w:rPr>
          <w:noProof/>
        </w:rPr>
      </w:r>
      <w:r w:rsidRPr="000C627D">
        <w:rPr>
          <w:noProof/>
        </w:rPr>
        <w:fldChar w:fldCharType="separate"/>
      </w:r>
      <w:r w:rsidR="000309EC">
        <w:rPr>
          <w:noProof/>
        </w:rPr>
        <w:t>27</w:t>
      </w:r>
      <w:r w:rsidRPr="000C627D">
        <w:rPr>
          <w:noProof/>
        </w:rPr>
        <w:fldChar w:fldCharType="end"/>
      </w:r>
    </w:p>
    <w:p w:rsidR="001A2FDF" w:rsidRPr="000C627D" w:rsidRDefault="001A2FDF">
      <w:pPr>
        <w:pStyle w:val="TOC2"/>
        <w:rPr>
          <w:rFonts w:asciiTheme="minorHAnsi" w:eastAsiaTheme="minorEastAsia" w:hAnsiTheme="minorHAnsi" w:cstheme="minorBidi"/>
          <w:b w:val="0"/>
          <w:noProof/>
          <w:kern w:val="0"/>
          <w:sz w:val="22"/>
          <w:szCs w:val="22"/>
        </w:rPr>
      </w:pPr>
      <w:r w:rsidRPr="000C627D">
        <w:rPr>
          <w:noProof/>
        </w:rPr>
        <w:t>Part</w:t>
      </w:r>
      <w:r w:rsidR="000C627D" w:rsidRPr="000C627D">
        <w:rPr>
          <w:noProof/>
        </w:rPr>
        <w:t> </w:t>
      </w:r>
      <w:r w:rsidRPr="000C627D">
        <w:rPr>
          <w:noProof/>
        </w:rPr>
        <w:t>7—Record keeping</w:t>
      </w:r>
      <w:r w:rsidRPr="000C627D">
        <w:rPr>
          <w:b w:val="0"/>
          <w:noProof/>
          <w:sz w:val="18"/>
        </w:rPr>
        <w:tab/>
      </w:r>
      <w:r w:rsidRPr="000C627D">
        <w:rPr>
          <w:b w:val="0"/>
          <w:noProof/>
          <w:sz w:val="18"/>
        </w:rPr>
        <w:fldChar w:fldCharType="begin"/>
      </w:r>
      <w:r w:rsidRPr="000C627D">
        <w:rPr>
          <w:b w:val="0"/>
          <w:noProof/>
          <w:sz w:val="18"/>
        </w:rPr>
        <w:instrText xml:space="preserve"> PAGEREF _Toc500512599 \h </w:instrText>
      </w:r>
      <w:r w:rsidRPr="000C627D">
        <w:rPr>
          <w:b w:val="0"/>
          <w:noProof/>
          <w:sz w:val="18"/>
        </w:rPr>
      </w:r>
      <w:r w:rsidRPr="000C627D">
        <w:rPr>
          <w:b w:val="0"/>
          <w:noProof/>
          <w:sz w:val="18"/>
        </w:rPr>
        <w:fldChar w:fldCharType="separate"/>
      </w:r>
      <w:r w:rsidR="000309EC">
        <w:rPr>
          <w:b w:val="0"/>
          <w:noProof/>
          <w:sz w:val="18"/>
        </w:rPr>
        <w:t>28</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40</w:t>
      </w:r>
      <w:r w:rsidRPr="000C627D">
        <w:rPr>
          <w:noProof/>
        </w:rPr>
        <w:tab/>
        <w:t>Record</w:t>
      </w:r>
      <w:r w:rsidR="000C627D">
        <w:rPr>
          <w:noProof/>
        </w:rPr>
        <w:noBreakHyphen/>
      </w:r>
      <w:r w:rsidRPr="000C627D">
        <w:rPr>
          <w:noProof/>
        </w:rPr>
        <w:t>keeping requirements</w:t>
      </w:r>
      <w:r w:rsidRPr="000C627D">
        <w:rPr>
          <w:noProof/>
        </w:rPr>
        <w:tab/>
      </w:r>
      <w:r w:rsidRPr="000C627D">
        <w:rPr>
          <w:noProof/>
        </w:rPr>
        <w:fldChar w:fldCharType="begin"/>
      </w:r>
      <w:r w:rsidRPr="000C627D">
        <w:rPr>
          <w:noProof/>
        </w:rPr>
        <w:instrText xml:space="preserve"> PAGEREF _Toc500512600 \h </w:instrText>
      </w:r>
      <w:r w:rsidRPr="000C627D">
        <w:rPr>
          <w:noProof/>
        </w:rPr>
      </w:r>
      <w:r w:rsidRPr="000C627D">
        <w:rPr>
          <w:noProof/>
        </w:rPr>
        <w:fldChar w:fldCharType="separate"/>
      </w:r>
      <w:r w:rsidR="000309EC">
        <w:rPr>
          <w:noProof/>
        </w:rPr>
        <w:t>28</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41</w:t>
      </w:r>
      <w:r w:rsidRPr="000C627D">
        <w:rPr>
          <w:noProof/>
        </w:rPr>
        <w:tab/>
        <w:t>Reporting on supply of products manufactured in Australia</w:t>
      </w:r>
      <w:r w:rsidRPr="000C627D">
        <w:rPr>
          <w:noProof/>
        </w:rPr>
        <w:tab/>
      </w:r>
      <w:r w:rsidRPr="000C627D">
        <w:rPr>
          <w:noProof/>
        </w:rPr>
        <w:fldChar w:fldCharType="begin"/>
      </w:r>
      <w:r w:rsidRPr="000C627D">
        <w:rPr>
          <w:noProof/>
        </w:rPr>
        <w:instrText xml:space="preserve"> PAGEREF _Toc500512601 \h </w:instrText>
      </w:r>
      <w:r w:rsidRPr="000C627D">
        <w:rPr>
          <w:noProof/>
        </w:rPr>
      </w:r>
      <w:r w:rsidRPr="000C627D">
        <w:rPr>
          <w:noProof/>
        </w:rPr>
        <w:fldChar w:fldCharType="separate"/>
      </w:r>
      <w:r w:rsidR="000309EC">
        <w:rPr>
          <w:noProof/>
        </w:rPr>
        <w:t>28</w:t>
      </w:r>
      <w:r w:rsidRPr="000C627D">
        <w:rPr>
          <w:noProof/>
        </w:rPr>
        <w:fldChar w:fldCharType="end"/>
      </w:r>
    </w:p>
    <w:p w:rsidR="001A2FDF" w:rsidRPr="000C627D" w:rsidRDefault="001A2FDF">
      <w:pPr>
        <w:pStyle w:val="TOC2"/>
        <w:rPr>
          <w:rFonts w:asciiTheme="minorHAnsi" w:eastAsiaTheme="minorEastAsia" w:hAnsiTheme="minorHAnsi" w:cstheme="minorBidi"/>
          <w:b w:val="0"/>
          <w:noProof/>
          <w:kern w:val="0"/>
          <w:sz w:val="22"/>
          <w:szCs w:val="22"/>
        </w:rPr>
      </w:pPr>
      <w:r w:rsidRPr="000C627D">
        <w:rPr>
          <w:noProof/>
        </w:rPr>
        <w:t>Part</w:t>
      </w:r>
      <w:r w:rsidR="000C627D" w:rsidRPr="000C627D">
        <w:rPr>
          <w:noProof/>
        </w:rPr>
        <w:t> </w:t>
      </w:r>
      <w:r w:rsidRPr="000C627D">
        <w:rPr>
          <w:noProof/>
        </w:rPr>
        <w:t>8—Fees</w:t>
      </w:r>
      <w:r w:rsidRPr="000C627D">
        <w:rPr>
          <w:b w:val="0"/>
          <w:noProof/>
          <w:sz w:val="18"/>
        </w:rPr>
        <w:tab/>
      </w:r>
      <w:r w:rsidRPr="000C627D">
        <w:rPr>
          <w:b w:val="0"/>
          <w:noProof/>
          <w:sz w:val="18"/>
        </w:rPr>
        <w:fldChar w:fldCharType="begin"/>
      </w:r>
      <w:r w:rsidRPr="000C627D">
        <w:rPr>
          <w:b w:val="0"/>
          <w:noProof/>
          <w:sz w:val="18"/>
        </w:rPr>
        <w:instrText xml:space="preserve"> PAGEREF _Toc500512602 \h </w:instrText>
      </w:r>
      <w:r w:rsidRPr="000C627D">
        <w:rPr>
          <w:b w:val="0"/>
          <w:noProof/>
          <w:sz w:val="18"/>
        </w:rPr>
      </w:r>
      <w:r w:rsidRPr="000C627D">
        <w:rPr>
          <w:b w:val="0"/>
          <w:noProof/>
          <w:sz w:val="18"/>
        </w:rPr>
        <w:fldChar w:fldCharType="separate"/>
      </w:r>
      <w:r w:rsidR="000309EC">
        <w:rPr>
          <w:b w:val="0"/>
          <w:noProof/>
          <w:sz w:val="18"/>
        </w:rPr>
        <w:t>30</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42</w:t>
      </w:r>
      <w:r w:rsidRPr="000C627D">
        <w:rPr>
          <w:noProof/>
        </w:rPr>
        <w:tab/>
        <w:t>Purposes of this Part</w:t>
      </w:r>
      <w:r w:rsidRPr="000C627D">
        <w:rPr>
          <w:noProof/>
        </w:rPr>
        <w:tab/>
      </w:r>
      <w:r w:rsidRPr="000C627D">
        <w:rPr>
          <w:noProof/>
        </w:rPr>
        <w:fldChar w:fldCharType="begin"/>
      </w:r>
      <w:r w:rsidRPr="000C627D">
        <w:rPr>
          <w:noProof/>
        </w:rPr>
        <w:instrText xml:space="preserve"> PAGEREF _Toc500512603 \h </w:instrText>
      </w:r>
      <w:r w:rsidRPr="000C627D">
        <w:rPr>
          <w:noProof/>
        </w:rPr>
      </w:r>
      <w:r w:rsidRPr="000C627D">
        <w:rPr>
          <w:noProof/>
        </w:rPr>
        <w:fldChar w:fldCharType="separate"/>
      </w:r>
      <w:r w:rsidR="000309EC">
        <w:rPr>
          <w:noProof/>
        </w:rPr>
        <w:t>30</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43</w:t>
      </w:r>
      <w:r w:rsidRPr="000C627D">
        <w:rPr>
          <w:noProof/>
        </w:rPr>
        <w:tab/>
        <w:t>Charging fees</w:t>
      </w:r>
      <w:r w:rsidRPr="000C627D">
        <w:rPr>
          <w:noProof/>
        </w:rPr>
        <w:tab/>
      </w:r>
      <w:r w:rsidRPr="000C627D">
        <w:rPr>
          <w:noProof/>
        </w:rPr>
        <w:fldChar w:fldCharType="begin"/>
      </w:r>
      <w:r w:rsidRPr="000C627D">
        <w:rPr>
          <w:noProof/>
        </w:rPr>
        <w:instrText xml:space="preserve"> PAGEREF _Toc500512604 \h </w:instrText>
      </w:r>
      <w:r w:rsidRPr="000C627D">
        <w:rPr>
          <w:noProof/>
        </w:rPr>
      </w:r>
      <w:r w:rsidRPr="000C627D">
        <w:rPr>
          <w:noProof/>
        </w:rPr>
        <w:fldChar w:fldCharType="separate"/>
      </w:r>
      <w:r w:rsidR="000309EC">
        <w:rPr>
          <w:noProof/>
        </w:rPr>
        <w:t>30</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44</w:t>
      </w:r>
      <w:r w:rsidRPr="000C627D">
        <w:rPr>
          <w:noProof/>
        </w:rPr>
        <w:tab/>
        <w:t>Waiving fees</w:t>
      </w:r>
      <w:r w:rsidRPr="000C627D">
        <w:rPr>
          <w:noProof/>
        </w:rPr>
        <w:tab/>
      </w:r>
      <w:r w:rsidRPr="000C627D">
        <w:rPr>
          <w:noProof/>
        </w:rPr>
        <w:fldChar w:fldCharType="begin"/>
      </w:r>
      <w:r w:rsidRPr="000C627D">
        <w:rPr>
          <w:noProof/>
        </w:rPr>
        <w:instrText xml:space="preserve"> PAGEREF _Toc500512605 \h </w:instrText>
      </w:r>
      <w:r w:rsidRPr="000C627D">
        <w:rPr>
          <w:noProof/>
        </w:rPr>
      </w:r>
      <w:r w:rsidRPr="000C627D">
        <w:rPr>
          <w:noProof/>
        </w:rPr>
        <w:fldChar w:fldCharType="separate"/>
      </w:r>
      <w:r w:rsidR="000309EC">
        <w:rPr>
          <w:noProof/>
        </w:rPr>
        <w:t>30</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45</w:t>
      </w:r>
      <w:r w:rsidRPr="000C627D">
        <w:rPr>
          <w:noProof/>
        </w:rPr>
        <w:tab/>
        <w:t>Refunding fees</w:t>
      </w:r>
      <w:r w:rsidRPr="000C627D">
        <w:rPr>
          <w:noProof/>
        </w:rPr>
        <w:tab/>
      </w:r>
      <w:r w:rsidRPr="000C627D">
        <w:rPr>
          <w:noProof/>
        </w:rPr>
        <w:fldChar w:fldCharType="begin"/>
      </w:r>
      <w:r w:rsidRPr="000C627D">
        <w:rPr>
          <w:noProof/>
        </w:rPr>
        <w:instrText xml:space="preserve"> PAGEREF _Toc500512606 \h </w:instrText>
      </w:r>
      <w:r w:rsidRPr="000C627D">
        <w:rPr>
          <w:noProof/>
        </w:rPr>
      </w:r>
      <w:r w:rsidRPr="000C627D">
        <w:rPr>
          <w:noProof/>
        </w:rPr>
        <w:fldChar w:fldCharType="separate"/>
      </w:r>
      <w:r w:rsidR="000309EC">
        <w:rPr>
          <w:noProof/>
        </w:rPr>
        <w:t>30</w:t>
      </w:r>
      <w:r w:rsidRPr="000C627D">
        <w:rPr>
          <w:noProof/>
        </w:rPr>
        <w:fldChar w:fldCharType="end"/>
      </w:r>
    </w:p>
    <w:p w:rsidR="001A2FDF" w:rsidRPr="000C627D" w:rsidRDefault="001A2FDF">
      <w:pPr>
        <w:pStyle w:val="TOC2"/>
        <w:rPr>
          <w:rFonts w:asciiTheme="minorHAnsi" w:eastAsiaTheme="minorEastAsia" w:hAnsiTheme="minorHAnsi" w:cstheme="minorBidi"/>
          <w:b w:val="0"/>
          <w:noProof/>
          <w:kern w:val="0"/>
          <w:sz w:val="22"/>
          <w:szCs w:val="22"/>
        </w:rPr>
      </w:pPr>
      <w:r w:rsidRPr="000C627D">
        <w:rPr>
          <w:noProof/>
        </w:rPr>
        <w:t>Part</w:t>
      </w:r>
      <w:r w:rsidR="000C627D" w:rsidRPr="000C627D">
        <w:rPr>
          <w:noProof/>
        </w:rPr>
        <w:t> </w:t>
      </w:r>
      <w:r w:rsidRPr="000C627D">
        <w:rPr>
          <w:noProof/>
        </w:rPr>
        <w:t>9—Collection and recovery of charges</w:t>
      </w:r>
      <w:r w:rsidRPr="000C627D">
        <w:rPr>
          <w:b w:val="0"/>
          <w:noProof/>
          <w:sz w:val="18"/>
        </w:rPr>
        <w:tab/>
      </w:r>
      <w:r w:rsidRPr="000C627D">
        <w:rPr>
          <w:b w:val="0"/>
          <w:noProof/>
          <w:sz w:val="18"/>
        </w:rPr>
        <w:fldChar w:fldCharType="begin"/>
      </w:r>
      <w:r w:rsidRPr="000C627D">
        <w:rPr>
          <w:b w:val="0"/>
          <w:noProof/>
          <w:sz w:val="18"/>
        </w:rPr>
        <w:instrText xml:space="preserve"> PAGEREF _Toc500512607 \h </w:instrText>
      </w:r>
      <w:r w:rsidRPr="000C627D">
        <w:rPr>
          <w:b w:val="0"/>
          <w:noProof/>
          <w:sz w:val="18"/>
        </w:rPr>
      </w:r>
      <w:r w:rsidRPr="000C627D">
        <w:rPr>
          <w:b w:val="0"/>
          <w:noProof/>
          <w:sz w:val="18"/>
        </w:rPr>
        <w:fldChar w:fldCharType="separate"/>
      </w:r>
      <w:r w:rsidR="000309EC">
        <w:rPr>
          <w:b w:val="0"/>
          <w:noProof/>
          <w:sz w:val="18"/>
        </w:rPr>
        <w:t>32</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46</w:t>
      </w:r>
      <w:r w:rsidRPr="000C627D">
        <w:rPr>
          <w:noProof/>
        </w:rPr>
        <w:tab/>
        <w:t>Purposes of this Part</w:t>
      </w:r>
      <w:r w:rsidRPr="000C627D">
        <w:rPr>
          <w:noProof/>
        </w:rPr>
        <w:tab/>
      </w:r>
      <w:r w:rsidRPr="000C627D">
        <w:rPr>
          <w:noProof/>
        </w:rPr>
        <w:fldChar w:fldCharType="begin"/>
      </w:r>
      <w:r w:rsidRPr="000C627D">
        <w:rPr>
          <w:noProof/>
        </w:rPr>
        <w:instrText xml:space="preserve"> PAGEREF _Toc500512608 \h </w:instrText>
      </w:r>
      <w:r w:rsidRPr="000C627D">
        <w:rPr>
          <w:noProof/>
        </w:rPr>
      </w:r>
      <w:r w:rsidRPr="000C627D">
        <w:rPr>
          <w:noProof/>
        </w:rPr>
        <w:fldChar w:fldCharType="separate"/>
      </w:r>
      <w:r w:rsidR="000309EC">
        <w:rPr>
          <w:noProof/>
        </w:rPr>
        <w:t>32</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47</w:t>
      </w:r>
      <w:r w:rsidRPr="000C627D">
        <w:rPr>
          <w:noProof/>
        </w:rPr>
        <w:tab/>
        <w:t>When charge due for payment</w:t>
      </w:r>
      <w:r w:rsidRPr="000C627D">
        <w:rPr>
          <w:noProof/>
        </w:rPr>
        <w:tab/>
      </w:r>
      <w:r w:rsidRPr="000C627D">
        <w:rPr>
          <w:noProof/>
        </w:rPr>
        <w:fldChar w:fldCharType="begin"/>
      </w:r>
      <w:r w:rsidRPr="000C627D">
        <w:rPr>
          <w:noProof/>
        </w:rPr>
        <w:instrText xml:space="preserve"> PAGEREF _Toc500512609 \h </w:instrText>
      </w:r>
      <w:r w:rsidRPr="000C627D">
        <w:rPr>
          <w:noProof/>
        </w:rPr>
      </w:r>
      <w:r w:rsidRPr="000C627D">
        <w:rPr>
          <w:noProof/>
        </w:rPr>
        <w:fldChar w:fldCharType="separate"/>
      </w:r>
      <w:r w:rsidR="000309EC">
        <w:rPr>
          <w:noProof/>
        </w:rPr>
        <w:t>32</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48</w:t>
      </w:r>
      <w:r w:rsidRPr="000C627D">
        <w:rPr>
          <w:noProof/>
        </w:rPr>
        <w:tab/>
        <w:t>Recovery of charge</w:t>
      </w:r>
      <w:r w:rsidRPr="000C627D">
        <w:rPr>
          <w:noProof/>
        </w:rPr>
        <w:tab/>
      </w:r>
      <w:r w:rsidRPr="000C627D">
        <w:rPr>
          <w:noProof/>
        </w:rPr>
        <w:fldChar w:fldCharType="begin"/>
      </w:r>
      <w:r w:rsidRPr="000C627D">
        <w:rPr>
          <w:noProof/>
        </w:rPr>
        <w:instrText xml:space="preserve"> PAGEREF _Toc500512610 \h </w:instrText>
      </w:r>
      <w:r w:rsidRPr="000C627D">
        <w:rPr>
          <w:noProof/>
        </w:rPr>
      </w:r>
      <w:r w:rsidRPr="000C627D">
        <w:rPr>
          <w:noProof/>
        </w:rPr>
        <w:fldChar w:fldCharType="separate"/>
      </w:r>
      <w:r w:rsidR="000309EC">
        <w:rPr>
          <w:noProof/>
        </w:rPr>
        <w:t>32</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49</w:t>
      </w:r>
      <w:r w:rsidRPr="000C627D">
        <w:rPr>
          <w:noProof/>
        </w:rPr>
        <w:tab/>
        <w:t>Import declarations</w:t>
      </w:r>
      <w:r w:rsidRPr="000C627D">
        <w:rPr>
          <w:noProof/>
        </w:rPr>
        <w:tab/>
      </w:r>
      <w:r w:rsidRPr="000C627D">
        <w:rPr>
          <w:noProof/>
        </w:rPr>
        <w:fldChar w:fldCharType="begin"/>
      </w:r>
      <w:r w:rsidRPr="000C627D">
        <w:rPr>
          <w:noProof/>
        </w:rPr>
        <w:instrText xml:space="preserve"> PAGEREF _Toc500512611 \h </w:instrText>
      </w:r>
      <w:r w:rsidRPr="000C627D">
        <w:rPr>
          <w:noProof/>
        </w:rPr>
      </w:r>
      <w:r w:rsidRPr="000C627D">
        <w:rPr>
          <w:noProof/>
        </w:rPr>
        <w:fldChar w:fldCharType="separate"/>
      </w:r>
      <w:r w:rsidR="000309EC">
        <w:rPr>
          <w:noProof/>
        </w:rPr>
        <w:t>32</w:t>
      </w:r>
      <w:r w:rsidRPr="000C627D">
        <w:rPr>
          <w:noProof/>
        </w:rPr>
        <w:fldChar w:fldCharType="end"/>
      </w:r>
    </w:p>
    <w:p w:rsidR="001A2FDF" w:rsidRPr="000C627D" w:rsidRDefault="001A2FDF">
      <w:pPr>
        <w:pStyle w:val="TOC2"/>
        <w:rPr>
          <w:rFonts w:asciiTheme="minorHAnsi" w:eastAsiaTheme="minorEastAsia" w:hAnsiTheme="minorHAnsi" w:cstheme="minorBidi"/>
          <w:b w:val="0"/>
          <w:noProof/>
          <w:kern w:val="0"/>
          <w:sz w:val="22"/>
          <w:szCs w:val="22"/>
        </w:rPr>
      </w:pPr>
      <w:r w:rsidRPr="000C627D">
        <w:rPr>
          <w:noProof/>
        </w:rPr>
        <w:t>Part</w:t>
      </w:r>
      <w:r w:rsidR="000C627D" w:rsidRPr="000C627D">
        <w:rPr>
          <w:noProof/>
        </w:rPr>
        <w:t> </w:t>
      </w:r>
      <w:r w:rsidRPr="000C627D">
        <w:rPr>
          <w:noProof/>
        </w:rPr>
        <w:t>10—Miscellaneous</w:t>
      </w:r>
      <w:r w:rsidRPr="000C627D">
        <w:rPr>
          <w:b w:val="0"/>
          <w:noProof/>
          <w:sz w:val="18"/>
        </w:rPr>
        <w:tab/>
      </w:r>
      <w:r w:rsidRPr="000C627D">
        <w:rPr>
          <w:b w:val="0"/>
          <w:noProof/>
          <w:sz w:val="18"/>
        </w:rPr>
        <w:fldChar w:fldCharType="begin"/>
      </w:r>
      <w:r w:rsidRPr="000C627D">
        <w:rPr>
          <w:b w:val="0"/>
          <w:noProof/>
          <w:sz w:val="18"/>
        </w:rPr>
        <w:instrText xml:space="preserve"> PAGEREF _Toc500512612 \h </w:instrText>
      </w:r>
      <w:r w:rsidRPr="000C627D">
        <w:rPr>
          <w:b w:val="0"/>
          <w:noProof/>
          <w:sz w:val="18"/>
        </w:rPr>
      </w:r>
      <w:r w:rsidRPr="000C627D">
        <w:rPr>
          <w:b w:val="0"/>
          <w:noProof/>
          <w:sz w:val="18"/>
        </w:rPr>
        <w:fldChar w:fldCharType="separate"/>
      </w:r>
      <w:r w:rsidR="000309EC">
        <w:rPr>
          <w:b w:val="0"/>
          <w:noProof/>
          <w:sz w:val="18"/>
        </w:rPr>
        <w:t>33</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50</w:t>
      </w:r>
      <w:r w:rsidRPr="000C627D">
        <w:rPr>
          <w:noProof/>
        </w:rPr>
        <w:tab/>
        <w:t>Review of decisions</w:t>
      </w:r>
      <w:r w:rsidRPr="000C627D">
        <w:rPr>
          <w:noProof/>
        </w:rPr>
        <w:tab/>
      </w:r>
      <w:r w:rsidRPr="000C627D">
        <w:rPr>
          <w:noProof/>
        </w:rPr>
        <w:fldChar w:fldCharType="begin"/>
      </w:r>
      <w:r w:rsidRPr="000C627D">
        <w:rPr>
          <w:noProof/>
        </w:rPr>
        <w:instrText xml:space="preserve"> PAGEREF _Toc500512613 \h </w:instrText>
      </w:r>
      <w:r w:rsidRPr="000C627D">
        <w:rPr>
          <w:noProof/>
        </w:rPr>
      </w:r>
      <w:r w:rsidRPr="000C627D">
        <w:rPr>
          <w:noProof/>
        </w:rPr>
        <w:fldChar w:fldCharType="separate"/>
      </w:r>
      <w:r w:rsidR="000309EC">
        <w:rPr>
          <w:noProof/>
        </w:rPr>
        <w:t>33</w:t>
      </w:r>
      <w:r w:rsidRPr="000C627D">
        <w:rPr>
          <w:noProof/>
        </w:rPr>
        <w:fldChar w:fldCharType="end"/>
      </w:r>
    </w:p>
    <w:p w:rsidR="001A2FDF" w:rsidRPr="000C627D" w:rsidRDefault="001A2FDF">
      <w:pPr>
        <w:pStyle w:val="TOC2"/>
        <w:rPr>
          <w:rFonts w:asciiTheme="minorHAnsi" w:eastAsiaTheme="minorEastAsia" w:hAnsiTheme="minorHAnsi" w:cstheme="minorBidi"/>
          <w:b w:val="0"/>
          <w:noProof/>
          <w:kern w:val="0"/>
          <w:sz w:val="22"/>
          <w:szCs w:val="22"/>
        </w:rPr>
      </w:pPr>
      <w:r w:rsidRPr="000C627D">
        <w:rPr>
          <w:noProof/>
        </w:rPr>
        <w:t>Part</w:t>
      </w:r>
      <w:r w:rsidR="000C627D" w:rsidRPr="000C627D">
        <w:rPr>
          <w:noProof/>
        </w:rPr>
        <w:t> </w:t>
      </w:r>
      <w:r w:rsidRPr="000C627D">
        <w:rPr>
          <w:noProof/>
        </w:rPr>
        <w:t>11—Transitional provisions</w:t>
      </w:r>
      <w:r w:rsidRPr="000C627D">
        <w:rPr>
          <w:b w:val="0"/>
          <w:noProof/>
          <w:sz w:val="18"/>
        </w:rPr>
        <w:tab/>
      </w:r>
      <w:r w:rsidRPr="000C627D">
        <w:rPr>
          <w:b w:val="0"/>
          <w:noProof/>
          <w:sz w:val="18"/>
        </w:rPr>
        <w:fldChar w:fldCharType="begin"/>
      </w:r>
      <w:r w:rsidRPr="000C627D">
        <w:rPr>
          <w:b w:val="0"/>
          <w:noProof/>
          <w:sz w:val="18"/>
        </w:rPr>
        <w:instrText xml:space="preserve"> PAGEREF _Toc500512614 \h </w:instrText>
      </w:r>
      <w:r w:rsidRPr="000C627D">
        <w:rPr>
          <w:b w:val="0"/>
          <w:noProof/>
          <w:sz w:val="18"/>
        </w:rPr>
      </w:r>
      <w:r w:rsidRPr="000C627D">
        <w:rPr>
          <w:b w:val="0"/>
          <w:noProof/>
          <w:sz w:val="18"/>
        </w:rPr>
        <w:fldChar w:fldCharType="separate"/>
      </w:r>
      <w:r w:rsidR="000309EC">
        <w:rPr>
          <w:b w:val="0"/>
          <w:noProof/>
          <w:sz w:val="18"/>
        </w:rPr>
        <w:t>34</w:t>
      </w:r>
      <w:r w:rsidRPr="000C627D">
        <w:rPr>
          <w:b w:val="0"/>
          <w:noProof/>
          <w:sz w:val="18"/>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51</w:t>
      </w:r>
      <w:r w:rsidRPr="000C627D">
        <w:rPr>
          <w:noProof/>
        </w:rPr>
        <w:tab/>
        <w:t>Importing and supplying emissions</w:t>
      </w:r>
      <w:r w:rsidR="000C627D">
        <w:rPr>
          <w:noProof/>
        </w:rPr>
        <w:noBreakHyphen/>
      </w:r>
      <w:r w:rsidRPr="000C627D">
        <w:rPr>
          <w:noProof/>
        </w:rPr>
        <w:t>controlled products</w:t>
      </w:r>
      <w:r w:rsidRPr="000C627D">
        <w:rPr>
          <w:noProof/>
        </w:rPr>
        <w:tab/>
      </w:r>
      <w:r w:rsidRPr="000C627D">
        <w:rPr>
          <w:noProof/>
        </w:rPr>
        <w:fldChar w:fldCharType="begin"/>
      </w:r>
      <w:r w:rsidRPr="000C627D">
        <w:rPr>
          <w:noProof/>
        </w:rPr>
        <w:instrText xml:space="preserve"> PAGEREF _Toc500512615 \h </w:instrText>
      </w:r>
      <w:r w:rsidRPr="000C627D">
        <w:rPr>
          <w:noProof/>
        </w:rPr>
      </w:r>
      <w:r w:rsidRPr="000C627D">
        <w:rPr>
          <w:noProof/>
        </w:rPr>
        <w:fldChar w:fldCharType="separate"/>
      </w:r>
      <w:r w:rsidR="000309EC">
        <w:rPr>
          <w:noProof/>
        </w:rPr>
        <w:t>34</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52</w:t>
      </w:r>
      <w:r w:rsidRPr="000C627D">
        <w:rPr>
          <w:noProof/>
        </w:rPr>
        <w:tab/>
        <w:t>Transitional provision—Directive 97/68/EC</w:t>
      </w:r>
      <w:r w:rsidRPr="000C627D">
        <w:rPr>
          <w:noProof/>
        </w:rPr>
        <w:tab/>
      </w:r>
      <w:r w:rsidRPr="000C627D">
        <w:rPr>
          <w:noProof/>
        </w:rPr>
        <w:fldChar w:fldCharType="begin"/>
      </w:r>
      <w:r w:rsidRPr="000C627D">
        <w:rPr>
          <w:noProof/>
        </w:rPr>
        <w:instrText xml:space="preserve"> PAGEREF _Toc500512616 \h </w:instrText>
      </w:r>
      <w:r w:rsidRPr="000C627D">
        <w:rPr>
          <w:noProof/>
        </w:rPr>
      </w:r>
      <w:r w:rsidRPr="000C627D">
        <w:rPr>
          <w:noProof/>
        </w:rPr>
        <w:fldChar w:fldCharType="separate"/>
      </w:r>
      <w:r w:rsidR="000309EC">
        <w:rPr>
          <w:noProof/>
        </w:rPr>
        <w:t>34</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53</w:t>
      </w:r>
      <w:r w:rsidRPr="000C627D">
        <w:rPr>
          <w:noProof/>
        </w:rPr>
        <w:tab/>
        <w:t>Record</w:t>
      </w:r>
      <w:r w:rsidR="000C627D">
        <w:rPr>
          <w:noProof/>
        </w:rPr>
        <w:noBreakHyphen/>
      </w:r>
      <w:r w:rsidRPr="000C627D">
        <w:rPr>
          <w:noProof/>
        </w:rPr>
        <w:t>keeping requirements</w:t>
      </w:r>
      <w:r w:rsidRPr="000C627D">
        <w:rPr>
          <w:noProof/>
        </w:rPr>
        <w:tab/>
      </w:r>
      <w:r w:rsidRPr="000C627D">
        <w:rPr>
          <w:noProof/>
        </w:rPr>
        <w:fldChar w:fldCharType="begin"/>
      </w:r>
      <w:r w:rsidRPr="000C627D">
        <w:rPr>
          <w:noProof/>
        </w:rPr>
        <w:instrText xml:space="preserve"> PAGEREF _Toc500512617 \h </w:instrText>
      </w:r>
      <w:r w:rsidRPr="000C627D">
        <w:rPr>
          <w:noProof/>
        </w:rPr>
      </w:r>
      <w:r w:rsidRPr="000C627D">
        <w:rPr>
          <w:noProof/>
        </w:rPr>
        <w:fldChar w:fldCharType="separate"/>
      </w:r>
      <w:r w:rsidR="000309EC">
        <w:rPr>
          <w:noProof/>
        </w:rPr>
        <w:t>35</w:t>
      </w:r>
      <w:r w:rsidRPr="000C627D">
        <w:rPr>
          <w:noProof/>
        </w:rPr>
        <w:fldChar w:fldCharType="end"/>
      </w:r>
    </w:p>
    <w:p w:rsidR="001A2FDF" w:rsidRPr="000C627D" w:rsidRDefault="001A2FDF">
      <w:pPr>
        <w:pStyle w:val="TOC5"/>
        <w:rPr>
          <w:rFonts w:asciiTheme="minorHAnsi" w:eastAsiaTheme="minorEastAsia" w:hAnsiTheme="minorHAnsi" w:cstheme="minorBidi"/>
          <w:noProof/>
          <w:kern w:val="0"/>
          <w:sz w:val="22"/>
          <w:szCs w:val="22"/>
        </w:rPr>
      </w:pPr>
      <w:r w:rsidRPr="000C627D">
        <w:rPr>
          <w:noProof/>
        </w:rPr>
        <w:t>54</w:t>
      </w:r>
      <w:r w:rsidRPr="000C627D">
        <w:rPr>
          <w:noProof/>
        </w:rPr>
        <w:tab/>
        <w:t>Reporting periods</w:t>
      </w:r>
      <w:r w:rsidRPr="000C627D">
        <w:rPr>
          <w:noProof/>
        </w:rPr>
        <w:tab/>
      </w:r>
      <w:r w:rsidRPr="000C627D">
        <w:rPr>
          <w:noProof/>
        </w:rPr>
        <w:fldChar w:fldCharType="begin"/>
      </w:r>
      <w:r w:rsidRPr="000C627D">
        <w:rPr>
          <w:noProof/>
        </w:rPr>
        <w:instrText xml:space="preserve"> PAGEREF _Toc500512618 \h </w:instrText>
      </w:r>
      <w:r w:rsidRPr="000C627D">
        <w:rPr>
          <w:noProof/>
        </w:rPr>
      </w:r>
      <w:r w:rsidRPr="000C627D">
        <w:rPr>
          <w:noProof/>
        </w:rPr>
        <w:fldChar w:fldCharType="separate"/>
      </w:r>
      <w:r w:rsidR="000309EC">
        <w:rPr>
          <w:noProof/>
        </w:rPr>
        <w:t>35</w:t>
      </w:r>
      <w:r w:rsidRPr="000C627D">
        <w:rPr>
          <w:noProof/>
        </w:rPr>
        <w:fldChar w:fldCharType="end"/>
      </w:r>
    </w:p>
    <w:p w:rsidR="00670EA1" w:rsidRPr="000C627D" w:rsidRDefault="001A2FDF" w:rsidP="00715914">
      <w:r w:rsidRPr="000C627D">
        <w:fldChar w:fldCharType="end"/>
      </w:r>
    </w:p>
    <w:p w:rsidR="007E02DB" w:rsidRPr="000C627D" w:rsidRDefault="007E02DB" w:rsidP="00715914"/>
    <w:p w:rsidR="00670EA1" w:rsidRPr="000C627D" w:rsidRDefault="00670EA1" w:rsidP="00715914">
      <w:pPr>
        <w:sectPr w:rsidR="00670EA1" w:rsidRPr="000C627D" w:rsidSect="009A21AD">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0C627D" w:rsidRDefault="00715914" w:rsidP="00715914">
      <w:pPr>
        <w:pStyle w:val="ActHead2"/>
      </w:pPr>
      <w:bookmarkStart w:id="0" w:name="_Toc500512543"/>
      <w:r w:rsidRPr="000C627D">
        <w:rPr>
          <w:rStyle w:val="CharPartNo"/>
        </w:rPr>
        <w:t>Part</w:t>
      </w:r>
      <w:r w:rsidR="000C627D" w:rsidRPr="000C627D">
        <w:rPr>
          <w:rStyle w:val="CharPartNo"/>
        </w:rPr>
        <w:t> </w:t>
      </w:r>
      <w:r w:rsidRPr="000C627D">
        <w:rPr>
          <w:rStyle w:val="CharPartNo"/>
        </w:rPr>
        <w:t>1</w:t>
      </w:r>
      <w:r w:rsidRPr="000C627D">
        <w:t>—</w:t>
      </w:r>
      <w:r w:rsidRPr="000C627D">
        <w:rPr>
          <w:rStyle w:val="CharPartText"/>
        </w:rPr>
        <w:t>Preliminary</w:t>
      </w:r>
      <w:bookmarkEnd w:id="0"/>
    </w:p>
    <w:p w:rsidR="00715914" w:rsidRPr="000C627D" w:rsidRDefault="00715914" w:rsidP="00715914">
      <w:pPr>
        <w:pStyle w:val="Header"/>
      </w:pPr>
      <w:r w:rsidRPr="000C627D">
        <w:rPr>
          <w:rStyle w:val="CharDivNo"/>
        </w:rPr>
        <w:t xml:space="preserve"> </w:t>
      </w:r>
      <w:r w:rsidRPr="000C627D">
        <w:rPr>
          <w:rStyle w:val="CharDivText"/>
        </w:rPr>
        <w:t xml:space="preserve"> </w:t>
      </w:r>
    </w:p>
    <w:p w:rsidR="00715914" w:rsidRPr="000C627D" w:rsidRDefault="006E7CE6" w:rsidP="00715914">
      <w:pPr>
        <w:pStyle w:val="ActHead5"/>
      </w:pPr>
      <w:bookmarkStart w:id="1" w:name="_Toc500512544"/>
      <w:r w:rsidRPr="000C627D">
        <w:rPr>
          <w:rStyle w:val="CharSectno"/>
        </w:rPr>
        <w:t>1</w:t>
      </w:r>
      <w:r w:rsidR="00715914" w:rsidRPr="000C627D">
        <w:t xml:space="preserve">  </w:t>
      </w:r>
      <w:r w:rsidR="00CE493D" w:rsidRPr="000C627D">
        <w:t>Name</w:t>
      </w:r>
      <w:bookmarkEnd w:id="1"/>
    </w:p>
    <w:p w:rsidR="00715914" w:rsidRPr="000C627D" w:rsidRDefault="00715914" w:rsidP="00715914">
      <w:pPr>
        <w:pStyle w:val="subsection"/>
      </w:pPr>
      <w:r w:rsidRPr="000C627D">
        <w:tab/>
      </w:r>
      <w:r w:rsidRPr="000C627D">
        <w:tab/>
      </w:r>
      <w:r w:rsidR="00321154" w:rsidRPr="000C627D">
        <w:t>This instrument is</w:t>
      </w:r>
      <w:r w:rsidR="00CE493D" w:rsidRPr="000C627D">
        <w:t xml:space="preserve"> the </w:t>
      </w:r>
      <w:r w:rsidR="00BC76AC" w:rsidRPr="000C627D">
        <w:rPr>
          <w:i/>
        </w:rPr>
        <w:fldChar w:fldCharType="begin"/>
      </w:r>
      <w:r w:rsidR="00BC76AC" w:rsidRPr="000C627D">
        <w:rPr>
          <w:i/>
        </w:rPr>
        <w:instrText xml:space="preserve"> STYLEREF  ShortT </w:instrText>
      </w:r>
      <w:r w:rsidR="00BC76AC" w:rsidRPr="000C627D">
        <w:rPr>
          <w:i/>
        </w:rPr>
        <w:fldChar w:fldCharType="separate"/>
      </w:r>
      <w:r w:rsidR="000309EC">
        <w:rPr>
          <w:i/>
          <w:noProof/>
        </w:rPr>
        <w:t>Product Emissions Standards Rules 2017</w:t>
      </w:r>
      <w:r w:rsidR="00BC76AC" w:rsidRPr="000C627D">
        <w:rPr>
          <w:i/>
        </w:rPr>
        <w:fldChar w:fldCharType="end"/>
      </w:r>
      <w:r w:rsidRPr="000C627D">
        <w:t>.</w:t>
      </w:r>
    </w:p>
    <w:p w:rsidR="00715914" w:rsidRPr="000C627D" w:rsidRDefault="006E7CE6" w:rsidP="00715914">
      <w:pPr>
        <w:pStyle w:val="ActHead5"/>
      </w:pPr>
      <w:bookmarkStart w:id="2" w:name="_Toc500512545"/>
      <w:r w:rsidRPr="000C627D">
        <w:rPr>
          <w:rStyle w:val="CharSectno"/>
        </w:rPr>
        <w:t>2</w:t>
      </w:r>
      <w:r w:rsidR="00715914" w:rsidRPr="000C627D">
        <w:t xml:space="preserve">  Commencement</w:t>
      </w:r>
      <w:bookmarkEnd w:id="2"/>
    </w:p>
    <w:p w:rsidR="00BA0C87" w:rsidRPr="000C627D" w:rsidRDefault="00BA0C87" w:rsidP="008D1217">
      <w:pPr>
        <w:pStyle w:val="subsection"/>
      </w:pPr>
      <w:r w:rsidRPr="000C627D">
        <w:tab/>
        <w:t>(1)</w:t>
      </w:r>
      <w:r w:rsidRPr="000C627D">
        <w:tab/>
        <w:t xml:space="preserve">Each provision of </w:t>
      </w:r>
      <w:r w:rsidR="00321154" w:rsidRPr="000C627D">
        <w:t>this instrument</w:t>
      </w:r>
      <w:r w:rsidRPr="000C627D">
        <w:t xml:space="preserve"> specified in column 1 of the table commences, or is taken to have commenced, in accordance with column 2 of the table. Any other statement in column 2 has effect according to its terms.</w:t>
      </w:r>
    </w:p>
    <w:p w:rsidR="00B60872" w:rsidRPr="000C627D" w:rsidRDefault="00B60872" w:rsidP="0004010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60872" w:rsidRPr="000C627D" w:rsidTr="0004010A">
        <w:trPr>
          <w:tblHeader/>
        </w:trPr>
        <w:tc>
          <w:tcPr>
            <w:tcW w:w="8364" w:type="dxa"/>
            <w:gridSpan w:val="3"/>
            <w:tcBorders>
              <w:top w:val="single" w:sz="12" w:space="0" w:color="auto"/>
              <w:bottom w:val="single" w:sz="2" w:space="0" w:color="auto"/>
            </w:tcBorders>
            <w:shd w:val="clear" w:color="auto" w:fill="auto"/>
            <w:hideMark/>
          </w:tcPr>
          <w:p w:rsidR="00B60872" w:rsidRPr="000C627D" w:rsidRDefault="00B60872" w:rsidP="0004010A">
            <w:pPr>
              <w:pStyle w:val="TableHeading"/>
            </w:pPr>
            <w:r w:rsidRPr="000C627D">
              <w:t>Commencement information</w:t>
            </w:r>
          </w:p>
        </w:tc>
      </w:tr>
      <w:tr w:rsidR="00B60872" w:rsidRPr="000C627D" w:rsidTr="0004010A">
        <w:trPr>
          <w:tblHeader/>
        </w:trPr>
        <w:tc>
          <w:tcPr>
            <w:tcW w:w="2127" w:type="dxa"/>
            <w:tcBorders>
              <w:top w:val="single" w:sz="2" w:space="0" w:color="auto"/>
              <w:bottom w:val="single" w:sz="2" w:space="0" w:color="auto"/>
            </w:tcBorders>
            <w:shd w:val="clear" w:color="auto" w:fill="auto"/>
            <w:hideMark/>
          </w:tcPr>
          <w:p w:rsidR="00B60872" w:rsidRPr="000C627D" w:rsidRDefault="00B60872" w:rsidP="0004010A">
            <w:pPr>
              <w:pStyle w:val="TableHeading"/>
            </w:pPr>
            <w:r w:rsidRPr="000C627D">
              <w:t>Column 1</w:t>
            </w:r>
          </w:p>
        </w:tc>
        <w:tc>
          <w:tcPr>
            <w:tcW w:w="4394" w:type="dxa"/>
            <w:tcBorders>
              <w:top w:val="single" w:sz="2" w:space="0" w:color="auto"/>
              <w:bottom w:val="single" w:sz="2" w:space="0" w:color="auto"/>
            </w:tcBorders>
            <w:shd w:val="clear" w:color="auto" w:fill="auto"/>
            <w:hideMark/>
          </w:tcPr>
          <w:p w:rsidR="00B60872" w:rsidRPr="000C627D" w:rsidRDefault="00B60872" w:rsidP="0004010A">
            <w:pPr>
              <w:pStyle w:val="TableHeading"/>
            </w:pPr>
            <w:r w:rsidRPr="000C627D">
              <w:t>Column 2</w:t>
            </w:r>
          </w:p>
        </w:tc>
        <w:tc>
          <w:tcPr>
            <w:tcW w:w="1843" w:type="dxa"/>
            <w:tcBorders>
              <w:top w:val="single" w:sz="2" w:space="0" w:color="auto"/>
              <w:bottom w:val="single" w:sz="2" w:space="0" w:color="auto"/>
            </w:tcBorders>
            <w:shd w:val="clear" w:color="auto" w:fill="auto"/>
            <w:hideMark/>
          </w:tcPr>
          <w:p w:rsidR="00B60872" w:rsidRPr="000C627D" w:rsidRDefault="00B60872" w:rsidP="0004010A">
            <w:pPr>
              <w:pStyle w:val="TableHeading"/>
            </w:pPr>
            <w:r w:rsidRPr="000C627D">
              <w:t>Column 3</w:t>
            </w:r>
          </w:p>
        </w:tc>
      </w:tr>
      <w:tr w:rsidR="00B60872" w:rsidRPr="000C627D" w:rsidTr="0004010A">
        <w:trPr>
          <w:tblHeader/>
        </w:trPr>
        <w:tc>
          <w:tcPr>
            <w:tcW w:w="2127" w:type="dxa"/>
            <w:tcBorders>
              <w:top w:val="single" w:sz="2" w:space="0" w:color="auto"/>
              <w:bottom w:val="single" w:sz="12" w:space="0" w:color="auto"/>
            </w:tcBorders>
            <w:shd w:val="clear" w:color="auto" w:fill="auto"/>
            <w:hideMark/>
          </w:tcPr>
          <w:p w:rsidR="00B60872" w:rsidRPr="000C627D" w:rsidRDefault="00B60872" w:rsidP="0004010A">
            <w:pPr>
              <w:pStyle w:val="TableHeading"/>
            </w:pPr>
            <w:r w:rsidRPr="000C627D">
              <w:t>Provisions</w:t>
            </w:r>
          </w:p>
        </w:tc>
        <w:tc>
          <w:tcPr>
            <w:tcW w:w="4394" w:type="dxa"/>
            <w:tcBorders>
              <w:top w:val="single" w:sz="2" w:space="0" w:color="auto"/>
              <w:bottom w:val="single" w:sz="12" w:space="0" w:color="auto"/>
            </w:tcBorders>
            <w:shd w:val="clear" w:color="auto" w:fill="auto"/>
            <w:hideMark/>
          </w:tcPr>
          <w:p w:rsidR="00B60872" w:rsidRPr="000C627D" w:rsidRDefault="00B60872" w:rsidP="0004010A">
            <w:pPr>
              <w:pStyle w:val="TableHeading"/>
            </w:pPr>
            <w:r w:rsidRPr="000C627D">
              <w:t>Commencement</w:t>
            </w:r>
          </w:p>
        </w:tc>
        <w:tc>
          <w:tcPr>
            <w:tcW w:w="1843" w:type="dxa"/>
            <w:tcBorders>
              <w:top w:val="single" w:sz="2" w:space="0" w:color="auto"/>
              <w:bottom w:val="single" w:sz="12" w:space="0" w:color="auto"/>
            </w:tcBorders>
            <w:shd w:val="clear" w:color="auto" w:fill="auto"/>
            <w:hideMark/>
          </w:tcPr>
          <w:p w:rsidR="00B60872" w:rsidRPr="000C627D" w:rsidRDefault="00B60872" w:rsidP="0004010A">
            <w:pPr>
              <w:pStyle w:val="TableHeading"/>
            </w:pPr>
            <w:r w:rsidRPr="000C627D">
              <w:t>Date/Details</w:t>
            </w:r>
          </w:p>
        </w:tc>
      </w:tr>
      <w:tr w:rsidR="00B60872" w:rsidRPr="000C627D" w:rsidTr="0004010A">
        <w:tc>
          <w:tcPr>
            <w:tcW w:w="2127" w:type="dxa"/>
            <w:tcBorders>
              <w:top w:val="single" w:sz="12" w:space="0" w:color="auto"/>
              <w:bottom w:val="single" w:sz="12" w:space="0" w:color="auto"/>
            </w:tcBorders>
            <w:shd w:val="clear" w:color="auto" w:fill="auto"/>
            <w:hideMark/>
          </w:tcPr>
          <w:p w:rsidR="00B60872" w:rsidRPr="000C627D" w:rsidRDefault="00B60872" w:rsidP="00CE6522">
            <w:pPr>
              <w:pStyle w:val="Tabletext"/>
            </w:pPr>
            <w:r w:rsidRPr="000C627D">
              <w:t>1.  The whole of th</w:t>
            </w:r>
            <w:r w:rsidR="00CE6522" w:rsidRPr="000C627D">
              <w:t>is instrument</w:t>
            </w:r>
          </w:p>
        </w:tc>
        <w:tc>
          <w:tcPr>
            <w:tcW w:w="4394" w:type="dxa"/>
            <w:tcBorders>
              <w:top w:val="single" w:sz="12" w:space="0" w:color="auto"/>
              <w:bottom w:val="single" w:sz="12" w:space="0" w:color="auto"/>
            </w:tcBorders>
            <w:shd w:val="clear" w:color="auto" w:fill="auto"/>
            <w:hideMark/>
          </w:tcPr>
          <w:p w:rsidR="00B60872" w:rsidRPr="000C627D" w:rsidRDefault="004D0076" w:rsidP="00B84380">
            <w:pPr>
              <w:pStyle w:val="Tabletext"/>
            </w:pPr>
            <w:r w:rsidRPr="000C627D">
              <w:t>The day after th</w:t>
            </w:r>
            <w:r w:rsidR="00B84380" w:rsidRPr="000C627D">
              <w:t>is instrument is</w:t>
            </w:r>
            <w:r w:rsidRPr="000C627D">
              <w:t xml:space="preserve"> registered.</w:t>
            </w:r>
          </w:p>
        </w:tc>
        <w:tc>
          <w:tcPr>
            <w:tcW w:w="1843" w:type="dxa"/>
            <w:tcBorders>
              <w:top w:val="single" w:sz="12" w:space="0" w:color="auto"/>
              <w:bottom w:val="single" w:sz="12" w:space="0" w:color="auto"/>
            </w:tcBorders>
            <w:shd w:val="clear" w:color="auto" w:fill="auto"/>
          </w:tcPr>
          <w:p w:rsidR="00B60872" w:rsidRPr="000C627D" w:rsidRDefault="0062520D" w:rsidP="0004010A">
            <w:pPr>
              <w:pStyle w:val="Tabletext"/>
            </w:pPr>
            <w:r>
              <w:t>5 January 2018</w:t>
            </w:r>
            <w:bookmarkStart w:id="3" w:name="_GoBack"/>
            <w:bookmarkEnd w:id="3"/>
          </w:p>
        </w:tc>
      </w:tr>
    </w:tbl>
    <w:p w:rsidR="00B60872" w:rsidRPr="000C627D" w:rsidRDefault="00B60872" w:rsidP="0004010A">
      <w:pPr>
        <w:pStyle w:val="notetext"/>
      </w:pPr>
      <w:r w:rsidRPr="000C627D">
        <w:rPr>
          <w:snapToGrid w:val="0"/>
          <w:lang w:eastAsia="en-US"/>
        </w:rPr>
        <w:t>Note:</w:t>
      </w:r>
      <w:r w:rsidRPr="000C627D">
        <w:rPr>
          <w:snapToGrid w:val="0"/>
          <w:lang w:eastAsia="en-US"/>
        </w:rPr>
        <w:tab/>
        <w:t>This table relates only to the provisions of th</w:t>
      </w:r>
      <w:r w:rsidR="00E31978" w:rsidRPr="000C627D">
        <w:rPr>
          <w:snapToGrid w:val="0"/>
          <w:lang w:eastAsia="en-US"/>
        </w:rPr>
        <w:t>is instrument</w:t>
      </w:r>
      <w:r w:rsidRPr="000C627D">
        <w:t xml:space="preserve"> </w:t>
      </w:r>
      <w:r w:rsidRPr="000C627D">
        <w:rPr>
          <w:snapToGrid w:val="0"/>
          <w:lang w:eastAsia="en-US"/>
        </w:rPr>
        <w:t>as originally made. It will not be amended to deal with any later amendments of th</w:t>
      </w:r>
      <w:r w:rsidR="00E31978" w:rsidRPr="000C627D">
        <w:rPr>
          <w:snapToGrid w:val="0"/>
          <w:lang w:eastAsia="en-US"/>
        </w:rPr>
        <w:t>is instrument</w:t>
      </w:r>
      <w:r w:rsidRPr="000C627D">
        <w:rPr>
          <w:snapToGrid w:val="0"/>
          <w:lang w:eastAsia="en-US"/>
        </w:rPr>
        <w:t>.</w:t>
      </w:r>
    </w:p>
    <w:p w:rsidR="00BA0C87" w:rsidRPr="000C627D" w:rsidRDefault="00BA0C87" w:rsidP="008D1217">
      <w:pPr>
        <w:pStyle w:val="subsection"/>
      </w:pPr>
      <w:r w:rsidRPr="000C627D">
        <w:tab/>
        <w:t>(2)</w:t>
      </w:r>
      <w:r w:rsidRPr="000C627D">
        <w:tab/>
        <w:t xml:space="preserve">Any information in column 3 of the table is not part of </w:t>
      </w:r>
      <w:r w:rsidR="00321154" w:rsidRPr="000C627D">
        <w:t>this instrument</w:t>
      </w:r>
      <w:r w:rsidRPr="000C627D">
        <w:t xml:space="preserve">. Information may be inserted in this column, or information in it may be edited, in any published version of </w:t>
      </w:r>
      <w:r w:rsidR="00321154" w:rsidRPr="000C627D">
        <w:t>this instrument</w:t>
      </w:r>
      <w:r w:rsidRPr="000C627D">
        <w:t>.</w:t>
      </w:r>
    </w:p>
    <w:p w:rsidR="007500C8" w:rsidRPr="000C627D" w:rsidRDefault="006E7CE6" w:rsidP="007500C8">
      <w:pPr>
        <w:pStyle w:val="ActHead5"/>
      </w:pPr>
      <w:bookmarkStart w:id="4" w:name="_Toc500512546"/>
      <w:r w:rsidRPr="000C627D">
        <w:rPr>
          <w:rStyle w:val="CharSectno"/>
        </w:rPr>
        <w:t>3</w:t>
      </w:r>
      <w:r w:rsidR="007500C8" w:rsidRPr="000C627D">
        <w:t xml:space="preserve">  Authority</w:t>
      </w:r>
      <w:bookmarkEnd w:id="4"/>
    </w:p>
    <w:p w:rsidR="00157B8B" w:rsidRPr="000C627D" w:rsidRDefault="007500C8" w:rsidP="007E667A">
      <w:pPr>
        <w:pStyle w:val="subsection"/>
      </w:pPr>
      <w:r w:rsidRPr="000C627D">
        <w:tab/>
      </w:r>
      <w:r w:rsidRPr="000C627D">
        <w:tab/>
      </w:r>
      <w:r w:rsidR="00321154" w:rsidRPr="000C627D">
        <w:t>This instrument is</w:t>
      </w:r>
      <w:r w:rsidRPr="000C627D">
        <w:t xml:space="preserve"> made under the</w:t>
      </w:r>
      <w:r w:rsidR="00321154" w:rsidRPr="000C627D">
        <w:t xml:space="preserve"> </w:t>
      </w:r>
      <w:r w:rsidR="00321154" w:rsidRPr="000C627D">
        <w:rPr>
          <w:i/>
        </w:rPr>
        <w:t xml:space="preserve">Product Emissions Standards </w:t>
      </w:r>
      <w:r w:rsidR="004F0684" w:rsidRPr="000C627D">
        <w:rPr>
          <w:i/>
        </w:rPr>
        <w:t>Act</w:t>
      </w:r>
      <w:r w:rsidR="00321154" w:rsidRPr="000C627D">
        <w:rPr>
          <w:i/>
        </w:rPr>
        <w:t xml:space="preserve"> 2017</w:t>
      </w:r>
      <w:r w:rsidR="00F4350D" w:rsidRPr="000C627D">
        <w:t>.</w:t>
      </w:r>
    </w:p>
    <w:p w:rsidR="00E75033" w:rsidRPr="000C627D" w:rsidRDefault="006E7CE6" w:rsidP="00E75033">
      <w:pPr>
        <w:pStyle w:val="ActHead5"/>
      </w:pPr>
      <w:bookmarkStart w:id="5" w:name="_Toc500512547"/>
      <w:r w:rsidRPr="000C627D">
        <w:rPr>
          <w:rStyle w:val="CharSectno"/>
        </w:rPr>
        <w:t>4</w:t>
      </w:r>
      <w:r w:rsidR="00E75033" w:rsidRPr="000C627D">
        <w:t xml:space="preserve">  Simplified outline</w:t>
      </w:r>
      <w:bookmarkEnd w:id="5"/>
    </w:p>
    <w:p w:rsidR="00427CC3" w:rsidRPr="000C627D" w:rsidRDefault="00183451" w:rsidP="00183451">
      <w:pPr>
        <w:pStyle w:val="SOText"/>
      </w:pPr>
      <w:r w:rsidRPr="000C627D">
        <w:t>Part</w:t>
      </w:r>
      <w:r w:rsidR="000C627D" w:rsidRPr="000C627D">
        <w:t> </w:t>
      </w:r>
      <w:r w:rsidR="003E3017" w:rsidRPr="000C627D">
        <w:t>2</w:t>
      </w:r>
      <w:r w:rsidR="00427CC3" w:rsidRPr="000C627D">
        <w:t xml:space="preserve"> of this instrument</w:t>
      </w:r>
      <w:r w:rsidRPr="000C627D">
        <w:t xml:space="preserve"> </w:t>
      </w:r>
      <w:r w:rsidR="00427CC3" w:rsidRPr="000C627D">
        <w:t xml:space="preserve">tells you what </w:t>
      </w:r>
      <w:r w:rsidRPr="000C627D">
        <w:t xml:space="preserve">products are </w:t>
      </w:r>
      <w:r w:rsidRPr="000C627D">
        <w:rPr>
          <w:b/>
          <w:i/>
        </w:rPr>
        <w:t>emissions</w:t>
      </w:r>
      <w:r w:rsidR="000C627D">
        <w:rPr>
          <w:b/>
          <w:i/>
        </w:rPr>
        <w:noBreakHyphen/>
      </w:r>
      <w:r w:rsidRPr="000C627D">
        <w:rPr>
          <w:b/>
          <w:i/>
        </w:rPr>
        <w:t>controlled products</w:t>
      </w:r>
      <w:r w:rsidR="00427CC3" w:rsidRPr="000C627D">
        <w:t>.</w:t>
      </w:r>
      <w:r w:rsidR="006433FB" w:rsidRPr="000C627D">
        <w:t xml:space="preserve"> Most of the requirements of the Act, and liability for customs charge and excise charge, apply in relation to emissions</w:t>
      </w:r>
      <w:r w:rsidR="000C627D">
        <w:noBreakHyphen/>
      </w:r>
      <w:r w:rsidR="006433FB" w:rsidRPr="000C627D">
        <w:t>controlled products.</w:t>
      </w:r>
    </w:p>
    <w:p w:rsidR="00183451" w:rsidRPr="000C627D" w:rsidRDefault="006433FB" w:rsidP="00183451">
      <w:pPr>
        <w:pStyle w:val="SOText"/>
      </w:pPr>
      <w:r w:rsidRPr="000C627D">
        <w:t>Under the Act, emissions</w:t>
      </w:r>
      <w:r w:rsidR="000C627D">
        <w:noBreakHyphen/>
      </w:r>
      <w:r w:rsidRPr="000C627D">
        <w:t>controlled products must not be imported</w:t>
      </w:r>
      <w:r w:rsidR="00E039CE" w:rsidRPr="000C627D">
        <w:t xml:space="preserve"> into,</w:t>
      </w:r>
      <w:r w:rsidRPr="000C627D">
        <w:t xml:space="preserve"> or supplied in</w:t>
      </w:r>
      <w:r w:rsidR="00E039CE" w:rsidRPr="000C627D">
        <w:t>,</w:t>
      </w:r>
      <w:r w:rsidRPr="000C627D">
        <w:t xml:space="preserve"> Australia unless they are certified. </w:t>
      </w:r>
      <w:r w:rsidR="00183451" w:rsidRPr="000C627D">
        <w:t>Part</w:t>
      </w:r>
      <w:r w:rsidR="000C627D" w:rsidRPr="000C627D">
        <w:t> </w:t>
      </w:r>
      <w:r w:rsidR="003B49E3" w:rsidRPr="000C627D">
        <w:t>4</w:t>
      </w:r>
      <w:r w:rsidR="00183451" w:rsidRPr="000C627D">
        <w:t xml:space="preserve"> </w:t>
      </w:r>
      <w:r w:rsidRPr="000C627D">
        <w:t xml:space="preserve">of this instrument </w:t>
      </w:r>
      <w:r w:rsidR="00183451" w:rsidRPr="000C627D">
        <w:t xml:space="preserve">provides that a product is certified for the purposes of the Act if </w:t>
      </w:r>
      <w:r w:rsidR="00267AB7" w:rsidRPr="000C627D">
        <w:t>the product</w:t>
      </w:r>
      <w:r w:rsidR="00183451" w:rsidRPr="000C627D">
        <w:t xml:space="preserve"> is:</w:t>
      </w:r>
    </w:p>
    <w:p w:rsidR="00183451" w:rsidRPr="000C627D" w:rsidRDefault="00183451" w:rsidP="00183451">
      <w:pPr>
        <w:pStyle w:val="SOPara"/>
      </w:pPr>
      <w:r w:rsidRPr="000C627D">
        <w:tab/>
        <w:t>(a)</w:t>
      </w:r>
      <w:r w:rsidRPr="000C627D">
        <w:tab/>
        <w:t xml:space="preserve">certified </w:t>
      </w:r>
      <w:r w:rsidR="00267AB7" w:rsidRPr="000C627D">
        <w:t xml:space="preserve">by the Secretary </w:t>
      </w:r>
      <w:r w:rsidRPr="000C627D">
        <w:t xml:space="preserve">under </w:t>
      </w:r>
      <w:r w:rsidR="00267AB7" w:rsidRPr="000C627D">
        <w:t>Division</w:t>
      </w:r>
      <w:r w:rsidR="000C627D" w:rsidRPr="000C627D">
        <w:t> </w:t>
      </w:r>
      <w:r w:rsidR="00267AB7" w:rsidRPr="000C627D">
        <w:t xml:space="preserve">2 of that </w:t>
      </w:r>
      <w:r w:rsidRPr="000C627D">
        <w:t>Part as meeting the Australian emissions standard for the product set out in Part</w:t>
      </w:r>
      <w:r w:rsidR="000C627D" w:rsidRPr="000C627D">
        <w:t> </w:t>
      </w:r>
      <w:r w:rsidR="003E3017" w:rsidRPr="000C627D">
        <w:t>3</w:t>
      </w:r>
      <w:r w:rsidRPr="000C627D">
        <w:t>;</w:t>
      </w:r>
      <w:r w:rsidR="00267AB7" w:rsidRPr="000C627D">
        <w:t xml:space="preserve"> or</w:t>
      </w:r>
    </w:p>
    <w:p w:rsidR="00183451" w:rsidRPr="000C627D" w:rsidRDefault="00183451" w:rsidP="00183451">
      <w:pPr>
        <w:pStyle w:val="SOPara"/>
      </w:pPr>
      <w:r w:rsidRPr="000C627D">
        <w:tab/>
        <w:t>(b)</w:t>
      </w:r>
      <w:r w:rsidRPr="000C627D">
        <w:tab/>
        <w:t xml:space="preserve">certified by a foreign regulatory authority as meeting the requirements of </w:t>
      </w:r>
      <w:r w:rsidR="00267AB7" w:rsidRPr="000C627D">
        <w:t xml:space="preserve">one of the </w:t>
      </w:r>
      <w:r w:rsidRPr="000C627D">
        <w:t>foreign e</w:t>
      </w:r>
      <w:r w:rsidR="00267AB7" w:rsidRPr="000C627D">
        <w:t>missions standard</w:t>
      </w:r>
      <w:r w:rsidR="00427CC3" w:rsidRPr="000C627D">
        <w:t>s</w:t>
      </w:r>
      <w:r w:rsidR="00267AB7" w:rsidRPr="000C627D">
        <w:t xml:space="preserve"> specified in Division</w:t>
      </w:r>
      <w:r w:rsidR="000C627D" w:rsidRPr="000C627D">
        <w:t> </w:t>
      </w:r>
      <w:r w:rsidR="00267AB7" w:rsidRPr="000C627D">
        <w:t>3 of P</w:t>
      </w:r>
      <w:r w:rsidRPr="000C627D">
        <w:t>art</w:t>
      </w:r>
      <w:r w:rsidR="000C627D" w:rsidRPr="000C627D">
        <w:t> </w:t>
      </w:r>
      <w:r w:rsidR="003E3017" w:rsidRPr="000C627D">
        <w:t>4</w:t>
      </w:r>
      <w:r w:rsidRPr="000C627D">
        <w:t>.</w:t>
      </w:r>
    </w:p>
    <w:p w:rsidR="00183451" w:rsidRPr="000C627D" w:rsidRDefault="008D0F76" w:rsidP="008D0F76">
      <w:pPr>
        <w:pStyle w:val="SOText"/>
      </w:pPr>
      <w:r w:rsidRPr="000C627D">
        <w:t>The Secretary may, under Part</w:t>
      </w:r>
      <w:r w:rsidR="000C627D" w:rsidRPr="000C627D">
        <w:t> </w:t>
      </w:r>
      <w:r w:rsidR="003E3017" w:rsidRPr="000C627D">
        <w:t>5</w:t>
      </w:r>
      <w:r w:rsidRPr="000C627D">
        <w:t xml:space="preserve">, </w:t>
      </w:r>
      <w:r w:rsidR="00183451" w:rsidRPr="000C627D">
        <w:t>grant exemptions from the requirements of the Act in certain circumstances. Exemptions can be subject to conditions.</w:t>
      </w:r>
    </w:p>
    <w:p w:rsidR="00183451" w:rsidRPr="000C627D" w:rsidRDefault="00183451" w:rsidP="00183451">
      <w:pPr>
        <w:pStyle w:val="SOText"/>
      </w:pPr>
      <w:r w:rsidRPr="000C627D">
        <w:t>Part</w:t>
      </w:r>
      <w:r w:rsidR="000C627D" w:rsidRPr="000C627D">
        <w:t> </w:t>
      </w:r>
      <w:r w:rsidR="003E3017" w:rsidRPr="000C627D">
        <w:t>6</w:t>
      </w:r>
      <w:r w:rsidRPr="000C627D">
        <w:t xml:space="preserve"> sets out marking requirements for certified products imported into, or supplied in, Australia.</w:t>
      </w:r>
    </w:p>
    <w:p w:rsidR="00183451" w:rsidRPr="000C627D" w:rsidRDefault="006103E5" w:rsidP="00183451">
      <w:pPr>
        <w:pStyle w:val="SOText"/>
      </w:pPr>
      <w:r w:rsidRPr="000C627D">
        <w:t>Importers and suppliers of emissions</w:t>
      </w:r>
      <w:r w:rsidR="000C627D">
        <w:noBreakHyphen/>
      </w:r>
      <w:r w:rsidRPr="000C627D">
        <w:t>controlled products must keep records in accordance with Part</w:t>
      </w:r>
      <w:r w:rsidR="000C627D" w:rsidRPr="000C627D">
        <w:t> </w:t>
      </w:r>
      <w:r w:rsidR="003E3017" w:rsidRPr="000C627D">
        <w:t>7</w:t>
      </w:r>
      <w:r w:rsidRPr="000C627D">
        <w:t>. Annual reports must be given to the Secretary about suppl</w:t>
      </w:r>
      <w:r w:rsidR="008D23B7" w:rsidRPr="000C627D">
        <w:t>ying</w:t>
      </w:r>
      <w:r w:rsidRPr="000C627D">
        <w:t xml:space="preserve"> emissions</w:t>
      </w:r>
      <w:r w:rsidR="000C627D">
        <w:noBreakHyphen/>
      </w:r>
      <w:r w:rsidRPr="000C627D">
        <w:t>controlled products manufactured in Australia.</w:t>
      </w:r>
    </w:p>
    <w:p w:rsidR="00183451" w:rsidRPr="000C627D" w:rsidRDefault="00183451" w:rsidP="00183451">
      <w:pPr>
        <w:pStyle w:val="SOText"/>
      </w:pPr>
      <w:r w:rsidRPr="000C627D">
        <w:t>Part</w:t>
      </w:r>
      <w:r w:rsidR="000C627D" w:rsidRPr="000C627D">
        <w:t> </w:t>
      </w:r>
      <w:r w:rsidR="003E3017" w:rsidRPr="000C627D">
        <w:t>8</w:t>
      </w:r>
      <w:r w:rsidRPr="000C627D">
        <w:t xml:space="preserve"> </w:t>
      </w:r>
      <w:r w:rsidR="00267AB7" w:rsidRPr="000C627D">
        <w:t xml:space="preserve">sets </w:t>
      </w:r>
      <w:r w:rsidRPr="000C627D">
        <w:t xml:space="preserve">fees for </w:t>
      </w:r>
      <w:r w:rsidR="00267AB7" w:rsidRPr="000C627D">
        <w:t xml:space="preserve">applying for </w:t>
      </w:r>
      <w:r w:rsidRPr="000C627D">
        <w:t xml:space="preserve">Australian certification or </w:t>
      </w:r>
      <w:r w:rsidR="00267AB7" w:rsidRPr="000C627D">
        <w:t xml:space="preserve">for </w:t>
      </w:r>
      <w:r w:rsidRPr="000C627D">
        <w:t>an exemption.</w:t>
      </w:r>
    </w:p>
    <w:p w:rsidR="006433FB" w:rsidRPr="000C627D" w:rsidRDefault="006433FB" w:rsidP="00183451">
      <w:pPr>
        <w:pStyle w:val="SOText"/>
      </w:pPr>
      <w:r w:rsidRPr="000C627D">
        <w:t>Part</w:t>
      </w:r>
      <w:r w:rsidR="000C627D" w:rsidRPr="000C627D">
        <w:t> </w:t>
      </w:r>
      <w:r w:rsidR="003E3017" w:rsidRPr="000C627D">
        <w:t>9</w:t>
      </w:r>
      <w:r w:rsidRPr="000C627D">
        <w:t xml:space="preserve"> deals with the collection and recovery of customs charge and excise charge.</w:t>
      </w:r>
    </w:p>
    <w:p w:rsidR="00E75033" w:rsidRPr="000C627D" w:rsidRDefault="006E7CE6" w:rsidP="00E75033">
      <w:pPr>
        <w:pStyle w:val="ActHead5"/>
      </w:pPr>
      <w:bookmarkStart w:id="6" w:name="_Toc500512548"/>
      <w:r w:rsidRPr="000C627D">
        <w:rPr>
          <w:rStyle w:val="CharSectno"/>
        </w:rPr>
        <w:t>5</w:t>
      </w:r>
      <w:r w:rsidR="00E75033" w:rsidRPr="000C627D">
        <w:t xml:space="preserve">  Definitions</w:t>
      </w:r>
      <w:bookmarkEnd w:id="6"/>
    </w:p>
    <w:p w:rsidR="00DF0959" w:rsidRPr="000C627D" w:rsidRDefault="00DF0959" w:rsidP="00DF0959">
      <w:pPr>
        <w:pStyle w:val="notetext"/>
      </w:pPr>
      <w:r w:rsidRPr="000C627D">
        <w:t>Note:</w:t>
      </w:r>
      <w:r w:rsidRPr="000C627D">
        <w:tab/>
        <w:t>A number of expressions used in this instrument are defined in the Act, including the following:</w:t>
      </w:r>
    </w:p>
    <w:p w:rsidR="00E31978" w:rsidRPr="000C627D" w:rsidRDefault="00762F00" w:rsidP="00762F00">
      <w:pPr>
        <w:pStyle w:val="notepara"/>
      </w:pPr>
      <w:r w:rsidRPr="000C627D">
        <w:t>(a)</w:t>
      </w:r>
      <w:r w:rsidRPr="000C627D">
        <w:tab/>
        <w:t>Australia;</w:t>
      </w:r>
    </w:p>
    <w:p w:rsidR="00DF0959" w:rsidRPr="000C627D" w:rsidRDefault="00DF0959" w:rsidP="00DF0959">
      <w:pPr>
        <w:pStyle w:val="notepara"/>
      </w:pPr>
      <w:r w:rsidRPr="000C627D">
        <w:t>(</w:t>
      </w:r>
      <w:r w:rsidR="00762F00" w:rsidRPr="000C627D">
        <w:t>b</w:t>
      </w:r>
      <w:r w:rsidRPr="000C627D">
        <w:t>)</w:t>
      </w:r>
      <w:r w:rsidRPr="000C627D">
        <w:tab/>
        <w:t>emissions</w:t>
      </w:r>
      <w:r w:rsidR="000C627D">
        <w:noBreakHyphen/>
      </w:r>
      <w:r w:rsidRPr="000C627D">
        <w:t>controlled product;</w:t>
      </w:r>
    </w:p>
    <w:p w:rsidR="00E31978" w:rsidRPr="000C627D" w:rsidRDefault="00762F00" w:rsidP="00DF0959">
      <w:pPr>
        <w:pStyle w:val="notepara"/>
      </w:pPr>
      <w:r w:rsidRPr="000C627D">
        <w:t>(c</w:t>
      </w:r>
      <w:r w:rsidR="00E31978" w:rsidRPr="000C627D">
        <w:t>)</w:t>
      </w:r>
      <w:r w:rsidR="00E31978" w:rsidRPr="000C627D">
        <w:tab/>
        <w:t>emissions standard;</w:t>
      </w:r>
    </w:p>
    <w:p w:rsidR="00E31978" w:rsidRPr="000C627D" w:rsidRDefault="00762F00" w:rsidP="00DF0959">
      <w:pPr>
        <w:pStyle w:val="notepara"/>
      </w:pPr>
      <w:r w:rsidRPr="000C627D">
        <w:t>(d</w:t>
      </w:r>
      <w:r w:rsidR="00E31978" w:rsidRPr="000C627D">
        <w:t>)</w:t>
      </w:r>
      <w:r w:rsidR="00E31978" w:rsidRPr="000C627D">
        <w:tab/>
        <w:t>mark;</w:t>
      </w:r>
    </w:p>
    <w:p w:rsidR="00DF0959" w:rsidRPr="000C627D" w:rsidRDefault="00DF0959" w:rsidP="00DF0959">
      <w:pPr>
        <w:pStyle w:val="notepara"/>
      </w:pPr>
      <w:r w:rsidRPr="000C627D">
        <w:t>(</w:t>
      </w:r>
      <w:r w:rsidR="00762F00" w:rsidRPr="000C627D">
        <w:t>e</w:t>
      </w:r>
      <w:r w:rsidRPr="000C627D">
        <w:t>)</w:t>
      </w:r>
      <w:r w:rsidRPr="000C627D">
        <w:tab/>
        <w:t>product;</w:t>
      </w:r>
    </w:p>
    <w:p w:rsidR="00E31978" w:rsidRPr="000C627D" w:rsidRDefault="00E31978" w:rsidP="00DF0959">
      <w:pPr>
        <w:pStyle w:val="notepara"/>
      </w:pPr>
      <w:r w:rsidRPr="000C627D">
        <w:t>(</w:t>
      </w:r>
      <w:r w:rsidR="00762F00" w:rsidRPr="000C627D">
        <w:t>f</w:t>
      </w:r>
      <w:r w:rsidRPr="000C627D">
        <w:t>)</w:t>
      </w:r>
      <w:r w:rsidRPr="000C627D">
        <w:tab/>
        <w:t>regulatory authority;</w:t>
      </w:r>
    </w:p>
    <w:p w:rsidR="00FA54E8" w:rsidRPr="000C627D" w:rsidRDefault="00762F00" w:rsidP="00FA54E8">
      <w:pPr>
        <w:pStyle w:val="notepara"/>
      </w:pPr>
      <w:r w:rsidRPr="000C627D">
        <w:t>(g</w:t>
      </w:r>
      <w:r w:rsidR="00FA54E8" w:rsidRPr="000C627D">
        <w:t>)</w:t>
      </w:r>
      <w:r w:rsidR="00FA54E8" w:rsidRPr="000C627D">
        <w:tab/>
        <w:t>Secretary;</w:t>
      </w:r>
    </w:p>
    <w:p w:rsidR="00243C2D" w:rsidRPr="000C627D" w:rsidRDefault="00762F00" w:rsidP="00243C2D">
      <w:pPr>
        <w:pStyle w:val="notepara"/>
      </w:pPr>
      <w:r w:rsidRPr="000C627D">
        <w:t>(h</w:t>
      </w:r>
      <w:r w:rsidR="00243C2D" w:rsidRPr="000C627D">
        <w:t>)</w:t>
      </w:r>
      <w:r w:rsidR="00243C2D" w:rsidRPr="000C627D">
        <w:tab/>
        <w:t>supply</w:t>
      </w:r>
      <w:r w:rsidR="00FA54E8" w:rsidRPr="000C627D">
        <w:t>.</w:t>
      </w:r>
    </w:p>
    <w:p w:rsidR="001E563B" w:rsidRPr="000C627D" w:rsidRDefault="001E563B" w:rsidP="001E563B">
      <w:pPr>
        <w:pStyle w:val="subsection"/>
      </w:pPr>
      <w:r w:rsidRPr="000C627D">
        <w:tab/>
      </w:r>
      <w:r w:rsidRPr="000C627D">
        <w:tab/>
        <w:t>In this instrument:</w:t>
      </w:r>
    </w:p>
    <w:p w:rsidR="00734565" w:rsidRPr="000C627D" w:rsidRDefault="00734565" w:rsidP="00734565">
      <w:pPr>
        <w:pStyle w:val="Definition"/>
      </w:pPr>
      <w:r w:rsidRPr="000C627D">
        <w:rPr>
          <w:b/>
          <w:i/>
        </w:rPr>
        <w:t>40 CFR</w:t>
      </w:r>
      <w:r w:rsidRPr="000C627D">
        <w:t>:</w:t>
      </w:r>
    </w:p>
    <w:p w:rsidR="00734565" w:rsidRPr="000C627D" w:rsidRDefault="00734565" w:rsidP="00734565">
      <w:pPr>
        <w:pStyle w:val="paragraph"/>
      </w:pPr>
      <w:r w:rsidRPr="000C627D">
        <w:tab/>
        <w:t>(a)</w:t>
      </w:r>
      <w:r w:rsidRPr="000C627D">
        <w:tab/>
      </w:r>
      <w:r w:rsidRPr="000C627D">
        <w:rPr>
          <w:b/>
          <w:i/>
        </w:rPr>
        <w:t>40 CFR</w:t>
      </w:r>
      <w:r w:rsidRPr="000C627D">
        <w:t xml:space="preserve"> means Title 40 of the Code of Federal Regulations of the United States of America</w:t>
      </w:r>
      <w:r w:rsidR="0067576A" w:rsidRPr="000C627D">
        <w:t>, as in force from time to time</w:t>
      </w:r>
      <w:r w:rsidRPr="000C627D">
        <w:t>; and</w:t>
      </w:r>
    </w:p>
    <w:p w:rsidR="00734565" w:rsidRPr="000C627D" w:rsidRDefault="00734565" w:rsidP="00734565">
      <w:pPr>
        <w:pStyle w:val="paragraph"/>
      </w:pPr>
      <w:r w:rsidRPr="000C627D">
        <w:tab/>
        <w:t>(b)</w:t>
      </w:r>
      <w:r w:rsidRPr="000C627D">
        <w:tab/>
        <w:t>a reference, following 40 CFR, to a provision is a reference to that provision of 40 CFR.</w:t>
      </w:r>
    </w:p>
    <w:p w:rsidR="00734565" w:rsidRPr="000C627D" w:rsidRDefault="00734565" w:rsidP="00734565">
      <w:pPr>
        <w:pStyle w:val="notetext"/>
      </w:pPr>
      <w:r w:rsidRPr="000C627D">
        <w:t>Example:</w:t>
      </w:r>
      <w:r w:rsidRPr="000C627D">
        <w:tab/>
        <w:t>40 CFR 1054 is a reference to part 1054 of Title 40 of the Code of Federal Regulations.</w:t>
      </w:r>
    </w:p>
    <w:p w:rsidR="00A3210C" w:rsidRPr="000C627D" w:rsidRDefault="004B2C3E" w:rsidP="004B2C3E">
      <w:pPr>
        <w:pStyle w:val="Definition"/>
      </w:pPr>
      <w:r w:rsidRPr="000C627D">
        <w:rPr>
          <w:b/>
          <w:i/>
        </w:rPr>
        <w:t>Act</w:t>
      </w:r>
      <w:r w:rsidRPr="000C627D">
        <w:t xml:space="preserve"> means the </w:t>
      </w:r>
      <w:r w:rsidRPr="000C627D">
        <w:rPr>
          <w:i/>
        </w:rPr>
        <w:t>Product Emissions Standards Act 2017</w:t>
      </w:r>
      <w:r w:rsidRPr="000C627D">
        <w:t>.</w:t>
      </w:r>
    </w:p>
    <w:p w:rsidR="00003EEF" w:rsidRPr="000C627D" w:rsidRDefault="007C739B" w:rsidP="007C739B">
      <w:pPr>
        <w:pStyle w:val="Definition"/>
      </w:pPr>
      <w:r w:rsidRPr="000C627D">
        <w:rPr>
          <w:b/>
          <w:i/>
          <w:iCs/>
        </w:rPr>
        <w:t>all</w:t>
      </w:r>
      <w:r w:rsidR="000C627D">
        <w:rPr>
          <w:b/>
          <w:i/>
          <w:iCs/>
        </w:rPr>
        <w:noBreakHyphen/>
      </w:r>
      <w:r w:rsidRPr="000C627D">
        <w:rPr>
          <w:b/>
          <w:i/>
          <w:iCs/>
        </w:rPr>
        <w:t>terrain vehicle</w:t>
      </w:r>
      <w:r w:rsidRPr="000C627D">
        <w:t xml:space="preserve"> </w:t>
      </w:r>
      <w:r w:rsidR="00003EEF" w:rsidRPr="000C627D">
        <w:t xml:space="preserve">has the same meaning as in 40 CFR 1051, as in force </w:t>
      </w:r>
      <w:r w:rsidR="00932213" w:rsidRPr="000C627D">
        <w:t>at</w:t>
      </w:r>
      <w:r w:rsidR="00003EEF" w:rsidRPr="000C627D">
        <w:t xml:space="preserve"> the commencement of this section.</w:t>
      </w:r>
    </w:p>
    <w:p w:rsidR="00697FB1" w:rsidRPr="000C627D" w:rsidRDefault="00697FB1" w:rsidP="00697FB1">
      <w:pPr>
        <w:pStyle w:val="Definition"/>
      </w:pPr>
      <w:r w:rsidRPr="000C627D">
        <w:rPr>
          <w:b/>
          <w:i/>
        </w:rPr>
        <w:t>Australian certificate</w:t>
      </w:r>
      <w:r w:rsidR="00B11705" w:rsidRPr="000C627D">
        <w:rPr>
          <w:b/>
          <w:i/>
        </w:rPr>
        <w:t xml:space="preserve"> of conformity</w:t>
      </w:r>
      <w:r w:rsidRPr="000C627D">
        <w:t xml:space="preserve"> </w:t>
      </w:r>
      <w:r w:rsidR="00602976" w:rsidRPr="000C627D">
        <w:t>means a notice published under paragraph</w:t>
      </w:r>
      <w:r w:rsidR="000C627D" w:rsidRPr="000C627D">
        <w:t> </w:t>
      </w:r>
      <w:r w:rsidR="006E7CE6" w:rsidRPr="000C627D">
        <w:t>20</w:t>
      </w:r>
      <w:r w:rsidR="00602976" w:rsidRPr="000C627D">
        <w:t>(1)(a)</w:t>
      </w:r>
      <w:r w:rsidRPr="000C627D">
        <w:t>.</w:t>
      </w:r>
    </w:p>
    <w:p w:rsidR="00FA54E8" w:rsidRPr="000C627D" w:rsidRDefault="00FA54E8" w:rsidP="00FA54E8">
      <w:pPr>
        <w:pStyle w:val="Definition"/>
      </w:pPr>
      <w:r w:rsidRPr="000C627D">
        <w:rPr>
          <w:b/>
          <w:i/>
        </w:rPr>
        <w:t>Australian certification number</w:t>
      </w:r>
      <w:r w:rsidRPr="000C627D">
        <w:t xml:space="preserve"> has the meaning given by subsection</w:t>
      </w:r>
      <w:r w:rsidR="000C627D" w:rsidRPr="000C627D">
        <w:t> </w:t>
      </w:r>
      <w:r w:rsidR="006E7CE6" w:rsidRPr="000C627D">
        <w:t>20</w:t>
      </w:r>
      <w:r w:rsidRPr="000C627D">
        <w:t>(4).</w:t>
      </w:r>
    </w:p>
    <w:p w:rsidR="00697FB1" w:rsidRPr="000C627D" w:rsidRDefault="00697FB1" w:rsidP="00697FB1">
      <w:pPr>
        <w:pStyle w:val="Definition"/>
      </w:pPr>
      <w:r w:rsidRPr="000C627D">
        <w:rPr>
          <w:b/>
          <w:i/>
        </w:rPr>
        <w:t>Australian certified</w:t>
      </w:r>
      <w:r w:rsidRPr="000C627D">
        <w:t xml:space="preserve">: a product is </w:t>
      </w:r>
      <w:r w:rsidRPr="000C627D">
        <w:rPr>
          <w:b/>
          <w:i/>
        </w:rPr>
        <w:t>Australian certified</w:t>
      </w:r>
      <w:r w:rsidRPr="000C627D">
        <w:t xml:space="preserve"> if an Australian certificate </w:t>
      </w:r>
      <w:r w:rsidR="00B11705" w:rsidRPr="000C627D">
        <w:t xml:space="preserve">of conformity </w:t>
      </w:r>
      <w:r w:rsidRPr="000C627D">
        <w:t>for the product is in force.</w:t>
      </w:r>
    </w:p>
    <w:p w:rsidR="008E1860" w:rsidRPr="000C627D" w:rsidRDefault="008E1860" w:rsidP="008E1860">
      <w:pPr>
        <w:pStyle w:val="Definition"/>
      </w:pPr>
      <w:r w:rsidRPr="000C627D">
        <w:rPr>
          <w:b/>
          <w:i/>
        </w:rPr>
        <w:t>Australian emissions standard</w:t>
      </w:r>
      <w:r w:rsidRPr="000C627D">
        <w:t xml:space="preserve"> for an emissions</w:t>
      </w:r>
      <w:r w:rsidR="000C627D">
        <w:noBreakHyphen/>
      </w:r>
      <w:r w:rsidRPr="000C627D">
        <w:t xml:space="preserve">controlled product </w:t>
      </w:r>
      <w:r w:rsidR="00877B99" w:rsidRPr="000C627D">
        <w:t>has the meaning given by Part</w:t>
      </w:r>
      <w:r w:rsidR="000C627D" w:rsidRPr="000C627D">
        <w:t> </w:t>
      </w:r>
      <w:r w:rsidR="003E3017" w:rsidRPr="000C627D">
        <w:t>3</w:t>
      </w:r>
      <w:r w:rsidRPr="000C627D">
        <w:t>.</w:t>
      </w:r>
    </w:p>
    <w:p w:rsidR="001F6123" w:rsidRPr="000C627D" w:rsidRDefault="001F6123" w:rsidP="001F6123">
      <w:pPr>
        <w:pStyle w:val="Definition"/>
      </w:pPr>
      <w:r w:rsidRPr="000C627D">
        <w:rPr>
          <w:b/>
          <w:i/>
        </w:rPr>
        <w:t>competition engine</w:t>
      </w:r>
      <w:r w:rsidRPr="000C627D">
        <w:t xml:space="preserve"> has the meaning given by subsection</w:t>
      </w:r>
      <w:r w:rsidR="000C627D" w:rsidRPr="000C627D">
        <w:t> </w:t>
      </w:r>
      <w:r w:rsidR="006E7CE6" w:rsidRPr="000C627D">
        <w:t>9</w:t>
      </w:r>
      <w:r w:rsidRPr="000C627D">
        <w:t>(2).</w:t>
      </w:r>
    </w:p>
    <w:p w:rsidR="00580FB2" w:rsidRPr="000C627D" w:rsidRDefault="00580FB2" w:rsidP="00580FB2">
      <w:pPr>
        <w:pStyle w:val="Definition"/>
      </w:pPr>
      <w:r w:rsidRPr="000C627D">
        <w:rPr>
          <w:b/>
          <w:i/>
        </w:rPr>
        <w:t>complete</w:t>
      </w:r>
      <w:r w:rsidRPr="000C627D">
        <w:t>, in relation to a spark</w:t>
      </w:r>
      <w:r w:rsidR="000C627D">
        <w:noBreakHyphen/>
      </w:r>
      <w:r w:rsidRPr="000C627D">
        <w:t>ignition engine, has the meaning given by subsection</w:t>
      </w:r>
      <w:r w:rsidR="000C627D" w:rsidRPr="000C627D">
        <w:t> </w:t>
      </w:r>
      <w:r w:rsidR="006E7CE6" w:rsidRPr="000C627D">
        <w:t>9</w:t>
      </w:r>
      <w:r w:rsidRPr="000C627D">
        <w:t>(</w:t>
      </w:r>
      <w:r w:rsidR="002565F2" w:rsidRPr="000C627D">
        <w:t>1</w:t>
      </w:r>
      <w:r w:rsidRPr="000C627D">
        <w:t>).</w:t>
      </w:r>
    </w:p>
    <w:p w:rsidR="000C239D" w:rsidRPr="000C627D" w:rsidRDefault="000C239D" w:rsidP="000C239D">
      <w:pPr>
        <w:pStyle w:val="Definition"/>
      </w:pPr>
      <w:r w:rsidRPr="000C627D">
        <w:rPr>
          <w:b/>
          <w:i/>
        </w:rPr>
        <w:t>customs charge</w:t>
      </w:r>
      <w:r w:rsidRPr="000C627D">
        <w:t xml:space="preserve"> for a financial year means charge imposed by the </w:t>
      </w:r>
      <w:r w:rsidRPr="000C627D">
        <w:rPr>
          <w:i/>
        </w:rPr>
        <w:t>Product Emissions Standards (Customs) Charges Act 2017</w:t>
      </w:r>
      <w:r w:rsidRPr="000C627D">
        <w:t xml:space="preserve"> on the importation of an emissions</w:t>
      </w:r>
      <w:r w:rsidR="000C627D">
        <w:noBreakHyphen/>
      </w:r>
      <w:r w:rsidRPr="000C627D">
        <w:t>controlled product that occurs during the year.</w:t>
      </w:r>
    </w:p>
    <w:p w:rsidR="00E72E78" w:rsidRPr="000C627D" w:rsidRDefault="0018219E" w:rsidP="002227C8">
      <w:pPr>
        <w:pStyle w:val="Definition"/>
      </w:pPr>
      <w:r w:rsidRPr="000C627D">
        <w:rPr>
          <w:b/>
          <w:i/>
        </w:rPr>
        <w:t>emergency service</w:t>
      </w:r>
      <w:r w:rsidR="002227C8" w:rsidRPr="000C627D">
        <w:rPr>
          <w:b/>
          <w:i/>
        </w:rPr>
        <w:t>s</w:t>
      </w:r>
      <w:r w:rsidRPr="000C627D">
        <w:rPr>
          <w:b/>
          <w:i/>
        </w:rPr>
        <w:t xml:space="preserve"> organisation</w:t>
      </w:r>
      <w:r w:rsidRPr="000C627D">
        <w:t xml:space="preserve"> </w:t>
      </w:r>
      <w:r w:rsidR="002227C8" w:rsidRPr="000C627D">
        <w:t>has the meaning given by subsection</w:t>
      </w:r>
      <w:r w:rsidR="000C627D" w:rsidRPr="000C627D">
        <w:t> </w:t>
      </w:r>
      <w:r w:rsidR="006E7CE6" w:rsidRPr="000C627D">
        <w:t>30</w:t>
      </w:r>
      <w:r w:rsidR="002227C8" w:rsidRPr="000C627D">
        <w:t>(4).</w:t>
      </w:r>
    </w:p>
    <w:p w:rsidR="000D6E45" w:rsidRPr="000C627D" w:rsidRDefault="000D6E45" w:rsidP="000D6E45">
      <w:pPr>
        <w:pStyle w:val="Definition"/>
      </w:pPr>
      <w:r w:rsidRPr="000C627D">
        <w:rPr>
          <w:b/>
          <w:i/>
        </w:rPr>
        <w:t>engine family</w:t>
      </w:r>
      <w:r w:rsidRPr="000C627D">
        <w:t xml:space="preserve"> has the meaning given by </w:t>
      </w:r>
      <w:r w:rsidR="00F91E6E" w:rsidRPr="000C627D">
        <w:t>sub</w:t>
      </w:r>
      <w:r w:rsidRPr="000C627D">
        <w:t>section</w:t>
      </w:r>
      <w:r w:rsidR="000C627D" w:rsidRPr="000C627D">
        <w:t> </w:t>
      </w:r>
      <w:r w:rsidR="006E7CE6" w:rsidRPr="000C627D">
        <w:t>18</w:t>
      </w:r>
      <w:r w:rsidR="003F636C" w:rsidRPr="000C627D">
        <w:t>(2</w:t>
      </w:r>
      <w:r w:rsidR="00F91E6E" w:rsidRPr="000C627D">
        <w:t>)</w:t>
      </w:r>
      <w:r w:rsidRPr="000C627D">
        <w:t>.</w:t>
      </w:r>
    </w:p>
    <w:p w:rsidR="002435D0" w:rsidRPr="000C627D" w:rsidRDefault="002435D0" w:rsidP="002435D0">
      <w:pPr>
        <w:pStyle w:val="Definition"/>
      </w:pPr>
      <w:r w:rsidRPr="000C627D">
        <w:rPr>
          <w:b/>
          <w:i/>
        </w:rPr>
        <w:t>excise charge</w:t>
      </w:r>
      <w:r w:rsidRPr="000C627D">
        <w:t xml:space="preserve"> for a financial year means charge imposed by the </w:t>
      </w:r>
      <w:r w:rsidRPr="000C627D">
        <w:rPr>
          <w:i/>
        </w:rPr>
        <w:t>Product Emissions Standards (Excise) Charges Act 2017</w:t>
      </w:r>
      <w:r w:rsidRPr="000C627D">
        <w:t xml:space="preserve"> on the manufacture of an emissions</w:t>
      </w:r>
      <w:r w:rsidR="000C627D">
        <w:noBreakHyphen/>
      </w:r>
      <w:r w:rsidRPr="000C627D">
        <w:t>controlled product that occurs during the year.</w:t>
      </w:r>
    </w:p>
    <w:p w:rsidR="00056172" w:rsidRPr="000C627D" w:rsidRDefault="00056172" w:rsidP="00056172">
      <w:pPr>
        <w:pStyle w:val="Definition"/>
      </w:pPr>
      <w:r w:rsidRPr="000C627D">
        <w:rPr>
          <w:b/>
          <w:i/>
        </w:rPr>
        <w:t>exemption</w:t>
      </w:r>
      <w:r w:rsidRPr="000C627D">
        <w:t xml:space="preserve"> means a notice under paragraph</w:t>
      </w:r>
      <w:r w:rsidR="000C627D" w:rsidRPr="000C627D">
        <w:t> </w:t>
      </w:r>
      <w:r w:rsidR="006E7CE6" w:rsidRPr="000C627D">
        <w:t>32</w:t>
      </w:r>
      <w:r w:rsidRPr="000C627D">
        <w:t>(1)(a).</w:t>
      </w:r>
    </w:p>
    <w:p w:rsidR="00B763C9" w:rsidRPr="000C627D" w:rsidRDefault="00B763C9" w:rsidP="00B763C9">
      <w:pPr>
        <w:pStyle w:val="Definition"/>
      </w:pPr>
      <w:r w:rsidRPr="000C627D">
        <w:rPr>
          <w:b/>
          <w:i/>
        </w:rPr>
        <w:t>exemption category</w:t>
      </w:r>
      <w:r w:rsidRPr="000C627D">
        <w:t xml:space="preserve"> has the meaning given by subsection</w:t>
      </w:r>
      <w:r w:rsidR="000C627D" w:rsidRPr="000C627D">
        <w:t> </w:t>
      </w:r>
      <w:r w:rsidR="006E7CE6" w:rsidRPr="000C627D">
        <w:t>30</w:t>
      </w:r>
      <w:r w:rsidRPr="000C627D">
        <w:t>(1).</w:t>
      </w:r>
    </w:p>
    <w:p w:rsidR="00AE1821" w:rsidRPr="000C627D" w:rsidRDefault="00AE1821" w:rsidP="00AE1821">
      <w:pPr>
        <w:pStyle w:val="Definition"/>
      </w:pPr>
      <w:r w:rsidRPr="000C627D">
        <w:rPr>
          <w:b/>
          <w:i/>
        </w:rPr>
        <w:t>foreign certificate of conformity</w:t>
      </w:r>
      <w:r w:rsidRPr="000C627D">
        <w:t xml:space="preserve"> has the</w:t>
      </w:r>
      <w:r w:rsidR="00F97E99" w:rsidRPr="000C627D">
        <w:t xml:space="preserve"> meaning given by paragraph</w:t>
      </w:r>
      <w:r w:rsidR="000C627D" w:rsidRPr="000C627D">
        <w:t> </w:t>
      </w:r>
      <w:r w:rsidR="006E7CE6" w:rsidRPr="000C627D">
        <w:t>26</w:t>
      </w:r>
      <w:r w:rsidR="0084423F" w:rsidRPr="000C627D">
        <w:t>(1)</w:t>
      </w:r>
      <w:r w:rsidRPr="000C627D">
        <w:t>(c).</w:t>
      </w:r>
    </w:p>
    <w:p w:rsidR="00697FB1" w:rsidRPr="000C627D" w:rsidRDefault="00697FB1" w:rsidP="00697FB1">
      <w:pPr>
        <w:pStyle w:val="Definition"/>
      </w:pPr>
      <w:r w:rsidRPr="000C627D">
        <w:rPr>
          <w:b/>
          <w:i/>
        </w:rPr>
        <w:t>foreign certified</w:t>
      </w:r>
      <w:r w:rsidR="00B11705" w:rsidRPr="000C627D">
        <w:t xml:space="preserve"> has the</w:t>
      </w:r>
      <w:r w:rsidR="00F97E99" w:rsidRPr="000C627D">
        <w:t xml:space="preserve"> meaning given by paragraph</w:t>
      </w:r>
      <w:r w:rsidR="000C627D" w:rsidRPr="000C627D">
        <w:t> </w:t>
      </w:r>
      <w:r w:rsidR="006E7CE6" w:rsidRPr="000C627D">
        <w:t>26</w:t>
      </w:r>
      <w:r w:rsidR="0084423F" w:rsidRPr="000C627D">
        <w:t>(1)</w:t>
      </w:r>
      <w:r w:rsidR="00B11705" w:rsidRPr="000C627D">
        <w:t>(d)</w:t>
      </w:r>
      <w:r w:rsidRPr="000C627D">
        <w:t>.</w:t>
      </w:r>
    </w:p>
    <w:p w:rsidR="00DE00E9" w:rsidRPr="000C627D" w:rsidRDefault="00DE00E9" w:rsidP="00DE00E9">
      <w:pPr>
        <w:pStyle w:val="Definition"/>
      </w:pPr>
      <w:r w:rsidRPr="000C627D">
        <w:rPr>
          <w:b/>
          <w:i/>
        </w:rPr>
        <w:t>go</w:t>
      </w:r>
      <w:r w:rsidR="000C627D">
        <w:rPr>
          <w:b/>
          <w:i/>
        </w:rPr>
        <w:noBreakHyphen/>
      </w:r>
      <w:r w:rsidRPr="000C627D">
        <w:rPr>
          <w:b/>
          <w:i/>
        </w:rPr>
        <w:t>kart</w:t>
      </w:r>
      <w:r w:rsidRPr="000C627D">
        <w:t xml:space="preserve"> does not include an all</w:t>
      </w:r>
      <w:r w:rsidR="000C627D">
        <w:noBreakHyphen/>
      </w:r>
      <w:r w:rsidRPr="000C627D">
        <w:t>terrain vehicle.</w:t>
      </w:r>
    </w:p>
    <w:p w:rsidR="003C03C4" w:rsidRPr="000C627D" w:rsidRDefault="003C03C4" w:rsidP="00DE00E9">
      <w:pPr>
        <w:pStyle w:val="Definition"/>
      </w:pPr>
      <w:r w:rsidRPr="000C627D">
        <w:rPr>
          <w:b/>
          <w:i/>
        </w:rPr>
        <w:t>GST</w:t>
      </w:r>
      <w:r w:rsidRPr="000C627D">
        <w:t xml:space="preserve"> has the same meaning as in the </w:t>
      </w:r>
      <w:r w:rsidRPr="000C627D">
        <w:rPr>
          <w:i/>
        </w:rPr>
        <w:t>A New Tax System (Goods and Services Tax) Act 1999</w:t>
      </w:r>
      <w:r w:rsidRPr="000C627D">
        <w:t>.</w:t>
      </w:r>
    </w:p>
    <w:p w:rsidR="0092529B" w:rsidRPr="000C627D" w:rsidRDefault="0092529B" w:rsidP="0092529B">
      <w:pPr>
        <w:pStyle w:val="Definition"/>
      </w:pPr>
      <w:proofErr w:type="spellStart"/>
      <w:r w:rsidRPr="000C627D">
        <w:rPr>
          <w:b/>
          <w:i/>
        </w:rPr>
        <w:t>ILAC</w:t>
      </w:r>
      <w:proofErr w:type="spellEnd"/>
      <w:r w:rsidRPr="000C627D">
        <w:rPr>
          <w:b/>
          <w:i/>
        </w:rPr>
        <w:t xml:space="preserve"> accreditation body</w:t>
      </w:r>
      <w:r w:rsidRPr="000C627D">
        <w:t xml:space="preserve"> has the meaning given by subsection</w:t>
      </w:r>
      <w:r w:rsidR="000C627D" w:rsidRPr="000C627D">
        <w:t> </w:t>
      </w:r>
      <w:r w:rsidR="006E7CE6" w:rsidRPr="000C627D">
        <w:t>13</w:t>
      </w:r>
      <w:r w:rsidRPr="000C627D">
        <w:t>(2).</w:t>
      </w:r>
    </w:p>
    <w:p w:rsidR="0092529B" w:rsidRPr="000C627D" w:rsidRDefault="0092529B" w:rsidP="0092529B">
      <w:pPr>
        <w:pStyle w:val="notetext"/>
      </w:pPr>
      <w:r w:rsidRPr="000C627D">
        <w:t>Note:</w:t>
      </w:r>
      <w:r w:rsidRPr="000C627D">
        <w:tab/>
      </w:r>
      <w:proofErr w:type="spellStart"/>
      <w:r w:rsidRPr="000C627D">
        <w:t>ILAC</w:t>
      </w:r>
      <w:proofErr w:type="spellEnd"/>
      <w:r w:rsidRPr="000C627D">
        <w:t xml:space="preserve"> is short for </w:t>
      </w:r>
      <w:r w:rsidRPr="000C627D">
        <w:rPr>
          <w:sz w:val="22"/>
        </w:rPr>
        <w:t xml:space="preserve">the </w:t>
      </w:r>
      <w:r w:rsidRPr="000C627D">
        <w:t>International Laboratory Accreditation Cooperation.</w:t>
      </w:r>
    </w:p>
    <w:p w:rsidR="00AC0C3F" w:rsidRPr="000C627D" w:rsidRDefault="00F32CCA" w:rsidP="00AC0C3F">
      <w:pPr>
        <w:pStyle w:val="Definition"/>
      </w:pPr>
      <w:r w:rsidRPr="000C627D">
        <w:rPr>
          <w:b/>
          <w:i/>
        </w:rPr>
        <w:t>import declaration</w:t>
      </w:r>
      <w:r w:rsidR="00AC0C3F" w:rsidRPr="000C627D">
        <w:t xml:space="preserve"> has the meaning given by the </w:t>
      </w:r>
      <w:r w:rsidR="00AC0C3F" w:rsidRPr="000C627D">
        <w:rPr>
          <w:i/>
        </w:rPr>
        <w:t>Customs Act 1901</w:t>
      </w:r>
      <w:r w:rsidR="00AC0C3F" w:rsidRPr="000C627D">
        <w:t>.</w:t>
      </w:r>
    </w:p>
    <w:p w:rsidR="00B538B7" w:rsidRPr="000C627D" w:rsidRDefault="003C0267" w:rsidP="003C0267">
      <w:pPr>
        <w:pStyle w:val="Definition"/>
      </w:pPr>
      <w:r w:rsidRPr="000C627D">
        <w:rPr>
          <w:b/>
          <w:i/>
        </w:rPr>
        <w:t>motor vehicle</w:t>
      </w:r>
      <w:r w:rsidR="00B538B7" w:rsidRPr="000C627D">
        <w:t>:</w:t>
      </w:r>
    </w:p>
    <w:p w:rsidR="00B538B7" w:rsidRPr="000C627D" w:rsidRDefault="00B538B7" w:rsidP="00B538B7">
      <w:pPr>
        <w:pStyle w:val="paragraph"/>
      </w:pPr>
      <w:r w:rsidRPr="000C627D">
        <w:tab/>
        <w:t>(a)</w:t>
      </w:r>
      <w:r w:rsidRPr="000C627D">
        <w:tab/>
        <w:t>includes a snowmobile</w:t>
      </w:r>
      <w:r w:rsidR="00A6426E" w:rsidRPr="000C627D">
        <w:t xml:space="preserve"> and an</w:t>
      </w:r>
      <w:r w:rsidR="00550D27" w:rsidRPr="000C627D">
        <w:t xml:space="preserve"> all</w:t>
      </w:r>
      <w:r w:rsidR="000C627D">
        <w:noBreakHyphen/>
      </w:r>
      <w:r w:rsidR="00550D27" w:rsidRPr="000C627D">
        <w:t>terrain vehicle</w:t>
      </w:r>
      <w:r w:rsidRPr="000C627D">
        <w:t>; and</w:t>
      </w:r>
    </w:p>
    <w:p w:rsidR="003C0267" w:rsidRPr="000C627D" w:rsidRDefault="00B538B7" w:rsidP="00B538B7">
      <w:pPr>
        <w:pStyle w:val="paragraph"/>
      </w:pPr>
      <w:r w:rsidRPr="000C627D">
        <w:tab/>
        <w:t>(b)</w:t>
      </w:r>
      <w:r w:rsidRPr="000C627D">
        <w:tab/>
      </w:r>
      <w:r w:rsidR="003C0267" w:rsidRPr="000C627D">
        <w:t>does not include a go</w:t>
      </w:r>
      <w:r w:rsidR="000C627D">
        <w:noBreakHyphen/>
      </w:r>
      <w:r w:rsidR="003C0267" w:rsidRPr="000C627D">
        <w:t>kart</w:t>
      </w:r>
      <w:r w:rsidRPr="000C627D">
        <w:t>.</w:t>
      </w:r>
    </w:p>
    <w:p w:rsidR="00DD3E74" w:rsidRPr="000C627D" w:rsidRDefault="00DD3E74" w:rsidP="00DD3E74">
      <w:pPr>
        <w:pStyle w:val="Definition"/>
      </w:pPr>
      <w:r w:rsidRPr="000C627D">
        <w:rPr>
          <w:b/>
          <w:i/>
        </w:rPr>
        <w:t>non</w:t>
      </w:r>
      <w:r w:rsidR="000C627D">
        <w:rPr>
          <w:b/>
          <w:i/>
        </w:rPr>
        <w:noBreakHyphen/>
      </w:r>
      <w:r w:rsidRPr="000C627D">
        <w:rPr>
          <w:b/>
          <w:i/>
        </w:rPr>
        <w:t>road engine</w:t>
      </w:r>
      <w:r w:rsidRPr="000C627D">
        <w:t xml:space="preserve"> has the meaning given by section</w:t>
      </w:r>
      <w:r w:rsidR="000C627D" w:rsidRPr="000C627D">
        <w:t> </w:t>
      </w:r>
      <w:r w:rsidR="006E7CE6" w:rsidRPr="000C627D">
        <w:t>8</w:t>
      </w:r>
      <w:r w:rsidRPr="000C627D">
        <w:t>.</w:t>
      </w:r>
    </w:p>
    <w:p w:rsidR="00DD3E74" w:rsidRPr="000C627D" w:rsidRDefault="00DD3E74" w:rsidP="00DD3E74">
      <w:pPr>
        <w:pStyle w:val="Definition"/>
      </w:pPr>
      <w:r w:rsidRPr="000C627D">
        <w:rPr>
          <w:b/>
          <w:i/>
        </w:rPr>
        <w:t>organised competition</w:t>
      </w:r>
      <w:r w:rsidRPr="000C627D">
        <w:t xml:space="preserve"> has the meaning given by subsection</w:t>
      </w:r>
      <w:r w:rsidR="000C627D" w:rsidRPr="000C627D">
        <w:t> </w:t>
      </w:r>
      <w:r w:rsidR="006E7CE6" w:rsidRPr="000C627D">
        <w:t>30</w:t>
      </w:r>
      <w:r w:rsidRPr="000C627D">
        <w:t>(5).</w:t>
      </w:r>
    </w:p>
    <w:p w:rsidR="00DD3E74" w:rsidRPr="000C627D" w:rsidRDefault="00DD3E74" w:rsidP="00DD3E74">
      <w:pPr>
        <w:pStyle w:val="Definition"/>
      </w:pPr>
      <w:r w:rsidRPr="000C627D">
        <w:rPr>
          <w:b/>
          <w:i/>
        </w:rPr>
        <w:t>portable or transportable</w:t>
      </w:r>
      <w:r w:rsidRPr="000C627D">
        <w:t xml:space="preserve"> has the meaning given by subsection</w:t>
      </w:r>
      <w:r w:rsidR="000C627D" w:rsidRPr="000C627D">
        <w:t> </w:t>
      </w:r>
      <w:r w:rsidR="006E7CE6" w:rsidRPr="000C627D">
        <w:t>9</w:t>
      </w:r>
      <w:r w:rsidRPr="000C627D">
        <w:t>(</w:t>
      </w:r>
      <w:r w:rsidR="002565F2" w:rsidRPr="000C627D">
        <w:t>4</w:t>
      </w:r>
      <w:r w:rsidRPr="000C627D">
        <w:t>).</w:t>
      </w:r>
    </w:p>
    <w:p w:rsidR="003C03C4" w:rsidRPr="000C627D" w:rsidRDefault="003C03C4" w:rsidP="003C03C4">
      <w:pPr>
        <w:pStyle w:val="Definition"/>
      </w:pPr>
      <w:r w:rsidRPr="000C627D">
        <w:rPr>
          <w:b/>
          <w:i/>
        </w:rPr>
        <w:t>price</w:t>
      </w:r>
      <w:r w:rsidRPr="000C627D">
        <w:t xml:space="preserve"> has the meaning given by subsection</w:t>
      </w:r>
      <w:r w:rsidR="000C627D" w:rsidRPr="000C627D">
        <w:t> </w:t>
      </w:r>
      <w:r w:rsidR="006E7CE6" w:rsidRPr="000C627D">
        <w:t>41</w:t>
      </w:r>
      <w:r w:rsidRPr="000C627D">
        <w:t>(3).</w:t>
      </w:r>
    </w:p>
    <w:p w:rsidR="00AF29F1" w:rsidRPr="000C627D" w:rsidRDefault="00AF29F1" w:rsidP="00AF29F1">
      <w:pPr>
        <w:pStyle w:val="Definition"/>
      </w:pPr>
      <w:r w:rsidRPr="000C627D">
        <w:rPr>
          <w:b/>
          <w:i/>
        </w:rPr>
        <w:t>propulsion marine engine</w:t>
      </w:r>
      <w:r w:rsidRPr="000C627D">
        <w:t xml:space="preserve"> has the meaning given by section</w:t>
      </w:r>
      <w:r w:rsidR="000C627D" w:rsidRPr="000C627D">
        <w:t> </w:t>
      </w:r>
      <w:r w:rsidR="006E7CE6" w:rsidRPr="000C627D">
        <w:t>7</w:t>
      </w:r>
      <w:r w:rsidRPr="000C627D">
        <w:t>.</w:t>
      </w:r>
    </w:p>
    <w:p w:rsidR="00A5285B" w:rsidRPr="000C627D" w:rsidRDefault="00A5285B" w:rsidP="002227C8">
      <w:pPr>
        <w:pStyle w:val="Definition"/>
        <w:rPr>
          <w:b/>
          <w:i/>
        </w:rPr>
      </w:pPr>
      <w:r w:rsidRPr="000C627D">
        <w:rPr>
          <w:b/>
          <w:i/>
        </w:rPr>
        <w:t>registered charity</w:t>
      </w:r>
      <w:r w:rsidRPr="000C627D">
        <w:t xml:space="preserve"> means an entity that is registered under the </w:t>
      </w:r>
      <w:r w:rsidRPr="000C627D">
        <w:rPr>
          <w:i/>
        </w:rPr>
        <w:t>Australian Charities and Not</w:t>
      </w:r>
      <w:r w:rsidR="000C627D">
        <w:rPr>
          <w:i/>
        </w:rPr>
        <w:noBreakHyphen/>
      </w:r>
      <w:r w:rsidRPr="000C627D">
        <w:rPr>
          <w:i/>
        </w:rPr>
        <w:t>for</w:t>
      </w:r>
      <w:r w:rsidR="000C627D">
        <w:rPr>
          <w:i/>
        </w:rPr>
        <w:noBreakHyphen/>
      </w:r>
      <w:r w:rsidRPr="000C627D">
        <w:rPr>
          <w:i/>
        </w:rPr>
        <w:t>profits Commission Act 2012</w:t>
      </w:r>
      <w:r w:rsidRPr="000C627D">
        <w:t xml:space="preserve"> as the type of entity mentioned in column 1 of item</w:t>
      </w:r>
      <w:r w:rsidR="000C627D" w:rsidRPr="000C627D">
        <w:t> </w:t>
      </w:r>
      <w:r w:rsidRPr="000C627D">
        <w:t>1 of the table in subsection</w:t>
      </w:r>
      <w:r w:rsidR="000C627D" w:rsidRPr="000C627D">
        <w:t> </w:t>
      </w:r>
      <w:r w:rsidRPr="000C627D">
        <w:t>25</w:t>
      </w:r>
      <w:r w:rsidR="000C627D">
        <w:noBreakHyphen/>
      </w:r>
      <w:r w:rsidRPr="000C627D">
        <w:t>5(5) of that Act.</w:t>
      </w:r>
    </w:p>
    <w:p w:rsidR="00580FB2" w:rsidRPr="000C627D" w:rsidRDefault="00580FB2" w:rsidP="00580FB2">
      <w:pPr>
        <w:pStyle w:val="Definition"/>
      </w:pPr>
      <w:r w:rsidRPr="000C627D">
        <w:rPr>
          <w:b/>
          <w:i/>
        </w:rPr>
        <w:t>scale model engine</w:t>
      </w:r>
      <w:r w:rsidRPr="000C627D">
        <w:t xml:space="preserve"> has the</w:t>
      </w:r>
      <w:r w:rsidR="002565F2" w:rsidRPr="000C627D">
        <w:t xml:space="preserve"> meaning given by subsection</w:t>
      </w:r>
      <w:r w:rsidR="000C627D" w:rsidRPr="000C627D">
        <w:t> </w:t>
      </w:r>
      <w:r w:rsidR="006E7CE6" w:rsidRPr="000C627D">
        <w:t>9</w:t>
      </w:r>
      <w:r w:rsidRPr="000C627D">
        <w:t>(</w:t>
      </w:r>
      <w:r w:rsidR="002565F2" w:rsidRPr="000C627D">
        <w:t>3</w:t>
      </w:r>
      <w:r w:rsidRPr="000C627D">
        <w:t>).</w:t>
      </w:r>
    </w:p>
    <w:p w:rsidR="00513EED" w:rsidRPr="000C627D" w:rsidRDefault="00513EED" w:rsidP="00513EED">
      <w:pPr>
        <w:pStyle w:val="Definition"/>
      </w:pPr>
      <w:r w:rsidRPr="000C627D">
        <w:rPr>
          <w:b/>
          <w:i/>
        </w:rPr>
        <w:t>suitable alternative</w:t>
      </w:r>
      <w:r w:rsidRPr="000C627D">
        <w:t xml:space="preserve"> has the meaning given by </w:t>
      </w:r>
      <w:r w:rsidR="00CE6522" w:rsidRPr="000C627D">
        <w:t>sub</w:t>
      </w:r>
      <w:r w:rsidRPr="000C627D">
        <w:t>section</w:t>
      </w:r>
      <w:r w:rsidR="000C627D" w:rsidRPr="000C627D">
        <w:t> </w:t>
      </w:r>
      <w:r w:rsidR="006E7CE6" w:rsidRPr="000C627D">
        <w:t>30</w:t>
      </w:r>
      <w:r w:rsidRPr="000C627D">
        <w:t>(2).</w:t>
      </w:r>
    </w:p>
    <w:p w:rsidR="00E039CE" w:rsidRPr="000C627D" w:rsidRDefault="00E039CE" w:rsidP="00E039CE">
      <w:pPr>
        <w:pStyle w:val="Definition"/>
      </w:pPr>
      <w:r w:rsidRPr="000C627D">
        <w:rPr>
          <w:b/>
          <w:i/>
        </w:rPr>
        <w:t xml:space="preserve">uncertified, </w:t>
      </w:r>
      <w:r w:rsidR="00D81BF7" w:rsidRPr="000C627D">
        <w:rPr>
          <w:b/>
          <w:i/>
        </w:rPr>
        <w:t>unserviceable</w:t>
      </w:r>
      <w:r w:rsidRPr="000C627D">
        <w:rPr>
          <w:b/>
          <w:i/>
        </w:rPr>
        <w:t xml:space="preserve"> engine</w:t>
      </w:r>
      <w:r w:rsidRPr="000C627D">
        <w:t xml:space="preserve"> has the meaning given by subsection</w:t>
      </w:r>
      <w:r w:rsidR="000C627D" w:rsidRPr="000C627D">
        <w:t> </w:t>
      </w:r>
      <w:r w:rsidR="006E7CE6" w:rsidRPr="000C627D">
        <w:t>30</w:t>
      </w:r>
      <w:r w:rsidRPr="000C627D">
        <w:t>(6).</w:t>
      </w:r>
    </w:p>
    <w:p w:rsidR="002565F2" w:rsidRPr="000C627D" w:rsidRDefault="002565F2" w:rsidP="006E39EE">
      <w:pPr>
        <w:pStyle w:val="ActHead2"/>
        <w:pageBreakBefore/>
      </w:pPr>
      <w:bookmarkStart w:id="7" w:name="_Toc500512549"/>
      <w:r w:rsidRPr="000C627D">
        <w:rPr>
          <w:rStyle w:val="CharPartNo"/>
        </w:rPr>
        <w:t>Part</w:t>
      </w:r>
      <w:r w:rsidR="000C627D" w:rsidRPr="000C627D">
        <w:rPr>
          <w:rStyle w:val="CharPartNo"/>
        </w:rPr>
        <w:t> </w:t>
      </w:r>
      <w:r w:rsidR="003E3017" w:rsidRPr="000C627D">
        <w:rPr>
          <w:rStyle w:val="CharPartNo"/>
        </w:rPr>
        <w:t>2</w:t>
      </w:r>
      <w:r w:rsidRPr="000C627D">
        <w:t>—</w:t>
      </w:r>
      <w:r w:rsidRPr="000C627D">
        <w:rPr>
          <w:rStyle w:val="CharPartText"/>
        </w:rPr>
        <w:t>Emissions</w:t>
      </w:r>
      <w:r w:rsidR="000C627D" w:rsidRPr="000C627D">
        <w:rPr>
          <w:rStyle w:val="CharPartText"/>
        </w:rPr>
        <w:noBreakHyphen/>
      </w:r>
      <w:r w:rsidRPr="000C627D">
        <w:rPr>
          <w:rStyle w:val="CharPartText"/>
        </w:rPr>
        <w:t>controlled products</w:t>
      </w:r>
      <w:bookmarkEnd w:id="7"/>
    </w:p>
    <w:p w:rsidR="002565F2" w:rsidRPr="000C627D" w:rsidRDefault="002565F2" w:rsidP="002565F2">
      <w:pPr>
        <w:pStyle w:val="Header"/>
      </w:pPr>
      <w:r w:rsidRPr="000C627D">
        <w:rPr>
          <w:rStyle w:val="CharDivNo"/>
        </w:rPr>
        <w:t xml:space="preserve"> </w:t>
      </w:r>
      <w:r w:rsidRPr="000C627D">
        <w:rPr>
          <w:rStyle w:val="CharDivText"/>
        </w:rPr>
        <w:t xml:space="preserve"> </w:t>
      </w:r>
    </w:p>
    <w:p w:rsidR="002565F2" w:rsidRPr="000C627D" w:rsidRDefault="006E7CE6" w:rsidP="002565F2">
      <w:pPr>
        <w:pStyle w:val="ActHead5"/>
      </w:pPr>
      <w:bookmarkStart w:id="8" w:name="_Toc500512550"/>
      <w:r w:rsidRPr="000C627D">
        <w:rPr>
          <w:rStyle w:val="CharSectno"/>
        </w:rPr>
        <w:t>6</w:t>
      </w:r>
      <w:r w:rsidR="002565F2" w:rsidRPr="000C627D">
        <w:t xml:space="preserve">  Emissions</w:t>
      </w:r>
      <w:r w:rsidR="000C627D">
        <w:noBreakHyphen/>
      </w:r>
      <w:r w:rsidR="002565F2" w:rsidRPr="000C627D">
        <w:t>controlled products</w:t>
      </w:r>
      <w:bookmarkEnd w:id="8"/>
    </w:p>
    <w:p w:rsidR="002565F2" w:rsidRPr="000C627D" w:rsidRDefault="002565F2" w:rsidP="002565F2">
      <w:pPr>
        <w:pStyle w:val="subsection"/>
      </w:pPr>
      <w:r w:rsidRPr="000C627D">
        <w:tab/>
      </w:r>
      <w:r w:rsidRPr="000C627D">
        <w:tab/>
        <w:t>For the purposes of section</w:t>
      </w:r>
      <w:r w:rsidR="000C627D" w:rsidRPr="000C627D">
        <w:t> </w:t>
      </w:r>
      <w:r w:rsidRPr="000C627D">
        <w:t>9 of the Act, each of the following products is prescribed as an emissions</w:t>
      </w:r>
      <w:r w:rsidR="000C627D">
        <w:noBreakHyphen/>
      </w:r>
      <w:r w:rsidRPr="000C627D">
        <w:t>controlled product:</w:t>
      </w:r>
    </w:p>
    <w:p w:rsidR="002565F2" w:rsidRPr="000C627D" w:rsidRDefault="002565F2" w:rsidP="002565F2">
      <w:pPr>
        <w:pStyle w:val="paragraph"/>
      </w:pPr>
      <w:r w:rsidRPr="000C627D">
        <w:tab/>
        <w:t>(a)</w:t>
      </w:r>
      <w:r w:rsidRPr="000C627D">
        <w:tab/>
        <w:t>a propulsion marine engine;</w:t>
      </w:r>
    </w:p>
    <w:p w:rsidR="002565F2" w:rsidRPr="000C627D" w:rsidRDefault="002565F2" w:rsidP="002565F2">
      <w:pPr>
        <w:pStyle w:val="paragraph"/>
      </w:pPr>
      <w:r w:rsidRPr="000C627D">
        <w:tab/>
        <w:t>(b)</w:t>
      </w:r>
      <w:r w:rsidRPr="000C627D">
        <w:tab/>
        <w:t>a non</w:t>
      </w:r>
      <w:r w:rsidR="000C627D">
        <w:noBreakHyphen/>
      </w:r>
      <w:r w:rsidRPr="000C627D">
        <w:t>road engine.</w:t>
      </w:r>
    </w:p>
    <w:p w:rsidR="00580FB2" w:rsidRPr="000C627D" w:rsidRDefault="006E7CE6" w:rsidP="00777044">
      <w:pPr>
        <w:pStyle w:val="ActHead5"/>
      </w:pPr>
      <w:bookmarkStart w:id="9" w:name="_Toc500512551"/>
      <w:r w:rsidRPr="000C627D">
        <w:rPr>
          <w:rStyle w:val="CharSectno"/>
        </w:rPr>
        <w:t>7</w:t>
      </w:r>
      <w:r w:rsidR="00580FB2" w:rsidRPr="000C627D">
        <w:t xml:space="preserve">  Definition</w:t>
      </w:r>
      <w:r w:rsidR="002565F2" w:rsidRPr="000C627D">
        <w:t xml:space="preserve"> </w:t>
      </w:r>
      <w:r w:rsidR="00580FB2" w:rsidRPr="000C627D">
        <w:t xml:space="preserve">of </w:t>
      </w:r>
      <w:r w:rsidR="00580FB2" w:rsidRPr="000C627D">
        <w:rPr>
          <w:i/>
        </w:rPr>
        <w:t>propulsion marine engine</w:t>
      </w:r>
      <w:bookmarkEnd w:id="9"/>
    </w:p>
    <w:p w:rsidR="00580FB2" w:rsidRPr="000C627D" w:rsidRDefault="00580FB2" w:rsidP="00580FB2">
      <w:pPr>
        <w:pStyle w:val="subsection"/>
      </w:pPr>
      <w:r w:rsidRPr="000C627D">
        <w:tab/>
      </w:r>
      <w:r w:rsidR="002565F2" w:rsidRPr="000C627D">
        <w:t>(1)</w:t>
      </w:r>
      <w:r w:rsidRPr="000C627D">
        <w:tab/>
        <w:t xml:space="preserve">A </w:t>
      </w:r>
      <w:r w:rsidRPr="000C627D">
        <w:rPr>
          <w:b/>
          <w:i/>
        </w:rPr>
        <w:t>propulsion marine engine</w:t>
      </w:r>
      <w:r w:rsidRPr="000C627D">
        <w:t xml:space="preserve"> is a new, complete, spark</w:t>
      </w:r>
      <w:r w:rsidR="000C627D">
        <w:noBreakHyphen/>
      </w:r>
      <w:r w:rsidRPr="000C627D">
        <w:t>ignition engine</w:t>
      </w:r>
      <w:r w:rsidR="002565F2" w:rsidRPr="000C627D">
        <w:t xml:space="preserve"> that</w:t>
      </w:r>
      <w:r w:rsidRPr="000C627D">
        <w:t>:</w:t>
      </w:r>
    </w:p>
    <w:p w:rsidR="00580FB2" w:rsidRPr="000C627D" w:rsidRDefault="00580FB2" w:rsidP="00580FB2">
      <w:pPr>
        <w:pStyle w:val="paragraph"/>
      </w:pPr>
      <w:r w:rsidRPr="000C627D">
        <w:tab/>
        <w:t>(a)</w:t>
      </w:r>
      <w:r w:rsidRPr="000C627D">
        <w:tab/>
        <w:t>is</w:t>
      </w:r>
      <w:r w:rsidR="00A6426E" w:rsidRPr="000C627D">
        <w:t xml:space="preserve"> </w:t>
      </w:r>
      <w:r w:rsidRPr="000C627D">
        <w:t xml:space="preserve">installed </w:t>
      </w:r>
      <w:r w:rsidR="002856FD" w:rsidRPr="000C627D">
        <w:t xml:space="preserve">in or </w:t>
      </w:r>
      <w:r w:rsidRPr="000C627D">
        <w:t>on a vessel</w:t>
      </w:r>
      <w:r w:rsidR="005211BF" w:rsidRPr="000C627D">
        <w:t xml:space="preserve"> (or is likely to be so installed in the future)</w:t>
      </w:r>
      <w:r w:rsidRPr="000C627D">
        <w:t>; and</w:t>
      </w:r>
    </w:p>
    <w:p w:rsidR="00580FB2" w:rsidRPr="000C627D" w:rsidRDefault="00580FB2" w:rsidP="00580FB2">
      <w:pPr>
        <w:pStyle w:val="paragraph"/>
      </w:pPr>
      <w:r w:rsidRPr="000C627D">
        <w:tab/>
        <w:t>(b)</w:t>
      </w:r>
      <w:r w:rsidRPr="000C627D">
        <w:tab/>
        <w:t xml:space="preserve">moves </w:t>
      </w:r>
      <w:r w:rsidR="00B00877" w:rsidRPr="000C627D">
        <w:t>(or will</w:t>
      </w:r>
      <w:r w:rsidR="005211BF" w:rsidRPr="000C627D">
        <w:t xml:space="preserve"> move</w:t>
      </w:r>
      <w:r w:rsidR="00B00877" w:rsidRPr="000C627D">
        <w:t xml:space="preserve">) </w:t>
      </w:r>
      <w:r w:rsidR="002565F2" w:rsidRPr="000C627D">
        <w:t>the</w:t>
      </w:r>
      <w:r w:rsidRPr="000C627D">
        <w:t xml:space="preserve"> vessel through water</w:t>
      </w:r>
      <w:r w:rsidR="002565F2" w:rsidRPr="000C627D">
        <w:t>, or direct</w:t>
      </w:r>
      <w:r w:rsidR="00B00877" w:rsidRPr="000C627D">
        <w:t>s (or will direct)</w:t>
      </w:r>
      <w:r w:rsidR="002565F2" w:rsidRPr="000C627D">
        <w:t xml:space="preserve"> the</w:t>
      </w:r>
      <w:r w:rsidRPr="000C627D">
        <w:t xml:space="preserve"> vessel</w:t>
      </w:r>
      <w:r w:rsidR="003C03C4" w:rsidRPr="000C627D">
        <w:t>’</w:t>
      </w:r>
      <w:r w:rsidRPr="000C627D">
        <w:t>s movement</w:t>
      </w:r>
      <w:r w:rsidR="002565F2" w:rsidRPr="000C627D">
        <w:t xml:space="preserve"> through water</w:t>
      </w:r>
      <w:r w:rsidRPr="000C627D">
        <w:t>; and</w:t>
      </w:r>
    </w:p>
    <w:p w:rsidR="00580FB2" w:rsidRPr="000C627D" w:rsidRDefault="00580FB2" w:rsidP="00580FB2">
      <w:pPr>
        <w:pStyle w:val="paragraph"/>
      </w:pPr>
      <w:r w:rsidRPr="000C627D">
        <w:tab/>
        <w:t>(c)</w:t>
      </w:r>
      <w:r w:rsidRPr="000C627D">
        <w:tab/>
        <w:t>is none of the following:</w:t>
      </w:r>
    </w:p>
    <w:p w:rsidR="00B538B7" w:rsidRPr="000C627D" w:rsidRDefault="00B538B7" w:rsidP="00B538B7">
      <w:pPr>
        <w:pStyle w:val="paragraphsub"/>
      </w:pPr>
      <w:r w:rsidRPr="000C627D">
        <w:tab/>
        <w:t>(</w:t>
      </w:r>
      <w:proofErr w:type="spellStart"/>
      <w:r w:rsidRPr="000C627D">
        <w:t>i</w:t>
      </w:r>
      <w:proofErr w:type="spellEnd"/>
      <w:r w:rsidRPr="000C627D">
        <w:t>)</w:t>
      </w:r>
      <w:r w:rsidRPr="000C627D">
        <w:tab/>
        <w:t xml:space="preserve">an engine powered by natural gas with maximum engine power </w:t>
      </w:r>
      <w:r w:rsidR="00CA2407" w:rsidRPr="000C627D">
        <w:t xml:space="preserve">of </w:t>
      </w:r>
      <w:r w:rsidRPr="000C627D">
        <w:t>250 kW</w:t>
      </w:r>
      <w:r w:rsidR="00CA2407" w:rsidRPr="000C627D">
        <w:t xml:space="preserve"> or more</w:t>
      </w:r>
      <w:r w:rsidRPr="000C627D">
        <w:t>;</w:t>
      </w:r>
    </w:p>
    <w:p w:rsidR="00580FB2" w:rsidRPr="000C627D" w:rsidRDefault="00580FB2" w:rsidP="00580FB2">
      <w:pPr>
        <w:pStyle w:val="paragraphsub"/>
      </w:pPr>
      <w:r w:rsidRPr="000C627D">
        <w:tab/>
        <w:t>(i</w:t>
      </w:r>
      <w:r w:rsidR="00B538B7" w:rsidRPr="000C627D">
        <w:t>i</w:t>
      </w:r>
      <w:r w:rsidRPr="000C627D">
        <w:t>)</w:t>
      </w:r>
      <w:r w:rsidRPr="000C627D">
        <w:tab/>
        <w:t>an engine designed to be used to propel a motor vehicle or an aircraft;</w:t>
      </w:r>
    </w:p>
    <w:p w:rsidR="00580FB2" w:rsidRPr="000C627D" w:rsidRDefault="00580FB2" w:rsidP="00580FB2">
      <w:pPr>
        <w:pStyle w:val="paragraphsub"/>
      </w:pPr>
      <w:r w:rsidRPr="000C627D">
        <w:tab/>
        <w:t>(ii</w:t>
      </w:r>
      <w:r w:rsidR="00B538B7" w:rsidRPr="000C627D">
        <w:t>i</w:t>
      </w:r>
      <w:r w:rsidRPr="000C627D">
        <w:t>)</w:t>
      </w:r>
      <w:r w:rsidRPr="000C627D">
        <w:tab/>
        <w:t>a competition engine;</w:t>
      </w:r>
    </w:p>
    <w:p w:rsidR="00580FB2" w:rsidRPr="000C627D" w:rsidRDefault="00B538B7" w:rsidP="00580FB2">
      <w:pPr>
        <w:pStyle w:val="paragraphsub"/>
      </w:pPr>
      <w:r w:rsidRPr="000C627D">
        <w:tab/>
        <w:t>(iv)</w:t>
      </w:r>
      <w:r w:rsidRPr="000C627D">
        <w:tab/>
        <w:t>a scale model engine.</w:t>
      </w:r>
    </w:p>
    <w:p w:rsidR="00580FB2" w:rsidRPr="000C627D" w:rsidRDefault="00580FB2" w:rsidP="00580FB2">
      <w:pPr>
        <w:pStyle w:val="noteToPara"/>
      </w:pPr>
      <w:r w:rsidRPr="000C627D">
        <w:t>Note:</w:t>
      </w:r>
      <w:r w:rsidRPr="000C627D">
        <w:tab/>
        <w:t>An auxiliary marine engine (that is, a marine engine that is not used to propel a marine vessel) may be a non</w:t>
      </w:r>
      <w:r w:rsidR="000C627D">
        <w:noBreakHyphen/>
      </w:r>
      <w:r w:rsidRPr="000C627D">
        <w:t>road engine.</w:t>
      </w:r>
    </w:p>
    <w:p w:rsidR="00580FB2" w:rsidRPr="000C627D" w:rsidRDefault="00580FB2" w:rsidP="00580FB2">
      <w:pPr>
        <w:pStyle w:val="subsection"/>
      </w:pPr>
      <w:r w:rsidRPr="000C627D">
        <w:tab/>
        <w:t>(2)</w:t>
      </w:r>
      <w:r w:rsidRPr="000C627D">
        <w:tab/>
        <w:t xml:space="preserve">For the purposes of </w:t>
      </w:r>
      <w:r w:rsidR="000C627D" w:rsidRPr="000C627D">
        <w:t>subsection (</w:t>
      </w:r>
      <w:r w:rsidRPr="000C627D">
        <w:t>1), it does not matter whether the vessel is used in freshwater or saltwater.</w:t>
      </w:r>
    </w:p>
    <w:p w:rsidR="00580FB2" w:rsidRPr="000C627D" w:rsidRDefault="006E7CE6" w:rsidP="002565F2">
      <w:pPr>
        <w:pStyle w:val="ActHead5"/>
      </w:pPr>
      <w:bookmarkStart w:id="10" w:name="_Toc500512552"/>
      <w:r w:rsidRPr="000C627D">
        <w:rPr>
          <w:rStyle w:val="CharSectno"/>
        </w:rPr>
        <w:t>8</w:t>
      </w:r>
      <w:r w:rsidR="002565F2" w:rsidRPr="000C627D">
        <w:t xml:space="preserve">  </w:t>
      </w:r>
      <w:r w:rsidR="00580FB2" w:rsidRPr="000C627D">
        <w:t xml:space="preserve">Definition of </w:t>
      </w:r>
      <w:r w:rsidR="00580FB2" w:rsidRPr="000C627D">
        <w:rPr>
          <w:i/>
        </w:rPr>
        <w:t>non</w:t>
      </w:r>
      <w:r w:rsidR="000C627D">
        <w:rPr>
          <w:i/>
        </w:rPr>
        <w:noBreakHyphen/>
      </w:r>
      <w:r w:rsidR="00580FB2" w:rsidRPr="000C627D">
        <w:rPr>
          <w:i/>
        </w:rPr>
        <w:t>road engine</w:t>
      </w:r>
      <w:bookmarkEnd w:id="10"/>
    </w:p>
    <w:p w:rsidR="00580FB2" w:rsidRPr="000C627D" w:rsidRDefault="00580FB2" w:rsidP="00580FB2">
      <w:pPr>
        <w:pStyle w:val="subsection"/>
      </w:pPr>
      <w:r w:rsidRPr="000C627D">
        <w:tab/>
      </w:r>
      <w:r w:rsidR="00003EEF" w:rsidRPr="000C627D">
        <w:t>(1)</w:t>
      </w:r>
      <w:r w:rsidRPr="000C627D">
        <w:tab/>
        <w:t xml:space="preserve">A </w:t>
      </w:r>
      <w:r w:rsidRPr="000C627D">
        <w:rPr>
          <w:b/>
          <w:i/>
        </w:rPr>
        <w:t>non</w:t>
      </w:r>
      <w:r w:rsidR="000C627D">
        <w:rPr>
          <w:b/>
          <w:i/>
        </w:rPr>
        <w:noBreakHyphen/>
      </w:r>
      <w:r w:rsidRPr="000C627D">
        <w:rPr>
          <w:b/>
          <w:i/>
        </w:rPr>
        <w:t>road engine</w:t>
      </w:r>
      <w:r w:rsidRPr="000C627D">
        <w:t xml:space="preserve"> is a new, complete, spark</w:t>
      </w:r>
      <w:r w:rsidR="000C627D">
        <w:noBreakHyphen/>
      </w:r>
      <w:r w:rsidRPr="000C627D">
        <w:t>ignition engine:</w:t>
      </w:r>
    </w:p>
    <w:p w:rsidR="00580FB2" w:rsidRPr="000C627D" w:rsidRDefault="00580FB2" w:rsidP="00580FB2">
      <w:pPr>
        <w:pStyle w:val="paragraph"/>
      </w:pPr>
      <w:r w:rsidRPr="000C627D">
        <w:tab/>
        <w:t>(a)</w:t>
      </w:r>
      <w:r w:rsidRPr="000C627D">
        <w:tab/>
        <w:t xml:space="preserve">with maximum engine power </w:t>
      </w:r>
      <w:r w:rsidR="00CA2407" w:rsidRPr="000C627D">
        <w:t xml:space="preserve">of </w:t>
      </w:r>
      <w:r w:rsidRPr="000C627D">
        <w:t>19 kW</w:t>
      </w:r>
      <w:r w:rsidR="00CA2407" w:rsidRPr="000C627D">
        <w:t xml:space="preserve"> or less</w:t>
      </w:r>
      <w:r w:rsidRPr="000C627D">
        <w:t>; and</w:t>
      </w:r>
    </w:p>
    <w:p w:rsidR="00580FB2" w:rsidRPr="000C627D" w:rsidRDefault="00580FB2" w:rsidP="00580FB2">
      <w:pPr>
        <w:pStyle w:val="paragraph"/>
      </w:pPr>
      <w:r w:rsidRPr="000C627D">
        <w:tab/>
        <w:t>(b)</w:t>
      </w:r>
      <w:r w:rsidRPr="000C627D">
        <w:tab/>
        <w:t>to which any of the following subparagraphs apply:</w:t>
      </w:r>
    </w:p>
    <w:p w:rsidR="00580FB2" w:rsidRPr="000C627D" w:rsidRDefault="00580FB2" w:rsidP="00580FB2">
      <w:pPr>
        <w:pStyle w:val="paragraphsub"/>
      </w:pPr>
      <w:r w:rsidRPr="000C627D">
        <w:tab/>
        <w:t>(</w:t>
      </w:r>
      <w:proofErr w:type="spellStart"/>
      <w:r w:rsidRPr="000C627D">
        <w:t>i</w:t>
      </w:r>
      <w:proofErr w:type="spellEnd"/>
      <w:r w:rsidRPr="000C627D">
        <w:t>)</w:t>
      </w:r>
      <w:r w:rsidRPr="000C627D">
        <w:tab/>
        <w:t>the engine is</w:t>
      </w:r>
      <w:r w:rsidR="005211BF" w:rsidRPr="000C627D">
        <w:t xml:space="preserve"> </w:t>
      </w:r>
      <w:r w:rsidR="002856FD" w:rsidRPr="000C627D">
        <w:t xml:space="preserve">installed in or </w:t>
      </w:r>
      <w:r w:rsidRPr="000C627D">
        <w:t>on equipment that is self</w:t>
      </w:r>
      <w:r w:rsidR="000C627D">
        <w:noBreakHyphen/>
      </w:r>
      <w:r w:rsidRPr="000C627D">
        <w:t>propelled, or in or on equipment that serves a dual purpose by both propelling itself and performing another function</w:t>
      </w:r>
      <w:r w:rsidR="005211BF" w:rsidRPr="000C627D">
        <w:t>, (or is likely to be so installed in the future)</w:t>
      </w:r>
      <w:r w:rsidRPr="000C627D">
        <w:t>;</w:t>
      </w:r>
    </w:p>
    <w:p w:rsidR="00580FB2" w:rsidRPr="000C627D" w:rsidRDefault="00580FB2" w:rsidP="00580FB2">
      <w:pPr>
        <w:pStyle w:val="paragraphsub"/>
      </w:pPr>
      <w:r w:rsidRPr="000C627D">
        <w:tab/>
        <w:t>(ii)</w:t>
      </w:r>
      <w:r w:rsidRPr="000C627D">
        <w:tab/>
        <w:t xml:space="preserve">the engine is </w:t>
      </w:r>
      <w:r w:rsidR="002856FD" w:rsidRPr="000C627D">
        <w:t xml:space="preserve">installed </w:t>
      </w:r>
      <w:r w:rsidRPr="000C627D">
        <w:t xml:space="preserve">in or on equipment that is </w:t>
      </w:r>
      <w:r w:rsidR="00A6426E" w:rsidRPr="000C627D">
        <w:t xml:space="preserve">designed to </w:t>
      </w:r>
      <w:r w:rsidRPr="000C627D">
        <w:t>be propelled while performing its function</w:t>
      </w:r>
      <w:r w:rsidR="005211BF" w:rsidRPr="000C627D">
        <w:t xml:space="preserve"> (or is likely to be so installed in the future)</w:t>
      </w:r>
      <w:r w:rsidRPr="000C627D">
        <w:t>;</w:t>
      </w:r>
    </w:p>
    <w:p w:rsidR="00580FB2" w:rsidRPr="000C627D" w:rsidRDefault="00580FB2" w:rsidP="00580FB2">
      <w:pPr>
        <w:pStyle w:val="paragraphsub"/>
      </w:pPr>
      <w:r w:rsidRPr="000C627D">
        <w:tab/>
        <w:t>(iii)</w:t>
      </w:r>
      <w:r w:rsidRPr="000C627D">
        <w:tab/>
        <w:t>the engine is portable or transportable; and</w:t>
      </w:r>
    </w:p>
    <w:p w:rsidR="00580FB2" w:rsidRPr="000C627D" w:rsidRDefault="00580FB2" w:rsidP="00580FB2">
      <w:pPr>
        <w:pStyle w:val="noteToPara"/>
      </w:pPr>
      <w:r w:rsidRPr="000C627D">
        <w:t>Example 1:</w:t>
      </w:r>
      <w:r w:rsidRPr="000C627D">
        <w:tab/>
      </w:r>
      <w:r w:rsidR="00B915D8" w:rsidRPr="000C627D">
        <w:t xml:space="preserve">For </w:t>
      </w:r>
      <w:r w:rsidR="000C627D" w:rsidRPr="000C627D">
        <w:t>subparagraph (</w:t>
      </w:r>
      <w:proofErr w:type="spellStart"/>
      <w:r w:rsidR="00B915D8" w:rsidRPr="000C627D">
        <w:t>i</w:t>
      </w:r>
      <w:proofErr w:type="spellEnd"/>
      <w:r w:rsidR="00B915D8" w:rsidRPr="000C627D">
        <w:t xml:space="preserve">), the equipment could be </w:t>
      </w:r>
      <w:r w:rsidRPr="000C627D">
        <w:t>a ride</w:t>
      </w:r>
      <w:r w:rsidR="000C627D">
        <w:noBreakHyphen/>
      </w:r>
      <w:r w:rsidRPr="000C627D">
        <w:t>on lawnmower</w:t>
      </w:r>
      <w:r w:rsidR="00427CC3" w:rsidRPr="000C627D">
        <w:t xml:space="preserve"> or a motorised go</w:t>
      </w:r>
      <w:r w:rsidR="000C627D">
        <w:noBreakHyphen/>
      </w:r>
      <w:r w:rsidR="00427CC3" w:rsidRPr="000C627D">
        <w:t>kart</w:t>
      </w:r>
      <w:r w:rsidRPr="000C627D">
        <w:t>.</w:t>
      </w:r>
    </w:p>
    <w:p w:rsidR="00580FB2" w:rsidRPr="000C627D" w:rsidRDefault="00580FB2" w:rsidP="00580FB2">
      <w:pPr>
        <w:pStyle w:val="noteToPara"/>
      </w:pPr>
      <w:r w:rsidRPr="000C627D">
        <w:t>Example 2:</w:t>
      </w:r>
      <w:r w:rsidRPr="000C627D">
        <w:tab/>
      </w:r>
      <w:r w:rsidR="00B915D8" w:rsidRPr="000C627D">
        <w:t xml:space="preserve">For </w:t>
      </w:r>
      <w:r w:rsidR="000C627D" w:rsidRPr="000C627D">
        <w:t>subparagraph (</w:t>
      </w:r>
      <w:r w:rsidR="00B915D8" w:rsidRPr="000C627D">
        <w:t xml:space="preserve">ii), the equipment could be </w:t>
      </w:r>
      <w:r w:rsidRPr="000C627D">
        <w:t>a lawnmower that is not self</w:t>
      </w:r>
      <w:r w:rsidR="000C627D">
        <w:noBreakHyphen/>
      </w:r>
      <w:r w:rsidRPr="000C627D">
        <w:t>propelled.</w:t>
      </w:r>
    </w:p>
    <w:p w:rsidR="00B538B7" w:rsidRPr="000C627D" w:rsidRDefault="00B538B7" w:rsidP="00B915D8">
      <w:pPr>
        <w:pStyle w:val="noteToPara"/>
      </w:pPr>
      <w:r w:rsidRPr="000C627D">
        <w:t>Example 3:</w:t>
      </w:r>
      <w:r w:rsidRPr="000C627D">
        <w:tab/>
      </w:r>
      <w:r w:rsidR="00B915D8" w:rsidRPr="000C627D">
        <w:t xml:space="preserve">For </w:t>
      </w:r>
      <w:r w:rsidR="000C627D" w:rsidRPr="000C627D">
        <w:t>subparagraph (</w:t>
      </w:r>
      <w:r w:rsidR="00B915D8" w:rsidRPr="000C627D">
        <w:t xml:space="preserve">iii), the engine could be </w:t>
      </w:r>
      <w:r w:rsidR="00B50A55" w:rsidRPr="000C627D">
        <w:t xml:space="preserve">the engine in </w:t>
      </w:r>
      <w:r w:rsidR="00B915D8" w:rsidRPr="000C627D">
        <w:t xml:space="preserve">a </w:t>
      </w:r>
      <w:r w:rsidRPr="000C627D">
        <w:t>chainsaw.</w:t>
      </w:r>
    </w:p>
    <w:p w:rsidR="00580FB2" w:rsidRPr="000C627D" w:rsidRDefault="00580FB2" w:rsidP="00580FB2">
      <w:pPr>
        <w:pStyle w:val="paragraph"/>
      </w:pPr>
      <w:r w:rsidRPr="000C627D">
        <w:tab/>
        <w:t>(c)</w:t>
      </w:r>
      <w:r w:rsidRPr="000C627D">
        <w:tab/>
        <w:t>that is none of the following:</w:t>
      </w:r>
    </w:p>
    <w:p w:rsidR="00580FB2" w:rsidRPr="000C627D" w:rsidRDefault="00580FB2" w:rsidP="00580FB2">
      <w:pPr>
        <w:pStyle w:val="paragraphsub"/>
      </w:pPr>
      <w:r w:rsidRPr="000C627D">
        <w:tab/>
        <w:t>(</w:t>
      </w:r>
      <w:proofErr w:type="spellStart"/>
      <w:r w:rsidRPr="000C627D">
        <w:t>i</w:t>
      </w:r>
      <w:proofErr w:type="spellEnd"/>
      <w:r w:rsidRPr="000C627D">
        <w:t>)</w:t>
      </w:r>
      <w:r w:rsidRPr="000C627D">
        <w:tab/>
        <w:t>a propulsion marine engine;</w:t>
      </w:r>
    </w:p>
    <w:p w:rsidR="00580FB2" w:rsidRPr="000C627D" w:rsidRDefault="00580FB2" w:rsidP="00580FB2">
      <w:pPr>
        <w:pStyle w:val="paragraphsub"/>
      </w:pPr>
      <w:r w:rsidRPr="000C627D">
        <w:tab/>
        <w:t>(ii)</w:t>
      </w:r>
      <w:r w:rsidRPr="000C627D">
        <w:tab/>
        <w:t>an engine designed to be used to propel a motor vehicle or an aircraft;</w:t>
      </w:r>
    </w:p>
    <w:p w:rsidR="00580FB2" w:rsidRPr="000C627D" w:rsidRDefault="00580FB2" w:rsidP="00580FB2">
      <w:pPr>
        <w:pStyle w:val="paragraphsub"/>
      </w:pPr>
      <w:r w:rsidRPr="000C627D">
        <w:tab/>
        <w:t>(iii)</w:t>
      </w:r>
      <w:r w:rsidRPr="000C627D">
        <w:tab/>
        <w:t>a competition engine;</w:t>
      </w:r>
    </w:p>
    <w:p w:rsidR="00580FB2" w:rsidRPr="000C627D" w:rsidRDefault="00580FB2" w:rsidP="00580FB2">
      <w:pPr>
        <w:pStyle w:val="paragraphsub"/>
      </w:pPr>
      <w:r w:rsidRPr="000C627D">
        <w:tab/>
        <w:t>(iv)</w:t>
      </w:r>
      <w:r w:rsidRPr="000C627D">
        <w:tab/>
        <w:t>a scale model engine.</w:t>
      </w:r>
    </w:p>
    <w:p w:rsidR="00580FB2" w:rsidRPr="000C627D" w:rsidRDefault="00580FB2" w:rsidP="00C26E86">
      <w:pPr>
        <w:pStyle w:val="noteToPara"/>
      </w:pPr>
      <w:r w:rsidRPr="000C627D">
        <w:t>Note:</w:t>
      </w:r>
      <w:r w:rsidRPr="000C627D">
        <w:tab/>
        <w:t>An auxiliary marine engine (that is, a marine engine that is not used to propel a marine vessel) may be a non</w:t>
      </w:r>
      <w:r w:rsidR="000C627D">
        <w:noBreakHyphen/>
      </w:r>
      <w:r w:rsidRPr="000C627D">
        <w:t>road engine.</w:t>
      </w:r>
    </w:p>
    <w:p w:rsidR="00580FB2" w:rsidRPr="000C627D" w:rsidRDefault="006E7CE6" w:rsidP="002565F2">
      <w:pPr>
        <w:pStyle w:val="ActHead5"/>
      </w:pPr>
      <w:bookmarkStart w:id="11" w:name="_Toc500512553"/>
      <w:r w:rsidRPr="000C627D">
        <w:rPr>
          <w:rStyle w:val="CharSectno"/>
        </w:rPr>
        <w:t>9</w:t>
      </w:r>
      <w:r w:rsidR="002565F2" w:rsidRPr="000C627D">
        <w:t xml:space="preserve">  </w:t>
      </w:r>
      <w:r w:rsidR="00580FB2" w:rsidRPr="000C627D">
        <w:t>Other definitions</w:t>
      </w:r>
      <w:r w:rsidR="002565F2" w:rsidRPr="000C627D">
        <w:t xml:space="preserve"> relating to engines</w:t>
      </w:r>
      <w:bookmarkEnd w:id="11"/>
    </w:p>
    <w:p w:rsidR="00580FB2" w:rsidRPr="000C627D" w:rsidRDefault="00580FB2" w:rsidP="006950CD">
      <w:pPr>
        <w:pStyle w:val="subsection"/>
      </w:pPr>
      <w:r w:rsidRPr="000C627D">
        <w:tab/>
        <w:t>(</w:t>
      </w:r>
      <w:r w:rsidR="002565F2" w:rsidRPr="000C627D">
        <w:t>1</w:t>
      </w:r>
      <w:r w:rsidRPr="000C627D">
        <w:t>)</w:t>
      </w:r>
      <w:r w:rsidRPr="000C627D">
        <w:tab/>
        <w:t>A spark</w:t>
      </w:r>
      <w:r w:rsidR="000C627D">
        <w:noBreakHyphen/>
      </w:r>
      <w:r w:rsidRPr="000C627D">
        <w:t xml:space="preserve">ignition engine is </w:t>
      </w:r>
      <w:r w:rsidRPr="000C627D">
        <w:rPr>
          <w:b/>
          <w:i/>
        </w:rPr>
        <w:t>complete</w:t>
      </w:r>
      <w:r w:rsidRPr="000C627D">
        <w:t xml:space="preserve"> if</w:t>
      </w:r>
      <w:r w:rsidR="006950CD" w:rsidRPr="000C627D">
        <w:t xml:space="preserve"> no further manufacturing of the engine is necessary to enable it to be </w:t>
      </w:r>
      <w:r w:rsidRPr="000C627D">
        <w:t>operated as a spark</w:t>
      </w:r>
      <w:r w:rsidR="000C627D">
        <w:noBreakHyphen/>
      </w:r>
      <w:r w:rsidRPr="000C627D">
        <w:t>ignition en</w:t>
      </w:r>
      <w:r w:rsidR="00F32CCA" w:rsidRPr="000C627D">
        <w:t>gine</w:t>
      </w:r>
      <w:r w:rsidRPr="000C627D">
        <w:t>.</w:t>
      </w:r>
    </w:p>
    <w:p w:rsidR="006950CD" w:rsidRPr="000C627D" w:rsidRDefault="006950CD" w:rsidP="006950CD">
      <w:pPr>
        <w:pStyle w:val="notetext"/>
      </w:pPr>
      <w:r w:rsidRPr="000C627D">
        <w:t>Example:</w:t>
      </w:r>
      <w:r w:rsidRPr="000C627D">
        <w:tab/>
        <w:t>Adding a fuel tank to an engine is not further manufacturing of the engine.</w:t>
      </w:r>
    </w:p>
    <w:p w:rsidR="00580FB2" w:rsidRPr="000C627D" w:rsidRDefault="002565F2" w:rsidP="00580FB2">
      <w:pPr>
        <w:pStyle w:val="subsection"/>
      </w:pPr>
      <w:r w:rsidRPr="000C627D">
        <w:tab/>
        <w:t>(2</w:t>
      </w:r>
      <w:r w:rsidR="00580FB2" w:rsidRPr="000C627D">
        <w:t>)</w:t>
      </w:r>
      <w:r w:rsidR="00580FB2" w:rsidRPr="000C627D">
        <w:tab/>
        <w:t xml:space="preserve">An engine is a </w:t>
      </w:r>
      <w:r w:rsidR="00580FB2" w:rsidRPr="000C627D">
        <w:rPr>
          <w:b/>
          <w:i/>
        </w:rPr>
        <w:t>competition engine</w:t>
      </w:r>
      <w:r w:rsidR="00580FB2" w:rsidRPr="000C627D">
        <w:t xml:space="preserve"> if:</w:t>
      </w:r>
    </w:p>
    <w:p w:rsidR="00580FB2" w:rsidRPr="000C627D" w:rsidRDefault="00580FB2" w:rsidP="00580FB2">
      <w:pPr>
        <w:pStyle w:val="paragraph"/>
      </w:pPr>
      <w:r w:rsidRPr="000C627D">
        <w:tab/>
        <w:t>(a)</w:t>
      </w:r>
      <w:r w:rsidRPr="000C627D">
        <w:tab/>
        <w:t>the engine is designed solely for use in</w:t>
      </w:r>
      <w:r w:rsidR="006828F1" w:rsidRPr="000C627D">
        <w:t xml:space="preserve"> </w:t>
      </w:r>
      <w:r w:rsidRPr="000C627D">
        <w:t>competition</w:t>
      </w:r>
      <w:r w:rsidR="006950CD" w:rsidRPr="000C627D">
        <w:t xml:space="preserve"> consisting of </w:t>
      </w:r>
      <w:r w:rsidR="003F1953" w:rsidRPr="000C627D">
        <w:t>races</w:t>
      </w:r>
      <w:r w:rsidRPr="000C627D">
        <w:t>; and</w:t>
      </w:r>
    </w:p>
    <w:p w:rsidR="00580FB2" w:rsidRPr="000C627D" w:rsidRDefault="00580FB2" w:rsidP="00580FB2">
      <w:pPr>
        <w:pStyle w:val="paragraph"/>
      </w:pPr>
      <w:r w:rsidRPr="000C627D">
        <w:tab/>
        <w:t>(b)</w:t>
      </w:r>
      <w:r w:rsidRPr="000C627D">
        <w:tab/>
        <w:t xml:space="preserve">because of features of the engine that cannot easily be removed, or other characteristics of the engine, use of the engine other than in </w:t>
      </w:r>
      <w:r w:rsidR="006950CD" w:rsidRPr="000C627D">
        <w:t xml:space="preserve">such </w:t>
      </w:r>
      <w:r w:rsidRPr="000C627D">
        <w:t>competition would be unsafe or impractical.</w:t>
      </w:r>
    </w:p>
    <w:p w:rsidR="00580FB2" w:rsidRPr="000C627D" w:rsidRDefault="002565F2" w:rsidP="00580FB2">
      <w:pPr>
        <w:pStyle w:val="subsection"/>
      </w:pPr>
      <w:r w:rsidRPr="000C627D">
        <w:tab/>
        <w:t>(3</w:t>
      </w:r>
      <w:r w:rsidR="00580FB2" w:rsidRPr="000C627D">
        <w:t>)</w:t>
      </w:r>
      <w:r w:rsidR="00580FB2" w:rsidRPr="000C627D">
        <w:tab/>
        <w:t xml:space="preserve">An engine is a </w:t>
      </w:r>
      <w:r w:rsidR="00580FB2" w:rsidRPr="000C627D">
        <w:rPr>
          <w:b/>
          <w:i/>
        </w:rPr>
        <w:t>scale model engine</w:t>
      </w:r>
      <w:r w:rsidR="00580FB2" w:rsidRPr="000C627D">
        <w:t xml:space="preserve"> if:</w:t>
      </w:r>
    </w:p>
    <w:p w:rsidR="006950CD" w:rsidRPr="000C627D" w:rsidRDefault="00580FB2" w:rsidP="00580FB2">
      <w:pPr>
        <w:pStyle w:val="paragraph"/>
      </w:pPr>
      <w:r w:rsidRPr="000C627D">
        <w:tab/>
        <w:t>(a)</w:t>
      </w:r>
      <w:r w:rsidRPr="000C627D">
        <w:tab/>
        <w:t>the engine is designed solely for use in a reduced</w:t>
      </w:r>
      <w:r w:rsidR="000C627D">
        <w:noBreakHyphen/>
      </w:r>
      <w:r w:rsidRPr="000C627D">
        <w:t>scale model of</w:t>
      </w:r>
      <w:r w:rsidR="006950CD" w:rsidRPr="000C627D">
        <w:t>:</w:t>
      </w:r>
    </w:p>
    <w:p w:rsidR="006950CD" w:rsidRPr="000C627D" w:rsidRDefault="006950CD" w:rsidP="006950CD">
      <w:pPr>
        <w:pStyle w:val="paragraphsub"/>
      </w:pPr>
      <w:r w:rsidRPr="000C627D">
        <w:tab/>
        <w:t>(</w:t>
      </w:r>
      <w:proofErr w:type="spellStart"/>
      <w:r w:rsidRPr="000C627D">
        <w:t>i</w:t>
      </w:r>
      <w:proofErr w:type="spellEnd"/>
      <w:r w:rsidRPr="000C627D">
        <w:t>)</w:t>
      </w:r>
      <w:r w:rsidRPr="000C627D">
        <w:tab/>
      </w:r>
      <w:r w:rsidR="00580FB2" w:rsidRPr="000C627D">
        <w:t>a</w:t>
      </w:r>
      <w:r w:rsidR="000979AE" w:rsidRPr="000C627D">
        <w:t xml:space="preserve"> </w:t>
      </w:r>
      <w:r w:rsidR="00580FB2" w:rsidRPr="000C627D">
        <w:t>vehicle</w:t>
      </w:r>
      <w:r w:rsidRPr="000C627D">
        <w:t xml:space="preserve"> (including a locomotive); or</w:t>
      </w:r>
    </w:p>
    <w:p w:rsidR="006950CD" w:rsidRPr="000C627D" w:rsidRDefault="006950CD" w:rsidP="006950CD">
      <w:pPr>
        <w:pStyle w:val="paragraphsub"/>
      </w:pPr>
      <w:r w:rsidRPr="000C627D">
        <w:tab/>
        <w:t>(ii)</w:t>
      </w:r>
      <w:r w:rsidRPr="000C627D">
        <w:tab/>
        <w:t>an aircraft;</w:t>
      </w:r>
      <w:r w:rsidR="00580FB2" w:rsidRPr="000C627D">
        <w:t xml:space="preserve"> or</w:t>
      </w:r>
    </w:p>
    <w:p w:rsidR="00580FB2" w:rsidRPr="000C627D" w:rsidRDefault="006950CD" w:rsidP="006950CD">
      <w:pPr>
        <w:pStyle w:val="paragraphsub"/>
      </w:pPr>
      <w:r w:rsidRPr="000C627D">
        <w:tab/>
        <w:t>(iii)</w:t>
      </w:r>
      <w:r w:rsidRPr="000C627D">
        <w:tab/>
      </w:r>
      <w:r w:rsidR="00550D27" w:rsidRPr="000C627D">
        <w:t xml:space="preserve">a </w:t>
      </w:r>
      <w:r w:rsidR="00580FB2" w:rsidRPr="000C627D">
        <w:t>vessel; and</w:t>
      </w:r>
    </w:p>
    <w:p w:rsidR="00580FB2" w:rsidRPr="000C627D" w:rsidRDefault="00580FB2" w:rsidP="00580FB2">
      <w:pPr>
        <w:pStyle w:val="paragraph"/>
      </w:pPr>
      <w:r w:rsidRPr="000C627D">
        <w:tab/>
        <w:t>(b)</w:t>
      </w:r>
      <w:r w:rsidRPr="000C627D">
        <w:tab/>
        <w:t>the model is not capable of transporting a person.</w:t>
      </w:r>
    </w:p>
    <w:p w:rsidR="00580FB2" w:rsidRPr="000C627D" w:rsidRDefault="002565F2" w:rsidP="00580FB2">
      <w:pPr>
        <w:pStyle w:val="subsection"/>
      </w:pPr>
      <w:r w:rsidRPr="000C627D">
        <w:tab/>
        <w:t>(4</w:t>
      </w:r>
      <w:r w:rsidR="00580FB2" w:rsidRPr="000C627D">
        <w:t>)</w:t>
      </w:r>
      <w:r w:rsidR="00580FB2" w:rsidRPr="000C627D">
        <w:tab/>
        <w:t xml:space="preserve">An engine is </w:t>
      </w:r>
      <w:r w:rsidR="00580FB2" w:rsidRPr="000C627D">
        <w:rPr>
          <w:b/>
          <w:i/>
        </w:rPr>
        <w:t>portable or transportable</w:t>
      </w:r>
      <w:r w:rsidR="00580FB2" w:rsidRPr="000C627D">
        <w:t xml:space="preserve"> if</w:t>
      </w:r>
      <w:r w:rsidR="0028074A" w:rsidRPr="000C627D">
        <w:t xml:space="preserve"> </w:t>
      </w:r>
      <w:r w:rsidR="00580FB2" w:rsidRPr="000C627D">
        <w:t xml:space="preserve">it is designed to be, and is capable of being, </w:t>
      </w:r>
      <w:r w:rsidR="0028074A" w:rsidRPr="000C627D">
        <w:t xml:space="preserve">(whether by itself or </w:t>
      </w:r>
      <w:r w:rsidR="00B915D8" w:rsidRPr="000C627D">
        <w:t xml:space="preserve">after being installed </w:t>
      </w:r>
      <w:r w:rsidR="0028074A" w:rsidRPr="000C627D">
        <w:t xml:space="preserve">in or on equipment) </w:t>
      </w:r>
      <w:r w:rsidR="00580FB2" w:rsidRPr="000C627D">
        <w:t>carried or moved from one location to another. Indicia of portability or transportability include wheels, skids, carrying handles, a dolly, a trailer or a platform.</w:t>
      </w:r>
    </w:p>
    <w:p w:rsidR="00510DD5" w:rsidRPr="000C627D" w:rsidRDefault="00510DD5" w:rsidP="00E75033">
      <w:pPr>
        <w:pStyle w:val="ActHead2"/>
        <w:pageBreakBefore/>
      </w:pPr>
      <w:bookmarkStart w:id="12" w:name="_Toc500512554"/>
      <w:r w:rsidRPr="000C627D">
        <w:rPr>
          <w:rStyle w:val="CharPartNo"/>
        </w:rPr>
        <w:t>Part</w:t>
      </w:r>
      <w:r w:rsidR="000C627D" w:rsidRPr="000C627D">
        <w:rPr>
          <w:rStyle w:val="CharPartNo"/>
        </w:rPr>
        <w:t> </w:t>
      </w:r>
      <w:r w:rsidR="003E3017" w:rsidRPr="000C627D">
        <w:rPr>
          <w:rStyle w:val="CharPartNo"/>
        </w:rPr>
        <w:t>3</w:t>
      </w:r>
      <w:r w:rsidRPr="000C627D">
        <w:t>—</w:t>
      </w:r>
      <w:r w:rsidRPr="000C627D">
        <w:rPr>
          <w:rStyle w:val="CharPartText"/>
        </w:rPr>
        <w:t>Australian Emissions Standards</w:t>
      </w:r>
      <w:bookmarkEnd w:id="12"/>
    </w:p>
    <w:p w:rsidR="00580FB2" w:rsidRPr="000C627D" w:rsidRDefault="00580FB2" w:rsidP="00580FB2">
      <w:pPr>
        <w:pStyle w:val="Header"/>
      </w:pPr>
      <w:r w:rsidRPr="000C627D">
        <w:rPr>
          <w:rStyle w:val="CharDivNo"/>
        </w:rPr>
        <w:t xml:space="preserve"> </w:t>
      </w:r>
      <w:r w:rsidRPr="000C627D">
        <w:rPr>
          <w:rStyle w:val="CharDivText"/>
        </w:rPr>
        <w:t xml:space="preserve"> </w:t>
      </w:r>
    </w:p>
    <w:p w:rsidR="00C20D22" w:rsidRPr="000C627D" w:rsidRDefault="006E7CE6" w:rsidP="00C20D22">
      <w:pPr>
        <w:pStyle w:val="ActHead5"/>
      </w:pPr>
      <w:bookmarkStart w:id="13" w:name="_Toc500512555"/>
      <w:r w:rsidRPr="000C627D">
        <w:rPr>
          <w:rStyle w:val="CharSectno"/>
        </w:rPr>
        <w:t>10</w:t>
      </w:r>
      <w:r w:rsidR="00C20D22" w:rsidRPr="000C627D">
        <w:t xml:space="preserve">  Purpose</w:t>
      </w:r>
      <w:r w:rsidR="00B50A55" w:rsidRPr="000C627D">
        <w:t>s</w:t>
      </w:r>
      <w:r w:rsidR="00C20D22" w:rsidRPr="000C627D">
        <w:t xml:space="preserve"> of this Part</w:t>
      </w:r>
      <w:bookmarkEnd w:id="13"/>
    </w:p>
    <w:p w:rsidR="00800733" w:rsidRPr="000C627D" w:rsidRDefault="00EE018B" w:rsidP="00C20D22">
      <w:pPr>
        <w:pStyle w:val="subsection"/>
      </w:pPr>
      <w:r w:rsidRPr="000C627D">
        <w:tab/>
      </w:r>
      <w:r w:rsidRPr="000C627D">
        <w:tab/>
      </w:r>
      <w:r w:rsidR="006467BB" w:rsidRPr="000C627D">
        <w:t>For the purposes of paragraph</w:t>
      </w:r>
      <w:r w:rsidR="000C627D" w:rsidRPr="000C627D">
        <w:t> </w:t>
      </w:r>
      <w:r w:rsidR="006467BB" w:rsidRPr="000C627D">
        <w:t>10(2)(a) of the Act, t</w:t>
      </w:r>
      <w:r w:rsidRPr="000C627D">
        <w:t>his Part sets out emissions standards for emissions</w:t>
      </w:r>
      <w:r w:rsidR="000C627D">
        <w:noBreakHyphen/>
      </w:r>
      <w:r w:rsidRPr="000C627D">
        <w:t>controlled products</w:t>
      </w:r>
      <w:r w:rsidR="006467BB" w:rsidRPr="000C627D">
        <w:t>.</w:t>
      </w:r>
    </w:p>
    <w:p w:rsidR="00507C41" w:rsidRPr="000C627D" w:rsidRDefault="006E7CE6" w:rsidP="00507C41">
      <w:pPr>
        <w:pStyle w:val="ActHead5"/>
      </w:pPr>
      <w:bookmarkStart w:id="14" w:name="_Toc500512556"/>
      <w:r w:rsidRPr="000C627D">
        <w:rPr>
          <w:rStyle w:val="CharSectno"/>
        </w:rPr>
        <w:t>11</w:t>
      </w:r>
      <w:r w:rsidR="00507C41" w:rsidRPr="000C627D">
        <w:t xml:space="preserve">  Australian emissions standard for </w:t>
      </w:r>
      <w:r w:rsidR="00AF29F1" w:rsidRPr="000C627D">
        <w:t>propulsion marine engine</w:t>
      </w:r>
      <w:r w:rsidR="00507C41" w:rsidRPr="000C627D">
        <w:t>s</w:t>
      </w:r>
      <w:bookmarkEnd w:id="14"/>
    </w:p>
    <w:p w:rsidR="00507C41" w:rsidRPr="000C627D" w:rsidRDefault="00507C41" w:rsidP="00F91E6E">
      <w:pPr>
        <w:pStyle w:val="subsection"/>
      </w:pPr>
      <w:r w:rsidRPr="000C627D">
        <w:tab/>
      </w:r>
      <w:r w:rsidR="00F91E6E" w:rsidRPr="000C627D">
        <w:t>(1)</w:t>
      </w:r>
      <w:r w:rsidRPr="000C627D">
        <w:tab/>
        <w:t xml:space="preserve">The </w:t>
      </w:r>
      <w:r w:rsidRPr="000C627D">
        <w:rPr>
          <w:b/>
          <w:i/>
        </w:rPr>
        <w:t>Australian emissions standard</w:t>
      </w:r>
      <w:r w:rsidRPr="000C627D">
        <w:t xml:space="preserve"> for a </w:t>
      </w:r>
      <w:r w:rsidR="00AF29F1" w:rsidRPr="000C627D">
        <w:t>propulsion marine engine</w:t>
      </w:r>
      <w:r w:rsidRPr="000C627D">
        <w:t xml:space="preserve"> consists of the requirements set out in</w:t>
      </w:r>
      <w:r w:rsidR="00F91E6E" w:rsidRPr="000C627D">
        <w:t xml:space="preserve"> this section</w:t>
      </w:r>
      <w:r w:rsidR="0092529B" w:rsidRPr="000C627D">
        <w:t xml:space="preserve"> and </w:t>
      </w:r>
      <w:r w:rsidR="00977804" w:rsidRPr="000C627D">
        <w:t>sub</w:t>
      </w:r>
      <w:r w:rsidR="0092529B" w:rsidRPr="000C627D">
        <w:t>section</w:t>
      </w:r>
      <w:r w:rsidR="000C627D" w:rsidRPr="000C627D">
        <w:t> </w:t>
      </w:r>
      <w:r w:rsidR="006E7CE6" w:rsidRPr="000C627D">
        <w:t>13</w:t>
      </w:r>
      <w:r w:rsidR="00977804" w:rsidRPr="000C627D">
        <w:t>(1)</w:t>
      </w:r>
      <w:r w:rsidR="00F80233" w:rsidRPr="000C627D">
        <w:t>.</w:t>
      </w:r>
    </w:p>
    <w:p w:rsidR="00507C41" w:rsidRPr="000C627D" w:rsidRDefault="00507C41" w:rsidP="00F91E6E">
      <w:pPr>
        <w:pStyle w:val="SubsectionHead"/>
      </w:pPr>
      <w:r w:rsidRPr="000C627D">
        <w:t>Technical requirements</w:t>
      </w:r>
    </w:p>
    <w:p w:rsidR="00CE6110" w:rsidRPr="000C627D" w:rsidRDefault="00CE6110" w:rsidP="00CE6110">
      <w:pPr>
        <w:pStyle w:val="subsection"/>
      </w:pPr>
      <w:r w:rsidRPr="000C627D">
        <w:tab/>
        <w:t>(2)</w:t>
      </w:r>
      <w:r w:rsidRPr="000C627D">
        <w:tab/>
        <w:t>The standard includes the requirements of the following provisions of 40 CFR 1045</w:t>
      </w:r>
      <w:r w:rsidR="00707CFF" w:rsidRPr="000C627D">
        <w:t xml:space="preserve">, subject to </w:t>
      </w:r>
      <w:r w:rsidR="000C627D" w:rsidRPr="000C627D">
        <w:t>subsections (</w:t>
      </w:r>
      <w:r w:rsidR="00707CFF" w:rsidRPr="000C627D">
        <w:t>3) to (5) of this section</w:t>
      </w:r>
      <w:r w:rsidRPr="000C627D">
        <w:t>:</w:t>
      </w:r>
    </w:p>
    <w:p w:rsidR="00CE6110" w:rsidRPr="000C627D" w:rsidRDefault="00CE6110" w:rsidP="00CE6110">
      <w:pPr>
        <w:pStyle w:val="paragraph"/>
      </w:pPr>
      <w:r w:rsidRPr="000C627D">
        <w:tab/>
        <w:t>(a)</w:t>
      </w:r>
      <w:r w:rsidRPr="000C627D">
        <w:tab/>
      </w:r>
      <w:r w:rsidR="00193FF1" w:rsidRPr="000C627D">
        <w:t>paragraph</w:t>
      </w:r>
      <w:r w:rsidR="000C627D" w:rsidRPr="000C627D">
        <w:t> </w:t>
      </w:r>
      <w:r w:rsidRPr="000C627D">
        <w:t>10</w:t>
      </w:r>
      <w:r w:rsidR="007D76FD" w:rsidRPr="000C627D">
        <w:t>45</w:t>
      </w:r>
      <w:r w:rsidRPr="000C627D">
        <w:t>.101</w:t>
      </w:r>
      <w:r w:rsidR="00193FF1" w:rsidRPr="000C627D">
        <w:t>(a)</w:t>
      </w:r>
      <w:r w:rsidRPr="000C627D">
        <w:t>;</w:t>
      </w:r>
    </w:p>
    <w:p w:rsidR="00CE6110" w:rsidRPr="000C627D" w:rsidRDefault="00CE6110" w:rsidP="00CE6110">
      <w:pPr>
        <w:pStyle w:val="paragraph"/>
      </w:pPr>
      <w:r w:rsidRPr="000C627D">
        <w:tab/>
        <w:t>(b)</w:t>
      </w:r>
      <w:r w:rsidRPr="000C627D">
        <w:tab/>
      </w:r>
      <w:r w:rsidR="007D76FD" w:rsidRPr="000C627D">
        <w:t>section</w:t>
      </w:r>
      <w:r w:rsidR="000C627D" w:rsidRPr="000C627D">
        <w:t> </w:t>
      </w:r>
      <w:r w:rsidRPr="000C627D">
        <w:t>10</w:t>
      </w:r>
      <w:r w:rsidR="007D76FD" w:rsidRPr="000C627D">
        <w:t>45</w:t>
      </w:r>
      <w:r w:rsidRPr="000C627D">
        <w:t xml:space="preserve">.103, other than </w:t>
      </w:r>
      <w:r w:rsidR="000C627D" w:rsidRPr="000C627D">
        <w:t>paragraph (</w:t>
      </w:r>
      <w:r w:rsidRPr="000C627D">
        <w:t>b);</w:t>
      </w:r>
    </w:p>
    <w:p w:rsidR="00CE6110" w:rsidRPr="000C627D" w:rsidRDefault="00CE6110" w:rsidP="00CE6110">
      <w:pPr>
        <w:pStyle w:val="paragraph"/>
      </w:pPr>
      <w:r w:rsidRPr="000C627D">
        <w:tab/>
        <w:t>(c)</w:t>
      </w:r>
      <w:r w:rsidRPr="000C627D">
        <w:tab/>
      </w:r>
      <w:r w:rsidR="007D76FD" w:rsidRPr="000C627D">
        <w:t>section</w:t>
      </w:r>
      <w:r w:rsidR="000C627D" w:rsidRPr="000C627D">
        <w:t> </w:t>
      </w:r>
      <w:r w:rsidRPr="000C627D">
        <w:t>10</w:t>
      </w:r>
      <w:r w:rsidR="007D76FD" w:rsidRPr="000C627D">
        <w:t>45</w:t>
      </w:r>
      <w:r w:rsidRPr="000C627D">
        <w:t>.105, other than</w:t>
      </w:r>
      <w:r w:rsidR="00C71E79" w:rsidRPr="000C627D">
        <w:t>:</w:t>
      </w:r>
    </w:p>
    <w:p w:rsidR="00C71E79" w:rsidRPr="000C627D" w:rsidRDefault="00A6426E" w:rsidP="00C71E79">
      <w:pPr>
        <w:pStyle w:val="paragraphsub"/>
        <w:rPr>
          <w:rFonts w:eastAsia="Arial Unicode MS"/>
        </w:rPr>
      </w:pPr>
      <w:r w:rsidRPr="000C627D">
        <w:rPr>
          <w:rFonts w:eastAsia="Arial Unicode MS"/>
        </w:rPr>
        <w:tab/>
        <w:t>(</w:t>
      </w:r>
      <w:proofErr w:type="spellStart"/>
      <w:r w:rsidRPr="000C627D">
        <w:rPr>
          <w:rFonts w:eastAsia="Arial Unicode MS"/>
        </w:rPr>
        <w:t>i</w:t>
      </w:r>
      <w:proofErr w:type="spellEnd"/>
      <w:r w:rsidRPr="000C627D">
        <w:rPr>
          <w:rFonts w:eastAsia="Arial Unicode MS"/>
        </w:rPr>
        <w:t>)</w:t>
      </w:r>
      <w:r w:rsidRPr="000C627D">
        <w:rPr>
          <w:rFonts w:eastAsia="Arial Unicode MS"/>
        </w:rPr>
        <w:tab/>
      </w:r>
      <w:r w:rsidR="00553C7C" w:rsidRPr="000C627D">
        <w:rPr>
          <w:rFonts w:eastAsia="Arial Unicode MS"/>
        </w:rPr>
        <w:t>T</w:t>
      </w:r>
      <w:r w:rsidRPr="000C627D">
        <w:rPr>
          <w:rFonts w:eastAsia="Arial Unicode MS"/>
        </w:rPr>
        <w:t>able 1, to the extent it relates to the 2010 model year</w:t>
      </w:r>
      <w:r w:rsidR="00C71E79" w:rsidRPr="000C627D">
        <w:rPr>
          <w:rFonts w:eastAsia="Arial Unicode MS"/>
        </w:rPr>
        <w:t>; and</w:t>
      </w:r>
    </w:p>
    <w:p w:rsidR="00C71E79" w:rsidRPr="000C627D" w:rsidRDefault="00C71E79" w:rsidP="00C71E79">
      <w:pPr>
        <w:pStyle w:val="paragraphsub"/>
        <w:rPr>
          <w:rFonts w:eastAsia="Arial Unicode MS"/>
        </w:rPr>
      </w:pPr>
      <w:r w:rsidRPr="000C627D">
        <w:rPr>
          <w:rFonts w:eastAsia="Arial Unicode MS"/>
        </w:rPr>
        <w:tab/>
        <w:t>(ii)</w:t>
      </w:r>
      <w:r w:rsidRPr="000C627D">
        <w:rPr>
          <w:rFonts w:eastAsia="Arial Unicode MS"/>
        </w:rPr>
        <w:tab/>
      </w:r>
      <w:r w:rsidR="000C627D" w:rsidRPr="000C627D">
        <w:rPr>
          <w:rFonts w:eastAsia="Arial Unicode MS"/>
        </w:rPr>
        <w:t>paragraph (</w:t>
      </w:r>
      <w:r w:rsidRPr="000C627D">
        <w:rPr>
          <w:rFonts w:eastAsia="Arial Unicode MS"/>
        </w:rPr>
        <w:t>b);</w:t>
      </w:r>
    </w:p>
    <w:p w:rsidR="00CE6110" w:rsidRPr="000C627D" w:rsidRDefault="00CE6110" w:rsidP="00CE6110">
      <w:pPr>
        <w:pStyle w:val="paragraph"/>
      </w:pPr>
      <w:r w:rsidRPr="000C627D">
        <w:tab/>
        <w:t>(d)</w:t>
      </w:r>
      <w:r w:rsidRPr="000C627D">
        <w:tab/>
      </w:r>
      <w:r w:rsidR="007D76FD" w:rsidRPr="000C627D">
        <w:t>section</w:t>
      </w:r>
      <w:r w:rsidR="000C627D" w:rsidRPr="000C627D">
        <w:t> </w:t>
      </w:r>
      <w:r w:rsidRPr="000C627D">
        <w:t>10</w:t>
      </w:r>
      <w:r w:rsidR="007D76FD" w:rsidRPr="000C627D">
        <w:t>45</w:t>
      </w:r>
      <w:r w:rsidRPr="000C627D">
        <w:t>.107</w:t>
      </w:r>
      <w:r w:rsidR="007D76FD" w:rsidRPr="000C627D">
        <w:t>;</w:t>
      </w:r>
    </w:p>
    <w:p w:rsidR="00CE6110" w:rsidRPr="000C627D" w:rsidRDefault="00CE6110" w:rsidP="00CE6110">
      <w:pPr>
        <w:pStyle w:val="paragraph"/>
      </w:pPr>
      <w:r w:rsidRPr="000C627D">
        <w:tab/>
        <w:t>(e)</w:t>
      </w:r>
      <w:r w:rsidRPr="000C627D">
        <w:tab/>
      </w:r>
      <w:r w:rsidR="007D76FD" w:rsidRPr="000C627D">
        <w:t>section</w:t>
      </w:r>
      <w:r w:rsidR="000C627D" w:rsidRPr="000C627D">
        <w:t> </w:t>
      </w:r>
      <w:r w:rsidRPr="000C627D">
        <w:t>1045.110</w:t>
      </w:r>
      <w:r w:rsidR="007D76FD" w:rsidRPr="000C627D">
        <w:t>;</w:t>
      </w:r>
    </w:p>
    <w:p w:rsidR="00CE6110" w:rsidRPr="000C627D" w:rsidRDefault="00CE6110" w:rsidP="00CE6110">
      <w:pPr>
        <w:pStyle w:val="paragraph"/>
      </w:pPr>
      <w:r w:rsidRPr="000C627D">
        <w:tab/>
        <w:t>(f)</w:t>
      </w:r>
      <w:r w:rsidRPr="000C627D">
        <w:tab/>
      </w:r>
      <w:r w:rsidR="007D76FD" w:rsidRPr="000C627D">
        <w:t>section</w:t>
      </w:r>
      <w:r w:rsidR="000C627D" w:rsidRPr="000C627D">
        <w:t> </w:t>
      </w:r>
      <w:r w:rsidRPr="000C627D">
        <w:t xml:space="preserve">1045.115, other than </w:t>
      </w:r>
      <w:r w:rsidR="000C627D" w:rsidRPr="000C627D">
        <w:t>paragraph (</w:t>
      </w:r>
      <w:r w:rsidRPr="000C627D">
        <w:t>c)</w:t>
      </w:r>
      <w:r w:rsidR="00553C7C" w:rsidRPr="000C627D">
        <w:t>;</w:t>
      </w:r>
    </w:p>
    <w:p w:rsidR="00CE6110" w:rsidRPr="000C627D" w:rsidRDefault="00CE712A" w:rsidP="00CE6110">
      <w:pPr>
        <w:pStyle w:val="paragraph"/>
      </w:pPr>
      <w:r w:rsidRPr="000C627D">
        <w:tab/>
        <w:t>(g</w:t>
      </w:r>
      <w:r w:rsidR="00CE6110" w:rsidRPr="000C627D">
        <w:t>)</w:t>
      </w:r>
      <w:r w:rsidR="00CE6110" w:rsidRPr="000C627D">
        <w:tab/>
      </w:r>
      <w:r w:rsidR="007D76FD" w:rsidRPr="000C627D">
        <w:t>section</w:t>
      </w:r>
      <w:r w:rsidR="000C627D" w:rsidRPr="000C627D">
        <w:t> </w:t>
      </w:r>
      <w:r w:rsidR="00CE6110" w:rsidRPr="000C627D">
        <w:t xml:space="preserve">1045.130, other than </w:t>
      </w:r>
      <w:r w:rsidR="000C627D" w:rsidRPr="000C627D">
        <w:t>paragraphs (</w:t>
      </w:r>
      <w:r w:rsidR="00CE6110" w:rsidRPr="000C627D">
        <w:t>b)(2), (4) and (8);</w:t>
      </w:r>
    </w:p>
    <w:p w:rsidR="00CE6110" w:rsidRPr="000C627D" w:rsidRDefault="00CE712A" w:rsidP="00CE6110">
      <w:pPr>
        <w:pStyle w:val="paragraph"/>
      </w:pPr>
      <w:r w:rsidRPr="000C627D">
        <w:tab/>
        <w:t>(h</w:t>
      </w:r>
      <w:r w:rsidR="00CE6110" w:rsidRPr="000C627D">
        <w:t>)</w:t>
      </w:r>
      <w:r w:rsidR="00CE6110" w:rsidRPr="000C627D">
        <w:tab/>
      </w:r>
      <w:r w:rsidR="007D76FD" w:rsidRPr="000C627D">
        <w:t>section</w:t>
      </w:r>
      <w:r w:rsidR="000C627D" w:rsidRPr="000C627D">
        <w:t> </w:t>
      </w:r>
      <w:r w:rsidR="00CE6110" w:rsidRPr="000C627D">
        <w:t>1045.140</w:t>
      </w:r>
      <w:r w:rsidR="007D76FD" w:rsidRPr="000C627D">
        <w:t>;</w:t>
      </w:r>
    </w:p>
    <w:p w:rsidR="00CE712A" w:rsidRPr="000C627D" w:rsidRDefault="00CE712A" w:rsidP="00CE6110">
      <w:pPr>
        <w:pStyle w:val="paragraph"/>
      </w:pPr>
      <w:r w:rsidRPr="000C627D">
        <w:tab/>
        <w:t>(</w:t>
      </w:r>
      <w:proofErr w:type="spellStart"/>
      <w:r w:rsidRPr="000C627D">
        <w:t>i</w:t>
      </w:r>
      <w:proofErr w:type="spellEnd"/>
      <w:r w:rsidRPr="000C627D">
        <w:t>)</w:t>
      </w:r>
      <w:r w:rsidRPr="000C627D">
        <w:tab/>
        <w:t>section</w:t>
      </w:r>
      <w:r w:rsidR="000C627D" w:rsidRPr="000C627D">
        <w:t> </w:t>
      </w:r>
      <w:r w:rsidRPr="000C627D">
        <w:t>1045.230</w:t>
      </w:r>
      <w:r w:rsidR="0086498A" w:rsidRPr="000C627D">
        <w:t xml:space="preserve">, other than </w:t>
      </w:r>
      <w:r w:rsidR="000C627D" w:rsidRPr="000C627D">
        <w:t>paragraph (</w:t>
      </w:r>
      <w:r w:rsidR="0086498A" w:rsidRPr="000C627D">
        <w:t>d)</w:t>
      </w:r>
      <w:r w:rsidRPr="000C627D">
        <w:t>;</w:t>
      </w:r>
    </w:p>
    <w:p w:rsidR="00CE712A" w:rsidRPr="000C627D" w:rsidRDefault="00CE712A" w:rsidP="00CE6110">
      <w:pPr>
        <w:pStyle w:val="paragraph"/>
      </w:pPr>
      <w:r w:rsidRPr="000C627D">
        <w:tab/>
        <w:t>(j)</w:t>
      </w:r>
      <w:r w:rsidRPr="000C627D">
        <w:tab/>
        <w:t>section</w:t>
      </w:r>
      <w:r w:rsidR="000C627D" w:rsidRPr="000C627D">
        <w:t> </w:t>
      </w:r>
      <w:r w:rsidRPr="000C627D">
        <w:t xml:space="preserve">1045.235, other than </w:t>
      </w:r>
      <w:r w:rsidR="000C627D" w:rsidRPr="000C627D">
        <w:t>paragraph (</w:t>
      </w:r>
      <w:r w:rsidRPr="000C627D">
        <w:t>d);</w:t>
      </w:r>
    </w:p>
    <w:p w:rsidR="00CE712A" w:rsidRPr="000C627D" w:rsidRDefault="00CE712A" w:rsidP="00CE712A">
      <w:pPr>
        <w:pStyle w:val="paragraph"/>
      </w:pPr>
      <w:r w:rsidRPr="000C627D">
        <w:tab/>
        <w:t>(k)</w:t>
      </w:r>
      <w:r w:rsidRPr="000C627D">
        <w:tab/>
        <w:t>section</w:t>
      </w:r>
      <w:r w:rsidR="000C627D" w:rsidRPr="000C627D">
        <w:t> </w:t>
      </w:r>
      <w:r w:rsidR="00CE6110" w:rsidRPr="000C627D">
        <w:t>1045.2</w:t>
      </w:r>
      <w:r w:rsidRPr="000C627D">
        <w:t>4</w:t>
      </w:r>
      <w:r w:rsidR="00CE6110" w:rsidRPr="000C627D">
        <w:t>0</w:t>
      </w:r>
      <w:r w:rsidRPr="000C627D">
        <w:t>;</w:t>
      </w:r>
    </w:p>
    <w:p w:rsidR="00CE6110" w:rsidRPr="000C627D" w:rsidRDefault="00CE712A" w:rsidP="00CE712A">
      <w:pPr>
        <w:pStyle w:val="paragraph"/>
      </w:pPr>
      <w:r w:rsidRPr="000C627D">
        <w:tab/>
        <w:t>(l)</w:t>
      </w:r>
      <w:r w:rsidRPr="000C627D">
        <w:tab/>
        <w:t>section</w:t>
      </w:r>
      <w:r w:rsidR="000C627D" w:rsidRPr="000C627D">
        <w:t> </w:t>
      </w:r>
      <w:r w:rsidR="00CE6110" w:rsidRPr="000C627D">
        <w:t>1045.245</w:t>
      </w:r>
      <w:r w:rsidR="007D76FD" w:rsidRPr="000C627D">
        <w:t>;</w:t>
      </w:r>
    </w:p>
    <w:p w:rsidR="00CE6110" w:rsidRPr="000C627D" w:rsidRDefault="00CE6110" w:rsidP="00CE6110">
      <w:pPr>
        <w:pStyle w:val="paragraph"/>
      </w:pPr>
      <w:r w:rsidRPr="000C627D">
        <w:tab/>
        <w:t>(</w:t>
      </w:r>
      <w:r w:rsidR="00CE712A" w:rsidRPr="000C627D">
        <w:t>m</w:t>
      </w:r>
      <w:r w:rsidR="00550D27" w:rsidRPr="000C627D">
        <w:t>)</w:t>
      </w:r>
      <w:r w:rsidR="00550D27" w:rsidRPr="000C627D">
        <w:tab/>
        <w:t>s</w:t>
      </w:r>
      <w:r w:rsidRPr="000C627D">
        <w:t>ubpart</w:t>
      </w:r>
      <w:r w:rsidR="000C627D" w:rsidRPr="000C627D">
        <w:t> </w:t>
      </w:r>
      <w:r w:rsidRPr="000C627D">
        <w:t>F</w:t>
      </w:r>
      <w:r w:rsidR="00E04D71" w:rsidRPr="000C627D">
        <w:t>, other than para</w:t>
      </w:r>
      <w:r w:rsidR="00C71E79" w:rsidRPr="000C627D">
        <w:t>graph</w:t>
      </w:r>
      <w:r w:rsidR="000C627D" w:rsidRPr="000C627D">
        <w:t> </w:t>
      </w:r>
      <w:r w:rsidR="00C71E79" w:rsidRPr="000C627D">
        <w:t>1045.501(a</w:t>
      </w:r>
      <w:r w:rsidR="00E04D71" w:rsidRPr="000C627D">
        <w:t>)</w:t>
      </w:r>
      <w:r w:rsidR="007D76FD" w:rsidRPr="000C627D">
        <w:t>;</w:t>
      </w:r>
    </w:p>
    <w:p w:rsidR="00CE6110" w:rsidRPr="000C627D" w:rsidRDefault="00CE712A" w:rsidP="00CE6110">
      <w:pPr>
        <w:pStyle w:val="paragraph"/>
      </w:pPr>
      <w:r w:rsidRPr="000C627D">
        <w:tab/>
        <w:t>(n</w:t>
      </w:r>
      <w:r w:rsidR="00CE6110" w:rsidRPr="000C627D">
        <w:t>)</w:t>
      </w:r>
      <w:r w:rsidR="00CE6110" w:rsidRPr="000C627D">
        <w:tab/>
      </w:r>
      <w:r w:rsidR="007D76FD" w:rsidRPr="000C627D">
        <w:t>section</w:t>
      </w:r>
      <w:r w:rsidR="000C627D" w:rsidRPr="000C627D">
        <w:t> </w:t>
      </w:r>
      <w:r w:rsidR="00CE6110" w:rsidRPr="000C627D">
        <w:t>1045.660</w:t>
      </w:r>
      <w:r w:rsidRPr="000C627D">
        <w:t xml:space="preserve">, other than </w:t>
      </w:r>
      <w:r w:rsidR="000C627D" w:rsidRPr="000C627D">
        <w:t>paragraph (</w:t>
      </w:r>
      <w:r w:rsidRPr="000C627D">
        <w:t>d)</w:t>
      </w:r>
      <w:r w:rsidR="007D76FD" w:rsidRPr="000C627D">
        <w:t>;</w:t>
      </w:r>
    </w:p>
    <w:p w:rsidR="00567365" w:rsidRPr="000C627D" w:rsidRDefault="00CE712A" w:rsidP="00CE6110">
      <w:pPr>
        <w:pStyle w:val="paragraph"/>
      </w:pPr>
      <w:r w:rsidRPr="000C627D">
        <w:tab/>
        <w:t>(o</w:t>
      </w:r>
      <w:r w:rsidR="00CE6110" w:rsidRPr="000C627D">
        <w:t>)</w:t>
      </w:r>
      <w:r w:rsidR="00CE6110" w:rsidRPr="000C627D">
        <w:tab/>
      </w:r>
      <w:r w:rsidR="007D76FD" w:rsidRPr="000C627D">
        <w:t>section</w:t>
      </w:r>
      <w:r w:rsidR="000C627D" w:rsidRPr="000C627D">
        <w:t> </w:t>
      </w:r>
      <w:r w:rsidR="00CE6110" w:rsidRPr="000C627D">
        <w:t>1045.801, other than the</w:t>
      </w:r>
      <w:r w:rsidR="00A304D6" w:rsidRPr="000C627D">
        <w:t xml:space="preserve"> definitions mentioned in </w:t>
      </w:r>
      <w:r w:rsidR="000C627D" w:rsidRPr="000C627D">
        <w:t>subsection (</w:t>
      </w:r>
      <w:r w:rsidR="00A304D6" w:rsidRPr="000C627D">
        <w:t>4) of this section;</w:t>
      </w:r>
    </w:p>
    <w:p w:rsidR="00CE6110" w:rsidRPr="000C627D" w:rsidRDefault="00CE6110" w:rsidP="00CE6110">
      <w:pPr>
        <w:pStyle w:val="paragraph"/>
      </w:pPr>
      <w:r w:rsidRPr="000C627D">
        <w:tab/>
        <w:t>(</w:t>
      </w:r>
      <w:r w:rsidR="00CE712A" w:rsidRPr="000C627D">
        <w:t>p</w:t>
      </w:r>
      <w:r w:rsidRPr="000C627D">
        <w:t>)</w:t>
      </w:r>
      <w:r w:rsidRPr="000C627D">
        <w:tab/>
      </w:r>
      <w:r w:rsidR="007D76FD" w:rsidRPr="000C627D">
        <w:t>section</w:t>
      </w:r>
      <w:r w:rsidR="000C627D" w:rsidRPr="000C627D">
        <w:t> </w:t>
      </w:r>
      <w:r w:rsidRPr="000C627D">
        <w:t>1045.805</w:t>
      </w:r>
      <w:r w:rsidR="004B40C0" w:rsidRPr="000C627D">
        <w:t xml:space="preserve">, other than the acronyms mentioned in </w:t>
      </w:r>
      <w:r w:rsidR="000C627D" w:rsidRPr="000C627D">
        <w:t>subsection (</w:t>
      </w:r>
      <w:r w:rsidR="004B40C0" w:rsidRPr="000C627D">
        <w:t>5) of this section</w:t>
      </w:r>
      <w:r w:rsidR="007D76FD" w:rsidRPr="000C627D">
        <w:t>;</w:t>
      </w:r>
    </w:p>
    <w:p w:rsidR="00CE6110" w:rsidRPr="000C627D" w:rsidRDefault="00CE712A" w:rsidP="00CE6110">
      <w:pPr>
        <w:pStyle w:val="paragraph"/>
      </w:pPr>
      <w:r w:rsidRPr="000C627D">
        <w:tab/>
        <w:t>(</w:t>
      </w:r>
      <w:r w:rsidR="00E04D71" w:rsidRPr="000C627D">
        <w:t>q</w:t>
      </w:r>
      <w:r w:rsidR="00CE6110" w:rsidRPr="000C627D">
        <w:t>)</w:t>
      </w:r>
      <w:r w:rsidR="00CE6110" w:rsidRPr="000C627D">
        <w:tab/>
        <w:t>Appendix II</w:t>
      </w:r>
      <w:r w:rsidR="007D76FD" w:rsidRPr="000C627D">
        <w:t>.</w:t>
      </w:r>
    </w:p>
    <w:p w:rsidR="00CE712A" w:rsidRPr="000C627D" w:rsidRDefault="00CE712A" w:rsidP="00CE712A">
      <w:pPr>
        <w:pStyle w:val="subsection"/>
        <w:rPr>
          <w:rFonts w:eastAsia="Arial Unicode MS"/>
        </w:rPr>
      </w:pPr>
      <w:r w:rsidRPr="000C627D">
        <w:rPr>
          <w:rFonts w:eastAsia="Arial Unicode MS"/>
        </w:rPr>
        <w:tab/>
        <w:t>(3)</w:t>
      </w:r>
      <w:r w:rsidRPr="000C627D">
        <w:rPr>
          <w:rFonts w:eastAsia="Arial Unicode MS"/>
        </w:rPr>
        <w:tab/>
        <w:t xml:space="preserve">For the purposes of </w:t>
      </w:r>
      <w:r w:rsidR="000C627D" w:rsidRPr="000C627D">
        <w:rPr>
          <w:rFonts w:eastAsia="Arial Unicode MS"/>
        </w:rPr>
        <w:t>subsection (</w:t>
      </w:r>
      <w:r w:rsidRPr="000C627D">
        <w:rPr>
          <w:rFonts w:eastAsia="Arial Unicode MS"/>
        </w:rPr>
        <w:t>2):</w:t>
      </w:r>
    </w:p>
    <w:p w:rsidR="00CE712A" w:rsidRPr="000C627D" w:rsidRDefault="00CE712A" w:rsidP="00CE712A">
      <w:pPr>
        <w:pStyle w:val="paragraph"/>
      </w:pPr>
      <w:r w:rsidRPr="000C627D">
        <w:tab/>
        <w:t>(a)</w:t>
      </w:r>
      <w:r w:rsidRPr="000C627D">
        <w:tab/>
        <w:t>40 CFR</w:t>
      </w:r>
      <w:r w:rsidR="00DD3E74" w:rsidRPr="000C627D">
        <w:t xml:space="preserve"> is taken to apply to </w:t>
      </w:r>
      <w:r w:rsidRPr="000C627D">
        <w:t>a propulsion marine engine (within the meaning of this instrument)</w:t>
      </w:r>
      <w:r w:rsidR="00DD3E74" w:rsidRPr="000C627D">
        <w:t xml:space="preserve"> in the same way as 40 CFR applies to a</w:t>
      </w:r>
      <w:r w:rsidR="00DD3E74" w:rsidRPr="000C627D">
        <w:rPr>
          <w:lang w:eastAsia="en-US"/>
        </w:rPr>
        <w:t xml:space="preserve"> new, spark</w:t>
      </w:r>
      <w:r w:rsidR="000C627D">
        <w:rPr>
          <w:lang w:eastAsia="en-US"/>
        </w:rPr>
        <w:noBreakHyphen/>
      </w:r>
      <w:r w:rsidR="00DD3E74" w:rsidRPr="000C627D">
        <w:rPr>
          <w:lang w:eastAsia="en-US"/>
        </w:rPr>
        <w:t>ignition propulsion marine engine (within the meaning of 40 CFR 1045)</w:t>
      </w:r>
      <w:r w:rsidRPr="000C627D">
        <w:t>; and</w:t>
      </w:r>
    </w:p>
    <w:p w:rsidR="00CE712A" w:rsidRPr="000C627D" w:rsidRDefault="00CE712A" w:rsidP="00CE712A">
      <w:pPr>
        <w:pStyle w:val="paragraph"/>
      </w:pPr>
      <w:r w:rsidRPr="000C627D">
        <w:tab/>
        <w:t>(b)</w:t>
      </w:r>
      <w:r w:rsidRPr="000C627D">
        <w:tab/>
        <w:t xml:space="preserve">a reference in 40 CFR to </w:t>
      </w:r>
      <w:r w:rsidR="003C03C4" w:rsidRPr="000C627D">
        <w:t>“</w:t>
      </w:r>
      <w:r w:rsidRPr="000C627D">
        <w:t>we</w:t>
      </w:r>
      <w:r w:rsidR="003C03C4" w:rsidRPr="000C627D">
        <w:t>”</w:t>
      </w:r>
      <w:r w:rsidRPr="000C627D">
        <w:t xml:space="preserve"> or </w:t>
      </w:r>
      <w:r w:rsidR="003C03C4" w:rsidRPr="000C627D">
        <w:t>“</w:t>
      </w:r>
      <w:r w:rsidRPr="000C627D">
        <w:t>us</w:t>
      </w:r>
      <w:r w:rsidR="003C03C4" w:rsidRPr="000C627D">
        <w:t>”</w:t>
      </w:r>
      <w:r w:rsidRPr="000C627D">
        <w:t xml:space="preserve"> is taken to be a reference to the Secretary (within the meaning of the </w:t>
      </w:r>
      <w:r w:rsidRPr="000C627D">
        <w:rPr>
          <w:i/>
        </w:rPr>
        <w:t>Product Emissions Standards Act 2017</w:t>
      </w:r>
      <w:r w:rsidRPr="000C627D">
        <w:t xml:space="preserve">), and a reference to </w:t>
      </w:r>
      <w:r w:rsidR="003C03C4" w:rsidRPr="000C627D">
        <w:t>“</w:t>
      </w:r>
      <w:r w:rsidRPr="000C627D">
        <w:t>our</w:t>
      </w:r>
      <w:r w:rsidR="003C03C4" w:rsidRPr="000C627D">
        <w:t>”</w:t>
      </w:r>
      <w:r w:rsidRPr="000C627D">
        <w:t xml:space="preserve"> is modified in a</w:t>
      </w:r>
      <w:r w:rsidR="0050314A" w:rsidRPr="000C627D">
        <w:t xml:space="preserve"> corresponding</w:t>
      </w:r>
      <w:r w:rsidRPr="000C627D">
        <w:t xml:space="preserve"> way; and</w:t>
      </w:r>
    </w:p>
    <w:p w:rsidR="0086498A" w:rsidRPr="000C627D" w:rsidRDefault="00CE712A" w:rsidP="00CE712A">
      <w:pPr>
        <w:pStyle w:val="paragraph"/>
      </w:pPr>
      <w:r w:rsidRPr="000C627D">
        <w:tab/>
        <w:t>(c)</w:t>
      </w:r>
      <w:r w:rsidRPr="000C627D">
        <w:tab/>
        <w:t>a provision of 40 CFR is disregarded to the extent it relates to</w:t>
      </w:r>
      <w:r w:rsidR="0086498A" w:rsidRPr="000C627D">
        <w:t>:</w:t>
      </w:r>
    </w:p>
    <w:p w:rsidR="0086498A" w:rsidRPr="000C627D" w:rsidRDefault="0086498A" w:rsidP="0086498A">
      <w:pPr>
        <w:pStyle w:val="paragraphsub"/>
      </w:pPr>
      <w:r w:rsidRPr="000C627D">
        <w:tab/>
        <w:t>(</w:t>
      </w:r>
      <w:proofErr w:type="spellStart"/>
      <w:r w:rsidRPr="000C627D">
        <w:t>i</w:t>
      </w:r>
      <w:proofErr w:type="spellEnd"/>
      <w:r w:rsidRPr="000C627D">
        <w:t>)</w:t>
      </w:r>
      <w:r w:rsidRPr="000C627D">
        <w:tab/>
        <w:t xml:space="preserve">averaging, banking, and trading (or </w:t>
      </w:r>
      <w:proofErr w:type="spellStart"/>
      <w:r w:rsidR="00CE712A" w:rsidRPr="000C627D">
        <w:t>ABT</w:t>
      </w:r>
      <w:proofErr w:type="spellEnd"/>
      <w:r w:rsidRPr="000C627D">
        <w:t>); or</w:t>
      </w:r>
    </w:p>
    <w:p w:rsidR="0086498A" w:rsidRPr="000C627D" w:rsidRDefault="0086498A" w:rsidP="0086498A">
      <w:pPr>
        <w:pStyle w:val="paragraphsub"/>
      </w:pPr>
      <w:r w:rsidRPr="000C627D">
        <w:tab/>
        <w:t>(ii)</w:t>
      </w:r>
      <w:r w:rsidRPr="000C627D">
        <w:tab/>
      </w:r>
      <w:r w:rsidR="00CE712A" w:rsidRPr="000C627D">
        <w:t>the Clean Air Act</w:t>
      </w:r>
      <w:r w:rsidRPr="000C627D">
        <w:t>; or</w:t>
      </w:r>
    </w:p>
    <w:p w:rsidR="0086498A" w:rsidRPr="000C627D" w:rsidRDefault="0086498A" w:rsidP="0086498A">
      <w:pPr>
        <w:pStyle w:val="paragraphsub"/>
      </w:pPr>
      <w:r w:rsidRPr="000C627D">
        <w:tab/>
        <w:t>(iii)</w:t>
      </w:r>
      <w:r w:rsidRPr="000C627D">
        <w:tab/>
      </w:r>
      <w:r w:rsidR="00CE712A" w:rsidRPr="000C627D">
        <w:t xml:space="preserve">family emissions limits (or </w:t>
      </w:r>
      <w:proofErr w:type="spellStart"/>
      <w:r w:rsidR="00CE712A" w:rsidRPr="000C627D">
        <w:t>FEL</w:t>
      </w:r>
      <w:proofErr w:type="spellEnd"/>
      <w:r w:rsidR="00CE712A" w:rsidRPr="000C627D">
        <w:t>)</w:t>
      </w:r>
      <w:r w:rsidRPr="000C627D">
        <w:t>;</w:t>
      </w:r>
      <w:r w:rsidR="003E5395" w:rsidRPr="000C627D">
        <w:t xml:space="preserve"> and</w:t>
      </w:r>
    </w:p>
    <w:p w:rsidR="00C71E79" w:rsidRPr="000C627D" w:rsidRDefault="00C71E79" w:rsidP="00C71E79">
      <w:pPr>
        <w:pStyle w:val="paragraph"/>
      </w:pPr>
      <w:r w:rsidRPr="000C627D">
        <w:tab/>
        <w:t>(d)</w:t>
      </w:r>
      <w:r w:rsidRPr="000C627D">
        <w:tab/>
        <w:t>the following references</w:t>
      </w:r>
      <w:r w:rsidR="002A727F" w:rsidRPr="000C627D">
        <w:t xml:space="preserve"> in 40 CFR 1045</w:t>
      </w:r>
      <w:r w:rsidRPr="000C627D">
        <w:t xml:space="preserve"> to model years are disregarded:</w:t>
      </w:r>
    </w:p>
    <w:p w:rsidR="00C71E79" w:rsidRPr="000C627D" w:rsidRDefault="00C71E79" w:rsidP="00C71E79">
      <w:pPr>
        <w:pStyle w:val="paragraphsub"/>
      </w:pPr>
      <w:r w:rsidRPr="000C627D">
        <w:tab/>
        <w:t>(</w:t>
      </w:r>
      <w:proofErr w:type="spellStart"/>
      <w:r w:rsidRPr="000C627D">
        <w:t>i</w:t>
      </w:r>
      <w:proofErr w:type="spellEnd"/>
      <w:r w:rsidRPr="000C627D">
        <w:t>)</w:t>
      </w:r>
      <w:r w:rsidRPr="000C627D">
        <w:tab/>
        <w:t xml:space="preserve">the words </w:t>
      </w:r>
      <w:r w:rsidR="003C03C4" w:rsidRPr="000C627D">
        <w:t>“</w:t>
      </w:r>
      <w:r w:rsidRPr="000C627D">
        <w:t>Starting in the 2010 model year,</w:t>
      </w:r>
      <w:r w:rsidR="003C03C4" w:rsidRPr="000C627D">
        <w:t>”</w:t>
      </w:r>
      <w:r w:rsidRPr="000C627D">
        <w:t xml:space="preserve"> in paragraph</w:t>
      </w:r>
      <w:r w:rsidR="000C627D" w:rsidRPr="000C627D">
        <w:t> </w:t>
      </w:r>
      <w:r w:rsidRPr="000C627D">
        <w:t>1045.103(a);</w:t>
      </w:r>
    </w:p>
    <w:p w:rsidR="00C71E79" w:rsidRPr="000C627D" w:rsidRDefault="00C71E79" w:rsidP="00C71E79">
      <w:pPr>
        <w:pStyle w:val="paragraphsub"/>
      </w:pPr>
      <w:r w:rsidRPr="000C627D">
        <w:tab/>
        <w:t>(ii)</w:t>
      </w:r>
      <w:r w:rsidRPr="000C627D">
        <w:tab/>
        <w:t xml:space="preserve">the words </w:t>
      </w:r>
      <w:r w:rsidR="003C03C4" w:rsidRPr="000C627D">
        <w:t>“</w:t>
      </w:r>
      <w:r w:rsidRPr="000C627D">
        <w:t>Starting in the 2010 model year,</w:t>
      </w:r>
      <w:r w:rsidR="003C03C4" w:rsidRPr="000C627D">
        <w:t>”</w:t>
      </w:r>
      <w:r w:rsidRPr="000C627D">
        <w:t xml:space="preserve"> in paragraph</w:t>
      </w:r>
      <w:r w:rsidR="000C627D" w:rsidRPr="000C627D">
        <w:t> </w:t>
      </w:r>
      <w:r w:rsidRPr="000C627D">
        <w:t>1045.105(a)</w:t>
      </w:r>
      <w:r w:rsidR="00553C7C" w:rsidRPr="000C627D">
        <w:t>;</w:t>
      </w:r>
    </w:p>
    <w:p w:rsidR="00C71E79" w:rsidRPr="000C627D" w:rsidRDefault="00553C7C" w:rsidP="00C71E79">
      <w:pPr>
        <w:pStyle w:val="paragraphsub"/>
      </w:pPr>
      <w:r w:rsidRPr="000C627D">
        <w:tab/>
        <w:t>(iii)</w:t>
      </w:r>
      <w:r w:rsidRPr="000C627D">
        <w:tab/>
        <w:t>the first column of T</w:t>
      </w:r>
      <w:r w:rsidR="00C71E79" w:rsidRPr="000C627D">
        <w:t>able 1 to section</w:t>
      </w:r>
      <w:r w:rsidR="000C627D" w:rsidRPr="000C627D">
        <w:t> </w:t>
      </w:r>
      <w:r w:rsidR="00C71E79" w:rsidRPr="000C627D">
        <w:t>1045.105;</w:t>
      </w:r>
    </w:p>
    <w:p w:rsidR="00C71E79" w:rsidRPr="000C627D" w:rsidRDefault="00C71E79" w:rsidP="00C71E79">
      <w:pPr>
        <w:pStyle w:val="paragraphsub"/>
      </w:pPr>
      <w:r w:rsidRPr="000C627D">
        <w:tab/>
        <w:t>(iv)</w:t>
      </w:r>
      <w:r w:rsidRPr="000C627D">
        <w:tab/>
        <w:t xml:space="preserve">the words </w:t>
      </w:r>
      <w:r w:rsidR="003C03C4" w:rsidRPr="000C627D">
        <w:t>“</w:t>
      </w:r>
      <w:r w:rsidRPr="000C627D">
        <w:t>Starting in the 2013 model year</w:t>
      </w:r>
      <w:r w:rsidR="003C03C4" w:rsidRPr="000C627D">
        <w:t>”</w:t>
      </w:r>
      <w:r w:rsidRPr="000C627D">
        <w:t xml:space="preserve"> in paragraph</w:t>
      </w:r>
      <w:r w:rsidR="000C627D" w:rsidRPr="000C627D">
        <w:t> </w:t>
      </w:r>
      <w:r w:rsidRPr="000C627D">
        <w:t>1045.115(b);</w:t>
      </w:r>
    </w:p>
    <w:p w:rsidR="00C71E79" w:rsidRPr="000C627D" w:rsidRDefault="00C71E79" w:rsidP="00C71E79">
      <w:pPr>
        <w:pStyle w:val="paragraphsub"/>
      </w:pPr>
      <w:r w:rsidRPr="000C627D">
        <w:tab/>
        <w:t>(v)</w:t>
      </w:r>
      <w:r w:rsidRPr="000C627D">
        <w:tab/>
        <w:t>the second sentence of paragraph</w:t>
      </w:r>
      <w:r w:rsidR="000C627D" w:rsidRPr="000C627D">
        <w:t> </w:t>
      </w:r>
      <w:r w:rsidRPr="000C627D">
        <w:t>1045.230(a);</w:t>
      </w:r>
    </w:p>
    <w:p w:rsidR="00C71E79" w:rsidRPr="000C627D" w:rsidRDefault="00C71E79" w:rsidP="00C71E79">
      <w:pPr>
        <w:pStyle w:val="paragraphsub"/>
      </w:pPr>
      <w:r w:rsidRPr="000C627D">
        <w:tab/>
        <w:t>(vi)</w:t>
      </w:r>
      <w:r w:rsidRPr="000C627D">
        <w:tab/>
        <w:t xml:space="preserve">the words </w:t>
      </w:r>
      <w:r w:rsidR="003C03C4" w:rsidRPr="000C627D">
        <w:t>“</w:t>
      </w:r>
      <w:r w:rsidRPr="000C627D">
        <w:t>starting in the 2011 and 2012 model years, respectively</w:t>
      </w:r>
      <w:r w:rsidR="003C03C4" w:rsidRPr="000C627D">
        <w:t>”</w:t>
      </w:r>
      <w:r w:rsidRPr="000C627D">
        <w:t xml:space="preserve"> and </w:t>
      </w:r>
      <w:r w:rsidR="003C03C4" w:rsidRPr="000C627D">
        <w:t>“</w:t>
      </w:r>
      <w:r w:rsidRPr="000C627D">
        <w:t>starting in the 2013 model</w:t>
      </w:r>
      <w:r w:rsidR="003C03C4" w:rsidRPr="000C627D">
        <w:t>”</w:t>
      </w:r>
      <w:r w:rsidRPr="000C627D">
        <w:t xml:space="preserve"> in paragraph</w:t>
      </w:r>
      <w:r w:rsidR="000C627D" w:rsidRPr="000C627D">
        <w:t> </w:t>
      </w:r>
      <w:r w:rsidRPr="000C627D">
        <w:t>1045.235(g);</w:t>
      </w:r>
    </w:p>
    <w:p w:rsidR="00C71E79" w:rsidRPr="000C627D" w:rsidRDefault="00C71E79" w:rsidP="00C71E79">
      <w:pPr>
        <w:pStyle w:val="paragraphsub"/>
      </w:pPr>
      <w:r w:rsidRPr="000C627D">
        <w:tab/>
        <w:t>(vii)</w:t>
      </w:r>
      <w:r w:rsidRPr="000C627D">
        <w:tab/>
        <w:t xml:space="preserve">the words </w:t>
      </w:r>
      <w:r w:rsidR="003C03C4" w:rsidRPr="000C627D">
        <w:t>“</w:t>
      </w:r>
      <w:r w:rsidRPr="000C627D">
        <w:t>in the same or earlier model years</w:t>
      </w:r>
      <w:r w:rsidR="003C03C4" w:rsidRPr="000C627D">
        <w:t>”</w:t>
      </w:r>
      <w:r w:rsidRPr="000C627D">
        <w:t xml:space="preserve"> in paragraph</w:t>
      </w:r>
      <w:r w:rsidR="000C627D" w:rsidRPr="000C627D">
        <w:t> </w:t>
      </w:r>
      <w:r w:rsidRPr="000C627D">
        <w:t>1045.245(a); and</w:t>
      </w:r>
    </w:p>
    <w:p w:rsidR="00737158" w:rsidRPr="000C627D" w:rsidRDefault="0086498A" w:rsidP="0086498A">
      <w:pPr>
        <w:pStyle w:val="paragraph"/>
      </w:pPr>
      <w:r w:rsidRPr="000C627D">
        <w:tab/>
        <w:t>(e)</w:t>
      </w:r>
      <w:r w:rsidRPr="000C627D">
        <w:tab/>
      </w:r>
      <w:r w:rsidR="00737158" w:rsidRPr="000C627D">
        <w:t>the following words in 40</w:t>
      </w:r>
      <w:r w:rsidR="001132B4" w:rsidRPr="000C627D">
        <w:t xml:space="preserve"> </w:t>
      </w:r>
      <w:r w:rsidR="00737158" w:rsidRPr="000C627D">
        <w:t>CFR 1045 are disregard</w:t>
      </w:r>
      <w:r w:rsidR="00BA70E8" w:rsidRPr="000C627D">
        <w:t>ed</w:t>
      </w:r>
      <w:r w:rsidR="00737158" w:rsidRPr="000C627D">
        <w:t>:</w:t>
      </w:r>
    </w:p>
    <w:p w:rsidR="00CB6ABF" w:rsidRPr="000C627D" w:rsidRDefault="00CB6ABF" w:rsidP="00737158">
      <w:pPr>
        <w:pStyle w:val="paragraphsub"/>
      </w:pPr>
      <w:r w:rsidRPr="000C627D">
        <w:tab/>
        <w:t>(</w:t>
      </w:r>
      <w:proofErr w:type="spellStart"/>
      <w:r w:rsidRPr="000C627D">
        <w:t>i</w:t>
      </w:r>
      <w:proofErr w:type="spellEnd"/>
      <w:r w:rsidRPr="000C627D">
        <w:t>)</w:t>
      </w:r>
      <w:r w:rsidRPr="000C627D">
        <w:tab/>
        <w:t>the second sentence of paragraph</w:t>
      </w:r>
      <w:r w:rsidR="000C627D" w:rsidRPr="000C627D">
        <w:t> </w:t>
      </w:r>
      <w:r w:rsidRPr="000C627D">
        <w:t>1045.130(b)(3);</w:t>
      </w:r>
    </w:p>
    <w:p w:rsidR="0075380E" w:rsidRPr="000C627D" w:rsidRDefault="0075380E" w:rsidP="00E87B5F">
      <w:pPr>
        <w:pStyle w:val="paragraphsub"/>
      </w:pPr>
      <w:r w:rsidRPr="000C627D">
        <w:tab/>
        <w:t>(</w:t>
      </w:r>
      <w:r w:rsidR="00E87B5F" w:rsidRPr="000C627D">
        <w:t>ii</w:t>
      </w:r>
      <w:r w:rsidRPr="000C627D">
        <w:t>)</w:t>
      </w:r>
      <w:r w:rsidRPr="000C627D">
        <w:tab/>
        <w:t xml:space="preserve">the second sentence </w:t>
      </w:r>
      <w:r w:rsidR="00E87B5F" w:rsidRPr="000C627D">
        <w:t>of paragraph</w:t>
      </w:r>
      <w:r w:rsidR="000C627D" w:rsidRPr="000C627D">
        <w:t> </w:t>
      </w:r>
      <w:r w:rsidRPr="000C627D">
        <w:t>1045.140(c)</w:t>
      </w:r>
      <w:r w:rsidR="00211ABF" w:rsidRPr="000C627D">
        <w:t>;</w:t>
      </w:r>
    </w:p>
    <w:p w:rsidR="0086498A" w:rsidRPr="000C627D" w:rsidRDefault="00737158" w:rsidP="00737158">
      <w:pPr>
        <w:pStyle w:val="paragraphsub"/>
      </w:pPr>
      <w:r w:rsidRPr="000C627D">
        <w:tab/>
        <w:t>(</w:t>
      </w:r>
      <w:r w:rsidR="00211ABF" w:rsidRPr="000C627D">
        <w:t>i</w:t>
      </w:r>
      <w:r w:rsidR="00CB6ABF" w:rsidRPr="000C627D">
        <w:t>i</w:t>
      </w:r>
      <w:r w:rsidRPr="000C627D">
        <w:t>i)</w:t>
      </w:r>
      <w:r w:rsidRPr="000C627D">
        <w:tab/>
        <w:t xml:space="preserve">the words </w:t>
      </w:r>
      <w:r w:rsidR="003C03C4" w:rsidRPr="000C627D">
        <w:t>“</w:t>
      </w:r>
      <w:r w:rsidR="0086498A" w:rsidRPr="000C627D">
        <w:t>based on your total U.S.</w:t>
      </w:r>
      <w:r w:rsidR="000C627D">
        <w:noBreakHyphen/>
      </w:r>
      <w:r w:rsidR="0086498A" w:rsidRPr="000C627D">
        <w:t>directed production volume of engines you produce from the engine family</w:t>
      </w:r>
      <w:r w:rsidR="003C03C4" w:rsidRPr="000C627D">
        <w:t>”</w:t>
      </w:r>
      <w:r w:rsidR="0086498A" w:rsidRPr="000C627D">
        <w:t xml:space="preserve"> in paragraph</w:t>
      </w:r>
      <w:r w:rsidR="000C627D" w:rsidRPr="000C627D">
        <w:t> </w:t>
      </w:r>
      <w:r w:rsidR="0086498A" w:rsidRPr="000C627D">
        <w:t>1045.140(d);</w:t>
      </w:r>
    </w:p>
    <w:p w:rsidR="00CB6ABF" w:rsidRPr="000C627D" w:rsidRDefault="00CB6ABF" w:rsidP="00CB6ABF">
      <w:pPr>
        <w:pStyle w:val="paragraphsub"/>
      </w:pPr>
      <w:r w:rsidRPr="000C627D">
        <w:tab/>
        <w:t>(i</w:t>
      </w:r>
      <w:r w:rsidR="00211ABF" w:rsidRPr="000C627D">
        <w:t>v</w:t>
      </w:r>
      <w:r w:rsidRPr="000C627D">
        <w:t>)</w:t>
      </w:r>
      <w:r w:rsidRPr="000C627D">
        <w:tab/>
        <w:t xml:space="preserve">the words </w:t>
      </w:r>
      <w:r w:rsidR="003C03C4" w:rsidRPr="000C627D">
        <w:t>“</w:t>
      </w:r>
      <w:r w:rsidRPr="000C627D">
        <w:t>for which you neither generate nor use emission credits</w:t>
      </w:r>
      <w:r w:rsidR="003C03C4" w:rsidRPr="000C627D">
        <w:t>”</w:t>
      </w:r>
      <w:r w:rsidRPr="000C627D">
        <w:t xml:space="preserve"> in paragraph</w:t>
      </w:r>
      <w:r w:rsidR="000C627D" w:rsidRPr="000C627D">
        <w:t> </w:t>
      </w:r>
      <w:r w:rsidRPr="000C627D">
        <w:t>1045.140(d)(1);</w:t>
      </w:r>
    </w:p>
    <w:p w:rsidR="00D16875" w:rsidRPr="000C627D" w:rsidRDefault="00211ABF" w:rsidP="00D16875">
      <w:pPr>
        <w:pStyle w:val="paragraphsub"/>
      </w:pPr>
      <w:r w:rsidRPr="000C627D">
        <w:tab/>
        <w:t>(v</w:t>
      </w:r>
      <w:r w:rsidR="00D16875" w:rsidRPr="000C627D">
        <w:t>)</w:t>
      </w:r>
      <w:r w:rsidR="00D16875" w:rsidRPr="000C627D">
        <w:tab/>
        <w:t xml:space="preserve">the words </w:t>
      </w:r>
      <w:r w:rsidR="003C03C4" w:rsidRPr="000C627D">
        <w:t>“</w:t>
      </w:r>
      <w:r w:rsidR="00D16875" w:rsidRPr="000C627D">
        <w:t>Small</w:t>
      </w:r>
      <w:r w:rsidR="000C627D">
        <w:noBreakHyphen/>
      </w:r>
      <w:r w:rsidR="00D16875" w:rsidRPr="000C627D">
        <w:t>volume engine manufacturers may omit measurement of N</w:t>
      </w:r>
      <w:r w:rsidR="00D16875" w:rsidRPr="000C627D">
        <w:rPr>
          <w:vertAlign w:val="subscript"/>
        </w:rPr>
        <w:t>2</w:t>
      </w:r>
      <w:r w:rsidR="00D16875" w:rsidRPr="000C627D">
        <w:t>O and CH</w:t>
      </w:r>
      <w:r w:rsidR="00D16875" w:rsidRPr="000C627D">
        <w:rPr>
          <w:vertAlign w:val="subscript"/>
        </w:rPr>
        <w:t>4</w:t>
      </w:r>
      <w:r w:rsidR="00D16875" w:rsidRPr="000C627D">
        <w:t>.</w:t>
      </w:r>
      <w:r w:rsidR="003C03C4" w:rsidRPr="000C627D">
        <w:t>”</w:t>
      </w:r>
      <w:r w:rsidR="00D16875" w:rsidRPr="000C627D">
        <w:t xml:space="preserve"> in paragraph</w:t>
      </w:r>
      <w:r w:rsidR="000C627D" w:rsidRPr="000C627D">
        <w:t> </w:t>
      </w:r>
      <w:r w:rsidR="00D16875" w:rsidRPr="000C627D">
        <w:t>1045.235(g);</w:t>
      </w:r>
    </w:p>
    <w:p w:rsidR="00193FF1" w:rsidRPr="000C627D" w:rsidRDefault="00CB6ABF" w:rsidP="00737158">
      <w:pPr>
        <w:pStyle w:val="paragraphsub"/>
      </w:pPr>
      <w:r w:rsidRPr="000C627D">
        <w:tab/>
        <w:t>(v</w:t>
      </w:r>
      <w:r w:rsidR="00211ABF" w:rsidRPr="000C627D">
        <w:t>i</w:t>
      </w:r>
      <w:r w:rsidR="00553C7C" w:rsidRPr="000C627D">
        <w:t>)</w:t>
      </w:r>
      <w:r w:rsidR="00553C7C" w:rsidRPr="000C627D">
        <w:tab/>
        <w:t>the fifth sentence</w:t>
      </w:r>
      <w:r w:rsidR="00193FF1" w:rsidRPr="000C627D">
        <w:t xml:space="preserve"> </w:t>
      </w:r>
      <w:r w:rsidR="00F23DBC" w:rsidRPr="000C627D">
        <w:t>of</w:t>
      </w:r>
      <w:r w:rsidR="00415573" w:rsidRPr="000C627D">
        <w:t xml:space="preserve"> paragraph</w:t>
      </w:r>
      <w:r w:rsidR="000C627D" w:rsidRPr="000C627D">
        <w:t> </w:t>
      </w:r>
      <w:r w:rsidR="00415573" w:rsidRPr="000C627D">
        <w:t>1045.240(c);</w:t>
      </w:r>
      <w:r w:rsidR="00D45439" w:rsidRPr="000C627D">
        <w:t xml:space="preserve"> and</w:t>
      </w:r>
    </w:p>
    <w:p w:rsidR="001132B4" w:rsidRPr="000C627D" w:rsidRDefault="00CE712A" w:rsidP="00CE712A">
      <w:pPr>
        <w:pStyle w:val="paragraph"/>
      </w:pPr>
      <w:r w:rsidRPr="000C627D">
        <w:tab/>
        <w:t>(</w:t>
      </w:r>
      <w:r w:rsidR="00737158" w:rsidRPr="000C627D">
        <w:t>f</w:t>
      </w:r>
      <w:r w:rsidRPr="000C627D">
        <w:t>)</w:t>
      </w:r>
      <w:r w:rsidRPr="000C627D">
        <w:tab/>
        <w:t>40 CFR 10</w:t>
      </w:r>
      <w:r w:rsidR="009D30A8" w:rsidRPr="000C627D">
        <w:t>45</w:t>
      </w:r>
      <w:r w:rsidRPr="000C627D">
        <w:t>.501(</w:t>
      </w:r>
      <w:r w:rsidR="009D30A8" w:rsidRPr="000C627D">
        <w:t>c</w:t>
      </w:r>
      <w:r w:rsidRPr="000C627D">
        <w:t>) is taken to allow the use of unleaded petrol or premium unleaded petrol as an alternative to using fuels specified in 40 CFR 1065, subpart</w:t>
      </w:r>
      <w:r w:rsidR="000C627D" w:rsidRPr="000C627D">
        <w:t> </w:t>
      </w:r>
      <w:r w:rsidRPr="000C627D">
        <w:t xml:space="preserve">H, if that petrol complies with the fuel standard (within the meaning of the </w:t>
      </w:r>
      <w:r w:rsidRPr="000C627D">
        <w:rPr>
          <w:i/>
        </w:rPr>
        <w:t>Fuel Quality Standards Act 2000</w:t>
      </w:r>
      <w:r w:rsidRPr="000C627D">
        <w:t>) to which the pe</w:t>
      </w:r>
      <w:r w:rsidR="001132B4" w:rsidRPr="000C627D">
        <w:t>trol is subject;</w:t>
      </w:r>
      <w:r w:rsidR="00D45439" w:rsidRPr="000C627D">
        <w:t xml:space="preserve"> and</w:t>
      </w:r>
    </w:p>
    <w:p w:rsidR="001132B4" w:rsidRPr="000C627D" w:rsidRDefault="001132B4" w:rsidP="00CE712A">
      <w:pPr>
        <w:pStyle w:val="paragraph"/>
      </w:pPr>
      <w:r w:rsidRPr="000C627D">
        <w:tab/>
        <w:t>(g)</w:t>
      </w:r>
      <w:r w:rsidRPr="000C627D">
        <w:tab/>
        <w:t>the reference in 40 CFR 1045.505(b) to Appendix I is taken to be a reference to Appendix II.</w:t>
      </w:r>
    </w:p>
    <w:p w:rsidR="00CE712A" w:rsidRPr="000C627D" w:rsidRDefault="00CE712A" w:rsidP="00CE712A">
      <w:pPr>
        <w:pStyle w:val="noteToPara"/>
      </w:pPr>
      <w:r w:rsidRPr="000C627D">
        <w:t>Note:</w:t>
      </w:r>
      <w:r w:rsidRPr="000C627D">
        <w:tab/>
        <w:t xml:space="preserve">In 2017, the relevant fuel standard was the </w:t>
      </w:r>
      <w:r w:rsidRPr="000C627D">
        <w:rPr>
          <w:i/>
        </w:rPr>
        <w:t>Fuel Standard (Petrol) Determination</w:t>
      </w:r>
      <w:r w:rsidR="000C627D" w:rsidRPr="000C627D">
        <w:rPr>
          <w:i/>
        </w:rPr>
        <w:t> </w:t>
      </w:r>
      <w:r w:rsidRPr="000C627D">
        <w:rPr>
          <w:i/>
        </w:rPr>
        <w:t>2001</w:t>
      </w:r>
      <w:r w:rsidRPr="000C627D">
        <w:t>.</w:t>
      </w:r>
    </w:p>
    <w:p w:rsidR="00A304D6" w:rsidRPr="000C627D" w:rsidRDefault="00A304D6" w:rsidP="00A304D6">
      <w:pPr>
        <w:pStyle w:val="subsection"/>
      </w:pPr>
      <w:r w:rsidRPr="000C627D">
        <w:tab/>
        <w:t>(4)</w:t>
      </w:r>
      <w:r w:rsidRPr="000C627D">
        <w:tab/>
        <w:t xml:space="preserve">For the purposes of </w:t>
      </w:r>
      <w:r w:rsidR="000C627D" w:rsidRPr="000C627D">
        <w:t>paragraph (</w:t>
      </w:r>
      <w:r w:rsidRPr="000C627D">
        <w:t xml:space="preserve">2)(o), the definitions of </w:t>
      </w:r>
      <w:r w:rsidRPr="000C627D">
        <w:rPr>
          <w:rFonts w:eastAsia="Arial Unicode MS"/>
          <w:i/>
        </w:rPr>
        <w:t>Amphibious vehicle</w:t>
      </w:r>
      <w:r w:rsidRPr="000C627D">
        <w:rPr>
          <w:rFonts w:eastAsia="Arial Unicode MS"/>
        </w:rPr>
        <w:t xml:space="preserve">, </w:t>
      </w:r>
      <w:r w:rsidRPr="000C627D">
        <w:rPr>
          <w:rFonts w:eastAsia="Arial Unicode MS"/>
          <w:i/>
        </w:rPr>
        <w:t>Carryover</w:t>
      </w:r>
      <w:r w:rsidRPr="000C627D">
        <w:rPr>
          <w:rFonts w:eastAsia="Arial Unicode MS"/>
        </w:rPr>
        <w:t xml:space="preserve">, </w:t>
      </w:r>
      <w:r w:rsidRPr="000C627D">
        <w:rPr>
          <w:rFonts w:eastAsia="Arial Unicode MS"/>
          <w:i/>
        </w:rPr>
        <w:t>Certified emission level</w:t>
      </w:r>
      <w:r w:rsidRPr="000C627D">
        <w:rPr>
          <w:rFonts w:eastAsia="Arial Unicode MS"/>
        </w:rPr>
        <w:t xml:space="preserve">, </w:t>
      </w:r>
      <w:r w:rsidRPr="000C627D">
        <w:rPr>
          <w:rFonts w:eastAsia="Arial Unicode MS"/>
          <w:i/>
        </w:rPr>
        <w:t>Clean Air Act</w:t>
      </w:r>
      <w:r w:rsidRPr="000C627D">
        <w:rPr>
          <w:rFonts w:eastAsia="Arial Unicode MS"/>
        </w:rPr>
        <w:t xml:space="preserve">, </w:t>
      </w:r>
      <w:r w:rsidRPr="000C627D">
        <w:rPr>
          <w:rFonts w:eastAsia="Arial Unicode MS"/>
          <w:i/>
        </w:rPr>
        <w:t>Date of manufacture</w:t>
      </w:r>
      <w:r w:rsidRPr="000C627D">
        <w:rPr>
          <w:rFonts w:eastAsia="Arial Unicode MS"/>
        </w:rPr>
        <w:t xml:space="preserve">, </w:t>
      </w:r>
      <w:r w:rsidRPr="000C627D">
        <w:rPr>
          <w:rFonts w:eastAsia="Arial Unicode MS"/>
          <w:i/>
        </w:rPr>
        <w:t>Days</w:t>
      </w:r>
      <w:r w:rsidRPr="000C627D">
        <w:rPr>
          <w:rFonts w:eastAsia="Arial Unicode MS"/>
        </w:rPr>
        <w:t xml:space="preserve">, </w:t>
      </w:r>
      <w:r w:rsidRPr="000C627D">
        <w:rPr>
          <w:rFonts w:eastAsia="Arial Unicode MS"/>
          <w:i/>
        </w:rPr>
        <w:t xml:space="preserve">Designated </w:t>
      </w:r>
      <w:r w:rsidR="00F14F9F" w:rsidRPr="000C627D">
        <w:rPr>
          <w:rFonts w:eastAsia="Arial Unicode MS"/>
          <w:i/>
        </w:rPr>
        <w:t>C</w:t>
      </w:r>
      <w:r w:rsidRPr="000C627D">
        <w:rPr>
          <w:rFonts w:eastAsia="Arial Unicode MS"/>
          <w:i/>
        </w:rPr>
        <w:t xml:space="preserve">ompliance </w:t>
      </w:r>
      <w:r w:rsidR="00F14F9F" w:rsidRPr="000C627D">
        <w:rPr>
          <w:rFonts w:eastAsia="Arial Unicode MS"/>
          <w:i/>
        </w:rPr>
        <w:t>O</w:t>
      </w:r>
      <w:r w:rsidRPr="000C627D">
        <w:rPr>
          <w:rFonts w:eastAsia="Arial Unicode MS"/>
          <w:i/>
        </w:rPr>
        <w:t>fficer</w:t>
      </w:r>
      <w:r w:rsidRPr="000C627D">
        <w:rPr>
          <w:rFonts w:eastAsia="Arial Unicode MS"/>
        </w:rPr>
        <w:t xml:space="preserve">, </w:t>
      </w:r>
      <w:r w:rsidRPr="000C627D">
        <w:rPr>
          <w:rFonts w:eastAsia="Arial Unicode MS"/>
          <w:i/>
        </w:rPr>
        <w:t xml:space="preserve">Designated </w:t>
      </w:r>
      <w:r w:rsidR="00F14F9F" w:rsidRPr="000C627D">
        <w:rPr>
          <w:rFonts w:eastAsia="Arial Unicode MS"/>
          <w:i/>
        </w:rPr>
        <w:t>E</w:t>
      </w:r>
      <w:r w:rsidRPr="000C627D">
        <w:rPr>
          <w:rFonts w:eastAsia="Arial Unicode MS"/>
          <w:i/>
        </w:rPr>
        <w:t xml:space="preserve">nforcement </w:t>
      </w:r>
      <w:r w:rsidR="00F14F9F" w:rsidRPr="000C627D">
        <w:rPr>
          <w:rFonts w:eastAsia="Arial Unicode MS"/>
          <w:i/>
        </w:rPr>
        <w:t>O</w:t>
      </w:r>
      <w:r w:rsidRPr="000C627D">
        <w:rPr>
          <w:rFonts w:eastAsia="Arial Unicode MS"/>
          <w:i/>
        </w:rPr>
        <w:t>fficer</w:t>
      </w:r>
      <w:r w:rsidRPr="000C627D">
        <w:rPr>
          <w:rFonts w:eastAsia="Arial Unicode MS"/>
        </w:rPr>
        <w:t xml:space="preserve">, </w:t>
      </w:r>
      <w:r w:rsidRPr="000C627D">
        <w:rPr>
          <w:rFonts w:eastAsia="Arial Unicode MS"/>
          <w:i/>
        </w:rPr>
        <w:t>Emission</w:t>
      </w:r>
      <w:r w:rsidR="000C627D">
        <w:rPr>
          <w:rFonts w:eastAsia="Arial Unicode MS"/>
          <w:i/>
        </w:rPr>
        <w:noBreakHyphen/>
      </w:r>
      <w:r w:rsidRPr="000C627D">
        <w:rPr>
          <w:rFonts w:eastAsia="Arial Unicode MS"/>
          <w:i/>
        </w:rPr>
        <w:t>related maintenance</w:t>
      </w:r>
      <w:r w:rsidRPr="000C627D">
        <w:rPr>
          <w:rFonts w:eastAsia="Arial Unicode MS"/>
        </w:rPr>
        <w:t xml:space="preserve">, </w:t>
      </w:r>
      <w:r w:rsidRPr="000C627D">
        <w:rPr>
          <w:rFonts w:eastAsia="Arial Unicode MS"/>
          <w:i/>
        </w:rPr>
        <w:t>Engine</w:t>
      </w:r>
      <w:r w:rsidRPr="000C627D">
        <w:rPr>
          <w:rFonts w:eastAsia="Arial Unicode MS"/>
        </w:rPr>
        <w:t xml:space="preserve">, </w:t>
      </w:r>
      <w:r w:rsidRPr="000C627D">
        <w:rPr>
          <w:rFonts w:eastAsia="Arial Unicode MS"/>
          <w:i/>
        </w:rPr>
        <w:t>Engine manufacturer</w:t>
      </w:r>
      <w:r w:rsidRPr="000C627D">
        <w:rPr>
          <w:rFonts w:eastAsia="Arial Unicode MS"/>
        </w:rPr>
        <w:t xml:space="preserve">, </w:t>
      </w:r>
      <w:r w:rsidRPr="000C627D">
        <w:rPr>
          <w:rFonts w:eastAsia="Arial Unicode MS"/>
          <w:i/>
        </w:rPr>
        <w:t>Evaporative</w:t>
      </w:r>
      <w:r w:rsidRPr="000C627D">
        <w:rPr>
          <w:rFonts w:eastAsia="Arial Unicode MS"/>
        </w:rPr>
        <w:t xml:space="preserve">, </w:t>
      </w:r>
      <w:r w:rsidRPr="000C627D">
        <w:rPr>
          <w:rFonts w:eastAsia="Arial Unicode MS"/>
          <w:i/>
        </w:rPr>
        <w:t>Exempted</w:t>
      </w:r>
      <w:r w:rsidRPr="000C627D">
        <w:rPr>
          <w:rFonts w:eastAsia="Arial Unicode MS"/>
        </w:rPr>
        <w:t xml:space="preserve">, </w:t>
      </w:r>
      <w:r w:rsidRPr="000C627D">
        <w:rPr>
          <w:rFonts w:eastAsia="Arial Unicode MS"/>
          <w:i/>
        </w:rPr>
        <w:t>Family emission limit (</w:t>
      </w:r>
      <w:proofErr w:type="spellStart"/>
      <w:r w:rsidRPr="000C627D">
        <w:rPr>
          <w:rFonts w:eastAsia="Arial Unicode MS"/>
          <w:i/>
        </w:rPr>
        <w:t>FEL</w:t>
      </w:r>
      <w:proofErr w:type="spellEnd"/>
      <w:r w:rsidRPr="000C627D">
        <w:rPr>
          <w:rFonts w:eastAsia="Arial Unicode MS"/>
          <w:i/>
        </w:rPr>
        <w:t>)</w:t>
      </w:r>
      <w:r w:rsidRPr="000C627D">
        <w:rPr>
          <w:rFonts w:eastAsia="Arial Unicode MS"/>
        </w:rPr>
        <w:t xml:space="preserve">, </w:t>
      </w:r>
      <w:r w:rsidRPr="000C627D">
        <w:rPr>
          <w:rFonts w:eastAsia="Arial Unicode MS"/>
          <w:i/>
        </w:rPr>
        <w:t>Fuel line</w:t>
      </w:r>
      <w:r w:rsidRPr="000C627D">
        <w:rPr>
          <w:rFonts w:eastAsia="Arial Unicode MS"/>
        </w:rPr>
        <w:t xml:space="preserve">, </w:t>
      </w:r>
      <w:r w:rsidRPr="000C627D">
        <w:rPr>
          <w:rFonts w:eastAsia="Arial Unicode MS"/>
          <w:i/>
        </w:rPr>
        <w:t>Fuel system</w:t>
      </w:r>
      <w:r w:rsidRPr="000C627D">
        <w:rPr>
          <w:rFonts w:eastAsia="Arial Unicode MS"/>
        </w:rPr>
        <w:t xml:space="preserve">, </w:t>
      </w:r>
      <w:r w:rsidRPr="000C627D">
        <w:rPr>
          <w:rFonts w:eastAsia="Arial Unicode MS"/>
          <w:i/>
        </w:rPr>
        <w:t>Identification number</w:t>
      </w:r>
      <w:r w:rsidRPr="000C627D">
        <w:rPr>
          <w:rFonts w:eastAsia="Arial Unicode MS"/>
        </w:rPr>
        <w:t xml:space="preserve">, </w:t>
      </w:r>
      <w:r w:rsidRPr="000C627D">
        <w:rPr>
          <w:rFonts w:eastAsia="Arial Unicode MS"/>
          <w:i/>
        </w:rPr>
        <w:t>Manufacturer</w:t>
      </w:r>
      <w:r w:rsidRPr="000C627D">
        <w:rPr>
          <w:rFonts w:eastAsia="Arial Unicode MS"/>
        </w:rPr>
        <w:t xml:space="preserve">, </w:t>
      </w:r>
      <w:r w:rsidRPr="000C627D">
        <w:rPr>
          <w:rFonts w:eastAsia="Arial Unicode MS"/>
          <w:i/>
        </w:rPr>
        <w:t>Marine engine</w:t>
      </w:r>
      <w:r w:rsidRPr="000C627D">
        <w:rPr>
          <w:rFonts w:eastAsia="Arial Unicode MS"/>
        </w:rPr>
        <w:t xml:space="preserve">, </w:t>
      </w:r>
      <w:r w:rsidRPr="000C627D">
        <w:rPr>
          <w:rFonts w:eastAsia="Arial Unicode MS"/>
          <w:i/>
        </w:rPr>
        <w:t>Marine vessel</w:t>
      </w:r>
      <w:r w:rsidRPr="000C627D">
        <w:rPr>
          <w:rFonts w:eastAsia="Arial Unicode MS"/>
        </w:rPr>
        <w:t xml:space="preserve">, </w:t>
      </w:r>
      <w:r w:rsidRPr="000C627D">
        <w:rPr>
          <w:rFonts w:eastAsia="Arial Unicode MS"/>
          <w:i/>
        </w:rPr>
        <w:t>Model year</w:t>
      </w:r>
      <w:r w:rsidRPr="000C627D">
        <w:rPr>
          <w:rFonts w:eastAsia="Arial Unicode MS"/>
        </w:rPr>
        <w:t xml:space="preserve">, </w:t>
      </w:r>
      <w:r w:rsidRPr="000C627D">
        <w:rPr>
          <w:rFonts w:eastAsia="Arial Unicode MS"/>
          <w:i/>
        </w:rPr>
        <w:t>New portable marine fuel tanks and fuel lines</w:t>
      </w:r>
      <w:r w:rsidRPr="000C627D">
        <w:rPr>
          <w:rFonts w:eastAsia="Arial Unicode MS"/>
        </w:rPr>
        <w:t xml:space="preserve">, </w:t>
      </w:r>
      <w:r w:rsidRPr="000C627D">
        <w:rPr>
          <w:rFonts w:eastAsia="Arial Unicode MS"/>
          <w:i/>
        </w:rPr>
        <w:t>New propulsion marine engine</w:t>
      </w:r>
      <w:r w:rsidRPr="000C627D">
        <w:rPr>
          <w:rFonts w:eastAsia="Arial Unicode MS"/>
        </w:rPr>
        <w:t xml:space="preserve"> or </w:t>
      </w:r>
      <w:r w:rsidRPr="000C627D">
        <w:rPr>
          <w:rFonts w:eastAsia="Arial Unicode MS"/>
          <w:i/>
        </w:rPr>
        <w:t>new engine</w:t>
      </w:r>
      <w:r w:rsidRPr="000C627D">
        <w:rPr>
          <w:rFonts w:eastAsia="Arial Unicode MS"/>
        </w:rPr>
        <w:t xml:space="preserve">, </w:t>
      </w:r>
      <w:r w:rsidRPr="000C627D">
        <w:rPr>
          <w:rFonts w:eastAsia="Arial Unicode MS"/>
          <w:i/>
        </w:rPr>
        <w:t>New vessel</w:t>
      </w:r>
      <w:r w:rsidRPr="000C627D">
        <w:rPr>
          <w:rFonts w:eastAsia="Arial Unicode MS"/>
        </w:rPr>
        <w:t xml:space="preserve">, </w:t>
      </w:r>
      <w:r w:rsidRPr="000C627D">
        <w:rPr>
          <w:rFonts w:eastAsia="Arial Unicode MS"/>
          <w:i/>
        </w:rPr>
        <w:t>Noncompliant engine</w:t>
      </w:r>
      <w:r w:rsidRPr="000C627D">
        <w:rPr>
          <w:rFonts w:eastAsia="Arial Unicode MS"/>
        </w:rPr>
        <w:t xml:space="preserve">, </w:t>
      </w:r>
      <w:r w:rsidRPr="000C627D">
        <w:rPr>
          <w:rFonts w:eastAsia="Arial Unicode MS"/>
          <w:i/>
        </w:rPr>
        <w:t>Nonconforming engine</w:t>
      </w:r>
      <w:r w:rsidRPr="000C627D">
        <w:rPr>
          <w:rFonts w:eastAsia="Arial Unicode MS"/>
        </w:rPr>
        <w:t xml:space="preserve">, </w:t>
      </w:r>
      <w:proofErr w:type="spellStart"/>
      <w:r w:rsidRPr="000C627D">
        <w:rPr>
          <w:rFonts w:eastAsia="Arial Unicode MS"/>
          <w:i/>
        </w:rPr>
        <w:t>Nonroad</w:t>
      </w:r>
      <w:proofErr w:type="spellEnd"/>
      <w:r w:rsidR="004B40C0" w:rsidRPr="000C627D">
        <w:rPr>
          <w:rFonts w:eastAsia="Arial Unicode MS"/>
        </w:rPr>
        <w:t>,</w:t>
      </w:r>
      <w:r w:rsidRPr="000C627D">
        <w:rPr>
          <w:rFonts w:eastAsia="Arial Unicode MS"/>
        </w:rPr>
        <w:t xml:space="preserve"> </w:t>
      </w:r>
      <w:proofErr w:type="spellStart"/>
      <w:r w:rsidRPr="000C627D">
        <w:rPr>
          <w:rFonts w:eastAsia="Arial Unicode MS"/>
          <w:i/>
        </w:rPr>
        <w:t>Nonroad</w:t>
      </w:r>
      <w:proofErr w:type="spellEnd"/>
      <w:r w:rsidRPr="000C627D">
        <w:rPr>
          <w:rFonts w:eastAsia="Arial Unicode MS"/>
          <w:i/>
        </w:rPr>
        <w:t xml:space="preserve"> engine</w:t>
      </w:r>
      <w:r w:rsidRPr="000C627D">
        <w:rPr>
          <w:rFonts w:eastAsia="Arial Unicode MS"/>
        </w:rPr>
        <w:t xml:space="preserve">, </w:t>
      </w:r>
      <w:proofErr w:type="spellStart"/>
      <w:r w:rsidRPr="000C627D">
        <w:rPr>
          <w:rFonts w:eastAsia="Arial Unicode MS"/>
          <w:i/>
        </w:rPr>
        <w:t>Owners manual</w:t>
      </w:r>
      <w:proofErr w:type="spellEnd"/>
      <w:r w:rsidRPr="000C627D">
        <w:rPr>
          <w:rFonts w:eastAsia="Arial Unicode MS"/>
        </w:rPr>
        <w:t xml:space="preserve">, </w:t>
      </w:r>
      <w:r w:rsidRPr="000C627D">
        <w:rPr>
          <w:rFonts w:eastAsia="Arial Unicode MS"/>
          <w:i/>
        </w:rPr>
        <w:t>Placed into service</w:t>
      </w:r>
      <w:r w:rsidRPr="000C627D">
        <w:rPr>
          <w:rFonts w:eastAsia="Arial Unicode MS"/>
        </w:rPr>
        <w:t xml:space="preserve">, </w:t>
      </w:r>
      <w:r w:rsidRPr="000C627D">
        <w:rPr>
          <w:rFonts w:eastAsia="Arial Unicode MS"/>
          <w:i/>
        </w:rPr>
        <w:t>Point of first retail sale</w:t>
      </w:r>
      <w:r w:rsidRPr="000C627D">
        <w:rPr>
          <w:rFonts w:eastAsia="Arial Unicode MS"/>
        </w:rPr>
        <w:t xml:space="preserve">, </w:t>
      </w:r>
      <w:r w:rsidRPr="000C627D">
        <w:rPr>
          <w:rFonts w:eastAsia="Arial Unicode MS"/>
          <w:i/>
        </w:rPr>
        <w:t>Portable marine fuel tank</w:t>
      </w:r>
      <w:r w:rsidRPr="000C627D">
        <w:rPr>
          <w:rFonts w:eastAsia="Arial Unicode MS"/>
        </w:rPr>
        <w:t xml:space="preserve">, </w:t>
      </w:r>
      <w:r w:rsidRPr="000C627D">
        <w:rPr>
          <w:rFonts w:eastAsia="Arial Unicode MS"/>
          <w:i/>
        </w:rPr>
        <w:t>Revoke</w:t>
      </w:r>
      <w:r w:rsidRPr="000C627D">
        <w:rPr>
          <w:rFonts w:eastAsia="Arial Unicode MS"/>
        </w:rPr>
        <w:t xml:space="preserve">, </w:t>
      </w:r>
      <w:r w:rsidRPr="000C627D">
        <w:rPr>
          <w:rFonts w:eastAsia="Arial Unicode MS"/>
          <w:i/>
        </w:rPr>
        <w:t>Scheduled maintenance</w:t>
      </w:r>
      <w:r w:rsidRPr="000C627D">
        <w:rPr>
          <w:rFonts w:eastAsia="Arial Unicode MS"/>
        </w:rPr>
        <w:t xml:space="preserve">, </w:t>
      </w:r>
      <w:r w:rsidRPr="000C627D">
        <w:rPr>
          <w:rFonts w:eastAsia="Arial Unicode MS"/>
          <w:i/>
        </w:rPr>
        <w:t>Small</w:t>
      </w:r>
      <w:r w:rsidR="000C627D">
        <w:rPr>
          <w:rFonts w:eastAsia="Arial Unicode MS"/>
          <w:i/>
        </w:rPr>
        <w:noBreakHyphen/>
      </w:r>
      <w:r w:rsidRPr="000C627D">
        <w:rPr>
          <w:rFonts w:eastAsia="Arial Unicode MS"/>
          <w:i/>
        </w:rPr>
        <w:t>volume engine manufacturer</w:t>
      </w:r>
      <w:r w:rsidRPr="000C627D">
        <w:rPr>
          <w:rFonts w:eastAsia="Arial Unicode MS"/>
        </w:rPr>
        <w:t xml:space="preserve">, </w:t>
      </w:r>
      <w:r w:rsidRPr="000C627D">
        <w:rPr>
          <w:rFonts w:eastAsia="Arial Unicode MS"/>
          <w:i/>
        </w:rPr>
        <w:t>Small</w:t>
      </w:r>
      <w:r w:rsidR="000C627D">
        <w:rPr>
          <w:rFonts w:eastAsia="Arial Unicode MS"/>
          <w:i/>
        </w:rPr>
        <w:noBreakHyphen/>
      </w:r>
      <w:r w:rsidRPr="000C627D">
        <w:rPr>
          <w:rFonts w:eastAsia="Arial Unicode MS"/>
          <w:i/>
        </w:rPr>
        <w:t>volume vessel manufacturer</w:t>
      </w:r>
      <w:r w:rsidRPr="000C627D">
        <w:rPr>
          <w:rFonts w:eastAsia="Arial Unicode MS"/>
        </w:rPr>
        <w:t xml:space="preserve">, </w:t>
      </w:r>
      <w:r w:rsidRPr="000C627D">
        <w:rPr>
          <w:rFonts w:eastAsia="Arial Unicode MS"/>
          <w:i/>
        </w:rPr>
        <w:t>Stoichiometric</w:t>
      </w:r>
      <w:r w:rsidRPr="000C627D">
        <w:rPr>
          <w:rFonts w:eastAsia="Arial Unicode MS"/>
        </w:rPr>
        <w:t xml:space="preserve">, </w:t>
      </w:r>
      <w:r w:rsidR="0036321C" w:rsidRPr="000C627D">
        <w:rPr>
          <w:rFonts w:eastAsia="Arial Unicode MS"/>
          <w:i/>
        </w:rPr>
        <w:t>Suspend</w:t>
      </w:r>
      <w:r w:rsidR="0036321C" w:rsidRPr="000C627D">
        <w:rPr>
          <w:rFonts w:eastAsia="Arial Unicode MS"/>
        </w:rPr>
        <w:t xml:space="preserve">, </w:t>
      </w:r>
      <w:r w:rsidRPr="000C627D">
        <w:rPr>
          <w:rFonts w:eastAsia="Arial Unicode MS"/>
          <w:i/>
        </w:rPr>
        <w:t>Ultimate purchaser</w:t>
      </w:r>
      <w:r w:rsidRPr="000C627D">
        <w:rPr>
          <w:rFonts w:eastAsia="Arial Unicode MS"/>
        </w:rPr>
        <w:t xml:space="preserve">, </w:t>
      </w:r>
      <w:r w:rsidRPr="000C627D">
        <w:rPr>
          <w:rFonts w:eastAsia="Arial Unicode MS"/>
          <w:i/>
        </w:rPr>
        <w:t>Under</w:t>
      </w:r>
      <w:r w:rsidR="000C627D">
        <w:rPr>
          <w:rFonts w:eastAsia="Arial Unicode MS"/>
          <w:i/>
        </w:rPr>
        <w:noBreakHyphen/>
      </w:r>
      <w:r w:rsidRPr="000C627D">
        <w:rPr>
          <w:rFonts w:eastAsia="Arial Unicode MS"/>
          <w:i/>
        </w:rPr>
        <w:t>cowl fuel line</w:t>
      </w:r>
      <w:r w:rsidRPr="000C627D">
        <w:rPr>
          <w:rFonts w:eastAsia="Arial Unicode MS"/>
        </w:rPr>
        <w:t xml:space="preserve">, </w:t>
      </w:r>
      <w:r w:rsidRPr="000C627D">
        <w:rPr>
          <w:rFonts w:eastAsia="Arial Unicode MS"/>
          <w:i/>
        </w:rPr>
        <w:t>United States</w:t>
      </w:r>
      <w:r w:rsidRPr="000C627D">
        <w:rPr>
          <w:rFonts w:eastAsia="Arial Unicode MS"/>
        </w:rPr>
        <w:t xml:space="preserve">, </w:t>
      </w:r>
      <w:r w:rsidRPr="000C627D">
        <w:rPr>
          <w:rFonts w:eastAsia="Arial Unicode MS"/>
          <w:i/>
        </w:rPr>
        <w:t>Upcoming model year</w:t>
      </w:r>
      <w:r w:rsidR="0036321C" w:rsidRPr="000C627D">
        <w:rPr>
          <w:rFonts w:eastAsia="Arial Unicode MS"/>
          <w:i/>
        </w:rPr>
        <w:t xml:space="preserve"> for an engine family</w:t>
      </w:r>
      <w:r w:rsidRPr="000C627D">
        <w:rPr>
          <w:rFonts w:eastAsia="Arial Unicode MS"/>
        </w:rPr>
        <w:t xml:space="preserve">, </w:t>
      </w:r>
      <w:r w:rsidR="004B40C0" w:rsidRPr="000C627D">
        <w:rPr>
          <w:rFonts w:eastAsia="Arial Unicode MS"/>
          <w:i/>
        </w:rPr>
        <w:t>U.S.</w:t>
      </w:r>
      <w:r w:rsidRPr="000C627D">
        <w:rPr>
          <w:rFonts w:eastAsia="Arial Unicode MS"/>
          <w:i/>
        </w:rPr>
        <w:t>–directed production volume</w:t>
      </w:r>
      <w:r w:rsidRPr="000C627D">
        <w:rPr>
          <w:rFonts w:eastAsia="Arial Unicode MS"/>
        </w:rPr>
        <w:t xml:space="preserve">, </w:t>
      </w:r>
      <w:r w:rsidRPr="000C627D">
        <w:rPr>
          <w:rFonts w:eastAsia="Arial Unicode MS"/>
          <w:i/>
        </w:rPr>
        <w:t>Variable</w:t>
      </w:r>
      <w:r w:rsidR="000C627D">
        <w:rPr>
          <w:rFonts w:eastAsia="Arial Unicode MS"/>
          <w:i/>
        </w:rPr>
        <w:noBreakHyphen/>
      </w:r>
      <w:r w:rsidRPr="000C627D">
        <w:rPr>
          <w:rFonts w:eastAsia="Arial Unicode MS"/>
          <w:i/>
        </w:rPr>
        <w:t>speed engine</w:t>
      </w:r>
      <w:r w:rsidRPr="000C627D">
        <w:rPr>
          <w:rFonts w:eastAsia="Arial Unicode MS"/>
        </w:rPr>
        <w:t xml:space="preserve">, </w:t>
      </w:r>
      <w:r w:rsidRPr="000C627D">
        <w:rPr>
          <w:rFonts w:eastAsia="Arial Unicode MS"/>
          <w:i/>
        </w:rPr>
        <w:t>Vessel</w:t>
      </w:r>
      <w:r w:rsidRPr="000C627D">
        <w:rPr>
          <w:rFonts w:eastAsia="Arial Unicode MS"/>
        </w:rPr>
        <w:t xml:space="preserve">, </w:t>
      </w:r>
      <w:r w:rsidRPr="000C627D">
        <w:rPr>
          <w:rFonts w:eastAsia="Arial Unicode MS"/>
          <w:i/>
        </w:rPr>
        <w:t>Volatile liquid fuel</w:t>
      </w:r>
      <w:r w:rsidR="004B40C0" w:rsidRPr="000C627D">
        <w:rPr>
          <w:rFonts w:eastAsia="Arial Unicode MS"/>
        </w:rPr>
        <w:t xml:space="preserve"> and</w:t>
      </w:r>
      <w:r w:rsidRPr="000C627D">
        <w:rPr>
          <w:rFonts w:eastAsia="Arial Unicode MS"/>
        </w:rPr>
        <w:t xml:space="preserve"> </w:t>
      </w:r>
      <w:r w:rsidRPr="000C627D">
        <w:rPr>
          <w:rFonts w:eastAsia="Arial Unicode MS"/>
          <w:i/>
        </w:rPr>
        <w:t>We (us, our)</w:t>
      </w:r>
      <w:r w:rsidRPr="000C627D">
        <w:t xml:space="preserve"> in section</w:t>
      </w:r>
      <w:r w:rsidR="000C627D" w:rsidRPr="000C627D">
        <w:t> </w:t>
      </w:r>
      <w:r w:rsidRPr="000C627D">
        <w:t>40 CFR 1045.801 are disregarded.</w:t>
      </w:r>
    </w:p>
    <w:p w:rsidR="004B40C0" w:rsidRPr="000C627D" w:rsidRDefault="004B40C0" w:rsidP="00A304D6">
      <w:pPr>
        <w:pStyle w:val="subsection"/>
      </w:pPr>
      <w:r w:rsidRPr="000C627D">
        <w:tab/>
        <w:t>(5)</w:t>
      </w:r>
      <w:r w:rsidRPr="000C627D">
        <w:tab/>
        <w:t xml:space="preserve">For the purposes of </w:t>
      </w:r>
      <w:r w:rsidR="000C627D" w:rsidRPr="000C627D">
        <w:t>paragraph (</w:t>
      </w:r>
      <w:r w:rsidRPr="000C627D">
        <w:t>2)(</w:t>
      </w:r>
      <w:r w:rsidR="00CC312B" w:rsidRPr="000C627D">
        <w:t>p</w:t>
      </w:r>
      <w:r w:rsidRPr="000C627D">
        <w:t xml:space="preserve">), the </w:t>
      </w:r>
      <w:r w:rsidR="00707CFF" w:rsidRPr="000C627D">
        <w:t>acronyms</w:t>
      </w:r>
      <w:r w:rsidRPr="000C627D">
        <w:t xml:space="preserve"> </w:t>
      </w:r>
      <w:proofErr w:type="spellStart"/>
      <w:r w:rsidRPr="000C627D">
        <w:t>ABT</w:t>
      </w:r>
      <w:proofErr w:type="spellEnd"/>
      <w:r w:rsidRPr="000C627D">
        <w:t>,</w:t>
      </w:r>
      <w:r w:rsidR="00CC312B" w:rsidRPr="000C627D">
        <w:t xml:space="preserve"> </w:t>
      </w:r>
      <w:proofErr w:type="spellStart"/>
      <w:r w:rsidR="00CC312B" w:rsidRPr="000C627D">
        <w:t>FEL</w:t>
      </w:r>
      <w:proofErr w:type="spellEnd"/>
      <w:r w:rsidR="00CC312B" w:rsidRPr="000C627D">
        <w:t xml:space="preserve">, NARA and </w:t>
      </w:r>
      <w:proofErr w:type="spellStart"/>
      <w:r w:rsidR="00CC312B" w:rsidRPr="000C627D">
        <w:t>U.S.C</w:t>
      </w:r>
      <w:proofErr w:type="spellEnd"/>
      <w:r w:rsidR="00CC312B" w:rsidRPr="000C627D">
        <w:t>. in</w:t>
      </w:r>
      <w:r w:rsidRPr="000C627D">
        <w:t xml:space="preserve"> 40 CFR 1045.805 are disregarded.</w:t>
      </w:r>
    </w:p>
    <w:p w:rsidR="001E14FE" w:rsidRPr="000C627D" w:rsidRDefault="006E7CE6" w:rsidP="001E14FE">
      <w:pPr>
        <w:pStyle w:val="ActHead5"/>
      </w:pPr>
      <w:bookmarkStart w:id="15" w:name="_Toc500512557"/>
      <w:r w:rsidRPr="000C627D">
        <w:rPr>
          <w:rStyle w:val="CharSectno"/>
        </w:rPr>
        <w:t>12</w:t>
      </w:r>
      <w:r w:rsidR="001E14FE" w:rsidRPr="000C627D">
        <w:t xml:space="preserve">  Australian emissions standard for </w:t>
      </w:r>
      <w:r w:rsidR="00F91E6E" w:rsidRPr="000C627D">
        <w:t>non</w:t>
      </w:r>
      <w:r w:rsidR="000C627D">
        <w:noBreakHyphen/>
      </w:r>
      <w:r w:rsidR="00F91E6E" w:rsidRPr="000C627D">
        <w:t>road engines</w:t>
      </w:r>
      <w:bookmarkEnd w:id="15"/>
    </w:p>
    <w:p w:rsidR="00F91E6E" w:rsidRPr="000C627D" w:rsidRDefault="001E14FE" w:rsidP="001E14FE">
      <w:pPr>
        <w:pStyle w:val="subsection"/>
      </w:pPr>
      <w:r w:rsidRPr="000C627D">
        <w:tab/>
      </w:r>
      <w:r w:rsidR="00640D81" w:rsidRPr="000C627D">
        <w:t>(1)</w:t>
      </w:r>
      <w:r w:rsidRPr="000C627D">
        <w:tab/>
        <w:t xml:space="preserve">The </w:t>
      </w:r>
      <w:r w:rsidRPr="000C627D">
        <w:rPr>
          <w:b/>
          <w:i/>
        </w:rPr>
        <w:t>Australian emissions standard</w:t>
      </w:r>
      <w:r w:rsidRPr="000C627D">
        <w:t xml:space="preserve"> for a </w:t>
      </w:r>
      <w:r w:rsidR="00F91E6E" w:rsidRPr="000C627D">
        <w:t>non</w:t>
      </w:r>
      <w:r w:rsidR="000C627D">
        <w:noBreakHyphen/>
      </w:r>
      <w:r w:rsidR="00F91E6E" w:rsidRPr="000C627D">
        <w:t>road engine</w:t>
      </w:r>
      <w:r w:rsidRPr="000C627D">
        <w:t xml:space="preserve"> consists of the requirements set out in</w:t>
      </w:r>
      <w:r w:rsidR="00F91E6E" w:rsidRPr="000C627D">
        <w:t xml:space="preserve"> this section</w:t>
      </w:r>
      <w:r w:rsidR="0092529B" w:rsidRPr="000C627D">
        <w:t xml:space="preserve"> and </w:t>
      </w:r>
      <w:r w:rsidR="00977804" w:rsidRPr="000C627D">
        <w:t>sub</w:t>
      </w:r>
      <w:r w:rsidR="0092529B" w:rsidRPr="000C627D">
        <w:t>section</w:t>
      </w:r>
      <w:r w:rsidR="000C627D" w:rsidRPr="000C627D">
        <w:t> </w:t>
      </w:r>
      <w:r w:rsidR="006E7CE6" w:rsidRPr="000C627D">
        <w:t>13</w:t>
      </w:r>
      <w:r w:rsidR="00977804" w:rsidRPr="000C627D">
        <w:t>(1)</w:t>
      </w:r>
      <w:r w:rsidR="00F91E6E" w:rsidRPr="000C627D">
        <w:t>.</w:t>
      </w:r>
    </w:p>
    <w:p w:rsidR="001E14FE" w:rsidRPr="000C627D" w:rsidRDefault="001E14FE" w:rsidP="00F91E6E">
      <w:pPr>
        <w:pStyle w:val="SubsectionHead"/>
      </w:pPr>
      <w:r w:rsidRPr="000C627D">
        <w:t>Technical requirements</w:t>
      </w:r>
    </w:p>
    <w:p w:rsidR="00F80233" w:rsidRPr="000C627D" w:rsidRDefault="001E14FE" w:rsidP="001E14FE">
      <w:pPr>
        <w:pStyle w:val="subsection"/>
      </w:pPr>
      <w:r w:rsidRPr="000C627D">
        <w:tab/>
        <w:t>(</w:t>
      </w:r>
      <w:r w:rsidR="00640D81" w:rsidRPr="000C627D">
        <w:t>2</w:t>
      </w:r>
      <w:r w:rsidRPr="000C627D">
        <w:t>)</w:t>
      </w:r>
      <w:r w:rsidRPr="000C627D">
        <w:tab/>
      </w:r>
      <w:r w:rsidR="002338BF" w:rsidRPr="000C627D">
        <w:t>T</w:t>
      </w:r>
      <w:r w:rsidRPr="000C627D">
        <w:t>he standard includes the requirements of</w:t>
      </w:r>
      <w:r w:rsidR="00F80233" w:rsidRPr="000C627D">
        <w:t xml:space="preserve"> the following provisions of </w:t>
      </w:r>
      <w:r w:rsidRPr="000C627D">
        <w:t>40 CFR 1054</w:t>
      </w:r>
      <w:r w:rsidR="00D14BFB" w:rsidRPr="000C627D">
        <w:t xml:space="preserve">, subject to </w:t>
      </w:r>
      <w:r w:rsidR="000C627D" w:rsidRPr="000C627D">
        <w:t>subsections (</w:t>
      </w:r>
      <w:r w:rsidR="00D14BFB" w:rsidRPr="000C627D">
        <w:t>3) to (5) of this section</w:t>
      </w:r>
      <w:r w:rsidR="00B53587" w:rsidRPr="000C627D">
        <w:t>:</w:t>
      </w:r>
    </w:p>
    <w:p w:rsidR="00FC3CAE" w:rsidRPr="000C627D" w:rsidRDefault="00F80233" w:rsidP="00FC3CAE">
      <w:pPr>
        <w:pStyle w:val="paragraph"/>
        <w:rPr>
          <w:rFonts w:eastAsia="Arial Unicode MS"/>
        </w:rPr>
      </w:pPr>
      <w:r w:rsidRPr="000C627D">
        <w:tab/>
        <w:t>(a)</w:t>
      </w:r>
      <w:r w:rsidRPr="000C627D">
        <w:tab/>
        <w:t>section</w:t>
      </w:r>
      <w:r w:rsidR="000C627D" w:rsidRPr="000C627D">
        <w:t> </w:t>
      </w:r>
      <w:r w:rsidRPr="000C627D">
        <w:t>1054.101</w:t>
      </w:r>
      <w:r w:rsidR="00D74C29" w:rsidRPr="000C627D">
        <w:t xml:space="preserve">, </w:t>
      </w:r>
      <w:r w:rsidRPr="000C627D">
        <w:t xml:space="preserve">other than </w:t>
      </w:r>
      <w:r w:rsidR="000C627D" w:rsidRPr="000C627D">
        <w:t>paragraphs (</w:t>
      </w:r>
      <w:r w:rsidR="001E14FE" w:rsidRPr="000C627D">
        <w:rPr>
          <w:rFonts w:eastAsia="Arial Unicode MS"/>
        </w:rPr>
        <w:t>b), (c) and (f)</w:t>
      </w:r>
      <w:r w:rsidR="00FC3CAE" w:rsidRPr="000C627D">
        <w:rPr>
          <w:rFonts w:eastAsia="Arial Unicode MS"/>
        </w:rPr>
        <w:t>;</w:t>
      </w:r>
    </w:p>
    <w:p w:rsidR="00FC3CAE" w:rsidRPr="000C627D" w:rsidRDefault="00FC3CAE" w:rsidP="00ED5A64">
      <w:pPr>
        <w:pStyle w:val="paragraph"/>
        <w:rPr>
          <w:rFonts w:eastAsia="Arial Unicode MS"/>
        </w:rPr>
      </w:pPr>
      <w:r w:rsidRPr="000C627D">
        <w:rPr>
          <w:rFonts w:eastAsia="Arial Unicode MS"/>
        </w:rPr>
        <w:tab/>
        <w:t>(b)</w:t>
      </w:r>
      <w:r w:rsidRPr="000C627D">
        <w:rPr>
          <w:rFonts w:eastAsia="Arial Unicode MS"/>
        </w:rPr>
        <w:tab/>
      </w:r>
      <w:r w:rsidR="00F80233" w:rsidRPr="000C627D">
        <w:rPr>
          <w:rFonts w:eastAsia="Arial Unicode MS"/>
        </w:rPr>
        <w:t>section</w:t>
      </w:r>
      <w:r w:rsidR="000C627D" w:rsidRPr="000C627D">
        <w:rPr>
          <w:rFonts w:eastAsia="Arial Unicode MS"/>
        </w:rPr>
        <w:t> </w:t>
      </w:r>
      <w:r w:rsidR="00F80233" w:rsidRPr="000C627D">
        <w:rPr>
          <w:rFonts w:eastAsia="Arial Unicode MS"/>
        </w:rPr>
        <w:t>1054.103</w:t>
      </w:r>
      <w:r w:rsidR="00D74C29" w:rsidRPr="000C627D">
        <w:rPr>
          <w:rFonts w:eastAsia="Arial Unicode MS"/>
        </w:rPr>
        <w:t xml:space="preserve">, </w:t>
      </w:r>
      <w:r w:rsidR="00F80233" w:rsidRPr="000C627D">
        <w:rPr>
          <w:rFonts w:eastAsia="Arial Unicode MS"/>
        </w:rPr>
        <w:t>other than</w:t>
      </w:r>
      <w:r w:rsidR="00ED5A64" w:rsidRPr="000C627D">
        <w:rPr>
          <w:rFonts w:eastAsia="Arial Unicode MS"/>
        </w:rPr>
        <w:t xml:space="preserve"> </w:t>
      </w:r>
      <w:r w:rsidR="000C627D" w:rsidRPr="000C627D">
        <w:rPr>
          <w:rFonts w:eastAsia="Arial Unicode MS"/>
        </w:rPr>
        <w:t>paragraph (</w:t>
      </w:r>
      <w:r w:rsidR="00F80233" w:rsidRPr="000C627D">
        <w:rPr>
          <w:rFonts w:eastAsia="Arial Unicode MS"/>
        </w:rPr>
        <w:t>b)</w:t>
      </w:r>
      <w:r w:rsidRPr="000C627D">
        <w:rPr>
          <w:rFonts w:eastAsia="Arial Unicode MS"/>
        </w:rPr>
        <w:t>;</w:t>
      </w:r>
    </w:p>
    <w:p w:rsidR="00E04D71" w:rsidRPr="000C627D" w:rsidRDefault="00FC3CAE" w:rsidP="00D14BFB">
      <w:pPr>
        <w:pStyle w:val="paragraph"/>
        <w:rPr>
          <w:rFonts w:eastAsia="Arial Unicode MS"/>
        </w:rPr>
      </w:pPr>
      <w:r w:rsidRPr="000C627D">
        <w:rPr>
          <w:rFonts w:eastAsia="Arial Unicode MS"/>
        </w:rPr>
        <w:tab/>
        <w:t>(c)</w:t>
      </w:r>
      <w:r w:rsidRPr="000C627D">
        <w:rPr>
          <w:rFonts w:eastAsia="Arial Unicode MS"/>
        </w:rPr>
        <w:tab/>
      </w:r>
      <w:r w:rsidR="00F80233" w:rsidRPr="000C627D">
        <w:rPr>
          <w:rFonts w:eastAsia="Arial Unicode MS"/>
        </w:rPr>
        <w:t>section</w:t>
      </w:r>
      <w:r w:rsidR="000C627D" w:rsidRPr="000C627D">
        <w:rPr>
          <w:rFonts w:eastAsia="Arial Unicode MS"/>
        </w:rPr>
        <w:t> </w:t>
      </w:r>
      <w:r w:rsidR="00F80233" w:rsidRPr="000C627D">
        <w:rPr>
          <w:rFonts w:eastAsia="Arial Unicode MS"/>
        </w:rPr>
        <w:t>1054.105</w:t>
      </w:r>
      <w:r w:rsidR="00D74C29" w:rsidRPr="000C627D">
        <w:rPr>
          <w:rFonts w:eastAsia="Arial Unicode MS"/>
        </w:rPr>
        <w:t xml:space="preserve">, </w:t>
      </w:r>
      <w:r w:rsidR="00D14BFB" w:rsidRPr="000C627D">
        <w:rPr>
          <w:rFonts w:eastAsia="Arial Unicode MS"/>
        </w:rPr>
        <w:t xml:space="preserve">other than </w:t>
      </w:r>
      <w:r w:rsidR="000C627D" w:rsidRPr="000C627D">
        <w:rPr>
          <w:rFonts w:eastAsia="Arial Unicode MS"/>
        </w:rPr>
        <w:t>paragraph (</w:t>
      </w:r>
      <w:r w:rsidR="00E04D71" w:rsidRPr="000C627D">
        <w:rPr>
          <w:rFonts w:eastAsia="Arial Unicode MS"/>
        </w:rPr>
        <w:t>b);</w:t>
      </w:r>
    </w:p>
    <w:p w:rsidR="00FC3CAE" w:rsidRPr="000C627D" w:rsidRDefault="00FC3CAE" w:rsidP="00FC3CAE">
      <w:pPr>
        <w:pStyle w:val="paragraph"/>
        <w:rPr>
          <w:rFonts w:eastAsia="Arial Unicode MS"/>
        </w:rPr>
      </w:pPr>
      <w:r w:rsidRPr="000C627D">
        <w:rPr>
          <w:rFonts w:eastAsia="Arial Unicode MS"/>
        </w:rPr>
        <w:tab/>
        <w:t>(d)</w:t>
      </w:r>
      <w:r w:rsidRPr="000C627D">
        <w:rPr>
          <w:rFonts w:eastAsia="Arial Unicode MS"/>
        </w:rPr>
        <w:tab/>
        <w:t>section</w:t>
      </w:r>
      <w:r w:rsidR="000C627D" w:rsidRPr="000C627D">
        <w:rPr>
          <w:rFonts w:eastAsia="Arial Unicode MS"/>
        </w:rPr>
        <w:t> </w:t>
      </w:r>
      <w:r w:rsidR="00F80233" w:rsidRPr="000C627D">
        <w:rPr>
          <w:rFonts w:eastAsia="Arial Unicode MS"/>
        </w:rPr>
        <w:t>1054.107</w:t>
      </w:r>
      <w:r w:rsidRPr="000C627D">
        <w:rPr>
          <w:rFonts w:eastAsia="Arial Unicode MS"/>
        </w:rPr>
        <w:t>;</w:t>
      </w:r>
    </w:p>
    <w:p w:rsidR="00FC3CAE" w:rsidRPr="000C627D" w:rsidRDefault="00FC3CAE" w:rsidP="00FC3CAE">
      <w:pPr>
        <w:pStyle w:val="paragraph"/>
        <w:rPr>
          <w:rFonts w:eastAsia="Arial Unicode MS"/>
        </w:rPr>
      </w:pPr>
      <w:r w:rsidRPr="000C627D">
        <w:rPr>
          <w:rFonts w:eastAsia="Arial Unicode MS"/>
        </w:rPr>
        <w:tab/>
        <w:t>(e)</w:t>
      </w:r>
      <w:r w:rsidRPr="000C627D">
        <w:rPr>
          <w:rFonts w:eastAsia="Arial Unicode MS"/>
        </w:rPr>
        <w:tab/>
        <w:t>section</w:t>
      </w:r>
      <w:r w:rsidR="000C627D" w:rsidRPr="000C627D">
        <w:rPr>
          <w:rFonts w:eastAsia="Arial Unicode MS"/>
        </w:rPr>
        <w:t> </w:t>
      </w:r>
      <w:r w:rsidRPr="000C627D">
        <w:rPr>
          <w:rFonts w:eastAsia="Arial Unicode MS"/>
        </w:rPr>
        <w:t>1054.115;</w:t>
      </w:r>
    </w:p>
    <w:p w:rsidR="001E14FE" w:rsidRPr="000C627D" w:rsidRDefault="00FC3CAE" w:rsidP="00FC3CAE">
      <w:pPr>
        <w:pStyle w:val="paragraph"/>
        <w:rPr>
          <w:rFonts w:eastAsia="Arial Unicode MS"/>
        </w:rPr>
      </w:pPr>
      <w:r w:rsidRPr="000C627D">
        <w:rPr>
          <w:rFonts w:eastAsia="Arial Unicode MS"/>
        </w:rPr>
        <w:tab/>
        <w:t>(f)</w:t>
      </w:r>
      <w:r w:rsidRPr="000C627D">
        <w:rPr>
          <w:rFonts w:eastAsia="Arial Unicode MS"/>
        </w:rPr>
        <w:tab/>
        <w:t>section</w:t>
      </w:r>
      <w:r w:rsidR="000C627D" w:rsidRPr="000C627D">
        <w:rPr>
          <w:rFonts w:eastAsia="Arial Unicode MS"/>
        </w:rPr>
        <w:t> </w:t>
      </w:r>
      <w:r w:rsidRPr="000C627D">
        <w:rPr>
          <w:rFonts w:eastAsia="Arial Unicode MS"/>
        </w:rPr>
        <w:t>1054.130</w:t>
      </w:r>
      <w:r w:rsidR="00D74C29" w:rsidRPr="000C627D">
        <w:rPr>
          <w:rFonts w:eastAsia="Arial Unicode MS"/>
        </w:rPr>
        <w:t xml:space="preserve">, </w:t>
      </w:r>
      <w:r w:rsidRPr="000C627D">
        <w:rPr>
          <w:rFonts w:eastAsia="Arial Unicode MS"/>
        </w:rPr>
        <w:t xml:space="preserve">other than </w:t>
      </w:r>
      <w:r w:rsidR="000C627D" w:rsidRPr="000C627D">
        <w:rPr>
          <w:rFonts w:eastAsia="Arial Unicode MS"/>
        </w:rPr>
        <w:t>paragraphs (</w:t>
      </w:r>
      <w:r w:rsidR="001E14FE" w:rsidRPr="000C627D">
        <w:rPr>
          <w:rFonts w:eastAsia="Arial Unicode MS"/>
        </w:rPr>
        <w:t>b)(2), (4) and (7);</w:t>
      </w:r>
    </w:p>
    <w:p w:rsidR="00B53587" w:rsidRPr="000C627D" w:rsidRDefault="00B53587" w:rsidP="00FC3CAE">
      <w:pPr>
        <w:pStyle w:val="paragraph"/>
        <w:rPr>
          <w:rFonts w:eastAsia="Arial Unicode MS"/>
        </w:rPr>
      </w:pPr>
      <w:r w:rsidRPr="000C627D">
        <w:rPr>
          <w:rFonts w:eastAsia="Arial Unicode MS"/>
        </w:rPr>
        <w:tab/>
        <w:t>(g)</w:t>
      </w:r>
      <w:r w:rsidRPr="000C627D">
        <w:rPr>
          <w:rFonts w:eastAsia="Arial Unicode MS"/>
        </w:rPr>
        <w:tab/>
        <w:t>section</w:t>
      </w:r>
      <w:r w:rsidR="000C627D" w:rsidRPr="000C627D">
        <w:rPr>
          <w:rFonts w:eastAsia="Arial Unicode MS"/>
        </w:rPr>
        <w:t> </w:t>
      </w:r>
      <w:r w:rsidRPr="000C627D">
        <w:rPr>
          <w:rFonts w:eastAsia="Arial Unicode MS"/>
        </w:rPr>
        <w:t>1054.140;</w:t>
      </w:r>
    </w:p>
    <w:p w:rsidR="00C651F9" w:rsidRPr="000C627D" w:rsidRDefault="00F80233" w:rsidP="00ED5A64">
      <w:pPr>
        <w:pStyle w:val="paragraph"/>
        <w:rPr>
          <w:rFonts w:eastAsia="Arial Unicode MS"/>
        </w:rPr>
      </w:pPr>
      <w:r w:rsidRPr="000C627D">
        <w:rPr>
          <w:rFonts w:eastAsia="Arial Unicode MS"/>
        </w:rPr>
        <w:tab/>
        <w:t>(</w:t>
      </w:r>
      <w:r w:rsidR="00B53587" w:rsidRPr="000C627D">
        <w:rPr>
          <w:rFonts w:eastAsia="Arial Unicode MS"/>
        </w:rPr>
        <w:t>h</w:t>
      </w:r>
      <w:r w:rsidRPr="000C627D">
        <w:rPr>
          <w:rFonts w:eastAsia="Arial Unicode MS"/>
        </w:rPr>
        <w:t>)</w:t>
      </w:r>
      <w:r w:rsidRPr="000C627D">
        <w:rPr>
          <w:rFonts w:eastAsia="Arial Unicode MS"/>
        </w:rPr>
        <w:tab/>
        <w:t>section</w:t>
      </w:r>
      <w:r w:rsidR="000C627D" w:rsidRPr="000C627D">
        <w:rPr>
          <w:rFonts w:eastAsia="Arial Unicode MS"/>
        </w:rPr>
        <w:t> </w:t>
      </w:r>
      <w:r w:rsidRPr="000C627D">
        <w:rPr>
          <w:rFonts w:eastAsia="Arial Unicode MS"/>
        </w:rPr>
        <w:t>1054.230</w:t>
      </w:r>
      <w:r w:rsidR="00ED5A64" w:rsidRPr="000C627D">
        <w:rPr>
          <w:rFonts w:eastAsia="Arial Unicode MS"/>
        </w:rPr>
        <w:t xml:space="preserve">, other than </w:t>
      </w:r>
      <w:r w:rsidR="000C627D" w:rsidRPr="000C627D">
        <w:rPr>
          <w:rFonts w:eastAsia="Arial Unicode MS"/>
        </w:rPr>
        <w:t>paragraphs (</w:t>
      </w:r>
      <w:r w:rsidR="00C651F9" w:rsidRPr="000C627D">
        <w:rPr>
          <w:rFonts w:eastAsia="Arial Unicode MS"/>
        </w:rPr>
        <w:t>d) and (f);</w:t>
      </w:r>
    </w:p>
    <w:p w:rsidR="00345F54" w:rsidRPr="000C627D" w:rsidRDefault="00C651F9" w:rsidP="00F80233">
      <w:pPr>
        <w:pStyle w:val="paragraph"/>
        <w:rPr>
          <w:rFonts w:eastAsia="Arial Unicode MS"/>
        </w:rPr>
      </w:pPr>
      <w:r w:rsidRPr="000C627D">
        <w:rPr>
          <w:rFonts w:eastAsia="Arial Unicode MS"/>
        </w:rPr>
        <w:tab/>
        <w:t>(</w:t>
      </w:r>
      <w:proofErr w:type="spellStart"/>
      <w:r w:rsidRPr="000C627D">
        <w:rPr>
          <w:rFonts w:eastAsia="Arial Unicode MS"/>
        </w:rPr>
        <w:t>i</w:t>
      </w:r>
      <w:proofErr w:type="spellEnd"/>
      <w:r w:rsidRPr="000C627D">
        <w:rPr>
          <w:rFonts w:eastAsia="Arial Unicode MS"/>
        </w:rPr>
        <w:t>)</w:t>
      </w:r>
      <w:r w:rsidRPr="000C627D">
        <w:rPr>
          <w:rFonts w:eastAsia="Arial Unicode MS"/>
        </w:rPr>
        <w:tab/>
        <w:t>section</w:t>
      </w:r>
      <w:r w:rsidR="000C627D" w:rsidRPr="000C627D">
        <w:rPr>
          <w:rFonts w:eastAsia="Arial Unicode MS"/>
        </w:rPr>
        <w:t> </w:t>
      </w:r>
      <w:r w:rsidRPr="000C627D">
        <w:rPr>
          <w:rFonts w:eastAsia="Arial Unicode MS"/>
        </w:rPr>
        <w:t>1054.235</w:t>
      </w:r>
      <w:r w:rsidR="00345F54" w:rsidRPr="000C627D">
        <w:rPr>
          <w:rFonts w:eastAsia="Arial Unicode MS"/>
        </w:rPr>
        <w:t xml:space="preserve">, other than </w:t>
      </w:r>
      <w:r w:rsidR="000C627D" w:rsidRPr="000C627D">
        <w:rPr>
          <w:rFonts w:eastAsia="Arial Unicode MS"/>
        </w:rPr>
        <w:t>paragraph (</w:t>
      </w:r>
      <w:r w:rsidR="00345F54" w:rsidRPr="000C627D">
        <w:rPr>
          <w:rFonts w:eastAsia="Arial Unicode MS"/>
        </w:rPr>
        <w:t>d);</w:t>
      </w:r>
    </w:p>
    <w:p w:rsidR="00427CC3" w:rsidRPr="000C627D" w:rsidRDefault="00345F54" w:rsidP="00F80233">
      <w:pPr>
        <w:pStyle w:val="paragraph"/>
        <w:rPr>
          <w:rFonts w:eastAsia="Arial Unicode MS"/>
        </w:rPr>
      </w:pPr>
      <w:r w:rsidRPr="000C627D">
        <w:rPr>
          <w:rFonts w:eastAsia="Arial Unicode MS"/>
        </w:rPr>
        <w:tab/>
        <w:t>(j)</w:t>
      </w:r>
      <w:r w:rsidRPr="000C627D">
        <w:rPr>
          <w:rFonts w:eastAsia="Arial Unicode MS"/>
        </w:rPr>
        <w:tab/>
        <w:t>section</w:t>
      </w:r>
      <w:r w:rsidR="000C627D" w:rsidRPr="000C627D">
        <w:rPr>
          <w:rFonts w:eastAsia="Arial Unicode MS"/>
        </w:rPr>
        <w:t> </w:t>
      </w:r>
      <w:r w:rsidR="00427CC3" w:rsidRPr="000C627D">
        <w:rPr>
          <w:rFonts w:eastAsia="Arial Unicode MS"/>
        </w:rPr>
        <w:t>1054.240</w:t>
      </w:r>
      <w:r w:rsidR="0036321C" w:rsidRPr="000C627D">
        <w:rPr>
          <w:rFonts w:eastAsia="Arial Unicode MS"/>
        </w:rPr>
        <w:t>;</w:t>
      </w:r>
    </w:p>
    <w:p w:rsidR="00F80233" w:rsidRPr="000C627D" w:rsidRDefault="00427CC3" w:rsidP="00F80233">
      <w:pPr>
        <w:pStyle w:val="paragraph"/>
        <w:rPr>
          <w:rFonts w:eastAsia="Arial Unicode MS"/>
        </w:rPr>
      </w:pPr>
      <w:r w:rsidRPr="000C627D">
        <w:rPr>
          <w:rFonts w:eastAsia="Arial Unicode MS"/>
        </w:rPr>
        <w:tab/>
        <w:t>(k)</w:t>
      </w:r>
      <w:r w:rsidRPr="000C627D">
        <w:rPr>
          <w:rFonts w:eastAsia="Arial Unicode MS"/>
        </w:rPr>
        <w:tab/>
        <w:t>section</w:t>
      </w:r>
      <w:r w:rsidR="000C627D" w:rsidRPr="000C627D">
        <w:rPr>
          <w:rFonts w:eastAsia="Arial Unicode MS"/>
        </w:rPr>
        <w:t> </w:t>
      </w:r>
      <w:r w:rsidR="00F80233" w:rsidRPr="000C627D">
        <w:rPr>
          <w:rFonts w:eastAsia="Arial Unicode MS"/>
        </w:rPr>
        <w:t>1054.245;</w:t>
      </w:r>
    </w:p>
    <w:p w:rsidR="00F80233" w:rsidRPr="000C627D" w:rsidRDefault="00FC3CAE" w:rsidP="00F80233">
      <w:pPr>
        <w:pStyle w:val="paragraph"/>
        <w:rPr>
          <w:rFonts w:eastAsia="Arial Unicode MS"/>
        </w:rPr>
      </w:pPr>
      <w:r w:rsidRPr="000C627D">
        <w:rPr>
          <w:rFonts w:eastAsia="Arial Unicode MS"/>
        </w:rPr>
        <w:tab/>
        <w:t>(</w:t>
      </w:r>
      <w:r w:rsidR="00427CC3" w:rsidRPr="000C627D">
        <w:rPr>
          <w:rFonts w:eastAsia="Arial Unicode MS"/>
        </w:rPr>
        <w:t>l</w:t>
      </w:r>
      <w:r w:rsidR="00B53587" w:rsidRPr="000C627D">
        <w:rPr>
          <w:rFonts w:eastAsia="Arial Unicode MS"/>
        </w:rPr>
        <w:t>)</w:t>
      </w:r>
      <w:r w:rsidR="00F80233" w:rsidRPr="000C627D">
        <w:rPr>
          <w:rFonts w:eastAsia="Arial Unicode MS"/>
        </w:rPr>
        <w:tab/>
        <w:t>subpart</w:t>
      </w:r>
      <w:r w:rsidR="000C627D" w:rsidRPr="000C627D">
        <w:rPr>
          <w:rFonts w:eastAsia="Arial Unicode MS"/>
        </w:rPr>
        <w:t> </w:t>
      </w:r>
      <w:r w:rsidR="00F80233" w:rsidRPr="000C627D">
        <w:rPr>
          <w:rFonts w:eastAsia="Arial Unicode MS"/>
        </w:rPr>
        <w:t>F</w:t>
      </w:r>
      <w:r w:rsidR="00E04D71" w:rsidRPr="000C627D">
        <w:rPr>
          <w:rFonts w:eastAsia="Arial Unicode MS"/>
        </w:rPr>
        <w:t>, other than paragraph</w:t>
      </w:r>
      <w:r w:rsidR="000C627D" w:rsidRPr="000C627D">
        <w:rPr>
          <w:rFonts w:eastAsia="Arial Unicode MS"/>
        </w:rPr>
        <w:t> </w:t>
      </w:r>
      <w:r w:rsidR="00E04D71" w:rsidRPr="000C627D">
        <w:rPr>
          <w:rFonts w:eastAsia="Arial Unicode MS"/>
        </w:rPr>
        <w:t>1054.501(a)</w:t>
      </w:r>
      <w:r w:rsidR="00F80233" w:rsidRPr="000C627D">
        <w:rPr>
          <w:rFonts w:eastAsia="Arial Unicode MS"/>
        </w:rPr>
        <w:t>;</w:t>
      </w:r>
    </w:p>
    <w:p w:rsidR="001E14FE" w:rsidRPr="000C627D" w:rsidRDefault="00C651F9" w:rsidP="00403448">
      <w:pPr>
        <w:pStyle w:val="paragraph"/>
        <w:rPr>
          <w:rFonts w:eastAsia="Arial Unicode MS"/>
        </w:rPr>
      </w:pPr>
      <w:r w:rsidRPr="000C627D">
        <w:rPr>
          <w:rFonts w:eastAsia="Arial Unicode MS"/>
        </w:rPr>
        <w:tab/>
        <w:t>(</w:t>
      </w:r>
      <w:r w:rsidR="00427CC3" w:rsidRPr="000C627D">
        <w:rPr>
          <w:rFonts w:eastAsia="Arial Unicode MS"/>
        </w:rPr>
        <w:t>m</w:t>
      </w:r>
      <w:r w:rsidR="00F80233" w:rsidRPr="000C627D">
        <w:rPr>
          <w:rFonts w:eastAsia="Arial Unicode MS"/>
        </w:rPr>
        <w:t>)</w:t>
      </w:r>
      <w:r w:rsidR="00F80233" w:rsidRPr="000C627D">
        <w:rPr>
          <w:rFonts w:eastAsia="Arial Unicode MS"/>
        </w:rPr>
        <w:tab/>
        <w:t>section</w:t>
      </w:r>
      <w:r w:rsidR="000C627D" w:rsidRPr="000C627D">
        <w:rPr>
          <w:rFonts w:eastAsia="Arial Unicode MS"/>
        </w:rPr>
        <w:t> </w:t>
      </w:r>
      <w:r w:rsidR="00F80233" w:rsidRPr="000C627D">
        <w:rPr>
          <w:rFonts w:eastAsia="Arial Unicode MS"/>
        </w:rPr>
        <w:t>1054.801, other than the definitions</w:t>
      </w:r>
      <w:r w:rsidR="00D14BFB" w:rsidRPr="000C627D">
        <w:rPr>
          <w:rFonts w:eastAsia="Arial Unicode MS"/>
        </w:rPr>
        <w:t xml:space="preserve"> mentioned in </w:t>
      </w:r>
      <w:r w:rsidR="000C627D" w:rsidRPr="000C627D">
        <w:rPr>
          <w:rFonts w:eastAsia="Arial Unicode MS"/>
        </w:rPr>
        <w:t>subsection (</w:t>
      </w:r>
      <w:r w:rsidR="00D14BFB" w:rsidRPr="000C627D">
        <w:rPr>
          <w:rFonts w:eastAsia="Arial Unicode MS"/>
        </w:rPr>
        <w:t>4) of this section</w:t>
      </w:r>
      <w:r w:rsidR="001E14FE" w:rsidRPr="000C627D">
        <w:rPr>
          <w:rFonts w:eastAsia="Arial Unicode MS"/>
        </w:rPr>
        <w:t>;</w:t>
      </w:r>
    </w:p>
    <w:p w:rsidR="00F80233" w:rsidRPr="000C627D" w:rsidRDefault="00FC3CAE" w:rsidP="00F80233">
      <w:pPr>
        <w:pStyle w:val="paragraph"/>
        <w:rPr>
          <w:rFonts w:eastAsia="Arial Unicode MS"/>
        </w:rPr>
      </w:pPr>
      <w:r w:rsidRPr="000C627D">
        <w:rPr>
          <w:rFonts w:eastAsia="Arial Unicode MS"/>
        </w:rPr>
        <w:tab/>
        <w:t>(</w:t>
      </w:r>
      <w:r w:rsidR="00427CC3" w:rsidRPr="000C627D">
        <w:rPr>
          <w:rFonts w:eastAsia="Arial Unicode MS"/>
        </w:rPr>
        <w:t>n</w:t>
      </w:r>
      <w:r w:rsidR="00C651F9" w:rsidRPr="000C627D">
        <w:rPr>
          <w:rFonts w:eastAsia="Arial Unicode MS"/>
        </w:rPr>
        <w:t>)</w:t>
      </w:r>
      <w:r w:rsidR="00C651F9" w:rsidRPr="000C627D">
        <w:rPr>
          <w:rFonts w:eastAsia="Arial Unicode MS"/>
        </w:rPr>
        <w:tab/>
        <w:t>section</w:t>
      </w:r>
      <w:r w:rsidR="000C627D" w:rsidRPr="000C627D">
        <w:rPr>
          <w:rFonts w:eastAsia="Arial Unicode MS"/>
        </w:rPr>
        <w:t> </w:t>
      </w:r>
      <w:r w:rsidR="00C651F9" w:rsidRPr="000C627D">
        <w:rPr>
          <w:rFonts w:eastAsia="Arial Unicode MS"/>
        </w:rPr>
        <w:t>1054.805</w:t>
      </w:r>
      <w:r w:rsidR="00D14BFB" w:rsidRPr="000C627D">
        <w:rPr>
          <w:rFonts w:eastAsia="Arial Unicode MS"/>
        </w:rPr>
        <w:t xml:space="preserve">, other than the acronyms mentioned in </w:t>
      </w:r>
      <w:r w:rsidR="000C627D" w:rsidRPr="000C627D">
        <w:rPr>
          <w:rFonts w:eastAsia="Arial Unicode MS"/>
        </w:rPr>
        <w:t>subsection (</w:t>
      </w:r>
      <w:r w:rsidR="00D14BFB" w:rsidRPr="000C627D">
        <w:rPr>
          <w:rFonts w:eastAsia="Arial Unicode MS"/>
        </w:rPr>
        <w:t>5) of this section</w:t>
      </w:r>
      <w:r w:rsidR="00C651F9" w:rsidRPr="000C627D">
        <w:rPr>
          <w:rFonts w:eastAsia="Arial Unicode MS"/>
        </w:rPr>
        <w:t>;</w:t>
      </w:r>
    </w:p>
    <w:p w:rsidR="00C651F9" w:rsidRPr="000C627D" w:rsidRDefault="00C651F9" w:rsidP="00F80233">
      <w:pPr>
        <w:pStyle w:val="paragraph"/>
        <w:rPr>
          <w:rFonts w:eastAsia="Arial Unicode MS"/>
        </w:rPr>
      </w:pPr>
      <w:r w:rsidRPr="000C627D">
        <w:rPr>
          <w:rFonts w:eastAsia="Arial Unicode MS"/>
        </w:rPr>
        <w:tab/>
        <w:t>(</w:t>
      </w:r>
      <w:r w:rsidR="00427CC3" w:rsidRPr="000C627D">
        <w:rPr>
          <w:rFonts w:eastAsia="Arial Unicode MS"/>
        </w:rPr>
        <w:t>o</w:t>
      </w:r>
      <w:r w:rsidRPr="000C627D">
        <w:rPr>
          <w:rFonts w:eastAsia="Arial Unicode MS"/>
        </w:rPr>
        <w:t>)</w:t>
      </w:r>
      <w:r w:rsidRPr="000C627D">
        <w:rPr>
          <w:rFonts w:eastAsia="Arial Unicode MS"/>
        </w:rPr>
        <w:tab/>
        <w:t>Appendix II</w:t>
      </w:r>
      <w:r w:rsidR="005A444D" w:rsidRPr="000C627D">
        <w:rPr>
          <w:rFonts w:eastAsia="Arial Unicode MS"/>
        </w:rPr>
        <w:t>.</w:t>
      </w:r>
    </w:p>
    <w:p w:rsidR="00F80233" w:rsidRPr="000C627D" w:rsidRDefault="00F80233" w:rsidP="00F80233">
      <w:pPr>
        <w:pStyle w:val="subsection"/>
        <w:rPr>
          <w:rFonts w:eastAsia="Arial Unicode MS"/>
        </w:rPr>
      </w:pPr>
      <w:r w:rsidRPr="000C627D">
        <w:rPr>
          <w:rFonts w:eastAsia="Arial Unicode MS"/>
        </w:rPr>
        <w:tab/>
        <w:t>(</w:t>
      </w:r>
      <w:r w:rsidR="00640D81" w:rsidRPr="000C627D">
        <w:rPr>
          <w:rFonts w:eastAsia="Arial Unicode MS"/>
        </w:rPr>
        <w:t>3</w:t>
      </w:r>
      <w:r w:rsidRPr="000C627D">
        <w:rPr>
          <w:rFonts w:eastAsia="Arial Unicode MS"/>
        </w:rPr>
        <w:t>)</w:t>
      </w:r>
      <w:r w:rsidRPr="000C627D">
        <w:rPr>
          <w:rFonts w:eastAsia="Arial Unicode MS"/>
        </w:rPr>
        <w:tab/>
        <w:t xml:space="preserve">For the purposes of </w:t>
      </w:r>
      <w:r w:rsidR="000C627D" w:rsidRPr="000C627D">
        <w:rPr>
          <w:rFonts w:eastAsia="Arial Unicode MS"/>
        </w:rPr>
        <w:t>subsection (</w:t>
      </w:r>
      <w:r w:rsidR="00640D81" w:rsidRPr="000C627D">
        <w:rPr>
          <w:rFonts w:eastAsia="Arial Unicode MS"/>
        </w:rPr>
        <w:t>2</w:t>
      </w:r>
      <w:r w:rsidRPr="000C627D">
        <w:rPr>
          <w:rFonts w:eastAsia="Arial Unicode MS"/>
        </w:rPr>
        <w:t>):</w:t>
      </w:r>
    </w:p>
    <w:p w:rsidR="00640D81" w:rsidRPr="000C627D" w:rsidRDefault="00640D81" w:rsidP="00DD3E74">
      <w:pPr>
        <w:pStyle w:val="paragraph"/>
      </w:pPr>
      <w:r w:rsidRPr="000C627D">
        <w:tab/>
        <w:t>(a)</w:t>
      </w:r>
      <w:r w:rsidRPr="000C627D">
        <w:tab/>
        <w:t>40 CFR</w:t>
      </w:r>
      <w:r w:rsidR="00DD3E74" w:rsidRPr="000C627D">
        <w:t xml:space="preserve"> is taken to apply to a non</w:t>
      </w:r>
      <w:r w:rsidR="000C627D">
        <w:noBreakHyphen/>
      </w:r>
      <w:r w:rsidR="00DD3E74" w:rsidRPr="000C627D">
        <w:t>road</w:t>
      </w:r>
      <w:r w:rsidRPr="000C627D">
        <w:t xml:space="preserve"> engine (within the meaning of this instrument)</w:t>
      </w:r>
      <w:r w:rsidR="00DD3E74" w:rsidRPr="000C627D">
        <w:t xml:space="preserve"> in the same way as 40 CFR applies to a new, spark</w:t>
      </w:r>
      <w:r w:rsidR="000C627D">
        <w:noBreakHyphen/>
      </w:r>
      <w:r w:rsidR="00DD3E74" w:rsidRPr="000C627D">
        <w:t>ignition engine (within the meaning of 40 CFR 1054)</w:t>
      </w:r>
      <w:r w:rsidRPr="000C627D">
        <w:t>; and</w:t>
      </w:r>
    </w:p>
    <w:p w:rsidR="001E14FE" w:rsidRPr="000C627D" w:rsidRDefault="001E14FE" w:rsidP="001E14FE">
      <w:pPr>
        <w:pStyle w:val="paragraph"/>
      </w:pPr>
      <w:r w:rsidRPr="000C627D">
        <w:tab/>
        <w:t>(b)</w:t>
      </w:r>
      <w:r w:rsidRPr="000C627D">
        <w:tab/>
        <w:t xml:space="preserve">a reference </w:t>
      </w:r>
      <w:r w:rsidR="002338BF" w:rsidRPr="000C627D">
        <w:t xml:space="preserve">in </w:t>
      </w:r>
      <w:r w:rsidR="00734565" w:rsidRPr="000C627D">
        <w:t>40 CFR</w:t>
      </w:r>
      <w:r w:rsidR="000636AC" w:rsidRPr="000C627D">
        <w:t xml:space="preserve"> </w:t>
      </w:r>
      <w:r w:rsidRPr="000C627D">
        <w:t xml:space="preserve">to </w:t>
      </w:r>
      <w:r w:rsidR="003C03C4" w:rsidRPr="000C627D">
        <w:t>“</w:t>
      </w:r>
      <w:r w:rsidRPr="000C627D">
        <w:t>we</w:t>
      </w:r>
      <w:r w:rsidR="003C03C4" w:rsidRPr="000C627D">
        <w:t>”</w:t>
      </w:r>
      <w:r w:rsidRPr="000C627D">
        <w:t xml:space="preserve"> or </w:t>
      </w:r>
      <w:r w:rsidR="003C03C4" w:rsidRPr="000C627D">
        <w:t>“</w:t>
      </w:r>
      <w:r w:rsidRPr="000C627D">
        <w:t>us</w:t>
      </w:r>
      <w:r w:rsidR="003C03C4" w:rsidRPr="000C627D">
        <w:t>”</w:t>
      </w:r>
      <w:r w:rsidRPr="000C627D">
        <w:t xml:space="preserve"> is taken to be a reference to </w:t>
      </w:r>
      <w:r w:rsidR="00640D81" w:rsidRPr="000C627D">
        <w:t xml:space="preserve">the Secretary </w:t>
      </w:r>
      <w:r w:rsidR="00DA6AA1" w:rsidRPr="000C627D">
        <w:t xml:space="preserve">(within the meaning of the </w:t>
      </w:r>
      <w:r w:rsidR="00DA6AA1" w:rsidRPr="000C627D">
        <w:rPr>
          <w:i/>
        </w:rPr>
        <w:t>Product Emissions Standards Act 2017</w:t>
      </w:r>
      <w:r w:rsidRPr="000C627D">
        <w:t xml:space="preserve">), and a reference to </w:t>
      </w:r>
      <w:r w:rsidR="003C03C4" w:rsidRPr="000C627D">
        <w:t>“</w:t>
      </w:r>
      <w:r w:rsidRPr="000C627D">
        <w:t>our</w:t>
      </w:r>
      <w:r w:rsidR="003C03C4" w:rsidRPr="000C627D">
        <w:t>”</w:t>
      </w:r>
      <w:r w:rsidRPr="000C627D">
        <w:t xml:space="preserve"> is modified in a</w:t>
      </w:r>
      <w:r w:rsidR="0050314A" w:rsidRPr="000C627D">
        <w:t xml:space="preserve"> corresponding </w:t>
      </w:r>
      <w:r w:rsidRPr="000C627D">
        <w:t>way;</w:t>
      </w:r>
      <w:r w:rsidR="00F80233" w:rsidRPr="000C627D">
        <w:t xml:space="preserve"> and</w:t>
      </w:r>
    </w:p>
    <w:p w:rsidR="0086498A" w:rsidRPr="000C627D" w:rsidRDefault="00F646C6" w:rsidP="001E14FE">
      <w:pPr>
        <w:pStyle w:val="paragraph"/>
      </w:pPr>
      <w:r w:rsidRPr="000C627D">
        <w:tab/>
        <w:t>(c)</w:t>
      </w:r>
      <w:r w:rsidRPr="000C627D">
        <w:tab/>
      </w:r>
      <w:r w:rsidR="00345F54" w:rsidRPr="000C627D">
        <w:t xml:space="preserve">a provision of </w:t>
      </w:r>
      <w:r w:rsidRPr="000C627D">
        <w:t xml:space="preserve">40 CFR </w:t>
      </w:r>
      <w:r w:rsidR="00345F54" w:rsidRPr="000C627D">
        <w:t xml:space="preserve">is disregarded to the extent it </w:t>
      </w:r>
      <w:r w:rsidR="00AF669E" w:rsidRPr="000C627D">
        <w:t>relates to</w:t>
      </w:r>
      <w:r w:rsidR="0086498A" w:rsidRPr="000C627D">
        <w:t>:</w:t>
      </w:r>
    </w:p>
    <w:p w:rsidR="0086498A" w:rsidRPr="000C627D" w:rsidRDefault="0086498A" w:rsidP="0086498A">
      <w:pPr>
        <w:pStyle w:val="paragraphsub"/>
      </w:pPr>
      <w:r w:rsidRPr="000C627D">
        <w:tab/>
        <w:t>(</w:t>
      </w:r>
      <w:proofErr w:type="spellStart"/>
      <w:r w:rsidRPr="000C627D">
        <w:t>i</w:t>
      </w:r>
      <w:proofErr w:type="spellEnd"/>
      <w:r w:rsidRPr="000C627D">
        <w:t>)</w:t>
      </w:r>
      <w:r w:rsidRPr="000C627D">
        <w:tab/>
        <w:t xml:space="preserve">averaging, banking, and trading (or </w:t>
      </w:r>
      <w:proofErr w:type="spellStart"/>
      <w:r w:rsidRPr="000C627D">
        <w:t>ABT</w:t>
      </w:r>
      <w:proofErr w:type="spellEnd"/>
      <w:r w:rsidRPr="000C627D">
        <w:t>); or</w:t>
      </w:r>
    </w:p>
    <w:p w:rsidR="0086498A" w:rsidRPr="000C627D" w:rsidRDefault="0086498A" w:rsidP="0086498A">
      <w:pPr>
        <w:pStyle w:val="paragraphsub"/>
      </w:pPr>
      <w:r w:rsidRPr="000C627D">
        <w:tab/>
        <w:t>(ii)</w:t>
      </w:r>
      <w:r w:rsidRPr="000C627D">
        <w:tab/>
        <w:t>the Clean Air Act; or</w:t>
      </w:r>
    </w:p>
    <w:p w:rsidR="0086498A" w:rsidRPr="000C627D" w:rsidRDefault="0086498A" w:rsidP="0086498A">
      <w:pPr>
        <w:pStyle w:val="paragraphsub"/>
      </w:pPr>
      <w:r w:rsidRPr="000C627D">
        <w:tab/>
        <w:t>(i</w:t>
      </w:r>
      <w:r w:rsidR="0036321C" w:rsidRPr="000C627D">
        <w:t>ii</w:t>
      </w:r>
      <w:r w:rsidRPr="000C627D">
        <w:t>)</w:t>
      </w:r>
      <w:r w:rsidRPr="000C627D">
        <w:tab/>
      </w:r>
      <w:r w:rsidR="00F646C6" w:rsidRPr="000C627D">
        <w:t>emissions credits</w:t>
      </w:r>
      <w:r w:rsidRPr="000C627D">
        <w:t>; or</w:t>
      </w:r>
    </w:p>
    <w:p w:rsidR="0036321C" w:rsidRPr="000C627D" w:rsidRDefault="0036321C" w:rsidP="0036321C">
      <w:pPr>
        <w:pStyle w:val="paragraphsub"/>
      </w:pPr>
      <w:r w:rsidRPr="000C627D">
        <w:tab/>
        <w:t>(iv)</w:t>
      </w:r>
      <w:r w:rsidRPr="000C627D">
        <w:tab/>
        <w:t>evaporative emissions requirements; or</w:t>
      </w:r>
    </w:p>
    <w:p w:rsidR="0086498A" w:rsidRPr="000C627D" w:rsidRDefault="0086498A" w:rsidP="0086498A">
      <w:pPr>
        <w:pStyle w:val="paragraphsub"/>
      </w:pPr>
      <w:r w:rsidRPr="000C627D">
        <w:tab/>
        <w:t>(v)</w:t>
      </w:r>
      <w:r w:rsidRPr="000C627D">
        <w:tab/>
      </w:r>
      <w:r w:rsidR="00345F54" w:rsidRPr="000C627D">
        <w:t>family emissions limits</w:t>
      </w:r>
      <w:r w:rsidR="00B46F4A" w:rsidRPr="000C627D">
        <w:t xml:space="preserve"> (or </w:t>
      </w:r>
      <w:proofErr w:type="spellStart"/>
      <w:r w:rsidR="00345F54" w:rsidRPr="000C627D">
        <w:t>FEL</w:t>
      </w:r>
      <w:proofErr w:type="spellEnd"/>
      <w:r w:rsidR="00B46F4A" w:rsidRPr="000C627D">
        <w:t>)</w:t>
      </w:r>
      <w:r w:rsidRPr="000C627D">
        <w:t>;</w:t>
      </w:r>
      <w:r w:rsidR="00034158" w:rsidRPr="000C627D">
        <w:t xml:space="preserve"> and</w:t>
      </w:r>
    </w:p>
    <w:p w:rsidR="00D14BFB" w:rsidRPr="000C627D" w:rsidRDefault="00D14BFB" w:rsidP="00D14BFB">
      <w:pPr>
        <w:pStyle w:val="paragraph"/>
      </w:pPr>
      <w:r w:rsidRPr="000C627D">
        <w:tab/>
        <w:t>(d)</w:t>
      </w:r>
      <w:r w:rsidRPr="000C627D">
        <w:tab/>
        <w:t>the following references in 40 CFR 1054 to model years are disregarded:</w:t>
      </w:r>
    </w:p>
    <w:p w:rsidR="00D14BFB" w:rsidRPr="000C627D" w:rsidRDefault="00D14BFB" w:rsidP="00D14BFB">
      <w:pPr>
        <w:pStyle w:val="paragraphsub"/>
      </w:pPr>
      <w:r w:rsidRPr="000C627D">
        <w:tab/>
        <w:t>(</w:t>
      </w:r>
      <w:proofErr w:type="spellStart"/>
      <w:r w:rsidRPr="000C627D">
        <w:t>i</w:t>
      </w:r>
      <w:proofErr w:type="spellEnd"/>
      <w:r w:rsidRPr="000C627D">
        <w:t>)</w:t>
      </w:r>
      <w:r w:rsidRPr="000C627D">
        <w:tab/>
        <w:t>the second sentence of paragraph</w:t>
      </w:r>
      <w:r w:rsidR="000C627D" w:rsidRPr="000C627D">
        <w:t> </w:t>
      </w:r>
      <w:r w:rsidRPr="000C627D">
        <w:t>1054.230(a);</w:t>
      </w:r>
    </w:p>
    <w:p w:rsidR="00D14BFB" w:rsidRPr="000C627D" w:rsidRDefault="00D14BFB" w:rsidP="00D14BFB">
      <w:pPr>
        <w:pStyle w:val="paragraphsub"/>
      </w:pPr>
      <w:r w:rsidRPr="000C627D">
        <w:tab/>
        <w:t>(ii)</w:t>
      </w:r>
      <w:r w:rsidRPr="000C627D">
        <w:tab/>
        <w:t xml:space="preserve">the words </w:t>
      </w:r>
      <w:r w:rsidR="003C03C4" w:rsidRPr="000C627D">
        <w:t>“</w:t>
      </w:r>
      <w:r w:rsidRPr="000C627D">
        <w:t>starting in the 2011 and 2012 model years, respectively</w:t>
      </w:r>
      <w:r w:rsidR="003C03C4" w:rsidRPr="000C627D">
        <w:t>”</w:t>
      </w:r>
      <w:r w:rsidRPr="000C627D">
        <w:t xml:space="preserve"> and </w:t>
      </w:r>
      <w:r w:rsidR="003C03C4" w:rsidRPr="000C627D">
        <w:t>“</w:t>
      </w:r>
      <w:r w:rsidRPr="000C627D">
        <w:t>starting in the 2013 model</w:t>
      </w:r>
      <w:r w:rsidR="00CB6ABF" w:rsidRPr="000C627D">
        <w:t xml:space="preserve"> year</w:t>
      </w:r>
      <w:r w:rsidR="003C03C4" w:rsidRPr="000C627D">
        <w:t>”</w:t>
      </w:r>
      <w:r w:rsidRPr="000C627D">
        <w:t xml:space="preserve"> in paragraph</w:t>
      </w:r>
      <w:r w:rsidR="000C627D" w:rsidRPr="000C627D">
        <w:t> </w:t>
      </w:r>
      <w:r w:rsidRPr="000C627D">
        <w:t>1054.235(g);</w:t>
      </w:r>
    </w:p>
    <w:p w:rsidR="00D14BFB" w:rsidRPr="000C627D" w:rsidRDefault="00D14BFB" w:rsidP="00D14BFB">
      <w:pPr>
        <w:pStyle w:val="paragraphsub"/>
      </w:pPr>
      <w:r w:rsidRPr="000C627D">
        <w:tab/>
        <w:t>(iii)</w:t>
      </w:r>
      <w:r w:rsidRPr="000C627D">
        <w:tab/>
        <w:t xml:space="preserve">the words </w:t>
      </w:r>
      <w:r w:rsidR="003C03C4" w:rsidRPr="000C627D">
        <w:t>“</w:t>
      </w:r>
      <w:r w:rsidRPr="000C627D">
        <w:t>in the same or earlier model years</w:t>
      </w:r>
      <w:r w:rsidR="003C03C4" w:rsidRPr="000C627D">
        <w:t>”</w:t>
      </w:r>
      <w:r w:rsidRPr="000C627D">
        <w:t xml:space="preserve"> in paragraph</w:t>
      </w:r>
      <w:r w:rsidR="000C627D" w:rsidRPr="000C627D">
        <w:t> </w:t>
      </w:r>
      <w:r w:rsidRPr="000C627D">
        <w:t>1054.245(a); and</w:t>
      </w:r>
    </w:p>
    <w:p w:rsidR="00D17A63" w:rsidRPr="000C627D" w:rsidRDefault="00D17A63" w:rsidP="00D17A63">
      <w:pPr>
        <w:pStyle w:val="paragraph"/>
      </w:pPr>
      <w:r w:rsidRPr="000C627D">
        <w:tab/>
        <w:t>(e)</w:t>
      </w:r>
      <w:r w:rsidRPr="000C627D">
        <w:tab/>
        <w:t>the following words in 40 CFR 1054 are disregard</w:t>
      </w:r>
      <w:r w:rsidR="00BA70E8" w:rsidRPr="000C627D">
        <w:t>ed</w:t>
      </w:r>
      <w:r w:rsidRPr="000C627D">
        <w:t>:</w:t>
      </w:r>
    </w:p>
    <w:p w:rsidR="00CB6ABF" w:rsidRPr="000C627D" w:rsidRDefault="00CB6ABF" w:rsidP="00D17A63">
      <w:pPr>
        <w:pStyle w:val="paragraphsub"/>
      </w:pPr>
      <w:r w:rsidRPr="000C627D">
        <w:tab/>
        <w:t>(</w:t>
      </w:r>
      <w:proofErr w:type="spellStart"/>
      <w:r w:rsidRPr="000C627D">
        <w:t>i</w:t>
      </w:r>
      <w:proofErr w:type="spellEnd"/>
      <w:r w:rsidRPr="000C627D">
        <w:t>)</w:t>
      </w:r>
      <w:r w:rsidRPr="000C627D">
        <w:tab/>
        <w:t>the second sentence of paragraph</w:t>
      </w:r>
      <w:r w:rsidR="000C627D" w:rsidRPr="000C627D">
        <w:t> </w:t>
      </w:r>
      <w:r w:rsidRPr="000C627D">
        <w:t>1054.130(b)(3);</w:t>
      </w:r>
    </w:p>
    <w:p w:rsidR="00211ABF" w:rsidRPr="000C627D" w:rsidRDefault="00211ABF" w:rsidP="00211ABF">
      <w:pPr>
        <w:pStyle w:val="paragraphsub"/>
      </w:pPr>
      <w:r w:rsidRPr="000C627D">
        <w:tab/>
        <w:t>(ii)</w:t>
      </w:r>
      <w:r w:rsidRPr="000C627D">
        <w:tab/>
        <w:t>the second sentence of paragraph</w:t>
      </w:r>
      <w:r w:rsidR="000C627D" w:rsidRPr="000C627D">
        <w:t> </w:t>
      </w:r>
      <w:r w:rsidRPr="000C627D">
        <w:t>1054.140(c);</w:t>
      </w:r>
    </w:p>
    <w:p w:rsidR="00D17A63" w:rsidRPr="000C627D" w:rsidRDefault="00D17A63" w:rsidP="00D17A63">
      <w:pPr>
        <w:pStyle w:val="paragraphsub"/>
      </w:pPr>
      <w:r w:rsidRPr="000C627D">
        <w:tab/>
        <w:t>(</w:t>
      </w:r>
      <w:r w:rsidR="00CB6ABF" w:rsidRPr="000C627D">
        <w:t>i</w:t>
      </w:r>
      <w:r w:rsidRPr="000C627D">
        <w:t>i</w:t>
      </w:r>
      <w:r w:rsidR="00211ABF" w:rsidRPr="000C627D">
        <w:t>i</w:t>
      </w:r>
      <w:r w:rsidRPr="000C627D">
        <w:t>)</w:t>
      </w:r>
      <w:r w:rsidRPr="000C627D">
        <w:tab/>
        <w:t xml:space="preserve">the </w:t>
      </w:r>
      <w:r w:rsidR="00F23DBC" w:rsidRPr="000C627D">
        <w:t xml:space="preserve">third sentence of </w:t>
      </w:r>
      <w:r w:rsidRPr="000C627D">
        <w:t>paragraph</w:t>
      </w:r>
      <w:r w:rsidR="000C627D" w:rsidRPr="000C627D">
        <w:t> </w:t>
      </w:r>
      <w:r w:rsidRPr="000C627D">
        <w:t>1054.235(g);</w:t>
      </w:r>
    </w:p>
    <w:p w:rsidR="00D17A63" w:rsidRPr="000C627D" w:rsidRDefault="00AD138A" w:rsidP="00AD138A">
      <w:pPr>
        <w:pStyle w:val="paragraphsub"/>
      </w:pPr>
      <w:r w:rsidRPr="000C627D">
        <w:tab/>
        <w:t>(i</w:t>
      </w:r>
      <w:r w:rsidR="00211ABF" w:rsidRPr="000C627D">
        <w:t>v</w:t>
      </w:r>
      <w:r w:rsidRPr="000C627D">
        <w:t>)</w:t>
      </w:r>
      <w:r w:rsidRPr="000C627D">
        <w:tab/>
        <w:t xml:space="preserve">the </w:t>
      </w:r>
      <w:r w:rsidR="00F543D4" w:rsidRPr="000C627D">
        <w:t xml:space="preserve">sixth sentence </w:t>
      </w:r>
      <w:r w:rsidR="00F23DBC" w:rsidRPr="000C627D">
        <w:t xml:space="preserve">of </w:t>
      </w:r>
      <w:r w:rsidRPr="000C627D">
        <w:t>paragraph</w:t>
      </w:r>
      <w:r w:rsidR="000C627D" w:rsidRPr="000C627D">
        <w:t> </w:t>
      </w:r>
      <w:r w:rsidR="00D17A63" w:rsidRPr="000C627D">
        <w:t>1054.240(c)</w:t>
      </w:r>
      <w:r w:rsidRPr="000C627D">
        <w:t>; and</w:t>
      </w:r>
    </w:p>
    <w:p w:rsidR="001E14FE" w:rsidRPr="000C627D" w:rsidRDefault="001E14FE" w:rsidP="001E14FE">
      <w:pPr>
        <w:pStyle w:val="paragraph"/>
      </w:pPr>
      <w:r w:rsidRPr="000C627D">
        <w:tab/>
        <w:t>(</w:t>
      </w:r>
      <w:r w:rsidR="00AD138A" w:rsidRPr="000C627D">
        <w:t>f</w:t>
      </w:r>
      <w:r w:rsidRPr="000C627D">
        <w:t>)</w:t>
      </w:r>
      <w:r w:rsidRPr="000C627D">
        <w:tab/>
      </w:r>
      <w:r w:rsidR="002338BF" w:rsidRPr="000C627D">
        <w:t xml:space="preserve">40 CFR </w:t>
      </w:r>
      <w:r w:rsidRPr="000C627D">
        <w:t>1054.501(b)(2) is taken to allow the use of unleaded petrol or premium unleaded petrol as an alternative to using fuels specified in 40 CFR 1065, subpart</w:t>
      </w:r>
      <w:r w:rsidR="000C627D" w:rsidRPr="000C627D">
        <w:t> </w:t>
      </w:r>
      <w:r w:rsidRPr="000C627D">
        <w:t xml:space="preserve">H, if that petrol complies with the fuel standard (within the meaning of the </w:t>
      </w:r>
      <w:r w:rsidRPr="000C627D">
        <w:rPr>
          <w:i/>
        </w:rPr>
        <w:t>Fuel Quality Standards Act 2000</w:t>
      </w:r>
      <w:r w:rsidRPr="000C627D">
        <w:t>) to which the petrol is subject.</w:t>
      </w:r>
    </w:p>
    <w:p w:rsidR="001E14FE" w:rsidRPr="000C627D" w:rsidRDefault="001E14FE" w:rsidP="00DA6AA1">
      <w:pPr>
        <w:pStyle w:val="noteToPara"/>
      </w:pPr>
      <w:r w:rsidRPr="000C627D">
        <w:t>Note:</w:t>
      </w:r>
      <w:r w:rsidRPr="000C627D">
        <w:tab/>
        <w:t xml:space="preserve">In 2017, the relevant fuel standard was the </w:t>
      </w:r>
      <w:r w:rsidRPr="000C627D">
        <w:rPr>
          <w:i/>
        </w:rPr>
        <w:t>Fuel Standard (Petrol) Determination</w:t>
      </w:r>
      <w:r w:rsidR="000C627D" w:rsidRPr="000C627D">
        <w:rPr>
          <w:i/>
        </w:rPr>
        <w:t> </w:t>
      </w:r>
      <w:r w:rsidRPr="000C627D">
        <w:rPr>
          <w:i/>
        </w:rPr>
        <w:t>2001</w:t>
      </w:r>
      <w:r w:rsidRPr="000C627D">
        <w:t>.</w:t>
      </w:r>
    </w:p>
    <w:p w:rsidR="008B608A" w:rsidRPr="000C627D" w:rsidRDefault="008B608A" w:rsidP="008B608A">
      <w:pPr>
        <w:pStyle w:val="subsection"/>
      </w:pPr>
      <w:r w:rsidRPr="000C627D">
        <w:tab/>
        <w:t>(4)</w:t>
      </w:r>
      <w:r w:rsidRPr="000C627D">
        <w:tab/>
        <w:t xml:space="preserve">For the purposes of </w:t>
      </w:r>
      <w:r w:rsidR="000C627D" w:rsidRPr="000C627D">
        <w:t>paragraph (</w:t>
      </w:r>
      <w:r w:rsidRPr="000C627D">
        <w:t>2)</w:t>
      </w:r>
      <w:r w:rsidR="00427CC3" w:rsidRPr="000C627D">
        <w:t>(m</w:t>
      </w:r>
      <w:r w:rsidRPr="000C627D">
        <w:t xml:space="preserve">), the definitions of </w:t>
      </w:r>
      <w:r w:rsidRPr="000C627D">
        <w:rPr>
          <w:rFonts w:eastAsia="Arial Unicode MS"/>
          <w:i/>
        </w:rPr>
        <w:t>Amphibious vehicle</w:t>
      </w:r>
      <w:r w:rsidRPr="000C627D">
        <w:rPr>
          <w:rFonts w:eastAsia="Arial Unicode MS"/>
        </w:rPr>
        <w:t xml:space="preserve">, </w:t>
      </w:r>
      <w:r w:rsidRPr="000C627D">
        <w:rPr>
          <w:rFonts w:eastAsia="Arial Unicode MS"/>
          <w:i/>
        </w:rPr>
        <w:t>Carryover</w:t>
      </w:r>
      <w:r w:rsidRPr="000C627D">
        <w:rPr>
          <w:rFonts w:eastAsia="Arial Unicode MS"/>
        </w:rPr>
        <w:t xml:space="preserve">, </w:t>
      </w:r>
      <w:r w:rsidRPr="000C627D">
        <w:rPr>
          <w:rFonts w:eastAsia="Arial Unicode MS"/>
          <w:i/>
        </w:rPr>
        <w:t>Certified emission level</w:t>
      </w:r>
      <w:r w:rsidRPr="000C627D">
        <w:rPr>
          <w:rFonts w:eastAsia="Arial Unicode MS"/>
        </w:rPr>
        <w:t xml:space="preserve">, </w:t>
      </w:r>
      <w:r w:rsidRPr="000C627D">
        <w:rPr>
          <w:rFonts w:eastAsia="Arial Unicode MS"/>
          <w:i/>
        </w:rPr>
        <w:t>Clean Air Act</w:t>
      </w:r>
      <w:r w:rsidRPr="000C627D">
        <w:rPr>
          <w:rFonts w:eastAsia="Arial Unicode MS"/>
        </w:rPr>
        <w:t xml:space="preserve">, </w:t>
      </w:r>
      <w:r w:rsidRPr="000C627D">
        <w:rPr>
          <w:rFonts w:eastAsia="Arial Unicode MS"/>
          <w:i/>
        </w:rPr>
        <w:t>Cold</w:t>
      </w:r>
      <w:r w:rsidR="000C627D">
        <w:rPr>
          <w:rFonts w:eastAsia="Arial Unicode MS"/>
          <w:i/>
        </w:rPr>
        <w:noBreakHyphen/>
      </w:r>
      <w:r w:rsidRPr="000C627D">
        <w:rPr>
          <w:rFonts w:eastAsia="Arial Unicode MS"/>
          <w:i/>
        </w:rPr>
        <w:t>weather equipment</w:t>
      </w:r>
      <w:r w:rsidRPr="000C627D">
        <w:rPr>
          <w:rFonts w:eastAsia="Arial Unicode MS"/>
        </w:rPr>
        <w:t xml:space="preserve">, </w:t>
      </w:r>
      <w:r w:rsidRPr="000C627D">
        <w:rPr>
          <w:rFonts w:eastAsia="Arial Unicode MS"/>
          <w:i/>
        </w:rPr>
        <w:t>Date of manufacture</w:t>
      </w:r>
      <w:r w:rsidRPr="000C627D">
        <w:rPr>
          <w:rFonts w:eastAsia="Arial Unicode MS"/>
        </w:rPr>
        <w:t xml:space="preserve">, </w:t>
      </w:r>
      <w:r w:rsidRPr="000C627D">
        <w:rPr>
          <w:rFonts w:eastAsia="Arial Unicode MS"/>
          <w:i/>
        </w:rPr>
        <w:t>Days</w:t>
      </w:r>
      <w:r w:rsidRPr="000C627D">
        <w:rPr>
          <w:rFonts w:eastAsia="Arial Unicode MS"/>
        </w:rPr>
        <w:t xml:space="preserve">, </w:t>
      </w:r>
      <w:r w:rsidRPr="000C627D">
        <w:rPr>
          <w:rFonts w:eastAsia="Arial Unicode MS"/>
          <w:i/>
        </w:rPr>
        <w:t>Designated Compliance Officer</w:t>
      </w:r>
      <w:r w:rsidRPr="000C627D">
        <w:rPr>
          <w:rFonts w:eastAsia="Arial Unicode MS"/>
        </w:rPr>
        <w:t xml:space="preserve">, </w:t>
      </w:r>
      <w:r w:rsidRPr="000C627D">
        <w:rPr>
          <w:rFonts w:eastAsia="Arial Unicode MS"/>
          <w:i/>
        </w:rPr>
        <w:t>Designated Enforcement Officer</w:t>
      </w:r>
      <w:r w:rsidRPr="000C627D">
        <w:rPr>
          <w:rFonts w:eastAsia="Arial Unicode MS"/>
        </w:rPr>
        <w:t xml:space="preserve">, </w:t>
      </w:r>
      <w:r w:rsidRPr="000C627D">
        <w:rPr>
          <w:rFonts w:eastAsia="Arial Unicode MS"/>
          <w:i/>
        </w:rPr>
        <w:t>Emission</w:t>
      </w:r>
      <w:r w:rsidR="000C627D">
        <w:rPr>
          <w:rFonts w:eastAsia="Arial Unicode MS"/>
          <w:i/>
        </w:rPr>
        <w:noBreakHyphen/>
      </w:r>
      <w:r w:rsidRPr="000C627D">
        <w:rPr>
          <w:rFonts w:eastAsia="Arial Unicode MS"/>
          <w:i/>
        </w:rPr>
        <w:t>data equipment</w:t>
      </w:r>
      <w:r w:rsidRPr="000C627D">
        <w:rPr>
          <w:rFonts w:eastAsia="Arial Unicode MS"/>
        </w:rPr>
        <w:t xml:space="preserve">, </w:t>
      </w:r>
      <w:r w:rsidRPr="000C627D">
        <w:rPr>
          <w:rFonts w:eastAsia="Arial Unicode MS"/>
          <w:i/>
        </w:rPr>
        <w:t>Emission</w:t>
      </w:r>
      <w:r w:rsidR="000C627D">
        <w:rPr>
          <w:rFonts w:eastAsia="Arial Unicode MS"/>
          <w:i/>
        </w:rPr>
        <w:noBreakHyphen/>
      </w:r>
      <w:r w:rsidRPr="000C627D">
        <w:rPr>
          <w:rFonts w:eastAsia="Arial Unicode MS"/>
          <w:i/>
        </w:rPr>
        <w:t>related maintenance</w:t>
      </w:r>
      <w:r w:rsidRPr="000C627D">
        <w:rPr>
          <w:rFonts w:eastAsia="Arial Unicode MS"/>
        </w:rPr>
        <w:t xml:space="preserve">, </w:t>
      </w:r>
      <w:r w:rsidRPr="000C627D">
        <w:rPr>
          <w:rFonts w:eastAsia="Arial Unicode MS"/>
          <w:i/>
        </w:rPr>
        <w:t>Engine</w:t>
      </w:r>
      <w:r w:rsidRPr="000C627D">
        <w:rPr>
          <w:rFonts w:eastAsia="Arial Unicode MS"/>
        </w:rPr>
        <w:t xml:space="preserve">, </w:t>
      </w:r>
      <w:r w:rsidRPr="000C627D">
        <w:rPr>
          <w:rFonts w:eastAsia="Arial Unicode MS"/>
          <w:i/>
        </w:rPr>
        <w:t>Engine manufacturer</w:t>
      </w:r>
      <w:r w:rsidRPr="000C627D">
        <w:rPr>
          <w:rFonts w:eastAsia="Arial Unicode MS"/>
        </w:rPr>
        <w:t xml:space="preserve">, </w:t>
      </w:r>
      <w:r w:rsidRPr="000C627D">
        <w:rPr>
          <w:rFonts w:eastAsia="Arial Unicode MS"/>
          <w:i/>
        </w:rPr>
        <w:t>Equipment manufacturer</w:t>
      </w:r>
      <w:r w:rsidRPr="000C627D">
        <w:rPr>
          <w:rFonts w:eastAsia="Arial Unicode MS"/>
        </w:rPr>
        <w:t xml:space="preserve">, </w:t>
      </w:r>
      <w:r w:rsidRPr="000C627D">
        <w:rPr>
          <w:rFonts w:eastAsia="Arial Unicode MS"/>
          <w:i/>
        </w:rPr>
        <w:t>Evaporative</w:t>
      </w:r>
      <w:r w:rsidRPr="000C627D">
        <w:rPr>
          <w:rFonts w:eastAsia="Arial Unicode MS"/>
        </w:rPr>
        <w:t xml:space="preserve">, </w:t>
      </w:r>
      <w:r w:rsidRPr="000C627D">
        <w:rPr>
          <w:rFonts w:eastAsia="Arial Unicode MS"/>
          <w:i/>
        </w:rPr>
        <w:t>Exempted</w:t>
      </w:r>
      <w:r w:rsidRPr="000C627D">
        <w:rPr>
          <w:rFonts w:eastAsia="Arial Unicode MS"/>
        </w:rPr>
        <w:t xml:space="preserve">, </w:t>
      </w:r>
      <w:r w:rsidRPr="000C627D">
        <w:rPr>
          <w:rFonts w:eastAsia="Arial Unicode MS"/>
          <w:i/>
        </w:rPr>
        <w:t>Family emission limit (</w:t>
      </w:r>
      <w:proofErr w:type="spellStart"/>
      <w:r w:rsidRPr="000C627D">
        <w:rPr>
          <w:rFonts w:eastAsia="Arial Unicode MS"/>
          <w:i/>
        </w:rPr>
        <w:t>FEL</w:t>
      </w:r>
      <w:proofErr w:type="spellEnd"/>
      <w:r w:rsidRPr="000C627D">
        <w:rPr>
          <w:rFonts w:eastAsia="Arial Unicode MS"/>
          <w:i/>
        </w:rPr>
        <w:t>)</w:t>
      </w:r>
      <w:r w:rsidRPr="000C627D">
        <w:rPr>
          <w:rFonts w:eastAsia="Arial Unicode MS"/>
        </w:rPr>
        <w:t xml:space="preserve">, </w:t>
      </w:r>
      <w:r w:rsidRPr="000C627D">
        <w:rPr>
          <w:rFonts w:eastAsia="Arial Unicode MS"/>
          <w:i/>
        </w:rPr>
        <w:t>Fuel line</w:t>
      </w:r>
      <w:r w:rsidRPr="000C627D">
        <w:rPr>
          <w:rFonts w:eastAsia="Arial Unicode MS"/>
        </w:rPr>
        <w:t xml:space="preserve">, </w:t>
      </w:r>
      <w:r w:rsidRPr="000C627D">
        <w:rPr>
          <w:rFonts w:eastAsia="Arial Unicode MS"/>
          <w:i/>
        </w:rPr>
        <w:t>Identification number</w:t>
      </w:r>
      <w:r w:rsidRPr="000C627D">
        <w:rPr>
          <w:rFonts w:eastAsia="Arial Unicode MS"/>
        </w:rPr>
        <w:t xml:space="preserve">, </w:t>
      </w:r>
      <w:r w:rsidRPr="000C627D">
        <w:rPr>
          <w:rFonts w:eastAsia="Arial Unicode MS"/>
          <w:i/>
        </w:rPr>
        <w:t>Integrated equipment manufacturer</w:t>
      </w:r>
      <w:r w:rsidRPr="000C627D">
        <w:rPr>
          <w:rFonts w:eastAsia="Arial Unicode MS"/>
        </w:rPr>
        <w:t xml:space="preserve">, </w:t>
      </w:r>
      <w:r w:rsidRPr="000C627D">
        <w:rPr>
          <w:rFonts w:eastAsia="Arial Unicode MS"/>
          <w:i/>
        </w:rPr>
        <w:t>Manufacturer</w:t>
      </w:r>
      <w:r w:rsidRPr="000C627D">
        <w:rPr>
          <w:rFonts w:eastAsia="Arial Unicode MS"/>
        </w:rPr>
        <w:t xml:space="preserve">, </w:t>
      </w:r>
      <w:r w:rsidRPr="000C627D">
        <w:rPr>
          <w:rFonts w:eastAsia="Arial Unicode MS"/>
          <w:i/>
        </w:rPr>
        <w:t>Marine engine</w:t>
      </w:r>
      <w:r w:rsidRPr="000C627D">
        <w:rPr>
          <w:rFonts w:eastAsia="Arial Unicode MS"/>
        </w:rPr>
        <w:t xml:space="preserve">, </w:t>
      </w:r>
      <w:r w:rsidRPr="000C627D">
        <w:rPr>
          <w:rFonts w:eastAsia="Arial Unicode MS"/>
          <w:i/>
        </w:rPr>
        <w:t>Marine generator engine</w:t>
      </w:r>
      <w:r w:rsidR="00550D27" w:rsidRPr="000C627D">
        <w:rPr>
          <w:rFonts w:eastAsia="Arial Unicode MS"/>
        </w:rPr>
        <w:t xml:space="preserve">, </w:t>
      </w:r>
      <w:r w:rsidRPr="000C627D">
        <w:rPr>
          <w:rFonts w:eastAsia="Arial Unicode MS"/>
          <w:i/>
        </w:rPr>
        <w:t>Marine vessel</w:t>
      </w:r>
      <w:r w:rsidRPr="000C627D">
        <w:rPr>
          <w:rFonts w:eastAsia="Arial Unicode MS"/>
        </w:rPr>
        <w:t xml:space="preserve">, </w:t>
      </w:r>
      <w:r w:rsidRPr="000C627D">
        <w:rPr>
          <w:rFonts w:eastAsia="Arial Unicode MS"/>
          <w:i/>
        </w:rPr>
        <w:t>Maximum test torque</w:t>
      </w:r>
      <w:r w:rsidRPr="000C627D">
        <w:rPr>
          <w:rFonts w:eastAsia="Arial Unicode MS"/>
        </w:rPr>
        <w:t xml:space="preserve">, </w:t>
      </w:r>
      <w:r w:rsidRPr="000C627D">
        <w:rPr>
          <w:rFonts w:eastAsia="Arial Unicode MS"/>
          <w:i/>
        </w:rPr>
        <w:t>Model year</w:t>
      </w:r>
      <w:r w:rsidRPr="000C627D">
        <w:rPr>
          <w:rFonts w:eastAsia="Arial Unicode MS"/>
        </w:rPr>
        <w:t xml:space="preserve">, </w:t>
      </w:r>
      <w:r w:rsidRPr="000C627D">
        <w:rPr>
          <w:rFonts w:eastAsia="Arial Unicode MS"/>
          <w:i/>
        </w:rPr>
        <w:t>Motor vehicle</w:t>
      </w:r>
      <w:r w:rsidRPr="000C627D">
        <w:rPr>
          <w:rFonts w:eastAsia="Arial Unicode MS"/>
        </w:rPr>
        <w:t xml:space="preserve">, </w:t>
      </w:r>
      <w:r w:rsidRPr="000C627D">
        <w:rPr>
          <w:rFonts w:eastAsia="Arial Unicode MS"/>
          <w:i/>
        </w:rPr>
        <w:t xml:space="preserve">New </w:t>
      </w:r>
      <w:proofErr w:type="spellStart"/>
      <w:r w:rsidRPr="000C627D">
        <w:rPr>
          <w:rFonts w:eastAsia="Arial Unicode MS"/>
          <w:i/>
        </w:rPr>
        <w:t>nonroad</w:t>
      </w:r>
      <w:proofErr w:type="spellEnd"/>
      <w:r w:rsidRPr="000C627D">
        <w:rPr>
          <w:rFonts w:eastAsia="Arial Unicode MS"/>
          <w:i/>
        </w:rPr>
        <w:t xml:space="preserve"> engine</w:t>
      </w:r>
      <w:r w:rsidRPr="000C627D">
        <w:rPr>
          <w:rFonts w:eastAsia="Arial Unicode MS"/>
        </w:rPr>
        <w:t xml:space="preserve">, </w:t>
      </w:r>
      <w:r w:rsidRPr="000C627D">
        <w:rPr>
          <w:rFonts w:eastAsia="Arial Unicode MS"/>
          <w:i/>
        </w:rPr>
        <w:t xml:space="preserve">New </w:t>
      </w:r>
      <w:proofErr w:type="spellStart"/>
      <w:r w:rsidRPr="000C627D">
        <w:rPr>
          <w:rFonts w:eastAsia="Arial Unicode MS"/>
          <w:i/>
        </w:rPr>
        <w:t>nonroad</w:t>
      </w:r>
      <w:proofErr w:type="spellEnd"/>
      <w:r w:rsidRPr="000C627D">
        <w:rPr>
          <w:rFonts w:eastAsia="Arial Unicode MS"/>
          <w:i/>
        </w:rPr>
        <w:t xml:space="preserve"> equipment</w:t>
      </w:r>
      <w:r w:rsidRPr="000C627D">
        <w:rPr>
          <w:rFonts w:eastAsia="Arial Unicode MS"/>
        </w:rPr>
        <w:t xml:space="preserve">, </w:t>
      </w:r>
      <w:r w:rsidRPr="000C627D">
        <w:rPr>
          <w:rFonts w:eastAsia="Arial Unicode MS"/>
          <w:i/>
        </w:rPr>
        <w:t>Noncompliant engine or non</w:t>
      </w:r>
      <w:r w:rsidR="000C627D">
        <w:rPr>
          <w:rFonts w:eastAsia="Arial Unicode MS"/>
          <w:i/>
        </w:rPr>
        <w:noBreakHyphen/>
      </w:r>
      <w:r w:rsidRPr="000C627D">
        <w:rPr>
          <w:rFonts w:eastAsia="Arial Unicode MS"/>
          <w:i/>
        </w:rPr>
        <w:t>compliant equipment</w:t>
      </w:r>
      <w:r w:rsidRPr="000C627D">
        <w:rPr>
          <w:rFonts w:eastAsia="Arial Unicode MS"/>
        </w:rPr>
        <w:t xml:space="preserve">, </w:t>
      </w:r>
      <w:r w:rsidRPr="000C627D">
        <w:rPr>
          <w:rFonts w:eastAsia="Arial Unicode MS"/>
          <w:i/>
        </w:rPr>
        <w:t>Nonconforming engine or nonconforming equipment</w:t>
      </w:r>
      <w:r w:rsidRPr="000C627D">
        <w:rPr>
          <w:rFonts w:eastAsia="Arial Unicode MS"/>
        </w:rPr>
        <w:t xml:space="preserve">, </w:t>
      </w:r>
      <w:proofErr w:type="spellStart"/>
      <w:r w:rsidRPr="000C627D">
        <w:rPr>
          <w:rFonts w:eastAsia="Arial Unicode MS"/>
          <w:i/>
        </w:rPr>
        <w:t>Nonintegrated</w:t>
      </w:r>
      <w:proofErr w:type="spellEnd"/>
      <w:r w:rsidRPr="000C627D">
        <w:rPr>
          <w:rFonts w:eastAsia="Arial Unicode MS"/>
          <w:i/>
        </w:rPr>
        <w:t xml:space="preserve"> equipment manufacturer</w:t>
      </w:r>
      <w:r w:rsidRPr="000C627D">
        <w:rPr>
          <w:rFonts w:eastAsia="Arial Unicode MS"/>
        </w:rPr>
        <w:t xml:space="preserve">, </w:t>
      </w:r>
      <w:proofErr w:type="spellStart"/>
      <w:r w:rsidRPr="000C627D">
        <w:rPr>
          <w:rFonts w:eastAsia="Arial Unicode MS"/>
          <w:i/>
        </w:rPr>
        <w:t>Nonroad</w:t>
      </w:r>
      <w:proofErr w:type="spellEnd"/>
      <w:r w:rsidRPr="000C627D">
        <w:rPr>
          <w:rFonts w:eastAsia="Arial Unicode MS"/>
        </w:rPr>
        <w:t xml:space="preserve">, </w:t>
      </w:r>
      <w:proofErr w:type="spellStart"/>
      <w:r w:rsidRPr="000C627D">
        <w:rPr>
          <w:rFonts w:eastAsia="Arial Unicode MS"/>
          <w:i/>
        </w:rPr>
        <w:t>Nonroad</w:t>
      </w:r>
      <w:proofErr w:type="spellEnd"/>
      <w:r w:rsidRPr="000C627D">
        <w:rPr>
          <w:rFonts w:eastAsia="Arial Unicode MS"/>
          <w:i/>
        </w:rPr>
        <w:t xml:space="preserve"> engine</w:t>
      </w:r>
      <w:r w:rsidRPr="000C627D">
        <w:rPr>
          <w:rFonts w:eastAsia="Arial Unicode MS"/>
        </w:rPr>
        <w:t xml:space="preserve">, </w:t>
      </w:r>
      <w:proofErr w:type="spellStart"/>
      <w:r w:rsidRPr="000C627D">
        <w:rPr>
          <w:rFonts w:eastAsia="Arial Unicode MS"/>
          <w:i/>
        </w:rPr>
        <w:t>Owners manual</w:t>
      </w:r>
      <w:proofErr w:type="spellEnd"/>
      <w:r w:rsidRPr="000C627D">
        <w:rPr>
          <w:rFonts w:eastAsia="Arial Unicode MS"/>
        </w:rPr>
        <w:t xml:space="preserve">, </w:t>
      </w:r>
      <w:r w:rsidRPr="000C627D">
        <w:rPr>
          <w:rFonts w:eastAsia="Arial Unicode MS"/>
          <w:i/>
        </w:rPr>
        <w:t>Permeation emissions</w:t>
      </w:r>
      <w:r w:rsidRPr="000C627D">
        <w:rPr>
          <w:rFonts w:eastAsia="Arial Unicode MS"/>
        </w:rPr>
        <w:t xml:space="preserve">, </w:t>
      </w:r>
      <w:r w:rsidRPr="000C627D">
        <w:rPr>
          <w:rFonts w:eastAsia="Arial Unicode MS"/>
          <w:i/>
        </w:rPr>
        <w:t>Placed into service</w:t>
      </w:r>
      <w:r w:rsidRPr="000C627D">
        <w:rPr>
          <w:rFonts w:eastAsia="Arial Unicode MS"/>
        </w:rPr>
        <w:t xml:space="preserve">, </w:t>
      </w:r>
      <w:r w:rsidRPr="000C627D">
        <w:rPr>
          <w:rFonts w:eastAsia="Arial Unicode MS"/>
          <w:i/>
        </w:rPr>
        <w:t>Pressurized oil system</w:t>
      </w:r>
      <w:r w:rsidRPr="000C627D">
        <w:rPr>
          <w:rFonts w:eastAsia="Arial Unicode MS"/>
        </w:rPr>
        <w:t xml:space="preserve">, </w:t>
      </w:r>
      <w:r w:rsidRPr="000C627D">
        <w:rPr>
          <w:rFonts w:eastAsia="Arial Unicode MS"/>
          <w:i/>
        </w:rPr>
        <w:t>Revoke</w:t>
      </w:r>
      <w:r w:rsidRPr="000C627D">
        <w:rPr>
          <w:rFonts w:eastAsia="Arial Unicode MS"/>
        </w:rPr>
        <w:t xml:space="preserve">, </w:t>
      </w:r>
      <w:r w:rsidRPr="000C627D">
        <w:rPr>
          <w:rFonts w:eastAsia="Arial Unicode MS"/>
          <w:i/>
        </w:rPr>
        <w:t>Running loss emissions</w:t>
      </w:r>
      <w:r w:rsidRPr="000C627D">
        <w:rPr>
          <w:rFonts w:eastAsia="Arial Unicode MS"/>
        </w:rPr>
        <w:t xml:space="preserve">, </w:t>
      </w:r>
      <w:r w:rsidRPr="000C627D">
        <w:rPr>
          <w:rFonts w:eastAsia="Arial Unicode MS"/>
          <w:i/>
        </w:rPr>
        <w:t>Scheduled maintenance</w:t>
      </w:r>
      <w:r w:rsidRPr="000C627D">
        <w:rPr>
          <w:rFonts w:eastAsia="Arial Unicode MS"/>
        </w:rPr>
        <w:t xml:space="preserve">, </w:t>
      </w:r>
      <w:r w:rsidRPr="000C627D">
        <w:rPr>
          <w:rFonts w:eastAsia="Arial Unicode MS"/>
          <w:i/>
        </w:rPr>
        <w:t>Side valve</w:t>
      </w:r>
      <w:r w:rsidRPr="000C627D">
        <w:rPr>
          <w:rFonts w:eastAsia="Arial Unicode MS"/>
        </w:rPr>
        <w:t xml:space="preserve">, </w:t>
      </w:r>
      <w:r w:rsidRPr="000C627D">
        <w:rPr>
          <w:rFonts w:eastAsia="Arial Unicode MS"/>
          <w:i/>
        </w:rPr>
        <w:t>Small</w:t>
      </w:r>
      <w:r w:rsidR="000C627D">
        <w:rPr>
          <w:rFonts w:eastAsia="Arial Unicode MS"/>
          <w:i/>
        </w:rPr>
        <w:noBreakHyphen/>
      </w:r>
      <w:r w:rsidRPr="000C627D">
        <w:rPr>
          <w:rFonts w:eastAsia="Arial Unicode MS"/>
          <w:i/>
        </w:rPr>
        <w:t>volume emission family</w:t>
      </w:r>
      <w:r w:rsidRPr="000C627D">
        <w:rPr>
          <w:rFonts w:eastAsia="Arial Unicode MS"/>
        </w:rPr>
        <w:t xml:space="preserve">, </w:t>
      </w:r>
      <w:r w:rsidRPr="000C627D">
        <w:rPr>
          <w:rFonts w:eastAsia="Arial Unicode MS"/>
          <w:i/>
        </w:rPr>
        <w:t>Small</w:t>
      </w:r>
      <w:r w:rsidR="000C627D">
        <w:rPr>
          <w:rFonts w:eastAsia="Arial Unicode MS"/>
          <w:i/>
        </w:rPr>
        <w:noBreakHyphen/>
      </w:r>
      <w:r w:rsidRPr="000C627D">
        <w:rPr>
          <w:rFonts w:eastAsia="Arial Unicode MS"/>
          <w:i/>
        </w:rPr>
        <w:t>volume engine manufacturer</w:t>
      </w:r>
      <w:r w:rsidRPr="000C627D">
        <w:rPr>
          <w:rFonts w:eastAsia="Arial Unicode MS"/>
        </w:rPr>
        <w:t xml:space="preserve">, </w:t>
      </w:r>
      <w:r w:rsidRPr="000C627D">
        <w:rPr>
          <w:rFonts w:eastAsia="Arial Unicode MS"/>
          <w:i/>
        </w:rPr>
        <w:t>Small</w:t>
      </w:r>
      <w:r w:rsidR="000C627D">
        <w:rPr>
          <w:rFonts w:eastAsia="Arial Unicode MS"/>
          <w:i/>
        </w:rPr>
        <w:noBreakHyphen/>
      </w:r>
      <w:r w:rsidRPr="000C627D">
        <w:rPr>
          <w:rFonts w:eastAsia="Arial Unicode MS"/>
          <w:i/>
        </w:rPr>
        <w:t>volume equipment manufacturer</w:t>
      </w:r>
      <w:r w:rsidRPr="000C627D">
        <w:rPr>
          <w:rFonts w:eastAsia="Arial Unicode MS"/>
        </w:rPr>
        <w:t xml:space="preserve">, </w:t>
      </w:r>
      <w:r w:rsidRPr="000C627D">
        <w:rPr>
          <w:rFonts w:eastAsia="Arial Unicode MS"/>
          <w:i/>
        </w:rPr>
        <w:t>Structurally integrated nylon fuel tank</w:t>
      </w:r>
      <w:r w:rsidRPr="000C627D">
        <w:rPr>
          <w:rFonts w:eastAsia="Arial Unicode MS"/>
        </w:rPr>
        <w:t xml:space="preserve">, </w:t>
      </w:r>
      <w:r w:rsidRPr="000C627D">
        <w:rPr>
          <w:rFonts w:eastAsia="Arial Unicode MS"/>
          <w:i/>
        </w:rPr>
        <w:t>Suspend</w:t>
      </w:r>
      <w:r w:rsidRPr="000C627D">
        <w:rPr>
          <w:rFonts w:eastAsia="Arial Unicode MS"/>
        </w:rPr>
        <w:t xml:space="preserve">, </w:t>
      </w:r>
      <w:r w:rsidRPr="000C627D">
        <w:rPr>
          <w:rFonts w:eastAsia="Arial Unicode MS"/>
          <w:i/>
        </w:rPr>
        <w:t>Tethered gas cap</w:t>
      </w:r>
      <w:r w:rsidRPr="000C627D">
        <w:rPr>
          <w:rFonts w:eastAsia="Arial Unicode MS"/>
        </w:rPr>
        <w:t xml:space="preserve">, </w:t>
      </w:r>
      <w:r w:rsidRPr="000C627D">
        <w:rPr>
          <w:rFonts w:eastAsia="Arial Unicode MS"/>
          <w:i/>
        </w:rPr>
        <w:t>Ultimate purchaser</w:t>
      </w:r>
      <w:r w:rsidRPr="000C627D">
        <w:rPr>
          <w:rFonts w:eastAsia="Arial Unicode MS"/>
        </w:rPr>
        <w:t xml:space="preserve">, </w:t>
      </w:r>
      <w:r w:rsidRPr="000C627D">
        <w:rPr>
          <w:rFonts w:eastAsia="Arial Unicode MS"/>
          <w:i/>
        </w:rPr>
        <w:t>United States</w:t>
      </w:r>
      <w:r w:rsidRPr="000C627D">
        <w:rPr>
          <w:rFonts w:eastAsia="Arial Unicode MS"/>
        </w:rPr>
        <w:t xml:space="preserve">, </w:t>
      </w:r>
      <w:r w:rsidRPr="000C627D">
        <w:rPr>
          <w:rFonts w:eastAsia="Arial Unicode MS"/>
          <w:i/>
        </w:rPr>
        <w:t>Upcoming model year</w:t>
      </w:r>
      <w:r w:rsidRPr="000C627D">
        <w:rPr>
          <w:rFonts w:eastAsia="Arial Unicode MS"/>
        </w:rPr>
        <w:t xml:space="preserve">, </w:t>
      </w:r>
      <w:r w:rsidRPr="000C627D">
        <w:rPr>
          <w:rFonts w:eastAsia="Arial Unicode MS"/>
          <w:i/>
        </w:rPr>
        <w:t>U.S.–directed production volume</w:t>
      </w:r>
      <w:r w:rsidRPr="000C627D">
        <w:rPr>
          <w:rFonts w:eastAsia="Arial Unicode MS"/>
        </w:rPr>
        <w:t xml:space="preserve">, </w:t>
      </w:r>
      <w:r w:rsidRPr="000C627D">
        <w:rPr>
          <w:rFonts w:eastAsia="Arial Unicode MS"/>
          <w:i/>
        </w:rPr>
        <w:t>Vessel</w:t>
      </w:r>
      <w:r w:rsidRPr="000C627D">
        <w:rPr>
          <w:rFonts w:eastAsia="Arial Unicode MS"/>
        </w:rPr>
        <w:t xml:space="preserve">, </w:t>
      </w:r>
      <w:r w:rsidRPr="000C627D">
        <w:rPr>
          <w:rFonts w:eastAsia="Arial Unicode MS"/>
          <w:i/>
        </w:rPr>
        <w:t>Volatile liquid fuel</w:t>
      </w:r>
      <w:r w:rsidRPr="000C627D">
        <w:rPr>
          <w:rFonts w:eastAsia="Arial Unicode MS"/>
        </w:rPr>
        <w:t xml:space="preserve"> and </w:t>
      </w:r>
      <w:r w:rsidRPr="000C627D">
        <w:rPr>
          <w:rFonts w:eastAsia="Arial Unicode MS"/>
          <w:i/>
        </w:rPr>
        <w:t>We (us, our)</w:t>
      </w:r>
      <w:r w:rsidRPr="000C627D">
        <w:t xml:space="preserve"> in section</w:t>
      </w:r>
      <w:r w:rsidR="000C627D" w:rsidRPr="000C627D">
        <w:t> </w:t>
      </w:r>
      <w:r w:rsidRPr="000C627D">
        <w:t>40 CFR 1054.801 are disregarded.</w:t>
      </w:r>
    </w:p>
    <w:p w:rsidR="00F14F9F" w:rsidRPr="000C627D" w:rsidRDefault="00F14F9F" w:rsidP="00F14F9F">
      <w:pPr>
        <w:pStyle w:val="subsection"/>
      </w:pPr>
      <w:r w:rsidRPr="000C627D">
        <w:tab/>
        <w:t>(5)</w:t>
      </w:r>
      <w:r w:rsidRPr="000C627D">
        <w:tab/>
        <w:t>For</w:t>
      </w:r>
      <w:r w:rsidR="00427CC3" w:rsidRPr="000C627D">
        <w:t xml:space="preserve"> the purposes of </w:t>
      </w:r>
      <w:r w:rsidR="000C627D" w:rsidRPr="000C627D">
        <w:t>paragraph (</w:t>
      </w:r>
      <w:r w:rsidR="00427CC3" w:rsidRPr="000C627D">
        <w:t>2)(n</w:t>
      </w:r>
      <w:r w:rsidRPr="000C627D">
        <w:t xml:space="preserve">), the acronyms </w:t>
      </w:r>
      <w:proofErr w:type="spellStart"/>
      <w:r w:rsidRPr="000C627D">
        <w:t>ABT</w:t>
      </w:r>
      <w:proofErr w:type="spellEnd"/>
      <w:r w:rsidRPr="000C627D">
        <w:t xml:space="preserve">, </w:t>
      </w:r>
      <w:proofErr w:type="spellStart"/>
      <w:r w:rsidRPr="000C627D">
        <w:t>FEL</w:t>
      </w:r>
      <w:proofErr w:type="spellEnd"/>
      <w:r w:rsidRPr="000C627D">
        <w:t xml:space="preserve"> and </w:t>
      </w:r>
      <w:proofErr w:type="spellStart"/>
      <w:r w:rsidRPr="000C627D">
        <w:t>U.S.C</w:t>
      </w:r>
      <w:proofErr w:type="spellEnd"/>
      <w:r w:rsidRPr="000C627D">
        <w:t>. in 40 CFR 1054.805 are disregarded.</w:t>
      </w:r>
    </w:p>
    <w:p w:rsidR="0092529B" w:rsidRPr="000C627D" w:rsidRDefault="006E7CE6" w:rsidP="00777044">
      <w:pPr>
        <w:pStyle w:val="ActHead5"/>
      </w:pPr>
      <w:bookmarkStart w:id="16" w:name="_Toc500512558"/>
      <w:r w:rsidRPr="000C627D">
        <w:rPr>
          <w:rStyle w:val="CharSectno"/>
        </w:rPr>
        <w:t>13</w:t>
      </w:r>
      <w:r w:rsidR="0092529B" w:rsidRPr="000C627D">
        <w:t xml:space="preserve">  Test facilities</w:t>
      </w:r>
      <w:bookmarkEnd w:id="16"/>
    </w:p>
    <w:p w:rsidR="0092529B" w:rsidRPr="000C627D" w:rsidRDefault="0092529B" w:rsidP="0092529B">
      <w:pPr>
        <w:pStyle w:val="subsection"/>
      </w:pPr>
      <w:r w:rsidRPr="000C627D">
        <w:tab/>
        <w:t>(1)</w:t>
      </w:r>
      <w:r w:rsidRPr="000C627D">
        <w:tab/>
        <w:t>Testing required by an Australian emissions standard must be carried out at a test facility:</w:t>
      </w:r>
    </w:p>
    <w:p w:rsidR="0092529B" w:rsidRPr="000C627D" w:rsidRDefault="0092529B" w:rsidP="0092529B">
      <w:pPr>
        <w:pStyle w:val="paragraph"/>
      </w:pPr>
      <w:r w:rsidRPr="000C627D">
        <w:tab/>
        <w:t>(a)</w:t>
      </w:r>
      <w:r w:rsidRPr="000C627D">
        <w:tab/>
        <w:t>in relation to which both of the following subparagraphs apply:</w:t>
      </w:r>
    </w:p>
    <w:p w:rsidR="0092529B" w:rsidRPr="000C627D" w:rsidRDefault="0092529B" w:rsidP="0092529B">
      <w:pPr>
        <w:pStyle w:val="paragraphsub"/>
      </w:pPr>
      <w:r w:rsidRPr="000C627D">
        <w:tab/>
        <w:t>(</w:t>
      </w:r>
      <w:proofErr w:type="spellStart"/>
      <w:r w:rsidRPr="000C627D">
        <w:t>i</w:t>
      </w:r>
      <w:proofErr w:type="spellEnd"/>
      <w:r w:rsidRPr="000C627D">
        <w:t>)</w:t>
      </w:r>
      <w:r w:rsidRPr="000C627D">
        <w:tab/>
        <w:t xml:space="preserve">the test facility is accredited by an </w:t>
      </w:r>
      <w:proofErr w:type="spellStart"/>
      <w:r w:rsidRPr="000C627D">
        <w:t>ILAC</w:t>
      </w:r>
      <w:proofErr w:type="spellEnd"/>
      <w:r w:rsidRPr="000C627D">
        <w:t xml:space="preserve"> accreditation body in accordance with the requirements of ISO/</w:t>
      </w:r>
      <w:proofErr w:type="spellStart"/>
      <w:r w:rsidRPr="000C627D">
        <w:t>IEC</w:t>
      </w:r>
      <w:proofErr w:type="spellEnd"/>
      <w:r w:rsidRPr="000C627D">
        <w:t xml:space="preserve"> 17025:2005, </w:t>
      </w:r>
      <w:r w:rsidRPr="000C627D">
        <w:rPr>
          <w:i/>
        </w:rPr>
        <w:t>General requirements for the competence of testing and calibration laboratories</w:t>
      </w:r>
      <w:r w:rsidRPr="000C627D">
        <w:t xml:space="preserve">, published by the International Organization for Standardization, as in force from time to time, or with any standard published by the International Organization for Standardization that replaces </w:t>
      </w:r>
      <w:r w:rsidRPr="000C627D">
        <w:rPr>
          <w:lang w:eastAsia="en-US"/>
        </w:rPr>
        <w:t>ISO/</w:t>
      </w:r>
      <w:proofErr w:type="spellStart"/>
      <w:r w:rsidRPr="000C627D">
        <w:rPr>
          <w:lang w:eastAsia="en-US"/>
        </w:rPr>
        <w:t>IEC</w:t>
      </w:r>
      <w:proofErr w:type="spellEnd"/>
      <w:r w:rsidRPr="000C627D">
        <w:rPr>
          <w:lang w:eastAsia="en-US"/>
        </w:rPr>
        <w:t xml:space="preserve"> </w:t>
      </w:r>
      <w:r w:rsidR="00293F29" w:rsidRPr="000C627D">
        <w:t>17025:2005</w:t>
      </w:r>
      <w:r w:rsidRPr="000C627D">
        <w:t>;</w:t>
      </w:r>
    </w:p>
    <w:p w:rsidR="0092529B" w:rsidRPr="000C627D" w:rsidRDefault="0092529B" w:rsidP="0092529B">
      <w:pPr>
        <w:pStyle w:val="paragraphsub"/>
      </w:pPr>
      <w:r w:rsidRPr="000C627D">
        <w:tab/>
        <w:t>(ii)</w:t>
      </w:r>
      <w:r w:rsidRPr="000C627D">
        <w:tab/>
        <w:t>the scope of that accreditation encompasses testing of the type required by the Australian emissions standard; or</w:t>
      </w:r>
    </w:p>
    <w:p w:rsidR="0092529B" w:rsidRPr="000C627D" w:rsidRDefault="0092529B" w:rsidP="0092529B">
      <w:pPr>
        <w:pStyle w:val="paragraph"/>
      </w:pPr>
      <w:r w:rsidRPr="000C627D">
        <w:tab/>
        <w:t>(b)</w:t>
      </w:r>
      <w:r w:rsidRPr="000C627D">
        <w:tab/>
        <w:t>in relation to which both of the following subparagraphs apply:</w:t>
      </w:r>
    </w:p>
    <w:p w:rsidR="0092529B" w:rsidRPr="000C627D" w:rsidRDefault="0092529B" w:rsidP="0092529B">
      <w:pPr>
        <w:pStyle w:val="paragraphsub"/>
      </w:pPr>
      <w:r w:rsidRPr="000C627D">
        <w:tab/>
        <w:t>(</w:t>
      </w:r>
      <w:proofErr w:type="spellStart"/>
      <w:r w:rsidRPr="000C627D">
        <w:t>i</w:t>
      </w:r>
      <w:proofErr w:type="spellEnd"/>
      <w:r w:rsidRPr="000C627D">
        <w:t>)</w:t>
      </w:r>
      <w:r w:rsidRPr="000C627D">
        <w:tab/>
        <w:t>testing to the requirements of the Australian emissions standard is able to be carried out at the facility;</w:t>
      </w:r>
    </w:p>
    <w:p w:rsidR="0092529B" w:rsidRPr="000C627D" w:rsidRDefault="00427CC3" w:rsidP="0092529B">
      <w:pPr>
        <w:pStyle w:val="paragraphsub"/>
      </w:pPr>
      <w:r w:rsidRPr="000C627D">
        <w:tab/>
        <w:t>(ii)</w:t>
      </w:r>
      <w:r w:rsidRPr="000C627D">
        <w:tab/>
        <w:t>systems in place in relation to</w:t>
      </w:r>
      <w:r w:rsidR="0092529B" w:rsidRPr="000C627D">
        <w:t xml:space="preserve"> the facility provide a level of assurance equivalent to that provided by the accreditation mentioned in </w:t>
      </w:r>
      <w:r w:rsidR="000C627D" w:rsidRPr="000C627D">
        <w:t>paragraph (</w:t>
      </w:r>
      <w:r w:rsidR="0092529B" w:rsidRPr="000C627D">
        <w:t>a) of this subsection.</w:t>
      </w:r>
    </w:p>
    <w:p w:rsidR="0092529B" w:rsidRPr="000C627D" w:rsidRDefault="0092529B" w:rsidP="0092529B">
      <w:pPr>
        <w:pStyle w:val="subsection"/>
      </w:pPr>
      <w:r w:rsidRPr="000C627D">
        <w:tab/>
        <w:t>(2)</w:t>
      </w:r>
      <w:r w:rsidRPr="000C627D">
        <w:tab/>
        <w:t xml:space="preserve">Each of the following is an </w:t>
      </w:r>
      <w:proofErr w:type="spellStart"/>
      <w:r w:rsidRPr="000C627D">
        <w:rPr>
          <w:b/>
          <w:i/>
        </w:rPr>
        <w:t>ILAC</w:t>
      </w:r>
      <w:proofErr w:type="spellEnd"/>
      <w:r w:rsidRPr="000C627D">
        <w:rPr>
          <w:b/>
          <w:i/>
        </w:rPr>
        <w:t xml:space="preserve"> accreditation body</w:t>
      </w:r>
      <w:r w:rsidRPr="000C627D">
        <w:t>:</w:t>
      </w:r>
    </w:p>
    <w:p w:rsidR="0092529B" w:rsidRPr="000C627D" w:rsidRDefault="0092529B" w:rsidP="0092529B">
      <w:pPr>
        <w:pStyle w:val="paragraph"/>
      </w:pPr>
      <w:r w:rsidRPr="000C627D">
        <w:tab/>
        <w:t>(a)</w:t>
      </w:r>
      <w:r w:rsidRPr="000C627D">
        <w:tab/>
        <w:t>National Association of Testing Authorities Australia;</w:t>
      </w:r>
    </w:p>
    <w:p w:rsidR="0092529B" w:rsidRPr="000C627D" w:rsidRDefault="0092529B" w:rsidP="0092529B">
      <w:pPr>
        <w:pStyle w:val="paragraph"/>
      </w:pPr>
      <w:r w:rsidRPr="000C627D">
        <w:tab/>
        <w:t>(b)</w:t>
      </w:r>
      <w:r w:rsidRPr="000C627D">
        <w:tab/>
        <w:t>an accreditation body that:</w:t>
      </w:r>
    </w:p>
    <w:p w:rsidR="0092529B" w:rsidRPr="000C627D" w:rsidRDefault="0092529B" w:rsidP="0092529B">
      <w:pPr>
        <w:pStyle w:val="paragraphsub"/>
      </w:pPr>
      <w:r w:rsidRPr="000C627D">
        <w:tab/>
        <w:t>(</w:t>
      </w:r>
      <w:proofErr w:type="spellStart"/>
      <w:r w:rsidRPr="000C627D">
        <w:t>i</w:t>
      </w:r>
      <w:proofErr w:type="spellEnd"/>
      <w:r w:rsidRPr="000C627D">
        <w:t>)</w:t>
      </w:r>
      <w:r w:rsidRPr="000C627D">
        <w:tab/>
        <w:t>operates in accor</w:t>
      </w:r>
      <w:r w:rsidRPr="000C627D">
        <w:rPr>
          <w:lang w:eastAsia="en-US"/>
        </w:rPr>
        <w:t>dance with ISO/</w:t>
      </w:r>
      <w:proofErr w:type="spellStart"/>
      <w:r w:rsidRPr="000C627D">
        <w:rPr>
          <w:lang w:eastAsia="en-US"/>
        </w:rPr>
        <w:t>IEC</w:t>
      </w:r>
      <w:proofErr w:type="spellEnd"/>
      <w:r w:rsidRPr="000C627D">
        <w:rPr>
          <w:lang w:eastAsia="en-US"/>
        </w:rPr>
        <w:t xml:space="preserve"> 17011:2004, </w:t>
      </w:r>
      <w:r w:rsidR="00C26E86" w:rsidRPr="000C627D">
        <w:rPr>
          <w:i/>
          <w:lang w:eastAsia="en-US"/>
        </w:rPr>
        <w:t xml:space="preserve">Conformity assessment </w:t>
      </w:r>
      <w:r w:rsidR="000C627D">
        <w:rPr>
          <w:i/>
          <w:lang w:eastAsia="en-US"/>
        </w:rPr>
        <w:noBreakHyphen/>
      </w:r>
      <w:r w:rsidR="00C26E86" w:rsidRPr="000C627D">
        <w:rPr>
          <w:i/>
          <w:lang w:eastAsia="en-US"/>
        </w:rPr>
        <w:t xml:space="preserve"> </w:t>
      </w:r>
      <w:r w:rsidRPr="000C627D">
        <w:rPr>
          <w:i/>
        </w:rPr>
        <w:t>General requirements for accreditation bodies accrediting conformity assessment bodies</w:t>
      </w:r>
      <w:r w:rsidRPr="000C627D">
        <w:t xml:space="preserve">, published by the International Organization for Standardization, as in force from time to time, or with any standard published by the International Organization for Standardization that replaces </w:t>
      </w:r>
      <w:r w:rsidRPr="000C627D">
        <w:rPr>
          <w:lang w:eastAsia="en-US"/>
        </w:rPr>
        <w:t>ISO/</w:t>
      </w:r>
      <w:proofErr w:type="spellStart"/>
      <w:r w:rsidRPr="000C627D">
        <w:rPr>
          <w:lang w:eastAsia="en-US"/>
        </w:rPr>
        <w:t>IEC</w:t>
      </w:r>
      <w:proofErr w:type="spellEnd"/>
      <w:r w:rsidRPr="000C627D">
        <w:rPr>
          <w:lang w:eastAsia="en-US"/>
        </w:rPr>
        <w:t xml:space="preserve"> 17011:2004</w:t>
      </w:r>
      <w:r w:rsidRPr="000C627D">
        <w:t>; and</w:t>
      </w:r>
    </w:p>
    <w:p w:rsidR="0092529B" w:rsidRPr="000C627D" w:rsidRDefault="0092529B" w:rsidP="0092529B">
      <w:pPr>
        <w:pStyle w:val="paragraphsub"/>
      </w:pPr>
      <w:r w:rsidRPr="000C627D">
        <w:tab/>
        <w:t>(ii)</w:t>
      </w:r>
      <w:r w:rsidRPr="000C627D">
        <w:tab/>
        <w:t>is a signatory to the International Laboratory Accreditation Cooperation Mutual Recognition Arrangement.</w:t>
      </w:r>
    </w:p>
    <w:p w:rsidR="00500EF4" w:rsidRPr="000C627D" w:rsidRDefault="006E7CE6" w:rsidP="00500EF4">
      <w:pPr>
        <w:pStyle w:val="ActHead5"/>
      </w:pPr>
      <w:bookmarkStart w:id="17" w:name="_Toc500512559"/>
      <w:r w:rsidRPr="000C627D">
        <w:rPr>
          <w:rStyle w:val="CharSectno"/>
        </w:rPr>
        <w:t>14</w:t>
      </w:r>
      <w:r w:rsidR="00500EF4" w:rsidRPr="000C627D">
        <w:t xml:space="preserve">  Secretary may have regard to how other regulatory authorities exercise powers</w:t>
      </w:r>
      <w:bookmarkEnd w:id="17"/>
    </w:p>
    <w:p w:rsidR="00500EF4" w:rsidRPr="000C627D" w:rsidRDefault="00500EF4" w:rsidP="00500EF4">
      <w:pPr>
        <w:pStyle w:val="subsection"/>
      </w:pPr>
      <w:r w:rsidRPr="000C627D">
        <w:tab/>
      </w:r>
      <w:r w:rsidRPr="000C627D">
        <w:tab/>
        <w:t xml:space="preserve">In making a decision under an Australian </w:t>
      </w:r>
      <w:r w:rsidR="003F636C" w:rsidRPr="000C627D">
        <w:t>e</w:t>
      </w:r>
      <w:r w:rsidRPr="000C627D">
        <w:t xml:space="preserve">missions </w:t>
      </w:r>
      <w:r w:rsidR="003F636C" w:rsidRPr="000C627D">
        <w:t>s</w:t>
      </w:r>
      <w:r w:rsidRPr="000C627D">
        <w:t>tandard, the Secretary may have regard to decisions made by other regulatory authorities under</w:t>
      </w:r>
      <w:r w:rsidR="003F636C" w:rsidRPr="000C627D">
        <w:t xml:space="preserve"> other</w:t>
      </w:r>
      <w:r w:rsidRPr="000C627D">
        <w:t xml:space="preserve"> emissions standards.</w:t>
      </w:r>
    </w:p>
    <w:p w:rsidR="00511EA4" w:rsidRPr="000C627D" w:rsidRDefault="00511EA4" w:rsidP="00511EA4">
      <w:pPr>
        <w:pStyle w:val="notetext"/>
        <w:rPr>
          <w:rFonts w:eastAsia="Arial Unicode MS"/>
        </w:rPr>
      </w:pPr>
      <w:r w:rsidRPr="000C627D">
        <w:rPr>
          <w:rFonts w:eastAsia="Arial Unicode MS"/>
        </w:rPr>
        <w:t>Example:</w:t>
      </w:r>
      <w:r w:rsidRPr="000C627D">
        <w:rPr>
          <w:rFonts w:eastAsia="Arial Unicode MS"/>
        </w:rPr>
        <w:tab/>
        <w:t>In considering whether to a</w:t>
      </w:r>
      <w:r w:rsidR="00EE63B3" w:rsidRPr="000C627D">
        <w:rPr>
          <w:rFonts w:eastAsia="Arial Unicode MS"/>
        </w:rPr>
        <w:t>pprove</w:t>
      </w:r>
      <w:r w:rsidRPr="000C627D">
        <w:rPr>
          <w:rFonts w:eastAsia="Arial Unicode MS"/>
        </w:rPr>
        <w:t xml:space="preserve"> an alternative test cycle, the Secretary may have regard to test cycles approved by the </w:t>
      </w:r>
      <w:r w:rsidR="001E4676" w:rsidRPr="000C627D">
        <w:rPr>
          <w:rFonts w:eastAsia="Arial Unicode MS"/>
        </w:rPr>
        <w:t xml:space="preserve">United States Environmental Protection Agency </w:t>
      </w:r>
      <w:r w:rsidRPr="000C627D">
        <w:rPr>
          <w:rFonts w:eastAsia="Arial Unicode MS"/>
        </w:rPr>
        <w:t>under 40 CFR 1065.10.</w:t>
      </w:r>
    </w:p>
    <w:p w:rsidR="0050314A" w:rsidRPr="000C627D" w:rsidRDefault="006E7CE6" w:rsidP="00CE10F5">
      <w:pPr>
        <w:pStyle w:val="ActHead5"/>
      </w:pPr>
      <w:bookmarkStart w:id="18" w:name="_Toc500512560"/>
      <w:r w:rsidRPr="000C627D">
        <w:rPr>
          <w:rStyle w:val="CharSectno"/>
        </w:rPr>
        <w:t>15</w:t>
      </w:r>
      <w:r w:rsidR="00CE10F5" w:rsidRPr="000C627D">
        <w:t xml:space="preserve">  </w:t>
      </w:r>
      <w:r w:rsidR="0083754A" w:rsidRPr="000C627D">
        <w:rPr>
          <w:noProof/>
        </w:rPr>
        <w:t xml:space="preserve">Incorporation of </w:t>
      </w:r>
      <w:r w:rsidR="00716B8E" w:rsidRPr="000C627D">
        <w:rPr>
          <w:noProof/>
        </w:rPr>
        <w:t>instruments etc.</w:t>
      </w:r>
      <w:r w:rsidR="00F67DAB" w:rsidRPr="000C627D">
        <w:rPr>
          <w:noProof/>
        </w:rPr>
        <w:t xml:space="preserve"> as in force from time to time—</w:t>
      </w:r>
      <w:r w:rsidR="00F67DAB" w:rsidRPr="000C627D">
        <w:t>prescribed</w:t>
      </w:r>
      <w:r w:rsidR="0083754A" w:rsidRPr="000C627D">
        <w:t xml:space="preserve"> organisation</w:t>
      </w:r>
      <w:r w:rsidR="0030338F" w:rsidRPr="000C627D">
        <w:t>s</w:t>
      </w:r>
      <w:bookmarkEnd w:id="18"/>
    </w:p>
    <w:p w:rsidR="00CE10F5" w:rsidRPr="000C627D" w:rsidRDefault="00CE10F5" w:rsidP="00CE10F5">
      <w:pPr>
        <w:pStyle w:val="subsection"/>
      </w:pPr>
      <w:r w:rsidRPr="000C627D">
        <w:tab/>
      </w:r>
      <w:r w:rsidRPr="000C627D">
        <w:tab/>
        <w:t>For the purposes of paragraph</w:t>
      </w:r>
      <w:r w:rsidR="000C627D" w:rsidRPr="000C627D">
        <w:t> </w:t>
      </w:r>
      <w:r w:rsidRPr="000C627D">
        <w:t>51(3)(d) of the Act, the United States Environmental Protection Agency is prescribed.</w:t>
      </w:r>
    </w:p>
    <w:p w:rsidR="00D9071A" w:rsidRPr="000C627D" w:rsidRDefault="00D9071A" w:rsidP="00CC36A1">
      <w:pPr>
        <w:pStyle w:val="ActHead2"/>
        <w:pageBreakBefore/>
      </w:pPr>
      <w:bookmarkStart w:id="19" w:name="_Toc500512561"/>
      <w:r w:rsidRPr="000C627D">
        <w:rPr>
          <w:rStyle w:val="CharPartNo"/>
        </w:rPr>
        <w:t>Part</w:t>
      </w:r>
      <w:r w:rsidR="000C627D" w:rsidRPr="000C627D">
        <w:rPr>
          <w:rStyle w:val="CharPartNo"/>
        </w:rPr>
        <w:t> </w:t>
      </w:r>
      <w:r w:rsidR="003E3017" w:rsidRPr="000C627D">
        <w:rPr>
          <w:rStyle w:val="CharPartNo"/>
        </w:rPr>
        <w:t>4</w:t>
      </w:r>
      <w:r w:rsidRPr="000C627D">
        <w:t>—</w:t>
      </w:r>
      <w:r w:rsidRPr="000C627D">
        <w:rPr>
          <w:rStyle w:val="CharPartText"/>
        </w:rPr>
        <w:t>Certification</w:t>
      </w:r>
      <w:bookmarkEnd w:id="19"/>
    </w:p>
    <w:p w:rsidR="00431E45" w:rsidRPr="000C627D" w:rsidRDefault="00D9071A" w:rsidP="00431E45">
      <w:pPr>
        <w:pStyle w:val="ActHead3"/>
      </w:pPr>
      <w:bookmarkStart w:id="20" w:name="_Toc500512562"/>
      <w:r w:rsidRPr="000C627D">
        <w:rPr>
          <w:rStyle w:val="CharDivNo"/>
        </w:rPr>
        <w:t>Division</w:t>
      </w:r>
      <w:r w:rsidR="000C627D" w:rsidRPr="000C627D">
        <w:rPr>
          <w:rStyle w:val="CharDivNo"/>
        </w:rPr>
        <w:t> </w:t>
      </w:r>
      <w:r w:rsidRPr="000C627D">
        <w:rPr>
          <w:rStyle w:val="CharDivNo"/>
        </w:rPr>
        <w:t>1</w:t>
      </w:r>
      <w:r w:rsidRPr="000C627D">
        <w:t>—</w:t>
      </w:r>
      <w:r w:rsidRPr="000C627D">
        <w:rPr>
          <w:rStyle w:val="CharDivText"/>
        </w:rPr>
        <w:t>Preliminary</w:t>
      </w:r>
      <w:bookmarkEnd w:id="20"/>
    </w:p>
    <w:p w:rsidR="00DA3733" w:rsidRPr="000C627D" w:rsidRDefault="006E7CE6" w:rsidP="00F67DAB">
      <w:pPr>
        <w:pStyle w:val="ActHead5"/>
      </w:pPr>
      <w:bookmarkStart w:id="21" w:name="_Toc500512563"/>
      <w:r w:rsidRPr="000C627D">
        <w:rPr>
          <w:rStyle w:val="CharSectno"/>
        </w:rPr>
        <w:t>16</w:t>
      </w:r>
      <w:r w:rsidR="00DA3733" w:rsidRPr="000C627D">
        <w:t xml:space="preserve">  Purposes of this Part</w:t>
      </w:r>
      <w:bookmarkEnd w:id="21"/>
    </w:p>
    <w:p w:rsidR="00DA3733" w:rsidRPr="000C627D" w:rsidRDefault="00DA3733" w:rsidP="00DA3733">
      <w:pPr>
        <w:pStyle w:val="subsection"/>
      </w:pPr>
      <w:r w:rsidRPr="000C627D">
        <w:tab/>
      </w:r>
      <w:r w:rsidRPr="000C627D">
        <w:tab/>
        <w:t>This Part is made for the purposes of section</w:t>
      </w:r>
      <w:r w:rsidR="000C627D" w:rsidRPr="000C627D">
        <w:t> </w:t>
      </w:r>
      <w:r w:rsidRPr="000C627D">
        <w:t>10 of the Act.</w:t>
      </w:r>
    </w:p>
    <w:p w:rsidR="00D9071A" w:rsidRPr="000C627D" w:rsidRDefault="006E7CE6" w:rsidP="00D9071A">
      <w:pPr>
        <w:pStyle w:val="ActHead5"/>
      </w:pPr>
      <w:bookmarkStart w:id="22" w:name="_Toc500512564"/>
      <w:r w:rsidRPr="000C627D">
        <w:rPr>
          <w:rStyle w:val="CharSectno"/>
        </w:rPr>
        <w:t>17</w:t>
      </w:r>
      <w:r w:rsidR="00D9071A" w:rsidRPr="000C627D">
        <w:t xml:space="preserve">  Types of certification</w:t>
      </w:r>
      <w:bookmarkEnd w:id="22"/>
    </w:p>
    <w:p w:rsidR="00B4748D" w:rsidRPr="000C627D" w:rsidRDefault="00D9071A" w:rsidP="00D9071A">
      <w:pPr>
        <w:pStyle w:val="subsection"/>
      </w:pPr>
      <w:r w:rsidRPr="000C627D">
        <w:tab/>
      </w:r>
      <w:r w:rsidRPr="000C627D">
        <w:tab/>
        <w:t>For the purposes of subsection</w:t>
      </w:r>
      <w:r w:rsidR="000C627D" w:rsidRPr="000C627D">
        <w:t> </w:t>
      </w:r>
      <w:r w:rsidRPr="000C627D">
        <w:t>10(1) of the Act, an emissions</w:t>
      </w:r>
      <w:r w:rsidR="000C627D">
        <w:noBreakHyphen/>
      </w:r>
      <w:r w:rsidRPr="000C627D">
        <w:t>controlled product is certified for the purposes of the Act if</w:t>
      </w:r>
      <w:r w:rsidR="00B4748D" w:rsidRPr="000C627D">
        <w:t xml:space="preserve"> the product is:</w:t>
      </w:r>
    </w:p>
    <w:p w:rsidR="00D9071A" w:rsidRPr="000C627D" w:rsidRDefault="00B4748D" w:rsidP="00B4748D">
      <w:pPr>
        <w:pStyle w:val="paragraph"/>
      </w:pPr>
      <w:r w:rsidRPr="000C627D">
        <w:tab/>
        <w:t>(a)</w:t>
      </w:r>
      <w:r w:rsidRPr="000C627D">
        <w:tab/>
      </w:r>
      <w:r w:rsidR="00D9071A" w:rsidRPr="000C627D">
        <w:t>Australian</w:t>
      </w:r>
      <w:r w:rsidR="00037BE0" w:rsidRPr="000C627D">
        <w:t xml:space="preserve"> </w:t>
      </w:r>
      <w:r w:rsidR="00D9071A" w:rsidRPr="000C627D">
        <w:t>certified (see Division</w:t>
      </w:r>
      <w:r w:rsidR="000C627D" w:rsidRPr="000C627D">
        <w:t> </w:t>
      </w:r>
      <w:r w:rsidR="00D9071A" w:rsidRPr="000C627D">
        <w:t>2</w:t>
      </w:r>
      <w:r w:rsidR="002B7F07" w:rsidRPr="000C627D">
        <w:t xml:space="preserve"> of this Part</w:t>
      </w:r>
      <w:r w:rsidR="00D9071A" w:rsidRPr="000C627D">
        <w:t>); or</w:t>
      </w:r>
    </w:p>
    <w:p w:rsidR="00D9071A" w:rsidRPr="000C627D" w:rsidRDefault="00D9071A" w:rsidP="00D9071A">
      <w:pPr>
        <w:pStyle w:val="paragraph"/>
      </w:pPr>
      <w:r w:rsidRPr="000C627D">
        <w:tab/>
        <w:t>(b)</w:t>
      </w:r>
      <w:r w:rsidRPr="000C627D">
        <w:tab/>
        <w:t>foreign</w:t>
      </w:r>
      <w:r w:rsidR="00037BE0" w:rsidRPr="000C627D">
        <w:t xml:space="preserve"> </w:t>
      </w:r>
      <w:r w:rsidRPr="000C627D">
        <w:t>certified (see Division</w:t>
      </w:r>
      <w:r w:rsidR="000C627D" w:rsidRPr="000C627D">
        <w:t> </w:t>
      </w:r>
      <w:r w:rsidRPr="000C627D">
        <w:t>3</w:t>
      </w:r>
      <w:r w:rsidR="00B81659" w:rsidRPr="000C627D">
        <w:t xml:space="preserve"> of this Part</w:t>
      </w:r>
      <w:r w:rsidRPr="000C627D">
        <w:t>).</w:t>
      </w:r>
    </w:p>
    <w:p w:rsidR="00D9071A" w:rsidRPr="000C627D" w:rsidRDefault="00D9071A" w:rsidP="00D9071A">
      <w:pPr>
        <w:pStyle w:val="ActHead3"/>
        <w:pageBreakBefore/>
      </w:pPr>
      <w:bookmarkStart w:id="23" w:name="_Toc500512565"/>
      <w:r w:rsidRPr="000C627D">
        <w:rPr>
          <w:rStyle w:val="CharDivNo"/>
        </w:rPr>
        <w:t>Division</w:t>
      </w:r>
      <w:r w:rsidR="000C627D" w:rsidRPr="000C627D">
        <w:rPr>
          <w:rStyle w:val="CharDivNo"/>
        </w:rPr>
        <w:t> </w:t>
      </w:r>
      <w:r w:rsidRPr="000C627D">
        <w:rPr>
          <w:rStyle w:val="CharDivNo"/>
        </w:rPr>
        <w:t>2</w:t>
      </w:r>
      <w:r w:rsidRPr="000C627D">
        <w:t>—</w:t>
      </w:r>
      <w:r w:rsidRPr="000C627D">
        <w:rPr>
          <w:rStyle w:val="CharDivText"/>
        </w:rPr>
        <w:t>Australian certifica</w:t>
      </w:r>
      <w:r w:rsidR="002B7F07" w:rsidRPr="000C627D">
        <w:rPr>
          <w:rStyle w:val="CharDivText"/>
        </w:rPr>
        <w:t>tion</w:t>
      </w:r>
      <w:bookmarkEnd w:id="23"/>
    </w:p>
    <w:p w:rsidR="006D7815" w:rsidRPr="000C627D" w:rsidRDefault="006D7815" w:rsidP="00697FB1">
      <w:pPr>
        <w:pStyle w:val="ActHead4"/>
      </w:pPr>
      <w:bookmarkStart w:id="24" w:name="_Toc500512566"/>
      <w:r w:rsidRPr="000C627D">
        <w:rPr>
          <w:rStyle w:val="CharSubdNo"/>
        </w:rPr>
        <w:t>Subdivision A</w:t>
      </w:r>
      <w:r w:rsidRPr="000C627D">
        <w:t>—</w:t>
      </w:r>
      <w:r w:rsidR="00A457BA" w:rsidRPr="000C627D">
        <w:rPr>
          <w:rStyle w:val="CharSubdText"/>
        </w:rPr>
        <w:t>Australian certification</w:t>
      </w:r>
      <w:bookmarkEnd w:id="24"/>
    </w:p>
    <w:p w:rsidR="006D7815" w:rsidRPr="000C627D" w:rsidRDefault="006E7CE6" w:rsidP="006D7815">
      <w:pPr>
        <w:pStyle w:val="ActHead5"/>
      </w:pPr>
      <w:bookmarkStart w:id="25" w:name="_Toc500512567"/>
      <w:r w:rsidRPr="000C627D">
        <w:rPr>
          <w:rStyle w:val="CharSectno"/>
        </w:rPr>
        <w:t>18</w:t>
      </w:r>
      <w:r w:rsidR="006D7815" w:rsidRPr="000C627D">
        <w:t xml:space="preserve">  Applying for certification</w:t>
      </w:r>
      <w:bookmarkEnd w:id="25"/>
    </w:p>
    <w:p w:rsidR="002E77BD" w:rsidRPr="000C627D" w:rsidRDefault="006D7815" w:rsidP="00734565">
      <w:pPr>
        <w:pStyle w:val="subsection"/>
      </w:pPr>
      <w:r w:rsidRPr="000C627D">
        <w:tab/>
        <w:t>(1)</w:t>
      </w:r>
      <w:r w:rsidRPr="000C627D">
        <w:tab/>
        <w:t xml:space="preserve">A person may apply </w:t>
      </w:r>
      <w:r w:rsidR="002B7F07" w:rsidRPr="000C627D">
        <w:t xml:space="preserve">to the Secretary </w:t>
      </w:r>
      <w:r w:rsidR="0060283A" w:rsidRPr="000C627D">
        <w:t>for certification of</w:t>
      </w:r>
      <w:r w:rsidR="00734565" w:rsidRPr="000C627D">
        <w:t xml:space="preserve"> </w:t>
      </w:r>
      <w:r w:rsidR="00062CB6" w:rsidRPr="000C627D">
        <w:t xml:space="preserve">specified </w:t>
      </w:r>
      <w:r w:rsidR="00734565" w:rsidRPr="000C627D">
        <w:t>emissions</w:t>
      </w:r>
      <w:r w:rsidR="000C627D">
        <w:noBreakHyphen/>
      </w:r>
      <w:r w:rsidR="00734565" w:rsidRPr="000C627D">
        <w:t xml:space="preserve">controlled products in a single </w:t>
      </w:r>
      <w:r w:rsidR="00F91E6E" w:rsidRPr="000C627D">
        <w:t>engine famil</w:t>
      </w:r>
      <w:r w:rsidR="002E77BD" w:rsidRPr="000C627D">
        <w:t>y.</w:t>
      </w:r>
    </w:p>
    <w:p w:rsidR="00F91E6E" w:rsidRPr="000C627D" w:rsidRDefault="008A0890" w:rsidP="00734565">
      <w:pPr>
        <w:pStyle w:val="subsection"/>
      </w:pPr>
      <w:r w:rsidRPr="000C627D">
        <w:tab/>
        <w:t>(2</w:t>
      </w:r>
      <w:r w:rsidR="00F91E6E" w:rsidRPr="000C627D">
        <w:t>)</w:t>
      </w:r>
      <w:r w:rsidR="00F91E6E" w:rsidRPr="000C627D">
        <w:tab/>
        <w:t xml:space="preserve">An </w:t>
      </w:r>
      <w:r w:rsidR="00F91E6E" w:rsidRPr="000C627D">
        <w:rPr>
          <w:b/>
          <w:i/>
        </w:rPr>
        <w:t>engine family</w:t>
      </w:r>
      <w:r w:rsidR="00F91E6E" w:rsidRPr="000C627D">
        <w:t xml:space="preserve"> is:</w:t>
      </w:r>
    </w:p>
    <w:p w:rsidR="00F91E6E" w:rsidRPr="000C627D" w:rsidRDefault="00F91E6E" w:rsidP="00F91E6E">
      <w:pPr>
        <w:pStyle w:val="paragraph"/>
      </w:pPr>
      <w:r w:rsidRPr="000C627D">
        <w:tab/>
        <w:t>(a)</w:t>
      </w:r>
      <w:r w:rsidRPr="000C627D">
        <w:tab/>
        <w:t xml:space="preserve">the </w:t>
      </w:r>
      <w:r w:rsidR="00AF29F1" w:rsidRPr="000C627D">
        <w:t>propulsion marine engine</w:t>
      </w:r>
      <w:r w:rsidRPr="000C627D">
        <w:t>s in an engine family (within the meaning of 40 CFR 1045, disregarding the requirement in that part that the engine family be limited to a single model year); or</w:t>
      </w:r>
    </w:p>
    <w:p w:rsidR="00F91E6E" w:rsidRPr="000C627D" w:rsidRDefault="00F91E6E" w:rsidP="00F91E6E">
      <w:pPr>
        <w:pStyle w:val="paragraph"/>
      </w:pPr>
      <w:r w:rsidRPr="000C627D">
        <w:tab/>
        <w:t>(b)</w:t>
      </w:r>
      <w:r w:rsidRPr="000C627D">
        <w:tab/>
        <w:t>the non</w:t>
      </w:r>
      <w:r w:rsidR="000C627D">
        <w:noBreakHyphen/>
      </w:r>
      <w:r w:rsidRPr="000C627D">
        <w:t xml:space="preserve">road engines in an </w:t>
      </w:r>
      <w:r w:rsidR="002F1B10" w:rsidRPr="000C627D">
        <w:t>emissions</w:t>
      </w:r>
      <w:r w:rsidRPr="000C627D">
        <w:t xml:space="preserve"> family (within the meaning of 40 CFR 1054, disregarding the requirement in that part that the e</w:t>
      </w:r>
      <w:r w:rsidR="002F1B10" w:rsidRPr="000C627D">
        <w:t>missions</w:t>
      </w:r>
      <w:r w:rsidRPr="000C627D">
        <w:t xml:space="preserve"> family be limited to a single model year).</w:t>
      </w:r>
    </w:p>
    <w:p w:rsidR="006D7815" w:rsidRPr="000C627D" w:rsidRDefault="006D7815" w:rsidP="006D7815">
      <w:pPr>
        <w:pStyle w:val="subsection"/>
      </w:pPr>
      <w:r w:rsidRPr="000C627D">
        <w:tab/>
        <w:t>(</w:t>
      </w:r>
      <w:r w:rsidR="008A0890" w:rsidRPr="000C627D">
        <w:t>3</w:t>
      </w:r>
      <w:r w:rsidRPr="000C627D">
        <w:t>)</w:t>
      </w:r>
      <w:r w:rsidRPr="000C627D">
        <w:tab/>
        <w:t>The application must:</w:t>
      </w:r>
    </w:p>
    <w:p w:rsidR="0013468D" w:rsidRPr="000C627D" w:rsidRDefault="0013468D" w:rsidP="0013468D">
      <w:pPr>
        <w:pStyle w:val="paragraph"/>
      </w:pPr>
      <w:r w:rsidRPr="000C627D">
        <w:tab/>
        <w:t>(a)</w:t>
      </w:r>
      <w:r w:rsidRPr="000C627D">
        <w:tab/>
        <w:t>state the name and address of the applicant; and</w:t>
      </w:r>
    </w:p>
    <w:p w:rsidR="006D7815" w:rsidRPr="000C627D" w:rsidRDefault="0013468D" w:rsidP="006D7815">
      <w:pPr>
        <w:pStyle w:val="paragraph"/>
      </w:pPr>
      <w:r w:rsidRPr="000C627D">
        <w:tab/>
        <w:t>(</w:t>
      </w:r>
      <w:r w:rsidR="00734565" w:rsidRPr="000C627D">
        <w:t>b</w:t>
      </w:r>
      <w:r w:rsidR="006D7815" w:rsidRPr="000C627D">
        <w:t>)</w:t>
      </w:r>
      <w:r w:rsidR="006D7815" w:rsidRPr="000C627D">
        <w:tab/>
      </w:r>
      <w:r w:rsidR="00602976" w:rsidRPr="000C627D">
        <w:t xml:space="preserve">include the </w:t>
      </w:r>
      <w:r w:rsidR="006D7815" w:rsidRPr="000C627D">
        <w:t>following:</w:t>
      </w:r>
    </w:p>
    <w:p w:rsidR="006D7815" w:rsidRPr="000C627D" w:rsidRDefault="00562210" w:rsidP="006D7815">
      <w:pPr>
        <w:pStyle w:val="paragraphsub"/>
      </w:pPr>
      <w:r w:rsidRPr="000C627D">
        <w:tab/>
        <w:t>(</w:t>
      </w:r>
      <w:proofErr w:type="spellStart"/>
      <w:r w:rsidRPr="000C627D">
        <w:t>i</w:t>
      </w:r>
      <w:proofErr w:type="spellEnd"/>
      <w:r w:rsidR="006D7815" w:rsidRPr="000C627D">
        <w:t>)</w:t>
      </w:r>
      <w:r w:rsidR="006D7815" w:rsidRPr="000C627D">
        <w:tab/>
      </w:r>
      <w:r w:rsidRPr="000C627D">
        <w:t xml:space="preserve">the </w:t>
      </w:r>
      <w:r w:rsidR="006D7815" w:rsidRPr="000C627D">
        <w:t xml:space="preserve">results </w:t>
      </w:r>
      <w:r w:rsidRPr="000C627D">
        <w:t xml:space="preserve">of </w:t>
      </w:r>
      <w:r w:rsidR="00E157A2" w:rsidRPr="000C627D">
        <w:t xml:space="preserve">emissions </w:t>
      </w:r>
      <w:r w:rsidRPr="000C627D">
        <w:t xml:space="preserve">testing of </w:t>
      </w:r>
      <w:r w:rsidR="00734565" w:rsidRPr="000C627D">
        <w:t xml:space="preserve">a member of the </w:t>
      </w:r>
      <w:r w:rsidR="00F91E6E" w:rsidRPr="000C627D">
        <w:t>engine famil</w:t>
      </w:r>
      <w:r w:rsidR="00734565" w:rsidRPr="000C627D">
        <w:t xml:space="preserve">y </w:t>
      </w:r>
      <w:r w:rsidRPr="000C627D">
        <w:t>conducted in accordance with the Australian emissions standard</w:t>
      </w:r>
      <w:r w:rsidR="00DF7058" w:rsidRPr="000C627D">
        <w:t xml:space="preserve"> for the products</w:t>
      </w:r>
      <w:r w:rsidRPr="000C627D">
        <w:t>;</w:t>
      </w:r>
    </w:p>
    <w:p w:rsidR="00B75A3D" w:rsidRPr="000C627D" w:rsidRDefault="00E30BC3" w:rsidP="006D7815">
      <w:pPr>
        <w:pStyle w:val="paragraphsub"/>
      </w:pPr>
      <w:r w:rsidRPr="000C627D">
        <w:tab/>
        <w:t>(ii</w:t>
      </w:r>
      <w:r w:rsidR="006D7815" w:rsidRPr="000C627D">
        <w:t>)</w:t>
      </w:r>
      <w:r w:rsidR="006D7815" w:rsidRPr="000C627D">
        <w:tab/>
      </w:r>
      <w:r w:rsidR="00562210" w:rsidRPr="000C627D">
        <w:t>evidence that the testing was conducted in accordance with the standard</w:t>
      </w:r>
      <w:r w:rsidR="00B75A3D" w:rsidRPr="000C627D">
        <w:t>; and</w:t>
      </w:r>
    </w:p>
    <w:p w:rsidR="006D7815" w:rsidRPr="000C627D" w:rsidRDefault="006D7815" w:rsidP="00293F18">
      <w:pPr>
        <w:pStyle w:val="paragraph"/>
      </w:pPr>
      <w:r w:rsidRPr="000C627D">
        <w:tab/>
        <w:t>(</w:t>
      </w:r>
      <w:r w:rsidR="00734565" w:rsidRPr="000C627D">
        <w:t>c</w:t>
      </w:r>
      <w:r w:rsidRPr="000C627D">
        <w:t>)</w:t>
      </w:r>
      <w:r w:rsidRPr="000C627D">
        <w:tab/>
        <w:t xml:space="preserve">be </w:t>
      </w:r>
      <w:r w:rsidR="002B7F07" w:rsidRPr="000C627D">
        <w:t>given to the Secretary in the manner and form</w:t>
      </w:r>
      <w:r w:rsidR="00293F18" w:rsidRPr="000C627D">
        <w:t xml:space="preserve"> (if any)</w:t>
      </w:r>
      <w:r w:rsidR="002B7F07" w:rsidRPr="000C627D">
        <w:t xml:space="preserve"> approved </w:t>
      </w:r>
      <w:r w:rsidR="00293F18" w:rsidRPr="000C627D">
        <w:t xml:space="preserve">under </w:t>
      </w:r>
      <w:r w:rsidR="000C627D" w:rsidRPr="000C627D">
        <w:t>subsection (</w:t>
      </w:r>
      <w:r w:rsidR="008A0890" w:rsidRPr="000C627D">
        <w:t>4</w:t>
      </w:r>
      <w:r w:rsidR="00293F18" w:rsidRPr="000C627D">
        <w:t>);</w:t>
      </w:r>
      <w:r w:rsidRPr="000C627D">
        <w:t xml:space="preserve"> and</w:t>
      </w:r>
    </w:p>
    <w:p w:rsidR="006D7815" w:rsidRPr="000C627D" w:rsidRDefault="00734565" w:rsidP="006D7815">
      <w:pPr>
        <w:pStyle w:val="paragraph"/>
      </w:pPr>
      <w:r w:rsidRPr="000C627D">
        <w:tab/>
        <w:t>(d</w:t>
      </w:r>
      <w:r w:rsidR="006D7815" w:rsidRPr="000C627D">
        <w:t>)</w:t>
      </w:r>
      <w:r w:rsidR="006D7815" w:rsidRPr="000C627D">
        <w:tab/>
        <w:t xml:space="preserve">be accompanied by </w:t>
      </w:r>
      <w:r w:rsidR="000763E7" w:rsidRPr="000C627D">
        <w:t>the fee set by subsection</w:t>
      </w:r>
      <w:r w:rsidR="000C627D" w:rsidRPr="000C627D">
        <w:t> </w:t>
      </w:r>
      <w:r w:rsidR="006E7CE6" w:rsidRPr="000C627D">
        <w:t>43</w:t>
      </w:r>
      <w:r w:rsidR="000763E7" w:rsidRPr="000C627D">
        <w:t xml:space="preserve">(1) </w:t>
      </w:r>
      <w:r w:rsidR="002B7F07" w:rsidRPr="000C627D">
        <w:t>for</w:t>
      </w:r>
      <w:r w:rsidR="00E30BC3" w:rsidRPr="000C627D">
        <w:t xml:space="preserve"> </w:t>
      </w:r>
      <w:r w:rsidR="00156FAC" w:rsidRPr="000C627D">
        <w:t xml:space="preserve">receiving and </w:t>
      </w:r>
      <w:r w:rsidR="00E30BC3" w:rsidRPr="000C627D">
        <w:t>processing</w:t>
      </w:r>
      <w:r w:rsidR="002B7F07" w:rsidRPr="000C627D">
        <w:t xml:space="preserve"> the application</w:t>
      </w:r>
      <w:r w:rsidR="00156FAC" w:rsidRPr="000C627D">
        <w:t xml:space="preserve">, unless the fee </w:t>
      </w:r>
      <w:r w:rsidR="00602976" w:rsidRPr="000C627D">
        <w:t xml:space="preserve">has been </w:t>
      </w:r>
      <w:r w:rsidR="00156FAC" w:rsidRPr="000C627D">
        <w:t xml:space="preserve">waived under </w:t>
      </w:r>
      <w:r w:rsidR="000763E7" w:rsidRPr="000C627D">
        <w:t>section</w:t>
      </w:r>
      <w:r w:rsidR="000C627D" w:rsidRPr="000C627D">
        <w:t> </w:t>
      </w:r>
      <w:r w:rsidR="006E7CE6" w:rsidRPr="000C627D">
        <w:t>44</w:t>
      </w:r>
      <w:r w:rsidR="006D7815" w:rsidRPr="000C627D">
        <w:t>.</w:t>
      </w:r>
    </w:p>
    <w:p w:rsidR="00293F18" w:rsidRPr="000C627D" w:rsidRDefault="00293F18" w:rsidP="00293F18">
      <w:pPr>
        <w:pStyle w:val="subsection"/>
      </w:pPr>
      <w:r w:rsidRPr="000C627D">
        <w:tab/>
        <w:t>(</w:t>
      </w:r>
      <w:r w:rsidR="008A0890" w:rsidRPr="000C627D">
        <w:t>4</w:t>
      </w:r>
      <w:r w:rsidRPr="000C627D">
        <w:t>)</w:t>
      </w:r>
      <w:r w:rsidRPr="000C627D">
        <w:tab/>
        <w:t xml:space="preserve">For the purposes of </w:t>
      </w:r>
      <w:r w:rsidR="000C627D" w:rsidRPr="000C627D">
        <w:t>paragraph (</w:t>
      </w:r>
      <w:r w:rsidR="008A0890" w:rsidRPr="000C627D">
        <w:t>3</w:t>
      </w:r>
      <w:r w:rsidRPr="000C627D">
        <w:t>)(</w:t>
      </w:r>
      <w:r w:rsidR="00062CB6" w:rsidRPr="000C627D">
        <w:t>c</w:t>
      </w:r>
      <w:r w:rsidRPr="000C627D">
        <w:t>), the Secretary may approve, by notice in writing published on the Department</w:t>
      </w:r>
      <w:r w:rsidR="003C03C4" w:rsidRPr="000C627D">
        <w:t>’</w:t>
      </w:r>
      <w:r w:rsidRPr="000C627D">
        <w:t>s website, the manner and form in which an application must be given to the Secretary under this section.</w:t>
      </w:r>
    </w:p>
    <w:p w:rsidR="00697FB1" w:rsidRPr="000C627D" w:rsidRDefault="006E7CE6" w:rsidP="00697FB1">
      <w:pPr>
        <w:pStyle w:val="ActHead5"/>
      </w:pPr>
      <w:bookmarkStart w:id="26" w:name="_Toc500512568"/>
      <w:r w:rsidRPr="000C627D">
        <w:rPr>
          <w:rStyle w:val="CharSectno"/>
        </w:rPr>
        <w:t>19</w:t>
      </w:r>
      <w:r w:rsidR="00A46A8A" w:rsidRPr="000C627D">
        <w:t xml:space="preserve">  </w:t>
      </w:r>
      <w:r w:rsidR="00697FB1" w:rsidRPr="000C627D">
        <w:t xml:space="preserve">Request for </w:t>
      </w:r>
      <w:r w:rsidR="00A46A8A" w:rsidRPr="000C627D">
        <w:t xml:space="preserve">further </w:t>
      </w:r>
      <w:r w:rsidR="00697FB1" w:rsidRPr="000C627D">
        <w:t>information</w:t>
      </w:r>
      <w:bookmarkEnd w:id="26"/>
    </w:p>
    <w:p w:rsidR="00A46A8A" w:rsidRPr="000C627D" w:rsidRDefault="00A46A8A" w:rsidP="00A46A8A">
      <w:pPr>
        <w:pStyle w:val="subsection"/>
      </w:pPr>
      <w:r w:rsidRPr="000C627D">
        <w:tab/>
      </w:r>
      <w:r w:rsidRPr="000C627D">
        <w:tab/>
        <w:t>The Secretary may,</w:t>
      </w:r>
      <w:r w:rsidR="002B7F07" w:rsidRPr="000C627D">
        <w:t xml:space="preserve"> </w:t>
      </w:r>
      <w:r w:rsidRPr="000C627D">
        <w:t xml:space="preserve">within 60 days after </w:t>
      </w:r>
      <w:r w:rsidR="002B7F07" w:rsidRPr="000C627D">
        <w:t xml:space="preserve">receiving </w:t>
      </w:r>
      <w:r w:rsidRPr="000C627D">
        <w:t>an application</w:t>
      </w:r>
      <w:r w:rsidR="002B7F07" w:rsidRPr="000C627D">
        <w:t xml:space="preserve"> </w:t>
      </w:r>
      <w:r w:rsidRPr="000C627D">
        <w:t>under section</w:t>
      </w:r>
      <w:r w:rsidR="000C627D" w:rsidRPr="000C627D">
        <w:t> </w:t>
      </w:r>
      <w:r w:rsidR="006E7CE6" w:rsidRPr="000C627D">
        <w:t>18</w:t>
      </w:r>
      <w:r w:rsidRPr="000C627D">
        <w:t xml:space="preserve">, </w:t>
      </w:r>
      <w:r w:rsidR="002B7F07" w:rsidRPr="000C627D">
        <w:t>request the applicant</w:t>
      </w:r>
      <w:r w:rsidR="0068084C" w:rsidRPr="000C627D">
        <w:t>,</w:t>
      </w:r>
      <w:r w:rsidR="002B7F07" w:rsidRPr="000C627D">
        <w:t xml:space="preserve"> in writing</w:t>
      </w:r>
      <w:r w:rsidR="0068084C" w:rsidRPr="000C627D">
        <w:t>,</w:t>
      </w:r>
      <w:r w:rsidR="002B7F07" w:rsidRPr="000C627D">
        <w:t xml:space="preserve"> to give to the Secretary </w:t>
      </w:r>
      <w:r w:rsidR="00DD5B8D" w:rsidRPr="000C627D">
        <w:t>specified information in relation to the application</w:t>
      </w:r>
      <w:r w:rsidRPr="000C627D">
        <w:t>.</w:t>
      </w:r>
    </w:p>
    <w:p w:rsidR="00697FB1" w:rsidRPr="000C627D" w:rsidRDefault="006E7CE6" w:rsidP="00697FB1">
      <w:pPr>
        <w:pStyle w:val="ActHead5"/>
      </w:pPr>
      <w:bookmarkStart w:id="27" w:name="_Toc500512569"/>
      <w:r w:rsidRPr="000C627D">
        <w:rPr>
          <w:rStyle w:val="CharSectno"/>
        </w:rPr>
        <w:t>20</w:t>
      </w:r>
      <w:r w:rsidR="002B7F07" w:rsidRPr="000C627D">
        <w:t xml:space="preserve">  </w:t>
      </w:r>
      <w:r w:rsidR="00A457BA" w:rsidRPr="000C627D">
        <w:t xml:space="preserve">Issuing Australian </w:t>
      </w:r>
      <w:r w:rsidR="00697FB1" w:rsidRPr="000C627D">
        <w:t>certificate</w:t>
      </w:r>
      <w:r w:rsidR="00A457BA" w:rsidRPr="000C627D">
        <w:t>s</w:t>
      </w:r>
      <w:r w:rsidR="00B11705" w:rsidRPr="000C627D">
        <w:t xml:space="preserve"> of conformity</w:t>
      </w:r>
      <w:bookmarkEnd w:id="27"/>
    </w:p>
    <w:p w:rsidR="00E75F39" w:rsidRPr="000C627D" w:rsidRDefault="00450BD4" w:rsidP="00E75F39">
      <w:pPr>
        <w:pStyle w:val="subsection"/>
      </w:pPr>
      <w:r w:rsidRPr="000C627D">
        <w:tab/>
      </w:r>
      <w:r w:rsidR="00A457BA" w:rsidRPr="000C627D">
        <w:t>(1)</w:t>
      </w:r>
      <w:r w:rsidR="00E75F39" w:rsidRPr="000C627D">
        <w:tab/>
      </w:r>
      <w:r w:rsidR="002B7F07" w:rsidRPr="000C627D">
        <w:t xml:space="preserve">After receiving an application </w:t>
      </w:r>
      <w:r w:rsidR="00E75F39" w:rsidRPr="000C627D">
        <w:t>in accordance with section</w:t>
      </w:r>
      <w:r w:rsidR="000C627D" w:rsidRPr="000C627D">
        <w:t> </w:t>
      </w:r>
      <w:r w:rsidR="006E7CE6" w:rsidRPr="000C627D">
        <w:t>18</w:t>
      </w:r>
      <w:r w:rsidR="002B7F07" w:rsidRPr="000C627D">
        <w:t xml:space="preserve"> for </w:t>
      </w:r>
      <w:r w:rsidR="00914BF0" w:rsidRPr="000C627D">
        <w:t xml:space="preserve">certification of </w:t>
      </w:r>
      <w:r w:rsidR="002B7F07" w:rsidRPr="000C627D">
        <w:t>emissions</w:t>
      </w:r>
      <w:r w:rsidR="000C627D">
        <w:noBreakHyphen/>
      </w:r>
      <w:r w:rsidR="002B7F07" w:rsidRPr="000C627D">
        <w:t>controlled product</w:t>
      </w:r>
      <w:r w:rsidR="00B4748D" w:rsidRPr="000C627D">
        <w:t>s</w:t>
      </w:r>
      <w:r w:rsidR="00E75F39" w:rsidRPr="000C627D">
        <w:t xml:space="preserve">, the </w:t>
      </w:r>
      <w:r w:rsidR="00BB5679" w:rsidRPr="000C627D">
        <w:t>Secretary</w:t>
      </w:r>
      <w:r w:rsidR="00E75F39" w:rsidRPr="000C627D">
        <w:t xml:space="preserve"> m</w:t>
      </w:r>
      <w:r w:rsidR="00A46A8A" w:rsidRPr="000C627D">
        <w:t>ay</w:t>
      </w:r>
      <w:r w:rsidR="00E75F39" w:rsidRPr="000C627D">
        <w:t>:</w:t>
      </w:r>
    </w:p>
    <w:p w:rsidR="00E75F39" w:rsidRPr="000C627D" w:rsidRDefault="00E75F39" w:rsidP="005F5BAB">
      <w:pPr>
        <w:pStyle w:val="paragraph"/>
      </w:pPr>
      <w:r w:rsidRPr="000C627D">
        <w:tab/>
        <w:t>(a)</w:t>
      </w:r>
      <w:r w:rsidRPr="000C627D">
        <w:tab/>
        <w:t xml:space="preserve">if the Secretary is satisfied that </w:t>
      </w:r>
      <w:r w:rsidR="00914BF0" w:rsidRPr="000C627D">
        <w:t xml:space="preserve">all of </w:t>
      </w:r>
      <w:r w:rsidRPr="000C627D">
        <w:t xml:space="preserve">the </w:t>
      </w:r>
      <w:r w:rsidR="0009034B" w:rsidRPr="000C627D">
        <w:t xml:space="preserve">conditions mentioned in </w:t>
      </w:r>
      <w:r w:rsidR="000C627D" w:rsidRPr="000C627D">
        <w:t>subsection (</w:t>
      </w:r>
      <w:r w:rsidR="0009034B" w:rsidRPr="000C627D">
        <w:t>2)</w:t>
      </w:r>
      <w:r w:rsidR="00914BF0" w:rsidRPr="000C627D">
        <w:t xml:space="preserve"> of this section</w:t>
      </w:r>
      <w:r w:rsidR="0009034B" w:rsidRPr="000C627D">
        <w:t xml:space="preserve"> are satisfied</w:t>
      </w:r>
      <w:r w:rsidR="005F5BAB" w:rsidRPr="000C627D">
        <w:t>—certify, by notice</w:t>
      </w:r>
      <w:r w:rsidR="00B4748D" w:rsidRPr="000C627D">
        <w:t xml:space="preserve"> </w:t>
      </w:r>
      <w:r w:rsidR="005F5BAB" w:rsidRPr="000C627D">
        <w:t>published on the Department</w:t>
      </w:r>
      <w:r w:rsidR="003C03C4" w:rsidRPr="000C627D">
        <w:t>’</w:t>
      </w:r>
      <w:r w:rsidR="005F5BAB" w:rsidRPr="000C627D">
        <w:t xml:space="preserve">s website, </w:t>
      </w:r>
      <w:r w:rsidR="002B7F07" w:rsidRPr="000C627D">
        <w:t xml:space="preserve">that </w:t>
      </w:r>
      <w:r w:rsidR="005F5BAB" w:rsidRPr="000C627D">
        <w:t xml:space="preserve">the </w:t>
      </w:r>
      <w:r w:rsidR="008D0BC4" w:rsidRPr="000C627D">
        <w:t>product</w:t>
      </w:r>
      <w:r w:rsidR="00B4748D" w:rsidRPr="000C627D">
        <w:t>s</w:t>
      </w:r>
      <w:r w:rsidR="008D0BC4" w:rsidRPr="000C627D">
        <w:t xml:space="preserve"> compl</w:t>
      </w:r>
      <w:r w:rsidR="00B4748D" w:rsidRPr="000C627D">
        <w:t>y</w:t>
      </w:r>
      <w:r w:rsidR="00450BD4" w:rsidRPr="000C627D">
        <w:t xml:space="preserve"> with the Australian emissions standard</w:t>
      </w:r>
      <w:r w:rsidR="00DF7058" w:rsidRPr="000C627D">
        <w:t xml:space="preserve"> for the products</w:t>
      </w:r>
      <w:r w:rsidR="00450BD4" w:rsidRPr="000C627D">
        <w:t xml:space="preserve">; </w:t>
      </w:r>
      <w:r w:rsidRPr="000C627D">
        <w:t>or</w:t>
      </w:r>
    </w:p>
    <w:p w:rsidR="00E75F39" w:rsidRPr="000C627D" w:rsidRDefault="00E75F39" w:rsidP="00E75F39">
      <w:pPr>
        <w:pStyle w:val="paragraph"/>
      </w:pPr>
      <w:r w:rsidRPr="000C627D">
        <w:tab/>
        <w:t>(b)</w:t>
      </w:r>
      <w:r w:rsidRPr="000C627D">
        <w:tab/>
        <w:t>otherwise—refuse the application, by written notice given to the applicant.</w:t>
      </w:r>
    </w:p>
    <w:p w:rsidR="0009034B" w:rsidRPr="000C627D" w:rsidRDefault="0009034B" w:rsidP="0009034B">
      <w:pPr>
        <w:pStyle w:val="subsection"/>
      </w:pPr>
      <w:r w:rsidRPr="000C627D">
        <w:tab/>
        <w:t>(2)</w:t>
      </w:r>
      <w:r w:rsidRPr="000C627D">
        <w:tab/>
        <w:t xml:space="preserve">For the purposes of </w:t>
      </w:r>
      <w:r w:rsidR="000C627D" w:rsidRPr="000C627D">
        <w:t>paragraph (</w:t>
      </w:r>
      <w:r w:rsidRPr="000C627D">
        <w:t>1)(a), the conditions are the following:</w:t>
      </w:r>
    </w:p>
    <w:p w:rsidR="0009034B" w:rsidRPr="000C627D" w:rsidRDefault="0009034B" w:rsidP="0009034B">
      <w:pPr>
        <w:pStyle w:val="paragraph"/>
      </w:pPr>
      <w:r w:rsidRPr="000C627D">
        <w:tab/>
        <w:t>(a)</w:t>
      </w:r>
      <w:r w:rsidRPr="000C627D">
        <w:tab/>
      </w:r>
      <w:r w:rsidR="00062CB6" w:rsidRPr="000C627D">
        <w:t xml:space="preserve">a member of the </w:t>
      </w:r>
      <w:r w:rsidR="00F91E6E" w:rsidRPr="000C627D">
        <w:t>engine famil</w:t>
      </w:r>
      <w:r w:rsidR="00062CB6" w:rsidRPr="000C627D">
        <w:t>y to which the products belong has</w:t>
      </w:r>
      <w:r w:rsidR="00B4748D" w:rsidRPr="000C627D">
        <w:t xml:space="preserve"> </w:t>
      </w:r>
      <w:r w:rsidRPr="000C627D">
        <w:t>been emissions tested in accordance with the Australian emi</w:t>
      </w:r>
      <w:r w:rsidR="008A28E1" w:rsidRPr="000C627D">
        <w:t>ssions standard</w:t>
      </w:r>
      <w:r w:rsidR="00DF7058" w:rsidRPr="000C627D">
        <w:t xml:space="preserve"> for the products</w:t>
      </w:r>
      <w:r w:rsidRPr="000C627D">
        <w:t>;</w:t>
      </w:r>
    </w:p>
    <w:p w:rsidR="0009034B" w:rsidRPr="000C627D" w:rsidRDefault="0009034B" w:rsidP="0009034B">
      <w:pPr>
        <w:pStyle w:val="paragraph"/>
      </w:pPr>
      <w:r w:rsidRPr="000C627D">
        <w:tab/>
        <w:t>(b)</w:t>
      </w:r>
      <w:r w:rsidRPr="000C627D">
        <w:tab/>
      </w:r>
      <w:r w:rsidR="00A6426E" w:rsidRPr="000C627D">
        <w:t xml:space="preserve">all of </w:t>
      </w:r>
      <w:r w:rsidR="008A28E1" w:rsidRPr="000C627D">
        <w:t>the product</w:t>
      </w:r>
      <w:r w:rsidR="00B4748D" w:rsidRPr="000C627D">
        <w:t xml:space="preserve">s comply </w:t>
      </w:r>
      <w:r w:rsidRPr="000C627D">
        <w:t>with the standard.</w:t>
      </w:r>
    </w:p>
    <w:p w:rsidR="00A457BA" w:rsidRPr="000C627D" w:rsidRDefault="00A457BA" w:rsidP="00A457BA">
      <w:pPr>
        <w:pStyle w:val="subsection"/>
      </w:pPr>
      <w:r w:rsidRPr="000C627D">
        <w:tab/>
        <w:t>(</w:t>
      </w:r>
      <w:r w:rsidR="0009034B" w:rsidRPr="000C627D">
        <w:t>3</w:t>
      </w:r>
      <w:r w:rsidRPr="000C627D">
        <w:t>)</w:t>
      </w:r>
      <w:r w:rsidRPr="000C627D">
        <w:tab/>
        <w:t>An Australian certificate</w:t>
      </w:r>
      <w:r w:rsidR="00B11705" w:rsidRPr="000C627D">
        <w:t xml:space="preserve"> of conformity</w:t>
      </w:r>
      <w:r w:rsidRPr="000C627D">
        <w:t xml:space="preserve"> comes into force on the day </w:t>
      </w:r>
      <w:r w:rsidR="00DD5B8D" w:rsidRPr="000C627D">
        <w:t xml:space="preserve">specified by the </w:t>
      </w:r>
      <w:r w:rsidRPr="000C627D">
        <w:t xml:space="preserve">Secretary </w:t>
      </w:r>
      <w:r w:rsidR="00DD5B8D" w:rsidRPr="000C627D">
        <w:t>in the certificate</w:t>
      </w:r>
      <w:r w:rsidRPr="000C627D">
        <w:t>.</w:t>
      </w:r>
    </w:p>
    <w:p w:rsidR="005A402B" w:rsidRPr="000C627D" w:rsidRDefault="005A402B" w:rsidP="005A402B">
      <w:pPr>
        <w:pStyle w:val="subsection"/>
      </w:pPr>
      <w:r w:rsidRPr="000C627D">
        <w:tab/>
        <w:t>(4)</w:t>
      </w:r>
      <w:r w:rsidRPr="000C627D">
        <w:tab/>
        <w:t xml:space="preserve">Each Australian certificate </w:t>
      </w:r>
      <w:r w:rsidR="00FA54E8" w:rsidRPr="000C627D">
        <w:t>of conformity</w:t>
      </w:r>
      <w:r w:rsidR="00B4748D" w:rsidRPr="000C627D">
        <w:t xml:space="preserve"> </w:t>
      </w:r>
      <w:r w:rsidRPr="000C627D">
        <w:t>must include a unique identifier (</w:t>
      </w:r>
      <w:r w:rsidR="00FA54E8" w:rsidRPr="000C627D">
        <w:t xml:space="preserve">the </w:t>
      </w:r>
      <w:r w:rsidR="00FA54E8" w:rsidRPr="000C627D">
        <w:rPr>
          <w:b/>
          <w:i/>
        </w:rPr>
        <w:t>Australian certification number</w:t>
      </w:r>
      <w:r w:rsidR="00FA54E8" w:rsidRPr="000C627D">
        <w:t>)</w:t>
      </w:r>
      <w:r w:rsidRPr="000C627D">
        <w:t>.</w:t>
      </w:r>
    </w:p>
    <w:p w:rsidR="00A46A8A" w:rsidRPr="000C627D" w:rsidRDefault="006E7CE6" w:rsidP="00450BD4">
      <w:pPr>
        <w:pStyle w:val="ActHead5"/>
      </w:pPr>
      <w:bookmarkStart w:id="28" w:name="_Toc500512570"/>
      <w:r w:rsidRPr="000C627D">
        <w:rPr>
          <w:rStyle w:val="CharSectno"/>
        </w:rPr>
        <w:t>21</w:t>
      </w:r>
      <w:r w:rsidR="00450BD4" w:rsidRPr="000C627D">
        <w:t xml:space="preserve">  </w:t>
      </w:r>
      <w:r w:rsidR="00A46A8A" w:rsidRPr="000C627D">
        <w:t>Deemed refusal</w:t>
      </w:r>
      <w:r w:rsidR="00450BD4" w:rsidRPr="000C627D">
        <w:t xml:space="preserve"> if Secretary does not make decision within 60 days</w:t>
      </w:r>
      <w:bookmarkEnd w:id="28"/>
    </w:p>
    <w:p w:rsidR="00C42766" w:rsidRPr="000C627D" w:rsidRDefault="00A46A8A" w:rsidP="00A46A8A">
      <w:pPr>
        <w:pStyle w:val="subsection"/>
      </w:pPr>
      <w:r w:rsidRPr="000C627D">
        <w:tab/>
        <w:t>(</w:t>
      </w:r>
      <w:r w:rsidR="00450BD4" w:rsidRPr="000C627D">
        <w:t>1</w:t>
      </w:r>
      <w:r w:rsidRPr="000C627D">
        <w:t>)</w:t>
      </w:r>
      <w:r w:rsidRPr="000C627D">
        <w:tab/>
        <w:t>If</w:t>
      </w:r>
      <w:r w:rsidR="00C42766" w:rsidRPr="000C627D">
        <w:t>:</w:t>
      </w:r>
    </w:p>
    <w:p w:rsidR="00C42766" w:rsidRPr="000C627D" w:rsidRDefault="00C42766" w:rsidP="00C42766">
      <w:pPr>
        <w:pStyle w:val="paragraph"/>
      </w:pPr>
      <w:r w:rsidRPr="000C627D">
        <w:tab/>
        <w:t>(a)</w:t>
      </w:r>
      <w:r w:rsidRPr="000C627D">
        <w:tab/>
      </w:r>
      <w:r w:rsidR="00450BD4" w:rsidRPr="000C627D">
        <w:t xml:space="preserve">the Secretary receives an </w:t>
      </w:r>
      <w:r w:rsidR="00A46A8A" w:rsidRPr="000C627D">
        <w:t>application</w:t>
      </w:r>
      <w:r w:rsidR="00450BD4" w:rsidRPr="000C627D">
        <w:t xml:space="preserve"> for </w:t>
      </w:r>
      <w:r w:rsidR="0068084C" w:rsidRPr="000C627D">
        <w:t>certification of emissions</w:t>
      </w:r>
      <w:r w:rsidR="000C627D">
        <w:noBreakHyphen/>
      </w:r>
      <w:r w:rsidR="0068084C" w:rsidRPr="000C627D">
        <w:t>controlled product</w:t>
      </w:r>
      <w:r w:rsidR="005F5BAB" w:rsidRPr="000C627D">
        <w:t>s</w:t>
      </w:r>
      <w:r w:rsidR="0068084C" w:rsidRPr="000C627D">
        <w:t xml:space="preserve"> in accordance with </w:t>
      </w:r>
      <w:r w:rsidR="00450BD4" w:rsidRPr="000C627D">
        <w:t>section</w:t>
      </w:r>
      <w:r w:rsidR="000C627D" w:rsidRPr="000C627D">
        <w:t> </w:t>
      </w:r>
      <w:r w:rsidR="006E7CE6" w:rsidRPr="000C627D">
        <w:t>18</w:t>
      </w:r>
      <w:r w:rsidRPr="000C627D">
        <w:t>; and</w:t>
      </w:r>
    </w:p>
    <w:p w:rsidR="00450BD4" w:rsidRPr="000C627D" w:rsidRDefault="00C42766" w:rsidP="00C42766">
      <w:pPr>
        <w:pStyle w:val="paragraph"/>
      </w:pPr>
      <w:r w:rsidRPr="000C627D">
        <w:tab/>
        <w:t>(b)</w:t>
      </w:r>
      <w:r w:rsidRPr="000C627D">
        <w:tab/>
        <w:t xml:space="preserve">at the end of 60 days after the Secretary receives the </w:t>
      </w:r>
      <w:r w:rsidR="00B11705" w:rsidRPr="000C627D">
        <w:t>application</w:t>
      </w:r>
      <w:r w:rsidR="00450BD4" w:rsidRPr="000C627D">
        <w:t xml:space="preserve">, </w:t>
      </w:r>
      <w:r w:rsidR="00A46A8A" w:rsidRPr="000C627D">
        <w:t xml:space="preserve">the </w:t>
      </w:r>
      <w:r w:rsidR="00450BD4" w:rsidRPr="000C627D">
        <w:t>Secretary has not:</w:t>
      </w:r>
    </w:p>
    <w:p w:rsidR="00450BD4" w:rsidRPr="000C627D" w:rsidRDefault="00450BD4" w:rsidP="00C42766">
      <w:pPr>
        <w:pStyle w:val="paragraphsub"/>
      </w:pPr>
      <w:r w:rsidRPr="000C627D">
        <w:tab/>
        <w:t>(</w:t>
      </w:r>
      <w:proofErr w:type="spellStart"/>
      <w:r w:rsidR="00C42766" w:rsidRPr="000C627D">
        <w:t>i</w:t>
      </w:r>
      <w:proofErr w:type="spellEnd"/>
      <w:r w:rsidRPr="000C627D">
        <w:t>)</w:t>
      </w:r>
      <w:r w:rsidRPr="000C627D">
        <w:tab/>
      </w:r>
      <w:r w:rsidR="0068084C" w:rsidRPr="000C627D">
        <w:t xml:space="preserve">certified the </w:t>
      </w:r>
      <w:r w:rsidR="005F5BAB" w:rsidRPr="000C627D">
        <w:t>products</w:t>
      </w:r>
      <w:r w:rsidRPr="000C627D">
        <w:t>; or</w:t>
      </w:r>
    </w:p>
    <w:p w:rsidR="00450BD4" w:rsidRPr="000C627D" w:rsidRDefault="00C42766" w:rsidP="00C42766">
      <w:pPr>
        <w:pStyle w:val="paragraphsub"/>
      </w:pPr>
      <w:r w:rsidRPr="000C627D">
        <w:tab/>
        <w:t>(ii</w:t>
      </w:r>
      <w:r w:rsidR="00450BD4" w:rsidRPr="000C627D">
        <w:t>)</w:t>
      </w:r>
      <w:r w:rsidR="00450BD4" w:rsidRPr="000C627D">
        <w:tab/>
        <w:t>refused the application; or</w:t>
      </w:r>
    </w:p>
    <w:p w:rsidR="00450BD4" w:rsidRPr="000C627D" w:rsidRDefault="00C42766" w:rsidP="00C42766">
      <w:pPr>
        <w:pStyle w:val="paragraphsub"/>
      </w:pPr>
      <w:r w:rsidRPr="000C627D">
        <w:tab/>
        <w:t>(iii</w:t>
      </w:r>
      <w:r w:rsidR="00450BD4" w:rsidRPr="000C627D">
        <w:t>)</w:t>
      </w:r>
      <w:r w:rsidR="00450BD4" w:rsidRPr="000C627D">
        <w:tab/>
        <w:t>made a request under section</w:t>
      </w:r>
      <w:r w:rsidR="000C627D" w:rsidRPr="000C627D">
        <w:t> </w:t>
      </w:r>
      <w:r w:rsidR="006E7CE6" w:rsidRPr="000C627D">
        <w:t>19</w:t>
      </w:r>
      <w:r w:rsidR="00450BD4" w:rsidRPr="000C627D">
        <w:t xml:space="preserve"> in relation to the application;</w:t>
      </w:r>
    </w:p>
    <w:p w:rsidR="00A46A8A" w:rsidRPr="000C627D" w:rsidRDefault="00450BD4" w:rsidP="00450BD4">
      <w:pPr>
        <w:pStyle w:val="subsection2"/>
      </w:pPr>
      <w:r w:rsidRPr="000C627D">
        <w:t xml:space="preserve">the Secretary is taken, </w:t>
      </w:r>
      <w:r w:rsidR="00A46A8A" w:rsidRPr="000C627D">
        <w:t>for the purposes of section</w:t>
      </w:r>
      <w:r w:rsidR="000C627D" w:rsidRPr="000C627D">
        <w:t> </w:t>
      </w:r>
      <w:r w:rsidR="006E7CE6" w:rsidRPr="000C627D">
        <w:t>50</w:t>
      </w:r>
      <w:r w:rsidR="00A46A8A" w:rsidRPr="000C627D">
        <w:t xml:space="preserve">, </w:t>
      </w:r>
      <w:r w:rsidRPr="000C627D">
        <w:t xml:space="preserve">to have refused the application </w:t>
      </w:r>
      <w:r w:rsidR="00A46A8A" w:rsidRPr="000C627D">
        <w:t>on the last of the 60 days.</w:t>
      </w:r>
    </w:p>
    <w:p w:rsidR="00A46A8A" w:rsidRPr="000C627D" w:rsidRDefault="00A46A8A" w:rsidP="00A46A8A">
      <w:pPr>
        <w:pStyle w:val="subsection"/>
      </w:pPr>
      <w:r w:rsidRPr="000C627D">
        <w:tab/>
        <w:t>(2)</w:t>
      </w:r>
      <w:r w:rsidRPr="000C627D">
        <w:tab/>
        <w:t>If:</w:t>
      </w:r>
    </w:p>
    <w:p w:rsidR="0068084C" w:rsidRPr="000C627D" w:rsidRDefault="0068084C" w:rsidP="0068084C">
      <w:pPr>
        <w:pStyle w:val="paragraph"/>
      </w:pPr>
      <w:r w:rsidRPr="000C627D">
        <w:tab/>
        <w:t>(a)</w:t>
      </w:r>
      <w:r w:rsidRPr="000C627D">
        <w:tab/>
        <w:t>the Secretary receives an application for certification of emissions</w:t>
      </w:r>
      <w:r w:rsidR="000C627D">
        <w:noBreakHyphen/>
      </w:r>
      <w:r w:rsidRPr="000C627D">
        <w:t>controlled</w:t>
      </w:r>
      <w:r w:rsidR="005F5BAB" w:rsidRPr="000C627D">
        <w:t xml:space="preserve"> products </w:t>
      </w:r>
      <w:r w:rsidRPr="000C627D">
        <w:t>in accordance with section</w:t>
      </w:r>
      <w:r w:rsidR="000C627D" w:rsidRPr="000C627D">
        <w:t> </w:t>
      </w:r>
      <w:r w:rsidR="006E7CE6" w:rsidRPr="000C627D">
        <w:t>18</w:t>
      </w:r>
      <w:r w:rsidRPr="000C627D">
        <w:t>; and</w:t>
      </w:r>
    </w:p>
    <w:p w:rsidR="00450BD4" w:rsidRPr="000C627D" w:rsidRDefault="00450BD4" w:rsidP="00450BD4">
      <w:pPr>
        <w:pStyle w:val="paragraph"/>
      </w:pPr>
      <w:r w:rsidRPr="000C627D">
        <w:tab/>
        <w:t>(b)</w:t>
      </w:r>
      <w:r w:rsidRPr="000C627D">
        <w:tab/>
        <w:t>the Secretary makes a request under section</w:t>
      </w:r>
      <w:r w:rsidR="000C627D" w:rsidRPr="000C627D">
        <w:t> </w:t>
      </w:r>
      <w:r w:rsidR="006E7CE6" w:rsidRPr="000C627D">
        <w:t>19</w:t>
      </w:r>
      <w:r w:rsidRPr="000C627D">
        <w:t xml:space="preserve"> </w:t>
      </w:r>
      <w:r w:rsidR="006D20AF" w:rsidRPr="000C627D">
        <w:t xml:space="preserve">for further information </w:t>
      </w:r>
      <w:r w:rsidRPr="000C627D">
        <w:t>in relation to the application; and</w:t>
      </w:r>
    </w:p>
    <w:p w:rsidR="00450BD4" w:rsidRPr="000C627D" w:rsidRDefault="00450BD4" w:rsidP="00450BD4">
      <w:pPr>
        <w:pStyle w:val="paragraph"/>
      </w:pPr>
      <w:r w:rsidRPr="000C627D">
        <w:tab/>
        <w:t>(c)</w:t>
      </w:r>
      <w:r w:rsidRPr="000C627D">
        <w:tab/>
        <w:t xml:space="preserve">at the end of 60 days after </w:t>
      </w:r>
      <w:r w:rsidR="00BC58A6" w:rsidRPr="000C627D">
        <w:t>the</w:t>
      </w:r>
      <w:r w:rsidR="00940549" w:rsidRPr="000C627D">
        <w:t xml:space="preserve"> further</w:t>
      </w:r>
      <w:r w:rsidR="00BC58A6" w:rsidRPr="000C627D">
        <w:t xml:space="preserve"> information is given to the Secretary</w:t>
      </w:r>
      <w:r w:rsidRPr="000C627D">
        <w:t>, the Secretary has not:</w:t>
      </w:r>
    </w:p>
    <w:p w:rsidR="00450BD4" w:rsidRPr="000C627D" w:rsidRDefault="00450BD4" w:rsidP="00450BD4">
      <w:pPr>
        <w:pStyle w:val="paragraphsub"/>
      </w:pPr>
      <w:r w:rsidRPr="000C627D">
        <w:tab/>
        <w:t>(</w:t>
      </w:r>
      <w:proofErr w:type="spellStart"/>
      <w:r w:rsidR="0089168F" w:rsidRPr="000C627D">
        <w:t>i</w:t>
      </w:r>
      <w:proofErr w:type="spellEnd"/>
      <w:r w:rsidRPr="000C627D">
        <w:t>)</w:t>
      </w:r>
      <w:r w:rsidRPr="000C627D">
        <w:tab/>
      </w:r>
      <w:r w:rsidR="0068084C" w:rsidRPr="000C627D">
        <w:t>certified the product</w:t>
      </w:r>
      <w:r w:rsidR="005F5BAB" w:rsidRPr="000C627D">
        <w:t>s</w:t>
      </w:r>
      <w:r w:rsidRPr="000C627D">
        <w:t>; or</w:t>
      </w:r>
    </w:p>
    <w:p w:rsidR="00450BD4" w:rsidRPr="000C627D" w:rsidRDefault="0089168F" w:rsidP="00450BD4">
      <w:pPr>
        <w:pStyle w:val="paragraphsub"/>
      </w:pPr>
      <w:r w:rsidRPr="000C627D">
        <w:tab/>
        <w:t>(ii</w:t>
      </w:r>
      <w:r w:rsidR="00450BD4" w:rsidRPr="000C627D">
        <w:t>)</w:t>
      </w:r>
      <w:r w:rsidR="00450BD4" w:rsidRPr="000C627D">
        <w:tab/>
        <w:t>refused the application; or</w:t>
      </w:r>
    </w:p>
    <w:p w:rsidR="00450BD4" w:rsidRPr="000C627D" w:rsidRDefault="0089168F" w:rsidP="00450BD4">
      <w:pPr>
        <w:pStyle w:val="paragraphsub"/>
      </w:pPr>
      <w:r w:rsidRPr="000C627D">
        <w:tab/>
        <w:t>(iii</w:t>
      </w:r>
      <w:r w:rsidR="00450BD4" w:rsidRPr="000C627D">
        <w:t>)</w:t>
      </w:r>
      <w:r w:rsidR="00450BD4" w:rsidRPr="000C627D">
        <w:tab/>
        <w:t>made a further request under section</w:t>
      </w:r>
      <w:r w:rsidR="000C627D" w:rsidRPr="000C627D">
        <w:t> </w:t>
      </w:r>
      <w:r w:rsidR="006E7CE6" w:rsidRPr="000C627D">
        <w:t>19</w:t>
      </w:r>
      <w:r w:rsidR="00450BD4" w:rsidRPr="000C627D">
        <w:t xml:space="preserve"> in relation to the application;</w:t>
      </w:r>
    </w:p>
    <w:p w:rsidR="00450BD4" w:rsidRPr="000C627D" w:rsidRDefault="00450BD4" w:rsidP="00450BD4">
      <w:pPr>
        <w:pStyle w:val="subsection2"/>
      </w:pPr>
      <w:r w:rsidRPr="000C627D">
        <w:t>the Secretary is taken, for the purposes of section</w:t>
      </w:r>
      <w:r w:rsidR="000C627D" w:rsidRPr="000C627D">
        <w:t> </w:t>
      </w:r>
      <w:r w:rsidR="006E7CE6" w:rsidRPr="000C627D">
        <w:t>50</w:t>
      </w:r>
      <w:r w:rsidRPr="000C627D">
        <w:t>, to have refused the application on the last of the 60 days.</w:t>
      </w:r>
    </w:p>
    <w:p w:rsidR="00A457BA" w:rsidRPr="000C627D" w:rsidRDefault="00A457BA" w:rsidP="00A457BA">
      <w:pPr>
        <w:pStyle w:val="ActHead4"/>
      </w:pPr>
      <w:bookmarkStart w:id="29" w:name="_Toc500512571"/>
      <w:r w:rsidRPr="000C627D">
        <w:rPr>
          <w:rStyle w:val="CharSubdNo"/>
        </w:rPr>
        <w:t xml:space="preserve">Subdivision </w:t>
      </w:r>
      <w:r w:rsidR="00E27C60" w:rsidRPr="000C627D">
        <w:rPr>
          <w:rStyle w:val="CharSubdNo"/>
        </w:rPr>
        <w:t>B</w:t>
      </w:r>
      <w:r w:rsidRPr="000C627D">
        <w:t>—</w:t>
      </w:r>
      <w:r w:rsidR="00427C61" w:rsidRPr="000C627D">
        <w:rPr>
          <w:rStyle w:val="CharSubdText"/>
        </w:rPr>
        <w:t>Varying</w:t>
      </w:r>
      <w:r w:rsidR="00BF1F42" w:rsidRPr="000C627D">
        <w:rPr>
          <w:rStyle w:val="CharSubdText"/>
        </w:rPr>
        <w:t>, suspending</w:t>
      </w:r>
      <w:r w:rsidRPr="000C627D">
        <w:rPr>
          <w:rStyle w:val="CharSubdText"/>
        </w:rPr>
        <w:t xml:space="preserve"> and </w:t>
      </w:r>
      <w:r w:rsidR="0083754A" w:rsidRPr="000C627D">
        <w:rPr>
          <w:rStyle w:val="CharSubdText"/>
        </w:rPr>
        <w:t>revoking</w:t>
      </w:r>
      <w:r w:rsidRPr="000C627D">
        <w:rPr>
          <w:rStyle w:val="CharSubdText"/>
        </w:rPr>
        <w:t xml:space="preserve"> Australian certificates</w:t>
      </w:r>
      <w:r w:rsidR="00B11705" w:rsidRPr="000C627D">
        <w:rPr>
          <w:rStyle w:val="CharSubdText"/>
        </w:rPr>
        <w:t xml:space="preserve"> of conformity</w:t>
      </w:r>
      <w:bookmarkEnd w:id="29"/>
    </w:p>
    <w:p w:rsidR="0028204E" w:rsidRPr="000C627D" w:rsidRDefault="006E7CE6" w:rsidP="0028204E">
      <w:pPr>
        <w:pStyle w:val="ActHead5"/>
      </w:pPr>
      <w:bookmarkStart w:id="30" w:name="_Toc500512572"/>
      <w:r w:rsidRPr="000C627D">
        <w:rPr>
          <w:rStyle w:val="CharSectno"/>
        </w:rPr>
        <w:t>22</w:t>
      </w:r>
      <w:r w:rsidR="0028204E" w:rsidRPr="000C627D">
        <w:t xml:space="preserve">  </w:t>
      </w:r>
      <w:r w:rsidR="00427C61" w:rsidRPr="000C627D">
        <w:t>Varying</w:t>
      </w:r>
      <w:r w:rsidR="0028204E" w:rsidRPr="000C627D">
        <w:t xml:space="preserve"> </w:t>
      </w:r>
      <w:r w:rsidR="00A457BA" w:rsidRPr="000C627D">
        <w:t xml:space="preserve">Australian </w:t>
      </w:r>
      <w:r w:rsidR="0028204E" w:rsidRPr="000C627D">
        <w:t>certificate</w:t>
      </w:r>
      <w:r w:rsidR="00A457BA" w:rsidRPr="000C627D">
        <w:t>s</w:t>
      </w:r>
      <w:r w:rsidR="00B11705" w:rsidRPr="000C627D">
        <w:t xml:space="preserve"> of conformity</w:t>
      </w:r>
      <w:bookmarkEnd w:id="30"/>
    </w:p>
    <w:p w:rsidR="0028204E" w:rsidRPr="000C627D" w:rsidRDefault="0028204E" w:rsidP="0028204E">
      <w:pPr>
        <w:pStyle w:val="subsection"/>
      </w:pPr>
      <w:r w:rsidRPr="000C627D">
        <w:tab/>
      </w:r>
      <w:r w:rsidR="005F5BAB" w:rsidRPr="000C627D">
        <w:t>(1)</w:t>
      </w:r>
      <w:r w:rsidRPr="000C627D">
        <w:tab/>
        <w:t xml:space="preserve">The Secretary may, at any time, </w:t>
      </w:r>
      <w:r w:rsidR="00A457BA" w:rsidRPr="000C627D">
        <w:t xml:space="preserve">by notice </w:t>
      </w:r>
      <w:r w:rsidR="0004010A" w:rsidRPr="000C627D">
        <w:t>published on the Department</w:t>
      </w:r>
      <w:r w:rsidR="003C03C4" w:rsidRPr="000C627D">
        <w:t>’</w:t>
      </w:r>
      <w:r w:rsidR="0004010A" w:rsidRPr="000C627D">
        <w:t>s website</w:t>
      </w:r>
      <w:r w:rsidR="00A457BA" w:rsidRPr="000C627D">
        <w:t xml:space="preserve">, </w:t>
      </w:r>
      <w:r w:rsidR="00427C61" w:rsidRPr="000C627D">
        <w:t>vary</w:t>
      </w:r>
      <w:r w:rsidRPr="000C627D">
        <w:t xml:space="preserve"> </w:t>
      </w:r>
      <w:r w:rsidR="0004010A" w:rsidRPr="000C627D">
        <w:t>an Australian certificate of conformity</w:t>
      </w:r>
      <w:r w:rsidRPr="000C627D">
        <w:t>.</w:t>
      </w:r>
    </w:p>
    <w:p w:rsidR="0083754A" w:rsidRPr="000C627D" w:rsidRDefault="005F5BAB" w:rsidP="005F5BAB">
      <w:pPr>
        <w:pStyle w:val="subsection"/>
      </w:pPr>
      <w:r w:rsidRPr="000C627D">
        <w:tab/>
        <w:t>(2)</w:t>
      </w:r>
      <w:r w:rsidRPr="000C627D">
        <w:tab/>
        <w:t xml:space="preserve">The </w:t>
      </w:r>
      <w:r w:rsidR="00427C61" w:rsidRPr="000C627D">
        <w:t>variation</w:t>
      </w:r>
      <w:r w:rsidRPr="000C627D">
        <w:t xml:space="preserve"> takes effect on the day specified in the notice.</w:t>
      </w:r>
    </w:p>
    <w:p w:rsidR="00BF1F42" w:rsidRPr="000C627D" w:rsidRDefault="006E7CE6" w:rsidP="00BF1F42">
      <w:pPr>
        <w:pStyle w:val="ActHead5"/>
      </w:pPr>
      <w:bookmarkStart w:id="31" w:name="_Toc500512573"/>
      <w:r w:rsidRPr="000C627D">
        <w:rPr>
          <w:rStyle w:val="CharSectno"/>
        </w:rPr>
        <w:t>23</w:t>
      </w:r>
      <w:r w:rsidR="00BF1F42" w:rsidRPr="000C627D">
        <w:t xml:space="preserve">  Suspending Australian certificates</w:t>
      </w:r>
      <w:r w:rsidR="00B11705" w:rsidRPr="000C627D">
        <w:t xml:space="preserve"> of conformity</w:t>
      </w:r>
      <w:bookmarkEnd w:id="31"/>
    </w:p>
    <w:p w:rsidR="00193203" w:rsidRPr="000C627D" w:rsidRDefault="00193203" w:rsidP="00193203">
      <w:pPr>
        <w:pStyle w:val="SubsectionHead"/>
      </w:pPr>
      <w:r w:rsidRPr="000C627D">
        <w:t>Suspending Australian certificates of conformity</w:t>
      </w:r>
    </w:p>
    <w:p w:rsidR="007B705B" w:rsidRPr="000C627D" w:rsidRDefault="00BF1F42" w:rsidP="003B7BAF">
      <w:pPr>
        <w:pStyle w:val="subsection"/>
      </w:pPr>
      <w:r w:rsidRPr="000C627D">
        <w:tab/>
        <w:t>(1)</w:t>
      </w:r>
      <w:r w:rsidRPr="000C627D">
        <w:tab/>
        <w:t xml:space="preserve">The Secretary may, by notice </w:t>
      </w:r>
      <w:r w:rsidR="0004010A" w:rsidRPr="000C627D">
        <w:t>published on the Department</w:t>
      </w:r>
      <w:r w:rsidR="003C03C4" w:rsidRPr="000C627D">
        <w:t>’</w:t>
      </w:r>
      <w:r w:rsidR="0004010A" w:rsidRPr="000C627D">
        <w:t xml:space="preserve">s website, </w:t>
      </w:r>
      <w:r w:rsidR="007B705B" w:rsidRPr="000C627D">
        <w:t xml:space="preserve">suspend </w:t>
      </w:r>
      <w:r w:rsidR="0004010A" w:rsidRPr="000C627D">
        <w:t>an Australian certificate of conformity for emissions</w:t>
      </w:r>
      <w:r w:rsidR="000C627D">
        <w:noBreakHyphen/>
      </w:r>
      <w:r w:rsidR="0004010A" w:rsidRPr="000C627D">
        <w:t>controlled products</w:t>
      </w:r>
      <w:r w:rsidR="001D208D" w:rsidRPr="000C627D">
        <w:t xml:space="preserve"> </w:t>
      </w:r>
      <w:r w:rsidR="0004010A" w:rsidRPr="000C627D">
        <w:t xml:space="preserve">if </w:t>
      </w:r>
      <w:r w:rsidR="007B705B" w:rsidRPr="000C627D">
        <w:t xml:space="preserve">the Secretary </w:t>
      </w:r>
      <w:r w:rsidR="003B7BAF" w:rsidRPr="000C627D">
        <w:t xml:space="preserve">reasonably suspects </w:t>
      </w:r>
      <w:r w:rsidR="007B705B" w:rsidRPr="000C627D">
        <w:t>that</w:t>
      </w:r>
      <w:r w:rsidR="003B7BAF" w:rsidRPr="000C627D">
        <w:t xml:space="preserve"> </w:t>
      </w:r>
      <w:r w:rsidR="0004010A" w:rsidRPr="000C627D">
        <w:t xml:space="preserve">any of the products do </w:t>
      </w:r>
      <w:r w:rsidR="007B705B" w:rsidRPr="000C627D">
        <w:t xml:space="preserve">not comply with the Australian emissions standard for </w:t>
      </w:r>
      <w:r w:rsidR="003B7BAF" w:rsidRPr="000C627D">
        <w:t xml:space="preserve">the </w:t>
      </w:r>
      <w:r w:rsidR="0004010A" w:rsidRPr="000C627D">
        <w:t>products</w:t>
      </w:r>
      <w:r w:rsidR="007B705B" w:rsidRPr="000C627D">
        <w:t>.</w:t>
      </w:r>
    </w:p>
    <w:p w:rsidR="00E325C5" w:rsidRPr="000C627D" w:rsidRDefault="00E325C5" w:rsidP="003B7BAF">
      <w:pPr>
        <w:pStyle w:val="subsection"/>
      </w:pPr>
      <w:r w:rsidRPr="000C627D">
        <w:tab/>
        <w:t>(2)</w:t>
      </w:r>
      <w:r w:rsidRPr="000C627D">
        <w:tab/>
        <w:t>The suspension may apply</w:t>
      </w:r>
      <w:r w:rsidR="001D208D" w:rsidRPr="000C627D">
        <w:t xml:space="preserve"> in relation to</w:t>
      </w:r>
      <w:r w:rsidRPr="000C627D">
        <w:t>:</w:t>
      </w:r>
    </w:p>
    <w:p w:rsidR="001D208D" w:rsidRPr="000C627D" w:rsidRDefault="00E325C5" w:rsidP="00E325C5">
      <w:pPr>
        <w:pStyle w:val="paragraph"/>
      </w:pPr>
      <w:r w:rsidRPr="000C627D">
        <w:tab/>
        <w:t>(a)</w:t>
      </w:r>
      <w:r w:rsidRPr="000C627D">
        <w:tab/>
      </w:r>
      <w:r w:rsidR="001D208D" w:rsidRPr="000C627D">
        <w:t>all of the emissions</w:t>
      </w:r>
      <w:r w:rsidR="000C627D">
        <w:noBreakHyphen/>
      </w:r>
      <w:r w:rsidR="001D208D" w:rsidRPr="000C627D">
        <w:t>controlled products; or</w:t>
      </w:r>
    </w:p>
    <w:p w:rsidR="00E325C5" w:rsidRPr="000C627D" w:rsidRDefault="001D208D" w:rsidP="00E325C5">
      <w:pPr>
        <w:pStyle w:val="paragraph"/>
      </w:pPr>
      <w:r w:rsidRPr="000C627D">
        <w:tab/>
        <w:t>(b)</w:t>
      </w:r>
      <w:r w:rsidRPr="000C627D">
        <w:tab/>
        <w:t>specified emissions</w:t>
      </w:r>
      <w:r w:rsidR="000C627D">
        <w:noBreakHyphen/>
      </w:r>
      <w:r w:rsidRPr="000C627D">
        <w:t>controlled products</w:t>
      </w:r>
      <w:r w:rsidR="00E325C5" w:rsidRPr="000C627D">
        <w:t>.</w:t>
      </w:r>
    </w:p>
    <w:p w:rsidR="00BF1F42" w:rsidRPr="000C627D" w:rsidRDefault="00BF1F42" w:rsidP="00BF1F42">
      <w:pPr>
        <w:pStyle w:val="subsection"/>
      </w:pPr>
      <w:r w:rsidRPr="000C627D">
        <w:tab/>
        <w:t>(</w:t>
      </w:r>
      <w:r w:rsidR="00E325C5" w:rsidRPr="000C627D">
        <w:t>3</w:t>
      </w:r>
      <w:r w:rsidRPr="000C627D">
        <w:t>)</w:t>
      </w:r>
      <w:r w:rsidRPr="000C627D">
        <w:tab/>
        <w:t>The suspension takes effect on the day specified in the notice.</w:t>
      </w:r>
    </w:p>
    <w:p w:rsidR="00193203" w:rsidRPr="000C627D" w:rsidRDefault="00E325C5" w:rsidP="00193203">
      <w:pPr>
        <w:pStyle w:val="subsection"/>
      </w:pPr>
      <w:r w:rsidRPr="000C627D">
        <w:tab/>
        <w:t>(4</w:t>
      </w:r>
      <w:r w:rsidR="00193203" w:rsidRPr="000C627D">
        <w:t>)</w:t>
      </w:r>
      <w:r w:rsidR="00193203" w:rsidRPr="000C627D">
        <w:tab/>
      </w:r>
      <w:r w:rsidR="004D1B2E" w:rsidRPr="000C627D">
        <w:t>To avoid doubt, a</w:t>
      </w:r>
      <w:r w:rsidR="00193203" w:rsidRPr="000C627D">
        <w:t xml:space="preserve">n Australian certificate of conformity is not in force </w:t>
      </w:r>
      <w:r w:rsidR="001D208D" w:rsidRPr="000C627D">
        <w:t>in relation to an emissions</w:t>
      </w:r>
      <w:r w:rsidR="000C627D">
        <w:noBreakHyphen/>
      </w:r>
      <w:r w:rsidR="001D208D" w:rsidRPr="000C627D">
        <w:t xml:space="preserve">controlled product </w:t>
      </w:r>
      <w:r w:rsidR="00193203" w:rsidRPr="000C627D">
        <w:t>while it is suspended</w:t>
      </w:r>
      <w:r w:rsidR="001D208D" w:rsidRPr="000C627D">
        <w:t xml:space="preserve"> in relation to that product</w:t>
      </w:r>
      <w:r w:rsidR="00193203" w:rsidRPr="000C627D">
        <w:t>.</w:t>
      </w:r>
    </w:p>
    <w:p w:rsidR="00193203" w:rsidRPr="000C627D" w:rsidRDefault="00193203" w:rsidP="00193203">
      <w:pPr>
        <w:pStyle w:val="SubsectionHead"/>
      </w:pPr>
      <w:r w:rsidRPr="000C627D">
        <w:t>Ending suspensions</w:t>
      </w:r>
    </w:p>
    <w:p w:rsidR="001D208D" w:rsidRPr="000C627D" w:rsidRDefault="00BF1F42" w:rsidP="003B7BAF">
      <w:pPr>
        <w:pStyle w:val="subsection"/>
      </w:pPr>
      <w:r w:rsidRPr="000C627D">
        <w:tab/>
        <w:t>(</w:t>
      </w:r>
      <w:r w:rsidR="00E325C5" w:rsidRPr="000C627D">
        <w:t>5</w:t>
      </w:r>
      <w:r w:rsidRPr="000C627D">
        <w:t>)</w:t>
      </w:r>
      <w:r w:rsidRPr="000C627D">
        <w:tab/>
        <w:t xml:space="preserve">The Secretary may, by notice </w:t>
      </w:r>
      <w:r w:rsidR="0004010A" w:rsidRPr="000C627D">
        <w:t>published on the Department</w:t>
      </w:r>
      <w:r w:rsidR="003C03C4" w:rsidRPr="000C627D">
        <w:t>’</w:t>
      </w:r>
      <w:r w:rsidR="0004010A" w:rsidRPr="000C627D">
        <w:t xml:space="preserve">s website, </w:t>
      </w:r>
      <w:r w:rsidRPr="000C627D">
        <w:t xml:space="preserve">end a suspension of </w:t>
      </w:r>
      <w:r w:rsidR="0004010A" w:rsidRPr="000C627D">
        <w:t>an Australian certificate of conformity</w:t>
      </w:r>
      <w:r w:rsidR="001D208D" w:rsidRPr="000C627D">
        <w:t xml:space="preserve">, subject to </w:t>
      </w:r>
      <w:r w:rsidR="000C627D" w:rsidRPr="000C627D">
        <w:t>subsection (</w:t>
      </w:r>
      <w:r w:rsidR="001D208D" w:rsidRPr="000C627D">
        <w:t>7).</w:t>
      </w:r>
    </w:p>
    <w:p w:rsidR="001D208D" w:rsidRPr="000C627D" w:rsidRDefault="001D208D" w:rsidP="003B7BAF">
      <w:pPr>
        <w:pStyle w:val="subsection"/>
      </w:pPr>
      <w:r w:rsidRPr="000C627D">
        <w:tab/>
        <w:t>(6)</w:t>
      </w:r>
      <w:r w:rsidRPr="000C627D">
        <w:tab/>
        <w:t>The ending of the suspension may apply in relation to:</w:t>
      </w:r>
    </w:p>
    <w:p w:rsidR="001D208D" w:rsidRPr="000C627D" w:rsidRDefault="001D208D" w:rsidP="001D208D">
      <w:pPr>
        <w:pStyle w:val="paragraph"/>
      </w:pPr>
      <w:r w:rsidRPr="000C627D">
        <w:tab/>
        <w:t>(a)</w:t>
      </w:r>
      <w:r w:rsidRPr="000C627D">
        <w:tab/>
        <w:t>all of the emissions</w:t>
      </w:r>
      <w:r w:rsidR="000C627D">
        <w:noBreakHyphen/>
      </w:r>
      <w:r w:rsidRPr="000C627D">
        <w:t>controlled products to which the suspension applies; or</w:t>
      </w:r>
    </w:p>
    <w:p w:rsidR="001D208D" w:rsidRPr="000C627D" w:rsidRDefault="001D208D" w:rsidP="001D208D">
      <w:pPr>
        <w:pStyle w:val="paragraph"/>
      </w:pPr>
      <w:r w:rsidRPr="000C627D">
        <w:tab/>
        <w:t>(b)</w:t>
      </w:r>
      <w:r w:rsidRPr="000C627D">
        <w:tab/>
        <w:t>specified emissions</w:t>
      </w:r>
      <w:r w:rsidR="000C627D">
        <w:noBreakHyphen/>
      </w:r>
      <w:r w:rsidRPr="000C627D">
        <w:t>controlled products.</w:t>
      </w:r>
    </w:p>
    <w:p w:rsidR="0004010A" w:rsidRPr="000C627D" w:rsidRDefault="001D208D" w:rsidP="003B7BAF">
      <w:pPr>
        <w:pStyle w:val="subsection"/>
      </w:pPr>
      <w:r w:rsidRPr="000C627D">
        <w:tab/>
        <w:t>(7)</w:t>
      </w:r>
      <w:r w:rsidRPr="000C627D">
        <w:tab/>
        <w:t>The Secretary must not end the suspension, in relation to an emissions</w:t>
      </w:r>
      <w:r w:rsidR="000C627D">
        <w:noBreakHyphen/>
      </w:r>
      <w:r w:rsidRPr="000C627D">
        <w:t xml:space="preserve">controlled product, unless the Secretary is satisfied that the product </w:t>
      </w:r>
      <w:r w:rsidR="0004010A" w:rsidRPr="000C627D">
        <w:t>compl</w:t>
      </w:r>
      <w:r w:rsidRPr="000C627D">
        <w:t>ies</w:t>
      </w:r>
      <w:r w:rsidR="0004010A" w:rsidRPr="000C627D">
        <w:t xml:space="preserve"> with the Australian emissions standard for the product</w:t>
      </w:r>
      <w:r w:rsidR="003B7BAF" w:rsidRPr="000C627D">
        <w:t>.</w:t>
      </w:r>
    </w:p>
    <w:p w:rsidR="00BF1F42" w:rsidRPr="000C627D" w:rsidRDefault="00BF1F42" w:rsidP="00BF1F42">
      <w:pPr>
        <w:pStyle w:val="subsection"/>
      </w:pPr>
      <w:r w:rsidRPr="000C627D">
        <w:tab/>
        <w:t>(</w:t>
      </w:r>
      <w:r w:rsidR="001D208D" w:rsidRPr="000C627D">
        <w:t>8</w:t>
      </w:r>
      <w:r w:rsidRPr="000C627D">
        <w:t>)</w:t>
      </w:r>
      <w:r w:rsidRPr="000C627D">
        <w:tab/>
        <w:t>The ending of the suspension takes effect on the day specified in the notice.</w:t>
      </w:r>
    </w:p>
    <w:p w:rsidR="00A457BA" w:rsidRPr="000C627D" w:rsidRDefault="006E7CE6" w:rsidP="00A457BA">
      <w:pPr>
        <w:pStyle w:val="ActHead5"/>
      </w:pPr>
      <w:bookmarkStart w:id="32" w:name="_Toc500512574"/>
      <w:r w:rsidRPr="000C627D">
        <w:rPr>
          <w:rStyle w:val="CharSectno"/>
        </w:rPr>
        <w:t>24</w:t>
      </w:r>
      <w:r w:rsidR="00A457BA" w:rsidRPr="000C627D">
        <w:t xml:space="preserve">  </w:t>
      </w:r>
      <w:r w:rsidR="0083754A" w:rsidRPr="000C627D">
        <w:t>Revoking</w:t>
      </w:r>
      <w:r w:rsidR="00A457BA" w:rsidRPr="000C627D">
        <w:t xml:space="preserve"> Australian certificates</w:t>
      </w:r>
      <w:r w:rsidR="00B11705" w:rsidRPr="000C627D">
        <w:t xml:space="preserve"> of conformity</w:t>
      </w:r>
      <w:bookmarkEnd w:id="32"/>
    </w:p>
    <w:p w:rsidR="0068084C" w:rsidRPr="000C627D" w:rsidRDefault="0028204E" w:rsidP="003B7BAF">
      <w:pPr>
        <w:pStyle w:val="subsection"/>
      </w:pPr>
      <w:r w:rsidRPr="000C627D">
        <w:tab/>
      </w:r>
      <w:r w:rsidR="00193203" w:rsidRPr="000C627D">
        <w:t>(1)</w:t>
      </w:r>
      <w:r w:rsidRPr="000C627D">
        <w:tab/>
        <w:t>The Secretary may</w:t>
      </w:r>
      <w:r w:rsidR="00A457BA" w:rsidRPr="000C627D">
        <w:t xml:space="preserve">, by notice </w:t>
      </w:r>
      <w:r w:rsidR="0004010A" w:rsidRPr="000C627D">
        <w:t>published on the Department</w:t>
      </w:r>
      <w:r w:rsidR="003C03C4" w:rsidRPr="000C627D">
        <w:t>’</w:t>
      </w:r>
      <w:r w:rsidR="0004010A" w:rsidRPr="000C627D">
        <w:t xml:space="preserve">s website, </w:t>
      </w:r>
      <w:r w:rsidR="0083754A" w:rsidRPr="000C627D">
        <w:t>revoke</w:t>
      </w:r>
      <w:r w:rsidR="0004010A" w:rsidRPr="000C627D">
        <w:t xml:space="preserve"> an </w:t>
      </w:r>
      <w:r w:rsidR="00A457BA" w:rsidRPr="000C627D">
        <w:t>Australian certificate</w:t>
      </w:r>
      <w:r w:rsidR="003B7BAF" w:rsidRPr="000C627D">
        <w:t xml:space="preserve"> of conformity for</w:t>
      </w:r>
      <w:r w:rsidR="0068084C" w:rsidRPr="000C627D">
        <w:t xml:space="preserve"> </w:t>
      </w:r>
      <w:r w:rsidR="00B11705" w:rsidRPr="000C627D">
        <w:t>emissions</w:t>
      </w:r>
      <w:r w:rsidR="000C627D">
        <w:noBreakHyphen/>
      </w:r>
      <w:r w:rsidR="00B11705" w:rsidRPr="000C627D">
        <w:t>controlled product</w:t>
      </w:r>
      <w:r w:rsidR="0004010A" w:rsidRPr="000C627D">
        <w:t xml:space="preserve">s if </w:t>
      </w:r>
      <w:r w:rsidRPr="000C627D">
        <w:t xml:space="preserve">the Secretary </w:t>
      </w:r>
      <w:r w:rsidR="00C00D44" w:rsidRPr="000C627D">
        <w:t xml:space="preserve">is </w:t>
      </w:r>
      <w:r w:rsidR="0083754A" w:rsidRPr="000C627D">
        <w:t xml:space="preserve">reasonably </w:t>
      </w:r>
      <w:r w:rsidR="00C00D44" w:rsidRPr="000C627D">
        <w:t>satisfied</w:t>
      </w:r>
      <w:r w:rsidR="003B7BAF" w:rsidRPr="000C627D">
        <w:t xml:space="preserve"> </w:t>
      </w:r>
      <w:r w:rsidRPr="000C627D">
        <w:t>that</w:t>
      </w:r>
      <w:r w:rsidR="003B7BAF" w:rsidRPr="000C627D">
        <w:t xml:space="preserve"> </w:t>
      </w:r>
      <w:r w:rsidR="0004010A" w:rsidRPr="000C627D">
        <w:t xml:space="preserve">any of the products do not </w:t>
      </w:r>
      <w:r w:rsidR="0068084C" w:rsidRPr="000C627D">
        <w:t>comply with the Australian emissions standard for the</w:t>
      </w:r>
      <w:r w:rsidR="0004010A" w:rsidRPr="000C627D">
        <w:t xml:space="preserve"> products</w:t>
      </w:r>
      <w:r w:rsidR="0068084C" w:rsidRPr="000C627D">
        <w:t>.</w:t>
      </w:r>
    </w:p>
    <w:p w:rsidR="0068084C" w:rsidRPr="000C627D" w:rsidRDefault="0083754A" w:rsidP="0068084C">
      <w:pPr>
        <w:pStyle w:val="subsection"/>
      </w:pPr>
      <w:r w:rsidRPr="000C627D">
        <w:tab/>
        <w:t>(2)</w:t>
      </w:r>
      <w:r w:rsidRPr="000C627D">
        <w:tab/>
        <w:t xml:space="preserve">The revocation </w:t>
      </w:r>
      <w:r w:rsidR="0068084C" w:rsidRPr="000C627D">
        <w:t>takes effect on the day specified in the notice.</w:t>
      </w:r>
    </w:p>
    <w:p w:rsidR="0068084C" w:rsidRPr="000C627D" w:rsidRDefault="0068084C" w:rsidP="0068084C">
      <w:pPr>
        <w:pStyle w:val="subsection"/>
      </w:pPr>
      <w:r w:rsidRPr="000C627D">
        <w:tab/>
        <w:t>(3)</w:t>
      </w:r>
      <w:r w:rsidRPr="000C627D">
        <w:tab/>
        <w:t>To avoid dou</w:t>
      </w:r>
      <w:r w:rsidR="00C62454" w:rsidRPr="000C627D">
        <w:t xml:space="preserve">bt, the Secretary may </w:t>
      </w:r>
      <w:r w:rsidR="0083754A" w:rsidRPr="000C627D">
        <w:t>revoke</w:t>
      </w:r>
      <w:r w:rsidR="00C62454" w:rsidRPr="000C627D">
        <w:t xml:space="preserve"> an Australian certificate of conformity</w:t>
      </w:r>
      <w:r w:rsidRPr="000C627D">
        <w:t xml:space="preserve"> whether or not the Secretary has suspended the certificate.</w:t>
      </w:r>
    </w:p>
    <w:p w:rsidR="00165420" w:rsidRPr="000C627D" w:rsidRDefault="00165420" w:rsidP="00165420">
      <w:pPr>
        <w:pStyle w:val="ActHead4"/>
      </w:pPr>
      <w:bookmarkStart w:id="33" w:name="_Toc500512575"/>
      <w:r w:rsidRPr="000C627D">
        <w:rPr>
          <w:rStyle w:val="CharSubdNo"/>
        </w:rPr>
        <w:t>Subdivision C</w:t>
      </w:r>
      <w:r w:rsidRPr="000C627D">
        <w:t>—</w:t>
      </w:r>
      <w:r w:rsidRPr="000C627D">
        <w:rPr>
          <w:rStyle w:val="CharSubdText"/>
        </w:rPr>
        <w:t>Secretary must give copies of notices to applicants</w:t>
      </w:r>
      <w:bookmarkEnd w:id="33"/>
    </w:p>
    <w:p w:rsidR="00165420" w:rsidRPr="000C627D" w:rsidRDefault="006E7CE6" w:rsidP="00165420">
      <w:pPr>
        <w:pStyle w:val="ActHead5"/>
      </w:pPr>
      <w:bookmarkStart w:id="34" w:name="_Toc500512576"/>
      <w:r w:rsidRPr="000C627D">
        <w:rPr>
          <w:rStyle w:val="CharSectno"/>
        </w:rPr>
        <w:t>25</w:t>
      </w:r>
      <w:r w:rsidR="00165420" w:rsidRPr="000C627D">
        <w:t xml:space="preserve">  Secretary must give copies of notices to applicants</w:t>
      </w:r>
      <w:bookmarkEnd w:id="34"/>
    </w:p>
    <w:p w:rsidR="007B1A30" w:rsidRPr="000C627D" w:rsidRDefault="00165420" w:rsidP="007B1A30">
      <w:pPr>
        <w:pStyle w:val="subsection"/>
      </w:pPr>
      <w:r w:rsidRPr="000C627D">
        <w:tab/>
        <w:t>(1)</w:t>
      </w:r>
      <w:r w:rsidRPr="000C627D">
        <w:tab/>
        <w:t>If the Secretary publishes</w:t>
      </w:r>
      <w:r w:rsidR="007B1A30" w:rsidRPr="000C627D">
        <w:t xml:space="preserve"> on the Department</w:t>
      </w:r>
      <w:r w:rsidR="003C03C4" w:rsidRPr="000C627D">
        <w:t>’</w:t>
      </w:r>
      <w:r w:rsidR="007B1A30" w:rsidRPr="000C627D">
        <w:t>s website under this Division any of the following notices relating to an Australian certificate of conformity, the Secretary must give a copy of the notice to the applicant for the certificate, if reasonably practicable:</w:t>
      </w:r>
    </w:p>
    <w:p w:rsidR="00165420" w:rsidRPr="000C627D" w:rsidRDefault="007B1A30" w:rsidP="007B1A30">
      <w:pPr>
        <w:pStyle w:val="paragraph"/>
      </w:pPr>
      <w:r w:rsidRPr="000C627D">
        <w:tab/>
      </w:r>
      <w:r w:rsidR="00165420" w:rsidRPr="000C627D">
        <w:t>(a)</w:t>
      </w:r>
      <w:r w:rsidR="00165420" w:rsidRPr="000C627D">
        <w:tab/>
      </w:r>
      <w:r w:rsidRPr="000C627D">
        <w:t>the</w:t>
      </w:r>
      <w:r w:rsidR="00165420" w:rsidRPr="000C627D">
        <w:t xml:space="preserve"> </w:t>
      </w:r>
      <w:r w:rsidRPr="000C627D">
        <w:t>certificate</w:t>
      </w:r>
      <w:r w:rsidR="00165420" w:rsidRPr="000C627D">
        <w:t>;</w:t>
      </w:r>
    </w:p>
    <w:p w:rsidR="00165420" w:rsidRPr="000C627D" w:rsidRDefault="00165420" w:rsidP="00165420">
      <w:pPr>
        <w:pStyle w:val="paragraph"/>
      </w:pPr>
      <w:r w:rsidRPr="000C627D">
        <w:tab/>
        <w:t>(b)</w:t>
      </w:r>
      <w:r w:rsidRPr="000C627D">
        <w:tab/>
        <w:t xml:space="preserve">a notice varying, suspending or revoking </w:t>
      </w:r>
      <w:r w:rsidR="007B1A30" w:rsidRPr="000C627D">
        <w:t>the</w:t>
      </w:r>
      <w:r w:rsidRPr="000C627D">
        <w:t xml:space="preserve"> </w:t>
      </w:r>
      <w:r w:rsidR="007B1A30" w:rsidRPr="000C627D">
        <w:t>certificate;</w:t>
      </w:r>
    </w:p>
    <w:p w:rsidR="00165420" w:rsidRPr="000C627D" w:rsidRDefault="00165420" w:rsidP="00165420">
      <w:pPr>
        <w:pStyle w:val="paragraph"/>
      </w:pPr>
      <w:r w:rsidRPr="000C627D">
        <w:tab/>
        <w:t>(c)</w:t>
      </w:r>
      <w:r w:rsidRPr="000C627D">
        <w:tab/>
        <w:t xml:space="preserve">a notice ending a suspension of </w:t>
      </w:r>
      <w:r w:rsidR="007B1A30" w:rsidRPr="000C627D">
        <w:t>the</w:t>
      </w:r>
      <w:r w:rsidRPr="000C627D">
        <w:t xml:space="preserve"> </w:t>
      </w:r>
      <w:r w:rsidR="007B1A30" w:rsidRPr="000C627D">
        <w:t>certificate</w:t>
      </w:r>
      <w:r w:rsidR="00F70EDD" w:rsidRPr="000C627D">
        <w:t>.</w:t>
      </w:r>
    </w:p>
    <w:p w:rsidR="00165420" w:rsidRPr="000C627D" w:rsidRDefault="00165420" w:rsidP="00165420">
      <w:pPr>
        <w:pStyle w:val="subsection"/>
      </w:pPr>
      <w:r w:rsidRPr="000C627D">
        <w:tab/>
        <w:t>(2)</w:t>
      </w:r>
      <w:r w:rsidRPr="000C627D">
        <w:tab/>
        <w:t xml:space="preserve">A failure to comply with </w:t>
      </w:r>
      <w:r w:rsidR="000C627D" w:rsidRPr="000C627D">
        <w:t>subsection (</w:t>
      </w:r>
      <w:r w:rsidRPr="000C627D">
        <w:t>1) does not affect the validity of</w:t>
      </w:r>
      <w:r w:rsidR="00FC5E14" w:rsidRPr="000C627D">
        <w:t xml:space="preserve"> the</w:t>
      </w:r>
      <w:r w:rsidRPr="000C627D">
        <w:t xml:space="preserve"> certificate, variation, suspension, revocation or ending of the suspension.</w:t>
      </w:r>
    </w:p>
    <w:p w:rsidR="00D9071A" w:rsidRPr="000C627D" w:rsidRDefault="00D9071A" w:rsidP="00D9071A">
      <w:pPr>
        <w:pStyle w:val="ActHead3"/>
        <w:pageBreakBefore/>
      </w:pPr>
      <w:bookmarkStart w:id="35" w:name="_Toc500512577"/>
      <w:r w:rsidRPr="000C627D">
        <w:rPr>
          <w:rStyle w:val="CharDivNo"/>
        </w:rPr>
        <w:t>Division</w:t>
      </w:r>
      <w:r w:rsidR="000C627D" w:rsidRPr="000C627D">
        <w:rPr>
          <w:rStyle w:val="CharDivNo"/>
        </w:rPr>
        <w:t> </w:t>
      </w:r>
      <w:r w:rsidRPr="000C627D">
        <w:rPr>
          <w:rStyle w:val="CharDivNo"/>
        </w:rPr>
        <w:t>3</w:t>
      </w:r>
      <w:r w:rsidRPr="000C627D">
        <w:t>—</w:t>
      </w:r>
      <w:r w:rsidRPr="000C627D">
        <w:rPr>
          <w:rStyle w:val="CharDivText"/>
        </w:rPr>
        <w:t>Foreign certification</w:t>
      </w:r>
      <w:bookmarkEnd w:id="35"/>
    </w:p>
    <w:p w:rsidR="00D9071A" w:rsidRPr="000C627D" w:rsidRDefault="006E7CE6" w:rsidP="00D9071A">
      <w:pPr>
        <w:pStyle w:val="ActHead5"/>
      </w:pPr>
      <w:bookmarkStart w:id="36" w:name="_Toc500512578"/>
      <w:r w:rsidRPr="000C627D">
        <w:rPr>
          <w:rStyle w:val="CharSectno"/>
        </w:rPr>
        <w:t>26</w:t>
      </w:r>
      <w:r w:rsidR="00D9071A" w:rsidRPr="000C627D">
        <w:t xml:space="preserve">  Foreign certification</w:t>
      </w:r>
      <w:bookmarkEnd w:id="36"/>
    </w:p>
    <w:p w:rsidR="0050040E" w:rsidRPr="000C627D" w:rsidRDefault="0067576A" w:rsidP="009F20B8">
      <w:pPr>
        <w:pStyle w:val="subsection"/>
      </w:pPr>
      <w:r w:rsidRPr="000C627D">
        <w:tab/>
      </w:r>
      <w:r w:rsidR="00326BBB" w:rsidRPr="000C627D">
        <w:t>(1)</w:t>
      </w:r>
      <w:r w:rsidR="0050040E" w:rsidRPr="000C627D">
        <w:tab/>
        <w:t>Each item of the following table has the following effects:</w:t>
      </w:r>
    </w:p>
    <w:p w:rsidR="0050040E" w:rsidRPr="000C627D" w:rsidRDefault="0050040E" w:rsidP="0050040E">
      <w:pPr>
        <w:pStyle w:val="paragraph"/>
      </w:pPr>
      <w:r w:rsidRPr="000C627D">
        <w:tab/>
        <w:t>(a)</w:t>
      </w:r>
      <w:r w:rsidRPr="000C627D">
        <w:tab/>
        <w:t>for the purposes of subparagraph</w:t>
      </w:r>
      <w:r w:rsidR="000C627D" w:rsidRPr="000C627D">
        <w:t> </w:t>
      </w:r>
      <w:r w:rsidRPr="000C627D">
        <w:t>10(2)(b)(</w:t>
      </w:r>
      <w:proofErr w:type="spellStart"/>
      <w:r w:rsidRPr="000C627D">
        <w:t>i</w:t>
      </w:r>
      <w:proofErr w:type="spellEnd"/>
      <w:r w:rsidRPr="000C627D">
        <w:t xml:space="preserve">) of the Act, the regulatory authority mentioned in column 2 of the item is specified for </w:t>
      </w:r>
      <w:r w:rsidR="005D0ACB" w:rsidRPr="000C627D">
        <w:t>an emissions</w:t>
      </w:r>
      <w:r w:rsidR="000C627D">
        <w:noBreakHyphen/>
      </w:r>
      <w:r w:rsidR="005D0ACB" w:rsidRPr="000C627D">
        <w:t>controlled</w:t>
      </w:r>
      <w:r w:rsidRPr="000C627D">
        <w:t xml:space="preserve"> product mentioned in column 1 of the item;</w:t>
      </w:r>
    </w:p>
    <w:p w:rsidR="0050040E" w:rsidRPr="000C627D" w:rsidRDefault="0050040E" w:rsidP="0050040E">
      <w:pPr>
        <w:pStyle w:val="paragraph"/>
      </w:pPr>
      <w:r w:rsidRPr="000C627D">
        <w:tab/>
        <w:t>(</w:t>
      </w:r>
      <w:r w:rsidR="005D0ACB" w:rsidRPr="000C627D">
        <w:t>b</w:t>
      </w:r>
      <w:r w:rsidRPr="000C627D">
        <w:t>)</w:t>
      </w:r>
      <w:r w:rsidRPr="000C627D">
        <w:tab/>
        <w:t>for the purposes of subparagraph</w:t>
      </w:r>
      <w:r w:rsidR="000C627D" w:rsidRPr="000C627D">
        <w:t> </w:t>
      </w:r>
      <w:r w:rsidRPr="000C627D">
        <w:t xml:space="preserve">10(2)(b)(ii) of the Act, the emissions standard mentioned in column 3 of </w:t>
      </w:r>
      <w:r w:rsidR="00E239FD" w:rsidRPr="000C627D">
        <w:t xml:space="preserve">the </w:t>
      </w:r>
      <w:r w:rsidRPr="000C627D">
        <w:t>item is specified for t</w:t>
      </w:r>
      <w:r w:rsidR="005D0ACB" w:rsidRPr="000C627D">
        <w:t>he</w:t>
      </w:r>
      <w:r w:rsidRPr="000C627D">
        <w:t xml:space="preserve"> product;</w:t>
      </w:r>
    </w:p>
    <w:p w:rsidR="00AE1821" w:rsidRPr="000C627D" w:rsidRDefault="00AE1821" w:rsidP="0050040E">
      <w:pPr>
        <w:pStyle w:val="paragraph"/>
      </w:pPr>
      <w:r w:rsidRPr="000C627D">
        <w:tab/>
        <w:t>(c)</w:t>
      </w:r>
      <w:r w:rsidRPr="000C627D">
        <w:tab/>
        <w:t xml:space="preserve">for the purposes of this instrument, the document mentioned in column 4 of the item is a </w:t>
      </w:r>
      <w:r w:rsidRPr="000C627D">
        <w:rPr>
          <w:b/>
          <w:i/>
        </w:rPr>
        <w:t>foreign certificate of conformity</w:t>
      </w:r>
      <w:r w:rsidR="00F71656" w:rsidRPr="000C627D">
        <w:t>;</w:t>
      </w:r>
    </w:p>
    <w:p w:rsidR="00FD5533" w:rsidRPr="000C627D" w:rsidRDefault="00FD5533" w:rsidP="0050040E">
      <w:pPr>
        <w:pStyle w:val="paragraph"/>
      </w:pPr>
      <w:r w:rsidRPr="000C627D">
        <w:tab/>
        <w:t>(</w:t>
      </w:r>
      <w:r w:rsidR="00AE1821" w:rsidRPr="000C627D">
        <w:t>d</w:t>
      </w:r>
      <w:r w:rsidR="0050040E" w:rsidRPr="000C627D">
        <w:t>)</w:t>
      </w:r>
      <w:r w:rsidR="0050040E" w:rsidRPr="000C627D">
        <w:tab/>
        <w:t>for the purposes of this instrument, th</w:t>
      </w:r>
      <w:r w:rsidR="005D0ACB" w:rsidRPr="000C627D">
        <w:t>e</w:t>
      </w:r>
      <w:r w:rsidR="0050040E" w:rsidRPr="000C627D">
        <w:t xml:space="preserve"> product is </w:t>
      </w:r>
      <w:r w:rsidR="0050040E" w:rsidRPr="000C627D">
        <w:rPr>
          <w:b/>
          <w:i/>
        </w:rPr>
        <w:t>foreign certified</w:t>
      </w:r>
      <w:r w:rsidRPr="000C627D">
        <w:t xml:space="preserve"> if:</w:t>
      </w:r>
    </w:p>
    <w:p w:rsidR="00D9071A" w:rsidRPr="000C627D" w:rsidRDefault="00FD5533" w:rsidP="00FD5533">
      <w:pPr>
        <w:pStyle w:val="paragraphsub"/>
      </w:pPr>
      <w:r w:rsidRPr="000C627D">
        <w:tab/>
        <w:t>(</w:t>
      </w:r>
      <w:proofErr w:type="spellStart"/>
      <w:r w:rsidRPr="000C627D">
        <w:t>i</w:t>
      </w:r>
      <w:proofErr w:type="spellEnd"/>
      <w:r w:rsidRPr="000C627D">
        <w:t>)</w:t>
      </w:r>
      <w:r w:rsidRPr="000C627D">
        <w:tab/>
      </w:r>
      <w:r w:rsidR="0050040E" w:rsidRPr="000C627D">
        <w:t>it is certified</w:t>
      </w:r>
      <w:r w:rsidR="009B13DC" w:rsidRPr="000C627D">
        <w:t xml:space="preserve"> </w:t>
      </w:r>
      <w:r w:rsidR="0050040E" w:rsidRPr="000C627D">
        <w:t>by that regulatory authority, by means of th</w:t>
      </w:r>
      <w:r w:rsidR="00AE1821" w:rsidRPr="000C627D">
        <w:t>at kind of foreign certificate of conformity</w:t>
      </w:r>
      <w:r w:rsidR="0050040E" w:rsidRPr="000C627D">
        <w:t xml:space="preserve">, as </w:t>
      </w:r>
      <w:r w:rsidRPr="000C627D">
        <w:t>meeting that emissions standard; and</w:t>
      </w:r>
    </w:p>
    <w:p w:rsidR="00FD5533" w:rsidRPr="000C627D" w:rsidRDefault="00FD5533" w:rsidP="00FD5533">
      <w:pPr>
        <w:pStyle w:val="paragraphsub"/>
      </w:pPr>
      <w:r w:rsidRPr="000C627D">
        <w:tab/>
        <w:t>(ii)</w:t>
      </w:r>
      <w:r w:rsidRPr="000C627D">
        <w:tab/>
        <w:t>th</w:t>
      </w:r>
      <w:r w:rsidR="00AE1821" w:rsidRPr="000C627D">
        <w:t xml:space="preserve">e certificate </w:t>
      </w:r>
      <w:r w:rsidRPr="000C627D">
        <w:t xml:space="preserve">is </w:t>
      </w:r>
      <w:r w:rsidR="00E239FD" w:rsidRPr="000C627D">
        <w:t>not currently suspended or cancelled</w:t>
      </w:r>
      <w:r w:rsidRPr="000C627D">
        <w:t>.</w:t>
      </w:r>
    </w:p>
    <w:p w:rsidR="00D9071A" w:rsidRPr="000C627D" w:rsidRDefault="00D9071A" w:rsidP="00B237C7">
      <w:pPr>
        <w:pStyle w:val="Tabletext"/>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2126"/>
        <w:gridCol w:w="1985"/>
        <w:gridCol w:w="2268"/>
      </w:tblGrid>
      <w:tr w:rsidR="0050040E" w:rsidRPr="000C627D" w:rsidTr="00293F18">
        <w:trPr>
          <w:tblHeader/>
        </w:trPr>
        <w:tc>
          <w:tcPr>
            <w:tcW w:w="8359" w:type="dxa"/>
            <w:gridSpan w:val="5"/>
            <w:tcBorders>
              <w:top w:val="single" w:sz="12" w:space="0" w:color="auto"/>
              <w:bottom w:val="single" w:sz="6" w:space="0" w:color="auto"/>
            </w:tcBorders>
            <w:shd w:val="clear" w:color="auto" w:fill="auto"/>
          </w:tcPr>
          <w:p w:rsidR="0050040E" w:rsidRPr="000C627D" w:rsidRDefault="0050040E" w:rsidP="00F71656">
            <w:pPr>
              <w:pStyle w:val="TableHeading"/>
            </w:pPr>
            <w:r w:rsidRPr="000C627D">
              <w:t>Foreign certific</w:t>
            </w:r>
            <w:r w:rsidR="00F71656" w:rsidRPr="000C627D">
              <w:t>ation</w:t>
            </w:r>
          </w:p>
        </w:tc>
      </w:tr>
      <w:tr w:rsidR="0050040E" w:rsidRPr="000C627D" w:rsidTr="00293F18">
        <w:trPr>
          <w:tblHeader/>
        </w:trPr>
        <w:tc>
          <w:tcPr>
            <w:tcW w:w="714" w:type="dxa"/>
            <w:tcBorders>
              <w:top w:val="single" w:sz="6" w:space="0" w:color="auto"/>
              <w:bottom w:val="single" w:sz="12" w:space="0" w:color="auto"/>
            </w:tcBorders>
            <w:shd w:val="clear" w:color="auto" w:fill="auto"/>
          </w:tcPr>
          <w:p w:rsidR="0050040E" w:rsidRPr="000C627D" w:rsidRDefault="0050040E" w:rsidP="00B237C7">
            <w:pPr>
              <w:pStyle w:val="TableHeading"/>
            </w:pPr>
            <w:r w:rsidRPr="000C627D">
              <w:t>Item</w:t>
            </w:r>
          </w:p>
        </w:tc>
        <w:tc>
          <w:tcPr>
            <w:tcW w:w="1266" w:type="dxa"/>
            <w:tcBorders>
              <w:top w:val="single" w:sz="6" w:space="0" w:color="auto"/>
              <w:bottom w:val="single" w:sz="12" w:space="0" w:color="auto"/>
            </w:tcBorders>
            <w:shd w:val="clear" w:color="auto" w:fill="auto"/>
          </w:tcPr>
          <w:p w:rsidR="0050040E" w:rsidRPr="000C627D" w:rsidRDefault="0050040E" w:rsidP="009F5C91">
            <w:pPr>
              <w:pStyle w:val="TableHeading"/>
            </w:pPr>
            <w:r w:rsidRPr="000C627D">
              <w:t>Column 1</w:t>
            </w:r>
          </w:p>
          <w:p w:rsidR="0050040E" w:rsidRPr="000C627D" w:rsidRDefault="0050040E" w:rsidP="009F5C91">
            <w:pPr>
              <w:pStyle w:val="TableHeading"/>
            </w:pPr>
            <w:r w:rsidRPr="000C627D">
              <w:t>Product</w:t>
            </w:r>
          </w:p>
        </w:tc>
        <w:tc>
          <w:tcPr>
            <w:tcW w:w="2126" w:type="dxa"/>
            <w:tcBorders>
              <w:top w:val="single" w:sz="6" w:space="0" w:color="auto"/>
              <w:bottom w:val="single" w:sz="12" w:space="0" w:color="auto"/>
            </w:tcBorders>
            <w:shd w:val="clear" w:color="auto" w:fill="auto"/>
          </w:tcPr>
          <w:p w:rsidR="0050040E" w:rsidRPr="000C627D" w:rsidRDefault="0050040E" w:rsidP="009F5C91">
            <w:pPr>
              <w:pStyle w:val="TableHeading"/>
            </w:pPr>
            <w:r w:rsidRPr="000C627D">
              <w:t>Column 2</w:t>
            </w:r>
          </w:p>
          <w:p w:rsidR="0050040E" w:rsidRPr="000C627D" w:rsidRDefault="0050040E" w:rsidP="009F5C91">
            <w:pPr>
              <w:pStyle w:val="TableHeading"/>
            </w:pPr>
            <w:r w:rsidRPr="000C627D">
              <w:t>Regulatory authority</w:t>
            </w:r>
          </w:p>
        </w:tc>
        <w:tc>
          <w:tcPr>
            <w:tcW w:w="1985" w:type="dxa"/>
            <w:tcBorders>
              <w:top w:val="single" w:sz="6" w:space="0" w:color="auto"/>
              <w:bottom w:val="single" w:sz="12" w:space="0" w:color="auto"/>
            </w:tcBorders>
            <w:shd w:val="clear" w:color="auto" w:fill="auto"/>
          </w:tcPr>
          <w:p w:rsidR="0050040E" w:rsidRPr="000C627D" w:rsidRDefault="0050040E" w:rsidP="00B237C7">
            <w:pPr>
              <w:pStyle w:val="TableHeading"/>
            </w:pPr>
            <w:r w:rsidRPr="000C627D">
              <w:t>Column 3</w:t>
            </w:r>
          </w:p>
          <w:p w:rsidR="0050040E" w:rsidRPr="000C627D" w:rsidRDefault="0050040E" w:rsidP="00B237C7">
            <w:pPr>
              <w:pStyle w:val="TableHeading"/>
            </w:pPr>
            <w:r w:rsidRPr="000C627D">
              <w:t>Emissions standard</w:t>
            </w:r>
          </w:p>
        </w:tc>
        <w:tc>
          <w:tcPr>
            <w:tcW w:w="2268" w:type="dxa"/>
            <w:tcBorders>
              <w:top w:val="single" w:sz="6" w:space="0" w:color="auto"/>
              <w:bottom w:val="single" w:sz="12" w:space="0" w:color="auto"/>
            </w:tcBorders>
            <w:shd w:val="clear" w:color="auto" w:fill="auto"/>
          </w:tcPr>
          <w:p w:rsidR="0050040E" w:rsidRPr="000C627D" w:rsidRDefault="0050040E" w:rsidP="009F5C91">
            <w:pPr>
              <w:pStyle w:val="TableHeading"/>
            </w:pPr>
            <w:r w:rsidRPr="000C627D">
              <w:t>Column 4</w:t>
            </w:r>
          </w:p>
          <w:p w:rsidR="0050040E" w:rsidRPr="000C627D" w:rsidRDefault="00AE1821" w:rsidP="00AE1821">
            <w:pPr>
              <w:pStyle w:val="TableHeading"/>
            </w:pPr>
            <w:r w:rsidRPr="000C627D">
              <w:t>Foreign certificate of conformity</w:t>
            </w:r>
          </w:p>
        </w:tc>
      </w:tr>
      <w:tr w:rsidR="00293F18" w:rsidRPr="000C627D" w:rsidTr="00293F18">
        <w:tc>
          <w:tcPr>
            <w:tcW w:w="714" w:type="dxa"/>
            <w:tcBorders>
              <w:top w:val="single" w:sz="12" w:space="0" w:color="auto"/>
            </w:tcBorders>
            <w:shd w:val="clear" w:color="auto" w:fill="auto"/>
          </w:tcPr>
          <w:p w:rsidR="00293F18" w:rsidRPr="000C627D" w:rsidRDefault="00293F18" w:rsidP="00B763C9">
            <w:pPr>
              <w:pStyle w:val="Tabletext"/>
            </w:pPr>
            <w:r w:rsidRPr="000C627D">
              <w:t>1</w:t>
            </w:r>
          </w:p>
        </w:tc>
        <w:tc>
          <w:tcPr>
            <w:tcW w:w="1266" w:type="dxa"/>
            <w:tcBorders>
              <w:top w:val="single" w:sz="12" w:space="0" w:color="auto"/>
            </w:tcBorders>
            <w:shd w:val="clear" w:color="auto" w:fill="auto"/>
          </w:tcPr>
          <w:p w:rsidR="00293F18" w:rsidRPr="000C627D" w:rsidRDefault="00DD3E74" w:rsidP="00B763C9">
            <w:pPr>
              <w:pStyle w:val="Tabletext"/>
            </w:pPr>
            <w:r w:rsidRPr="000C627D">
              <w:t>m</w:t>
            </w:r>
            <w:r w:rsidR="00293F18" w:rsidRPr="000C627D">
              <w:t>arine</w:t>
            </w:r>
            <w:r w:rsidRPr="000C627D">
              <w:t xml:space="preserve"> propulsion engine</w:t>
            </w:r>
          </w:p>
        </w:tc>
        <w:tc>
          <w:tcPr>
            <w:tcW w:w="2126" w:type="dxa"/>
            <w:tcBorders>
              <w:top w:val="single" w:sz="12" w:space="0" w:color="auto"/>
            </w:tcBorders>
            <w:shd w:val="clear" w:color="auto" w:fill="auto"/>
          </w:tcPr>
          <w:p w:rsidR="00293F18" w:rsidRPr="000C627D" w:rsidRDefault="00293F18" w:rsidP="002C20E9">
            <w:pPr>
              <w:pStyle w:val="Tabletext"/>
            </w:pPr>
            <w:r w:rsidRPr="000C627D">
              <w:t>an EU approval authority</w:t>
            </w:r>
            <w:r w:rsidR="002C20E9" w:rsidRPr="000C627D">
              <w:t xml:space="preserve"> (within the meaning of the Directive mentioned in column 3)</w:t>
            </w:r>
          </w:p>
        </w:tc>
        <w:tc>
          <w:tcPr>
            <w:tcW w:w="1985" w:type="dxa"/>
            <w:tcBorders>
              <w:top w:val="single" w:sz="12" w:space="0" w:color="auto"/>
            </w:tcBorders>
            <w:shd w:val="clear" w:color="auto" w:fill="auto"/>
          </w:tcPr>
          <w:p w:rsidR="00293F18" w:rsidRPr="000C627D" w:rsidRDefault="00CC1228" w:rsidP="00CC1228">
            <w:pPr>
              <w:pStyle w:val="Tabletext"/>
            </w:pPr>
            <w:r w:rsidRPr="000C627D">
              <w:t>Directive 2013/53/EU of the European Parliament and of the Council of 20</w:t>
            </w:r>
            <w:r w:rsidR="000C627D" w:rsidRPr="000C627D">
              <w:t> </w:t>
            </w:r>
            <w:r w:rsidRPr="000C627D">
              <w:t>November 2013 on recreational craft and personal watercraft</w:t>
            </w:r>
            <w:r w:rsidR="004E6A10" w:rsidRPr="000C627D">
              <w:t>, as</w:t>
            </w:r>
            <w:r w:rsidR="0067576A" w:rsidRPr="000C627D">
              <w:t xml:space="preserve"> in force </w:t>
            </w:r>
            <w:r w:rsidR="004E6A10" w:rsidRPr="000C627D">
              <w:t>from time to time</w:t>
            </w:r>
          </w:p>
        </w:tc>
        <w:tc>
          <w:tcPr>
            <w:tcW w:w="2268" w:type="dxa"/>
            <w:tcBorders>
              <w:top w:val="single" w:sz="12" w:space="0" w:color="auto"/>
            </w:tcBorders>
            <w:shd w:val="clear" w:color="auto" w:fill="auto"/>
          </w:tcPr>
          <w:p w:rsidR="00293F18" w:rsidRPr="000C627D" w:rsidRDefault="00293F18" w:rsidP="00E24E75">
            <w:pPr>
              <w:pStyle w:val="Tabletext"/>
            </w:pPr>
            <w:r w:rsidRPr="000C627D">
              <w:t xml:space="preserve">an EU </w:t>
            </w:r>
            <w:r w:rsidR="00E24E75" w:rsidRPr="000C627D">
              <w:t>t</w:t>
            </w:r>
            <w:r w:rsidRPr="000C627D">
              <w:t>ype</w:t>
            </w:r>
            <w:r w:rsidR="000C627D">
              <w:noBreakHyphen/>
            </w:r>
            <w:r w:rsidR="00E24E75" w:rsidRPr="000C627D">
              <w:t>a</w:t>
            </w:r>
            <w:r w:rsidRPr="000C627D">
              <w:t xml:space="preserve">pproval </w:t>
            </w:r>
            <w:r w:rsidR="00E24E75" w:rsidRPr="000C627D">
              <w:t>c</w:t>
            </w:r>
            <w:r w:rsidRPr="000C627D">
              <w:t>ertificate</w:t>
            </w:r>
          </w:p>
        </w:tc>
      </w:tr>
      <w:tr w:rsidR="00F71656" w:rsidRPr="000C627D" w:rsidTr="00293F18">
        <w:tc>
          <w:tcPr>
            <w:tcW w:w="714" w:type="dxa"/>
            <w:shd w:val="clear" w:color="auto" w:fill="auto"/>
          </w:tcPr>
          <w:p w:rsidR="00F71656" w:rsidRPr="000C627D" w:rsidRDefault="00293F18" w:rsidP="0000469D">
            <w:pPr>
              <w:pStyle w:val="Tabletext"/>
            </w:pPr>
            <w:r w:rsidRPr="000C627D">
              <w:t>2</w:t>
            </w:r>
          </w:p>
        </w:tc>
        <w:tc>
          <w:tcPr>
            <w:tcW w:w="1266" w:type="dxa"/>
            <w:shd w:val="clear" w:color="auto" w:fill="auto"/>
          </w:tcPr>
          <w:p w:rsidR="00F71656" w:rsidRPr="000C627D" w:rsidRDefault="00DD3E74" w:rsidP="0000469D">
            <w:pPr>
              <w:pStyle w:val="Tabletext"/>
            </w:pPr>
            <w:r w:rsidRPr="000C627D">
              <w:t>marine propulsion engine</w:t>
            </w:r>
          </w:p>
        </w:tc>
        <w:tc>
          <w:tcPr>
            <w:tcW w:w="2126" w:type="dxa"/>
            <w:shd w:val="clear" w:color="auto" w:fill="auto"/>
          </w:tcPr>
          <w:p w:rsidR="00F71656" w:rsidRPr="000C627D" w:rsidRDefault="00F71656" w:rsidP="0000469D">
            <w:pPr>
              <w:pStyle w:val="Tabletext"/>
            </w:pPr>
            <w:r w:rsidRPr="000C627D">
              <w:t>United States Environmental Protection Agency</w:t>
            </w:r>
          </w:p>
        </w:tc>
        <w:tc>
          <w:tcPr>
            <w:tcW w:w="1985" w:type="dxa"/>
            <w:shd w:val="clear" w:color="auto" w:fill="auto"/>
          </w:tcPr>
          <w:p w:rsidR="00F71656" w:rsidRPr="000C627D" w:rsidRDefault="00F71656" w:rsidP="0000469D">
            <w:pPr>
              <w:pStyle w:val="Tabletext"/>
            </w:pPr>
            <w:r w:rsidRPr="000C627D">
              <w:t>40 CFR 1045</w:t>
            </w:r>
          </w:p>
        </w:tc>
        <w:tc>
          <w:tcPr>
            <w:tcW w:w="2268" w:type="dxa"/>
            <w:shd w:val="clear" w:color="auto" w:fill="auto"/>
          </w:tcPr>
          <w:p w:rsidR="00F71656" w:rsidRPr="000C627D" w:rsidRDefault="00F71656" w:rsidP="00884D3D">
            <w:pPr>
              <w:pStyle w:val="Tabletext"/>
            </w:pPr>
            <w:r w:rsidRPr="000C627D">
              <w:t>a certificate of conformity for model year 201</w:t>
            </w:r>
            <w:r w:rsidR="00884D3D" w:rsidRPr="000C627D">
              <w:t>3</w:t>
            </w:r>
            <w:r w:rsidRPr="000C627D">
              <w:t xml:space="preserve"> or later issued under the emissions standard</w:t>
            </w:r>
          </w:p>
        </w:tc>
      </w:tr>
      <w:tr w:rsidR="00F71656" w:rsidRPr="000C627D" w:rsidTr="00293F18">
        <w:tc>
          <w:tcPr>
            <w:tcW w:w="714" w:type="dxa"/>
            <w:shd w:val="clear" w:color="auto" w:fill="auto"/>
          </w:tcPr>
          <w:p w:rsidR="00F71656" w:rsidRPr="000C627D" w:rsidRDefault="00293F18" w:rsidP="0000469D">
            <w:pPr>
              <w:pStyle w:val="Tabletext"/>
            </w:pPr>
            <w:r w:rsidRPr="000C627D">
              <w:t>3</w:t>
            </w:r>
          </w:p>
        </w:tc>
        <w:tc>
          <w:tcPr>
            <w:tcW w:w="1266" w:type="dxa"/>
            <w:shd w:val="clear" w:color="auto" w:fill="auto"/>
          </w:tcPr>
          <w:p w:rsidR="00F71656" w:rsidRPr="000C627D" w:rsidRDefault="00DD3E74" w:rsidP="0000469D">
            <w:pPr>
              <w:pStyle w:val="Tabletext"/>
            </w:pPr>
            <w:r w:rsidRPr="000C627D">
              <w:t>marine propulsion engine</w:t>
            </w:r>
          </w:p>
        </w:tc>
        <w:tc>
          <w:tcPr>
            <w:tcW w:w="2126" w:type="dxa"/>
            <w:shd w:val="clear" w:color="auto" w:fill="auto"/>
          </w:tcPr>
          <w:p w:rsidR="00F71656" w:rsidRPr="000C627D" w:rsidRDefault="00F71656" w:rsidP="0000469D">
            <w:pPr>
              <w:pStyle w:val="Tabletext"/>
            </w:pPr>
            <w:r w:rsidRPr="000C627D">
              <w:t>Environment and Climate Change Canada</w:t>
            </w:r>
          </w:p>
        </w:tc>
        <w:tc>
          <w:tcPr>
            <w:tcW w:w="1985" w:type="dxa"/>
            <w:shd w:val="clear" w:color="auto" w:fill="auto"/>
          </w:tcPr>
          <w:p w:rsidR="00F71656" w:rsidRPr="000C627D" w:rsidRDefault="00F71656" w:rsidP="0083754A">
            <w:pPr>
              <w:pStyle w:val="Tabletext"/>
            </w:pPr>
            <w:r w:rsidRPr="000C627D">
              <w:t>Marine Spark</w:t>
            </w:r>
            <w:r w:rsidR="000C627D">
              <w:noBreakHyphen/>
            </w:r>
            <w:r w:rsidRPr="000C627D">
              <w:t>Ignition Engine, Vessel and Off</w:t>
            </w:r>
            <w:r w:rsidR="000C627D">
              <w:noBreakHyphen/>
            </w:r>
            <w:r w:rsidRPr="000C627D">
              <w:t>Road Recreational Vehicle Emission Regulations (</w:t>
            </w:r>
            <w:proofErr w:type="spellStart"/>
            <w:r w:rsidRPr="000C627D">
              <w:t>SOR</w:t>
            </w:r>
            <w:proofErr w:type="spellEnd"/>
            <w:r w:rsidRPr="000C627D">
              <w:t>/2011</w:t>
            </w:r>
            <w:r w:rsidR="000C627D">
              <w:noBreakHyphen/>
            </w:r>
            <w:r w:rsidRPr="000C627D">
              <w:t>10) (Canada)</w:t>
            </w:r>
            <w:r w:rsidR="004E6A10" w:rsidRPr="000C627D">
              <w:t xml:space="preserve">, </w:t>
            </w:r>
            <w:r w:rsidR="0083754A" w:rsidRPr="000C627D">
              <w:t xml:space="preserve">as in force from time to time and </w:t>
            </w:r>
            <w:r w:rsidR="00884D3D" w:rsidRPr="000C627D">
              <w:t>applying to the 2013 model year or a later model year</w:t>
            </w:r>
          </w:p>
        </w:tc>
        <w:tc>
          <w:tcPr>
            <w:tcW w:w="2268" w:type="dxa"/>
            <w:shd w:val="clear" w:color="auto" w:fill="auto"/>
          </w:tcPr>
          <w:p w:rsidR="00F71656" w:rsidRPr="000C627D" w:rsidRDefault="00F71656" w:rsidP="0000469D">
            <w:pPr>
              <w:pStyle w:val="Tabletext"/>
            </w:pPr>
            <w:r w:rsidRPr="000C627D">
              <w:t>a formal letter stating that evidence of conformity has been produced in a form and manner satisfactory to the Canadian Minister under subsection</w:t>
            </w:r>
            <w:r w:rsidR="000C627D" w:rsidRPr="000C627D">
              <w:t> </w:t>
            </w:r>
            <w:r w:rsidRPr="000C627D">
              <w:t>35(2) of the emissions standard</w:t>
            </w:r>
          </w:p>
        </w:tc>
      </w:tr>
      <w:tr w:rsidR="00F71656" w:rsidRPr="000C627D" w:rsidTr="00293F18">
        <w:tc>
          <w:tcPr>
            <w:tcW w:w="714" w:type="dxa"/>
            <w:shd w:val="clear" w:color="auto" w:fill="auto"/>
          </w:tcPr>
          <w:p w:rsidR="00F71656" w:rsidRPr="000C627D" w:rsidRDefault="00293F18" w:rsidP="0000469D">
            <w:pPr>
              <w:pStyle w:val="Tabletext"/>
            </w:pPr>
            <w:r w:rsidRPr="000C627D">
              <w:t>4</w:t>
            </w:r>
          </w:p>
        </w:tc>
        <w:tc>
          <w:tcPr>
            <w:tcW w:w="1266" w:type="dxa"/>
            <w:shd w:val="clear" w:color="auto" w:fill="auto"/>
          </w:tcPr>
          <w:p w:rsidR="00F71656" w:rsidRPr="000C627D" w:rsidRDefault="00DD3E74" w:rsidP="0000469D">
            <w:pPr>
              <w:pStyle w:val="Tabletext"/>
            </w:pPr>
            <w:r w:rsidRPr="000C627D">
              <w:t>marine propulsion engine</w:t>
            </w:r>
          </w:p>
        </w:tc>
        <w:tc>
          <w:tcPr>
            <w:tcW w:w="2126" w:type="dxa"/>
            <w:shd w:val="clear" w:color="auto" w:fill="auto"/>
          </w:tcPr>
          <w:p w:rsidR="00F71656" w:rsidRPr="000C627D" w:rsidRDefault="00F71656" w:rsidP="0000469D">
            <w:pPr>
              <w:pStyle w:val="Tabletext"/>
            </w:pPr>
            <w:r w:rsidRPr="000C627D">
              <w:t>California Air Resources Board</w:t>
            </w:r>
          </w:p>
        </w:tc>
        <w:tc>
          <w:tcPr>
            <w:tcW w:w="1985" w:type="dxa"/>
            <w:shd w:val="clear" w:color="auto" w:fill="auto"/>
          </w:tcPr>
          <w:p w:rsidR="00F71656" w:rsidRPr="000C627D" w:rsidRDefault="00F71656" w:rsidP="004E6A10">
            <w:pPr>
              <w:pStyle w:val="Tabletext"/>
            </w:pPr>
            <w:r w:rsidRPr="000C627D">
              <w:t>California Exhaust Emission Standards and Test Procedures for 2001 Model Year and Later Spark</w:t>
            </w:r>
            <w:r w:rsidR="000C627D">
              <w:noBreakHyphen/>
            </w:r>
            <w:r w:rsidRPr="000C627D">
              <w:t>Ignition Marine Engines (California)</w:t>
            </w:r>
            <w:r w:rsidR="0084423F" w:rsidRPr="000C627D">
              <w:t>, as in force from time to time</w:t>
            </w:r>
          </w:p>
        </w:tc>
        <w:tc>
          <w:tcPr>
            <w:tcW w:w="2268" w:type="dxa"/>
            <w:shd w:val="clear" w:color="auto" w:fill="auto"/>
          </w:tcPr>
          <w:p w:rsidR="00F71656" w:rsidRPr="000C627D" w:rsidRDefault="00F71656" w:rsidP="0000469D">
            <w:pPr>
              <w:pStyle w:val="Tabletext"/>
            </w:pPr>
            <w:r w:rsidRPr="000C627D">
              <w:t>an Executive Order certifying a new spark</w:t>
            </w:r>
            <w:r w:rsidR="000C627D">
              <w:noBreakHyphen/>
            </w:r>
            <w:r w:rsidRPr="000C627D">
              <w:t>ignition marine engine under the emissions standard</w:t>
            </w:r>
            <w:r w:rsidR="00BD411A" w:rsidRPr="000C627D">
              <w:t xml:space="preserve"> for model year 2013 or later</w:t>
            </w:r>
          </w:p>
        </w:tc>
      </w:tr>
      <w:tr w:rsidR="00293F18" w:rsidRPr="000C627D" w:rsidTr="00293F18">
        <w:tc>
          <w:tcPr>
            <w:tcW w:w="714" w:type="dxa"/>
            <w:shd w:val="clear" w:color="auto" w:fill="auto"/>
          </w:tcPr>
          <w:p w:rsidR="00293F18" w:rsidRPr="000C627D" w:rsidRDefault="00293F18" w:rsidP="00B763C9">
            <w:pPr>
              <w:pStyle w:val="Tabletext"/>
            </w:pPr>
            <w:r w:rsidRPr="000C627D">
              <w:t>5</w:t>
            </w:r>
          </w:p>
        </w:tc>
        <w:tc>
          <w:tcPr>
            <w:tcW w:w="1266" w:type="dxa"/>
            <w:shd w:val="clear" w:color="auto" w:fill="auto"/>
          </w:tcPr>
          <w:p w:rsidR="00293F18" w:rsidRPr="000C627D" w:rsidRDefault="00F91E6E" w:rsidP="00B763C9">
            <w:pPr>
              <w:pStyle w:val="Tabletext"/>
            </w:pPr>
            <w:r w:rsidRPr="000C627D">
              <w:t>non</w:t>
            </w:r>
            <w:r w:rsidR="000C627D">
              <w:noBreakHyphen/>
            </w:r>
            <w:r w:rsidRPr="000C627D">
              <w:t>road engine</w:t>
            </w:r>
          </w:p>
        </w:tc>
        <w:tc>
          <w:tcPr>
            <w:tcW w:w="2126" w:type="dxa"/>
            <w:shd w:val="clear" w:color="auto" w:fill="auto"/>
          </w:tcPr>
          <w:p w:rsidR="00293F18" w:rsidRPr="000C627D" w:rsidRDefault="00293F18" w:rsidP="002C20E9">
            <w:pPr>
              <w:pStyle w:val="Tabletext"/>
            </w:pPr>
            <w:r w:rsidRPr="000C627D">
              <w:t>an EU approval authority</w:t>
            </w:r>
            <w:r w:rsidR="002C20E9" w:rsidRPr="000C627D">
              <w:t xml:space="preserve"> (within the meaning of the Regulation mentioned in column 3)</w:t>
            </w:r>
          </w:p>
        </w:tc>
        <w:tc>
          <w:tcPr>
            <w:tcW w:w="1985" w:type="dxa"/>
            <w:shd w:val="clear" w:color="auto" w:fill="auto"/>
          </w:tcPr>
          <w:p w:rsidR="00293F18" w:rsidRPr="000C627D" w:rsidRDefault="00CC1228" w:rsidP="00CC1228">
            <w:pPr>
              <w:pStyle w:val="Tabletext"/>
            </w:pPr>
            <w:r w:rsidRPr="000C627D">
              <w:t>Regulation (EU) 2016/1628 of the European Parliament and of the Council of 14</w:t>
            </w:r>
            <w:r w:rsidR="000C627D" w:rsidRPr="000C627D">
              <w:t> </w:t>
            </w:r>
            <w:r w:rsidRPr="000C627D">
              <w:t>September 2016 on requirements relating to gaseous and particulate pollutant emission limits and type</w:t>
            </w:r>
            <w:r w:rsidR="000C627D">
              <w:noBreakHyphen/>
            </w:r>
            <w:r w:rsidRPr="000C627D">
              <w:t>approval for internal combustion engines for non</w:t>
            </w:r>
            <w:r w:rsidR="000C627D">
              <w:noBreakHyphen/>
            </w:r>
            <w:r w:rsidRPr="000C627D">
              <w:t>road mobile machinery</w:t>
            </w:r>
            <w:r w:rsidR="004E6A10" w:rsidRPr="000C627D">
              <w:t xml:space="preserve">, as in force </w:t>
            </w:r>
            <w:r w:rsidR="0067576A" w:rsidRPr="000C627D">
              <w:t>from time to time</w:t>
            </w:r>
          </w:p>
        </w:tc>
        <w:tc>
          <w:tcPr>
            <w:tcW w:w="2268" w:type="dxa"/>
            <w:shd w:val="clear" w:color="auto" w:fill="auto"/>
          </w:tcPr>
          <w:p w:rsidR="00293F18" w:rsidRPr="000C627D" w:rsidRDefault="00293F18" w:rsidP="00E24E75">
            <w:pPr>
              <w:pStyle w:val="Tabletext"/>
            </w:pPr>
            <w:r w:rsidRPr="000C627D">
              <w:t>an EU</w:t>
            </w:r>
            <w:r w:rsidR="00E24E75" w:rsidRPr="000C627D">
              <w:t xml:space="preserve"> t</w:t>
            </w:r>
            <w:r w:rsidRPr="000C627D">
              <w:t>ype</w:t>
            </w:r>
            <w:r w:rsidR="000C627D">
              <w:noBreakHyphen/>
            </w:r>
            <w:r w:rsidR="00E24E75" w:rsidRPr="000C627D">
              <w:t>a</w:t>
            </w:r>
            <w:r w:rsidRPr="000C627D">
              <w:t xml:space="preserve">pproval </w:t>
            </w:r>
            <w:r w:rsidR="00E24E75" w:rsidRPr="000C627D">
              <w:t>c</w:t>
            </w:r>
            <w:r w:rsidRPr="000C627D">
              <w:t>ertificate</w:t>
            </w:r>
          </w:p>
        </w:tc>
      </w:tr>
      <w:tr w:rsidR="0050040E" w:rsidRPr="000C627D" w:rsidTr="00293F18">
        <w:tc>
          <w:tcPr>
            <w:tcW w:w="714" w:type="dxa"/>
            <w:shd w:val="clear" w:color="auto" w:fill="auto"/>
          </w:tcPr>
          <w:p w:rsidR="0050040E" w:rsidRPr="000C627D" w:rsidRDefault="00293F18" w:rsidP="00B237C7">
            <w:pPr>
              <w:pStyle w:val="Tabletext"/>
            </w:pPr>
            <w:r w:rsidRPr="000C627D">
              <w:t>6</w:t>
            </w:r>
          </w:p>
        </w:tc>
        <w:tc>
          <w:tcPr>
            <w:tcW w:w="1266" w:type="dxa"/>
            <w:shd w:val="clear" w:color="auto" w:fill="auto"/>
          </w:tcPr>
          <w:p w:rsidR="0050040E" w:rsidRPr="000C627D" w:rsidRDefault="00F91E6E" w:rsidP="009F5C91">
            <w:pPr>
              <w:pStyle w:val="Tabletext"/>
            </w:pPr>
            <w:r w:rsidRPr="000C627D">
              <w:t>non</w:t>
            </w:r>
            <w:r w:rsidR="000C627D">
              <w:noBreakHyphen/>
            </w:r>
            <w:r w:rsidRPr="000C627D">
              <w:t>road engine</w:t>
            </w:r>
          </w:p>
        </w:tc>
        <w:tc>
          <w:tcPr>
            <w:tcW w:w="2126" w:type="dxa"/>
            <w:shd w:val="clear" w:color="auto" w:fill="auto"/>
          </w:tcPr>
          <w:p w:rsidR="0050040E" w:rsidRPr="000C627D" w:rsidRDefault="004B6542" w:rsidP="004B6542">
            <w:pPr>
              <w:pStyle w:val="Tabletext"/>
            </w:pPr>
            <w:r w:rsidRPr="000C627D">
              <w:t xml:space="preserve">United States Environmental </w:t>
            </w:r>
            <w:r w:rsidR="0050040E" w:rsidRPr="000C627D">
              <w:t>Protection Agency</w:t>
            </w:r>
          </w:p>
        </w:tc>
        <w:tc>
          <w:tcPr>
            <w:tcW w:w="1985" w:type="dxa"/>
            <w:shd w:val="clear" w:color="auto" w:fill="auto"/>
          </w:tcPr>
          <w:p w:rsidR="00D417C9" w:rsidRPr="000C627D" w:rsidRDefault="001F6B1B" w:rsidP="000E119E">
            <w:pPr>
              <w:pStyle w:val="Tabletext"/>
            </w:pPr>
            <w:r w:rsidRPr="000C627D">
              <w:t xml:space="preserve">40 </w:t>
            </w:r>
            <w:r w:rsidR="00FA54E8" w:rsidRPr="000C627D">
              <w:t xml:space="preserve">CFR </w:t>
            </w:r>
            <w:r w:rsidR="000E119E" w:rsidRPr="000C627D">
              <w:t>1054</w:t>
            </w:r>
          </w:p>
        </w:tc>
        <w:tc>
          <w:tcPr>
            <w:tcW w:w="2268" w:type="dxa"/>
            <w:shd w:val="clear" w:color="auto" w:fill="auto"/>
          </w:tcPr>
          <w:p w:rsidR="0050040E" w:rsidRPr="000C627D" w:rsidRDefault="00A3210C" w:rsidP="006950CD">
            <w:pPr>
              <w:pStyle w:val="Tabletext"/>
            </w:pPr>
            <w:r w:rsidRPr="000C627D">
              <w:t>a</w:t>
            </w:r>
            <w:r w:rsidR="0050040E" w:rsidRPr="000C627D">
              <w:t xml:space="preserve"> certificate of conformity</w:t>
            </w:r>
            <w:r w:rsidR="00BC0D50" w:rsidRPr="000C627D">
              <w:t xml:space="preserve"> </w:t>
            </w:r>
            <w:r w:rsidR="0050040E" w:rsidRPr="000C627D">
              <w:t>for model year 201</w:t>
            </w:r>
            <w:r w:rsidR="00884D3D" w:rsidRPr="000C627D">
              <w:t>3</w:t>
            </w:r>
            <w:r w:rsidR="0050040E" w:rsidRPr="000C627D">
              <w:t xml:space="preserve"> or later</w:t>
            </w:r>
            <w:r w:rsidR="00510FC5" w:rsidRPr="000C627D">
              <w:t xml:space="preserve"> issued </w:t>
            </w:r>
            <w:r w:rsidR="006950CD" w:rsidRPr="000C627D">
              <w:t xml:space="preserve">under </w:t>
            </w:r>
            <w:r w:rsidR="00510FC5" w:rsidRPr="000C627D">
              <w:t>the emissions standard</w:t>
            </w:r>
          </w:p>
        </w:tc>
      </w:tr>
      <w:tr w:rsidR="0050040E" w:rsidRPr="000C627D" w:rsidTr="00293F18">
        <w:tc>
          <w:tcPr>
            <w:tcW w:w="714" w:type="dxa"/>
            <w:tcBorders>
              <w:bottom w:val="single" w:sz="2" w:space="0" w:color="auto"/>
            </w:tcBorders>
            <w:shd w:val="clear" w:color="auto" w:fill="auto"/>
          </w:tcPr>
          <w:p w:rsidR="0050040E" w:rsidRPr="000C627D" w:rsidRDefault="00293F18" w:rsidP="00B237C7">
            <w:pPr>
              <w:pStyle w:val="Tabletext"/>
            </w:pPr>
            <w:r w:rsidRPr="000C627D">
              <w:t>7</w:t>
            </w:r>
          </w:p>
        </w:tc>
        <w:tc>
          <w:tcPr>
            <w:tcW w:w="1266" w:type="dxa"/>
            <w:tcBorders>
              <w:bottom w:val="single" w:sz="2" w:space="0" w:color="auto"/>
            </w:tcBorders>
            <w:shd w:val="clear" w:color="auto" w:fill="auto"/>
          </w:tcPr>
          <w:p w:rsidR="0050040E" w:rsidRPr="000C627D" w:rsidRDefault="00F91E6E" w:rsidP="009F5C91">
            <w:pPr>
              <w:pStyle w:val="Tabletext"/>
            </w:pPr>
            <w:r w:rsidRPr="000C627D">
              <w:t>non</w:t>
            </w:r>
            <w:r w:rsidR="000C627D">
              <w:noBreakHyphen/>
            </w:r>
            <w:r w:rsidRPr="000C627D">
              <w:t>road engine</w:t>
            </w:r>
          </w:p>
        </w:tc>
        <w:tc>
          <w:tcPr>
            <w:tcW w:w="2126" w:type="dxa"/>
            <w:tcBorders>
              <w:bottom w:val="single" w:sz="2" w:space="0" w:color="auto"/>
            </w:tcBorders>
            <w:shd w:val="clear" w:color="auto" w:fill="auto"/>
          </w:tcPr>
          <w:p w:rsidR="0050040E" w:rsidRPr="000C627D" w:rsidRDefault="0050040E" w:rsidP="00E239FD">
            <w:pPr>
              <w:pStyle w:val="Tabletext"/>
            </w:pPr>
            <w:r w:rsidRPr="000C627D">
              <w:t>Environment and Climate Change Canada</w:t>
            </w:r>
          </w:p>
        </w:tc>
        <w:tc>
          <w:tcPr>
            <w:tcW w:w="1985" w:type="dxa"/>
            <w:tcBorders>
              <w:bottom w:val="single" w:sz="2" w:space="0" w:color="auto"/>
            </w:tcBorders>
            <w:shd w:val="clear" w:color="auto" w:fill="auto"/>
          </w:tcPr>
          <w:p w:rsidR="0050040E" w:rsidRPr="000C627D" w:rsidRDefault="0050040E" w:rsidP="00BD411A">
            <w:pPr>
              <w:pStyle w:val="Tabletext"/>
            </w:pPr>
            <w:r w:rsidRPr="000C627D">
              <w:t>Off</w:t>
            </w:r>
            <w:r w:rsidR="000C627D">
              <w:noBreakHyphen/>
            </w:r>
            <w:r w:rsidRPr="000C627D">
              <w:t>Road Small Spark Ignition Engine Emission Regulations</w:t>
            </w:r>
            <w:r w:rsidR="00ED369C" w:rsidRPr="000C627D">
              <w:t xml:space="preserve"> (</w:t>
            </w:r>
            <w:proofErr w:type="spellStart"/>
            <w:r w:rsidRPr="000C627D">
              <w:t>SOR</w:t>
            </w:r>
            <w:proofErr w:type="spellEnd"/>
            <w:r w:rsidRPr="000C627D">
              <w:t>/2003</w:t>
            </w:r>
            <w:r w:rsidR="000C627D">
              <w:noBreakHyphen/>
            </w:r>
            <w:r w:rsidRPr="000C627D">
              <w:t>355</w:t>
            </w:r>
            <w:r w:rsidR="00ED369C" w:rsidRPr="000C627D">
              <w:t>) (Canada)</w:t>
            </w:r>
            <w:r w:rsidR="00BD411A" w:rsidRPr="000C627D">
              <w:t xml:space="preserve">, </w:t>
            </w:r>
            <w:r w:rsidR="0083754A" w:rsidRPr="000C627D">
              <w:t xml:space="preserve">as in force from time to time and </w:t>
            </w:r>
            <w:r w:rsidR="00BD411A" w:rsidRPr="000C627D">
              <w:t>applying to the 2013 model year or a later model year</w:t>
            </w:r>
          </w:p>
        </w:tc>
        <w:tc>
          <w:tcPr>
            <w:tcW w:w="2268" w:type="dxa"/>
            <w:tcBorders>
              <w:bottom w:val="single" w:sz="2" w:space="0" w:color="auto"/>
            </w:tcBorders>
            <w:shd w:val="clear" w:color="auto" w:fill="auto"/>
          </w:tcPr>
          <w:p w:rsidR="0050040E" w:rsidRPr="000C627D" w:rsidRDefault="00A3210C" w:rsidP="00A3210C">
            <w:pPr>
              <w:pStyle w:val="Tabletext"/>
            </w:pPr>
            <w:r w:rsidRPr="000C627D">
              <w:t>a</w:t>
            </w:r>
            <w:r w:rsidR="0050040E" w:rsidRPr="000C627D">
              <w:t xml:space="preserve"> formal letter stating that evidence of conformity has been produced in a form and manner satisfactory to the Minister </w:t>
            </w:r>
            <w:r w:rsidRPr="000C627D">
              <w:t xml:space="preserve">under </w:t>
            </w:r>
            <w:r w:rsidR="0050040E" w:rsidRPr="000C627D">
              <w:t>section</w:t>
            </w:r>
            <w:r w:rsidR="000C627D" w:rsidRPr="000C627D">
              <w:t> </w:t>
            </w:r>
            <w:r w:rsidR="0050040E" w:rsidRPr="000C627D">
              <w:t xml:space="preserve">17 of the </w:t>
            </w:r>
            <w:r w:rsidR="009B13DC" w:rsidRPr="000C627D">
              <w:t>e</w:t>
            </w:r>
            <w:r w:rsidR="0050040E" w:rsidRPr="000C627D">
              <w:t xml:space="preserve">missions </w:t>
            </w:r>
            <w:r w:rsidR="009B13DC" w:rsidRPr="000C627D">
              <w:t>s</w:t>
            </w:r>
            <w:r w:rsidR="0050040E" w:rsidRPr="000C627D">
              <w:t>tandard</w:t>
            </w:r>
          </w:p>
        </w:tc>
      </w:tr>
      <w:tr w:rsidR="0050040E" w:rsidRPr="000C627D" w:rsidTr="00293F18">
        <w:tc>
          <w:tcPr>
            <w:tcW w:w="714" w:type="dxa"/>
            <w:tcBorders>
              <w:top w:val="single" w:sz="2" w:space="0" w:color="auto"/>
              <w:bottom w:val="single" w:sz="12" w:space="0" w:color="auto"/>
            </w:tcBorders>
            <w:shd w:val="clear" w:color="auto" w:fill="auto"/>
          </w:tcPr>
          <w:p w:rsidR="0050040E" w:rsidRPr="000C627D" w:rsidRDefault="00293F18" w:rsidP="00B237C7">
            <w:pPr>
              <w:pStyle w:val="Tabletext"/>
            </w:pPr>
            <w:r w:rsidRPr="000C627D">
              <w:t>8</w:t>
            </w:r>
          </w:p>
        </w:tc>
        <w:tc>
          <w:tcPr>
            <w:tcW w:w="1266" w:type="dxa"/>
            <w:tcBorders>
              <w:top w:val="single" w:sz="2" w:space="0" w:color="auto"/>
              <w:bottom w:val="single" w:sz="12" w:space="0" w:color="auto"/>
            </w:tcBorders>
            <w:shd w:val="clear" w:color="auto" w:fill="auto"/>
          </w:tcPr>
          <w:p w:rsidR="0050040E" w:rsidRPr="000C627D" w:rsidRDefault="00F91E6E" w:rsidP="009F5C91">
            <w:pPr>
              <w:pStyle w:val="Tabletext"/>
            </w:pPr>
            <w:r w:rsidRPr="000C627D">
              <w:t>non</w:t>
            </w:r>
            <w:r w:rsidR="000C627D">
              <w:noBreakHyphen/>
            </w:r>
            <w:r w:rsidRPr="000C627D">
              <w:t>road engine</w:t>
            </w:r>
          </w:p>
        </w:tc>
        <w:tc>
          <w:tcPr>
            <w:tcW w:w="2126" w:type="dxa"/>
            <w:tcBorders>
              <w:top w:val="single" w:sz="2" w:space="0" w:color="auto"/>
              <w:bottom w:val="single" w:sz="12" w:space="0" w:color="auto"/>
            </w:tcBorders>
            <w:shd w:val="clear" w:color="auto" w:fill="auto"/>
          </w:tcPr>
          <w:p w:rsidR="0050040E" w:rsidRPr="000C627D" w:rsidRDefault="0050040E" w:rsidP="009F5C91">
            <w:pPr>
              <w:pStyle w:val="Tabletext"/>
            </w:pPr>
            <w:r w:rsidRPr="000C627D">
              <w:t>California Air Resources Board</w:t>
            </w:r>
          </w:p>
        </w:tc>
        <w:tc>
          <w:tcPr>
            <w:tcW w:w="1985" w:type="dxa"/>
            <w:tcBorders>
              <w:top w:val="single" w:sz="2" w:space="0" w:color="auto"/>
              <w:bottom w:val="single" w:sz="12" w:space="0" w:color="auto"/>
            </w:tcBorders>
            <w:shd w:val="clear" w:color="auto" w:fill="auto"/>
          </w:tcPr>
          <w:p w:rsidR="0050040E" w:rsidRPr="000C627D" w:rsidRDefault="0050040E" w:rsidP="00BD411A">
            <w:pPr>
              <w:pStyle w:val="Tabletext"/>
            </w:pPr>
            <w:r w:rsidRPr="000C627D">
              <w:t xml:space="preserve">California Exhaust Emission Standards </w:t>
            </w:r>
            <w:r w:rsidR="00ED369C" w:rsidRPr="000C627D">
              <w:t>and Test Procedures for New 2013</w:t>
            </w:r>
            <w:r w:rsidRPr="000C627D">
              <w:t xml:space="preserve"> and Later Small Off</w:t>
            </w:r>
            <w:r w:rsidR="000C627D">
              <w:noBreakHyphen/>
            </w:r>
            <w:r w:rsidRPr="000C627D">
              <w:t>Road Engines</w:t>
            </w:r>
            <w:r w:rsidR="009A5F97" w:rsidRPr="000C627D">
              <w:t xml:space="preserve"> (Part</w:t>
            </w:r>
            <w:r w:rsidR="000C627D" w:rsidRPr="000C627D">
              <w:t> </w:t>
            </w:r>
            <w:r w:rsidR="009A5F97" w:rsidRPr="000C627D">
              <w:t>1054) (California)</w:t>
            </w:r>
            <w:r w:rsidR="0084423F" w:rsidRPr="000C627D">
              <w:t>, as in force from time to time</w:t>
            </w:r>
          </w:p>
        </w:tc>
        <w:tc>
          <w:tcPr>
            <w:tcW w:w="2268" w:type="dxa"/>
            <w:tcBorders>
              <w:top w:val="single" w:sz="2" w:space="0" w:color="auto"/>
              <w:bottom w:val="single" w:sz="12" w:space="0" w:color="auto"/>
            </w:tcBorders>
            <w:shd w:val="clear" w:color="auto" w:fill="auto"/>
          </w:tcPr>
          <w:p w:rsidR="0050040E" w:rsidRPr="000C627D" w:rsidRDefault="00A3210C" w:rsidP="00A3210C">
            <w:pPr>
              <w:pStyle w:val="Tabletext"/>
            </w:pPr>
            <w:r w:rsidRPr="000C627D">
              <w:t>a</w:t>
            </w:r>
            <w:r w:rsidR="0015749B" w:rsidRPr="000C627D">
              <w:t xml:space="preserve">n </w:t>
            </w:r>
            <w:r w:rsidR="0050040E" w:rsidRPr="000C627D">
              <w:t>Executive Order certifying a new off</w:t>
            </w:r>
            <w:r w:rsidR="000C627D">
              <w:noBreakHyphen/>
            </w:r>
            <w:r w:rsidR="0050040E" w:rsidRPr="000C627D">
              <w:t>road spark</w:t>
            </w:r>
            <w:r w:rsidR="000C627D">
              <w:noBreakHyphen/>
            </w:r>
            <w:r w:rsidR="0050040E" w:rsidRPr="000C627D">
              <w:t>ignition engine at or below 19 kilowatts for us</w:t>
            </w:r>
            <w:r w:rsidR="0083754A" w:rsidRPr="000C627D">
              <w:t>e</w:t>
            </w:r>
            <w:r w:rsidR="0050040E" w:rsidRPr="000C627D">
              <w:t xml:space="preserve"> in small off</w:t>
            </w:r>
            <w:r w:rsidR="000C627D">
              <w:noBreakHyphen/>
            </w:r>
            <w:r w:rsidR="0050040E" w:rsidRPr="000C627D">
              <w:t>road equipment</w:t>
            </w:r>
            <w:r w:rsidR="0015749B" w:rsidRPr="000C627D">
              <w:t xml:space="preserve"> </w:t>
            </w:r>
            <w:r w:rsidRPr="000C627D">
              <w:t xml:space="preserve">under </w:t>
            </w:r>
            <w:r w:rsidR="0015749B" w:rsidRPr="000C627D">
              <w:t>the emissions standard</w:t>
            </w:r>
            <w:r w:rsidR="00BD411A" w:rsidRPr="000C627D">
              <w:t xml:space="preserve"> for model year 2013 or later</w:t>
            </w:r>
          </w:p>
        </w:tc>
      </w:tr>
    </w:tbl>
    <w:p w:rsidR="00C332B5" w:rsidRPr="000C627D" w:rsidRDefault="00A2747B" w:rsidP="00C332B5">
      <w:pPr>
        <w:pStyle w:val="notetext"/>
      </w:pPr>
      <w:r w:rsidRPr="000C627D">
        <w:t>Note:</w:t>
      </w:r>
      <w:r w:rsidRPr="000C627D">
        <w:tab/>
        <w:t>Under the</w:t>
      </w:r>
      <w:r w:rsidR="00C332B5" w:rsidRPr="000C627D">
        <w:t xml:space="preserve"> Act, the Minister may amend this instrument, including the table</w:t>
      </w:r>
      <w:r w:rsidR="00711401" w:rsidRPr="000C627D">
        <w:t xml:space="preserve"> in this subsection</w:t>
      </w:r>
      <w:r w:rsidR="00C332B5" w:rsidRPr="000C627D">
        <w:t xml:space="preserve">. For example, if the Minister became satisfied, having regard to the objects of the Act, that certificates of conformity issued by a regulatory authority </w:t>
      </w:r>
      <w:r w:rsidR="006569C7" w:rsidRPr="000C627D">
        <w:t xml:space="preserve">that is </w:t>
      </w:r>
      <w:r w:rsidR="00030360" w:rsidRPr="000C627D">
        <w:t xml:space="preserve">not </w:t>
      </w:r>
      <w:r w:rsidR="006569C7" w:rsidRPr="000C627D">
        <w:t xml:space="preserve">specified in the table </w:t>
      </w:r>
      <w:r w:rsidR="00030360" w:rsidRPr="000C627D">
        <w:t>a</w:t>
      </w:r>
      <w:r w:rsidR="00E707AE" w:rsidRPr="000C627D">
        <w:t>re</w:t>
      </w:r>
      <w:r w:rsidR="00C332B5" w:rsidRPr="000C627D">
        <w:t xml:space="preserve"> equivalent in </w:t>
      </w:r>
      <w:r w:rsidR="00E707AE" w:rsidRPr="000C627D">
        <w:t xml:space="preserve">all </w:t>
      </w:r>
      <w:r w:rsidR="00C332B5" w:rsidRPr="000C627D">
        <w:t>relevant ways to foreign certificates of conformity specified</w:t>
      </w:r>
      <w:r w:rsidR="00E707AE" w:rsidRPr="000C627D">
        <w:t xml:space="preserve"> in the table</w:t>
      </w:r>
      <w:r w:rsidR="00C332B5" w:rsidRPr="000C627D">
        <w:t>, the Minister could amend the table to specify that regulatory authority, the relevant emissions standard and the certificates of conformity</w:t>
      </w:r>
      <w:r w:rsidR="00D409B4" w:rsidRPr="000C627D">
        <w:t xml:space="preserve"> issued by the authority</w:t>
      </w:r>
      <w:r w:rsidR="00C332B5" w:rsidRPr="000C627D">
        <w:t>.</w:t>
      </w:r>
    </w:p>
    <w:p w:rsidR="0065187E" w:rsidRPr="000C627D" w:rsidRDefault="00326BBB" w:rsidP="00151381">
      <w:pPr>
        <w:pStyle w:val="subsection"/>
      </w:pPr>
      <w:r w:rsidRPr="000C627D">
        <w:tab/>
        <w:t>(2)</w:t>
      </w:r>
      <w:r w:rsidRPr="000C627D">
        <w:tab/>
      </w:r>
      <w:r w:rsidR="00151381" w:rsidRPr="000C627D">
        <w:t xml:space="preserve">Column 4 of </w:t>
      </w:r>
      <w:r w:rsidR="00802647" w:rsidRPr="000C627D">
        <w:t xml:space="preserve">an item </w:t>
      </w:r>
      <w:r w:rsidR="00151381" w:rsidRPr="000C627D">
        <w:t xml:space="preserve">of the table in </w:t>
      </w:r>
      <w:r w:rsidR="000C627D" w:rsidRPr="000C627D">
        <w:t>subsection (</w:t>
      </w:r>
      <w:r w:rsidR="00151381" w:rsidRPr="000C627D">
        <w:t>1) does not apply to</w:t>
      </w:r>
      <w:r w:rsidR="0065187E" w:rsidRPr="000C627D">
        <w:t xml:space="preserve"> a document </w:t>
      </w:r>
      <w:r w:rsidR="008D287C" w:rsidRPr="000C627D">
        <w:t>that</w:t>
      </w:r>
      <w:r w:rsidR="0065187E" w:rsidRPr="000C627D">
        <w:t>:</w:t>
      </w:r>
    </w:p>
    <w:p w:rsidR="0065187E" w:rsidRPr="000C627D" w:rsidRDefault="0065187E" w:rsidP="0065187E">
      <w:pPr>
        <w:pStyle w:val="paragraph"/>
      </w:pPr>
      <w:r w:rsidRPr="000C627D">
        <w:tab/>
        <w:t>(a)</w:t>
      </w:r>
      <w:r w:rsidRPr="000C627D">
        <w:tab/>
      </w:r>
      <w:r w:rsidR="008D287C" w:rsidRPr="000C627D">
        <w:t xml:space="preserve">applies </w:t>
      </w:r>
      <w:r w:rsidRPr="000C627D">
        <w:t>for limited purposes; and</w:t>
      </w:r>
    </w:p>
    <w:p w:rsidR="0065187E" w:rsidRPr="000C627D" w:rsidRDefault="0065187E" w:rsidP="0065187E">
      <w:pPr>
        <w:pStyle w:val="paragraph"/>
      </w:pPr>
      <w:r w:rsidRPr="000C627D">
        <w:tab/>
        <w:t>(b)</w:t>
      </w:r>
      <w:r w:rsidRPr="000C627D">
        <w:tab/>
      </w:r>
      <w:r w:rsidR="008D287C" w:rsidRPr="000C627D">
        <w:t xml:space="preserve">is granted on the basis </w:t>
      </w:r>
      <w:r w:rsidRPr="000C627D">
        <w:t xml:space="preserve">of </w:t>
      </w:r>
      <w:r w:rsidR="008D287C" w:rsidRPr="000C627D">
        <w:t xml:space="preserve">criteria that are </w:t>
      </w:r>
      <w:r w:rsidRPr="000C627D">
        <w:t xml:space="preserve">substantially less rigorous </w:t>
      </w:r>
      <w:r w:rsidR="008D287C" w:rsidRPr="000C627D">
        <w:t xml:space="preserve">than those which </w:t>
      </w:r>
      <w:r w:rsidRPr="000C627D">
        <w:t>usually appl</w:t>
      </w:r>
      <w:r w:rsidR="008D287C" w:rsidRPr="000C627D">
        <w:t>y</w:t>
      </w:r>
      <w:r w:rsidRPr="000C627D">
        <w:t xml:space="preserve"> to granting documents mentioned in that item.</w:t>
      </w:r>
    </w:p>
    <w:p w:rsidR="00326BBB" w:rsidRPr="000C627D" w:rsidRDefault="00D16875" w:rsidP="00D16875">
      <w:pPr>
        <w:pStyle w:val="notetext"/>
      </w:pPr>
      <w:r w:rsidRPr="000C627D">
        <w:t>Example:</w:t>
      </w:r>
      <w:r w:rsidRPr="000C627D">
        <w:tab/>
        <w:t>A</w:t>
      </w:r>
      <w:r w:rsidR="0065187E" w:rsidRPr="000C627D">
        <w:t>n export</w:t>
      </w:r>
      <w:r w:rsidR="000C627D">
        <w:noBreakHyphen/>
      </w:r>
      <w:r w:rsidR="0065187E" w:rsidRPr="000C627D">
        <w:t>only</w:t>
      </w:r>
      <w:r w:rsidRPr="000C627D">
        <w:t xml:space="preserve"> certificate</w:t>
      </w:r>
      <w:r w:rsidR="0065187E" w:rsidRPr="000C627D">
        <w:t xml:space="preserve"> of conformity</w:t>
      </w:r>
      <w:r w:rsidRPr="000C627D">
        <w:t xml:space="preserve"> mentioned in paragraph</w:t>
      </w:r>
      <w:r w:rsidR="000C627D" w:rsidRPr="000C627D">
        <w:t> </w:t>
      </w:r>
      <w:r w:rsidR="00326BBB" w:rsidRPr="000C627D">
        <w:t>40 CFR 1068.230</w:t>
      </w:r>
      <w:r w:rsidRPr="000C627D">
        <w:t>(a)</w:t>
      </w:r>
      <w:r w:rsidR="00326BBB" w:rsidRPr="000C627D">
        <w:t>.</w:t>
      </w:r>
    </w:p>
    <w:p w:rsidR="009F5C91" w:rsidRPr="000C627D" w:rsidRDefault="009F5C91" w:rsidP="00D71C22">
      <w:pPr>
        <w:pStyle w:val="ActHead2"/>
        <w:pageBreakBefore/>
      </w:pPr>
      <w:bookmarkStart w:id="37" w:name="_Toc500512579"/>
      <w:r w:rsidRPr="000C627D">
        <w:rPr>
          <w:rStyle w:val="CharPartNo"/>
        </w:rPr>
        <w:t>Part</w:t>
      </w:r>
      <w:r w:rsidR="000C627D" w:rsidRPr="000C627D">
        <w:rPr>
          <w:rStyle w:val="CharPartNo"/>
        </w:rPr>
        <w:t> </w:t>
      </w:r>
      <w:r w:rsidR="003E3017" w:rsidRPr="000C627D">
        <w:rPr>
          <w:rStyle w:val="CharPartNo"/>
        </w:rPr>
        <w:t>5</w:t>
      </w:r>
      <w:r w:rsidRPr="000C627D">
        <w:t>—</w:t>
      </w:r>
      <w:r w:rsidRPr="000C627D">
        <w:rPr>
          <w:rStyle w:val="CharPartText"/>
        </w:rPr>
        <w:t>Exemptions</w:t>
      </w:r>
      <w:bookmarkEnd w:id="37"/>
    </w:p>
    <w:p w:rsidR="00635B03" w:rsidRPr="000C627D" w:rsidRDefault="00635B03" w:rsidP="00635B03">
      <w:pPr>
        <w:pStyle w:val="ActHead3"/>
      </w:pPr>
      <w:bookmarkStart w:id="38" w:name="_Toc500512580"/>
      <w:r w:rsidRPr="000C627D">
        <w:rPr>
          <w:rStyle w:val="CharDivNo"/>
        </w:rPr>
        <w:t>Division</w:t>
      </w:r>
      <w:r w:rsidR="000C627D" w:rsidRPr="000C627D">
        <w:rPr>
          <w:rStyle w:val="CharDivNo"/>
        </w:rPr>
        <w:t> </w:t>
      </w:r>
      <w:r w:rsidRPr="000C627D">
        <w:rPr>
          <w:rStyle w:val="CharDivNo"/>
        </w:rPr>
        <w:t>1</w:t>
      </w:r>
      <w:r w:rsidRPr="000C627D">
        <w:t>—</w:t>
      </w:r>
      <w:r w:rsidR="0083754A" w:rsidRPr="000C627D">
        <w:rPr>
          <w:rStyle w:val="CharDivText"/>
        </w:rPr>
        <w:t>Preliminary</w:t>
      </w:r>
      <w:bookmarkEnd w:id="38"/>
    </w:p>
    <w:p w:rsidR="0083754A" w:rsidRPr="000C627D" w:rsidRDefault="006E7CE6" w:rsidP="00F67DAB">
      <w:pPr>
        <w:pStyle w:val="ActHead5"/>
      </w:pPr>
      <w:bookmarkStart w:id="39" w:name="_Toc500512581"/>
      <w:r w:rsidRPr="000C627D">
        <w:rPr>
          <w:rStyle w:val="CharSectno"/>
        </w:rPr>
        <w:t>27</w:t>
      </w:r>
      <w:r w:rsidR="0083754A" w:rsidRPr="000C627D">
        <w:t xml:space="preserve">  Purposes of this Part</w:t>
      </w:r>
      <w:bookmarkEnd w:id="39"/>
    </w:p>
    <w:p w:rsidR="0083754A" w:rsidRPr="000C627D" w:rsidRDefault="0083754A" w:rsidP="0083754A">
      <w:pPr>
        <w:pStyle w:val="subsection"/>
      </w:pPr>
      <w:r w:rsidRPr="000C627D">
        <w:tab/>
      </w:r>
      <w:r w:rsidRPr="000C627D">
        <w:tab/>
        <w:t>This Part is made for the purposes of section</w:t>
      </w:r>
      <w:r w:rsidR="000C627D" w:rsidRPr="000C627D">
        <w:t> </w:t>
      </w:r>
      <w:r w:rsidRPr="000C627D">
        <w:t>11 of the Act.</w:t>
      </w:r>
    </w:p>
    <w:p w:rsidR="009F5C91" w:rsidRPr="000C627D" w:rsidRDefault="006E7CE6" w:rsidP="009F5C91">
      <w:pPr>
        <w:pStyle w:val="ActHead5"/>
      </w:pPr>
      <w:bookmarkStart w:id="40" w:name="_Toc500512582"/>
      <w:r w:rsidRPr="000C627D">
        <w:rPr>
          <w:rStyle w:val="CharSectno"/>
        </w:rPr>
        <w:t>28</w:t>
      </w:r>
      <w:r w:rsidR="00B763C9" w:rsidRPr="000C627D">
        <w:t xml:space="preserve"> </w:t>
      </w:r>
      <w:r w:rsidR="009F5C91" w:rsidRPr="000C627D">
        <w:t xml:space="preserve"> </w:t>
      </w:r>
      <w:r w:rsidR="002E7B94" w:rsidRPr="000C627D">
        <w:t>Circumstances in which products and persons are exempt from provisions of Part</w:t>
      </w:r>
      <w:r w:rsidR="000C627D" w:rsidRPr="000C627D">
        <w:t> </w:t>
      </w:r>
      <w:r w:rsidR="002E7B94" w:rsidRPr="000C627D">
        <w:t xml:space="preserve">3 and 4 of </w:t>
      </w:r>
      <w:r w:rsidR="00183451" w:rsidRPr="000C627D">
        <w:t xml:space="preserve">the </w:t>
      </w:r>
      <w:r w:rsidR="002E7B94" w:rsidRPr="000C627D">
        <w:t>Act</w:t>
      </w:r>
      <w:bookmarkEnd w:id="40"/>
    </w:p>
    <w:p w:rsidR="002B0E3F" w:rsidRPr="000C627D" w:rsidRDefault="009F5C91" w:rsidP="009F5C91">
      <w:pPr>
        <w:pStyle w:val="subsection"/>
      </w:pPr>
      <w:r w:rsidRPr="000C627D">
        <w:tab/>
      </w:r>
      <w:r w:rsidRPr="000C627D">
        <w:tab/>
        <w:t>For the purposes of paragraph</w:t>
      </w:r>
      <w:r w:rsidR="000C627D" w:rsidRPr="000C627D">
        <w:t> </w:t>
      </w:r>
      <w:r w:rsidRPr="000C627D">
        <w:t>11(1)(b) of the Act</w:t>
      </w:r>
      <w:r w:rsidR="002B0E3F" w:rsidRPr="000C627D">
        <w:t>:</w:t>
      </w:r>
    </w:p>
    <w:p w:rsidR="00AE2D8A" w:rsidRPr="000C627D" w:rsidRDefault="002B0E3F" w:rsidP="002B0E3F">
      <w:pPr>
        <w:pStyle w:val="paragraph"/>
      </w:pPr>
      <w:r w:rsidRPr="000C627D">
        <w:tab/>
        <w:t>(a)</w:t>
      </w:r>
      <w:r w:rsidRPr="000C627D">
        <w:tab/>
        <w:t xml:space="preserve">a person is exempt from </w:t>
      </w:r>
      <w:r w:rsidR="002C20E9" w:rsidRPr="000C627D">
        <w:t xml:space="preserve">a provision of </w:t>
      </w:r>
      <w:r w:rsidRPr="000C627D">
        <w:t>Part</w:t>
      </w:r>
      <w:r w:rsidR="000C627D" w:rsidRPr="000C627D">
        <w:t> </w:t>
      </w:r>
      <w:r w:rsidRPr="000C627D">
        <w:t>3</w:t>
      </w:r>
      <w:r w:rsidR="002C20E9" w:rsidRPr="000C627D">
        <w:t xml:space="preserve"> or 4</w:t>
      </w:r>
      <w:r w:rsidRPr="000C627D">
        <w:t xml:space="preserve"> of the Act </w:t>
      </w:r>
      <w:r w:rsidR="00AE2D8A" w:rsidRPr="000C627D">
        <w:t>in relation to an emissions</w:t>
      </w:r>
      <w:r w:rsidR="000C627D">
        <w:noBreakHyphen/>
      </w:r>
      <w:r w:rsidR="00AE2D8A" w:rsidRPr="000C627D">
        <w:t>controlled product in the following circumstances:</w:t>
      </w:r>
    </w:p>
    <w:p w:rsidR="002B0E3F" w:rsidRPr="000C627D" w:rsidRDefault="00AE2D8A" w:rsidP="00AE2D8A">
      <w:pPr>
        <w:pStyle w:val="paragraphsub"/>
      </w:pPr>
      <w:r w:rsidRPr="000C627D">
        <w:tab/>
        <w:t>(</w:t>
      </w:r>
      <w:proofErr w:type="spellStart"/>
      <w:r w:rsidRPr="000C627D">
        <w:t>i</w:t>
      </w:r>
      <w:proofErr w:type="spellEnd"/>
      <w:r w:rsidRPr="000C627D">
        <w:t>)</w:t>
      </w:r>
      <w:r w:rsidRPr="000C627D">
        <w:tab/>
      </w:r>
      <w:r w:rsidR="002B0E3F" w:rsidRPr="000C627D">
        <w:t>an exemption of the person</w:t>
      </w:r>
      <w:r w:rsidRPr="000C627D">
        <w:t xml:space="preserve"> </w:t>
      </w:r>
      <w:r w:rsidR="002C20E9" w:rsidRPr="000C627D">
        <w:t xml:space="preserve">from the provision </w:t>
      </w:r>
      <w:r w:rsidRPr="000C627D">
        <w:t>i</w:t>
      </w:r>
      <w:r w:rsidR="002B0E3F" w:rsidRPr="000C627D">
        <w:t>n relation to th</w:t>
      </w:r>
      <w:r w:rsidR="002A68D5" w:rsidRPr="000C627D">
        <w:t>e</w:t>
      </w:r>
      <w:r w:rsidR="002B0E3F" w:rsidRPr="000C627D">
        <w:t xml:space="preserve"> product</w:t>
      </w:r>
      <w:r w:rsidRPr="000C627D">
        <w:t xml:space="preserve"> is in force under this Part;</w:t>
      </w:r>
    </w:p>
    <w:p w:rsidR="00AE2D8A" w:rsidRPr="000C627D" w:rsidRDefault="00AE2D8A" w:rsidP="00AE2D8A">
      <w:pPr>
        <w:pStyle w:val="paragraphsub"/>
      </w:pPr>
      <w:r w:rsidRPr="000C627D">
        <w:tab/>
        <w:t>(ii)</w:t>
      </w:r>
      <w:r w:rsidRPr="000C627D">
        <w:tab/>
        <w:t>any condit</w:t>
      </w:r>
      <w:r w:rsidR="000B3CF5" w:rsidRPr="000C627D">
        <w:t>ions specified in the exemption</w:t>
      </w:r>
      <w:r w:rsidRPr="000C627D">
        <w:t xml:space="preserve"> in relation to importing or supplying th</w:t>
      </w:r>
      <w:r w:rsidR="002A68D5" w:rsidRPr="000C627D">
        <w:t>e</w:t>
      </w:r>
      <w:r w:rsidRPr="000C627D">
        <w:t xml:space="preserve"> product are complied with; and</w:t>
      </w:r>
    </w:p>
    <w:p w:rsidR="00AE2D8A" w:rsidRPr="000C627D" w:rsidRDefault="002B0E3F" w:rsidP="002B0E3F">
      <w:pPr>
        <w:pStyle w:val="paragraph"/>
      </w:pPr>
      <w:r w:rsidRPr="000C627D">
        <w:tab/>
        <w:t>(b)</w:t>
      </w:r>
      <w:r w:rsidRPr="000C627D">
        <w:tab/>
        <w:t>an emissions</w:t>
      </w:r>
      <w:r w:rsidR="000C627D">
        <w:noBreakHyphen/>
      </w:r>
      <w:r w:rsidRPr="000C627D">
        <w:t xml:space="preserve">controlled product is </w:t>
      </w:r>
      <w:r w:rsidR="00AE2D8A" w:rsidRPr="000C627D">
        <w:t xml:space="preserve">exempt from </w:t>
      </w:r>
      <w:r w:rsidR="002C20E9" w:rsidRPr="000C627D">
        <w:t xml:space="preserve">a provision of </w:t>
      </w:r>
      <w:r w:rsidR="00AE2D8A" w:rsidRPr="000C627D">
        <w:t>Part</w:t>
      </w:r>
      <w:r w:rsidR="000C627D" w:rsidRPr="000C627D">
        <w:t> </w:t>
      </w:r>
      <w:r w:rsidR="00AE2D8A" w:rsidRPr="000C627D">
        <w:t xml:space="preserve">3 </w:t>
      </w:r>
      <w:r w:rsidR="002C20E9" w:rsidRPr="000C627D">
        <w:t xml:space="preserve">or 4 </w:t>
      </w:r>
      <w:r w:rsidR="00AE2D8A" w:rsidRPr="000C627D">
        <w:t>of the Act in the following circumstances:</w:t>
      </w:r>
    </w:p>
    <w:p w:rsidR="00AE2D8A" w:rsidRPr="000C627D" w:rsidRDefault="00AE2D8A" w:rsidP="00AE2D8A">
      <w:pPr>
        <w:pStyle w:val="paragraphsub"/>
      </w:pPr>
      <w:r w:rsidRPr="000C627D">
        <w:tab/>
        <w:t>(</w:t>
      </w:r>
      <w:proofErr w:type="spellStart"/>
      <w:r w:rsidRPr="000C627D">
        <w:t>i</w:t>
      </w:r>
      <w:proofErr w:type="spellEnd"/>
      <w:r w:rsidRPr="000C627D">
        <w:t>)</w:t>
      </w:r>
      <w:r w:rsidRPr="000C627D">
        <w:tab/>
        <w:t>an exemption of the product</w:t>
      </w:r>
      <w:r w:rsidR="002C20E9" w:rsidRPr="000C627D">
        <w:t xml:space="preserve"> from the provision</w:t>
      </w:r>
      <w:r w:rsidRPr="000C627D">
        <w:t xml:space="preserve"> is in force under this Part;</w:t>
      </w:r>
    </w:p>
    <w:p w:rsidR="00AE2D8A" w:rsidRPr="000C627D" w:rsidRDefault="00AE2D8A" w:rsidP="00AE2D8A">
      <w:pPr>
        <w:pStyle w:val="paragraphsub"/>
      </w:pPr>
      <w:r w:rsidRPr="000C627D">
        <w:tab/>
        <w:t>(ii)</w:t>
      </w:r>
      <w:r w:rsidRPr="000C627D">
        <w:tab/>
        <w:t>any conditions specified in the exemption in relation to importing or supplying the product are complied with.</w:t>
      </w:r>
    </w:p>
    <w:p w:rsidR="00210F2B" w:rsidRPr="000C627D" w:rsidRDefault="00635B03" w:rsidP="00940549">
      <w:pPr>
        <w:pStyle w:val="ActHead3"/>
        <w:pageBreakBefore/>
      </w:pPr>
      <w:bookmarkStart w:id="41" w:name="_Toc500512583"/>
      <w:r w:rsidRPr="000C627D">
        <w:rPr>
          <w:rStyle w:val="CharDivNo"/>
        </w:rPr>
        <w:t>Division</w:t>
      </w:r>
      <w:r w:rsidR="000C627D" w:rsidRPr="000C627D">
        <w:rPr>
          <w:rStyle w:val="CharDivNo"/>
        </w:rPr>
        <w:t> </w:t>
      </w:r>
      <w:r w:rsidRPr="000C627D">
        <w:rPr>
          <w:rStyle w:val="CharDivNo"/>
        </w:rPr>
        <w:t>2</w:t>
      </w:r>
      <w:r w:rsidRPr="000C627D">
        <w:t>—</w:t>
      </w:r>
      <w:r w:rsidR="00522AA0" w:rsidRPr="000C627D">
        <w:rPr>
          <w:rStyle w:val="CharDivText"/>
        </w:rPr>
        <w:t>Granting exemptions</w:t>
      </w:r>
      <w:bookmarkEnd w:id="41"/>
    </w:p>
    <w:p w:rsidR="00210F2B" w:rsidRPr="000C627D" w:rsidRDefault="006E7CE6" w:rsidP="00210F2B">
      <w:pPr>
        <w:pStyle w:val="ActHead5"/>
      </w:pPr>
      <w:bookmarkStart w:id="42" w:name="_Toc500512584"/>
      <w:r w:rsidRPr="000C627D">
        <w:rPr>
          <w:rStyle w:val="CharSectno"/>
        </w:rPr>
        <w:t>29</w:t>
      </w:r>
      <w:r w:rsidR="00210F2B" w:rsidRPr="000C627D">
        <w:t xml:space="preserve">  </w:t>
      </w:r>
      <w:r w:rsidR="00522AA0" w:rsidRPr="000C627D">
        <w:t>Applying for</w:t>
      </w:r>
      <w:r w:rsidR="00210F2B" w:rsidRPr="000C627D">
        <w:t xml:space="preserve"> exemptions</w:t>
      </w:r>
      <w:bookmarkEnd w:id="42"/>
    </w:p>
    <w:p w:rsidR="009B5076" w:rsidRPr="000C627D" w:rsidRDefault="00210F2B" w:rsidP="00210F2B">
      <w:pPr>
        <w:pStyle w:val="subsection"/>
      </w:pPr>
      <w:r w:rsidRPr="000C627D">
        <w:tab/>
        <w:t>(1)</w:t>
      </w:r>
      <w:r w:rsidRPr="000C627D">
        <w:tab/>
        <w:t>A person may apply to the Secretary for</w:t>
      </w:r>
      <w:r w:rsidR="009B5076" w:rsidRPr="000C627D">
        <w:t>:</w:t>
      </w:r>
    </w:p>
    <w:p w:rsidR="00CE2B58" w:rsidRPr="000C627D" w:rsidRDefault="00CE2B58" w:rsidP="00CE2B58">
      <w:pPr>
        <w:pStyle w:val="paragraph"/>
      </w:pPr>
      <w:r w:rsidRPr="000C627D">
        <w:tab/>
        <w:t>(a)</w:t>
      </w:r>
      <w:r w:rsidRPr="000C627D">
        <w:tab/>
        <w:t>an exemption of the applicant</w:t>
      </w:r>
      <w:r w:rsidR="002C20E9" w:rsidRPr="000C627D">
        <w:t>, or of a class of persons including the applicant,</w:t>
      </w:r>
      <w:r w:rsidRPr="000C627D">
        <w:t xml:space="preserve"> from </w:t>
      </w:r>
      <w:r w:rsidR="002C20E9" w:rsidRPr="000C627D">
        <w:t xml:space="preserve">a specified provision of </w:t>
      </w:r>
      <w:r w:rsidRPr="000C627D">
        <w:t>Part</w:t>
      </w:r>
      <w:r w:rsidR="000C627D" w:rsidRPr="000C627D">
        <w:t> </w:t>
      </w:r>
      <w:r w:rsidRPr="000C627D">
        <w:t>3</w:t>
      </w:r>
      <w:r w:rsidR="002C20E9" w:rsidRPr="000C627D">
        <w:t xml:space="preserve"> or 4</w:t>
      </w:r>
      <w:r w:rsidRPr="000C627D">
        <w:t xml:space="preserve"> of the Act</w:t>
      </w:r>
      <w:r w:rsidR="003F75B5" w:rsidRPr="000C627D">
        <w:t xml:space="preserve"> in relation to a specified emission</w:t>
      </w:r>
      <w:r w:rsidR="006467BB" w:rsidRPr="000C627D">
        <w:t>s</w:t>
      </w:r>
      <w:r w:rsidR="000C627D">
        <w:noBreakHyphen/>
      </w:r>
      <w:r w:rsidR="003F75B5" w:rsidRPr="000C627D">
        <w:t>controlled product</w:t>
      </w:r>
      <w:r w:rsidR="00F71656" w:rsidRPr="000C627D">
        <w:t xml:space="preserve"> or products</w:t>
      </w:r>
      <w:r w:rsidRPr="000C627D">
        <w:t>;</w:t>
      </w:r>
      <w:r w:rsidR="00BD272C" w:rsidRPr="000C627D">
        <w:t xml:space="preserve"> or</w:t>
      </w:r>
    </w:p>
    <w:p w:rsidR="009B5076" w:rsidRPr="000C627D" w:rsidRDefault="009B5076" w:rsidP="009B5076">
      <w:pPr>
        <w:pStyle w:val="paragraph"/>
      </w:pPr>
      <w:r w:rsidRPr="000C627D">
        <w:tab/>
        <w:t>(</w:t>
      </w:r>
      <w:r w:rsidR="00BD272C" w:rsidRPr="000C627D">
        <w:t>b</w:t>
      </w:r>
      <w:r w:rsidRPr="000C627D">
        <w:t>)</w:t>
      </w:r>
      <w:r w:rsidRPr="000C627D">
        <w:tab/>
        <w:t>an exemption of a</w:t>
      </w:r>
      <w:r w:rsidR="00DA2A0F" w:rsidRPr="000C627D">
        <w:t xml:space="preserve"> specified</w:t>
      </w:r>
      <w:r w:rsidRPr="000C627D">
        <w:t xml:space="preserve"> emission</w:t>
      </w:r>
      <w:r w:rsidR="006467BB" w:rsidRPr="000C627D">
        <w:t>s</w:t>
      </w:r>
      <w:r w:rsidR="000C627D">
        <w:noBreakHyphen/>
      </w:r>
      <w:r w:rsidRPr="000C627D">
        <w:t>controlled product</w:t>
      </w:r>
      <w:r w:rsidR="003F75B5" w:rsidRPr="000C627D">
        <w:t xml:space="preserve"> or products</w:t>
      </w:r>
      <w:r w:rsidRPr="000C627D">
        <w:t xml:space="preserve"> from </w:t>
      </w:r>
      <w:r w:rsidR="002C20E9" w:rsidRPr="000C627D">
        <w:t xml:space="preserve">a specified provision of </w:t>
      </w:r>
      <w:r w:rsidRPr="000C627D">
        <w:t>Part</w:t>
      </w:r>
      <w:r w:rsidR="000C627D" w:rsidRPr="000C627D">
        <w:t> </w:t>
      </w:r>
      <w:r w:rsidRPr="000C627D">
        <w:t>3</w:t>
      </w:r>
      <w:r w:rsidR="002C20E9" w:rsidRPr="000C627D">
        <w:t xml:space="preserve"> or 4</w:t>
      </w:r>
      <w:r w:rsidRPr="000C627D">
        <w:t xml:space="preserve"> of the Act</w:t>
      </w:r>
      <w:r w:rsidR="003F75B5" w:rsidRPr="000C627D">
        <w:t>.</w:t>
      </w:r>
    </w:p>
    <w:p w:rsidR="00210F2B" w:rsidRPr="000C627D" w:rsidRDefault="00210F2B" w:rsidP="00210F2B">
      <w:pPr>
        <w:pStyle w:val="subsection"/>
      </w:pPr>
      <w:r w:rsidRPr="000C627D">
        <w:tab/>
        <w:t>(</w:t>
      </w:r>
      <w:r w:rsidR="00F71656" w:rsidRPr="000C627D">
        <w:t>2</w:t>
      </w:r>
      <w:r w:rsidRPr="000C627D">
        <w:t>)</w:t>
      </w:r>
      <w:r w:rsidRPr="000C627D">
        <w:tab/>
        <w:t>The application must:</w:t>
      </w:r>
    </w:p>
    <w:p w:rsidR="009B5076" w:rsidRPr="000C627D" w:rsidRDefault="00210F2B" w:rsidP="00DA2A0F">
      <w:pPr>
        <w:pStyle w:val="paragraph"/>
      </w:pPr>
      <w:r w:rsidRPr="000C627D">
        <w:tab/>
        <w:t>(a)</w:t>
      </w:r>
      <w:r w:rsidRPr="000C627D">
        <w:tab/>
        <w:t>state</w:t>
      </w:r>
      <w:r w:rsidR="00DA2A0F" w:rsidRPr="000C627D">
        <w:t xml:space="preserve"> </w:t>
      </w:r>
      <w:r w:rsidRPr="000C627D">
        <w:t>the name and address of the applicant</w:t>
      </w:r>
      <w:r w:rsidR="009B5076" w:rsidRPr="000C627D">
        <w:t>; and</w:t>
      </w:r>
    </w:p>
    <w:p w:rsidR="003F75B5" w:rsidRPr="000C627D" w:rsidRDefault="003F75B5" w:rsidP="003F75B5">
      <w:pPr>
        <w:pStyle w:val="paragraph"/>
      </w:pPr>
      <w:r w:rsidRPr="000C627D">
        <w:tab/>
        <w:t>(</w:t>
      </w:r>
      <w:r w:rsidR="002C20E9" w:rsidRPr="000C627D">
        <w:t>b</w:t>
      </w:r>
      <w:r w:rsidRPr="000C627D">
        <w:t>)</w:t>
      </w:r>
      <w:r w:rsidRPr="000C627D">
        <w:tab/>
        <w:t>contain the following:</w:t>
      </w:r>
    </w:p>
    <w:p w:rsidR="003F75B5" w:rsidRPr="000C627D" w:rsidRDefault="003F75B5" w:rsidP="003F75B5">
      <w:pPr>
        <w:pStyle w:val="paragraphsub"/>
      </w:pPr>
      <w:r w:rsidRPr="000C627D">
        <w:tab/>
        <w:t>(</w:t>
      </w:r>
      <w:proofErr w:type="spellStart"/>
      <w:r w:rsidRPr="000C627D">
        <w:t>i</w:t>
      </w:r>
      <w:proofErr w:type="spellEnd"/>
      <w:r w:rsidRPr="000C627D">
        <w:t>)</w:t>
      </w:r>
      <w:r w:rsidRPr="000C627D">
        <w:tab/>
        <w:t>the date on which, or the period in which, it is expected that the product or products will be imported or supplied under the exemption;</w:t>
      </w:r>
    </w:p>
    <w:p w:rsidR="003F75B5" w:rsidRPr="000C627D" w:rsidRDefault="003F75B5" w:rsidP="003F75B5">
      <w:pPr>
        <w:pStyle w:val="paragraphsub"/>
      </w:pPr>
      <w:r w:rsidRPr="000C627D">
        <w:tab/>
        <w:t>(ii)</w:t>
      </w:r>
      <w:r w:rsidRPr="000C627D">
        <w:tab/>
        <w:t>the number of products expected to be imported or supplied under the exemption;</w:t>
      </w:r>
    </w:p>
    <w:p w:rsidR="003F75B5" w:rsidRPr="000C627D" w:rsidRDefault="003F75B5" w:rsidP="003F75B5">
      <w:pPr>
        <w:pStyle w:val="paragraphsub"/>
      </w:pPr>
      <w:r w:rsidRPr="000C627D">
        <w:tab/>
        <w:t>(iii)</w:t>
      </w:r>
      <w:r w:rsidRPr="000C627D">
        <w:tab/>
      </w:r>
      <w:r w:rsidR="0083754A" w:rsidRPr="000C627D">
        <w:t xml:space="preserve">a description of </w:t>
      </w:r>
      <w:r w:rsidR="00231FAD" w:rsidRPr="000C627D">
        <w:t>how the product or products are expected to be used or dealt with in Australia</w:t>
      </w:r>
      <w:r w:rsidRPr="000C627D">
        <w:t>; and</w:t>
      </w:r>
    </w:p>
    <w:p w:rsidR="003F75B5" w:rsidRPr="000C627D" w:rsidRDefault="008C4C1B" w:rsidP="003F75B5">
      <w:pPr>
        <w:pStyle w:val="paragraph"/>
      </w:pPr>
      <w:r w:rsidRPr="000C627D">
        <w:tab/>
        <w:t>(</w:t>
      </w:r>
      <w:r w:rsidR="002C20E9" w:rsidRPr="000C627D">
        <w:t>c</w:t>
      </w:r>
      <w:r w:rsidR="003F75B5" w:rsidRPr="000C627D">
        <w:t>)</w:t>
      </w:r>
      <w:r w:rsidR="003F75B5" w:rsidRPr="000C627D">
        <w:tab/>
        <w:t xml:space="preserve">nominate a single exemption category </w:t>
      </w:r>
      <w:r w:rsidR="0068048C" w:rsidRPr="000C627D">
        <w:t xml:space="preserve">in accordance with </w:t>
      </w:r>
      <w:r w:rsidR="0042718F" w:rsidRPr="000C627D">
        <w:t>section</w:t>
      </w:r>
      <w:r w:rsidR="000C627D" w:rsidRPr="000C627D">
        <w:t> </w:t>
      </w:r>
      <w:r w:rsidR="006E7CE6" w:rsidRPr="000C627D">
        <w:t>30</w:t>
      </w:r>
      <w:r w:rsidR="003F75B5" w:rsidRPr="000C627D">
        <w:t>;</w:t>
      </w:r>
      <w:r w:rsidR="00D65DDF" w:rsidRPr="000C627D">
        <w:t xml:space="preserve"> and</w:t>
      </w:r>
    </w:p>
    <w:p w:rsidR="00210F2B" w:rsidRPr="000C627D" w:rsidRDefault="00210F2B" w:rsidP="00210F2B">
      <w:pPr>
        <w:pStyle w:val="paragraph"/>
      </w:pPr>
      <w:r w:rsidRPr="000C627D">
        <w:tab/>
        <w:t>(</w:t>
      </w:r>
      <w:r w:rsidR="002C20E9" w:rsidRPr="000C627D">
        <w:t>d</w:t>
      </w:r>
      <w:r w:rsidRPr="000C627D">
        <w:t>)</w:t>
      </w:r>
      <w:r w:rsidRPr="000C627D">
        <w:tab/>
        <w:t xml:space="preserve">be given to the Secretary in the manner and form </w:t>
      </w:r>
      <w:r w:rsidR="00293F18" w:rsidRPr="000C627D">
        <w:t xml:space="preserve">(if any) </w:t>
      </w:r>
      <w:r w:rsidRPr="000C627D">
        <w:t xml:space="preserve">approved </w:t>
      </w:r>
      <w:r w:rsidR="00293F18" w:rsidRPr="000C627D">
        <w:t xml:space="preserve">under </w:t>
      </w:r>
      <w:r w:rsidR="000C627D" w:rsidRPr="000C627D">
        <w:t>subsection (</w:t>
      </w:r>
      <w:r w:rsidR="00293F18" w:rsidRPr="000C627D">
        <w:t>3)</w:t>
      </w:r>
      <w:r w:rsidRPr="000C627D">
        <w:t>; and</w:t>
      </w:r>
    </w:p>
    <w:p w:rsidR="00210F2B" w:rsidRPr="000C627D" w:rsidRDefault="00210F2B" w:rsidP="00210F2B">
      <w:pPr>
        <w:pStyle w:val="paragraph"/>
      </w:pPr>
      <w:r w:rsidRPr="000C627D">
        <w:tab/>
        <w:t>(</w:t>
      </w:r>
      <w:r w:rsidR="002C20E9" w:rsidRPr="000C627D">
        <w:t>e</w:t>
      </w:r>
      <w:r w:rsidRPr="000C627D">
        <w:t>)</w:t>
      </w:r>
      <w:r w:rsidRPr="000C627D">
        <w:tab/>
        <w:t xml:space="preserve">be accompanied by the fee set by </w:t>
      </w:r>
      <w:r w:rsidR="000763E7" w:rsidRPr="000C627D">
        <w:t>subsection</w:t>
      </w:r>
      <w:r w:rsidR="000C627D" w:rsidRPr="000C627D">
        <w:t> </w:t>
      </w:r>
      <w:r w:rsidR="006E7CE6" w:rsidRPr="000C627D">
        <w:t>43</w:t>
      </w:r>
      <w:r w:rsidR="000763E7" w:rsidRPr="000C627D">
        <w:t>(2)</w:t>
      </w:r>
      <w:r w:rsidRPr="000C627D">
        <w:t xml:space="preserve"> for receiving and processing the application, unless the fee is waived under </w:t>
      </w:r>
      <w:r w:rsidR="000763E7" w:rsidRPr="000C627D">
        <w:t>section</w:t>
      </w:r>
      <w:r w:rsidR="000C627D" w:rsidRPr="000C627D">
        <w:t> </w:t>
      </w:r>
      <w:r w:rsidR="006E7CE6" w:rsidRPr="000C627D">
        <w:t>44</w:t>
      </w:r>
      <w:r w:rsidRPr="000C627D">
        <w:t>.</w:t>
      </w:r>
    </w:p>
    <w:p w:rsidR="00293F18" w:rsidRPr="000C627D" w:rsidRDefault="00293F18" w:rsidP="00293F18">
      <w:pPr>
        <w:pStyle w:val="subsection"/>
      </w:pPr>
      <w:r w:rsidRPr="000C627D">
        <w:tab/>
        <w:t>(3)</w:t>
      </w:r>
      <w:r w:rsidRPr="000C627D">
        <w:tab/>
        <w:t xml:space="preserve">For the purposes of </w:t>
      </w:r>
      <w:r w:rsidR="000C627D" w:rsidRPr="000C627D">
        <w:t>paragraph (</w:t>
      </w:r>
      <w:r w:rsidRPr="000C627D">
        <w:t>2)(</w:t>
      </w:r>
      <w:r w:rsidR="002C20E9" w:rsidRPr="000C627D">
        <w:t>d</w:t>
      </w:r>
      <w:r w:rsidRPr="000C627D">
        <w:t>), the Secretary may approve, by notice in writing published on the Department</w:t>
      </w:r>
      <w:r w:rsidR="003C03C4" w:rsidRPr="000C627D">
        <w:t>’</w:t>
      </w:r>
      <w:r w:rsidRPr="000C627D">
        <w:t>s website, the manner and form in which an application must be given to the Secretary under this section.</w:t>
      </w:r>
    </w:p>
    <w:p w:rsidR="00240982" w:rsidRPr="000C627D" w:rsidRDefault="006E7CE6" w:rsidP="00240982">
      <w:pPr>
        <w:pStyle w:val="ActHead5"/>
      </w:pPr>
      <w:bookmarkStart w:id="43" w:name="_Toc500512585"/>
      <w:r w:rsidRPr="000C627D">
        <w:rPr>
          <w:rStyle w:val="CharSectno"/>
        </w:rPr>
        <w:t>30</w:t>
      </w:r>
      <w:r w:rsidR="00240982" w:rsidRPr="000C627D">
        <w:t xml:space="preserve">  Exemption categories</w:t>
      </w:r>
      <w:bookmarkEnd w:id="43"/>
    </w:p>
    <w:p w:rsidR="0068048C" w:rsidRPr="000C627D" w:rsidRDefault="0068048C" w:rsidP="00240982">
      <w:pPr>
        <w:pStyle w:val="subsection"/>
      </w:pPr>
      <w:r w:rsidRPr="000C627D">
        <w:tab/>
        <w:t>(1)</w:t>
      </w:r>
      <w:r w:rsidRPr="000C627D">
        <w:tab/>
        <w:t>An application made under section</w:t>
      </w:r>
      <w:r w:rsidR="000C627D" w:rsidRPr="000C627D">
        <w:t> </w:t>
      </w:r>
      <w:r w:rsidR="006E7CE6" w:rsidRPr="000C627D">
        <w:t>29</w:t>
      </w:r>
      <w:r w:rsidR="00231FAD" w:rsidRPr="000C627D">
        <w:t xml:space="preserve"> in relation to an emissions</w:t>
      </w:r>
      <w:r w:rsidR="000C627D">
        <w:noBreakHyphen/>
      </w:r>
      <w:r w:rsidR="00231FAD" w:rsidRPr="000C627D">
        <w:t xml:space="preserve">controlled product </w:t>
      </w:r>
      <w:r w:rsidR="0042718F" w:rsidRPr="000C627D">
        <w:t xml:space="preserve">or products </w:t>
      </w:r>
      <w:r w:rsidRPr="000C627D">
        <w:t xml:space="preserve">must </w:t>
      </w:r>
      <w:r w:rsidR="00231FAD" w:rsidRPr="000C627D">
        <w:t xml:space="preserve">nominate </w:t>
      </w:r>
      <w:r w:rsidRPr="000C627D">
        <w:t>one of the following</w:t>
      </w:r>
      <w:r w:rsidR="00513EED" w:rsidRPr="000C627D">
        <w:t xml:space="preserve"> </w:t>
      </w:r>
      <w:r w:rsidR="00F97E99" w:rsidRPr="000C627D">
        <w:t>(</w:t>
      </w:r>
      <w:r w:rsidRPr="000C627D">
        <w:t xml:space="preserve">the </w:t>
      </w:r>
      <w:r w:rsidRPr="000C627D">
        <w:rPr>
          <w:b/>
          <w:i/>
        </w:rPr>
        <w:t>exemption categories</w:t>
      </w:r>
      <w:r w:rsidRPr="000C627D">
        <w:t>):</w:t>
      </w:r>
    </w:p>
    <w:p w:rsidR="0068048C" w:rsidRPr="000C627D" w:rsidRDefault="0068048C" w:rsidP="0068048C">
      <w:pPr>
        <w:pStyle w:val="paragraph"/>
      </w:pPr>
      <w:r w:rsidRPr="000C627D">
        <w:tab/>
        <w:t>(a)</w:t>
      </w:r>
      <w:r w:rsidRPr="000C627D">
        <w:tab/>
        <w:t xml:space="preserve">the product </w:t>
      </w:r>
      <w:r w:rsidR="0042718F" w:rsidRPr="000C627D">
        <w:t xml:space="preserve">or products </w:t>
      </w:r>
      <w:r w:rsidR="006950CD" w:rsidRPr="000C627D">
        <w:t xml:space="preserve">will </w:t>
      </w:r>
      <w:r w:rsidR="00231FAD" w:rsidRPr="000C627D">
        <w:t xml:space="preserve">be </w:t>
      </w:r>
      <w:r w:rsidRPr="000C627D">
        <w:t>exported from Australia but not used in Australia;</w:t>
      </w:r>
    </w:p>
    <w:p w:rsidR="00211ABF" w:rsidRPr="000C627D" w:rsidRDefault="0068048C" w:rsidP="00211ABF">
      <w:pPr>
        <w:pStyle w:val="paragraph"/>
      </w:pPr>
      <w:r w:rsidRPr="000C627D">
        <w:tab/>
        <w:t>(b)</w:t>
      </w:r>
      <w:r w:rsidRPr="000C627D">
        <w:tab/>
        <w:t xml:space="preserve">the product </w:t>
      </w:r>
      <w:r w:rsidR="0042718F" w:rsidRPr="000C627D">
        <w:t>or products</w:t>
      </w:r>
      <w:r w:rsidR="00211ABF" w:rsidRPr="000C627D">
        <w:t>:</w:t>
      </w:r>
    </w:p>
    <w:p w:rsidR="00211ABF" w:rsidRPr="000C627D" w:rsidRDefault="00211ABF" w:rsidP="00211ABF">
      <w:pPr>
        <w:pStyle w:val="paragraphsub"/>
      </w:pPr>
      <w:r w:rsidRPr="000C627D">
        <w:tab/>
        <w:t>(</w:t>
      </w:r>
      <w:proofErr w:type="spellStart"/>
      <w:r w:rsidRPr="000C627D">
        <w:t>i</w:t>
      </w:r>
      <w:proofErr w:type="spellEnd"/>
      <w:r w:rsidRPr="000C627D">
        <w:t>)</w:t>
      </w:r>
      <w:r w:rsidRPr="000C627D">
        <w:tab/>
      </w:r>
      <w:r w:rsidR="00E24E75" w:rsidRPr="000C627D">
        <w:t xml:space="preserve">will be </w:t>
      </w:r>
      <w:r w:rsidR="0068048C" w:rsidRPr="000C627D">
        <w:t>tested</w:t>
      </w:r>
      <w:r w:rsidR="00E24E75" w:rsidRPr="000C627D">
        <w:t xml:space="preserve">, </w:t>
      </w:r>
      <w:r w:rsidR="0068048C" w:rsidRPr="000C627D">
        <w:t>evaluated</w:t>
      </w:r>
      <w:r w:rsidR="00E24E75" w:rsidRPr="000C627D">
        <w:t xml:space="preserve">, </w:t>
      </w:r>
      <w:r w:rsidR="006903E2" w:rsidRPr="000C627D">
        <w:t xml:space="preserve">displayed, advertised, </w:t>
      </w:r>
      <w:r w:rsidRPr="000C627D">
        <w:t>offered for supply or</w:t>
      </w:r>
      <w:r w:rsidR="00E24E75" w:rsidRPr="000C627D">
        <w:t xml:space="preserve"> </w:t>
      </w:r>
      <w:r w:rsidRPr="000C627D">
        <w:t>pre</w:t>
      </w:r>
      <w:r w:rsidR="000C627D">
        <w:noBreakHyphen/>
      </w:r>
      <w:r w:rsidRPr="000C627D">
        <w:t>ordered;</w:t>
      </w:r>
      <w:r w:rsidR="00E24E75" w:rsidRPr="000C627D">
        <w:t xml:space="preserve"> and</w:t>
      </w:r>
    </w:p>
    <w:p w:rsidR="001B522C" w:rsidRPr="000C627D" w:rsidRDefault="00E24E75" w:rsidP="00E24E75">
      <w:pPr>
        <w:pStyle w:val="paragraphsub"/>
      </w:pPr>
      <w:r w:rsidRPr="000C627D">
        <w:tab/>
        <w:t>(ii)</w:t>
      </w:r>
      <w:r w:rsidRPr="000C627D">
        <w:tab/>
      </w:r>
      <w:r w:rsidR="003A0FB2" w:rsidRPr="000C627D">
        <w:t xml:space="preserve">will not </w:t>
      </w:r>
      <w:r w:rsidR="00E4214F" w:rsidRPr="000C627D">
        <w:t xml:space="preserve">otherwise </w:t>
      </w:r>
      <w:r w:rsidR="003A0FB2" w:rsidRPr="000C627D">
        <w:t xml:space="preserve">be </w:t>
      </w:r>
      <w:r w:rsidR="00BC1DF5" w:rsidRPr="000C627D">
        <w:t>used or supplied in Australia</w:t>
      </w:r>
      <w:r w:rsidR="00870FA0" w:rsidRPr="000C627D">
        <w:t xml:space="preserve"> </w:t>
      </w:r>
      <w:r w:rsidR="00FF2EA4" w:rsidRPr="000C627D">
        <w:t>(</w:t>
      </w:r>
      <w:r w:rsidR="003A0FB2" w:rsidRPr="000C627D">
        <w:t>and, if the product or products are pre</w:t>
      </w:r>
      <w:r w:rsidR="000C627D">
        <w:noBreakHyphen/>
      </w:r>
      <w:r w:rsidR="003A0FB2" w:rsidRPr="000C627D">
        <w:t>ordered, will not be imported</w:t>
      </w:r>
      <w:r w:rsidR="00FF2EA4" w:rsidRPr="000C627D">
        <w:t xml:space="preserve">) </w:t>
      </w:r>
      <w:r w:rsidR="001B522C" w:rsidRPr="000C627D">
        <w:t>before the product</w:t>
      </w:r>
      <w:r w:rsidR="00BB5B76" w:rsidRPr="000C627D">
        <w:t xml:space="preserve"> or products are</w:t>
      </w:r>
      <w:r w:rsidR="001B522C" w:rsidRPr="000C627D">
        <w:t xml:space="preserve"> certified for the purposes of the Act;</w:t>
      </w:r>
    </w:p>
    <w:p w:rsidR="0091354E" w:rsidRPr="000C627D" w:rsidRDefault="0091354E" w:rsidP="0091354E">
      <w:pPr>
        <w:pStyle w:val="paragraph"/>
      </w:pPr>
      <w:r w:rsidRPr="000C627D">
        <w:tab/>
        <w:t>(c)</w:t>
      </w:r>
      <w:r w:rsidRPr="000C627D">
        <w:tab/>
        <w:t>the product</w:t>
      </w:r>
      <w:r w:rsidR="0042718F" w:rsidRPr="000C627D">
        <w:t xml:space="preserve"> or products</w:t>
      </w:r>
      <w:r w:rsidRPr="000C627D">
        <w:t>:</w:t>
      </w:r>
    </w:p>
    <w:p w:rsidR="0091354E" w:rsidRPr="000C627D" w:rsidRDefault="0091354E" w:rsidP="0091354E">
      <w:pPr>
        <w:pStyle w:val="paragraphsub"/>
      </w:pPr>
      <w:r w:rsidRPr="000C627D">
        <w:tab/>
        <w:t>(</w:t>
      </w:r>
      <w:proofErr w:type="spellStart"/>
      <w:r w:rsidRPr="000C627D">
        <w:t>i</w:t>
      </w:r>
      <w:proofErr w:type="spellEnd"/>
      <w:r w:rsidRPr="000C627D">
        <w:t>)</w:t>
      </w:r>
      <w:r w:rsidRPr="000C627D">
        <w:tab/>
      </w:r>
      <w:r w:rsidR="006950CD" w:rsidRPr="000C627D">
        <w:t>will</w:t>
      </w:r>
      <w:r w:rsidRPr="000C627D">
        <w:t xml:space="preserve"> be used only by the Australian Defence Force or a law enforcement or security agency (within the meaning of the </w:t>
      </w:r>
      <w:r w:rsidRPr="000C627D">
        <w:rPr>
          <w:i/>
        </w:rPr>
        <w:t>Independent National Security Legislation Monitor Act 2010</w:t>
      </w:r>
      <w:r w:rsidRPr="000C627D">
        <w:t>)</w:t>
      </w:r>
      <w:r w:rsidR="00BC1DF5" w:rsidRPr="000C627D">
        <w:t xml:space="preserve"> and only</w:t>
      </w:r>
      <w:r w:rsidRPr="000C627D">
        <w:t xml:space="preserve"> for national security purposes; and</w:t>
      </w:r>
    </w:p>
    <w:p w:rsidR="0091354E" w:rsidRPr="000C627D" w:rsidRDefault="0091354E" w:rsidP="0091354E">
      <w:pPr>
        <w:pStyle w:val="paragraphsub"/>
      </w:pPr>
      <w:r w:rsidRPr="000C627D">
        <w:tab/>
        <w:t>(ii)</w:t>
      </w:r>
      <w:r w:rsidRPr="000C627D">
        <w:tab/>
        <w:t>ha</w:t>
      </w:r>
      <w:r w:rsidR="0042718F" w:rsidRPr="000C627D">
        <w:t>ve</w:t>
      </w:r>
      <w:r w:rsidRPr="000C627D">
        <w:t xml:space="preserve"> no suitable alternative</w:t>
      </w:r>
      <w:r w:rsidR="00056172" w:rsidRPr="000C627D">
        <w:t xml:space="preserve"> (see </w:t>
      </w:r>
      <w:r w:rsidR="000C627D" w:rsidRPr="000C627D">
        <w:t>subsection (</w:t>
      </w:r>
      <w:r w:rsidR="00056172" w:rsidRPr="000C627D">
        <w:t>2))</w:t>
      </w:r>
      <w:r w:rsidRPr="000C627D">
        <w:t>;</w:t>
      </w:r>
    </w:p>
    <w:p w:rsidR="0091354E" w:rsidRPr="000C627D" w:rsidRDefault="0091354E" w:rsidP="0091354E">
      <w:pPr>
        <w:pStyle w:val="paragraph"/>
      </w:pPr>
      <w:r w:rsidRPr="000C627D">
        <w:tab/>
        <w:t>(d)</w:t>
      </w:r>
      <w:r w:rsidRPr="000C627D">
        <w:tab/>
        <w:t>the product</w:t>
      </w:r>
      <w:r w:rsidR="0042718F" w:rsidRPr="000C627D">
        <w:t xml:space="preserve"> or products</w:t>
      </w:r>
      <w:r w:rsidRPr="000C627D">
        <w:t>:</w:t>
      </w:r>
    </w:p>
    <w:p w:rsidR="0091354E" w:rsidRPr="000C627D" w:rsidRDefault="0091354E" w:rsidP="0091354E">
      <w:pPr>
        <w:pStyle w:val="paragraphsub"/>
      </w:pPr>
      <w:r w:rsidRPr="000C627D">
        <w:tab/>
        <w:t>(</w:t>
      </w:r>
      <w:proofErr w:type="spellStart"/>
      <w:r w:rsidRPr="000C627D">
        <w:t>i</w:t>
      </w:r>
      <w:proofErr w:type="spellEnd"/>
      <w:r w:rsidRPr="000C627D">
        <w:t>)</w:t>
      </w:r>
      <w:r w:rsidRPr="000C627D">
        <w:tab/>
      </w:r>
      <w:r w:rsidR="006950CD" w:rsidRPr="000C627D">
        <w:t xml:space="preserve">will </w:t>
      </w:r>
      <w:r w:rsidRPr="000C627D">
        <w:t xml:space="preserve">be used only by an emergency services organisation </w:t>
      </w:r>
      <w:r w:rsidR="00056172" w:rsidRPr="000C627D">
        <w:t xml:space="preserve">(see </w:t>
      </w:r>
      <w:r w:rsidR="000C627D" w:rsidRPr="000C627D">
        <w:t>subsection (</w:t>
      </w:r>
      <w:r w:rsidR="00056172" w:rsidRPr="000C627D">
        <w:t xml:space="preserve">4)) </w:t>
      </w:r>
      <w:r w:rsidR="008D287C" w:rsidRPr="000C627D">
        <w:t xml:space="preserve">and only </w:t>
      </w:r>
      <w:r w:rsidR="00075732" w:rsidRPr="000C627D">
        <w:t xml:space="preserve">for </w:t>
      </w:r>
      <w:r w:rsidRPr="000C627D">
        <w:t>rescue or emergency services</w:t>
      </w:r>
      <w:r w:rsidR="0065187E" w:rsidRPr="000C627D">
        <w:t xml:space="preserve"> </w:t>
      </w:r>
      <w:r w:rsidR="008D287C" w:rsidRPr="000C627D">
        <w:t>purposes</w:t>
      </w:r>
      <w:r w:rsidRPr="000C627D">
        <w:t>; and</w:t>
      </w:r>
    </w:p>
    <w:p w:rsidR="0091354E" w:rsidRPr="000C627D" w:rsidRDefault="0091354E" w:rsidP="0091354E">
      <w:pPr>
        <w:pStyle w:val="paragraphsub"/>
      </w:pPr>
      <w:r w:rsidRPr="000C627D">
        <w:tab/>
        <w:t>(ii)</w:t>
      </w:r>
      <w:r w:rsidRPr="000C627D">
        <w:tab/>
        <w:t>ha</w:t>
      </w:r>
      <w:r w:rsidR="0042718F" w:rsidRPr="000C627D">
        <w:t>ve</w:t>
      </w:r>
      <w:r w:rsidR="00513EED" w:rsidRPr="000C627D">
        <w:t xml:space="preserve"> </w:t>
      </w:r>
      <w:r w:rsidRPr="000C627D">
        <w:t xml:space="preserve">no suitable </w:t>
      </w:r>
      <w:r w:rsidR="00427CC3" w:rsidRPr="000C627D">
        <w:t>a</w:t>
      </w:r>
      <w:r w:rsidRPr="000C627D">
        <w:t>lternative;</w:t>
      </w:r>
    </w:p>
    <w:p w:rsidR="0091354E" w:rsidRPr="000C627D" w:rsidRDefault="0091354E" w:rsidP="0091354E">
      <w:pPr>
        <w:pStyle w:val="paragraph"/>
      </w:pPr>
      <w:r w:rsidRPr="000C627D">
        <w:tab/>
        <w:t>(e)</w:t>
      </w:r>
      <w:r w:rsidRPr="000C627D">
        <w:tab/>
        <w:t>the product</w:t>
      </w:r>
      <w:r w:rsidR="0042718F" w:rsidRPr="000C627D">
        <w:t xml:space="preserve"> or products</w:t>
      </w:r>
      <w:r w:rsidRPr="000C627D">
        <w:t>:</w:t>
      </w:r>
    </w:p>
    <w:p w:rsidR="0091354E" w:rsidRPr="000C627D" w:rsidRDefault="0091354E" w:rsidP="0091354E">
      <w:pPr>
        <w:pStyle w:val="paragraphsub"/>
      </w:pPr>
      <w:r w:rsidRPr="000C627D">
        <w:tab/>
        <w:t>(</w:t>
      </w:r>
      <w:proofErr w:type="spellStart"/>
      <w:r w:rsidRPr="000C627D">
        <w:t>i</w:t>
      </w:r>
      <w:proofErr w:type="spellEnd"/>
      <w:r w:rsidRPr="000C627D">
        <w:t>)</w:t>
      </w:r>
      <w:r w:rsidRPr="000C627D">
        <w:tab/>
      </w:r>
      <w:r w:rsidR="006950CD" w:rsidRPr="000C627D">
        <w:t xml:space="preserve">will </w:t>
      </w:r>
      <w:r w:rsidR="00D41B69" w:rsidRPr="000C627D">
        <w:t>be used only</w:t>
      </w:r>
      <w:r w:rsidRPr="000C627D">
        <w:t xml:space="preserve"> in organised competition</w:t>
      </w:r>
      <w:r w:rsidR="00056172" w:rsidRPr="000C627D">
        <w:t xml:space="preserve"> (see </w:t>
      </w:r>
      <w:r w:rsidR="000C627D" w:rsidRPr="000C627D">
        <w:t>subsection (</w:t>
      </w:r>
      <w:r w:rsidR="00056172" w:rsidRPr="000C627D">
        <w:t>5))</w:t>
      </w:r>
      <w:r w:rsidRPr="000C627D">
        <w:t>; and</w:t>
      </w:r>
    </w:p>
    <w:p w:rsidR="0091354E" w:rsidRPr="000C627D" w:rsidRDefault="0091354E" w:rsidP="0091354E">
      <w:pPr>
        <w:pStyle w:val="paragraphsub"/>
      </w:pPr>
      <w:r w:rsidRPr="000C627D">
        <w:tab/>
        <w:t>(ii)</w:t>
      </w:r>
      <w:r w:rsidRPr="000C627D">
        <w:tab/>
        <w:t>ha</w:t>
      </w:r>
      <w:r w:rsidR="0042718F" w:rsidRPr="000C627D">
        <w:t>ve</w:t>
      </w:r>
      <w:r w:rsidRPr="000C627D">
        <w:t xml:space="preserve"> no suitable alternative;</w:t>
      </w:r>
    </w:p>
    <w:p w:rsidR="00056172" w:rsidRPr="000C627D" w:rsidRDefault="0091354E" w:rsidP="00AA3BB9">
      <w:pPr>
        <w:pStyle w:val="paragraph"/>
      </w:pPr>
      <w:r w:rsidRPr="000C627D">
        <w:tab/>
        <w:t>(</w:t>
      </w:r>
      <w:r w:rsidR="00BC1DF5" w:rsidRPr="000C627D">
        <w:t>f</w:t>
      </w:r>
      <w:r w:rsidRPr="000C627D">
        <w:t>)</w:t>
      </w:r>
      <w:r w:rsidRPr="000C627D">
        <w:tab/>
        <w:t>the product</w:t>
      </w:r>
      <w:r w:rsidR="0042718F" w:rsidRPr="000C627D">
        <w:t xml:space="preserve"> or products</w:t>
      </w:r>
      <w:r w:rsidR="00056172" w:rsidRPr="000C627D">
        <w:t>:</w:t>
      </w:r>
    </w:p>
    <w:p w:rsidR="00D41B69" w:rsidRPr="000C627D" w:rsidRDefault="00D41B69" w:rsidP="00D41B69">
      <w:pPr>
        <w:pStyle w:val="paragraphsub"/>
      </w:pPr>
      <w:r w:rsidRPr="000C627D">
        <w:tab/>
        <w:t>(</w:t>
      </w:r>
      <w:proofErr w:type="spellStart"/>
      <w:r w:rsidRPr="000C627D">
        <w:t>i</w:t>
      </w:r>
      <w:proofErr w:type="spellEnd"/>
      <w:r w:rsidRPr="000C627D">
        <w:t>)</w:t>
      </w:r>
      <w:r w:rsidRPr="000C627D">
        <w:tab/>
        <w:t>are engines</w:t>
      </w:r>
      <w:r w:rsidR="00A6426E" w:rsidRPr="000C627D">
        <w:t>;</w:t>
      </w:r>
      <w:r w:rsidRPr="000C627D">
        <w:t xml:space="preserve"> and</w:t>
      </w:r>
    </w:p>
    <w:p w:rsidR="00056172" w:rsidRPr="000C627D" w:rsidRDefault="00056172" w:rsidP="00056172">
      <w:pPr>
        <w:pStyle w:val="paragraphsub"/>
      </w:pPr>
      <w:r w:rsidRPr="000C627D">
        <w:tab/>
        <w:t>(</w:t>
      </w:r>
      <w:r w:rsidR="00D41B69" w:rsidRPr="000C627D">
        <w:t>i</w:t>
      </w:r>
      <w:r w:rsidRPr="000C627D">
        <w:t>i)</w:t>
      </w:r>
      <w:r w:rsidRPr="000C627D">
        <w:tab/>
      </w:r>
      <w:r w:rsidR="006950CD" w:rsidRPr="000C627D">
        <w:t xml:space="preserve">will </w:t>
      </w:r>
      <w:r w:rsidR="0091354E" w:rsidRPr="000C627D">
        <w:t>be used only as replacement</w:t>
      </w:r>
      <w:r w:rsidR="0042718F" w:rsidRPr="000C627D">
        <w:t>s</w:t>
      </w:r>
      <w:r w:rsidR="0091354E" w:rsidRPr="000C627D">
        <w:t xml:space="preserve"> </w:t>
      </w:r>
      <w:r w:rsidR="00E039CE" w:rsidRPr="000C627D">
        <w:t>of</w:t>
      </w:r>
      <w:r w:rsidRPr="000C627D">
        <w:t xml:space="preserve"> </w:t>
      </w:r>
      <w:r w:rsidR="00D41B69" w:rsidRPr="000C627D">
        <w:t>un</w:t>
      </w:r>
      <w:r w:rsidRPr="000C627D">
        <w:t>certified</w:t>
      </w:r>
      <w:r w:rsidR="00E039CE" w:rsidRPr="000C627D">
        <w:t xml:space="preserve">, </w:t>
      </w:r>
      <w:r w:rsidR="00D81BF7" w:rsidRPr="000C627D">
        <w:t>unserviceable</w:t>
      </w:r>
      <w:r w:rsidRPr="000C627D">
        <w:t xml:space="preserve"> </w:t>
      </w:r>
      <w:r w:rsidR="00D41B69" w:rsidRPr="000C627D">
        <w:t>engines</w:t>
      </w:r>
      <w:r w:rsidRPr="000C627D">
        <w:t xml:space="preserve"> (see </w:t>
      </w:r>
      <w:r w:rsidR="000C627D" w:rsidRPr="000C627D">
        <w:t>subsection (</w:t>
      </w:r>
      <w:r w:rsidRPr="000C627D">
        <w:t>6)); and</w:t>
      </w:r>
    </w:p>
    <w:p w:rsidR="0091354E" w:rsidRPr="000C627D" w:rsidRDefault="00056172" w:rsidP="00056172">
      <w:pPr>
        <w:pStyle w:val="paragraphsub"/>
      </w:pPr>
      <w:r w:rsidRPr="000C627D">
        <w:tab/>
        <w:t>(i</w:t>
      </w:r>
      <w:r w:rsidR="00D41B69" w:rsidRPr="000C627D">
        <w:t>i</w:t>
      </w:r>
      <w:r w:rsidRPr="000C627D">
        <w:t>i)</w:t>
      </w:r>
      <w:r w:rsidRPr="000C627D">
        <w:tab/>
      </w:r>
      <w:r w:rsidR="00AA3BB9" w:rsidRPr="000C627D">
        <w:t xml:space="preserve">have </w:t>
      </w:r>
      <w:r w:rsidR="0091354E" w:rsidRPr="000C627D">
        <w:t>no suitable alternative</w:t>
      </w:r>
      <w:r w:rsidR="00513EED" w:rsidRPr="000C627D">
        <w:t>.</w:t>
      </w:r>
    </w:p>
    <w:p w:rsidR="003F2827" w:rsidRPr="000C627D" w:rsidRDefault="0091354E" w:rsidP="0091354E">
      <w:pPr>
        <w:pStyle w:val="subsection"/>
      </w:pPr>
      <w:r w:rsidRPr="000C627D">
        <w:tab/>
        <w:t>(2)</w:t>
      </w:r>
      <w:r w:rsidRPr="000C627D">
        <w:tab/>
        <w:t xml:space="preserve">A </w:t>
      </w:r>
      <w:r w:rsidRPr="000C627D">
        <w:rPr>
          <w:b/>
          <w:i/>
        </w:rPr>
        <w:t>suitable alternative</w:t>
      </w:r>
      <w:r w:rsidRPr="000C627D">
        <w:t xml:space="preserve"> </w:t>
      </w:r>
      <w:r w:rsidR="0023004F" w:rsidRPr="000C627D">
        <w:t>for</w:t>
      </w:r>
      <w:r w:rsidR="00935642" w:rsidRPr="000C627D">
        <w:t xml:space="preserve"> an emissions</w:t>
      </w:r>
      <w:r w:rsidR="000C627D">
        <w:noBreakHyphen/>
      </w:r>
      <w:r w:rsidR="00935642" w:rsidRPr="000C627D">
        <w:t>controlled product is a product that</w:t>
      </w:r>
      <w:r w:rsidR="003F2827" w:rsidRPr="000C627D">
        <w:t>:</w:t>
      </w:r>
    </w:p>
    <w:p w:rsidR="00935642" w:rsidRPr="000C627D" w:rsidRDefault="00935642" w:rsidP="00935642">
      <w:pPr>
        <w:pStyle w:val="paragraph"/>
      </w:pPr>
      <w:r w:rsidRPr="000C627D">
        <w:tab/>
        <w:t>(a)</w:t>
      </w:r>
      <w:r w:rsidRPr="000C627D">
        <w:tab/>
        <w:t>would be suitable for the use to which the emissions</w:t>
      </w:r>
      <w:r w:rsidR="000C627D">
        <w:noBreakHyphen/>
      </w:r>
      <w:r w:rsidRPr="000C627D">
        <w:t xml:space="preserve">controlled product </w:t>
      </w:r>
      <w:r w:rsidR="006950CD" w:rsidRPr="000C627D">
        <w:t xml:space="preserve">will be </w:t>
      </w:r>
      <w:r w:rsidRPr="000C627D">
        <w:t>put; and</w:t>
      </w:r>
    </w:p>
    <w:p w:rsidR="00935642" w:rsidRPr="000C627D" w:rsidRDefault="00935642" w:rsidP="00935642">
      <w:pPr>
        <w:pStyle w:val="paragraph"/>
      </w:pPr>
      <w:r w:rsidRPr="000C627D">
        <w:tab/>
        <w:t>(b)</w:t>
      </w:r>
      <w:r w:rsidRPr="000C627D">
        <w:tab/>
        <w:t>is available; and</w:t>
      </w:r>
    </w:p>
    <w:p w:rsidR="003F2827" w:rsidRPr="000C627D" w:rsidRDefault="00935642" w:rsidP="00935642">
      <w:pPr>
        <w:pStyle w:val="paragraph"/>
      </w:pPr>
      <w:r w:rsidRPr="000C627D">
        <w:tab/>
        <w:t>(c)</w:t>
      </w:r>
      <w:r w:rsidRPr="000C627D">
        <w:tab/>
        <w:t>if the product is an emissions</w:t>
      </w:r>
      <w:r w:rsidR="000C627D">
        <w:noBreakHyphen/>
      </w:r>
      <w:r w:rsidRPr="000C627D">
        <w:t xml:space="preserve">controlled product—is </w:t>
      </w:r>
      <w:r w:rsidR="003F2827" w:rsidRPr="000C627D">
        <w:t>Australian certified</w:t>
      </w:r>
      <w:r w:rsidRPr="000C627D">
        <w:t xml:space="preserve"> or </w:t>
      </w:r>
      <w:r w:rsidR="003F2827" w:rsidRPr="000C627D">
        <w:t>foreign certified</w:t>
      </w:r>
      <w:r w:rsidRPr="000C627D">
        <w:t>.</w:t>
      </w:r>
    </w:p>
    <w:p w:rsidR="001169DB" w:rsidRPr="000C627D" w:rsidRDefault="001169DB" w:rsidP="001169DB">
      <w:pPr>
        <w:pStyle w:val="subsection"/>
      </w:pPr>
      <w:r w:rsidRPr="000C627D">
        <w:tab/>
        <w:t>(</w:t>
      </w:r>
      <w:r w:rsidR="0042718F" w:rsidRPr="000C627D">
        <w:t>3</w:t>
      </w:r>
      <w:r w:rsidRPr="000C627D">
        <w:t>)</w:t>
      </w:r>
      <w:r w:rsidRPr="000C627D">
        <w:tab/>
        <w:t xml:space="preserve">For the purposes of </w:t>
      </w:r>
      <w:r w:rsidR="000C627D" w:rsidRPr="000C627D">
        <w:t>paragraph (</w:t>
      </w:r>
      <w:r w:rsidRPr="000C627D">
        <w:t>2)(</w:t>
      </w:r>
      <w:r w:rsidR="00935642" w:rsidRPr="000C627D">
        <w:t>a</w:t>
      </w:r>
      <w:r w:rsidR="00BD272C" w:rsidRPr="000C627D">
        <w:t>), in determining whether the</w:t>
      </w:r>
      <w:r w:rsidRPr="000C627D">
        <w:t xml:space="preserve"> product would be suitable, the cost of the product is not relevant.</w:t>
      </w:r>
    </w:p>
    <w:p w:rsidR="00240982" w:rsidRPr="000C627D" w:rsidRDefault="00240982" w:rsidP="00240982">
      <w:pPr>
        <w:pStyle w:val="subsection"/>
      </w:pPr>
      <w:r w:rsidRPr="000C627D">
        <w:tab/>
        <w:t>(</w:t>
      </w:r>
      <w:r w:rsidR="0042718F" w:rsidRPr="000C627D">
        <w:t>4</w:t>
      </w:r>
      <w:r w:rsidRPr="000C627D">
        <w:t>)</w:t>
      </w:r>
      <w:r w:rsidRPr="000C627D">
        <w:tab/>
        <w:t xml:space="preserve">An </w:t>
      </w:r>
      <w:r w:rsidRPr="000C627D">
        <w:rPr>
          <w:b/>
          <w:i/>
        </w:rPr>
        <w:t>emergency services organisation</w:t>
      </w:r>
      <w:r w:rsidRPr="000C627D">
        <w:t xml:space="preserve"> is a body that:</w:t>
      </w:r>
    </w:p>
    <w:p w:rsidR="00A5285B" w:rsidRPr="000C627D" w:rsidRDefault="00240982" w:rsidP="00240982">
      <w:pPr>
        <w:pStyle w:val="paragraph"/>
      </w:pPr>
      <w:r w:rsidRPr="000C627D">
        <w:tab/>
        <w:t>(a)</w:t>
      </w:r>
      <w:r w:rsidRPr="000C627D">
        <w:tab/>
        <w:t>is, or is part of a body that is</w:t>
      </w:r>
      <w:r w:rsidR="00A5285B" w:rsidRPr="000C627D">
        <w:t>:</w:t>
      </w:r>
    </w:p>
    <w:p w:rsidR="00240982" w:rsidRPr="000C627D" w:rsidRDefault="00A5285B" w:rsidP="00A5285B">
      <w:pPr>
        <w:pStyle w:val="paragraphsub"/>
      </w:pPr>
      <w:r w:rsidRPr="000C627D">
        <w:tab/>
        <w:t>(</w:t>
      </w:r>
      <w:proofErr w:type="spellStart"/>
      <w:r w:rsidRPr="000C627D">
        <w:t>i</w:t>
      </w:r>
      <w:proofErr w:type="spellEnd"/>
      <w:r w:rsidRPr="000C627D">
        <w:t>)</w:t>
      </w:r>
      <w:r w:rsidRPr="000C627D">
        <w:tab/>
      </w:r>
      <w:r w:rsidR="00240982" w:rsidRPr="000C627D">
        <w:t>established for a public purpose by or under a law of the Commonwealth, o</w:t>
      </w:r>
      <w:r w:rsidRPr="000C627D">
        <w:t>f a State or of a Territory; or</w:t>
      </w:r>
    </w:p>
    <w:p w:rsidR="00A5285B" w:rsidRPr="000C627D" w:rsidRDefault="00A5285B" w:rsidP="00A5285B">
      <w:pPr>
        <w:pStyle w:val="paragraphsub"/>
      </w:pPr>
      <w:r w:rsidRPr="000C627D">
        <w:tab/>
        <w:t>(ii)</w:t>
      </w:r>
      <w:r w:rsidRPr="000C627D">
        <w:tab/>
        <w:t>a registered charity; and</w:t>
      </w:r>
    </w:p>
    <w:p w:rsidR="00240982" w:rsidRPr="000C627D" w:rsidRDefault="00240982" w:rsidP="00240982">
      <w:pPr>
        <w:pStyle w:val="paragraph"/>
      </w:pPr>
      <w:r w:rsidRPr="000C627D">
        <w:tab/>
        <w:t>(b)</w:t>
      </w:r>
      <w:r w:rsidRPr="000C627D">
        <w:tab/>
        <w:t>is any of the following</w:t>
      </w:r>
      <w:r w:rsidR="00AA0BC7" w:rsidRPr="000C627D">
        <w:t>:</w:t>
      </w:r>
    </w:p>
    <w:p w:rsidR="00240982" w:rsidRPr="000C627D" w:rsidRDefault="00240982" w:rsidP="00240982">
      <w:pPr>
        <w:pStyle w:val="paragraphsub"/>
      </w:pPr>
      <w:r w:rsidRPr="000C627D">
        <w:tab/>
        <w:t>(</w:t>
      </w:r>
      <w:proofErr w:type="spellStart"/>
      <w:r w:rsidRPr="000C627D">
        <w:t>i</w:t>
      </w:r>
      <w:proofErr w:type="spellEnd"/>
      <w:r w:rsidRPr="000C627D">
        <w:t>)</w:t>
      </w:r>
      <w:r w:rsidRPr="000C627D">
        <w:tab/>
        <w:t>a police force or service;</w:t>
      </w:r>
    </w:p>
    <w:p w:rsidR="00240982" w:rsidRPr="000C627D" w:rsidRDefault="00240982" w:rsidP="00240982">
      <w:pPr>
        <w:pStyle w:val="paragraphsub"/>
      </w:pPr>
      <w:r w:rsidRPr="000C627D">
        <w:tab/>
        <w:t>(ii)</w:t>
      </w:r>
      <w:r w:rsidRPr="000C627D">
        <w:tab/>
        <w:t>a fire service;</w:t>
      </w:r>
    </w:p>
    <w:p w:rsidR="00240982" w:rsidRPr="000C627D" w:rsidRDefault="00240982" w:rsidP="00240982">
      <w:pPr>
        <w:pStyle w:val="paragraphsub"/>
      </w:pPr>
      <w:r w:rsidRPr="000C627D">
        <w:tab/>
        <w:t>(iii)</w:t>
      </w:r>
      <w:r w:rsidRPr="000C627D">
        <w:tab/>
        <w:t>an ambulance service;</w:t>
      </w:r>
    </w:p>
    <w:p w:rsidR="00240982" w:rsidRPr="000C627D" w:rsidRDefault="00240982" w:rsidP="00240982">
      <w:pPr>
        <w:pStyle w:val="paragraphsub"/>
      </w:pPr>
      <w:r w:rsidRPr="000C627D">
        <w:tab/>
        <w:t>(iv)</w:t>
      </w:r>
      <w:r w:rsidRPr="000C627D">
        <w:tab/>
        <w:t>a coast guard service, rescue service</w:t>
      </w:r>
      <w:r w:rsidR="00A5285B" w:rsidRPr="000C627D">
        <w:t xml:space="preserve"> or emergency service;</w:t>
      </w:r>
    </w:p>
    <w:p w:rsidR="00A5285B" w:rsidRPr="000C627D" w:rsidRDefault="00A5285B" w:rsidP="00A5285B">
      <w:pPr>
        <w:pStyle w:val="paragraphsub"/>
      </w:pPr>
      <w:r w:rsidRPr="000C627D">
        <w:tab/>
        <w:t>(v)</w:t>
      </w:r>
      <w:r w:rsidRPr="000C627D">
        <w:tab/>
        <w:t>a surf lifesaving organisation</w:t>
      </w:r>
      <w:r w:rsidR="006D26B1" w:rsidRPr="000C627D">
        <w:t>.</w:t>
      </w:r>
    </w:p>
    <w:p w:rsidR="003F1953" w:rsidRPr="000C627D" w:rsidRDefault="0091354E" w:rsidP="00240982">
      <w:pPr>
        <w:pStyle w:val="subsection"/>
      </w:pPr>
      <w:r w:rsidRPr="000C627D">
        <w:tab/>
        <w:t>(</w:t>
      </w:r>
      <w:r w:rsidR="0042718F" w:rsidRPr="000C627D">
        <w:t>5</w:t>
      </w:r>
      <w:r w:rsidR="00240982" w:rsidRPr="000C627D">
        <w:t>)</w:t>
      </w:r>
      <w:r w:rsidR="00240982" w:rsidRPr="000C627D">
        <w:tab/>
        <w:t xml:space="preserve">An </w:t>
      </w:r>
      <w:r w:rsidR="00240982" w:rsidRPr="000C627D">
        <w:rPr>
          <w:b/>
          <w:i/>
        </w:rPr>
        <w:t>organised competition</w:t>
      </w:r>
      <w:r w:rsidR="00240982" w:rsidRPr="000C627D">
        <w:t xml:space="preserve"> is a competition that</w:t>
      </w:r>
      <w:r w:rsidR="003F1953" w:rsidRPr="000C627D">
        <w:t>:</w:t>
      </w:r>
    </w:p>
    <w:p w:rsidR="003F1953" w:rsidRPr="000C627D" w:rsidRDefault="003F1953" w:rsidP="003F1953">
      <w:pPr>
        <w:pStyle w:val="paragraph"/>
      </w:pPr>
      <w:r w:rsidRPr="000C627D">
        <w:tab/>
        <w:t>(a)</w:t>
      </w:r>
      <w:r w:rsidRPr="000C627D">
        <w:tab/>
        <w:t>consists of a race or a series of races; and</w:t>
      </w:r>
    </w:p>
    <w:p w:rsidR="00240982" w:rsidRPr="000C627D" w:rsidRDefault="003F1953" w:rsidP="003F1953">
      <w:pPr>
        <w:pStyle w:val="paragraph"/>
      </w:pPr>
      <w:r w:rsidRPr="000C627D">
        <w:tab/>
        <w:t>(b)</w:t>
      </w:r>
      <w:r w:rsidRPr="000C627D">
        <w:tab/>
      </w:r>
      <w:r w:rsidR="00A5285B" w:rsidRPr="000C627D">
        <w:t>is managed and run</w:t>
      </w:r>
      <w:r w:rsidR="00240982" w:rsidRPr="000C627D">
        <w:t>:</w:t>
      </w:r>
    </w:p>
    <w:p w:rsidR="00240982" w:rsidRPr="000C627D" w:rsidRDefault="00240982" w:rsidP="003F1953">
      <w:pPr>
        <w:pStyle w:val="paragraphsub"/>
      </w:pPr>
      <w:r w:rsidRPr="000C627D">
        <w:tab/>
        <w:t>(</w:t>
      </w:r>
      <w:proofErr w:type="spellStart"/>
      <w:r w:rsidR="003F1953" w:rsidRPr="000C627D">
        <w:t>i</w:t>
      </w:r>
      <w:proofErr w:type="spellEnd"/>
      <w:r w:rsidRPr="000C627D">
        <w:t>)</w:t>
      </w:r>
      <w:r w:rsidRPr="000C627D">
        <w:tab/>
        <w:t>by an organisation that has restricted or licensed membership; and</w:t>
      </w:r>
    </w:p>
    <w:p w:rsidR="00240982" w:rsidRPr="000C627D" w:rsidRDefault="003F1953" w:rsidP="003F1953">
      <w:pPr>
        <w:pStyle w:val="paragraphsub"/>
      </w:pPr>
      <w:r w:rsidRPr="000C627D">
        <w:tab/>
        <w:t>(ii</w:t>
      </w:r>
      <w:r w:rsidR="00240982" w:rsidRPr="000C627D">
        <w:t>)</w:t>
      </w:r>
      <w:r w:rsidR="00240982" w:rsidRPr="000C627D">
        <w:tab/>
      </w:r>
      <w:r w:rsidR="00A5285B" w:rsidRPr="000C627D">
        <w:t xml:space="preserve">in accordance with </w:t>
      </w:r>
      <w:r w:rsidR="00240982" w:rsidRPr="000C627D">
        <w:t>published rules and a published schedule.</w:t>
      </w:r>
    </w:p>
    <w:p w:rsidR="00394A7C" w:rsidRPr="000C627D" w:rsidRDefault="00056172" w:rsidP="00056172">
      <w:pPr>
        <w:pStyle w:val="subsection"/>
      </w:pPr>
      <w:r w:rsidRPr="000C627D">
        <w:tab/>
        <w:t>(6)</w:t>
      </w:r>
      <w:r w:rsidRPr="000C627D">
        <w:tab/>
        <w:t xml:space="preserve">An </w:t>
      </w:r>
      <w:r w:rsidRPr="000C627D">
        <w:rPr>
          <w:b/>
          <w:i/>
        </w:rPr>
        <w:t>uncertified</w:t>
      </w:r>
      <w:r w:rsidR="00E039CE" w:rsidRPr="000C627D">
        <w:rPr>
          <w:b/>
          <w:i/>
        </w:rPr>
        <w:t xml:space="preserve">, </w:t>
      </w:r>
      <w:r w:rsidR="00D81BF7" w:rsidRPr="000C627D">
        <w:rPr>
          <w:b/>
          <w:i/>
        </w:rPr>
        <w:t>unserviceable</w:t>
      </w:r>
      <w:r w:rsidRPr="000C627D">
        <w:rPr>
          <w:b/>
          <w:i/>
        </w:rPr>
        <w:t xml:space="preserve"> </w:t>
      </w:r>
      <w:r w:rsidR="00D41B69" w:rsidRPr="000C627D">
        <w:rPr>
          <w:b/>
          <w:i/>
        </w:rPr>
        <w:t>engine</w:t>
      </w:r>
      <w:r w:rsidRPr="000C627D">
        <w:t xml:space="preserve"> is an </w:t>
      </w:r>
      <w:r w:rsidR="00394A7C" w:rsidRPr="000C627D">
        <w:t>engine that:</w:t>
      </w:r>
    </w:p>
    <w:p w:rsidR="00D41B69" w:rsidRPr="000C627D" w:rsidRDefault="00394A7C" w:rsidP="00D41B69">
      <w:pPr>
        <w:pStyle w:val="paragraph"/>
      </w:pPr>
      <w:r w:rsidRPr="000C627D">
        <w:tab/>
        <w:t>(a)</w:t>
      </w:r>
      <w:r w:rsidRPr="000C627D">
        <w:tab/>
        <w:t xml:space="preserve">is an </w:t>
      </w:r>
      <w:r w:rsidR="00056172" w:rsidRPr="000C627D">
        <w:t>emissions</w:t>
      </w:r>
      <w:r w:rsidR="000C627D">
        <w:noBreakHyphen/>
      </w:r>
      <w:r w:rsidR="00056172" w:rsidRPr="000C627D">
        <w:t>controlled product</w:t>
      </w:r>
      <w:r w:rsidR="00D41B69" w:rsidRPr="000C627D">
        <w:t>; and</w:t>
      </w:r>
    </w:p>
    <w:p w:rsidR="00056172" w:rsidRPr="000C627D" w:rsidRDefault="00056172" w:rsidP="00056172">
      <w:pPr>
        <w:pStyle w:val="paragraph"/>
      </w:pPr>
      <w:r w:rsidRPr="000C627D">
        <w:tab/>
        <w:t>(</w:t>
      </w:r>
      <w:r w:rsidR="00D41B69" w:rsidRPr="000C627D">
        <w:t>b</w:t>
      </w:r>
      <w:r w:rsidRPr="000C627D">
        <w:t>)</w:t>
      </w:r>
      <w:r w:rsidRPr="000C627D">
        <w:tab/>
        <w:t>was last supplied before 1</w:t>
      </w:r>
      <w:r w:rsidR="000C627D" w:rsidRPr="000C627D">
        <w:t> </w:t>
      </w:r>
      <w:r w:rsidRPr="000C627D">
        <w:t>July 2019; and</w:t>
      </w:r>
    </w:p>
    <w:p w:rsidR="00056172" w:rsidRPr="000C627D" w:rsidRDefault="00D41B69" w:rsidP="00056172">
      <w:pPr>
        <w:pStyle w:val="paragraph"/>
      </w:pPr>
      <w:r w:rsidRPr="000C627D">
        <w:tab/>
        <w:t>(c</w:t>
      </w:r>
      <w:r w:rsidR="00056172" w:rsidRPr="000C627D">
        <w:t>)</w:t>
      </w:r>
      <w:r w:rsidR="00056172" w:rsidRPr="000C627D">
        <w:tab/>
        <w:t>is not Australian certified or foreign certified</w:t>
      </w:r>
      <w:r w:rsidR="00C04090" w:rsidRPr="000C627D">
        <w:t>;</w:t>
      </w:r>
      <w:r w:rsidR="00056172" w:rsidRPr="000C627D">
        <w:t xml:space="preserve"> and</w:t>
      </w:r>
    </w:p>
    <w:p w:rsidR="00056172" w:rsidRPr="000C627D" w:rsidRDefault="00D41B69" w:rsidP="00056172">
      <w:pPr>
        <w:pStyle w:val="paragraph"/>
      </w:pPr>
      <w:r w:rsidRPr="000C627D">
        <w:tab/>
        <w:t>(d</w:t>
      </w:r>
      <w:r w:rsidR="00056172" w:rsidRPr="000C627D">
        <w:t>)</w:t>
      </w:r>
      <w:r w:rsidR="00056172" w:rsidRPr="000C627D">
        <w:tab/>
        <w:t>has failed or become unserviceable.</w:t>
      </w:r>
    </w:p>
    <w:p w:rsidR="00A805E0" w:rsidRPr="000C627D" w:rsidRDefault="006E7CE6" w:rsidP="00A805E0">
      <w:pPr>
        <w:pStyle w:val="ActHead5"/>
      </w:pPr>
      <w:bookmarkStart w:id="44" w:name="_Toc500512586"/>
      <w:r w:rsidRPr="000C627D">
        <w:rPr>
          <w:rStyle w:val="CharSectno"/>
        </w:rPr>
        <w:t>31</w:t>
      </w:r>
      <w:r w:rsidR="00A805E0" w:rsidRPr="000C627D">
        <w:t xml:space="preserve">  Request for further information</w:t>
      </w:r>
      <w:bookmarkEnd w:id="44"/>
    </w:p>
    <w:p w:rsidR="00A805E0" w:rsidRPr="000C627D" w:rsidRDefault="00A805E0" w:rsidP="00A805E0">
      <w:pPr>
        <w:pStyle w:val="subsection"/>
      </w:pPr>
      <w:r w:rsidRPr="000C627D">
        <w:tab/>
      </w:r>
      <w:r w:rsidRPr="000C627D">
        <w:tab/>
        <w:t xml:space="preserve">The Secretary may, within 60 days after </w:t>
      </w:r>
      <w:r w:rsidR="0042718F" w:rsidRPr="000C627D">
        <w:t xml:space="preserve">receiving </w:t>
      </w:r>
      <w:r w:rsidRPr="000C627D">
        <w:t>an application under section</w:t>
      </w:r>
      <w:r w:rsidR="000C627D" w:rsidRPr="000C627D">
        <w:t> </w:t>
      </w:r>
      <w:r w:rsidR="006E7CE6" w:rsidRPr="000C627D">
        <w:t>29</w:t>
      </w:r>
      <w:r w:rsidRPr="000C627D">
        <w:t xml:space="preserve">, </w:t>
      </w:r>
      <w:r w:rsidR="006D0710" w:rsidRPr="000C627D">
        <w:t>request the applicant in writing to give to the S</w:t>
      </w:r>
      <w:r w:rsidRPr="000C627D">
        <w:t xml:space="preserve">ecretary </w:t>
      </w:r>
      <w:r w:rsidR="006D0710" w:rsidRPr="000C627D">
        <w:t xml:space="preserve">specified </w:t>
      </w:r>
      <w:r w:rsidRPr="000C627D">
        <w:t>information</w:t>
      </w:r>
      <w:r w:rsidR="006D0710" w:rsidRPr="000C627D">
        <w:t xml:space="preserve"> in relation</w:t>
      </w:r>
      <w:r w:rsidR="0083754A" w:rsidRPr="000C627D">
        <w:t xml:space="preserve"> to </w:t>
      </w:r>
      <w:r w:rsidR="006D0710" w:rsidRPr="000C627D">
        <w:t>the application</w:t>
      </w:r>
      <w:r w:rsidRPr="000C627D">
        <w:t>.</w:t>
      </w:r>
    </w:p>
    <w:p w:rsidR="000E2C5A" w:rsidRPr="000C627D" w:rsidRDefault="006E7CE6" w:rsidP="000E2C5A">
      <w:pPr>
        <w:pStyle w:val="ActHead5"/>
      </w:pPr>
      <w:bookmarkStart w:id="45" w:name="_Toc500512587"/>
      <w:r w:rsidRPr="000C627D">
        <w:rPr>
          <w:rStyle w:val="CharSectno"/>
        </w:rPr>
        <w:t>32</w:t>
      </w:r>
      <w:r w:rsidR="000E2C5A" w:rsidRPr="000C627D">
        <w:t xml:space="preserve">  Granting exemptions</w:t>
      </w:r>
      <w:bookmarkEnd w:id="45"/>
    </w:p>
    <w:p w:rsidR="000E2C5A" w:rsidRPr="000C627D" w:rsidRDefault="000E2C5A" w:rsidP="00551191">
      <w:pPr>
        <w:pStyle w:val="subsection"/>
      </w:pPr>
      <w:r w:rsidRPr="000C627D">
        <w:tab/>
        <w:t>(1)</w:t>
      </w:r>
      <w:r w:rsidRPr="000C627D">
        <w:tab/>
        <w:t>After receiving, in accordance with section</w:t>
      </w:r>
      <w:r w:rsidR="000C627D" w:rsidRPr="000C627D">
        <w:t> </w:t>
      </w:r>
      <w:r w:rsidR="006E7CE6" w:rsidRPr="000C627D">
        <w:t>29</w:t>
      </w:r>
      <w:r w:rsidR="00551191" w:rsidRPr="000C627D">
        <w:t xml:space="preserve">, an application for an exemption from </w:t>
      </w:r>
      <w:r w:rsidR="002D4791" w:rsidRPr="000C627D">
        <w:t xml:space="preserve">a provision of </w:t>
      </w:r>
      <w:r w:rsidR="00551191" w:rsidRPr="000C627D">
        <w:t>Part</w:t>
      </w:r>
      <w:r w:rsidR="000C627D" w:rsidRPr="000C627D">
        <w:t> </w:t>
      </w:r>
      <w:r w:rsidR="00551191" w:rsidRPr="000C627D">
        <w:t>3</w:t>
      </w:r>
      <w:r w:rsidR="002D4791" w:rsidRPr="000C627D">
        <w:t xml:space="preserve"> or 4</w:t>
      </w:r>
      <w:r w:rsidR="00551191" w:rsidRPr="000C627D">
        <w:t xml:space="preserve"> of the Act, the </w:t>
      </w:r>
      <w:r w:rsidRPr="000C627D">
        <w:t>Secretary may:</w:t>
      </w:r>
    </w:p>
    <w:p w:rsidR="000E2C5A" w:rsidRPr="000C627D" w:rsidRDefault="000E2C5A" w:rsidP="003F75B5">
      <w:pPr>
        <w:pStyle w:val="paragraph"/>
      </w:pPr>
      <w:r w:rsidRPr="000C627D">
        <w:tab/>
        <w:t>(a)</w:t>
      </w:r>
      <w:r w:rsidRPr="000C627D">
        <w:tab/>
        <w:t xml:space="preserve">if </w:t>
      </w:r>
      <w:r w:rsidR="00186ED7" w:rsidRPr="000C627D">
        <w:t xml:space="preserve">the </w:t>
      </w:r>
      <w:r w:rsidRPr="000C627D">
        <w:t xml:space="preserve">Secretary is </w:t>
      </w:r>
      <w:r w:rsidR="0083754A" w:rsidRPr="000C627D">
        <w:t xml:space="preserve">reasonably </w:t>
      </w:r>
      <w:r w:rsidRPr="000C627D">
        <w:t xml:space="preserve">satisfied that the condition mentioned in </w:t>
      </w:r>
      <w:r w:rsidR="000C627D" w:rsidRPr="000C627D">
        <w:t>subsection (</w:t>
      </w:r>
      <w:r w:rsidRPr="000C627D">
        <w:t xml:space="preserve">2) of this section </w:t>
      </w:r>
      <w:r w:rsidR="0042718F" w:rsidRPr="000C627D">
        <w:t>is</w:t>
      </w:r>
      <w:r w:rsidRPr="000C627D">
        <w:t xml:space="preserve"> satisfied—grant the exemption</w:t>
      </w:r>
      <w:r w:rsidR="00FE7901" w:rsidRPr="000C627D">
        <w:t xml:space="preserve"> by</w:t>
      </w:r>
      <w:r w:rsidR="003F75B5" w:rsidRPr="000C627D">
        <w:t xml:space="preserve"> </w:t>
      </w:r>
      <w:r w:rsidR="003C411C" w:rsidRPr="000C627D">
        <w:t xml:space="preserve">notice in writing </w:t>
      </w:r>
      <w:r w:rsidR="00C00D44" w:rsidRPr="000C627D">
        <w:t>published on the Department</w:t>
      </w:r>
      <w:r w:rsidR="003C03C4" w:rsidRPr="000C627D">
        <w:t>’</w:t>
      </w:r>
      <w:r w:rsidR="00C00D44" w:rsidRPr="000C627D">
        <w:t>s website</w:t>
      </w:r>
      <w:r w:rsidRPr="000C627D">
        <w:t>; or</w:t>
      </w:r>
    </w:p>
    <w:p w:rsidR="000E2C5A" w:rsidRPr="000C627D" w:rsidRDefault="000E2C5A" w:rsidP="000E2C5A">
      <w:pPr>
        <w:pStyle w:val="paragraph"/>
      </w:pPr>
      <w:r w:rsidRPr="000C627D">
        <w:tab/>
        <w:t>(b)</w:t>
      </w:r>
      <w:r w:rsidRPr="000C627D">
        <w:tab/>
        <w:t>otherwise—refuse the application</w:t>
      </w:r>
      <w:r w:rsidR="009306D8" w:rsidRPr="000C627D">
        <w:t>, by notice in writing given to the applicant.</w:t>
      </w:r>
    </w:p>
    <w:p w:rsidR="00231FAD" w:rsidRPr="000C627D" w:rsidRDefault="000E2C5A" w:rsidP="001169DB">
      <w:pPr>
        <w:pStyle w:val="subsection"/>
      </w:pPr>
      <w:r w:rsidRPr="000C627D">
        <w:tab/>
        <w:t>(2)</w:t>
      </w:r>
      <w:r w:rsidRPr="000C627D">
        <w:tab/>
        <w:t xml:space="preserve">For the purposes of </w:t>
      </w:r>
      <w:r w:rsidR="000C627D" w:rsidRPr="000C627D">
        <w:t>paragraph (</w:t>
      </w:r>
      <w:r w:rsidRPr="000C627D">
        <w:t>1)(a), the condition</w:t>
      </w:r>
      <w:r w:rsidR="001169DB" w:rsidRPr="000C627D">
        <w:t xml:space="preserve"> is that </w:t>
      </w:r>
      <w:r w:rsidR="00476A57" w:rsidRPr="000C627D">
        <w:t xml:space="preserve">the product or products </w:t>
      </w:r>
      <w:r w:rsidR="00231FAD" w:rsidRPr="000C627D">
        <w:t xml:space="preserve">to which the </w:t>
      </w:r>
      <w:r w:rsidR="0042718F" w:rsidRPr="000C627D">
        <w:t xml:space="preserve">application </w:t>
      </w:r>
      <w:r w:rsidR="00231FAD" w:rsidRPr="000C627D">
        <w:t>relates will be used or otherwise dealt with as mentioned in the exemption catego</w:t>
      </w:r>
      <w:r w:rsidR="00BC1DF5" w:rsidRPr="000C627D">
        <w:t>ry nominated in the application.</w:t>
      </w:r>
    </w:p>
    <w:p w:rsidR="004052B6" w:rsidRPr="000C627D" w:rsidRDefault="004052B6" w:rsidP="004052B6">
      <w:pPr>
        <w:pStyle w:val="subsection"/>
      </w:pPr>
      <w:r w:rsidRPr="000C627D">
        <w:tab/>
        <w:t>(</w:t>
      </w:r>
      <w:r w:rsidR="003F43AB" w:rsidRPr="000C627D">
        <w:t>3</w:t>
      </w:r>
      <w:r w:rsidRPr="000C627D">
        <w:t>)</w:t>
      </w:r>
      <w:r w:rsidRPr="000C627D">
        <w:tab/>
        <w:t xml:space="preserve">An exemption comes into force on the day specified by the Secretary in </w:t>
      </w:r>
      <w:r w:rsidR="00B81659" w:rsidRPr="000C627D">
        <w:t>the exemption</w:t>
      </w:r>
      <w:r w:rsidRPr="000C627D">
        <w:t>.</w:t>
      </w:r>
    </w:p>
    <w:p w:rsidR="00023C31" w:rsidRPr="000C627D" w:rsidRDefault="00023C31" w:rsidP="00023C31">
      <w:pPr>
        <w:pStyle w:val="subsection"/>
      </w:pPr>
      <w:r w:rsidRPr="000C627D">
        <w:tab/>
        <w:t>(</w:t>
      </w:r>
      <w:r w:rsidR="003F43AB" w:rsidRPr="000C627D">
        <w:t>4</w:t>
      </w:r>
      <w:r w:rsidRPr="000C627D">
        <w:t>)</w:t>
      </w:r>
      <w:r w:rsidRPr="000C627D">
        <w:tab/>
      </w:r>
      <w:r w:rsidR="00231FAD" w:rsidRPr="000C627D">
        <w:t>An</w:t>
      </w:r>
      <w:r w:rsidRPr="000C627D">
        <w:t xml:space="preserve"> exemption may</w:t>
      </w:r>
      <w:r w:rsidR="0083754A" w:rsidRPr="000C627D">
        <w:t xml:space="preserve"> be, but is not required to be, </w:t>
      </w:r>
      <w:r w:rsidRPr="000C627D">
        <w:t xml:space="preserve">expressed to remain in force until a specified date or </w:t>
      </w:r>
      <w:r w:rsidR="004052B6" w:rsidRPr="000C627D">
        <w:t xml:space="preserve">during </w:t>
      </w:r>
      <w:r w:rsidRPr="000C627D">
        <w:t>a specified period.</w:t>
      </w:r>
    </w:p>
    <w:p w:rsidR="006D20AF" w:rsidRPr="000C627D" w:rsidRDefault="006E7CE6" w:rsidP="006D20AF">
      <w:pPr>
        <w:pStyle w:val="ActHead5"/>
      </w:pPr>
      <w:bookmarkStart w:id="46" w:name="_Toc500512588"/>
      <w:r w:rsidRPr="000C627D">
        <w:rPr>
          <w:rStyle w:val="CharSectno"/>
        </w:rPr>
        <w:t>33</w:t>
      </w:r>
      <w:r w:rsidR="006D20AF" w:rsidRPr="000C627D">
        <w:t xml:space="preserve">  Deemed refusal if Secretary does not make decision within 60 days</w:t>
      </w:r>
      <w:bookmarkEnd w:id="46"/>
    </w:p>
    <w:p w:rsidR="006D20AF" w:rsidRPr="000C627D" w:rsidRDefault="006D20AF" w:rsidP="006D20AF">
      <w:pPr>
        <w:pStyle w:val="subsection"/>
      </w:pPr>
      <w:r w:rsidRPr="000C627D">
        <w:tab/>
        <w:t>(1)</w:t>
      </w:r>
      <w:r w:rsidRPr="000C627D">
        <w:tab/>
        <w:t>If:</w:t>
      </w:r>
    </w:p>
    <w:p w:rsidR="006D20AF" w:rsidRPr="000C627D" w:rsidRDefault="006D20AF" w:rsidP="006D20AF">
      <w:pPr>
        <w:pStyle w:val="paragraph"/>
      </w:pPr>
      <w:r w:rsidRPr="000C627D">
        <w:tab/>
        <w:t>(a)</w:t>
      </w:r>
      <w:r w:rsidRPr="000C627D">
        <w:tab/>
        <w:t>the Secretary receives an application for an exemption under section</w:t>
      </w:r>
      <w:r w:rsidR="000C627D" w:rsidRPr="000C627D">
        <w:t> </w:t>
      </w:r>
      <w:r w:rsidR="006E7CE6" w:rsidRPr="000C627D">
        <w:t>29</w:t>
      </w:r>
      <w:r w:rsidRPr="000C627D">
        <w:t>; and</w:t>
      </w:r>
    </w:p>
    <w:p w:rsidR="006D20AF" w:rsidRPr="000C627D" w:rsidRDefault="006D20AF" w:rsidP="006D20AF">
      <w:pPr>
        <w:pStyle w:val="paragraph"/>
      </w:pPr>
      <w:r w:rsidRPr="000C627D">
        <w:tab/>
        <w:t>(b)</w:t>
      </w:r>
      <w:r w:rsidRPr="000C627D">
        <w:tab/>
        <w:t>at the end of 60 days after the Secretary receives the application, the Secretary has not:</w:t>
      </w:r>
    </w:p>
    <w:p w:rsidR="006D20AF" w:rsidRPr="000C627D" w:rsidRDefault="006D20AF" w:rsidP="006D20AF">
      <w:pPr>
        <w:pStyle w:val="paragraphsub"/>
      </w:pPr>
      <w:r w:rsidRPr="000C627D">
        <w:tab/>
        <w:t>(</w:t>
      </w:r>
      <w:proofErr w:type="spellStart"/>
      <w:r w:rsidRPr="000C627D">
        <w:t>i</w:t>
      </w:r>
      <w:proofErr w:type="spellEnd"/>
      <w:r w:rsidRPr="000C627D">
        <w:t>)</w:t>
      </w:r>
      <w:r w:rsidRPr="000C627D">
        <w:tab/>
        <w:t>granted the exemption; or</w:t>
      </w:r>
    </w:p>
    <w:p w:rsidR="006D20AF" w:rsidRPr="000C627D" w:rsidRDefault="006D20AF" w:rsidP="006D20AF">
      <w:pPr>
        <w:pStyle w:val="paragraphsub"/>
      </w:pPr>
      <w:r w:rsidRPr="000C627D">
        <w:tab/>
        <w:t>(ii)</w:t>
      </w:r>
      <w:r w:rsidRPr="000C627D">
        <w:tab/>
        <w:t>refused the application; or</w:t>
      </w:r>
    </w:p>
    <w:p w:rsidR="006D20AF" w:rsidRPr="000C627D" w:rsidRDefault="006D20AF" w:rsidP="006D20AF">
      <w:pPr>
        <w:pStyle w:val="paragraphsub"/>
      </w:pPr>
      <w:r w:rsidRPr="000C627D">
        <w:tab/>
        <w:t>(iii)</w:t>
      </w:r>
      <w:r w:rsidRPr="000C627D">
        <w:tab/>
        <w:t>made a request under section</w:t>
      </w:r>
      <w:r w:rsidR="000C627D" w:rsidRPr="000C627D">
        <w:t> </w:t>
      </w:r>
      <w:r w:rsidR="006E7CE6" w:rsidRPr="000C627D">
        <w:t>31</w:t>
      </w:r>
      <w:r w:rsidRPr="000C627D">
        <w:t xml:space="preserve"> in relation to the application;</w:t>
      </w:r>
    </w:p>
    <w:p w:rsidR="006D20AF" w:rsidRPr="000C627D" w:rsidRDefault="006D20AF" w:rsidP="006D20AF">
      <w:pPr>
        <w:pStyle w:val="subsection2"/>
      </w:pPr>
      <w:r w:rsidRPr="000C627D">
        <w:t>the Secretary is taken, for the purposes of section</w:t>
      </w:r>
      <w:r w:rsidR="000C627D" w:rsidRPr="000C627D">
        <w:t> </w:t>
      </w:r>
      <w:r w:rsidR="006E7CE6" w:rsidRPr="000C627D">
        <w:t>50</w:t>
      </w:r>
      <w:r w:rsidRPr="000C627D">
        <w:t>, to have refused the application on the last of the 60 days.</w:t>
      </w:r>
    </w:p>
    <w:p w:rsidR="006D20AF" w:rsidRPr="000C627D" w:rsidRDefault="006D20AF" w:rsidP="006D20AF">
      <w:pPr>
        <w:pStyle w:val="subsection"/>
      </w:pPr>
      <w:r w:rsidRPr="000C627D">
        <w:tab/>
        <w:t>(2)</w:t>
      </w:r>
      <w:r w:rsidRPr="000C627D">
        <w:tab/>
        <w:t>If:</w:t>
      </w:r>
    </w:p>
    <w:p w:rsidR="006D20AF" w:rsidRPr="000C627D" w:rsidRDefault="006D20AF" w:rsidP="006D20AF">
      <w:pPr>
        <w:pStyle w:val="paragraph"/>
      </w:pPr>
      <w:r w:rsidRPr="000C627D">
        <w:tab/>
        <w:t>(a)</w:t>
      </w:r>
      <w:r w:rsidRPr="000C627D">
        <w:tab/>
        <w:t>the Secretary receives an application for an exemption under section</w:t>
      </w:r>
      <w:r w:rsidR="000C627D" w:rsidRPr="000C627D">
        <w:t> </w:t>
      </w:r>
      <w:r w:rsidR="006E7CE6" w:rsidRPr="000C627D">
        <w:t>29</w:t>
      </w:r>
      <w:r w:rsidRPr="000C627D">
        <w:t>; and</w:t>
      </w:r>
    </w:p>
    <w:p w:rsidR="006D20AF" w:rsidRPr="000C627D" w:rsidRDefault="006D20AF" w:rsidP="006D20AF">
      <w:pPr>
        <w:pStyle w:val="paragraph"/>
      </w:pPr>
      <w:r w:rsidRPr="000C627D">
        <w:tab/>
        <w:t>(b)</w:t>
      </w:r>
      <w:r w:rsidRPr="000C627D">
        <w:tab/>
        <w:t>the Secretary makes a request under section</w:t>
      </w:r>
      <w:r w:rsidR="000C627D" w:rsidRPr="000C627D">
        <w:t> </w:t>
      </w:r>
      <w:r w:rsidR="006E7CE6" w:rsidRPr="000C627D">
        <w:t>31</w:t>
      </w:r>
      <w:r w:rsidRPr="000C627D">
        <w:t xml:space="preserve"> for further information in relation to the application; and</w:t>
      </w:r>
    </w:p>
    <w:p w:rsidR="006D20AF" w:rsidRPr="000C627D" w:rsidRDefault="006D20AF" w:rsidP="006D20AF">
      <w:pPr>
        <w:pStyle w:val="paragraph"/>
      </w:pPr>
      <w:r w:rsidRPr="000C627D">
        <w:tab/>
        <w:t>(c)</w:t>
      </w:r>
      <w:r w:rsidRPr="000C627D">
        <w:tab/>
        <w:t xml:space="preserve">at the end of 60 days after the </w:t>
      </w:r>
      <w:r w:rsidR="00940549" w:rsidRPr="000C627D">
        <w:t xml:space="preserve">further </w:t>
      </w:r>
      <w:r w:rsidRPr="000C627D">
        <w:t>information is given to the Secretary, the Secretary has not:</w:t>
      </w:r>
    </w:p>
    <w:p w:rsidR="006D20AF" w:rsidRPr="000C627D" w:rsidRDefault="006D20AF" w:rsidP="006D20AF">
      <w:pPr>
        <w:pStyle w:val="paragraphsub"/>
      </w:pPr>
      <w:r w:rsidRPr="000C627D">
        <w:tab/>
        <w:t>(</w:t>
      </w:r>
      <w:proofErr w:type="spellStart"/>
      <w:r w:rsidRPr="000C627D">
        <w:t>i</w:t>
      </w:r>
      <w:proofErr w:type="spellEnd"/>
      <w:r w:rsidRPr="000C627D">
        <w:t>)</w:t>
      </w:r>
      <w:r w:rsidRPr="000C627D">
        <w:tab/>
        <w:t>granted the exemption; or</w:t>
      </w:r>
    </w:p>
    <w:p w:rsidR="006D20AF" w:rsidRPr="000C627D" w:rsidRDefault="006D20AF" w:rsidP="006D20AF">
      <w:pPr>
        <w:pStyle w:val="paragraphsub"/>
      </w:pPr>
      <w:r w:rsidRPr="000C627D">
        <w:tab/>
        <w:t>(ii)</w:t>
      </w:r>
      <w:r w:rsidRPr="000C627D">
        <w:tab/>
        <w:t>refused the application; or</w:t>
      </w:r>
    </w:p>
    <w:p w:rsidR="006D20AF" w:rsidRPr="000C627D" w:rsidRDefault="006D20AF" w:rsidP="006D20AF">
      <w:pPr>
        <w:pStyle w:val="paragraphsub"/>
      </w:pPr>
      <w:r w:rsidRPr="000C627D">
        <w:tab/>
        <w:t>(iii)</w:t>
      </w:r>
      <w:r w:rsidRPr="000C627D">
        <w:tab/>
        <w:t>made a further request under section</w:t>
      </w:r>
      <w:r w:rsidR="000C627D" w:rsidRPr="000C627D">
        <w:t> </w:t>
      </w:r>
      <w:r w:rsidR="006E7CE6" w:rsidRPr="000C627D">
        <w:t>31</w:t>
      </w:r>
      <w:r w:rsidRPr="000C627D">
        <w:t xml:space="preserve"> in relation to the application;</w:t>
      </w:r>
    </w:p>
    <w:p w:rsidR="006D20AF" w:rsidRPr="000C627D" w:rsidRDefault="006D20AF" w:rsidP="006D20AF">
      <w:pPr>
        <w:pStyle w:val="subsection2"/>
      </w:pPr>
      <w:r w:rsidRPr="000C627D">
        <w:t>the Secretary is taken, for the purposes of section</w:t>
      </w:r>
      <w:r w:rsidR="000C627D" w:rsidRPr="000C627D">
        <w:t> </w:t>
      </w:r>
      <w:r w:rsidR="006E7CE6" w:rsidRPr="000C627D">
        <w:t>50</w:t>
      </w:r>
      <w:r w:rsidRPr="000C627D">
        <w:t>, to have refused the application on the last of the 60 days.</w:t>
      </w:r>
    </w:p>
    <w:p w:rsidR="009F5C91" w:rsidRPr="000C627D" w:rsidRDefault="009F5C91" w:rsidP="009F5C91">
      <w:pPr>
        <w:pStyle w:val="ActHead3"/>
        <w:pageBreakBefore/>
      </w:pPr>
      <w:bookmarkStart w:id="47" w:name="_Toc500512589"/>
      <w:r w:rsidRPr="000C627D">
        <w:rPr>
          <w:rStyle w:val="CharDivNo"/>
        </w:rPr>
        <w:t>Division</w:t>
      </w:r>
      <w:r w:rsidR="000C627D" w:rsidRPr="000C627D">
        <w:rPr>
          <w:rStyle w:val="CharDivNo"/>
        </w:rPr>
        <w:t> </w:t>
      </w:r>
      <w:r w:rsidRPr="000C627D">
        <w:rPr>
          <w:rStyle w:val="CharDivNo"/>
        </w:rPr>
        <w:t>3</w:t>
      </w:r>
      <w:r w:rsidRPr="000C627D">
        <w:t>—</w:t>
      </w:r>
      <w:r w:rsidR="00023C31" w:rsidRPr="000C627D">
        <w:rPr>
          <w:rStyle w:val="CharDivText"/>
        </w:rPr>
        <w:t>Conditions on exemptions</w:t>
      </w:r>
      <w:bookmarkEnd w:id="47"/>
    </w:p>
    <w:p w:rsidR="009F5C91" w:rsidRPr="000C627D" w:rsidRDefault="006E7CE6" w:rsidP="009F5C91">
      <w:pPr>
        <w:pStyle w:val="ActHead5"/>
      </w:pPr>
      <w:bookmarkStart w:id="48" w:name="_Toc500512590"/>
      <w:r w:rsidRPr="000C627D">
        <w:rPr>
          <w:rStyle w:val="CharSectno"/>
        </w:rPr>
        <w:t>34</w:t>
      </w:r>
      <w:r w:rsidR="009F5C91" w:rsidRPr="000C627D">
        <w:t xml:space="preserve">  Condition</w:t>
      </w:r>
      <w:r w:rsidR="0083754A" w:rsidRPr="000C627D">
        <w:t>s</w:t>
      </w:r>
      <w:r w:rsidR="009F5C91" w:rsidRPr="000C627D">
        <w:t xml:space="preserve"> on exemptions</w:t>
      </w:r>
      <w:bookmarkEnd w:id="48"/>
    </w:p>
    <w:p w:rsidR="00986945" w:rsidRPr="000C627D" w:rsidRDefault="001169DB" w:rsidP="001169DB">
      <w:pPr>
        <w:pStyle w:val="subsection"/>
      </w:pPr>
      <w:r w:rsidRPr="000C627D">
        <w:tab/>
        <w:t>(1)</w:t>
      </w:r>
      <w:r w:rsidRPr="000C627D">
        <w:tab/>
        <w:t>An exemption is subject to the condition that, when an emissions</w:t>
      </w:r>
      <w:r w:rsidR="000C627D">
        <w:noBreakHyphen/>
      </w:r>
      <w:r w:rsidRPr="000C627D">
        <w:t>controlled product is imported or supplied under the exemption</w:t>
      </w:r>
      <w:r w:rsidR="00986945" w:rsidRPr="000C627D">
        <w:t>:</w:t>
      </w:r>
    </w:p>
    <w:p w:rsidR="001169DB" w:rsidRPr="000C627D" w:rsidRDefault="00986945" w:rsidP="003F1953">
      <w:pPr>
        <w:pStyle w:val="paragraph"/>
      </w:pPr>
      <w:r w:rsidRPr="000C627D">
        <w:tab/>
        <w:t>(a)</w:t>
      </w:r>
      <w:r w:rsidRPr="000C627D">
        <w:tab/>
      </w:r>
      <w:r w:rsidR="003F1953" w:rsidRPr="000C627D">
        <w:t xml:space="preserve">the importer or supplier must reasonably </w:t>
      </w:r>
      <w:r w:rsidR="00922E00" w:rsidRPr="000C627D">
        <w:t>expect</w:t>
      </w:r>
      <w:r w:rsidR="003F1953" w:rsidRPr="000C627D">
        <w:t xml:space="preserve"> that the </w:t>
      </w:r>
      <w:r w:rsidR="001169DB" w:rsidRPr="000C627D">
        <w:t xml:space="preserve">product will only be used or dealt </w:t>
      </w:r>
      <w:r w:rsidR="00B81659" w:rsidRPr="000C627D">
        <w:t xml:space="preserve">with </w:t>
      </w:r>
      <w:r w:rsidR="001169DB" w:rsidRPr="000C627D">
        <w:t>as mentioned in the exemption category nominated in th</w:t>
      </w:r>
      <w:r w:rsidRPr="000C627D">
        <w:t>e application for the exemption; and</w:t>
      </w:r>
    </w:p>
    <w:p w:rsidR="00986945" w:rsidRPr="000C627D" w:rsidRDefault="00986945" w:rsidP="00986945">
      <w:pPr>
        <w:pStyle w:val="paragraph"/>
      </w:pPr>
      <w:r w:rsidRPr="000C627D">
        <w:tab/>
        <w:t>(b)</w:t>
      </w:r>
      <w:r w:rsidRPr="000C627D">
        <w:tab/>
        <w:t>a copy of the exemption, or information about how the exemption can be viewed on the Department</w:t>
      </w:r>
      <w:r w:rsidR="003C03C4" w:rsidRPr="000C627D">
        <w:t>’</w:t>
      </w:r>
      <w:r w:rsidRPr="000C627D">
        <w:t>s website, is included with the product.</w:t>
      </w:r>
    </w:p>
    <w:p w:rsidR="00957366" w:rsidRPr="000C627D" w:rsidRDefault="00957366" w:rsidP="00AE2D8A">
      <w:pPr>
        <w:pStyle w:val="subsection"/>
      </w:pPr>
      <w:r w:rsidRPr="000C627D">
        <w:tab/>
        <w:t>(</w:t>
      </w:r>
      <w:r w:rsidR="001169DB" w:rsidRPr="000C627D">
        <w:t>2</w:t>
      </w:r>
      <w:r w:rsidRPr="000C627D">
        <w:t>)</w:t>
      </w:r>
      <w:r w:rsidRPr="000C627D">
        <w:tab/>
        <w:t xml:space="preserve">The Secretary may specify in an exemption </w:t>
      </w:r>
      <w:r w:rsidR="002D4791" w:rsidRPr="000C627D">
        <w:t xml:space="preserve">other </w:t>
      </w:r>
      <w:r w:rsidRPr="000C627D">
        <w:t xml:space="preserve">conditions </w:t>
      </w:r>
      <w:r w:rsidR="00AE2D8A" w:rsidRPr="000C627D">
        <w:t xml:space="preserve">to which </w:t>
      </w:r>
      <w:r w:rsidR="001169DB" w:rsidRPr="000C627D">
        <w:t>it</w:t>
      </w:r>
      <w:r w:rsidR="00AE2D8A" w:rsidRPr="000C627D">
        <w:t xml:space="preserve"> is subject.</w:t>
      </w:r>
    </w:p>
    <w:p w:rsidR="001169DB" w:rsidRPr="000C627D" w:rsidRDefault="001169DB" w:rsidP="00AE2D8A">
      <w:pPr>
        <w:pStyle w:val="subsection"/>
      </w:pPr>
      <w:r w:rsidRPr="000C627D">
        <w:tab/>
        <w:t>(3)</w:t>
      </w:r>
      <w:r w:rsidRPr="000C627D">
        <w:tab/>
      </w:r>
      <w:r w:rsidR="000C627D" w:rsidRPr="000C627D">
        <w:t>Subsection (</w:t>
      </w:r>
      <w:r w:rsidRPr="000C627D">
        <w:t xml:space="preserve">1) does not limit </w:t>
      </w:r>
      <w:r w:rsidR="000C627D" w:rsidRPr="000C627D">
        <w:t>subsection (</w:t>
      </w:r>
      <w:r w:rsidRPr="000C627D">
        <w:t>2) or section</w:t>
      </w:r>
      <w:r w:rsidR="000C627D" w:rsidRPr="000C627D">
        <w:t> </w:t>
      </w:r>
      <w:r w:rsidR="006E7CE6" w:rsidRPr="000C627D">
        <w:t>35</w:t>
      </w:r>
      <w:r w:rsidRPr="000C627D">
        <w:t>.</w:t>
      </w:r>
    </w:p>
    <w:p w:rsidR="001169DB" w:rsidRPr="000C627D" w:rsidRDefault="001169DB" w:rsidP="001169DB">
      <w:pPr>
        <w:pStyle w:val="notetext"/>
      </w:pPr>
      <w:r w:rsidRPr="000C627D">
        <w:t>Note:</w:t>
      </w:r>
      <w:r w:rsidRPr="000C627D">
        <w:tab/>
        <w:t>Importing or supplying a covered product is not exempt from a provision of Part</w:t>
      </w:r>
      <w:r w:rsidR="000C627D" w:rsidRPr="000C627D">
        <w:t> </w:t>
      </w:r>
      <w:r w:rsidRPr="000C627D">
        <w:t xml:space="preserve">3 of the Act if a condition is not complied with: see </w:t>
      </w:r>
      <w:r w:rsidR="00747333" w:rsidRPr="000C627D">
        <w:t>section</w:t>
      </w:r>
      <w:r w:rsidR="000C627D" w:rsidRPr="000C627D">
        <w:t> </w:t>
      </w:r>
      <w:r w:rsidR="006E7CE6" w:rsidRPr="000C627D">
        <w:t>28</w:t>
      </w:r>
      <w:r w:rsidRPr="000C627D">
        <w:t>.</w:t>
      </w:r>
    </w:p>
    <w:p w:rsidR="00522689" w:rsidRPr="000C627D" w:rsidRDefault="00522689" w:rsidP="00522689">
      <w:pPr>
        <w:pStyle w:val="ActHead3"/>
        <w:pageBreakBefore/>
      </w:pPr>
      <w:bookmarkStart w:id="49" w:name="_Toc500512591"/>
      <w:r w:rsidRPr="000C627D">
        <w:rPr>
          <w:rStyle w:val="CharDivNo"/>
        </w:rPr>
        <w:t>Division</w:t>
      </w:r>
      <w:r w:rsidR="000C627D" w:rsidRPr="000C627D">
        <w:rPr>
          <w:rStyle w:val="CharDivNo"/>
        </w:rPr>
        <w:t> </w:t>
      </w:r>
      <w:r w:rsidRPr="000C627D">
        <w:rPr>
          <w:rStyle w:val="CharDivNo"/>
        </w:rPr>
        <w:t>4</w:t>
      </w:r>
      <w:r w:rsidRPr="000C627D">
        <w:t>—</w:t>
      </w:r>
      <w:r w:rsidR="0083754A" w:rsidRPr="000C627D">
        <w:rPr>
          <w:rStyle w:val="CharDivText"/>
        </w:rPr>
        <w:t>Varying</w:t>
      </w:r>
      <w:r w:rsidRPr="000C627D">
        <w:rPr>
          <w:rStyle w:val="CharDivText"/>
        </w:rPr>
        <w:t xml:space="preserve">, suspending and </w:t>
      </w:r>
      <w:r w:rsidR="0083754A" w:rsidRPr="000C627D">
        <w:rPr>
          <w:rStyle w:val="CharDivText"/>
        </w:rPr>
        <w:t>revoking</w:t>
      </w:r>
      <w:r w:rsidRPr="000C627D">
        <w:rPr>
          <w:rStyle w:val="CharDivText"/>
        </w:rPr>
        <w:t xml:space="preserve"> exemptions</w:t>
      </w:r>
      <w:bookmarkEnd w:id="49"/>
    </w:p>
    <w:p w:rsidR="00522689" w:rsidRPr="000C627D" w:rsidRDefault="006E7CE6" w:rsidP="00522689">
      <w:pPr>
        <w:pStyle w:val="ActHead5"/>
      </w:pPr>
      <w:bookmarkStart w:id="50" w:name="_Toc500512592"/>
      <w:r w:rsidRPr="000C627D">
        <w:rPr>
          <w:rStyle w:val="CharSectno"/>
        </w:rPr>
        <w:t>35</w:t>
      </w:r>
      <w:r w:rsidR="00522689" w:rsidRPr="000C627D">
        <w:t xml:space="preserve">  </w:t>
      </w:r>
      <w:r w:rsidR="0083754A" w:rsidRPr="000C627D">
        <w:t>Varying</w:t>
      </w:r>
      <w:r w:rsidR="00522689" w:rsidRPr="000C627D">
        <w:t xml:space="preserve"> exemptions</w:t>
      </w:r>
      <w:bookmarkEnd w:id="50"/>
    </w:p>
    <w:p w:rsidR="001169DB" w:rsidRPr="000C627D" w:rsidRDefault="00770671" w:rsidP="009F5C91">
      <w:pPr>
        <w:pStyle w:val="subsection"/>
      </w:pPr>
      <w:r w:rsidRPr="000C627D">
        <w:tab/>
      </w:r>
      <w:r w:rsidR="00402A32" w:rsidRPr="000C627D">
        <w:t>(1)</w:t>
      </w:r>
      <w:r w:rsidR="009F5C91" w:rsidRPr="000C627D">
        <w:tab/>
        <w:t>The Secretary may, at any time</w:t>
      </w:r>
      <w:r w:rsidR="00522689" w:rsidRPr="000C627D">
        <w:t xml:space="preserve">, </w:t>
      </w:r>
      <w:r w:rsidR="003C411C" w:rsidRPr="000C627D">
        <w:t xml:space="preserve">by notice in writing </w:t>
      </w:r>
      <w:r w:rsidR="00C00D44" w:rsidRPr="000C627D">
        <w:t>published on the Department</w:t>
      </w:r>
      <w:r w:rsidR="003C03C4" w:rsidRPr="000C627D">
        <w:t>’</w:t>
      </w:r>
      <w:r w:rsidR="00C00D44" w:rsidRPr="000C627D">
        <w:t>s website</w:t>
      </w:r>
      <w:r w:rsidR="003C411C" w:rsidRPr="000C627D">
        <w:t xml:space="preserve">, </w:t>
      </w:r>
      <w:r w:rsidR="0083754A" w:rsidRPr="000C627D">
        <w:t xml:space="preserve">vary </w:t>
      </w:r>
      <w:r w:rsidR="00FE7901" w:rsidRPr="000C627D">
        <w:t xml:space="preserve">an exemption </w:t>
      </w:r>
      <w:r w:rsidR="00522689" w:rsidRPr="000C627D">
        <w:t>to</w:t>
      </w:r>
      <w:r w:rsidR="001169DB" w:rsidRPr="000C627D">
        <w:t>:</w:t>
      </w:r>
    </w:p>
    <w:p w:rsidR="001169DB" w:rsidRPr="000C627D" w:rsidRDefault="001169DB" w:rsidP="001169DB">
      <w:pPr>
        <w:pStyle w:val="paragraph"/>
      </w:pPr>
      <w:r w:rsidRPr="000C627D">
        <w:tab/>
        <w:t>(a)</w:t>
      </w:r>
      <w:r w:rsidRPr="000C627D">
        <w:tab/>
      </w:r>
      <w:r w:rsidR="00402A32" w:rsidRPr="000C627D">
        <w:t>include</w:t>
      </w:r>
      <w:r w:rsidRPr="000C627D">
        <w:t xml:space="preserve"> a condition; or</w:t>
      </w:r>
    </w:p>
    <w:p w:rsidR="00402A32" w:rsidRPr="000C627D" w:rsidRDefault="001169DB" w:rsidP="001169DB">
      <w:pPr>
        <w:pStyle w:val="paragraph"/>
      </w:pPr>
      <w:r w:rsidRPr="000C627D">
        <w:tab/>
        <w:t>(b)</w:t>
      </w:r>
      <w:r w:rsidRPr="000C627D">
        <w:tab/>
      </w:r>
      <w:r w:rsidR="0083754A" w:rsidRPr="000C627D">
        <w:t xml:space="preserve">amend </w:t>
      </w:r>
      <w:r w:rsidR="00402A32" w:rsidRPr="000C627D">
        <w:t>or remove a condition</w:t>
      </w:r>
      <w:r w:rsidRPr="000C627D">
        <w:t xml:space="preserve"> included under subsection</w:t>
      </w:r>
      <w:r w:rsidR="000C627D" w:rsidRPr="000C627D">
        <w:t> </w:t>
      </w:r>
      <w:r w:rsidR="006E7CE6" w:rsidRPr="000C627D">
        <w:t>34</w:t>
      </w:r>
      <w:r w:rsidRPr="000C627D">
        <w:t>(2) or this subsection.</w:t>
      </w:r>
    </w:p>
    <w:p w:rsidR="001169DB" w:rsidRPr="000C627D" w:rsidRDefault="0083754A" w:rsidP="001169DB">
      <w:pPr>
        <w:pStyle w:val="subsection"/>
      </w:pPr>
      <w:r w:rsidRPr="000C627D">
        <w:tab/>
        <w:t>(2)</w:t>
      </w:r>
      <w:r w:rsidRPr="000C627D">
        <w:tab/>
        <w:t>The variation</w:t>
      </w:r>
      <w:r w:rsidR="001169DB" w:rsidRPr="000C627D">
        <w:t xml:space="preserve"> takes effect on the day specified in the notice.</w:t>
      </w:r>
    </w:p>
    <w:p w:rsidR="00522689" w:rsidRPr="000C627D" w:rsidRDefault="006E7CE6" w:rsidP="00B763C9">
      <w:pPr>
        <w:pStyle w:val="ActHead5"/>
      </w:pPr>
      <w:bookmarkStart w:id="51" w:name="_Toc500512593"/>
      <w:r w:rsidRPr="000C627D">
        <w:rPr>
          <w:rStyle w:val="CharSectno"/>
        </w:rPr>
        <w:t>36</w:t>
      </w:r>
      <w:r w:rsidR="00522689" w:rsidRPr="000C627D">
        <w:t xml:space="preserve">  Suspending exemptions</w:t>
      </w:r>
      <w:bookmarkEnd w:id="51"/>
    </w:p>
    <w:p w:rsidR="002E13C9" w:rsidRPr="000C627D" w:rsidRDefault="002E13C9" w:rsidP="002E13C9">
      <w:pPr>
        <w:pStyle w:val="SubsectionHead"/>
      </w:pPr>
      <w:r w:rsidRPr="000C627D">
        <w:t>Suspending exemptions</w:t>
      </w:r>
    </w:p>
    <w:p w:rsidR="00522689" w:rsidRPr="000C627D" w:rsidRDefault="009F5C91" w:rsidP="009F5C91">
      <w:pPr>
        <w:pStyle w:val="subsection"/>
      </w:pPr>
      <w:r w:rsidRPr="000C627D">
        <w:tab/>
        <w:t>(1)</w:t>
      </w:r>
      <w:r w:rsidRPr="000C627D">
        <w:tab/>
        <w:t>The Secretary may</w:t>
      </w:r>
      <w:r w:rsidR="003C411C" w:rsidRPr="000C627D">
        <w:t xml:space="preserve">, by notice in writing </w:t>
      </w:r>
      <w:r w:rsidR="00C00D44" w:rsidRPr="000C627D">
        <w:t>published on the Department</w:t>
      </w:r>
      <w:r w:rsidR="003C03C4" w:rsidRPr="000C627D">
        <w:t>’</w:t>
      </w:r>
      <w:r w:rsidR="00C00D44" w:rsidRPr="000C627D">
        <w:t>s website</w:t>
      </w:r>
      <w:r w:rsidR="003C411C" w:rsidRPr="000C627D">
        <w:t>,</w:t>
      </w:r>
      <w:r w:rsidR="00522689" w:rsidRPr="000C627D">
        <w:t xml:space="preserve"> suspend </w:t>
      </w:r>
      <w:r w:rsidR="00FE7901" w:rsidRPr="000C627D">
        <w:t>an exemption</w:t>
      </w:r>
      <w:r w:rsidR="00E325C5" w:rsidRPr="000C627D">
        <w:t>, in whole or in part,</w:t>
      </w:r>
      <w:r w:rsidR="00FE7901" w:rsidRPr="000C627D">
        <w:t xml:space="preserve"> </w:t>
      </w:r>
      <w:r w:rsidR="00522689" w:rsidRPr="000C627D">
        <w:t>if the Secretary</w:t>
      </w:r>
      <w:r w:rsidR="00186ED7" w:rsidRPr="000C627D">
        <w:t xml:space="preserve"> reasonably</w:t>
      </w:r>
      <w:r w:rsidR="00BE6039" w:rsidRPr="000C627D">
        <w:t xml:space="preserve"> suspects </w:t>
      </w:r>
      <w:r w:rsidR="00522689" w:rsidRPr="000C627D">
        <w:t>that:</w:t>
      </w:r>
    </w:p>
    <w:p w:rsidR="00FC5314" w:rsidRPr="000C627D" w:rsidRDefault="00FC5314" w:rsidP="00FC5314">
      <w:pPr>
        <w:pStyle w:val="paragraph"/>
      </w:pPr>
      <w:r w:rsidRPr="000C627D">
        <w:tab/>
        <w:t>(a)</w:t>
      </w:r>
      <w:r w:rsidRPr="000C627D">
        <w:tab/>
        <w:t xml:space="preserve">the product or products to which the exemption relates will </w:t>
      </w:r>
      <w:r w:rsidR="0083754A" w:rsidRPr="000C627D">
        <w:t xml:space="preserve">not </w:t>
      </w:r>
      <w:r w:rsidRPr="000C627D">
        <w:t>be used or otherwise dealt with as mentioned in the exemption category nominated in the application for the exemption; or</w:t>
      </w:r>
    </w:p>
    <w:p w:rsidR="002E13C9" w:rsidRPr="000C627D" w:rsidRDefault="002E13C9" w:rsidP="00522689">
      <w:pPr>
        <w:pStyle w:val="paragraph"/>
      </w:pPr>
      <w:r w:rsidRPr="000C627D">
        <w:tab/>
        <w:t>(</w:t>
      </w:r>
      <w:r w:rsidR="00D3275E" w:rsidRPr="000C627D">
        <w:t>b</w:t>
      </w:r>
      <w:r w:rsidRPr="000C627D">
        <w:t>)</w:t>
      </w:r>
      <w:r w:rsidRPr="000C627D">
        <w:tab/>
        <w:t>a condition to which the exemption is subject has not been complied with.</w:t>
      </w:r>
    </w:p>
    <w:p w:rsidR="002E13C9" w:rsidRPr="000C627D" w:rsidRDefault="002E13C9" w:rsidP="002E13C9">
      <w:pPr>
        <w:pStyle w:val="subsection"/>
      </w:pPr>
      <w:r w:rsidRPr="000C627D">
        <w:tab/>
        <w:t>(2)</w:t>
      </w:r>
      <w:r w:rsidRPr="000C627D">
        <w:tab/>
        <w:t>The suspension takes effect on the day specified in the notice.</w:t>
      </w:r>
    </w:p>
    <w:p w:rsidR="002E13C9" w:rsidRPr="000C627D" w:rsidRDefault="002E13C9" w:rsidP="002E13C9">
      <w:pPr>
        <w:pStyle w:val="subsection"/>
      </w:pPr>
      <w:r w:rsidRPr="000C627D">
        <w:tab/>
        <w:t>(3)</w:t>
      </w:r>
      <w:r w:rsidRPr="000C627D">
        <w:tab/>
      </w:r>
      <w:r w:rsidR="00C65587" w:rsidRPr="000C627D">
        <w:t xml:space="preserve">To avoid doubt, </w:t>
      </w:r>
      <w:r w:rsidRPr="000C627D">
        <w:t xml:space="preserve">an exemption is not in force </w:t>
      </w:r>
      <w:r w:rsidR="006828F1" w:rsidRPr="000C627D">
        <w:t xml:space="preserve">to the extent </w:t>
      </w:r>
      <w:r w:rsidRPr="000C627D">
        <w:t>it is suspended.</w:t>
      </w:r>
    </w:p>
    <w:p w:rsidR="002E13C9" w:rsidRPr="000C627D" w:rsidRDefault="002E13C9" w:rsidP="002E13C9">
      <w:pPr>
        <w:pStyle w:val="SubsectionHead"/>
      </w:pPr>
      <w:r w:rsidRPr="000C627D">
        <w:t>Ending suspensions</w:t>
      </w:r>
    </w:p>
    <w:p w:rsidR="002E13C9" w:rsidRPr="000C627D" w:rsidRDefault="002E13C9" w:rsidP="007C1EF1">
      <w:pPr>
        <w:pStyle w:val="subsection"/>
      </w:pPr>
      <w:r w:rsidRPr="000C627D">
        <w:tab/>
        <w:t>(4)</w:t>
      </w:r>
      <w:r w:rsidRPr="000C627D">
        <w:tab/>
        <w:t>The Secretary may</w:t>
      </w:r>
      <w:r w:rsidR="003C411C" w:rsidRPr="000C627D">
        <w:t xml:space="preserve">, by notice in writing </w:t>
      </w:r>
      <w:r w:rsidR="00C00D44" w:rsidRPr="000C627D">
        <w:t>published on the Department</w:t>
      </w:r>
      <w:r w:rsidR="003C03C4" w:rsidRPr="000C627D">
        <w:t>’</w:t>
      </w:r>
      <w:r w:rsidR="00C00D44" w:rsidRPr="000C627D">
        <w:t>s website</w:t>
      </w:r>
      <w:r w:rsidR="003C411C" w:rsidRPr="000C627D">
        <w:t>,</w:t>
      </w:r>
      <w:r w:rsidR="00070F37" w:rsidRPr="000C627D">
        <w:t xml:space="preserve"> </w:t>
      </w:r>
      <w:r w:rsidRPr="000C627D">
        <w:t>end a suspension of the exemption</w:t>
      </w:r>
      <w:r w:rsidR="00E52F3A" w:rsidRPr="000C627D">
        <w:t>, in whole or in part</w:t>
      </w:r>
      <w:r w:rsidRPr="000C627D">
        <w:t>.</w:t>
      </w:r>
    </w:p>
    <w:p w:rsidR="002E13C9" w:rsidRPr="000C627D" w:rsidRDefault="002E13C9" w:rsidP="007C1EF1">
      <w:pPr>
        <w:pStyle w:val="subsection"/>
      </w:pPr>
      <w:r w:rsidRPr="000C627D">
        <w:tab/>
        <w:t>(5)</w:t>
      </w:r>
      <w:r w:rsidRPr="000C627D">
        <w:tab/>
        <w:t>The ending of the suspension takes effect on the day specified in the notice.</w:t>
      </w:r>
    </w:p>
    <w:p w:rsidR="009F5C91" w:rsidRPr="000C627D" w:rsidRDefault="006E7CE6" w:rsidP="009F5C91">
      <w:pPr>
        <w:pStyle w:val="ActHead5"/>
      </w:pPr>
      <w:bookmarkStart w:id="52" w:name="_Toc500512594"/>
      <w:r w:rsidRPr="000C627D">
        <w:rPr>
          <w:rStyle w:val="CharSectno"/>
        </w:rPr>
        <w:t>37</w:t>
      </w:r>
      <w:r w:rsidR="009F5C91" w:rsidRPr="000C627D">
        <w:t xml:space="preserve">  </w:t>
      </w:r>
      <w:r w:rsidR="0083754A" w:rsidRPr="000C627D">
        <w:t xml:space="preserve">Revoking </w:t>
      </w:r>
      <w:r w:rsidR="00522689" w:rsidRPr="000C627D">
        <w:t>exemptions</w:t>
      </w:r>
      <w:bookmarkEnd w:id="52"/>
    </w:p>
    <w:p w:rsidR="002E13C9" w:rsidRPr="000C627D" w:rsidRDefault="002E13C9" w:rsidP="002E13C9">
      <w:pPr>
        <w:pStyle w:val="subsection"/>
      </w:pPr>
      <w:r w:rsidRPr="000C627D">
        <w:tab/>
        <w:t>(1)</w:t>
      </w:r>
      <w:r w:rsidRPr="000C627D">
        <w:tab/>
        <w:t xml:space="preserve">The Secretary may, by notice in writing </w:t>
      </w:r>
      <w:r w:rsidR="00C00D44" w:rsidRPr="000C627D">
        <w:t>published on the Department</w:t>
      </w:r>
      <w:r w:rsidR="003C03C4" w:rsidRPr="000C627D">
        <w:t>’</w:t>
      </w:r>
      <w:r w:rsidR="00C00D44" w:rsidRPr="000C627D">
        <w:t>s website</w:t>
      </w:r>
      <w:r w:rsidR="003C411C" w:rsidRPr="000C627D">
        <w:t>,</w:t>
      </w:r>
      <w:r w:rsidRPr="000C627D">
        <w:t xml:space="preserve"> </w:t>
      </w:r>
      <w:r w:rsidR="0083754A" w:rsidRPr="000C627D">
        <w:t>revoke</w:t>
      </w:r>
      <w:r w:rsidRPr="000C627D">
        <w:t xml:space="preserve"> </w:t>
      </w:r>
      <w:r w:rsidR="003C411C" w:rsidRPr="000C627D">
        <w:t xml:space="preserve">an </w:t>
      </w:r>
      <w:r w:rsidR="00BE6039" w:rsidRPr="000C627D">
        <w:t xml:space="preserve">exemption </w:t>
      </w:r>
      <w:r w:rsidR="001D208D" w:rsidRPr="000C627D">
        <w:t xml:space="preserve">in whole or in part </w:t>
      </w:r>
      <w:r w:rsidR="00BE6039" w:rsidRPr="000C627D">
        <w:t>if the Secretary</w:t>
      </w:r>
      <w:r w:rsidR="00186ED7" w:rsidRPr="000C627D">
        <w:t xml:space="preserve"> </w:t>
      </w:r>
      <w:r w:rsidR="00C00D44" w:rsidRPr="000C627D">
        <w:t xml:space="preserve">is </w:t>
      </w:r>
      <w:r w:rsidR="0083754A" w:rsidRPr="000C627D">
        <w:t xml:space="preserve">reasonably </w:t>
      </w:r>
      <w:r w:rsidR="00C00D44" w:rsidRPr="000C627D">
        <w:t xml:space="preserve">satisfied </w:t>
      </w:r>
      <w:r w:rsidRPr="000C627D">
        <w:t>that:</w:t>
      </w:r>
    </w:p>
    <w:p w:rsidR="00FC5314" w:rsidRPr="000C627D" w:rsidRDefault="00783E61" w:rsidP="00FC5314">
      <w:pPr>
        <w:pStyle w:val="paragraph"/>
      </w:pPr>
      <w:r w:rsidRPr="000C627D">
        <w:tab/>
        <w:t>(a)</w:t>
      </w:r>
      <w:r w:rsidRPr="000C627D">
        <w:tab/>
      </w:r>
      <w:r w:rsidR="00FC5314" w:rsidRPr="000C627D">
        <w:t>the product or products to which the exemption relates will</w:t>
      </w:r>
      <w:r w:rsidR="0083754A" w:rsidRPr="000C627D">
        <w:t xml:space="preserve"> not</w:t>
      </w:r>
      <w:r w:rsidR="00FC5314" w:rsidRPr="000C627D">
        <w:t xml:space="preserve"> be used or otherwise dealt </w:t>
      </w:r>
      <w:r w:rsidR="000E34E0" w:rsidRPr="000C627D">
        <w:t xml:space="preserve">with </w:t>
      </w:r>
      <w:r w:rsidR="00FC5314" w:rsidRPr="000C627D">
        <w:t>as mentioned in the exemption category nominated in the application for the exemption; or</w:t>
      </w:r>
    </w:p>
    <w:p w:rsidR="00D3275E" w:rsidRPr="000C627D" w:rsidRDefault="00D3275E" w:rsidP="00D3275E">
      <w:pPr>
        <w:pStyle w:val="paragraph"/>
      </w:pPr>
      <w:r w:rsidRPr="000C627D">
        <w:tab/>
        <w:t>(b)</w:t>
      </w:r>
      <w:r w:rsidRPr="000C627D">
        <w:tab/>
        <w:t>a condition to which the exemption is subject has not been</w:t>
      </w:r>
      <w:r w:rsidR="00255298" w:rsidRPr="000C627D">
        <w:t xml:space="preserve"> </w:t>
      </w:r>
      <w:r w:rsidRPr="000C627D">
        <w:t>complied with.</w:t>
      </w:r>
    </w:p>
    <w:p w:rsidR="002E13C9" w:rsidRPr="000C627D" w:rsidRDefault="002E13C9" w:rsidP="002E13C9">
      <w:pPr>
        <w:pStyle w:val="subsection"/>
      </w:pPr>
      <w:r w:rsidRPr="000C627D">
        <w:tab/>
        <w:t>(2)</w:t>
      </w:r>
      <w:r w:rsidRPr="000C627D">
        <w:tab/>
        <w:t xml:space="preserve">The </w:t>
      </w:r>
      <w:r w:rsidR="0083754A" w:rsidRPr="000C627D">
        <w:t xml:space="preserve">revocation </w:t>
      </w:r>
      <w:r w:rsidRPr="000C627D">
        <w:t>takes effect on the day specified in the notice.</w:t>
      </w:r>
    </w:p>
    <w:p w:rsidR="00C62454" w:rsidRPr="000C627D" w:rsidRDefault="00C62454" w:rsidP="00C62454">
      <w:pPr>
        <w:pStyle w:val="subsection"/>
      </w:pPr>
      <w:r w:rsidRPr="000C627D">
        <w:tab/>
        <w:t>(3)</w:t>
      </w:r>
      <w:r w:rsidRPr="000C627D">
        <w:tab/>
        <w:t xml:space="preserve">To avoid doubt, the Secretary may </w:t>
      </w:r>
      <w:r w:rsidR="0083754A" w:rsidRPr="000C627D">
        <w:t>revoke</w:t>
      </w:r>
      <w:r w:rsidRPr="000C627D">
        <w:t xml:space="preserve"> an exemption whether or not the Secretary has suspended the exemption.</w:t>
      </w:r>
    </w:p>
    <w:p w:rsidR="003F75B5" w:rsidRPr="000C627D" w:rsidRDefault="003F75B5" w:rsidP="00A17926">
      <w:pPr>
        <w:pStyle w:val="ActHead3"/>
        <w:pageBreakBefore/>
      </w:pPr>
      <w:bookmarkStart w:id="53" w:name="_Toc500512595"/>
      <w:r w:rsidRPr="000C627D">
        <w:rPr>
          <w:rStyle w:val="CharDivNo"/>
        </w:rPr>
        <w:t>Division</w:t>
      </w:r>
      <w:r w:rsidR="000C627D" w:rsidRPr="000C627D">
        <w:rPr>
          <w:rStyle w:val="CharDivNo"/>
        </w:rPr>
        <w:t> </w:t>
      </w:r>
      <w:r w:rsidRPr="000C627D">
        <w:rPr>
          <w:rStyle w:val="CharDivNo"/>
        </w:rPr>
        <w:t>5</w:t>
      </w:r>
      <w:r w:rsidRPr="000C627D">
        <w:t>—</w:t>
      </w:r>
      <w:r w:rsidR="00141A42" w:rsidRPr="000C627D">
        <w:rPr>
          <w:rStyle w:val="CharDivText"/>
        </w:rPr>
        <w:t>Secretary must give copies of notices to applicants</w:t>
      </w:r>
      <w:bookmarkEnd w:id="53"/>
    </w:p>
    <w:p w:rsidR="003F75B5" w:rsidRPr="000C627D" w:rsidRDefault="006E7CE6" w:rsidP="003F75B5">
      <w:pPr>
        <w:pStyle w:val="ActHead5"/>
      </w:pPr>
      <w:bookmarkStart w:id="54" w:name="_Toc500512596"/>
      <w:r w:rsidRPr="000C627D">
        <w:rPr>
          <w:rStyle w:val="CharSectno"/>
        </w:rPr>
        <w:t>38</w:t>
      </w:r>
      <w:r w:rsidR="003F75B5" w:rsidRPr="000C627D">
        <w:t xml:space="preserve">  </w:t>
      </w:r>
      <w:r w:rsidR="00141A42" w:rsidRPr="000C627D">
        <w:t>Secretary must give copies of notice</w:t>
      </w:r>
      <w:r w:rsidR="00593EBF" w:rsidRPr="000C627D">
        <w:t>s</w:t>
      </w:r>
      <w:r w:rsidR="00141A42" w:rsidRPr="000C627D">
        <w:t xml:space="preserve"> to applicants</w:t>
      </w:r>
      <w:bookmarkEnd w:id="54"/>
    </w:p>
    <w:p w:rsidR="007B1A30" w:rsidRPr="000C627D" w:rsidRDefault="00C00D44" w:rsidP="00EF7E2C">
      <w:pPr>
        <w:pStyle w:val="subsection"/>
      </w:pPr>
      <w:r w:rsidRPr="000C627D">
        <w:tab/>
      </w:r>
      <w:r w:rsidR="009A64F4" w:rsidRPr="000C627D">
        <w:t>(1)</w:t>
      </w:r>
      <w:r w:rsidRPr="000C627D">
        <w:tab/>
        <w:t>If the Secretary publishes on the Department</w:t>
      </w:r>
      <w:r w:rsidR="003C03C4" w:rsidRPr="000C627D">
        <w:t>’</w:t>
      </w:r>
      <w:r w:rsidRPr="000C627D">
        <w:t>s website</w:t>
      </w:r>
      <w:r w:rsidR="00165420" w:rsidRPr="000C627D">
        <w:t xml:space="preserve"> under this Part</w:t>
      </w:r>
      <w:r w:rsidRPr="000C627D">
        <w:t xml:space="preserve"> a</w:t>
      </w:r>
      <w:r w:rsidR="007B1A30" w:rsidRPr="000C627D">
        <w:t xml:space="preserve">ny of the following </w:t>
      </w:r>
      <w:r w:rsidR="00FC5E14" w:rsidRPr="000C627D">
        <w:t>notices</w:t>
      </w:r>
      <w:r w:rsidR="007B1A30" w:rsidRPr="000C627D">
        <w:t xml:space="preserve"> in relation to an exemption, the Secretary must give a copy of the notice to the applicant for the exemption, if reasonably practicable:</w:t>
      </w:r>
    </w:p>
    <w:p w:rsidR="002C264D" w:rsidRPr="000C627D" w:rsidRDefault="002C264D" w:rsidP="002C264D">
      <w:pPr>
        <w:pStyle w:val="paragraph"/>
      </w:pPr>
      <w:r w:rsidRPr="000C627D">
        <w:tab/>
        <w:t>(a)</w:t>
      </w:r>
      <w:r w:rsidRPr="000C627D">
        <w:tab/>
      </w:r>
      <w:r w:rsidR="007B1A30" w:rsidRPr="000C627D">
        <w:t xml:space="preserve">a notice </w:t>
      </w:r>
      <w:r w:rsidR="003F75B5" w:rsidRPr="000C627D">
        <w:t xml:space="preserve">granting, varying, suspending or </w:t>
      </w:r>
      <w:r w:rsidR="0083754A" w:rsidRPr="000C627D">
        <w:t>revoking</w:t>
      </w:r>
      <w:r w:rsidR="003433DA" w:rsidRPr="000C627D">
        <w:t xml:space="preserve"> the</w:t>
      </w:r>
      <w:r w:rsidR="003F75B5" w:rsidRPr="000C627D">
        <w:t xml:space="preserve"> exemption</w:t>
      </w:r>
      <w:r w:rsidRPr="000C627D">
        <w:t>;</w:t>
      </w:r>
    </w:p>
    <w:p w:rsidR="00EF7E2C" w:rsidRPr="000C627D" w:rsidRDefault="002C264D" w:rsidP="007B1A30">
      <w:pPr>
        <w:pStyle w:val="paragraph"/>
      </w:pPr>
      <w:r w:rsidRPr="000C627D">
        <w:tab/>
        <w:t>(b)</w:t>
      </w:r>
      <w:r w:rsidRPr="000C627D">
        <w:tab/>
      </w:r>
      <w:r w:rsidR="007B1A30" w:rsidRPr="000C627D">
        <w:t xml:space="preserve">a notice </w:t>
      </w:r>
      <w:r w:rsidR="003F75B5" w:rsidRPr="000C627D">
        <w:t xml:space="preserve">ending a suspension of </w:t>
      </w:r>
      <w:r w:rsidR="003433DA" w:rsidRPr="000C627D">
        <w:t>the</w:t>
      </w:r>
      <w:r w:rsidR="003F75B5" w:rsidRPr="000C627D">
        <w:t xml:space="preserve"> exemption</w:t>
      </w:r>
      <w:r w:rsidR="00EF7E2C" w:rsidRPr="000C627D">
        <w:t>.</w:t>
      </w:r>
    </w:p>
    <w:p w:rsidR="009A64F4" w:rsidRPr="000C627D" w:rsidRDefault="009A64F4" w:rsidP="00EF7E2C">
      <w:pPr>
        <w:pStyle w:val="subsection"/>
      </w:pPr>
      <w:r w:rsidRPr="000C627D">
        <w:tab/>
        <w:t>(2)</w:t>
      </w:r>
      <w:r w:rsidRPr="000C627D">
        <w:tab/>
        <w:t xml:space="preserve">A failure to comply with </w:t>
      </w:r>
      <w:r w:rsidR="000C627D" w:rsidRPr="000C627D">
        <w:t>subsection (</w:t>
      </w:r>
      <w:r w:rsidR="00214458" w:rsidRPr="000C627D">
        <w:t>1</w:t>
      </w:r>
      <w:r w:rsidRPr="000C627D">
        <w:t>) does not affect the validity of the exemption, variation, suspension</w:t>
      </w:r>
      <w:r w:rsidR="008D1B5D" w:rsidRPr="000C627D">
        <w:t>,</w:t>
      </w:r>
      <w:r w:rsidRPr="000C627D">
        <w:t xml:space="preserve"> </w:t>
      </w:r>
      <w:r w:rsidR="0083754A" w:rsidRPr="000C627D">
        <w:t>revocation</w:t>
      </w:r>
      <w:r w:rsidR="008D1B5D" w:rsidRPr="000C627D">
        <w:t xml:space="preserve"> or ending of the suspension</w:t>
      </w:r>
      <w:r w:rsidRPr="000C627D">
        <w:t>.</w:t>
      </w:r>
    </w:p>
    <w:p w:rsidR="00C20D22" w:rsidRPr="000C627D" w:rsidRDefault="00C20D22" w:rsidP="00150B53">
      <w:pPr>
        <w:pStyle w:val="ActHead2"/>
        <w:pageBreakBefore/>
      </w:pPr>
      <w:bookmarkStart w:id="55" w:name="_Toc500512597"/>
      <w:r w:rsidRPr="000C627D">
        <w:rPr>
          <w:rStyle w:val="CharPartNo"/>
        </w:rPr>
        <w:t>Part</w:t>
      </w:r>
      <w:r w:rsidR="000C627D" w:rsidRPr="000C627D">
        <w:rPr>
          <w:rStyle w:val="CharPartNo"/>
        </w:rPr>
        <w:t> </w:t>
      </w:r>
      <w:r w:rsidR="003E3017" w:rsidRPr="000C627D">
        <w:rPr>
          <w:rStyle w:val="CharPartNo"/>
        </w:rPr>
        <w:t>6</w:t>
      </w:r>
      <w:r w:rsidRPr="000C627D">
        <w:t>—</w:t>
      </w:r>
      <w:r w:rsidRPr="000C627D">
        <w:rPr>
          <w:rStyle w:val="CharPartText"/>
        </w:rPr>
        <w:t>Marking</w:t>
      </w:r>
      <w:bookmarkEnd w:id="55"/>
    </w:p>
    <w:p w:rsidR="00B763C9" w:rsidRPr="000C627D" w:rsidRDefault="00B763C9" w:rsidP="00B763C9">
      <w:pPr>
        <w:pStyle w:val="Header"/>
      </w:pPr>
      <w:r w:rsidRPr="000C627D">
        <w:rPr>
          <w:rStyle w:val="CharDivNo"/>
        </w:rPr>
        <w:t xml:space="preserve"> </w:t>
      </w:r>
      <w:r w:rsidRPr="000C627D">
        <w:rPr>
          <w:rStyle w:val="CharDivText"/>
        </w:rPr>
        <w:t xml:space="preserve"> </w:t>
      </w:r>
    </w:p>
    <w:p w:rsidR="00C20D22" w:rsidRPr="000C627D" w:rsidRDefault="006E7CE6" w:rsidP="00C20D22">
      <w:pPr>
        <w:pStyle w:val="ActHead5"/>
      </w:pPr>
      <w:bookmarkStart w:id="56" w:name="_Toc500512598"/>
      <w:r w:rsidRPr="000C627D">
        <w:rPr>
          <w:rStyle w:val="CharSectno"/>
        </w:rPr>
        <w:t>39</w:t>
      </w:r>
      <w:r w:rsidR="00C20D22" w:rsidRPr="000C627D">
        <w:t xml:space="preserve">  Marking requirements</w:t>
      </w:r>
      <w:bookmarkEnd w:id="56"/>
    </w:p>
    <w:p w:rsidR="00F646C6" w:rsidRPr="000C627D" w:rsidRDefault="00C20D22" w:rsidP="00F646C6">
      <w:pPr>
        <w:pStyle w:val="subsection"/>
      </w:pPr>
      <w:r w:rsidRPr="000C627D">
        <w:tab/>
        <w:t>(1)</w:t>
      </w:r>
      <w:r w:rsidRPr="000C627D">
        <w:tab/>
        <w:t xml:space="preserve">For the purposes of </w:t>
      </w:r>
      <w:r w:rsidR="00150B53" w:rsidRPr="000C627D">
        <w:t>sections</w:t>
      </w:r>
      <w:r w:rsidR="000C627D" w:rsidRPr="000C627D">
        <w:t> </w:t>
      </w:r>
      <w:r w:rsidR="00150B53" w:rsidRPr="000C627D">
        <w:t xml:space="preserve">14, 16, 17 and 18 </w:t>
      </w:r>
      <w:r w:rsidRPr="000C627D">
        <w:t xml:space="preserve">of the Act, </w:t>
      </w:r>
      <w:r w:rsidR="00B34A3C" w:rsidRPr="000C627D">
        <w:t>a mark must be applied to an emissions</w:t>
      </w:r>
      <w:r w:rsidR="000C627D">
        <w:noBreakHyphen/>
      </w:r>
      <w:r w:rsidR="00B34A3C" w:rsidRPr="000C627D">
        <w:t>controlled product in accordance with</w:t>
      </w:r>
      <w:r w:rsidR="00F646C6" w:rsidRPr="000C627D">
        <w:t xml:space="preserve"> this section.</w:t>
      </w:r>
    </w:p>
    <w:p w:rsidR="00F646C6" w:rsidRPr="000C627D" w:rsidRDefault="00F646C6" w:rsidP="00F646C6">
      <w:pPr>
        <w:pStyle w:val="SubsectionHead"/>
      </w:pPr>
      <w:r w:rsidRPr="000C627D">
        <w:t>Australian</w:t>
      </w:r>
      <w:r w:rsidR="000C627D">
        <w:noBreakHyphen/>
      </w:r>
      <w:r w:rsidRPr="000C627D">
        <w:t>certified products</w:t>
      </w:r>
    </w:p>
    <w:p w:rsidR="0065187E" w:rsidRPr="000C627D" w:rsidRDefault="00B34A3C" w:rsidP="00B34A3C">
      <w:pPr>
        <w:pStyle w:val="subsection"/>
      </w:pPr>
      <w:r w:rsidRPr="000C627D">
        <w:tab/>
        <w:t>(2)</w:t>
      </w:r>
      <w:r w:rsidRPr="000C627D">
        <w:tab/>
      </w:r>
      <w:r w:rsidR="00F646C6" w:rsidRPr="000C627D">
        <w:t>If the product is Australian</w:t>
      </w:r>
      <w:r w:rsidR="00BD272C" w:rsidRPr="000C627D">
        <w:t xml:space="preserve"> </w:t>
      </w:r>
      <w:r w:rsidR="00F646C6" w:rsidRPr="000C627D">
        <w:t>certified, t</w:t>
      </w:r>
      <w:r w:rsidRPr="000C627D">
        <w:t>he mark</w:t>
      </w:r>
      <w:r w:rsidR="0065187E" w:rsidRPr="000C627D">
        <w:t xml:space="preserve"> must:</w:t>
      </w:r>
    </w:p>
    <w:p w:rsidR="00B34A3C" w:rsidRPr="000C627D" w:rsidRDefault="0065187E" w:rsidP="0065187E">
      <w:pPr>
        <w:pStyle w:val="paragraph"/>
      </w:pPr>
      <w:r w:rsidRPr="000C627D">
        <w:tab/>
        <w:t>(a)</w:t>
      </w:r>
      <w:r w:rsidRPr="000C627D">
        <w:tab/>
      </w:r>
      <w:r w:rsidR="00B34A3C" w:rsidRPr="000C627D">
        <w:t>contain all of the following:</w:t>
      </w:r>
    </w:p>
    <w:p w:rsidR="00F646C6" w:rsidRPr="000C627D" w:rsidRDefault="00F646C6" w:rsidP="0065187E">
      <w:pPr>
        <w:pStyle w:val="paragraphsub"/>
      </w:pPr>
      <w:r w:rsidRPr="000C627D">
        <w:tab/>
        <w:t>(</w:t>
      </w:r>
      <w:proofErr w:type="spellStart"/>
      <w:r w:rsidR="0065187E" w:rsidRPr="000C627D">
        <w:t>i</w:t>
      </w:r>
      <w:proofErr w:type="spellEnd"/>
      <w:r w:rsidRPr="000C627D">
        <w:t>)</w:t>
      </w:r>
      <w:r w:rsidRPr="000C627D">
        <w:tab/>
        <w:t>the manufacturer</w:t>
      </w:r>
      <w:r w:rsidR="003C03C4" w:rsidRPr="000C627D">
        <w:t>’</w:t>
      </w:r>
      <w:r w:rsidRPr="000C627D">
        <w:t>s name or business name;</w:t>
      </w:r>
    </w:p>
    <w:p w:rsidR="00F646C6" w:rsidRPr="000C627D" w:rsidRDefault="0065187E" w:rsidP="0065187E">
      <w:pPr>
        <w:pStyle w:val="paragraphsub"/>
      </w:pPr>
      <w:r w:rsidRPr="000C627D">
        <w:tab/>
        <w:t>(ii</w:t>
      </w:r>
      <w:r w:rsidR="00F646C6" w:rsidRPr="000C627D">
        <w:t>)</w:t>
      </w:r>
      <w:r w:rsidR="00F646C6" w:rsidRPr="000C627D">
        <w:tab/>
        <w:t xml:space="preserve">a unique identification number for the </w:t>
      </w:r>
      <w:r w:rsidR="003F636C" w:rsidRPr="000C627D">
        <w:t>product</w:t>
      </w:r>
      <w:r w:rsidR="00F646C6" w:rsidRPr="000C627D">
        <w:t>;</w:t>
      </w:r>
    </w:p>
    <w:p w:rsidR="00F646C6" w:rsidRPr="000C627D" w:rsidRDefault="0065187E" w:rsidP="0065187E">
      <w:pPr>
        <w:pStyle w:val="paragraphsub"/>
      </w:pPr>
      <w:r w:rsidRPr="000C627D">
        <w:tab/>
        <w:t>(iii</w:t>
      </w:r>
      <w:r w:rsidR="00F646C6" w:rsidRPr="000C627D">
        <w:t>)</w:t>
      </w:r>
      <w:r w:rsidR="00F646C6" w:rsidRPr="000C627D">
        <w:tab/>
        <w:t>a description of the product</w:t>
      </w:r>
      <w:r w:rsidR="002F0930" w:rsidRPr="000C627D">
        <w:t>;</w:t>
      </w:r>
    </w:p>
    <w:p w:rsidR="00F646C6" w:rsidRPr="000C627D" w:rsidRDefault="0065187E" w:rsidP="0065187E">
      <w:pPr>
        <w:pStyle w:val="paragraphsub"/>
      </w:pPr>
      <w:r w:rsidRPr="000C627D">
        <w:tab/>
        <w:t>(iv</w:t>
      </w:r>
      <w:r w:rsidR="00F646C6" w:rsidRPr="000C627D">
        <w:t>)</w:t>
      </w:r>
      <w:r w:rsidR="00F646C6" w:rsidRPr="000C627D">
        <w:tab/>
        <w:t xml:space="preserve">the month and year of manufacture of the </w:t>
      </w:r>
      <w:r w:rsidR="003F636C" w:rsidRPr="000C627D">
        <w:t>product;</w:t>
      </w:r>
    </w:p>
    <w:p w:rsidR="00EF13C2" w:rsidRPr="000C627D" w:rsidRDefault="00EF13C2" w:rsidP="0065187E">
      <w:pPr>
        <w:pStyle w:val="paragraphsub"/>
      </w:pPr>
      <w:r w:rsidRPr="000C627D">
        <w:tab/>
        <w:t>(</w:t>
      </w:r>
      <w:r w:rsidR="0065187E" w:rsidRPr="000C627D">
        <w:t>v</w:t>
      </w:r>
      <w:r w:rsidRPr="000C627D">
        <w:t>)</w:t>
      </w:r>
      <w:r w:rsidRPr="000C627D">
        <w:tab/>
        <w:t>a statement that the product ha</w:t>
      </w:r>
      <w:r w:rsidR="00B34A3C" w:rsidRPr="000C627D">
        <w:t>s been Australian certified;</w:t>
      </w:r>
    </w:p>
    <w:p w:rsidR="00EF13C2" w:rsidRPr="000C627D" w:rsidRDefault="0065187E" w:rsidP="0065187E">
      <w:pPr>
        <w:pStyle w:val="paragraphsub"/>
      </w:pPr>
      <w:r w:rsidRPr="000C627D">
        <w:tab/>
        <w:t>(vi</w:t>
      </w:r>
      <w:r w:rsidR="00EF13C2" w:rsidRPr="000C627D">
        <w:t>)</w:t>
      </w:r>
      <w:r w:rsidR="00EF13C2" w:rsidRPr="000C627D">
        <w:tab/>
        <w:t>the Australian certification number</w:t>
      </w:r>
      <w:r w:rsidR="00DF7058" w:rsidRPr="000C627D">
        <w:t xml:space="preserve"> of the applicable Australian certificate of conformity</w:t>
      </w:r>
      <w:r w:rsidRPr="000C627D">
        <w:t>; and</w:t>
      </w:r>
    </w:p>
    <w:p w:rsidR="00A57673" w:rsidRPr="000C627D" w:rsidRDefault="00A57673" w:rsidP="0065187E">
      <w:pPr>
        <w:pStyle w:val="paragraph"/>
      </w:pPr>
      <w:r w:rsidRPr="000C627D">
        <w:tab/>
        <w:t>(b)</w:t>
      </w:r>
      <w:r w:rsidRPr="000C627D">
        <w:tab/>
        <w:t>be in English; and</w:t>
      </w:r>
    </w:p>
    <w:p w:rsidR="0065187E" w:rsidRPr="000C627D" w:rsidRDefault="0065187E" w:rsidP="0065187E">
      <w:pPr>
        <w:pStyle w:val="paragraph"/>
      </w:pPr>
      <w:r w:rsidRPr="000C627D">
        <w:tab/>
        <w:t>(</w:t>
      </w:r>
      <w:r w:rsidR="00A57673" w:rsidRPr="000C627D">
        <w:t>c</w:t>
      </w:r>
      <w:r w:rsidRPr="000C627D">
        <w:t>)</w:t>
      </w:r>
      <w:r w:rsidRPr="000C627D">
        <w:tab/>
        <w:t>be durable and legible for the life of the product; and</w:t>
      </w:r>
    </w:p>
    <w:p w:rsidR="0065187E" w:rsidRPr="000C627D" w:rsidRDefault="00A57673" w:rsidP="0065187E">
      <w:pPr>
        <w:pStyle w:val="paragraph"/>
      </w:pPr>
      <w:r w:rsidRPr="000C627D">
        <w:tab/>
        <w:t>(d</w:t>
      </w:r>
      <w:r w:rsidR="0065187E" w:rsidRPr="000C627D">
        <w:t>)</w:t>
      </w:r>
      <w:r w:rsidR="0065187E" w:rsidRPr="000C627D">
        <w:tab/>
        <w:t>not be able to be removed from the product without being destroyed or defaced; and</w:t>
      </w:r>
    </w:p>
    <w:p w:rsidR="0065187E" w:rsidRPr="000C627D" w:rsidRDefault="00A57673" w:rsidP="0065187E">
      <w:pPr>
        <w:pStyle w:val="paragraph"/>
      </w:pPr>
      <w:r w:rsidRPr="000C627D">
        <w:tab/>
        <w:t>(e</w:t>
      </w:r>
      <w:r w:rsidR="0065187E" w:rsidRPr="000C627D">
        <w:t>)</w:t>
      </w:r>
      <w:r w:rsidR="0065187E" w:rsidRPr="000C627D">
        <w:tab/>
        <w:t xml:space="preserve">be located </w:t>
      </w:r>
      <w:r w:rsidR="00922E00" w:rsidRPr="000C627D">
        <w:t xml:space="preserve">on the product </w:t>
      </w:r>
      <w:r w:rsidR="0065187E" w:rsidRPr="000C627D">
        <w:t xml:space="preserve">such that </w:t>
      </w:r>
      <w:r w:rsidR="00922E00" w:rsidRPr="000C627D">
        <w:t>the mark</w:t>
      </w:r>
      <w:r w:rsidR="0065187E" w:rsidRPr="000C627D">
        <w:t xml:space="preserve"> can be viewed conveniently</w:t>
      </w:r>
      <w:r w:rsidR="00922E00" w:rsidRPr="000C627D">
        <w:t xml:space="preserve"> without the use of specialised tools</w:t>
      </w:r>
      <w:r w:rsidR="0065187E" w:rsidRPr="000C627D">
        <w:t>; and</w:t>
      </w:r>
    </w:p>
    <w:p w:rsidR="0065187E" w:rsidRPr="000C627D" w:rsidRDefault="00A57673" w:rsidP="0065187E">
      <w:pPr>
        <w:pStyle w:val="paragraph"/>
      </w:pPr>
      <w:r w:rsidRPr="000C627D">
        <w:tab/>
        <w:t>(f</w:t>
      </w:r>
      <w:r w:rsidR="0065187E" w:rsidRPr="000C627D">
        <w:t>)</w:t>
      </w:r>
      <w:r w:rsidR="0065187E" w:rsidRPr="000C627D">
        <w:tab/>
        <w:t>not be located on a component that is likely to be replaced during the life of the product.</w:t>
      </w:r>
    </w:p>
    <w:p w:rsidR="001572C6" w:rsidRPr="000C627D" w:rsidRDefault="001572C6" w:rsidP="001572C6">
      <w:pPr>
        <w:pStyle w:val="notetext"/>
      </w:pPr>
      <w:r w:rsidRPr="000C627D">
        <w:t>Example:</w:t>
      </w:r>
      <w:r w:rsidRPr="000C627D">
        <w:tab/>
      </w:r>
      <w:r w:rsidR="00BA70E8" w:rsidRPr="000C627D">
        <w:t xml:space="preserve">For </w:t>
      </w:r>
      <w:r w:rsidR="000C627D" w:rsidRPr="000C627D">
        <w:t>subparagraph (</w:t>
      </w:r>
      <w:r w:rsidR="00BA70E8" w:rsidRPr="000C627D">
        <w:t xml:space="preserve">a)(iii), </w:t>
      </w:r>
      <w:r w:rsidRPr="000C627D">
        <w:t>the model name or number.</w:t>
      </w:r>
    </w:p>
    <w:p w:rsidR="00F646C6" w:rsidRPr="000C627D" w:rsidRDefault="002D0591" w:rsidP="002D0591">
      <w:pPr>
        <w:pStyle w:val="SubsectionHead"/>
      </w:pPr>
      <w:r w:rsidRPr="000C627D">
        <w:t>Foreign</w:t>
      </w:r>
      <w:r w:rsidR="000C627D">
        <w:noBreakHyphen/>
      </w:r>
      <w:r w:rsidRPr="000C627D">
        <w:t xml:space="preserve">certified </w:t>
      </w:r>
      <w:r w:rsidR="003F636C" w:rsidRPr="000C627D">
        <w:t>product</w:t>
      </w:r>
      <w:r w:rsidRPr="000C627D">
        <w:t>s</w:t>
      </w:r>
    </w:p>
    <w:p w:rsidR="0065187E" w:rsidRPr="000C627D" w:rsidRDefault="0048607A" w:rsidP="002D0591">
      <w:pPr>
        <w:pStyle w:val="subsection"/>
      </w:pPr>
      <w:r w:rsidRPr="000C627D">
        <w:tab/>
        <w:t>(3</w:t>
      </w:r>
      <w:r w:rsidR="002D0591" w:rsidRPr="000C627D">
        <w:t>)</w:t>
      </w:r>
      <w:r w:rsidR="002D0591" w:rsidRPr="000C627D">
        <w:tab/>
        <w:t>If the product is foreign</w:t>
      </w:r>
      <w:r w:rsidR="00BD272C" w:rsidRPr="000C627D">
        <w:t xml:space="preserve"> </w:t>
      </w:r>
      <w:r w:rsidR="002D0591" w:rsidRPr="000C627D">
        <w:t>certified</w:t>
      </w:r>
      <w:r w:rsidR="0065187E" w:rsidRPr="000C627D">
        <w:t>:</w:t>
      </w:r>
    </w:p>
    <w:p w:rsidR="00F646C6" w:rsidRPr="000C627D" w:rsidRDefault="0065187E" w:rsidP="0065187E">
      <w:pPr>
        <w:pStyle w:val="paragraph"/>
      </w:pPr>
      <w:r w:rsidRPr="000C627D">
        <w:tab/>
        <w:t>(a)</w:t>
      </w:r>
      <w:r w:rsidRPr="000C627D">
        <w:tab/>
      </w:r>
      <w:r w:rsidR="00D45439" w:rsidRPr="000C627D">
        <w:t xml:space="preserve">it </w:t>
      </w:r>
      <w:r w:rsidR="002D0591" w:rsidRPr="000C627D">
        <w:t>must be marked</w:t>
      </w:r>
      <w:r w:rsidR="00265BEA" w:rsidRPr="000C627D">
        <w:t xml:space="preserve">, subject to </w:t>
      </w:r>
      <w:r w:rsidR="000C627D" w:rsidRPr="000C627D">
        <w:t>paragraph (</w:t>
      </w:r>
      <w:r w:rsidR="00265BEA" w:rsidRPr="000C627D">
        <w:t>b),</w:t>
      </w:r>
      <w:r w:rsidR="002D0591" w:rsidRPr="000C627D">
        <w:t xml:space="preserve"> in accordance with the relevant emissions</w:t>
      </w:r>
      <w:r w:rsidR="0048607A" w:rsidRPr="000C627D">
        <w:t xml:space="preserve"> </w:t>
      </w:r>
      <w:r w:rsidR="002D0591" w:rsidRPr="000C627D">
        <w:t>standard mentioned in the table in subsection</w:t>
      </w:r>
      <w:r w:rsidR="000C627D" w:rsidRPr="000C627D">
        <w:t> </w:t>
      </w:r>
      <w:r w:rsidR="006E7CE6" w:rsidRPr="000C627D">
        <w:t>26</w:t>
      </w:r>
      <w:r w:rsidR="0084423F" w:rsidRPr="000C627D">
        <w:t>(1)</w:t>
      </w:r>
      <w:r w:rsidRPr="000C627D">
        <w:t>; and</w:t>
      </w:r>
    </w:p>
    <w:p w:rsidR="0048607A" w:rsidRPr="000C627D" w:rsidRDefault="0065187E" w:rsidP="0065187E">
      <w:pPr>
        <w:pStyle w:val="paragraph"/>
        <w:rPr>
          <w:i/>
        </w:rPr>
      </w:pPr>
      <w:r w:rsidRPr="000C627D">
        <w:tab/>
        <w:t>(b)</w:t>
      </w:r>
      <w:r w:rsidRPr="000C627D">
        <w:tab/>
      </w:r>
      <w:r w:rsidR="00C271DB" w:rsidRPr="000C627D">
        <w:t xml:space="preserve">the mark must </w:t>
      </w:r>
      <w:r w:rsidRPr="000C627D">
        <w:t>be in English</w:t>
      </w:r>
      <w:r w:rsidRPr="000C627D">
        <w:rPr>
          <w:i/>
        </w:rPr>
        <w:t>.</w:t>
      </w:r>
    </w:p>
    <w:p w:rsidR="001572C6" w:rsidRPr="000C627D" w:rsidRDefault="001572C6" w:rsidP="001572C6">
      <w:pPr>
        <w:pStyle w:val="subsection"/>
      </w:pPr>
      <w:r w:rsidRPr="000C627D">
        <w:tab/>
        <w:t>(4)</w:t>
      </w:r>
      <w:r w:rsidRPr="000C627D">
        <w:tab/>
        <w:t xml:space="preserve">A reference in </w:t>
      </w:r>
      <w:r w:rsidR="000C627D" w:rsidRPr="000C627D">
        <w:t>paragraph (</w:t>
      </w:r>
      <w:r w:rsidRPr="000C627D">
        <w:t xml:space="preserve">3)(a) to an emissions standard is a reference to that standard as in force </w:t>
      </w:r>
      <w:r w:rsidR="00E13E69" w:rsidRPr="000C627D">
        <w:t>at</w:t>
      </w:r>
      <w:r w:rsidRPr="000C627D">
        <w:t xml:space="preserve"> the commencement of the relevant item of the table in subsection</w:t>
      </w:r>
      <w:r w:rsidR="000C627D" w:rsidRPr="000C627D">
        <w:t> </w:t>
      </w:r>
      <w:r w:rsidR="006E7CE6" w:rsidRPr="000C627D">
        <w:t>26</w:t>
      </w:r>
      <w:r w:rsidRPr="000C627D">
        <w:t>(1).</w:t>
      </w:r>
    </w:p>
    <w:p w:rsidR="00C20D22" w:rsidRPr="000C627D" w:rsidRDefault="00C20D22" w:rsidP="008F256B">
      <w:pPr>
        <w:pStyle w:val="ActHead2"/>
        <w:pageBreakBefore/>
      </w:pPr>
      <w:bookmarkStart w:id="57" w:name="_Toc500512599"/>
      <w:r w:rsidRPr="000C627D">
        <w:rPr>
          <w:rStyle w:val="CharPartNo"/>
        </w:rPr>
        <w:t>Part</w:t>
      </w:r>
      <w:r w:rsidR="000C627D" w:rsidRPr="000C627D">
        <w:rPr>
          <w:rStyle w:val="CharPartNo"/>
        </w:rPr>
        <w:t> </w:t>
      </w:r>
      <w:r w:rsidR="003E3017" w:rsidRPr="000C627D">
        <w:rPr>
          <w:rStyle w:val="CharPartNo"/>
        </w:rPr>
        <w:t>7</w:t>
      </w:r>
      <w:r w:rsidRPr="000C627D">
        <w:t>—</w:t>
      </w:r>
      <w:r w:rsidRPr="000C627D">
        <w:rPr>
          <w:rStyle w:val="CharPartText"/>
        </w:rPr>
        <w:t>Record</w:t>
      </w:r>
      <w:r w:rsidR="008747B5" w:rsidRPr="000C627D">
        <w:rPr>
          <w:rStyle w:val="CharPartText"/>
        </w:rPr>
        <w:t xml:space="preserve"> </w:t>
      </w:r>
      <w:r w:rsidRPr="000C627D">
        <w:rPr>
          <w:rStyle w:val="CharPartText"/>
        </w:rPr>
        <w:t>keeping</w:t>
      </w:r>
      <w:bookmarkEnd w:id="57"/>
    </w:p>
    <w:p w:rsidR="00660623" w:rsidRPr="000C627D" w:rsidRDefault="00660623" w:rsidP="00660623">
      <w:pPr>
        <w:pStyle w:val="Header"/>
      </w:pPr>
      <w:r w:rsidRPr="000C627D">
        <w:rPr>
          <w:rStyle w:val="CharDivNo"/>
        </w:rPr>
        <w:t xml:space="preserve"> </w:t>
      </w:r>
      <w:r w:rsidRPr="000C627D">
        <w:rPr>
          <w:rStyle w:val="CharDivText"/>
        </w:rPr>
        <w:t xml:space="preserve"> </w:t>
      </w:r>
    </w:p>
    <w:p w:rsidR="001A32BF" w:rsidRPr="000C627D" w:rsidRDefault="006E7CE6" w:rsidP="001A32BF">
      <w:pPr>
        <w:pStyle w:val="ActHead5"/>
      </w:pPr>
      <w:bookmarkStart w:id="58" w:name="_Toc500512600"/>
      <w:r w:rsidRPr="000C627D">
        <w:rPr>
          <w:rStyle w:val="CharSectno"/>
        </w:rPr>
        <w:t>40</w:t>
      </w:r>
      <w:r w:rsidR="001A32BF" w:rsidRPr="000C627D">
        <w:t xml:space="preserve">  Record</w:t>
      </w:r>
      <w:r w:rsidR="000C627D">
        <w:noBreakHyphen/>
      </w:r>
      <w:r w:rsidR="001A32BF" w:rsidRPr="000C627D">
        <w:t>keeping</w:t>
      </w:r>
      <w:r w:rsidR="008747B5" w:rsidRPr="000C627D">
        <w:t xml:space="preserve"> requirements</w:t>
      </w:r>
      <w:bookmarkEnd w:id="58"/>
    </w:p>
    <w:p w:rsidR="008E3486" w:rsidRPr="000C627D" w:rsidRDefault="00DC25DD" w:rsidP="008A6E71">
      <w:pPr>
        <w:pStyle w:val="subsection"/>
      </w:pPr>
      <w:r w:rsidRPr="000C627D">
        <w:tab/>
      </w:r>
      <w:r w:rsidR="008A6E71" w:rsidRPr="000C627D">
        <w:t>(1)</w:t>
      </w:r>
      <w:r w:rsidR="00874F78" w:rsidRPr="000C627D">
        <w:tab/>
        <w:t>For the purposes of subsection</w:t>
      </w:r>
      <w:r w:rsidR="000C627D" w:rsidRPr="000C627D">
        <w:t> </w:t>
      </w:r>
      <w:r w:rsidR="00874F78" w:rsidRPr="000C627D">
        <w:t xml:space="preserve">20(1) of the Act, </w:t>
      </w:r>
      <w:r w:rsidR="008508EC" w:rsidRPr="000C627D">
        <w:t>a</w:t>
      </w:r>
      <w:r w:rsidR="00874F78" w:rsidRPr="000C627D">
        <w:t xml:space="preserve"> person </w:t>
      </w:r>
      <w:r w:rsidR="008A6E71" w:rsidRPr="000C627D">
        <w:t xml:space="preserve">(the </w:t>
      </w:r>
      <w:r w:rsidR="008747B5" w:rsidRPr="000C627D">
        <w:rPr>
          <w:b/>
          <w:i/>
        </w:rPr>
        <w:t xml:space="preserve">record </w:t>
      </w:r>
      <w:r w:rsidR="008A6E71" w:rsidRPr="000C627D">
        <w:rPr>
          <w:b/>
          <w:i/>
        </w:rPr>
        <w:t>keeper</w:t>
      </w:r>
      <w:r w:rsidR="008A6E71" w:rsidRPr="000C627D">
        <w:t xml:space="preserve">) </w:t>
      </w:r>
      <w:r w:rsidR="00874F78" w:rsidRPr="000C627D">
        <w:t>who imports or supplies emissions</w:t>
      </w:r>
      <w:r w:rsidR="000C627D">
        <w:noBreakHyphen/>
      </w:r>
      <w:r w:rsidR="00874F78" w:rsidRPr="000C627D">
        <w:t>controlled product</w:t>
      </w:r>
      <w:r w:rsidR="00CF5030" w:rsidRPr="000C627D">
        <w:t xml:space="preserve">s </w:t>
      </w:r>
      <w:r w:rsidRPr="000C627D">
        <w:t xml:space="preserve">during a </w:t>
      </w:r>
      <w:r w:rsidR="00CF5030" w:rsidRPr="000C627D">
        <w:t>financial year</w:t>
      </w:r>
      <w:r w:rsidR="00874F78" w:rsidRPr="000C627D">
        <w:t xml:space="preserve"> must</w:t>
      </w:r>
      <w:r w:rsidR="008A6E71" w:rsidRPr="000C627D">
        <w:t xml:space="preserve"> </w:t>
      </w:r>
      <w:r w:rsidR="00CF5030" w:rsidRPr="000C627D">
        <w:t xml:space="preserve">make records </w:t>
      </w:r>
      <w:r w:rsidR="00CE2791" w:rsidRPr="000C627D">
        <w:t xml:space="preserve">that would be </w:t>
      </w:r>
      <w:r w:rsidR="00CF5030" w:rsidRPr="000C627D">
        <w:t xml:space="preserve">sufficient to </w:t>
      </w:r>
      <w:r w:rsidR="00CE2791" w:rsidRPr="000C627D">
        <w:t xml:space="preserve">satisfy the Secretary of the </w:t>
      </w:r>
      <w:r w:rsidR="00CF5030" w:rsidRPr="000C627D">
        <w:t>following:</w:t>
      </w:r>
    </w:p>
    <w:p w:rsidR="008A6E71" w:rsidRPr="000C627D" w:rsidRDefault="008A6E71" w:rsidP="008A6E71">
      <w:pPr>
        <w:pStyle w:val="paragraph"/>
      </w:pPr>
      <w:r w:rsidRPr="000C627D">
        <w:tab/>
        <w:t>(a)</w:t>
      </w:r>
      <w:r w:rsidRPr="000C627D">
        <w:tab/>
        <w:t>the identit</w:t>
      </w:r>
      <w:r w:rsidR="0083719A" w:rsidRPr="000C627D">
        <w:t>ies</w:t>
      </w:r>
      <w:r w:rsidRPr="000C627D">
        <w:t xml:space="preserve"> and quantities of the products;</w:t>
      </w:r>
    </w:p>
    <w:p w:rsidR="003E4824" w:rsidRPr="000C627D" w:rsidRDefault="003E4824" w:rsidP="003E4824">
      <w:pPr>
        <w:pStyle w:val="paragraph"/>
      </w:pPr>
      <w:r w:rsidRPr="000C627D">
        <w:tab/>
        <w:t>(b)</w:t>
      </w:r>
      <w:r w:rsidRPr="000C627D">
        <w:tab/>
        <w:t>the identities of the persons (if any) who supplied the products to the record keeper in Australia (whether before or during the year);</w:t>
      </w:r>
    </w:p>
    <w:p w:rsidR="00CF5030" w:rsidRPr="000C627D" w:rsidRDefault="003E4824" w:rsidP="008A6E71">
      <w:pPr>
        <w:pStyle w:val="paragraph"/>
      </w:pPr>
      <w:r w:rsidRPr="000C627D">
        <w:tab/>
        <w:t>(c</w:t>
      </w:r>
      <w:r w:rsidR="00CF5030" w:rsidRPr="000C627D">
        <w:t>)</w:t>
      </w:r>
      <w:r w:rsidR="00CF5030" w:rsidRPr="000C627D">
        <w:tab/>
        <w:t>whether the</w:t>
      </w:r>
      <w:r w:rsidR="008A6E71" w:rsidRPr="000C627D">
        <w:t xml:space="preserve"> products are </w:t>
      </w:r>
      <w:r w:rsidR="00CF5030" w:rsidRPr="000C627D">
        <w:t>Australian certified or foreign certified;</w:t>
      </w:r>
    </w:p>
    <w:p w:rsidR="004D6F10" w:rsidRPr="000C627D" w:rsidRDefault="004D6F10" w:rsidP="004D6F10">
      <w:pPr>
        <w:pStyle w:val="paragraph"/>
      </w:pPr>
      <w:r w:rsidRPr="000C627D">
        <w:tab/>
        <w:t>(d)</w:t>
      </w:r>
      <w:r w:rsidRPr="000C627D">
        <w:tab/>
        <w:t>for each of the products that is Australian certified—the Australian certification number of the applicable Australian certificate of conformity;</w:t>
      </w:r>
    </w:p>
    <w:p w:rsidR="004D6F10" w:rsidRPr="000C627D" w:rsidRDefault="004D6F10" w:rsidP="004D6F10">
      <w:pPr>
        <w:pStyle w:val="paragraph"/>
      </w:pPr>
      <w:r w:rsidRPr="000C627D">
        <w:tab/>
        <w:t>(e)</w:t>
      </w:r>
      <w:r w:rsidRPr="000C627D">
        <w:tab/>
        <w:t xml:space="preserve">for each of the products that is foreign certified—the number of the </w:t>
      </w:r>
      <w:r w:rsidR="00702DD4" w:rsidRPr="000C627D">
        <w:t xml:space="preserve">applicable </w:t>
      </w:r>
      <w:r w:rsidRPr="000C627D">
        <w:t>foreign certificate of conformity;</w:t>
      </w:r>
    </w:p>
    <w:p w:rsidR="008A6E71" w:rsidRPr="000C627D" w:rsidRDefault="008A6E71" w:rsidP="008A6E71">
      <w:pPr>
        <w:pStyle w:val="paragraph"/>
      </w:pPr>
      <w:r w:rsidRPr="000C627D">
        <w:tab/>
        <w:t>(</w:t>
      </w:r>
      <w:r w:rsidR="004D6F10" w:rsidRPr="000C627D">
        <w:t>f</w:t>
      </w:r>
      <w:r w:rsidRPr="000C627D">
        <w:t>)</w:t>
      </w:r>
      <w:r w:rsidRPr="000C627D">
        <w:tab/>
        <w:t>for each of the products</w:t>
      </w:r>
      <w:r w:rsidR="0083719A" w:rsidRPr="000C627D">
        <w:t xml:space="preserve"> </w:t>
      </w:r>
      <w:r w:rsidR="007D1880" w:rsidRPr="000C627D">
        <w:t xml:space="preserve">(if any) </w:t>
      </w:r>
      <w:r w:rsidR="0083719A" w:rsidRPr="000C627D">
        <w:t>that the record</w:t>
      </w:r>
      <w:r w:rsidR="008747B5" w:rsidRPr="000C627D">
        <w:t xml:space="preserve"> </w:t>
      </w:r>
      <w:r w:rsidR="0083719A" w:rsidRPr="000C627D">
        <w:t>keeper supplie</w:t>
      </w:r>
      <w:r w:rsidR="00650D46" w:rsidRPr="000C627D">
        <w:t>s</w:t>
      </w:r>
      <w:r w:rsidR="0083719A" w:rsidRPr="000C627D">
        <w:t xml:space="preserve"> to a person (the </w:t>
      </w:r>
      <w:r w:rsidR="0083719A" w:rsidRPr="000C627D">
        <w:rPr>
          <w:b/>
          <w:i/>
        </w:rPr>
        <w:t>recipient</w:t>
      </w:r>
      <w:r w:rsidR="0083719A" w:rsidRPr="000C627D">
        <w:t>) during the year</w:t>
      </w:r>
      <w:r w:rsidRPr="000C627D">
        <w:t>:</w:t>
      </w:r>
    </w:p>
    <w:p w:rsidR="0083719A" w:rsidRPr="000C627D" w:rsidRDefault="00650D46" w:rsidP="00650D46">
      <w:pPr>
        <w:pStyle w:val="paragraphsub"/>
      </w:pPr>
      <w:r w:rsidRPr="000C627D">
        <w:tab/>
        <w:t>(</w:t>
      </w:r>
      <w:proofErr w:type="spellStart"/>
      <w:r w:rsidRPr="000C627D">
        <w:t>i</w:t>
      </w:r>
      <w:proofErr w:type="spellEnd"/>
      <w:r w:rsidRPr="000C627D">
        <w:t>)</w:t>
      </w:r>
      <w:r w:rsidRPr="000C627D">
        <w:tab/>
        <w:t xml:space="preserve">that it was reasonable for the record keeper not to believe that </w:t>
      </w:r>
      <w:r w:rsidR="0083719A" w:rsidRPr="000C627D">
        <w:t>the recipient intended to supply the product to another person; or</w:t>
      </w:r>
    </w:p>
    <w:p w:rsidR="008A6E71" w:rsidRPr="000C627D" w:rsidRDefault="008A6E71" w:rsidP="0083719A">
      <w:pPr>
        <w:pStyle w:val="paragraphsub"/>
      </w:pPr>
      <w:r w:rsidRPr="000C627D">
        <w:tab/>
        <w:t>(ii)</w:t>
      </w:r>
      <w:r w:rsidRPr="000C627D">
        <w:tab/>
        <w:t xml:space="preserve">the identity of the </w:t>
      </w:r>
      <w:r w:rsidR="0083719A" w:rsidRPr="000C627D">
        <w:t>recipient</w:t>
      </w:r>
      <w:r w:rsidR="00922E00" w:rsidRPr="000C627D">
        <w:t>;</w:t>
      </w:r>
    </w:p>
    <w:p w:rsidR="00922E00" w:rsidRPr="000C627D" w:rsidRDefault="00922E00" w:rsidP="00922E00">
      <w:pPr>
        <w:pStyle w:val="paragraph"/>
      </w:pPr>
      <w:r w:rsidRPr="000C627D">
        <w:tab/>
        <w:t>(g)</w:t>
      </w:r>
      <w:r w:rsidRPr="000C627D">
        <w:tab/>
        <w:t>for each importation or supply under an exemption—that the conditions to which the exemption is subject have been complied with.</w:t>
      </w:r>
    </w:p>
    <w:p w:rsidR="00CF5030" w:rsidRPr="000C627D" w:rsidRDefault="008A6E71" w:rsidP="008A6E71">
      <w:pPr>
        <w:pStyle w:val="subsection"/>
      </w:pPr>
      <w:r w:rsidRPr="000C627D">
        <w:tab/>
        <w:t>(2)</w:t>
      </w:r>
      <w:r w:rsidRPr="000C627D">
        <w:tab/>
        <w:t>The record</w:t>
      </w:r>
      <w:r w:rsidR="008747B5" w:rsidRPr="000C627D">
        <w:t xml:space="preserve"> </w:t>
      </w:r>
      <w:r w:rsidRPr="000C627D">
        <w:t xml:space="preserve">keeper must keep the records </w:t>
      </w:r>
      <w:r w:rsidR="00DC25DD" w:rsidRPr="000C627D">
        <w:t xml:space="preserve">until </w:t>
      </w:r>
      <w:r w:rsidRPr="000C627D">
        <w:t>5</w:t>
      </w:r>
      <w:r w:rsidR="00DC25DD" w:rsidRPr="000C627D">
        <w:t xml:space="preserve"> years after the end of the </w:t>
      </w:r>
      <w:r w:rsidRPr="000C627D">
        <w:t xml:space="preserve">financial </w:t>
      </w:r>
      <w:r w:rsidR="00CF5030" w:rsidRPr="000C627D">
        <w:t>year.</w:t>
      </w:r>
    </w:p>
    <w:p w:rsidR="008747B5" w:rsidRPr="000C627D" w:rsidRDefault="006E7CE6" w:rsidP="008747B5">
      <w:pPr>
        <w:pStyle w:val="ActHead5"/>
      </w:pPr>
      <w:bookmarkStart w:id="59" w:name="_Toc500512601"/>
      <w:r w:rsidRPr="000C627D">
        <w:rPr>
          <w:rStyle w:val="CharSectno"/>
        </w:rPr>
        <w:t>41</w:t>
      </w:r>
      <w:r w:rsidR="008747B5" w:rsidRPr="000C627D">
        <w:t xml:space="preserve">  Reporting on supply of products manufactured in Australia</w:t>
      </w:r>
      <w:bookmarkEnd w:id="59"/>
    </w:p>
    <w:p w:rsidR="008747B5" w:rsidRPr="000C627D" w:rsidRDefault="008747B5" w:rsidP="0016434E">
      <w:pPr>
        <w:pStyle w:val="subsection"/>
      </w:pPr>
      <w:r w:rsidRPr="000C627D">
        <w:tab/>
        <w:t>(1)</w:t>
      </w:r>
      <w:r w:rsidRPr="000C627D">
        <w:tab/>
        <w:t>For the purposes of subsection</w:t>
      </w:r>
      <w:r w:rsidR="000C627D" w:rsidRPr="000C627D">
        <w:t> </w:t>
      </w:r>
      <w:r w:rsidRPr="000C627D">
        <w:t xml:space="preserve">22(1) of the Act, </w:t>
      </w:r>
      <w:r w:rsidR="0011748A" w:rsidRPr="000C627D">
        <w:t xml:space="preserve">a </w:t>
      </w:r>
      <w:r w:rsidR="00650D46" w:rsidRPr="000C627D">
        <w:t xml:space="preserve">reporting period of a </w:t>
      </w:r>
      <w:r w:rsidR="0011748A" w:rsidRPr="000C627D">
        <w:t xml:space="preserve">financial year </w:t>
      </w:r>
      <w:r w:rsidR="00650D46" w:rsidRPr="000C627D">
        <w:t xml:space="preserve">is </w:t>
      </w:r>
      <w:r w:rsidR="0011748A" w:rsidRPr="000C627D">
        <w:t>prescribed for an emissions</w:t>
      </w:r>
      <w:r w:rsidR="000C627D">
        <w:noBreakHyphen/>
      </w:r>
      <w:r w:rsidR="0011748A" w:rsidRPr="000C627D">
        <w:t>controlled product</w:t>
      </w:r>
      <w:r w:rsidR="0016434E" w:rsidRPr="000C627D">
        <w:t xml:space="preserve"> that has not been imported.</w:t>
      </w:r>
    </w:p>
    <w:p w:rsidR="0011748A" w:rsidRPr="000C627D" w:rsidRDefault="0011748A" w:rsidP="007D1880">
      <w:pPr>
        <w:pStyle w:val="subsection"/>
      </w:pPr>
      <w:r w:rsidRPr="000C627D">
        <w:tab/>
        <w:t>(2)</w:t>
      </w:r>
      <w:r w:rsidRPr="000C627D">
        <w:tab/>
        <w:t>For the purposes of subsection</w:t>
      </w:r>
      <w:r w:rsidR="000C627D" w:rsidRPr="000C627D">
        <w:t> </w:t>
      </w:r>
      <w:r w:rsidRPr="000C627D">
        <w:t xml:space="preserve">22(2) of the Act, </w:t>
      </w:r>
      <w:r w:rsidR="007D1880" w:rsidRPr="000C627D">
        <w:t xml:space="preserve">information that would be sufficient to satisfy the Secretary of the following in relation to </w:t>
      </w:r>
      <w:r w:rsidRPr="000C627D">
        <w:t xml:space="preserve">the </w:t>
      </w:r>
      <w:r w:rsidR="007D1880" w:rsidRPr="000C627D">
        <w:t>Australian</w:t>
      </w:r>
      <w:r w:rsidR="000C627D">
        <w:noBreakHyphen/>
      </w:r>
      <w:r w:rsidR="007D1880" w:rsidRPr="000C627D">
        <w:t xml:space="preserve">manufactured </w:t>
      </w:r>
      <w:r w:rsidRPr="000C627D">
        <w:t>emissions</w:t>
      </w:r>
      <w:r w:rsidR="000C627D">
        <w:noBreakHyphen/>
      </w:r>
      <w:r w:rsidRPr="000C627D">
        <w:t>controlled products that a person has supplied</w:t>
      </w:r>
      <w:r w:rsidR="007D1880" w:rsidRPr="000C627D">
        <w:t xml:space="preserve"> as mentioned in that subsection</w:t>
      </w:r>
      <w:r w:rsidRPr="000C627D">
        <w:t xml:space="preserve"> during a reporting period for the products is prescribed:</w:t>
      </w:r>
    </w:p>
    <w:p w:rsidR="00E14316" w:rsidRPr="000C627D" w:rsidRDefault="007D1880" w:rsidP="007D1880">
      <w:pPr>
        <w:pStyle w:val="paragraph"/>
      </w:pPr>
      <w:r w:rsidRPr="000C627D">
        <w:tab/>
        <w:t>(a)</w:t>
      </w:r>
      <w:r w:rsidRPr="000C627D">
        <w:tab/>
        <w:t>the identities</w:t>
      </w:r>
      <w:r w:rsidR="00E14316" w:rsidRPr="000C627D">
        <w:t xml:space="preserve"> and</w:t>
      </w:r>
      <w:r w:rsidR="00A44B12" w:rsidRPr="000C627D">
        <w:t xml:space="preserve"> </w:t>
      </w:r>
      <w:r w:rsidRPr="000C627D">
        <w:t>quantities</w:t>
      </w:r>
      <w:r w:rsidR="00E14316" w:rsidRPr="000C627D">
        <w:t xml:space="preserve"> of the products;</w:t>
      </w:r>
    </w:p>
    <w:p w:rsidR="00095E8F" w:rsidRPr="000C627D" w:rsidRDefault="00E14316" w:rsidP="007D1880">
      <w:pPr>
        <w:pStyle w:val="paragraph"/>
      </w:pPr>
      <w:r w:rsidRPr="000C627D">
        <w:tab/>
        <w:t>(b)</w:t>
      </w:r>
      <w:r w:rsidRPr="000C627D">
        <w:tab/>
        <w:t xml:space="preserve">the </w:t>
      </w:r>
      <w:r w:rsidR="00095E8F" w:rsidRPr="000C627D">
        <w:t xml:space="preserve">price </w:t>
      </w:r>
      <w:r w:rsidR="003C03C4" w:rsidRPr="000C627D">
        <w:t xml:space="preserve">(excluding GST) </w:t>
      </w:r>
      <w:r w:rsidR="00095E8F" w:rsidRPr="000C627D">
        <w:t xml:space="preserve">of the </w:t>
      </w:r>
      <w:r w:rsidR="003C03C4" w:rsidRPr="000C627D">
        <w:t>products</w:t>
      </w:r>
      <w:r w:rsidR="00095E8F" w:rsidRPr="000C627D">
        <w:t>;</w:t>
      </w:r>
    </w:p>
    <w:p w:rsidR="00A44B12" w:rsidRPr="000C627D" w:rsidRDefault="00A44B12" w:rsidP="007D1880">
      <w:pPr>
        <w:pStyle w:val="paragraph"/>
      </w:pPr>
      <w:r w:rsidRPr="000C627D">
        <w:tab/>
        <w:t>(</w:t>
      </w:r>
      <w:r w:rsidR="00E14316" w:rsidRPr="000C627D">
        <w:t>c</w:t>
      </w:r>
      <w:r w:rsidRPr="000C627D">
        <w:t>)</w:t>
      </w:r>
      <w:r w:rsidRPr="000C627D">
        <w:tab/>
        <w:t>the dates o</w:t>
      </w:r>
      <w:r w:rsidR="00615E21" w:rsidRPr="000C627D">
        <w:t>f the supplies</w:t>
      </w:r>
      <w:r w:rsidRPr="000C627D">
        <w:t>;</w:t>
      </w:r>
    </w:p>
    <w:p w:rsidR="007D1880" w:rsidRPr="000C627D" w:rsidRDefault="007D1880" w:rsidP="007D1880">
      <w:pPr>
        <w:pStyle w:val="paragraph"/>
      </w:pPr>
      <w:r w:rsidRPr="000C627D">
        <w:tab/>
        <w:t>(</w:t>
      </w:r>
      <w:r w:rsidR="00E14316" w:rsidRPr="000C627D">
        <w:t>d</w:t>
      </w:r>
      <w:r w:rsidRPr="000C627D">
        <w:t>)</w:t>
      </w:r>
      <w:r w:rsidRPr="000C627D">
        <w:tab/>
        <w:t xml:space="preserve">whether the products </w:t>
      </w:r>
      <w:r w:rsidR="00A44B12" w:rsidRPr="000C627D">
        <w:t>were</w:t>
      </w:r>
      <w:r w:rsidRPr="000C627D">
        <w:t xml:space="preserve"> Australian certified or foreign certified;</w:t>
      </w:r>
    </w:p>
    <w:p w:rsidR="004D6F10" w:rsidRPr="000C627D" w:rsidRDefault="004D6F10" w:rsidP="004D6F10">
      <w:pPr>
        <w:pStyle w:val="paragraph"/>
      </w:pPr>
      <w:r w:rsidRPr="000C627D">
        <w:tab/>
        <w:t>(</w:t>
      </w:r>
      <w:r w:rsidR="00E14316" w:rsidRPr="000C627D">
        <w:t>e</w:t>
      </w:r>
      <w:r w:rsidRPr="000C627D">
        <w:t>)</w:t>
      </w:r>
      <w:r w:rsidRPr="000C627D">
        <w:tab/>
        <w:t xml:space="preserve">for each of the products that </w:t>
      </w:r>
      <w:r w:rsidR="00A44B12" w:rsidRPr="000C627D">
        <w:t>was</w:t>
      </w:r>
      <w:r w:rsidRPr="000C627D">
        <w:t xml:space="preserve"> Australian certified—the Australian certification number of the applicable Australian certificate of conformity;</w:t>
      </w:r>
    </w:p>
    <w:p w:rsidR="004D6F10" w:rsidRPr="000C627D" w:rsidRDefault="00E14316" w:rsidP="004D6F10">
      <w:pPr>
        <w:pStyle w:val="paragraph"/>
      </w:pPr>
      <w:r w:rsidRPr="000C627D">
        <w:tab/>
        <w:t>(f</w:t>
      </w:r>
      <w:r w:rsidR="004D6F10" w:rsidRPr="000C627D">
        <w:t>)</w:t>
      </w:r>
      <w:r w:rsidR="004D6F10" w:rsidRPr="000C627D">
        <w:tab/>
        <w:t xml:space="preserve">for each of the products that </w:t>
      </w:r>
      <w:r w:rsidR="00A44B12" w:rsidRPr="000C627D">
        <w:t>was</w:t>
      </w:r>
      <w:r w:rsidR="004D6F10" w:rsidRPr="000C627D">
        <w:t xml:space="preserve"> foreign certified—the number of the </w:t>
      </w:r>
      <w:r w:rsidR="00702DD4" w:rsidRPr="000C627D">
        <w:t>applicable</w:t>
      </w:r>
      <w:r w:rsidR="004D6F10" w:rsidRPr="000C627D">
        <w:t xml:space="preserve"> foreign certificate of conformity;</w:t>
      </w:r>
    </w:p>
    <w:p w:rsidR="007D1880" w:rsidRPr="000C627D" w:rsidRDefault="007D1880" w:rsidP="007D1880">
      <w:pPr>
        <w:pStyle w:val="paragraph"/>
      </w:pPr>
      <w:r w:rsidRPr="000C627D">
        <w:tab/>
        <w:t>(</w:t>
      </w:r>
      <w:r w:rsidR="00E14316" w:rsidRPr="000C627D">
        <w:t>g</w:t>
      </w:r>
      <w:r w:rsidRPr="000C627D">
        <w:t>)</w:t>
      </w:r>
      <w:r w:rsidRPr="000C627D">
        <w:tab/>
        <w:t>for each of the products:</w:t>
      </w:r>
    </w:p>
    <w:p w:rsidR="007D1880" w:rsidRPr="000C627D" w:rsidRDefault="007D1880" w:rsidP="00907CB7">
      <w:pPr>
        <w:pStyle w:val="paragraphsub"/>
      </w:pPr>
      <w:r w:rsidRPr="000C627D">
        <w:tab/>
        <w:t>(</w:t>
      </w:r>
      <w:proofErr w:type="spellStart"/>
      <w:r w:rsidRPr="000C627D">
        <w:t>i</w:t>
      </w:r>
      <w:proofErr w:type="spellEnd"/>
      <w:r w:rsidRPr="000C627D">
        <w:t>)</w:t>
      </w:r>
      <w:r w:rsidRPr="000C627D">
        <w:tab/>
        <w:t xml:space="preserve">that it was reasonable not to believe that the </w:t>
      </w:r>
      <w:r w:rsidR="00907CB7" w:rsidRPr="000C627D">
        <w:t xml:space="preserve">person (the </w:t>
      </w:r>
      <w:r w:rsidR="00907CB7" w:rsidRPr="000C627D">
        <w:rPr>
          <w:b/>
          <w:i/>
        </w:rPr>
        <w:t>recipient</w:t>
      </w:r>
      <w:r w:rsidR="00907CB7" w:rsidRPr="000C627D">
        <w:t xml:space="preserve">) to whom the product was supplied </w:t>
      </w:r>
      <w:r w:rsidRPr="000C627D">
        <w:t>intended to supply the product to another person; or</w:t>
      </w:r>
    </w:p>
    <w:p w:rsidR="007D1880" w:rsidRPr="000C627D" w:rsidRDefault="007D1880" w:rsidP="007D1880">
      <w:pPr>
        <w:pStyle w:val="paragraphsub"/>
      </w:pPr>
      <w:r w:rsidRPr="000C627D">
        <w:tab/>
        <w:t>(ii)</w:t>
      </w:r>
      <w:r w:rsidRPr="000C627D">
        <w:tab/>
        <w:t>the identity of the recipient.</w:t>
      </w:r>
    </w:p>
    <w:p w:rsidR="00095E8F" w:rsidRPr="000C627D" w:rsidRDefault="00095E8F" w:rsidP="00095E8F">
      <w:pPr>
        <w:pStyle w:val="subsection"/>
      </w:pPr>
      <w:r w:rsidRPr="000C627D">
        <w:tab/>
        <w:t>(3)</w:t>
      </w:r>
      <w:r w:rsidRPr="000C627D">
        <w:tab/>
        <w:t xml:space="preserve">The </w:t>
      </w:r>
      <w:r w:rsidRPr="000C627D">
        <w:rPr>
          <w:b/>
          <w:i/>
        </w:rPr>
        <w:t>price</w:t>
      </w:r>
      <w:r w:rsidRPr="000C627D">
        <w:t xml:space="preserve"> of a</w:t>
      </w:r>
      <w:r w:rsidR="003C03C4" w:rsidRPr="000C627D">
        <w:t>n emissions</w:t>
      </w:r>
      <w:r w:rsidR="000C627D">
        <w:noBreakHyphen/>
      </w:r>
      <w:r w:rsidR="003C03C4" w:rsidRPr="000C627D">
        <w:t>controlled product that is supplied as mentioned in subsection</w:t>
      </w:r>
      <w:r w:rsidR="000C627D" w:rsidRPr="000C627D">
        <w:t> </w:t>
      </w:r>
      <w:r w:rsidR="003C03C4" w:rsidRPr="000C627D">
        <w:t>22(2) of the Act is</w:t>
      </w:r>
      <w:r w:rsidRPr="000C627D">
        <w:t>:</w:t>
      </w:r>
    </w:p>
    <w:p w:rsidR="00095E8F" w:rsidRPr="000C627D" w:rsidRDefault="00095E8F" w:rsidP="00095E8F">
      <w:pPr>
        <w:pStyle w:val="paragraph"/>
      </w:pPr>
      <w:r w:rsidRPr="000C627D">
        <w:tab/>
        <w:t>(a)</w:t>
      </w:r>
      <w:r w:rsidRPr="000C627D">
        <w:tab/>
        <w:t>so far as the consideration for the supply is consideration expressed as an amount of money—the amount; and</w:t>
      </w:r>
    </w:p>
    <w:p w:rsidR="00095E8F" w:rsidRPr="000C627D" w:rsidRDefault="00095E8F" w:rsidP="00095E8F">
      <w:pPr>
        <w:pStyle w:val="paragraph"/>
      </w:pPr>
      <w:r w:rsidRPr="000C627D">
        <w:tab/>
        <w:t>(b)</w:t>
      </w:r>
      <w:r w:rsidRPr="000C627D">
        <w:tab/>
        <w:t xml:space="preserve">so far as the consideration is not consideration expressed as an amount of money—the GST inclusive market value (within the meaning of the </w:t>
      </w:r>
      <w:r w:rsidRPr="000C627D">
        <w:rPr>
          <w:i/>
        </w:rPr>
        <w:t>A New Tax System (Goods and Services Tax) Act 1999</w:t>
      </w:r>
      <w:r w:rsidRPr="000C627D">
        <w:t>) of that consideration.</w:t>
      </w:r>
    </w:p>
    <w:p w:rsidR="00C20D22" w:rsidRPr="000C627D" w:rsidRDefault="00C20D22" w:rsidP="00D05117">
      <w:pPr>
        <w:pStyle w:val="ActHead2"/>
        <w:pageBreakBefore/>
      </w:pPr>
      <w:bookmarkStart w:id="60" w:name="_Toc500512602"/>
      <w:r w:rsidRPr="000C627D">
        <w:rPr>
          <w:rStyle w:val="CharPartNo"/>
        </w:rPr>
        <w:t>Part</w:t>
      </w:r>
      <w:r w:rsidR="000C627D" w:rsidRPr="000C627D">
        <w:rPr>
          <w:rStyle w:val="CharPartNo"/>
        </w:rPr>
        <w:t> </w:t>
      </w:r>
      <w:r w:rsidR="003E3017" w:rsidRPr="000C627D">
        <w:rPr>
          <w:rStyle w:val="CharPartNo"/>
        </w:rPr>
        <w:t>8</w:t>
      </w:r>
      <w:r w:rsidRPr="000C627D">
        <w:t>—</w:t>
      </w:r>
      <w:r w:rsidRPr="000C627D">
        <w:rPr>
          <w:rStyle w:val="CharPartText"/>
        </w:rPr>
        <w:t>Fees</w:t>
      </w:r>
      <w:bookmarkEnd w:id="60"/>
    </w:p>
    <w:p w:rsidR="00853412" w:rsidRPr="000C627D" w:rsidRDefault="00853412" w:rsidP="00853412">
      <w:pPr>
        <w:pStyle w:val="Header"/>
      </w:pPr>
      <w:r w:rsidRPr="000C627D">
        <w:rPr>
          <w:rStyle w:val="CharDivNo"/>
        </w:rPr>
        <w:t xml:space="preserve"> </w:t>
      </w:r>
      <w:r w:rsidRPr="000C627D">
        <w:rPr>
          <w:rStyle w:val="CharDivText"/>
        </w:rPr>
        <w:t xml:space="preserve"> </w:t>
      </w:r>
    </w:p>
    <w:p w:rsidR="00B261DE" w:rsidRPr="000C627D" w:rsidRDefault="006E7CE6" w:rsidP="00B763C9">
      <w:pPr>
        <w:pStyle w:val="ActHead5"/>
      </w:pPr>
      <w:bookmarkStart w:id="61" w:name="_Toc500512603"/>
      <w:r w:rsidRPr="000C627D">
        <w:rPr>
          <w:rStyle w:val="CharSectno"/>
        </w:rPr>
        <w:t>42</w:t>
      </w:r>
      <w:r w:rsidR="00B261DE" w:rsidRPr="000C627D">
        <w:t xml:space="preserve">  Purpose</w:t>
      </w:r>
      <w:r w:rsidR="00B50A55" w:rsidRPr="000C627D">
        <w:t>s</w:t>
      </w:r>
      <w:r w:rsidR="00B261DE" w:rsidRPr="000C627D">
        <w:t xml:space="preserve"> of this Part</w:t>
      </w:r>
      <w:bookmarkEnd w:id="61"/>
    </w:p>
    <w:p w:rsidR="00B261DE" w:rsidRPr="000C627D" w:rsidRDefault="00B261DE" w:rsidP="00B261DE">
      <w:pPr>
        <w:pStyle w:val="subsection"/>
      </w:pPr>
      <w:r w:rsidRPr="000C627D">
        <w:tab/>
      </w:r>
      <w:r w:rsidRPr="000C627D">
        <w:tab/>
        <w:t>This Part is made for the purposes of paragraph</w:t>
      </w:r>
      <w:r w:rsidR="000C627D" w:rsidRPr="000C627D">
        <w:t> </w:t>
      </w:r>
      <w:r w:rsidRPr="000C627D">
        <w:t>51(2)(a) of the Act.</w:t>
      </w:r>
    </w:p>
    <w:p w:rsidR="00861876" w:rsidRPr="000C627D" w:rsidRDefault="006E7CE6" w:rsidP="00861876">
      <w:pPr>
        <w:pStyle w:val="ActHead5"/>
      </w:pPr>
      <w:bookmarkStart w:id="62" w:name="_Toc500512604"/>
      <w:r w:rsidRPr="000C627D">
        <w:rPr>
          <w:rStyle w:val="CharSectno"/>
        </w:rPr>
        <w:t>43</w:t>
      </w:r>
      <w:r w:rsidR="00861876" w:rsidRPr="000C627D">
        <w:t xml:space="preserve">  </w:t>
      </w:r>
      <w:r w:rsidR="00892E7B" w:rsidRPr="000C627D">
        <w:t>Charging f</w:t>
      </w:r>
      <w:r w:rsidR="00861876" w:rsidRPr="000C627D">
        <w:t>ees</w:t>
      </w:r>
      <w:bookmarkEnd w:id="62"/>
    </w:p>
    <w:p w:rsidR="00B261DE" w:rsidRPr="000C627D" w:rsidRDefault="00B261DE" w:rsidP="00B261DE">
      <w:pPr>
        <w:pStyle w:val="SubsectionHead"/>
      </w:pPr>
      <w:r w:rsidRPr="000C627D">
        <w:t>Applications for Australian certification</w:t>
      </w:r>
    </w:p>
    <w:p w:rsidR="00DC25DD" w:rsidRPr="000C627D" w:rsidRDefault="00DC25DD" w:rsidP="00DC25DD">
      <w:pPr>
        <w:pStyle w:val="subsection"/>
      </w:pPr>
      <w:r w:rsidRPr="000C627D">
        <w:tab/>
        <w:t>(1)</w:t>
      </w:r>
      <w:r w:rsidRPr="000C627D">
        <w:tab/>
        <w:t>The fee for receiving and processing an application</w:t>
      </w:r>
      <w:r w:rsidR="00B75A3D" w:rsidRPr="000C627D">
        <w:t xml:space="preserve"> made under subsection</w:t>
      </w:r>
      <w:r w:rsidR="000C627D" w:rsidRPr="000C627D">
        <w:t> </w:t>
      </w:r>
      <w:r w:rsidR="006E7CE6" w:rsidRPr="000C627D">
        <w:t>18</w:t>
      </w:r>
      <w:r w:rsidR="00B75A3D" w:rsidRPr="000C627D">
        <w:t>(1)</w:t>
      </w:r>
      <w:r w:rsidR="001F326D" w:rsidRPr="000C627D">
        <w:t xml:space="preserve"> of this instrument</w:t>
      </w:r>
      <w:r w:rsidR="00B75A3D" w:rsidRPr="000C627D">
        <w:t xml:space="preserve"> </w:t>
      </w:r>
      <w:r w:rsidRPr="000C627D">
        <w:t xml:space="preserve">is the amount set out in </w:t>
      </w:r>
      <w:r w:rsidR="00B75A3D" w:rsidRPr="000C627D">
        <w:t>the following table for that application.</w:t>
      </w:r>
    </w:p>
    <w:p w:rsidR="00B34A3C" w:rsidRPr="000C627D" w:rsidRDefault="00B34A3C" w:rsidP="00B75A3D">
      <w:pPr>
        <w:pStyle w:val="Tabletext"/>
      </w:pPr>
    </w:p>
    <w:tbl>
      <w:tblPr>
        <w:tblW w:w="821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69"/>
        <w:gridCol w:w="1134"/>
      </w:tblGrid>
      <w:tr w:rsidR="00DC25DD" w:rsidRPr="000C627D" w:rsidTr="00C04090">
        <w:trPr>
          <w:tblHeader/>
        </w:trPr>
        <w:tc>
          <w:tcPr>
            <w:tcW w:w="8217" w:type="dxa"/>
            <w:gridSpan w:val="3"/>
            <w:tcBorders>
              <w:top w:val="single" w:sz="12" w:space="0" w:color="auto"/>
              <w:bottom w:val="single" w:sz="6" w:space="0" w:color="auto"/>
            </w:tcBorders>
            <w:shd w:val="clear" w:color="auto" w:fill="auto"/>
          </w:tcPr>
          <w:p w:rsidR="00DC25DD" w:rsidRPr="000C627D" w:rsidRDefault="00DC25DD" w:rsidP="00DC25DD">
            <w:pPr>
              <w:pStyle w:val="TableHeading"/>
            </w:pPr>
            <w:r w:rsidRPr="000C627D">
              <w:t>Fees—applications for Australian certification</w:t>
            </w:r>
          </w:p>
        </w:tc>
      </w:tr>
      <w:tr w:rsidR="00DC25DD" w:rsidRPr="000C627D" w:rsidTr="00C04090">
        <w:trPr>
          <w:tblHeader/>
        </w:trPr>
        <w:tc>
          <w:tcPr>
            <w:tcW w:w="714" w:type="dxa"/>
            <w:tcBorders>
              <w:top w:val="single" w:sz="6" w:space="0" w:color="auto"/>
              <w:bottom w:val="single" w:sz="12" w:space="0" w:color="auto"/>
            </w:tcBorders>
            <w:shd w:val="clear" w:color="auto" w:fill="auto"/>
          </w:tcPr>
          <w:p w:rsidR="00DC25DD" w:rsidRPr="000C627D" w:rsidRDefault="00DC25DD" w:rsidP="008A6E71">
            <w:pPr>
              <w:pStyle w:val="TableHeading"/>
            </w:pPr>
            <w:r w:rsidRPr="000C627D">
              <w:t>Item</w:t>
            </w:r>
          </w:p>
        </w:tc>
        <w:tc>
          <w:tcPr>
            <w:tcW w:w="6369" w:type="dxa"/>
            <w:tcBorders>
              <w:top w:val="single" w:sz="6" w:space="0" w:color="auto"/>
              <w:bottom w:val="single" w:sz="12" w:space="0" w:color="auto"/>
            </w:tcBorders>
            <w:shd w:val="clear" w:color="auto" w:fill="auto"/>
          </w:tcPr>
          <w:p w:rsidR="00DC25DD" w:rsidRPr="000C627D" w:rsidRDefault="00DC25DD" w:rsidP="008A6E71">
            <w:pPr>
              <w:pStyle w:val="TableHeading"/>
            </w:pPr>
            <w:r w:rsidRPr="000C627D">
              <w:t>Column 1</w:t>
            </w:r>
          </w:p>
          <w:p w:rsidR="00DC25DD" w:rsidRPr="000C627D" w:rsidRDefault="00B75A3D" w:rsidP="00B75A3D">
            <w:pPr>
              <w:pStyle w:val="TableHeading"/>
            </w:pPr>
            <w:r w:rsidRPr="000C627D">
              <w:t>Application</w:t>
            </w:r>
          </w:p>
        </w:tc>
        <w:tc>
          <w:tcPr>
            <w:tcW w:w="1134" w:type="dxa"/>
            <w:tcBorders>
              <w:top w:val="single" w:sz="6" w:space="0" w:color="auto"/>
              <w:bottom w:val="single" w:sz="12" w:space="0" w:color="auto"/>
            </w:tcBorders>
            <w:shd w:val="clear" w:color="auto" w:fill="auto"/>
          </w:tcPr>
          <w:p w:rsidR="00DC25DD" w:rsidRPr="000C627D" w:rsidRDefault="00DC25DD" w:rsidP="00BF1B61">
            <w:pPr>
              <w:pStyle w:val="TableHeading"/>
              <w:jc w:val="center"/>
            </w:pPr>
            <w:r w:rsidRPr="000C627D">
              <w:t>Column 2</w:t>
            </w:r>
          </w:p>
          <w:p w:rsidR="00DC25DD" w:rsidRPr="000C627D" w:rsidRDefault="00B75A3D" w:rsidP="00BF1B61">
            <w:pPr>
              <w:pStyle w:val="TableHeading"/>
              <w:jc w:val="center"/>
            </w:pPr>
            <w:r w:rsidRPr="000C627D">
              <w:t>Fee</w:t>
            </w:r>
            <w:r w:rsidR="00BF1B61" w:rsidRPr="000C627D">
              <w:t xml:space="preserve"> ($)</w:t>
            </w:r>
          </w:p>
        </w:tc>
      </w:tr>
      <w:tr w:rsidR="00DC25DD" w:rsidRPr="000C627D" w:rsidTr="00C04090">
        <w:tc>
          <w:tcPr>
            <w:tcW w:w="714" w:type="dxa"/>
            <w:tcBorders>
              <w:top w:val="single" w:sz="12" w:space="0" w:color="auto"/>
              <w:bottom w:val="single" w:sz="2" w:space="0" w:color="auto"/>
            </w:tcBorders>
            <w:shd w:val="clear" w:color="auto" w:fill="auto"/>
          </w:tcPr>
          <w:p w:rsidR="00DC25DD" w:rsidRPr="000C627D" w:rsidRDefault="00DC25DD" w:rsidP="00BF1B61">
            <w:pPr>
              <w:pStyle w:val="Tabletext"/>
            </w:pPr>
            <w:r w:rsidRPr="000C627D">
              <w:t>1</w:t>
            </w:r>
          </w:p>
        </w:tc>
        <w:tc>
          <w:tcPr>
            <w:tcW w:w="6369" w:type="dxa"/>
            <w:tcBorders>
              <w:top w:val="single" w:sz="12" w:space="0" w:color="auto"/>
              <w:bottom w:val="single" w:sz="2" w:space="0" w:color="auto"/>
            </w:tcBorders>
            <w:shd w:val="clear" w:color="auto" w:fill="auto"/>
          </w:tcPr>
          <w:p w:rsidR="00DC25DD" w:rsidRPr="000C627D" w:rsidRDefault="00B75A3D" w:rsidP="00BF1B61">
            <w:pPr>
              <w:pStyle w:val="Tabletext"/>
            </w:pPr>
            <w:r w:rsidRPr="000C627D">
              <w:t>an application for which the relevant emissions testing was carried out at a test facility that was accredited as mentioned in paragraph</w:t>
            </w:r>
            <w:r w:rsidR="000C627D" w:rsidRPr="000C627D">
              <w:t> </w:t>
            </w:r>
            <w:r w:rsidR="006E7CE6" w:rsidRPr="000C627D">
              <w:t>13</w:t>
            </w:r>
            <w:r w:rsidRPr="000C627D">
              <w:t>(1)(a)</w:t>
            </w:r>
          </w:p>
        </w:tc>
        <w:tc>
          <w:tcPr>
            <w:tcW w:w="1134" w:type="dxa"/>
            <w:tcBorders>
              <w:top w:val="single" w:sz="12" w:space="0" w:color="auto"/>
              <w:bottom w:val="single" w:sz="2" w:space="0" w:color="auto"/>
            </w:tcBorders>
            <w:shd w:val="clear" w:color="auto" w:fill="auto"/>
          </w:tcPr>
          <w:p w:rsidR="00DC25DD" w:rsidRPr="000C627D" w:rsidRDefault="00B75A3D" w:rsidP="00BF1B61">
            <w:pPr>
              <w:pStyle w:val="Tabletext"/>
              <w:tabs>
                <w:tab w:val="decimal" w:pos="640"/>
              </w:tabs>
            </w:pPr>
            <w:r w:rsidRPr="000C627D">
              <w:t>1,330</w:t>
            </w:r>
          </w:p>
        </w:tc>
      </w:tr>
      <w:tr w:rsidR="00DC25DD" w:rsidRPr="000C627D" w:rsidTr="00C04090">
        <w:tc>
          <w:tcPr>
            <w:tcW w:w="714" w:type="dxa"/>
            <w:tcBorders>
              <w:top w:val="single" w:sz="2" w:space="0" w:color="auto"/>
              <w:bottom w:val="single" w:sz="12" w:space="0" w:color="auto"/>
            </w:tcBorders>
            <w:shd w:val="clear" w:color="auto" w:fill="auto"/>
          </w:tcPr>
          <w:p w:rsidR="00DC25DD" w:rsidRPr="000C627D" w:rsidRDefault="00DC25DD" w:rsidP="00BF1B61">
            <w:pPr>
              <w:pStyle w:val="Tabletext"/>
            </w:pPr>
            <w:r w:rsidRPr="000C627D">
              <w:t>2</w:t>
            </w:r>
          </w:p>
        </w:tc>
        <w:tc>
          <w:tcPr>
            <w:tcW w:w="6369" w:type="dxa"/>
            <w:tcBorders>
              <w:top w:val="single" w:sz="2" w:space="0" w:color="auto"/>
              <w:bottom w:val="single" w:sz="12" w:space="0" w:color="auto"/>
            </w:tcBorders>
            <w:shd w:val="clear" w:color="auto" w:fill="auto"/>
          </w:tcPr>
          <w:p w:rsidR="00DC25DD" w:rsidRPr="000C627D" w:rsidRDefault="00B75A3D" w:rsidP="00BF1B61">
            <w:pPr>
              <w:pStyle w:val="Tabletext"/>
            </w:pPr>
            <w:r w:rsidRPr="000C627D">
              <w:t>any other application</w:t>
            </w:r>
          </w:p>
        </w:tc>
        <w:tc>
          <w:tcPr>
            <w:tcW w:w="1134" w:type="dxa"/>
            <w:tcBorders>
              <w:top w:val="single" w:sz="2" w:space="0" w:color="auto"/>
              <w:bottom w:val="single" w:sz="12" w:space="0" w:color="auto"/>
            </w:tcBorders>
            <w:shd w:val="clear" w:color="auto" w:fill="auto"/>
          </w:tcPr>
          <w:p w:rsidR="00DC25DD" w:rsidRPr="000C627D" w:rsidRDefault="00B75A3D" w:rsidP="00BF1B61">
            <w:pPr>
              <w:pStyle w:val="Tabletext"/>
              <w:tabs>
                <w:tab w:val="decimal" w:pos="640"/>
              </w:tabs>
            </w:pPr>
            <w:r w:rsidRPr="000C627D">
              <w:t>2,850</w:t>
            </w:r>
          </w:p>
        </w:tc>
      </w:tr>
    </w:tbl>
    <w:p w:rsidR="00BF51D6" w:rsidRPr="000C627D" w:rsidRDefault="00BF51D6" w:rsidP="00BF51D6">
      <w:pPr>
        <w:pStyle w:val="SubsectionHead"/>
      </w:pPr>
      <w:r w:rsidRPr="000C627D">
        <w:t>Applications for exemptions</w:t>
      </w:r>
    </w:p>
    <w:p w:rsidR="00B75A3D" w:rsidRPr="000C627D" w:rsidRDefault="00861876" w:rsidP="00861876">
      <w:pPr>
        <w:pStyle w:val="subsection"/>
      </w:pPr>
      <w:r w:rsidRPr="000C627D">
        <w:tab/>
        <w:t>(</w:t>
      </w:r>
      <w:r w:rsidR="00BF51D6" w:rsidRPr="000C627D">
        <w:t>2</w:t>
      </w:r>
      <w:r w:rsidRPr="000C627D">
        <w:t>)</w:t>
      </w:r>
      <w:r w:rsidRPr="000C627D">
        <w:tab/>
      </w:r>
      <w:r w:rsidR="00B261DE" w:rsidRPr="000C627D">
        <w:t>T</w:t>
      </w:r>
      <w:r w:rsidR="00BF51D6" w:rsidRPr="000C627D">
        <w:t xml:space="preserve">he </w:t>
      </w:r>
      <w:r w:rsidR="00B75A3D" w:rsidRPr="000C627D">
        <w:t>fee for receiving and processing an application made under subsection</w:t>
      </w:r>
      <w:r w:rsidR="000C627D" w:rsidRPr="000C627D">
        <w:t> </w:t>
      </w:r>
      <w:r w:rsidR="006E7CE6" w:rsidRPr="000C627D">
        <w:t>29</w:t>
      </w:r>
      <w:r w:rsidR="00B75A3D" w:rsidRPr="000C627D">
        <w:t>(1) is the amount set out in the following table for the exemption category nominated in the application.</w:t>
      </w:r>
    </w:p>
    <w:p w:rsidR="00861876" w:rsidRPr="000C627D" w:rsidRDefault="00861876" w:rsidP="00861876">
      <w:pPr>
        <w:pStyle w:val="Tabletext"/>
      </w:pPr>
    </w:p>
    <w:tbl>
      <w:tblPr>
        <w:tblW w:w="821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69"/>
        <w:gridCol w:w="1134"/>
      </w:tblGrid>
      <w:tr w:rsidR="00861876" w:rsidRPr="000C627D" w:rsidTr="00C04090">
        <w:trPr>
          <w:tblHeader/>
        </w:trPr>
        <w:tc>
          <w:tcPr>
            <w:tcW w:w="8217" w:type="dxa"/>
            <w:gridSpan w:val="3"/>
            <w:tcBorders>
              <w:top w:val="single" w:sz="12" w:space="0" w:color="auto"/>
              <w:bottom w:val="single" w:sz="6" w:space="0" w:color="auto"/>
            </w:tcBorders>
            <w:shd w:val="clear" w:color="auto" w:fill="auto"/>
          </w:tcPr>
          <w:p w:rsidR="00861876" w:rsidRPr="000C627D" w:rsidRDefault="00BF51D6" w:rsidP="00861876">
            <w:pPr>
              <w:pStyle w:val="TableHeading"/>
            </w:pPr>
            <w:r w:rsidRPr="000C627D">
              <w:t>Fees—applications for exemptions</w:t>
            </w:r>
          </w:p>
        </w:tc>
      </w:tr>
      <w:tr w:rsidR="00BF51D6" w:rsidRPr="000C627D" w:rsidTr="00C04090">
        <w:trPr>
          <w:tblHeader/>
        </w:trPr>
        <w:tc>
          <w:tcPr>
            <w:tcW w:w="714" w:type="dxa"/>
            <w:tcBorders>
              <w:top w:val="single" w:sz="6" w:space="0" w:color="auto"/>
              <w:bottom w:val="single" w:sz="12" w:space="0" w:color="auto"/>
            </w:tcBorders>
            <w:shd w:val="clear" w:color="auto" w:fill="auto"/>
          </w:tcPr>
          <w:p w:rsidR="00BF51D6" w:rsidRPr="000C627D" w:rsidRDefault="00BF51D6" w:rsidP="00861876">
            <w:pPr>
              <w:pStyle w:val="TableHeading"/>
            </w:pPr>
            <w:r w:rsidRPr="000C627D">
              <w:t>Item</w:t>
            </w:r>
          </w:p>
        </w:tc>
        <w:tc>
          <w:tcPr>
            <w:tcW w:w="6369" w:type="dxa"/>
            <w:tcBorders>
              <w:top w:val="single" w:sz="6" w:space="0" w:color="auto"/>
              <w:bottom w:val="single" w:sz="12" w:space="0" w:color="auto"/>
            </w:tcBorders>
            <w:shd w:val="clear" w:color="auto" w:fill="auto"/>
          </w:tcPr>
          <w:p w:rsidR="00BF51D6" w:rsidRPr="000C627D" w:rsidRDefault="00BF51D6" w:rsidP="00861876">
            <w:pPr>
              <w:pStyle w:val="TableHeading"/>
            </w:pPr>
            <w:r w:rsidRPr="000C627D">
              <w:t>Column 1</w:t>
            </w:r>
          </w:p>
          <w:p w:rsidR="00BF51D6" w:rsidRPr="000C627D" w:rsidRDefault="00B75A3D" w:rsidP="00B75A3D">
            <w:pPr>
              <w:pStyle w:val="TableHeading"/>
            </w:pPr>
            <w:r w:rsidRPr="000C627D">
              <w:t>Exemption category</w:t>
            </w:r>
          </w:p>
        </w:tc>
        <w:tc>
          <w:tcPr>
            <w:tcW w:w="1134" w:type="dxa"/>
            <w:tcBorders>
              <w:top w:val="single" w:sz="6" w:space="0" w:color="auto"/>
              <w:bottom w:val="single" w:sz="12" w:space="0" w:color="auto"/>
            </w:tcBorders>
            <w:shd w:val="clear" w:color="auto" w:fill="auto"/>
          </w:tcPr>
          <w:p w:rsidR="00BF51D6" w:rsidRPr="000C627D" w:rsidRDefault="00BF51D6" w:rsidP="00BF1B61">
            <w:pPr>
              <w:pStyle w:val="TableHeading"/>
              <w:jc w:val="center"/>
            </w:pPr>
            <w:r w:rsidRPr="000C627D">
              <w:t>Column 2</w:t>
            </w:r>
          </w:p>
          <w:p w:rsidR="00BF51D6" w:rsidRPr="000C627D" w:rsidRDefault="00B75A3D" w:rsidP="00BF1B61">
            <w:pPr>
              <w:pStyle w:val="TableHeading"/>
              <w:jc w:val="center"/>
            </w:pPr>
            <w:r w:rsidRPr="000C627D">
              <w:t>Fee</w:t>
            </w:r>
            <w:r w:rsidR="00BF1B61" w:rsidRPr="000C627D">
              <w:t xml:space="preserve"> ($)</w:t>
            </w:r>
          </w:p>
        </w:tc>
      </w:tr>
      <w:tr w:rsidR="00BF51D6" w:rsidRPr="000C627D" w:rsidTr="00C04090">
        <w:tc>
          <w:tcPr>
            <w:tcW w:w="714" w:type="dxa"/>
            <w:tcBorders>
              <w:top w:val="single" w:sz="12" w:space="0" w:color="auto"/>
            </w:tcBorders>
            <w:shd w:val="clear" w:color="auto" w:fill="auto"/>
          </w:tcPr>
          <w:p w:rsidR="00BF51D6" w:rsidRPr="000C627D" w:rsidRDefault="00F448CF" w:rsidP="00BF1B61">
            <w:pPr>
              <w:pStyle w:val="Tabletext"/>
            </w:pPr>
            <w:r w:rsidRPr="000C627D">
              <w:t>1</w:t>
            </w:r>
          </w:p>
        </w:tc>
        <w:tc>
          <w:tcPr>
            <w:tcW w:w="6369" w:type="dxa"/>
            <w:tcBorders>
              <w:top w:val="single" w:sz="12" w:space="0" w:color="auto"/>
            </w:tcBorders>
            <w:shd w:val="clear" w:color="auto" w:fill="auto"/>
          </w:tcPr>
          <w:p w:rsidR="00BF51D6" w:rsidRPr="000C627D" w:rsidRDefault="00BF51D6" w:rsidP="00BF1B61">
            <w:pPr>
              <w:pStyle w:val="Tabletext"/>
            </w:pPr>
            <w:r w:rsidRPr="000C627D">
              <w:t xml:space="preserve">Paragraph </w:t>
            </w:r>
            <w:r w:rsidR="006E7CE6" w:rsidRPr="000C627D">
              <w:t>30</w:t>
            </w:r>
            <w:r w:rsidRPr="000C627D">
              <w:t>(</w:t>
            </w:r>
            <w:r w:rsidR="00633657" w:rsidRPr="000C627D">
              <w:t>1</w:t>
            </w:r>
            <w:r w:rsidRPr="000C627D">
              <w:t>)(a)</w:t>
            </w:r>
          </w:p>
        </w:tc>
        <w:tc>
          <w:tcPr>
            <w:tcW w:w="1134" w:type="dxa"/>
            <w:tcBorders>
              <w:top w:val="single" w:sz="12" w:space="0" w:color="auto"/>
            </w:tcBorders>
            <w:shd w:val="clear" w:color="auto" w:fill="auto"/>
          </w:tcPr>
          <w:p w:rsidR="00BF51D6" w:rsidRPr="000C627D" w:rsidRDefault="00B75A3D" w:rsidP="00BF1B61">
            <w:pPr>
              <w:pStyle w:val="Tabletext"/>
              <w:tabs>
                <w:tab w:val="decimal" w:pos="640"/>
              </w:tabs>
            </w:pPr>
            <w:r w:rsidRPr="000C627D">
              <w:t>1,470</w:t>
            </w:r>
          </w:p>
        </w:tc>
      </w:tr>
      <w:tr w:rsidR="00633657" w:rsidRPr="000C627D" w:rsidTr="00C04090">
        <w:tc>
          <w:tcPr>
            <w:tcW w:w="714" w:type="dxa"/>
            <w:shd w:val="clear" w:color="auto" w:fill="auto"/>
          </w:tcPr>
          <w:p w:rsidR="00633657" w:rsidRPr="000C627D" w:rsidRDefault="00F448CF" w:rsidP="00BF1B61">
            <w:pPr>
              <w:pStyle w:val="Tabletext"/>
            </w:pPr>
            <w:r w:rsidRPr="000C627D">
              <w:t>2</w:t>
            </w:r>
          </w:p>
        </w:tc>
        <w:tc>
          <w:tcPr>
            <w:tcW w:w="6369" w:type="dxa"/>
            <w:shd w:val="clear" w:color="auto" w:fill="auto"/>
          </w:tcPr>
          <w:p w:rsidR="00633657" w:rsidRPr="000C627D" w:rsidRDefault="00633657" w:rsidP="00BF1B61">
            <w:pPr>
              <w:pStyle w:val="Tabletext"/>
            </w:pPr>
            <w:r w:rsidRPr="000C627D">
              <w:t xml:space="preserve">Paragraph </w:t>
            </w:r>
            <w:r w:rsidR="006E7CE6" w:rsidRPr="000C627D">
              <w:t>30</w:t>
            </w:r>
            <w:r w:rsidRPr="000C627D">
              <w:t>(1)(b)</w:t>
            </w:r>
          </w:p>
        </w:tc>
        <w:tc>
          <w:tcPr>
            <w:tcW w:w="1134" w:type="dxa"/>
            <w:shd w:val="clear" w:color="auto" w:fill="auto"/>
          </w:tcPr>
          <w:p w:rsidR="00633657" w:rsidRPr="000C627D" w:rsidRDefault="00B75A3D" w:rsidP="00BF1B61">
            <w:pPr>
              <w:pStyle w:val="Tabletext"/>
              <w:tabs>
                <w:tab w:val="decimal" w:pos="640"/>
              </w:tabs>
            </w:pPr>
            <w:r w:rsidRPr="000C627D">
              <w:t>390</w:t>
            </w:r>
          </w:p>
        </w:tc>
      </w:tr>
      <w:tr w:rsidR="00633657" w:rsidRPr="000C627D" w:rsidTr="00C04090">
        <w:tc>
          <w:tcPr>
            <w:tcW w:w="714" w:type="dxa"/>
            <w:shd w:val="clear" w:color="auto" w:fill="auto"/>
          </w:tcPr>
          <w:p w:rsidR="00633657" w:rsidRPr="000C627D" w:rsidRDefault="00F448CF" w:rsidP="00BF1B61">
            <w:pPr>
              <w:pStyle w:val="Tabletext"/>
            </w:pPr>
            <w:r w:rsidRPr="000C627D">
              <w:t>3</w:t>
            </w:r>
          </w:p>
        </w:tc>
        <w:tc>
          <w:tcPr>
            <w:tcW w:w="6369" w:type="dxa"/>
            <w:shd w:val="clear" w:color="auto" w:fill="auto"/>
          </w:tcPr>
          <w:p w:rsidR="00633657" w:rsidRPr="000C627D" w:rsidRDefault="00633657" w:rsidP="00BF1B61">
            <w:pPr>
              <w:pStyle w:val="Tabletext"/>
            </w:pPr>
            <w:r w:rsidRPr="000C627D">
              <w:t xml:space="preserve">Paragraph </w:t>
            </w:r>
            <w:r w:rsidR="006E7CE6" w:rsidRPr="000C627D">
              <w:t>30</w:t>
            </w:r>
            <w:r w:rsidRPr="000C627D">
              <w:t>(1)(c)</w:t>
            </w:r>
          </w:p>
        </w:tc>
        <w:tc>
          <w:tcPr>
            <w:tcW w:w="1134" w:type="dxa"/>
            <w:shd w:val="clear" w:color="auto" w:fill="auto"/>
          </w:tcPr>
          <w:p w:rsidR="00633657" w:rsidRPr="000C627D" w:rsidRDefault="00B75A3D" w:rsidP="00BF1B61">
            <w:pPr>
              <w:pStyle w:val="Tabletext"/>
              <w:tabs>
                <w:tab w:val="decimal" w:pos="640"/>
              </w:tabs>
            </w:pPr>
            <w:r w:rsidRPr="000C627D">
              <w:t>550</w:t>
            </w:r>
          </w:p>
        </w:tc>
      </w:tr>
      <w:tr w:rsidR="00633657" w:rsidRPr="000C627D" w:rsidTr="00C04090">
        <w:tc>
          <w:tcPr>
            <w:tcW w:w="714" w:type="dxa"/>
            <w:shd w:val="clear" w:color="auto" w:fill="auto"/>
          </w:tcPr>
          <w:p w:rsidR="00633657" w:rsidRPr="000C627D" w:rsidRDefault="00F448CF" w:rsidP="00BF1B61">
            <w:pPr>
              <w:pStyle w:val="Tabletext"/>
            </w:pPr>
            <w:r w:rsidRPr="000C627D">
              <w:t>4</w:t>
            </w:r>
          </w:p>
        </w:tc>
        <w:tc>
          <w:tcPr>
            <w:tcW w:w="6369" w:type="dxa"/>
            <w:shd w:val="clear" w:color="auto" w:fill="auto"/>
          </w:tcPr>
          <w:p w:rsidR="00633657" w:rsidRPr="000C627D" w:rsidRDefault="00633657" w:rsidP="00BF1B61">
            <w:pPr>
              <w:pStyle w:val="Tabletext"/>
            </w:pPr>
            <w:r w:rsidRPr="000C627D">
              <w:t xml:space="preserve">Paragraph </w:t>
            </w:r>
            <w:r w:rsidR="006E7CE6" w:rsidRPr="000C627D">
              <w:t>30</w:t>
            </w:r>
            <w:r w:rsidRPr="000C627D">
              <w:t>(1)(d)</w:t>
            </w:r>
          </w:p>
        </w:tc>
        <w:tc>
          <w:tcPr>
            <w:tcW w:w="1134" w:type="dxa"/>
            <w:shd w:val="clear" w:color="auto" w:fill="auto"/>
          </w:tcPr>
          <w:p w:rsidR="00633657" w:rsidRPr="000C627D" w:rsidRDefault="00B75A3D" w:rsidP="00BF1B61">
            <w:pPr>
              <w:pStyle w:val="Tabletext"/>
              <w:tabs>
                <w:tab w:val="decimal" w:pos="640"/>
              </w:tabs>
            </w:pPr>
            <w:r w:rsidRPr="000C627D">
              <w:t>1,470</w:t>
            </w:r>
          </w:p>
        </w:tc>
      </w:tr>
      <w:tr w:rsidR="00633657" w:rsidRPr="000C627D" w:rsidTr="00C04090">
        <w:tc>
          <w:tcPr>
            <w:tcW w:w="714" w:type="dxa"/>
            <w:tcBorders>
              <w:bottom w:val="single" w:sz="2" w:space="0" w:color="auto"/>
            </w:tcBorders>
            <w:shd w:val="clear" w:color="auto" w:fill="auto"/>
          </w:tcPr>
          <w:p w:rsidR="00633657" w:rsidRPr="000C627D" w:rsidRDefault="00F448CF" w:rsidP="00BF1B61">
            <w:pPr>
              <w:pStyle w:val="Tabletext"/>
            </w:pPr>
            <w:r w:rsidRPr="000C627D">
              <w:t>5</w:t>
            </w:r>
          </w:p>
        </w:tc>
        <w:tc>
          <w:tcPr>
            <w:tcW w:w="6369" w:type="dxa"/>
            <w:tcBorders>
              <w:bottom w:val="single" w:sz="2" w:space="0" w:color="auto"/>
            </w:tcBorders>
            <w:shd w:val="clear" w:color="auto" w:fill="auto"/>
          </w:tcPr>
          <w:p w:rsidR="00633657" w:rsidRPr="000C627D" w:rsidRDefault="00633657" w:rsidP="00BF1B61">
            <w:pPr>
              <w:pStyle w:val="Tabletext"/>
            </w:pPr>
            <w:r w:rsidRPr="000C627D">
              <w:t xml:space="preserve">Paragraph </w:t>
            </w:r>
            <w:r w:rsidR="006E7CE6" w:rsidRPr="000C627D">
              <w:t>30</w:t>
            </w:r>
            <w:r w:rsidRPr="000C627D">
              <w:t>(1)(e)</w:t>
            </w:r>
          </w:p>
        </w:tc>
        <w:tc>
          <w:tcPr>
            <w:tcW w:w="1134" w:type="dxa"/>
            <w:tcBorders>
              <w:bottom w:val="single" w:sz="2" w:space="0" w:color="auto"/>
            </w:tcBorders>
            <w:shd w:val="clear" w:color="auto" w:fill="auto"/>
          </w:tcPr>
          <w:p w:rsidR="00633657" w:rsidRPr="000C627D" w:rsidRDefault="00B75A3D" w:rsidP="00BF1B61">
            <w:pPr>
              <w:pStyle w:val="Tabletext"/>
              <w:tabs>
                <w:tab w:val="decimal" w:pos="640"/>
              </w:tabs>
            </w:pPr>
            <w:r w:rsidRPr="000C627D">
              <w:t>1,470</w:t>
            </w:r>
          </w:p>
        </w:tc>
      </w:tr>
      <w:tr w:rsidR="00633657" w:rsidRPr="000C627D" w:rsidTr="00C04090">
        <w:tc>
          <w:tcPr>
            <w:tcW w:w="714" w:type="dxa"/>
            <w:tcBorders>
              <w:top w:val="single" w:sz="2" w:space="0" w:color="auto"/>
              <w:bottom w:val="single" w:sz="12" w:space="0" w:color="auto"/>
            </w:tcBorders>
            <w:shd w:val="clear" w:color="auto" w:fill="auto"/>
          </w:tcPr>
          <w:p w:rsidR="00633657" w:rsidRPr="000C627D" w:rsidRDefault="00F448CF" w:rsidP="00BF1B61">
            <w:pPr>
              <w:pStyle w:val="Tabletext"/>
            </w:pPr>
            <w:r w:rsidRPr="000C627D">
              <w:t>6</w:t>
            </w:r>
          </w:p>
        </w:tc>
        <w:tc>
          <w:tcPr>
            <w:tcW w:w="6369" w:type="dxa"/>
            <w:tcBorders>
              <w:top w:val="single" w:sz="2" w:space="0" w:color="auto"/>
              <w:bottom w:val="single" w:sz="12" w:space="0" w:color="auto"/>
            </w:tcBorders>
            <w:shd w:val="clear" w:color="auto" w:fill="auto"/>
          </w:tcPr>
          <w:p w:rsidR="00633657" w:rsidRPr="000C627D" w:rsidRDefault="00633657" w:rsidP="00BF1B61">
            <w:pPr>
              <w:pStyle w:val="Tabletext"/>
            </w:pPr>
            <w:r w:rsidRPr="000C627D">
              <w:t xml:space="preserve">Paragraph </w:t>
            </w:r>
            <w:r w:rsidR="006E7CE6" w:rsidRPr="000C627D">
              <w:t>30</w:t>
            </w:r>
            <w:r w:rsidRPr="000C627D">
              <w:t>(1)(f)</w:t>
            </w:r>
          </w:p>
        </w:tc>
        <w:tc>
          <w:tcPr>
            <w:tcW w:w="1134" w:type="dxa"/>
            <w:tcBorders>
              <w:top w:val="single" w:sz="2" w:space="0" w:color="auto"/>
              <w:bottom w:val="single" w:sz="12" w:space="0" w:color="auto"/>
            </w:tcBorders>
            <w:shd w:val="clear" w:color="auto" w:fill="auto"/>
          </w:tcPr>
          <w:p w:rsidR="00633657" w:rsidRPr="000C627D" w:rsidRDefault="00B75A3D" w:rsidP="00BF1B61">
            <w:pPr>
              <w:pStyle w:val="Tabletext"/>
              <w:tabs>
                <w:tab w:val="decimal" w:pos="640"/>
              </w:tabs>
            </w:pPr>
            <w:r w:rsidRPr="000C627D">
              <w:t>1,470</w:t>
            </w:r>
          </w:p>
        </w:tc>
      </w:tr>
    </w:tbl>
    <w:p w:rsidR="00B261DE" w:rsidRPr="000C627D" w:rsidRDefault="006E7CE6" w:rsidP="00B261DE">
      <w:pPr>
        <w:pStyle w:val="ActHead5"/>
      </w:pPr>
      <w:bookmarkStart w:id="63" w:name="_Toc500512605"/>
      <w:r w:rsidRPr="000C627D">
        <w:rPr>
          <w:rStyle w:val="CharSectno"/>
        </w:rPr>
        <w:t>44</w:t>
      </w:r>
      <w:r w:rsidR="00B261DE" w:rsidRPr="000C627D">
        <w:t xml:space="preserve">  Waiv</w:t>
      </w:r>
      <w:r w:rsidR="00892E7B" w:rsidRPr="000C627D">
        <w:t xml:space="preserve">ing </w:t>
      </w:r>
      <w:r w:rsidR="00B261DE" w:rsidRPr="000C627D">
        <w:t>fees</w:t>
      </w:r>
      <w:bookmarkEnd w:id="63"/>
    </w:p>
    <w:p w:rsidR="00B261DE" w:rsidRPr="000C627D" w:rsidRDefault="00B261DE" w:rsidP="007C30EC">
      <w:pPr>
        <w:pStyle w:val="subsection"/>
      </w:pPr>
      <w:r w:rsidRPr="000C627D">
        <w:tab/>
      </w:r>
      <w:r w:rsidRPr="000C627D">
        <w:tab/>
        <w:t xml:space="preserve">The Secretary may waive a fee set by this Part if </w:t>
      </w:r>
      <w:r w:rsidR="008242A5" w:rsidRPr="000C627D">
        <w:t xml:space="preserve">the Secretary is </w:t>
      </w:r>
      <w:r w:rsidR="001572C6" w:rsidRPr="000C627D">
        <w:t xml:space="preserve">reasonably </w:t>
      </w:r>
      <w:r w:rsidR="008242A5" w:rsidRPr="000C627D">
        <w:t>satisfied that</w:t>
      </w:r>
      <w:r w:rsidR="007C30EC" w:rsidRPr="000C627D">
        <w:t xml:space="preserve"> </w:t>
      </w:r>
      <w:r w:rsidR="008242A5" w:rsidRPr="000C627D">
        <w:t>t</w:t>
      </w:r>
      <w:r w:rsidRPr="000C627D">
        <w:t>here are exceptional circumstances that justify the waiver.</w:t>
      </w:r>
    </w:p>
    <w:p w:rsidR="00B261DE" w:rsidRPr="000C627D" w:rsidRDefault="006E7CE6" w:rsidP="00B261DE">
      <w:pPr>
        <w:pStyle w:val="ActHead5"/>
      </w:pPr>
      <w:bookmarkStart w:id="64" w:name="_Toc500512606"/>
      <w:r w:rsidRPr="000C627D">
        <w:rPr>
          <w:rStyle w:val="CharSectno"/>
        </w:rPr>
        <w:t>45</w:t>
      </w:r>
      <w:r w:rsidR="00892E7B" w:rsidRPr="000C627D">
        <w:t xml:space="preserve">  Refunding</w:t>
      </w:r>
      <w:r w:rsidR="00B261DE" w:rsidRPr="000C627D">
        <w:t xml:space="preserve"> fees</w:t>
      </w:r>
      <w:bookmarkEnd w:id="64"/>
    </w:p>
    <w:p w:rsidR="008242A5" w:rsidRPr="000C627D" w:rsidRDefault="0011748A" w:rsidP="008242A5">
      <w:pPr>
        <w:pStyle w:val="subsection"/>
      </w:pPr>
      <w:r w:rsidRPr="000C627D">
        <w:tab/>
      </w:r>
      <w:r w:rsidRPr="000C627D">
        <w:tab/>
        <w:t xml:space="preserve">The Secretary </w:t>
      </w:r>
      <w:r w:rsidR="000763E7" w:rsidRPr="000C627D">
        <w:t xml:space="preserve">must </w:t>
      </w:r>
      <w:r w:rsidR="008242A5" w:rsidRPr="000C627D">
        <w:t>refund a fee set by this Part for receiving and processing an application if:</w:t>
      </w:r>
    </w:p>
    <w:p w:rsidR="008242A5" w:rsidRPr="000C627D" w:rsidRDefault="008242A5" w:rsidP="008242A5">
      <w:pPr>
        <w:pStyle w:val="paragraph"/>
      </w:pPr>
      <w:r w:rsidRPr="000C627D">
        <w:tab/>
        <w:t>(a)</w:t>
      </w:r>
      <w:r w:rsidRPr="000C627D">
        <w:tab/>
        <w:t xml:space="preserve">the application is withdrawn within the 14 days beginning on </w:t>
      </w:r>
      <w:r w:rsidR="00BF1B61" w:rsidRPr="000C627D">
        <w:t>the day the application i</w:t>
      </w:r>
      <w:r w:rsidRPr="000C627D">
        <w:t>s made; and</w:t>
      </w:r>
    </w:p>
    <w:p w:rsidR="008242A5" w:rsidRPr="000C627D" w:rsidRDefault="008242A5" w:rsidP="008242A5">
      <w:pPr>
        <w:pStyle w:val="paragraph"/>
      </w:pPr>
      <w:r w:rsidRPr="000C627D">
        <w:tab/>
        <w:t>(b)</w:t>
      </w:r>
      <w:r w:rsidRPr="000C627D">
        <w:tab/>
      </w:r>
      <w:r w:rsidR="004A7902" w:rsidRPr="000C627D">
        <w:t xml:space="preserve">when the application is withdrawn, </w:t>
      </w:r>
      <w:r w:rsidRPr="000C627D">
        <w:t xml:space="preserve">the Secretary has not begun to </w:t>
      </w:r>
      <w:r w:rsidR="00922E00" w:rsidRPr="000C627D">
        <w:t>assess</w:t>
      </w:r>
      <w:r w:rsidRPr="000C627D">
        <w:t xml:space="preserve"> the application.</w:t>
      </w:r>
    </w:p>
    <w:p w:rsidR="00F624F0" w:rsidRPr="000C627D" w:rsidRDefault="003E3017" w:rsidP="00ED7863">
      <w:pPr>
        <w:pStyle w:val="ActHead2"/>
        <w:pageBreakBefore/>
      </w:pPr>
      <w:bookmarkStart w:id="65" w:name="_Toc500512607"/>
      <w:r w:rsidRPr="000C627D">
        <w:rPr>
          <w:rStyle w:val="CharPartNo"/>
        </w:rPr>
        <w:t>Part</w:t>
      </w:r>
      <w:r w:rsidR="000C627D" w:rsidRPr="000C627D">
        <w:rPr>
          <w:rStyle w:val="CharPartNo"/>
        </w:rPr>
        <w:t> </w:t>
      </w:r>
      <w:r w:rsidRPr="000C627D">
        <w:rPr>
          <w:rStyle w:val="CharPartNo"/>
        </w:rPr>
        <w:t>9</w:t>
      </w:r>
      <w:r w:rsidR="00F624F0" w:rsidRPr="000C627D">
        <w:t>—</w:t>
      </w:r>
      <w:r w:rsidR="00F624F0" w:rsidRPr="000C627D">
        <w:rPr>
          <w:rStyle w:val="CharPartText"/>
        </w:rPr>
        <w:t>Collection and recovery of charges</w:t>
      </w:r>
      <w:bookmarkEnd w:id="65"/>
    </w:p>
    <w:p w:rsidR="00414F7E" w:rsidRPr="000C627D" w:rsidRDefault="00414F7E" w:rsidP="00414F7E">
      <w:pPr>
        <w:pStyle w:val="Header"/>
      </w:pPr>
      <w:r w:rsidRPr="000C627D">
        <w:rPr>
          <w:rStyle w:val="CharDivNo"/>
        </w:rPr>
        <w:t xml:space="preserve"> </w:t>
      </w:r>
      <w:r w:rsidRPr="000C627D">
        <w:rPr>
          <w:rStyle w:val="CharDivText"/>
        </w:rPr>
        <w:t xml:space="preserve"> </w:t>
      </w:r>
    </w:p>
    <w:p w:rsidR="00414F7E" w:rsidRPr="000C627D" w:rsidRDefault="006E7CE6" w:rsidP="00414F7E">
      <w:pPr>
        <w:pStyle w:val="ActHead5"/>
      </w:pPr>
      <w:bookmarkStart w:id="66" w:name="_Toc500512608"/>
      <w:r w:rsidRPr="000C627D">
        <w:rPr>
          <w:rStyle w:val="CharSectno"/>
        </w:rPr>
        <w:t>46</w:t>
      </w:r>
      <w:r w:rsidR="00414F7E" w:rsidRPr="000C627D">
        <w:t xml:space="preserve">  Purpose</w:t>
      </w:r>
      <w:r w:rsidR="00B50A55" w:rsidRPr="000C627D">
        <w:t>s</w:t>
      </w:r>
      <w:r w:rsidR="00414F7E" w:rsidRPr="000C627D">
        <w:t xml:space="preserve"> of this Part</w:t>
      </w:r>
      <w:bookmarkEnd w:id="66"/>
    </w:p>
    <w:p w:rsidR="00414F7E" w:rsidRPr="000C627D" w:rsidRDefault="00414F7E" w:rsidP="00414F7E">
      <w:pPr>
        <w:pStyle w:val="subsection"/>
      </w:pPr>
      <w:r w:rsidRPr="000C627D">
        <w:tab/>
      </w:r>
      <w:r w:rsidRPr="000C627D">
        <w:tab/>
        <w:t xml:space="preserve">For the purposes of </w:t>
      </w:r>
      <w:r w:rsidR="00C80426" w:rsidRPr="000C627D">
        <w:t>subsection</w:t>
      </w:r>
      <w:r w:rsidR="000C627D" w:rsidRPr="000C627D">
        <w:t> </w:t>
      </w:r>
      <w:r w:rsidRPr="000C627D">
        <w:t xml:space="preserve">51(7) of the Act, this Part provides for the collection and recovery of customs charge </w:t>
      </w:r>
      <w:r w:rsidR="00C80426" w:rsidRPr="000C627D">
        <w:t>and</w:t>
      </w:r>
      <w:r w:rsidRPr="000C627D">
        <w:t xml:space="preserve"> excise charge.</w:t>
      </w:r>
    </w:p>
    <w:p w:rsidR="00414F7E" w:rsidRPr="000C627D" w:rsidRDefault="006E7CE6" w:rsidP="00414F7E">
      <w:pPr>
        <w:pStyle w:val="ActHead5"/>
      </w:pPr>
      <w:bookmarkStart w:id="67" w:name="_Toc500512609"/>
      <w:r w:rsidRPr="000C627D">
        <w:rPr>
          <w:rStyle w:val="CharSectno"/>
        </w:rPr>
        <w:t>47</w:t>
      </w:r>
      <w:r w:rsidR="00414F7E" w:rsidRPr="000C627D">
        <w:t xml:space="preserve">  When charge due for payment</w:t>
      </w:r>
      <w:bookmarkEnd w:id="67"/>
    </w:p>
    <w:p w:rsidR="00E75218" w:rsidRPr="000C627D" w:rsidRDefault="00E75218" w:rsidP="00414F7E">
      <w:pPr>
        <w:pStyle w:val="subsection"/>
      </w:pPr>
      <w:r w:rsidRPr="000C627D">
        <w:tab/>
        <w:t>(1)</w:t>
      </w:r>
      <w:r w:rsidRPr="000C627D">
        <w:tab/>
      </w:r>
      <w:r w:rsidR="00414F7E" w:rsidRPr="000C627D">
        <w:t xml:space="preserve">Customs charge or excise charge for a financial year is due and payable </w:t>
      </w:r>
      <w:r w:rsidRPr="000C627D">
        <w:t>on 30</w:t>
      </w:r>
      <w:r w:rsidR="000C627D" w:rsidRPr="000C627D">
        <w:t> </w:t>
      </w:r>
      <w:r w:rsidRPr="000C627D">
        <w:t>November in the following financial year.</w:t>
      </w:r>
    </w:p>
    <w:p w:rsidR="00E75218" w:rsidRPr="000C627D" w:rsidRDefault="00E75218" w:rsidP="00E75218">
      <w:pPr>
        <w:pStyle w:val="subsection"/>
      </w:pPr>
      <w:r w:rsidRPr="000C627D">
        <w:tab/>
        <w:t>(2)</w:t>
      </w:r>
      <w:r w:rsidRPr="000C627D">
        <w:tab/>
      </w:r>
      <w:r w:rsidR="00414F7E" w:rsidRPr="000C627D">
        <w:t xml:space="preserve">Customs charge or excise charge </w:t>
      </w:r>
      <w:r w:rsidRPr="000C627D">
        <w:t>is payable to the Secretary on behalf of the Commonwealth.</w:t>
      </w:r>
    </w:p>
    <w:p w:rsidR="00E75218" w:rsidRPr="000C627D" w:rsidRDefault="006E7CE6" w:rsidP="00E75218">
      <w:pPr>
        <w:pStyle w:val="ActHead5"/>
      </w:pPr>
      <w:bookmarkStart w:id="68" w:name="_Toc500512610"/>
      <w:r w:rsidRPr="000C627D">
        <w:rPr>
          <w:rStyle w:val="CharSectno"/>
        </w:rPr>
        <w:t>48</w:t>
      </w:r>
      <w:r w:rsidR="00E75218" w:rsidRPr="000C627D">
        <w:t xml:space="preserve">  Recovery of </w:t>
      </w:r>
      <w:r w:rsidR="000B785A" w:rsidRPr="000C627D">
        <w:t>charge</w:t>
      </w:r>
      <w:bookmarkEnd w:id="68"/>
    </w:p>
    <w:p w:rsidR="00E75218" w:rsidRPr="000C627D" w:rsidRDefault="00E75218" w:rsidP="00E75218">
      <w:pPr>
        <w:pStyle w:val="subsection"/>
      </w:pPr>
      <w:r w:rsidRPr="000C627D">
        <w:tab/>
        <w:t>(1)</w:t>
      </w:r>
      <w:r w:rsidRPr="000C627D">
        <w:tab/>
      </w:r>
      <w:r w:rsidR="00414F7E" w:rsidRPr="000C627D">
        <w:t xml:space="preserve">Customs charge or excise charge </w:t>
      </w:r>
      <w:r w:rsidRPr="000C627D">
        <w:t>that is due and payable by a person may be recovered by the Commonwealth from the person as a debt due to the Commonwealth.</w:t>
      </w:r>
    </w:p>
    <w:p w:rsidR="00E75218" w:rsidRPr="000C627D" w:rsidRDefault="00E75218" w:rsidP="00E75218">
      <w:pPr>
        <w:pStyle w:val="subsection"/>
      </w:pPr>
      <w:r w:rsidRPr="000C627D">
        <w:tab/>
        <w:t>(2)</w:t>
      </w:r>
      <w:r w:rsidRPr="000C627D">
        <w:tab/>
        <w:t xml:space="preserve">The Secretary is authorised, on behalf of the Commonwealth, to bring proceedings in the name of the Commonwealth for the recovery of a debt due to the Commonwealth of a kind mentioned in </w:t>
      </w:r>
      <w:r w:rsidR="000C627D" w:rsidRPr="000C627D">
        <w:t>subsection (</w:t>
      </w:r>
      <w:r w:rsidRPr="000C627D">
        <w:t>1).</w:t>
      </w:r>
    </w:p>
    <w:p w:rsidR="0077374A" w:rsidRPr="000C627D" w:rsidRDefault="006E7CE6" w:rsidP="0077374A">
      <w:pPr>
        <w:pStyle w:val="ActHead5"/>
      </w:pPr>
      <w:bookmarkStart w:id="69" w:name="_Toc500512611"/>
      <w:r w:rsidRPr="000C627D">
        <w:rPr>
          <w:rStyle w:val="CharSectno"/>
        </w:rPr>
        <w:t>49</w:t>
      </w:r>
      <w:r w:rsidR="00414F7E" w:rsidRPr="000C627D">
        <w:t xml:space="preserve">  </w:t>
      </w:r>
      <w:r w:rsidR="0011748A" w:rsidRPr="000C627D">
        <w:t>I</w:t>
      </w:r>
      <w:r w:rsidR="0077374A" w:rsidRPr="000C627D">
        <w:t>mport declarations</w:t>
      </w:r>
      <w:bookmarkEnd w:id="69"/>
    </w:p>
    <w:p w:rsidR="0077374A" w:rsidRPr="000C627D" w:rsidRDefault="00AC0C3F" w:rsidP="0077374A">
      <w:pPr>
        <w:pStyle w:val="subsection"/>
      </w:pPr>
      <w:r w:rsidRPr="000C627D">
        <w:tab/>
        <w:t>(1)</w:t>
      </w:r>
      <w:r w:rsidRPr="000C627D">
        <w:tab/>
      </w:r>
      <w:r w:rsidR="00D86279" w:rsidRPr="000C627D">
        <w:t>F</w:t>
      </w:r>
      <w:r w:rsidRPr="000C627D">
        <w:t xml:space="preserve">or the purposes of </w:t>
      </w:r>
      <w:r w:rsidR="0077374A" w:rsidRPr="000C627D">
        <w:t>working out:</w:t>
      </w:r>
    </w:p>
    <w:p w:rsidR="0077374A" w:rsidRPr="000C627D" w:rsidRDefault="0077374A" w:rsidP="0077374A">
      <w:pPr>
        <w:pStyle w:val="paragraph"/>
      </w:pPr>
      <w:r w:rsidRPr="000C627D">
        <w:tab/>
        <w:t>(a)</w:t>
      </w:r>
      <w:r w:rsidRPr="000C627D">
        <w:tab/>
        <w:t>whether a person is liable to pay cus</w:t>
      </w:r>
      <w:r w:rsidR="00AC0C3F" w:rsidRPr="000C627D">
        <w:t>toms charge</w:t>
      </w:r>
      <w:r w:rsidR="00D86279" w:rsidRPr="000C627D">
        <w:t xml:space="preserve"> for a financial year</w:t>
      </w:r>
      <w:r w:rsidRPr="000C627D">
        <w:t>; or</w:t>
      </w:r>
    </w:p>
    <w:p w:rsidR="0077374A" w:rsidRPr="000C627D" w:rsidRDefault="0077374A" w:rsidP="0077374A">
      <w:pPr>
        <w:pStyle w:val="paragraph"/>
      </w:pPr>
      <w:r w:rsidRPr="000C627D">
        <w:tab/>
        <w:t>(b)</w:t>
      </w:r>
      <w:r w:rsidRPr="000C627D">
        <w:tab/>
        <w:t xml:space="preserve">the amount of customs charge </w:t>
      </w:r>
      <w:r w:rsidR="005959A6" w:rsidRPr="000C627D">
        <w:t xml:space="preserve">for a financial year </w:t>
      </w:r>
      <w:r w:rsidRPr="000C627D">
        <w:t>a person is lia</w:t>
      </w:r>
      <w:r w:rsidR="00AC0C3F" w:rsidRPr="000C627D">
        <w:t>ble to pay</w:t>
      </w:r>
      <w:r w:rsidR="00D86279" w:rsidRPr="000C627D">
        <w:t>;</w:t>
      </w:r>
    </w:p>
    <w:p w:rsidR="00D86279" w:rsidRPr="000C627D" w:rsidRDefault="005C4227" w:rsidP="00D86279">
      <w:pPr>
        <w:pStyle w:val="subsection2"/>
      </w:pPr>
      <w:r w:rsidRPr="000C627D">
        <w:t xml:space="preserve">the matters stated in </w:t>
      </w:r>
      <w:r w:rsidR="005959A6" w:rsidRPr="000C627D">
        <w:t xml:space="preserve">an import declaration, as existing on </w:t>
      </w:r>
      <w:r w:rsidR="00CA419F" w:rsidRPr="000C627D">
        <w:t>1</w:t>
      </w:r>
      <w:r w:rsidR="000C627D" w:rsidRPr="000C627D">
        <w:t> </w:t>
      </w:r>
      <w:r w:rsidR="005959A6" w:rsidRPr="000C627D">
        <w:t>October in the following financial year,</w:t>
      </w:r>
      <w:r w:rsidR="00D86279" w:rsidRPr="000C627D">
        <w:t xml:space="preserve"> </w:t>
      </w:r>
      <w:r w:rsidRPr="000C627D">
        <w:t xml:space="preserve">are taken to be correct, </w:t>
      </w:r>
      <w:r w:rsidR="00CD02D0" w:rsidRPr="000C627D">
        <w:t>unless the contrary is proved.</w:t>
      </w:r>
    </w:p>
    <w:p w:rsidR="0077374A" w:rsidRPr="000C627D" w:rsidRDefault="00AC0C3F" w:rsidP="00CC50F6">
      <w:pPr>
        <w:pStyle w:val="subsection"/>
      </w:pPr>
      <w:r w:rsidRPr="000C627D">
        <w:tab/>
        <w:t>(2)</w:t>
      </w:r>
      <w:r w:rsidRPr="000C627D">
        <w:tab/>
        <w:t xml:space="preserve">For the purposes of </w:t>
      </w:r>
      <w:r w:rsidR="00CD02D0" w:rsidRPr="000C627D">
        <w:t xml:space="preserve">proving the contrary, a change to the import declaration </w:t>
      </w:r>
      <w:r w:rsidR="00CA419F" w:rsidRPr="000C627D">
        <w:t>made after that 1</w:t>
      </w:r>
      <w:r w:rsidR="000C627D" w:rsidRPr="000C627D">
        <w:t> </w:t>
      </w:r>
      <w:r w:rsidR="00CC50F6" w:rsidRPr="000C627D">
        <w:t xml:space="preserve">October </w:t>
      </w:r>
      <w:r w:rsidR="005959A6" w:rsidRPr="000C627D">
        <w:t>is not admissible in evidence</w:t>
      </w:r>
      <w:r w:rsidR="00CC50F6" w:rsidRPr="000C627D">
        <w:t>.</w:t>
      </w:r>
    </w:p>
    <w:p w:rsidR="00C20D22" w:rsidRPr="000C627D" w:rsidRDefault="00C20D22" w:rsidP="00C20D22">
      <w:pPr>
        <w:pStyle w:val="ActHead2"/>
        <w:pageBreakBefore/>
      </w:pPr>
      <w:bookmarkStart w:id="70" w:name="_Toc500512612"/>
      <w:r w:rsidRPr="000C627D">
        <w:rPr>
          <w:rStyle w:val="CharPartNo"/>
        </w:rPr>
        <w:t>Part</w:t>
      </w:r>
      <w:r w:rsidR="000C627D" w:rsidRPr="000C627D">
        <w:rPr>
          <w:rStyle w:val="CharPartNo"/>
        </w:rPr>
        <w:t> </w:t>
      </w:r>
      <w:r w:rsidR="003E3017" w:rsidRPr="000C627D">
        <w:rPr>
          <w:rStyle w:val="CharPartNo"/>
        </w:rPr>
        <w:t>10</w:t>
      </w:r>
      <w:r w:rsidRPr="000C627D">
        <w:t>—</w:t>
      </w:r>
      <w:r w:rsidRPr="000C627D">
        <w:rPr>
          <w:rStyle w:val="CharPartText"/>
        </w:rPr>
        <w:t>Miscellaneous</w:t>
      </w:r>
      <w:bookmarkEnd w:id="70"/>
    </w:p>
    <w:p w:rsidR="00B763C9" w:rsidRPr="000C627D" w:rsidRDefault="00B763C9" w:rsidP="00B763C9">
      <w:pPr>
        <w:pStyle w:val="Header"/>
      </w:pPr>
      <w:r w:rsidRPr="000C627D">
        <w:rPr>
          <w:rStyle w:val="CharDivNo"/>
        </w:rPr>
        <w:t xml:space="preserve"> </w:t>
      </w:r>
      <w:r w:rsidRPr="000C627D">
        <w:rPr>
          <w:rStyle w:val="CharDivText"/>
        </w:rPr>
        <w:t xml:space="preserve"> </w:t>
      </w:r>
    </w:p>
    <w:p w:rsidR="00B423CF" w:rsidRPr="000C627D" w:rsidRDefault="006E7CE6" w:rsidP="00C20D22">
      <w:pPr>
        <w:pStyle w:val="ActHead5"/>
      </w:pPr>
      <w:bookmarkStart w:id="71" w:name="_Toc500512613"/>
      <w:r w:rsidRPr="000C627D">
        <w:rPr>
          <w:rStyle w:val="CharSectno"/>
        </w:rPr>
        <w:t>50</w:t>
      </w:r>
      <w:r w:rsidR="00770671" w:rsidRPr="000C627D">
        <w:t xml:space="preserve">  </w:t>
      </w:r>
      <w:r w:rsidR="00B423CF" w:rsidRPr="000C627D">
        <w:t>Review of decisions</w:t>
      </w:r>
      <w:bookmarkEnd w:id="71"/>
    </w:p>
    <w:p w:rsidR="005930D9" w:rsidRPr="000C627D" w:rsidRDefault="005930D9" w:rsidP="005930D9">
      <w:pPr>
        <w:pStyle w:val="subsection"/>
      </w:pPr>
      <w:r w:rsidRPr="000C627D">
        <w:tab/>
      </w:r>
      <w:r w:rsidRPr="000C627D">
        <w:tab/>
      </w:r>
      <w:r w:rsidR="00BC1DF5" w:rsidRPr="000C627D">
        <w:t>For the purposes of paragraph</w:t>
      </w:r>
      <w:r w:rsidR="000C627D" w:rsidRPr="000C627D">
        <w:t> </w:t>
      </w:r>
      <w:r w:rsidR="00BC1DF5" w:rsidRPr="000C627D">
        <w:t>5</w:t>
      </w:r>
      <w:r w:rsidRPr="000C627D">
        <w:t>1(2)(b) of the Act, application</w:t>
      </w:r>
      <w:r w:rsidR="00F71555" w:rsidRPr="000C627D">
        <w:t>s</w:t>
      </w:r>
      <w:r w:rsidRPr="000C627D">
        <w:t xml:space="preserve"> may be made to the Administrative Appeals Tribunal for review of the following decisions of the Secretary made under this instrument:</w:t>
      </w:r>
    </w:p>
    <w:p w:rsidR="005930D9" w:rsidRPr="000C627D" w:rsidRDefault="005930D9" w:rsidP="005930D9">
      <w:pPr>
        <w:pStyle w:val="paragraph"/>
      </w:pPr>
      <w:r w:rsidRPr="000C627D">
        <w:tab/>
        <w:t>(a)</w:t>
      </w:r>
      <w:r w:rsidRPr="000C627D">
        <w:tab/>
        <w:t>a decision to refuse an applicatio</w:t>
      </w:r>
      <w:r w:rsidR="00633657" w:rsidRPr="000C627D">
        <w:t xml:space="preserve">n for certification </w:t>
      </w:r>
      <w:r w:rsidRPr="000C627D">
        <w:t>under Subdivision A of Division</w:t>
      </w:r>
      <w:r w:rsidR="000C627D" w:rsidRPr="000C627D">
        <w:t> </w:t>
      </w:r>
      <w:r w:rsidRPr="000C627D">
        <w:t>2 of Part</w:t>
      </w:r>
      <w:r w:rsidR="000C627D" w:rsidRPr="000C627D">
        <w:t> </w:t>
      </w:r>
      <w:r w:rsidR="003E3017" w:rsidRPr="000C627D">
        <w:t>4</w:t>
      </w:r>
      <w:r w:rsidRPr="000C627D">
        <w:t>;</w:t>
      </w:r>
    </w:p>
    <w:p w:rsidR="005930D9" w:rsidRPr="000C627D" w:rsidRDefault="005930D9" w:rsidP="005930D9">
      <w:pPr>
        <w:pStyle w:val="paragraph"/>
      </w:pPr>
      <w:r w:rsidRPr="000C627D">
        <w:tab/>
        <w:t>(</w:t>
      </w:r>
      <w:r w:rsidR="0011748A" w:rsidRPr="000C627D">
        <w:t>b</w:t>
      </w:r>
      <w:r w:rsidRPr="000C627D">
        <w:t>)</w:t>
      </w:r>
      <w:r w:rsidRPr="000C627D">
        <w:tab/>
        <w:t xml:space="preserve">a decision to </w:t>
      </w:r>
      <w:r w:rsidR="00427C61" w:rsidRPr="000C627D">
        <w:t>vary</w:t>
      </w:r>
      <w:r w:rsidR="00C80426" w:rsidRPr="000C627D">
        <w:t xml:space="preserve">, suspend or </w:t>
      </w:r>
      <w:r w:rsidR="0083754A" w:rsidRPr="000C627D">
        <w:t>revoke</w:t>
      </w:r>
      <w:r w:rsidR="008D1B5D" w:rsidRPr="000C627D">
        <w:t>, or not to end a suspension of,</w:t>
      </w:r>
      <w:r w:rsidRPr="000C627D">
        <w:t xml:space="preserve"> an Australian certificate</w:t>
      </w:r>
      <w:r w:rsidR="00633657" w:rsidRPr="000C627D">
        <w:t xml:space="preserve"> of conformity</w:t>
      </w:r>
      <w:r w:rsidRPr="000C627D">
        <w:t xml:space="preserve"> under Subdivision </w:t>
      </w:r>
      <w:r w:rsidR="005E2327" w:rsidRPr="000C627D">
        <w:t>B</w:t>
      </w:r>
      <w:r w:rsidRPr="000C627D">
        <w:t xml:space="preserve"> of Division</w:t>
      </w:r>
      <w:r w:rsidR="000C627D" w:rsidRPr="000C627D">
        <w:t> </w:t>
      </w:r>
      <w:r w:rsidRPr="000C627D">
        <w:t>2 of Part</w:t>
      </w:r>
      <w:r w:rsidR="000C627D" w:rsidRPr="000C627D">
        <w:t> </w:t>
      </w:r>
      <w:r w:rsidR="003E3017" w:rsidRPr="000C627D">
        <w:t>4</w:t>
      </w:r>
      <w:r w:rsidRPr="000C627D">
        <w:t>;</w:t>
      </w:r>
    </w:p>
    <w:p w:rsidR="005930D9" w:rsidRPr="000C627D" w:rsidRDefault="0011748A" w:rsidP="005930D9">
      <w:pPr>
        <w:pStyle w:val="paragraph"/>
      </w:pPr>
      <w:r w:rsidRPr="000C627D">
        <w:tab/>
        <w:t>(</w:t>
      </w:r>
      <w:r w:rsidR="00C80426" w:rsidRPr="000C627D">
        <w:t>c</w:t>
      </w:r>
      <w:r w:rsidR="005930D9" w:rsidRPr="000C627D">
        <w:t>)</w:t>
      </w:r>
      <w:r w:rsidR="005930D9" w:rsidRPr="000C627D">
        <w:tab/>
        <w:t>a decision to refuse an application for an exemption under Division</w:t>
      </w:r>
      <w:r w:rsidR="000C627D" w:rsidRPr="000C627D">
        <w:t> </w:t>
      </w:r>
      <w:r w:rsidR="005930D9" w:rsidRPr="000C627D">
        <w:t>2 of Part</w:t>
      </w:r>
      <w:r w:rsidR="000C627D" w:rsidRPr="000C627D">
        <w:t> </w:t>
      </w:r>
      <w:r w:rsidR="003E3017" w:rsidRPr="000C627D">
        <w:t>5</w:t>
      </w:r>
      <w:r w:rsidR="005930D9" w:rsidRPr="000C627D">
        <w:t>;</w:t>
      </w:r>
    </w:p>
    <w:p w:rsidR="005930D9" w:rsidRPr="000C627D" w:rsidRDefault="005930D9" w:rsidP="005930D9">
      <w:pPr>
        <w:pStyle w:val="paragraph"/>
      </w:pPr>
      <w:r w:rsidRPr="000C627D">
        <w:tab/>
        <w:t>(</w:t>
      </w:r>
      <w:r w:rsidR="00C80426" w:rsidRPr="000C627D">
        <w:t>d</w:t>
      </w:r>
      <w:r w:rsidRPr="000C627D">
        <w:t>)</w:t>
      </w:r>
      <w:r w:rsidRPr="000C627D">
        <w:tab/>
        <w:t xml:space="preserve">a decision to specify a condition </w:t>
      </w:r>
      <w:r w:rsidR="00633657" w:rsidRPr="000C627D">
        <w:t xml:space="preserve">in an exemption </w:t>
      </w:r>
      <w:r w:rsidRPr="000C627D">
        <w:t>under Division</w:t>
      </w:r>
      <w:r w:rsidR="000C627D" w:rsidRPr="000C627D">
        <w:t> </w:t>
      </w:r>
      <w:r w:rsidRPr="000C627D">
        <w:t>3 of Part</w:t>
      </w:r>
      <w:r w:rsidR="000C627D" w:rsidRPr="000C627D">
        <w:t> </w:t>
      </w:r>
      <w:r w:rsidR="003E3017" w:rsidRPr="000C627D">
        <w:t>5</w:t>
      </w:r>
      <w:r w:rsidRPr="000C627D">
        <w:t>;</w:t>
      </w:r>
    </w:p>
    <w:p w:rsidR="005930D9" w:rsidRPr="000C627D" w:rsidRDefault="00C80426" w:rsidP="005930D9">
      <w:pPr>
        <w:pStyle w:val="paragraph"/>
      </w:pPr>
      <w:r w:rsidRPr="000C627D">
        <w:tab/>
        <w:t>(e</w:t>
      </w:r>
      <w:r w:rsidR="005930D9" w:rsidRPr="000C627D">
        <w:t>)</w:t>
      </w:r>
      <w:r w:rsidR="005930D9" w:rsidRPr="000C627D">
        <w:tab/>
        <w:t xml:space="preserve">a decision to </w:t>
      </w:r>
      <w:r w:rsidR="0083754A" w:rsidRPr="000C627D">
        <w:t>vary</w:t>
      </w:r>
      <w:r w:rsidRPr="000C627D">
        <w:t xml:space="preserve">, </w:t>
      </w:r>
      <w:r w:rsidR="005930D9" w:rsidRPr="000C627D">
        <w:t xml:space="preserve">suspend or </w:t>
      </w:r>
      <w:r w:rsidR="0083754A" w:rsidRPr="000C627D">
        <w:t>revoke</w:t>
      </w:r>
      <w:r w:rsidR="008D1B5D" w:rsidRPr="000C627D">
        <w:t>, or not to end a suspension of,</w:t>
      </w:r>
      <w:r w:rsidR="005930D9" w:rsidRPr="000C627D">
        <w:t xml:space="preserve"> an </w:t>
      </w:r>
      <w:r w:rsidR="00770671" w:rsidRPr="000C627D">
        <w:t>exemption under Division</w:t>
      </w:r>
      <w:r w:rsidR="000C627D" w:rsidRPr="000C627D">
        <w:t> </w:t>
      </w:r>
      <w:r w:rsidR="00770671" w:rsidRPr="000C627D">
        <w:t>4 of Part</w:t>
      </w:r>
      <w:r w:rsidR="000C627D" w:rsidRPr="000C627D">
        <w:t> </w:t>
      </w:r>
      <w:r w:rsidR="003E3017" w:rsidRPr="000C627D">
        <w:t>5</w:t>
      </w:r>
      <w:r w:rsidR="00770671" w:rsidRPr="000C627D">
        <w:t>;</w:t>
      </w:r>
    </w:p>
    <w:p w:rsidR="00770671" w:rsidRPr="000C627D" w:rsidRDefault="00C80426" w:rsidP="005930D9">
      <w:pPr>
        <w:pStyle w:val="paragraph"/>
      </w:pPr>
      <w:r w:rsidRPr="000C627D">
        <w:tab/>
        <w:t>(f</w:t>
      </w:r>
      <w:r w:rsidR="00770671" w:rsidRPr="000C627D">
        <w:t>)</w:t>
      </w:r>
      <w:r w:rsidR="00770671" w:rsidRPr="000C627D">
        <w:tab/>
        <w:t>a decision</w:t>
      </w:r>
      <w:r w:rsidR="00593EBF" w:rsidRPr="000C627D">
        <w:t xml:space="preserve"> not </w:t>
      </w:r>
      <w:r w:rsidR="00770671" w:rsidRPr="000C627D">
        <w:t>to waive a fe</w:t>
      </w:r>
      <w:r w:rsidR="00633657" w:rsidRPr="000C627D">
        <w:t>e under section</w:t>
      </w:r>
      <w:r w:rsidR="000C627D" w:rsidRPr="000C627D">
        <w:t> </w:t>
      </w:r>
      <w:r w:rsidR="006E7CE6" w:rsidRPr="000C627D">
        <w:t>44</w:t>
      </w:r>
      <w:r w:rsidR="0011748A" w:rsidRPr="000C627D">
        <w:t>.</w:t>
      </w:r>
    </w:p>
    <w:p w:rsidR="007C543E" w:rsidRPr="000C627D" w:rsidRDefault="007C543E" w:rsidP="007C543E">
      <w:pPr>
        <w:pStyle w:val="ActHead2"/>
        <w:pageBreakBefore/>
      </w:pPr>
      <w:bookmarkStart w:id="72" w:name="f_Check_Lines_above"/>
      <w:bookmarkStart w:id="73" w:name="_Toc500512614"/>
      <w:bookmarkEnd w:id="72"/>
      <w:r w:rsidRPr="000C627D">
        <w:rPr>
          <w:rStyle w:val="CharPartNo"/>
        </w:rPr>
        <w:t>Part</w:t>
      </w:r>
      <w:r w:rsidR="000C627D" w:rsidRPr="000C627D">
        <w:rPr>
          <w:rStyle w:val="CharPartNo"/>
        </w:rPr>
        <w:t> </w:t>
      </w:r>
      <w:r w:rsidR="003E3017" w:rsidRPr="000C627D">
        <w:rPr>
          <w:rStyle w:val="CharPartNo"/>
        </w:rPr>
        <w:t>11</w:t>
      </w:r>
      <w:r w:rsidRPr="000C627D">
        <w:t>—</w:t>
      </w:r>
      <w:r w:rsidRPr="000C627D">
        <w:rPr>
          <w:rStyle w:val="CharPartText"/>
        </w:rPr>
        <w:t>Transitional provisions</w:t>
      </w:r>
      <w:bookmarkEnd w:id="73"/>
    </w:p>
    <w:p w:rsidR="00B763C9" w:rsidRPr="000C627D" w:rsidRDefault="00B763C9" w:rsidP="00B763C9">
      <w:pPr>
        <w:pStyle w:val="Header"/>
      </w:pPr>
      <w:r w:rsidRPr="000C627D">
        <w:rPr>
          <w:rStyle w:val="CharDivNo"/>
        </w:rPr>
        <w:t xml:space="preserve"> </w:t>
      </w:r>
      <w:r w:rsidRPr="000C627D">
        <w:rPr>
          <w:rStyle w:val="CharDivText"/>
        </w:rPr>
        <w:t xml:space="preserve"> </w:t>
      </w:r>
    </w:p>
    <w:p w:rsidR="007C543E" w:rsidRPr="000C627D" w:rsidRDefault="006E7CE6" w:rsidP="007C543E">
      <w:pPr>
        <w:pStyle w:val="ActHead5"/>
      </w:pPr>
      <w:bookmarkStart w:id="74" w:name="_Toc500512615"/>
      <w:r w:rsidRPr="000C627D">
        <w:rPr>
          <w:rStyle w:val="CharSectno"/>
        </w:rPr>
        <w:t>51</w:t>
      </w:r>
      <w:r w:rsidR="007C543E" w:rsidRPr="000C627D">
        <w:t xml:space="preserve">  Importing and supplying emissions</w:t>
      </w:r>
      <w:r w:rsidR="000C627D">
        <w:noBreakHyphen/>
      </w:r>
      <w:r w:rsidR="007C543E" w:rsidRPr="000C627D">
        <w:t>controlled products</w:t>
      </w:r>
      <w:bookmarkEnd w:id="74"/>
    </w:p>
    <w:p w:rsidR="00E9406E" w:rsidRPr="000C627D" w:rsidRDefault="00CC50F6" w:rsidP="00CC50F6">
      <w:pPr>
        <w:pStyle w:val="subsection"/>
      </w:pPr>
      <w:r w:rsidRPr="000C627D">
        <w:tab/>
      </w:r>
      <w:r w:rsidRPr="000C627D">
        <w:tab/>
        <w:t xml:space="preserve">For the purposes of </w:t>
      </w:r>
      <w:r w:rsidR="00E9406E" w:rsidRPr="000C627D">
        <w:t>paragraph</w:t>
      </w:r>
      <w:r w:rsidR="000C627D" w:rsidRPr="000C627D">
        <w:t> </w:t>
      </w:r>
      <w:r w:rsidRPr="000C627D">
        <w:t>11(1)</w:t>
      </w:r>
      <w:r w:rsidR="00E9406E" w:rsidRPr="000C627D">
        <w:t>(b)</w:t>
      </w:r>
      <w:r w:rsidRPr="000C627D">
        <w:t xml:space="preserve"> of the Act, a propulsion marine engine or non</w:t>
      </w:r>
      <w:r w:rsidR="000C627D">
        <w:noBreakHyphen/>
      </w:r>
      <w:r w:rsidRPr="000C627D">
        <w:t>road engine is exempt from Part</w:t>
      </w:r>
      <w:r w:rsidR="000C627D" w:rsidRPr="000C627D">
        <w:t> </w:t>
      </w:r>
      <w:r w:rsidRPr="000C627D">
        <w:t>3 of the Act</w:t>
      </w:r>
      <w:r w:rsidR="00E9406E" w:rsidRPr="000C627D">
        <w:t>:</w:t>
      </w:r>
    </w:p>
    <w:p w:rsidR="00E9406E" w:rsidRPr="000C627D" w:rsidRDefault="00E9406E" w:rsidP="00E9406E">
      <w:pPr>
        <w:pStyle w:val="paragraph"/>
      </w:pPr>
      <w:r w:rsidRPr="000C627D">
        <w:tab/>
        <w:t>(a)</w:t>
      </w:r>
      <w:r w:rsidRPr="000C627D">
        <w:tab/>
      </w:r>
      <w:r w:rsidR="00CC50F6" w:rsidRPr="000C627D">
        <w:t xml:space="preserve">to the extent </w:t>
      </w:r>
      <w:r w:rsidRPr="000C627D">
        <w:t xml:space="preserve">that Part </w:t>
      </w:r>
      <w:r w:rsidR="000C15F7" w:rsidRPr="000C627D">
        <w:t>relate</w:t>
      </w:r>
      <w:r w:rsidRPr="000C627D">
        <w:t>s</w:t>
      </w:r>
      <w:r w:rsidR="000C15F7" w:rsidRPr="000C627D">
        <w:t xml:space="preserve"> to </w:t>
      </w:r>
      <w:r w:rsidRPr="000C627D">
        <w:t>the</w:t>
      </w:r>
      <w:r w:rsidR="000C15F7" w:rsidRPr="000C627D">
        <w:t xml:space="preserve"> activity mentioned in column 1 of an item of the following table</w:t>
      </w:r>
      <w:r w:rsidRPr="000C627D">
        <w:t>; and</w:t>
      </w:r>
    </w:p>
    <w:p w:rsidR="00CC50F6" w:rsidRPr="000C627D" w:rsidRDefault="00E9406E" w:rsidP="00E9406E">
      <w:pPr>
        <w:pStyle w:val="paragraph"/>
      </w:pPr>
      <w:r w:rsidRPr="000C627D">
        <w:tab/>
        <w:t>(b)</w:t>
      </w:r>
      <w:r w:rsidRPr="000C627D">
        <w:tab/>
      </w:r>
      <w:r w:rsidR="00075732" w:rsidRPr="000C627D">
        <w:t>in the circumstance</w:t>
      </w:r>
      <w:r w:rsidR="00CC50F6" w:rsidRPr="000C627D">
        <w:t xml:space="preserve"> set out in column 2 of the item.</w:t>
      </w:r>
    </w:p>
    <w:p w:rsidR="00CC50F6" w:rsidRPr="000C627D" w:rsidRDefault="00CC50F6" w:rsidP="00CC50F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683"/>
        <w:gridCol w:w="4961"/>
      </w:tblGrid>
      <w:tr w:rsidR="00CC50F6" w:rsidRPr="000C627D" w:rsidTr="001640C6">
        <w:trPr>
          <w:tblHeader/>
        </w:trPr>
        <w:tc>
          <w:tcPr>
            <w:tcW w:w="8358" w:type="dxa"/>
            <w:gridSpan w:val="3"/>
            <w:tcBorders>
              <w:top w:val="single" w:sz="12" w:space="0" w:color="auto"/>
              <w:bottom w:val="single" w:sz="6" w:space="0" w:color="auto"/>
            </w:tcBorders>
            <w:shd w:val="clear" w:color="auto" w:fill="auto"/>
          </w:tcPr>
          <w:p w:rsidR="00CC50F6" w:rsidRPr="000C627D" w:rsidRDefault="00E9406E" w:rsidP="00CC50F6">
            <w:pPr>
              <w:pStyle w:val="TableHeading"/>
            </w:pPr>
            <w:r w:rsidRPr="000C627D">
              <w:t>Importing and supplying emissions</w:t>
            </w:r>
            <w:r w:rsidR="000C627D">
              <w:noBreakHyphen/>
            </w:r>
            <w:r w:rsidRPr="000C627D">
              <w:t>controlled products</w:t>
            </w:r>
          </w:p>
        </w:tc>
      </w:tr>
      <w:tr w:rsidR="00CC50F6" w:rsidRPr="000C627D" w:rsidTr="001640C6">
        <w:trPr>
          <w:tblHeader/>
        </w:trPr>
        <w:tc>
          <w:tcPr>
            <w:tcW w:w="714" w:type="dxa"/>
            <w:tcBorders>
              <w:top w:val="single" w:sz="6" w:space="0" w:color="auto"/>
              <w:bottom w:val="single" w:sz="12" w:space="0" w:color="auto"/>
            </w:tcBorders>
            <w:shd w:val="clear" w:color="auto" w:fill="auto"/>
          </w:tcPr>
          <w:p w:rsidR="00CC50F6" w:rsidRPr="000C627D" w:rsidRDefault="00CC50F6" w:rsidP="00E9406E">
            <w:pPr>
              <w:pStyle w:val="TableHeading"/>
            </w:pPr>
            <w:r w:rsidRPr="000C627D">
              <w:t>Item</w:t>
            </w:r>
          </w:p>
        </w:tc>
        <w:tc>
          <w:tcPr>
            <w:tcW w:w="2683" w:type="dxa"/>
            <w:tcBorders>
              <w:top w:val="single" w:sz="6" w:space="0" w:color="auto"/>
              <w:bottom w:val="single" w:sz="12" w:space="0" w:color="auto"/>
            </w:tcBorders>
            <w:shd w:val="clear" w:color="auto" w:fill="auto"/>
          </w:tcPr>
          <w:p w:rsidR="00CC50F6" w:rsidRPr="000C627D" w:rsidRDefault="00CC50F6" w:rsidP="00E9406E">
            <w:pPr>
              <w:pStyle w:val="TableHeading"/>
            </w:pPr>
            <w:r w:rsidRPr="000C627D">
              <w:t>Column 1</w:t>
            </w:r>
          </w:p>
          <w:p w:rsidR="00CC50F6" w:rsidRPr="000C627D" w:rsidRDefault="000C15F7" w:rsidP="00E9406E">
            <w:pPr>
              <w:pStyle w:val="TableHeading"/>
            </w:pPr>
            <w:r w:rsidRPr="000C627D">
              <w:t>Activity</w:t>
            </w:r>
          </w:p>
        </w:tc>
        <w:tc>
          <w:tcPr>
            <w:tcW w:w="4961" w:type="dxa"/>
            <w:tcBorders>
              <w:top w:val="single" w:sz="6" w:space="0" w:color="auto"/>
              <w:bottom w:val="single" w:sz="12" w:space="0" w:color="auto"/>
            </w:tcBorders>
            <w:shd w:val="clear" w:color="auto" w:fill="auto"/>
          </w:tcPr>
          <w:p w:rsidR="00CC50F6" w:rsidRPr="000C627D" w:rsidRDefault="000C15F7" w:rsidP="00E9406E">
            <w:pPr>
              <w:pStyle w:val="TableHeading"/>
            </w:pPr>
            <w:r w:rsidRPr="000C627D">
              <w:t>Column 2</w:t>
            </w:r>
          </w:p>
          <w:p w:rsidR="000C15F7" w:rsidRPr="000C627D" w:rsidRDefault="000C15F7" w:rsidP="00E9406E">
            <w:pPr>
              <w:pStyle w:val="TableHeading"/>
            </w:pPr>
            <w:r w:rsidRPr="000C627D">
              <w:t>Circumstance</w:t>
            </w:r>
          </w:p>
        </w:tc>
      </w:tr>
      <w:tr w:rsidR="00CC50F6" w:rsidRPr="000C627D" w:rsidTr="001640C6">
        <w:tc>
          <w:tcPr>
            <w:tcW w:w="714" w:type="dxa"/>
            <w:tcBorders>
              <w:top w:val="single" w:sz="12" w:space="0" w:color="auto"/>
            </w:tcBorders>
            <w:shd w:val="clear" w:color="auto" w:fill="auto"/>
          </w:tcPr>
          <w:p w:rsidR="00CC50F6" w:rsidRPr="000C627D" w:rsidRDefault="00CC50F6" w:rsidP="00CC50F6">
            <w:pPr>
              <w:pStyle w:val="Tabletext"/>
            </w:pPr>
            <w:r w:rsidRPr="000C627D">
              <w:t>1</w:t>
            </w:r>
          </w:p>
        </w:tc>
        <w:tc>
          <w:tcPr>
            <w:tcW w:w="2683" w:type="dxa"/>
            <w:tcBorders>
              <w:top w:val="single" w:sz="12" w:space="0" w:color="auto"/>
            </w:tcBorders>
            <w:shd w:val="clear" w:color="auto" w:fill="auto"/>
          </w:tcPr>
          <w:p w:rsidR="00CC50F6" w:rsidRPr="000C627D" w:rsidRDefault="001E6DB7" w:rsidP="00CC50F6">
            <w:pPr>
              <w:pStyle w:val="Tabletext"/>
            </w:pPr>
            <w:r w:rsidRPr="000C627D">
              <w:t>i</w:t>
            </w:r>
            <w:r w:rsidR="000C15F7" w:rsidRPr="000C627D">
              <w:t>mporting an emissions</w:t>
            </w:r>
            <w:r w:rsidR="000C627D">
              <w:noBreakHyphen/>
            </w:r>
            <w:r w:rsidR="000C15F7" w:rsidRPr="000C627D">
              <w:t>controlled product</w:t>
            </w:r>
          </w:p>
        </w:tc>
        <w:tc>
          <w:tcPr>
            <w:tcW w:w="4961" w:type="dxa"/>
            <w:tcBorders>
              <w:top w:val="single" w:sz="12" w:space="0" w:color="auto"/>
            </w:tcBorders>
            <w:shd w:val="clear" w:color="auto" w:fill="auto"/>
          </w:tcPr>
          <w:p w:rsidR="00CC50F6" w:rsidRPr="000C627D" w:rsidRDefault="000C15F7" w:rsidP="00E9406E">
            <w:pPr>
              <w:pStyle w:val="Tabletext"/>
            </w:pPr>
            <w:r w:rsidRPr="000C627D">
              <w:t>the import</w:t>
            </w:r>
            <w:r w:rsidR="00E9406E" w:rsidRPr="000C627D">
              <w:t>ation</w:t>
            </w:r>
            <w:r w:rsidR="00F37249" w:rsidRPr="000C627D">
              <w:t xml:space="preserve"> occurs</w:t>
            </w:r>
            <w:r w:rsidRPr="000C627D">
              <w:t xml:space="preserve"> on or before 30</w:t>
            </w:r>
            <w:r w:rsidR="000C627D" w:rsidRPr="000C627D">
              <w:t> </w:t>
            </w:r>
            <w:r w:rsidRPr="000C627D">
              <w:t>June 2018</w:t>
            </w:r>
          </w:p>
        </w:tc>
      </w:tr>
      <w:tr w:rsidR="00CC50F6" w:rsidRPr="000C627D" w:rsidTr="001640C6">
        <w:tc>
          <w:tcPr>
            <w:tcW w:w="714" w:type="dxa"/>
            <w:tcBorders>
              <w:bottom w:val="single" w:sz="2" w:space="0" w:color="auto"/>
            </w:tcBorders>
            <w:shd w:val="clear" w:color="auto" w:fill="auto"/>
          </w:tcPr>
          <w:p w:rsidR="00CC50F6" w:rsidRPr="000C627D" w:rsidRDefault="00CC50F6" w:rsidP="00CC50F6">
            <w:pPr>
              <w:pStyle w:val="Tabletext"/>
            </w:pPr>
            <w:r w:rsidRPr="000C627D">
              <w:t>2</w:t>
            </w:r>
          </w:p>
        </w:tc>
        <w:tc>
          <w:tcPr>
            <w:tcW w:w="2683" w:type="dxa"/>
            <w:tcBorders>
              <w:bottom w:val="single" w:sz="2" w:space="0" w:color="auto"/>
            </w:tcBorders>
            <w:shd w:val="clear" w:color="auto" w:fill="auto"/>
          </w:tcPr>
          <w:p w:rsidR="00CC50F6" w:rsidRPr="000C627D" w:rsidRDefault="001E6DB7" w:rsidP="00BF3C3B">
            <w:pPr>
              <w:pStyle w:val="Tabletext"/>
            </w:pPr>
            <w:r w:rsidRPr="000C627D">
              <w:t>s</w:t>
            </w:r>
            <w:r w:rsidR="000C15F7" w:rsidRPr="000C627D">
              <w:t>upplying an emissions</w:t>
            </w:r>
            <w:r w:rsidR="000C627D">
              <w:noBreakHyphen/>
            </w:r>
            <w:r w:rsidR="000C15F7" w:rsidRPr="000C627D">
              <w:t>controlled product</w:t>
            </w:r>
          </w:p>
        </w:tc>
        <w:tc>
          <w:tcPr>
            <w:tcW w:w="4961" w:type="dxa"/>
            <w:tcBorders>
              <w:bottom w:val="single" w:sz="2" w:space="0" w:color="auto"/>
            </w:tcBorders>
            <w:shd w:val="clear" w:color="auto" w:fill="auto"/>
          </w:tcPr>
          <w:p w:rsidR="00BF3C3B" w:rsidRPr="000C627D" w:rsidRDefault="00BF3C3B" w:rsidP="001640C6">
            <w:pPr>
              <w:pStyle w:val="Tabletext"/>
            </w:pPr>
            <w:r w:rsidRPr="000C627D">
              <w:t>the supply occurs on or before 30</w:t>
            </w:r>
            <w:r w:rsidR="000C627D" w:rsidRPr="000C627D">
              <w:t> </w:t>
            </w:r>
            <w:r w:rsidRPr="000C627D">
              <w:t>June 2018</w:t>
            </w:r>
          </w:p>
        </w:tc>
      </w:tr>
      <w:tr w:rsidR="001640C6" w:rsidRPr="000C627D" w:rsidTr="001640C6">
        <w:tc>
          <w:tcPr>
            <w:tcW w:w="714" w:type="dxa"/>
            <w:tcBorders>
              <w:top w:val="single" w:sz="2" w:space="0" w:color="auto"/>
              <w:bottom w:val="single" w:sz="12" w:space="0" w:color="auto"/>
            </w:tcBorders>
            <w:shd w:val="clear" w:color="auto" w:fill="auto"/>
          </w:tcPr>
          <w:p w:rsidR="001640C6" w:rsidRPr="000C627D" w:rsidRDefault="001640C6" w:rsidP="001640C6">
            <w:pPr>
              <w:pStyle w:val="Tabletext"/>
            </w:pPr>
            <w:r w:rsidRPr="000C627D">
              <w:t>3</w:t>
            </w:r>
          </w:p>
        </w:tc>
        <w:tc>
          <w:tcPr>
            <w:tcW w:w="2683" w:type="dxa"/>
            <w:tcBorders>
              <w:top w:val="single" w:sz="2" w:space="0" w:color="auto"/>
              <w:bottom w:val="single" w:sz="12" w:space="0" w:color="auto"/>
            </w:tcBorders>
            <w:shd w:val="clear" w:color="auto" w:fill="auto"/>
          </w:tcPr>
          <w:p w:rsidR="001640C6" w:rsidRPr="000C627D" w:rsidRDefault="001640C6" w:rsidP="001640C6">
            <w:pPr>
              <w:pStyle w:val="Tabletext"/>
            </w:pPr>
            <w:r w:rsidRPr="000C627D">
              <w:t>supplying an emissions</w:t>
            </w:r>
            <w:r w:rsidR="000C627D">
              <w:noBreakHyphen/>
            </w:r>
            <w:r w:rsidRPr="000C627D">
              <w:t>controlled product</w:t>
            </w:r>
          </w:p>
        </w:tc>
        <w:tc>
          <w:tcPr>
            <w:tcW w:w="4961" w:type="dxa"/>
            <w:tcBorders>
              <w:top w:val="single" w:sz="2" w:space="0" w:color="auto"/>
              <w:bottom w:val="single" w:sz="12" w:space="0" w:color="auto"/>
            </w:tcBorders>
            <w:shd w:val="clear" w:color="auto" w:fill="auto"/>
          </w:tcPr>
          <w:p w:rsidR="002B5FFF" w:rsidRPr="000C627D" w:rsidRDefault="001640C6" w:rsidP="001640C6">
            <w:pPr>
              <w:pStyle w:val="Tablea"/>
            </w:pPr>
            <w:r w:rsidRPr="000C627D">
              <w:t xml:space="preserve">(a) </w:t>
            </w:r>
            <w:r w:rsidR="000D510C" w:rsidRPr="000C627D">
              <w:t xml:space="preserve">the supply </w:t>
            </w:r>
            <w:r w:rsidRPr="000C627D">
              <w:t>occurs</w:t>
            </w:r>
            <w:r w:rsidR="002B5FFF" w:rsidRPr="000C627D">
              <w:t>:</w:t>
            </w:r>
          </w:p>
          <w:p w:rsidR="002B5FFF" w:rsidRPr="000C627D" w:rsidRDefault="002B5FFF" w:rsidP="002B5FFF">
            <w:pPr>
              <w:pStyle w:val="Tablei"/>
            </w:pPr>
            <w:r w:rsidRPr="000C627D">
              <w:t>(</w:t>
            </w:r>
            <w:proofErr w:type="spellStart"/>
            <w:r w:rsidRPr="000C627D">
              <w:t>i</w:t>
            </w:r>
            <w:proofErr w:type="spellEnd"/>
            <w:r w:rsidRPr="000C627D">
              <w:t xml:space="preserve">) </w:t>
            </w:r>
            <w:r w:rsidR="001640C6" w:rsidRPr="000C627D">
              <w:t>on or after 1</w:t>
            </w:r>
            <w:r w:rsidR="000C627D" w:rsidRPr="000C627D">
              <w:t> </w:t>
            </w:r>
            <w:r w:rsidR="001640C6" w:rsidRPr="000C627D">
              <w:t>July 2018</w:t>
            </w:r>
            <w:r w:rsidRPr="000C627D">
              <w:t>;</w:t>
            </w:r>
            <w:r w:rsidR="001640C6" w:rsidRPr="000C627D">
              <w:t xml:space="preserve"> and</w:t>
            </w:r>
          </w:p>
          <w:p w:rsidR="001640C6" w:rsidRPr="000C627D" w:rsidRDefault="002B5FFF" w:rsidP="002B5FFF">
            <w:pPr>
              <w:pStyle w:val="Tablei"/>
            </w:pPr>
            <w:r w:rsidRPr="000C627D">
              <w:t xml:space="preserve">(ii) </w:t>
            </w:r>
            <w:r w:rsidR="001640C6" w:rsidRPr="000C627D">
              <w:t>on or before 30</w:t>
            </w:r>
            <w:r w:rsidR="000C627D" w:rsidRPr="000C627D">
              <w:t> </w:t>
            </w:r>
            <w:r w:rsidR="001640C6" w:rsidRPr="000C627D">
              <w:t>June 2019; and</w:t>
            </w:r>
          </w:p>
          <w:p w:rsidR="001640C6" w:rsidRPr="000C627D" w:rsidRDefault="001640C6" w:rsidP="002B5FFF">
            <w:pPr>
              <w:pStyle w:val="Tablea"/>
            </w:pPr>
            <w:r w:rsidRPr="000C627D">
              <w:t>(</w:t>
            </w:r>
            <w:r w:rsidR="002B5FFF" w:rsidRPr="000C627D">
              <w:t>b</w:t>
            </w:r>
            <w:r w:rsidRPr="000C627D">
              <w:t>) if the product was manufactured in Australia—</w:t>
            </w:r>
            <w:r w:rsidR="000D510C" w:rsidRPr="000C627D">
              <w:t xml:space="preserve">the supply </w:t>
            </w:r>
            <w:r w:rsidRPr="000C627D">
              <w:t>is not the first supply of the product</w:t>
            </w:r>
          </w:p>
        </w:tc>
      </w:tr>
    </w:tbl>
    <w:p w:rsidR="003E0B4B" w:rsidRPr="000C627D" w:rsidRDefault="006E7CE6" w:rsidP="003E0B4B">
      <w:pPr>
        <w:pStyle w:val="ActHead5"/>
      </w:pPr>
      <w:bookmarkStart w:id="75" w:name="_Toc500512616"/>
      <w:r w:rsidRPr="000C627D">
        <w:rPr>
          <w:rStyle w:val="CharSectno"/>
        </w:rPr>
        <w:t>52</w:t>
      </w:r>
      <w:r w:rsidR="003E0B4B" w:rsidRPr="000C627D">
        <w:t xml:space="preserve">  </w:t>
      </w:r>
      <w:r w:rsidR="00A73101" w:rsidRPr="000C627D">
        <w:t>Transitional provision—Directive 97/68/EC</w:t>
      </w:r>
      <w:bookmarkEnd w:id="75"/>
    </w:p>
    <w:p w:rsidR="003A046C" w:rsidRPr="000C627D" w:rsidRDefault="003A046C" w:rsidP="003A046C">
      <w:pPr>
        <w:pStyle w:val="SubsectionHead"/>
      </w:pPr>
      <w:r w:rsidRPr="000C627D">
        <w:t>Definition</w:t>
      </w:r>
      <w:r w:rsidR="000E5574" w:rsidRPr="000C627D">
        <w:t>s</w:t>
      </w:r>
    </w:p>
    <w:p w:rsidR="00831F06" w:rsidRPr="000C627D" w:rsidRDefault="00831F06" w:rsidP="00831F06">
      <w:pPr>
        <w:pStyle w:val="subsection"/>
      </w:pPr>
      <w:r w:rsidRPr="000C627D">
        <w:tab/>
        <w:t>(1)</w:t>
      </w:r>
      <w:r w:rsidRPr="000C627D">
        <w:tab/>
        <w:t>In this section:</w:t>
      </w:r>
    </w:p>
    <w:p w:rsidR="00D156EA" w:rsidRPr="000C627D" w:rsidRDefault="00D156EA" w:rsidP="00CC1228">
      <w:pPr>
        <w:pStyle w:val="Definition"/>
        <w:rPr>
          <w:b/>
          <w:i/>
        </w:rPr>
      </w:pPr>
      <w:r w:rsidRPr="000C627D">
        <w:rPr>
          <w:b/>
          <w:i/>
        </w:rPr>
        <w:t xml:space="preserve">old EU </w:t>
      </w:r>
      <w:r w:rsidR="00932213" w:rsidRPr="000C627D">
        <w:rPr>
          <w:b/>
          <w:i/>
        </w:rPr>
        <w:t>D</w:t>
      </w:r>
      <w:r w:rsidRPr="000C627D">
        <w:rPr>
          <w:b/>
          <w:i/>
        </w:rPr>
        <w:t>irective</w:t>
      </w:r>
      <w:r w:rsidRPr="000C627D">
        <w:t xml:space="preserve"> means former </w:t>
      </w:r>
      <w:r w:rsidR="00CC1228" w:rsidRPr="000C627D">
        <w:t>Directive 97/68/EC of the European Parliament and of the Council of 16</w:t>
      </w:r>
      <w:r w:rsidR="000C627D" w:rsidRPr="000C627D">
        <w:t> </w:t>
      </w:r>
      <w:r w:rsidR="00CC1228" w:rsidRPr="000C627D">
        <w:t>December 1997 on the approximation of the laws of the Member States relating to measures against the emission of gaseous and particulate pollutants from internal combustion engines to be installed in non</w:t>
      </w:r>
      <w:r w:rsidR="000C627D">
        <w:noBreakHyphen/>
      </w:r>
      <w:r w:rsidR="00CC1228" w:rsidRPr="000C627D">
        <w:t>road mobile machinery</w:t>
      </w:r>
      <w:r w:rsidRPr="000C627D">
        <w:t>.</w:t>
      </w:r>
    </w:p>
    <w:p w:rsidR="00D756A4" w:rsidRPr="000C627D" w:rsidRDefault="00D756A4" w:rsidP="00831F06">
      <w:pPr>
        <w:pStyle w:val="Definition"/>
      </w:pPr>
      <w:r w:rsidRPr="000C627D">
        <w:rPr>
          <w:b/>
          <w:i/>
        </w:rPr>
        <w:t>old EU type</w:t>
      </w:r>
      <w:r w:rsidR="000C627D">
        <w:rPr>
          <w:b/>
          <w:i/>
        </w:rPr>
        <w:noBreakHyphen/>
      </w:r>
      <w:r w:rsidRPr="000C627D">
        <w:rPr>
          <w:b/>
          <w:i/>
        </w:rPr>
        <w:t>approval certificate</w:t>
      </w:r>
      <w:r w:rsidRPr="000C627D">
        <w:t xml:space="preserve"> means an EU </w:t>
      </w:r>
      <w:r w:rsidR="00E24E75" w:rsidRPr="000C627D">
        <w:t>t</w:t>
      </w:r>
      <w:r w:rsidRPr="000C627D">
        <w:t>ype</w:t>
      </w:r>
      <w:r w:rsidR="000C627D">
        <w:noBreakHyphen/>
      </w:r>
      <w:r w:rsidR="00E24E75" w:rsidRPr="000C627D">
        <w:t>a</w:t>
      </w:r>
      <w:r w:rsidRPr="000C627D">
        <w:t xml:space="preserve">pproval </w:t>
      </w:r>
      <w:r w:rsidR="00E24E75" w:rsidRPr="000C627D">
        <w:t>c</w:t>
      </w:r>
      <w:r w:rsidRPr="000C627D">
        <w:t>ertificate granted under</w:t>
      </w:r>
      <w:r w:rsidR="00D156EA" w:rsidRPr="000C627D">
        <w:t xml:space="preserve"> stage II of the old EU Directive.</w:t>
      </w:r>
    </w:p>
    <w:p w:rsidR="00951167" w:rsidRPr="000C627D" w:rsidRDefault="00177884" w:rsidP="00951167">
      <w:pPr>
        <w:pStyle w:val="SubsectionHead"/>
      </w:pPr>
      <w:r w:rsidRPr="000C627D">
        <w:t>Importing</w:t>
      </w:r>
    </w:p>
    <w:p w:rsidR="00177884" w:rsidRPr="000C627D" w:rsidRDefault="00177884" w:rsidP="00177884">
      <w:pPr>
        <w:pStyle w:val="subsection"/>
      </w:pPr>
      <w:r w:rsidRPr="000C627D">
        <w:tab/>
        <w:t>(</w:t>
      </w:r>
      <w:r w:rsidR="00D156EA" w:rsidRPr="000C627D">
        <w:t>2</w:t>
      </w:r>
      <w:r w:rsidRPr="000C627D">
        <w:t>)</w:t>
      </w:r>
      <w:r w:rsidRPr="000C627D">
        <w:tab/>
        <w:t>For the purposes of paragraph</w:t>
      </w:r>
      <w:r w:rsidR="000C627D" w:rsidRPr="000C627D">
        <w:t> </w:t>
      </w:r>
      <w:r w:rsidRPr="000C627D">
        <w:t>11(1)(</w:t>
      </w:r>
      <w:r w:rsidR="00BC1DF5" w:rsidRPr="000C627D">
        <w:t>b</w:t>
      </w:r>
      <w:r w:rsidRPr="000C627D">
        <w:t xml:space="preserve">) of the Act, a </w:t>
      </w:r>
      <w:r w:rsidR="00F91E6E" w:rsidRPr="000C627D">
        <w:t>non</w:t>
      </w:r>
      <w:r w:rsidR="000C627D">
        <w:noBreakHyphen/>
      </w:r>
      <w:r w:rsidR="00F91E6E" w:rsidRPr="000C627D">
        <w:t>road engine</w:t>
      </w:r>
      <w:r w:rsidRPr="000C627D">
        <w:t xml:space="preserve"> is exempt from section</w:t>
      </w:r>
      <w:r w:rsidR="000C627D" w:rsidRPr="000C627D">
        <w:t> </w:t>
      </w:r>
      <w:r w:rsidRPr="000C627D">
        <w:t>13 of the Act if:</w:t>
      </w:r>
    </w:p>
    <w:p w:rsidR="00831F06" w:rsidRPr="000C627D" w:rsidRDefault="00177884" w:rsidP="0084755A">
      <w:pPr>
        <w:pStyle w:val="paragraph"/>
      </w:pPr>
      <w:r w:rsidRPr="000C627D">
        <w:tab/>
        <w:t>(a)</w:t>
      </w:r>
      <w:r w:rsidRPr="000C627D">
        <w:tab/>
        <w:t xml:space="preserve">it </w:t>
      </w:r>
      <w:r w:rsidR="00E24E75" w:rsidRPr="000C627D">
        <w:t>is covered by an old EU type</w:t>
      </w:r>
      <w:r w:rsidR="000C627D">
        <w:noBreakHyphen/>
      </w:r>
      <w:r w:rsidR="00D756A4" w:rsidRPr="000C627D">
        <w:t xml:space="preserve">approval certificate </w:t>
      </w:r>
      <w:r w:rsidR="00D156EA" w:rsidRPr="000C627D">
        <w:t>that was granted on or after 11</w:t>
      </w:r>
      <w:r w:rsidR="000C627D" w:rsidRPr="000C627D">
        <w:t> </w:t>
      </w:r>
      <w:r w:rsidR="00D156EA" w:rsidRPr="000C627D">
        <w:t>February 2003</w:t>
      </w:r>
      <w:r w:rsidR="00052F49" w:rsidRPr="000C627D">
        <w:t>;</w:t>
      </w:r>
      <w:r w:rsidR="00831F06" w:rsidRPr="000C627D">
        <w:t xml:space="preserve"> and</w:t>
      </w:r>
    </w:p>
    <w:p w:rsidR="004E4744" w:rsidRPr="000C627D" w:rsidRDefault="004E4744" w:rsidP="004E4744">
      <w:pPr>
        <w:pStyle w:val="paragraph"/>
      </w:pPr>
      <w:r w:rsidRPr="000C627D">
        <w:tab/>
        <w:t>(b)</w:t>
      </w:r>
      <w:r w:rsidRPr="000C627D">
        <w:tab/>
        <w:t>the certificate is not currently suspended or cancelled; and</w:t>
      </w:r>
    </w:p>
    <w:p w:rsidR="004E4744" w:rsidRPr="000C627D" w:rsidRDefault="004E4744" w:rsidP="0084755A">
      <w:pPr>
        <w:pStyle w:val="paragraph"/>
      </w:pPr>
      <w:r w:rsidRPr="000C627D">
        <w:tab/>
        <w:t>(c)</w:t>
      </w:r>
      <w:r w:rsidRPr="000C627D">
        <w:tab/>
        <w:t xml:space="preserve">the engine is marked in </w:t>
      </w:r>
      <w:r w:rsidR="00D156EA" w:rsidRPr="000C627D">
        <w:t xml:space="preserve">the way required </w:t>
      </w:r>
      <w:r w:rsidR="003C03C4" w:rsidRPr="000C627D">
        <w:t xml:space="preserve">by </w:t>
      </w:r>
      <w:r w:rsidR="005964B8" w:rsidRPr="000C627D">
        <w:t xml:space="preserve">the </w:t>
      </w:r>
      <w:r w:rsidR="00D156EA" w:rsidRPr="000C627D">
        <w:t xml:space="preserve">old EU </w:t>
      </w:r>
      <w:r w:rsidR="00932213" w:rsidRPr="000C627D">
        <w:t>D</w:t>
      </w:r>
      <w:r w:rsidR="00D156EA" w:rsidRPr="000C627D">
        <w:t>irective</w:t>
      </w:r>
      <w:r w:rsidR="00D756A4" w:rsidRPr="000C627D">
        <w:t>, as in force on 11</w:t>
      </w:r>
      <w:r w:rsidR="000C627D" w:rsidRPr="000C627D">
        <w:t> </w:t>
      </w:r>
      <w:r w:rsidR="00D756A4" w:rsidRPr="000C627D">
        <w:t>February 2003</w:t>
      </w:r>
      <w:r w:rsidR="00831F06" w:rsidRPr="000C627D">
        <w:t>.</w:t>
      </w:r>
    </w:p>
    <w:p w:rsidR="00177884" w:rsidRPr="000C627D" w:rsidRDefault="002E2F09" w:rsidP="00177884">
      <w:pPr>
        <w:pStyle w:val="subsection"/>
      </w:pPr>
      <w:r w:rsidRPr="000C627D">
        <w:tab/>
        <w:t>(</w:t>
      </w:r>
      <w:r w:rsidR="00D156EA" w:rsidRPr="000C627D">
        <w:t>3</w:t>
      </w:r>
      <w:r w:rsidR="00177884" w:rsidRPr="000C627D">
        <w:t>)</w:t>
      </w:r>
      <w:r w:rsidR="00177884" w:rsidRPr="000C627D">
        <w:tab/>
      </w:r>
      <w:r w:rsidR="000C627D" w:rsidRPr="000C627D">
        <w:t>Subsection (</w:t>
      </w:r>
      <w:r w:rsidR="00F83DEE" w:rsidRPr="000C627D">
        <w:t>2</w:t>
      </w:r>
      <w:r w:rsidR="00177884" w:rsidRPr="000C627D">
        <w:t>) ceases to apply on 1</w:t>
      </w:r>
      <w:r w:rsidR="000C627D" w:rsidRPr="000C627D">
        <w:t> </w:t>
      </w:r>
      <w:r w:rsidR="00177884" w:rsidRPr="000C627D">
        <w:t>July 2020.</w:t>
      </w:r>
    </w:p>
    <w:p w:rsidR="00177884" w:rsidRPr="000C627D" w:rsidRDefault="00177884" w:rsidP="00177884">
      <w:pPr>
        <w:pStyle w:val="SubsectionHead"/>
      </w:pPr>
      <w:r w:rsidRPr="000C627D">
        <w:t>Supplying</w:t>
      </w:r>
    </w:p>
    <w:p w:rsidR="00177884" w:rsidRPr="000C627D" w:rsidRDefault="00177884" w:rsidP="00177884">
      <w:pPr>
        <w:pStyle w:val="subsection"/>
      </w:pPr>
      <w:r w:rsidRPr="000C627D">
        <w:tab/>
        <w:t>(</w:t>
      </w:r>
      <w:r w:rsidR="00D156EA" w:rsidRPr="000C627D">
        <w:t>4</w:t>
      </w:r>
      <w:r w:rsidRPr="000C627D">
        <w:t>)</w:t>
      </w:r>
      <w:r w:rsidRPr="000C627D">
        <w:tab/>
        <w:t>For the purposes of paragraph</w:t>
      </w:r>
      <w:r w:rsidR="000C627D" w:rsidRPr="000C627D">
        <w:t> </w:t>
      </w:r>
      <w:r w:rsidR="00BC1DF5" w:rsidRPr="000C627D">
        <w:t>11(1)(b</w:t>
      </w:r>
      <w:r w:rsidRPr="000C627D">
        <w:t xml:space="preserve">) of the Act, a </w:t>
      </w:r>
      <w:r w:rsidR="00F91E6E" w:rsidRPr="000C627D">
        <w:t>non</w:t>
      </w:r>
      <w:r w:rsidR="000C627D">
        <w:noBreakHyphen/>
      </w:r>
      <w:r w:rsidR="00F91E6E" w:rsidRPr="000C627D">
        <w:t>road engine</w:t>
      </w:r>
      <w:r w:rsidRPr="000C627D">
        <w:t xml:space="preserve"> is exempt from section</w:t>
      </w:r>
      <w:r w:rsidR="000C627D" w:rsidRPr="000C627D">
        <w:t> </w:t>
      </w:r>
      <w:r w:rsidRPr="000C627D">
        <w:t>15 of the Act if:</w:t>
      </w:r>
    </w:p>
    <w:p w:rsidR="00D156EA" w:rsidRPr="000C627D" w:rsidRDefault="00D156EA" w:rsidP="00D156EA">
      <w:pPr>
        <w:pStyle w:val="paragraph"/>
      </w:pPr>
      <w:r w:rsidRPr="000C627D">
        <w:tab/>
        <w:t>(a)</w:t>
      </w:r>
      <w:r w:rsidRPr="000C627D">
        <w:tab/>
        <w:t xml:space="preserve">it </w:t>
      </w:r>
      <w:r w:rsidR="00E24E75" w:rsidRPr="000C627D">
        <w:t>is covered by an old EU type</w:t>
      </w:r>
      <w:r w:rsidR="000C627D">
        <w:noBreakHyphen/>
      </w:r>
      <w:r w:rsidRPr="000C627D">
        <w:t>approval certificate that was granted on or after 11</w:t>
      </w:r>
      <w:r w:rsidR="000C627D" w:rsidRPr="000C627D">
        <w:t> </w:t>
      </w:r>
      <w:r w:rsidRPr="000C627D">
        <w:t>February 2003</w:t>
      </w:r>
      <w:r w:rsidR="00F70EDD" w:rsidRPr="000C627D">
        <w:t>;</w:t>
      </w:r>
      <w:r w:rsidRPr="000C627D">
        <w:t xml:space="preserve"> and</w:t>
      </w:r>
    </w:p>
    <w:p w:rsidR="00D156EA" w:rsidRPr="000C627D" w:rsidRDefault="00D156EA" w:rsidP="00D156EA">
      <w:pPr>
        <w:pStyle w:val="paragraph"/>
      </w:pPr>
      <w:r w:rsidRPr="000C627D">
        <w:tab/>
        <w:t>(b)</w:t>
      </w:r>
      <w:r w:rsidRPr="000C627D">
        <w:tab/>
        <w:t>the certificate is not currently suspended or cancelled; and</w:t>
      </w:r>
    </w:p>
    <w:p w:rsidR="00D156EA" w:rsidRPr="000C627D" w:rsidRDefault="00D156EA" w:rsidP="00D156EA">
      <w:pPr>
        <w:pStyle w:val="paragraph"/>
      </w:pPr>
      <w:r w:rsidRPr="000C627D">
        <w:tab/>
        <w:t>(c)</w:t>
      </w:r>
      <w:r w:rsidRPr="000C627D">
        <w:tab/>
        <w:t xml:space="preserve">the engine is marked in the way required </w:t>
      </w:r>
      <w:r w:rsidR="003C03C4" w:rsidRPr="000C627D">
        <w:t xml:space="preserve">by the </w:t>
      </w:r>
      <w:r w:rsidRPr="000C627D">
        <w:t xml:space="preserve">old EU </w:t>
      </w:r>
      <w:r w:rsidR="00932213" w:rsidRPr="000C627D">
        <w:t>D</w:t>
      </w:r>
      <w:r w:rsidRPr="000C627D">
        <w:t>irective, as in force on 11</w:t>
      </w:r>
      <w:r w:rsidR="000C627D" w:rsidRPr="000C627D">
        <w:t> </w:t>
      </w:r>
      <w:r w:rsidRPr="000C627D">
        <w:t>February 2003.</w:t>
      </w:r>
    </w:p>
    <w:p w:rsidR="00177884" w:rsidRPr="000C627D" w:rsidRDefault="002E2F09" w:rsidP="00177884">
      <w:pPr>
        <w:pStyle w:val="subsection"/>
      </w:pPr>
      <w:r w:rsidRPr="000C627D">
        <w:tab/>
        <w:t>(</w:t>
      </w:r>
      <w:r w:rsidR="00D156EA" w:rsidRPr="000C627D">
        <w:t>5</w:t>
      </w:r>
      <w:r w:rsidR="00177884" w:rsidRPr="000C627D">
        <w:t>)</w:t>
      </w:r>
      <w:r w:rsidR="00177884" w:rsidRPr="000C627D">
        <w:tab/>
        <w:t xml:space="preserve">This section is repealed on </w:t>
      </w:r>
      <w:r w:rsidR="00DD3E74" w:rsidRPr="000C627D">
        <w:t>1</w:t>
      </w:r>
      <w:r w:rsidR="000C627D" w:rsidRPr="000C627D">
        <w:t> </w:t>
      </w:r>
      <w:r w:rsidR="00177884" w:rsidRPr="000C627D">
        <w:t>July 2021.</w:t>
      </w:r>
    </w:p>
    <w:p w:rsidR="004477E6" w:rsidRPr="000C627D" w:rsidRDefault="006E7CE6" w:rsidP="004477E6">
      <w:pPr>
        <w:pStyle w:val="ActHead5"/>
      </w:pPr>
      <w:bookmarkStart w:id="76" w:name="_Toc500512617"/>
      <w:r w:rsidRPr="000C627D">
        <w:rPr>
          <w:rStyle w:val="CharSectno"/>
        </w:rPr>
        <w:t>53</w:t>
      </w:r>
      <w:r w:rsidR="004477E6" w:rsidRPr="000C627D">
        <w:t xml:space="preserve">  Record</w:t>
      </w:r>
      <w:r w:rsidR="000C627D">
        <w:noBreakHyphen/>
      </w:r>
      <w:r w:rsidR="004477E6" w:rsidRPr="000C627D">
        <w:t>keeping requirements</w:t>
      </w:r>
      <w:bookmarkEnd w:id="76"/>
    </w:p>
    <w:p w:rsidR="004477E6" w:rsidRPr="000C627D" w:rsidRDefault="004477E6" w:rsidP="004477E6">
      <w:pPr>
        <w:pStyle w:val="subsection"/>
      </w:pPr>
      <w:r w:rsidRPr="000C627D">
        <w:tab/>
      </w:r>
      <w:r w:rsidRPr="000C627D">
        <w:tab/>
        <w:t>Section</w:t>
      </w:r>
      <w:r w:rsidR="000C627D" w:rsidRPr="000C627D">
        <w:t> </w:t>
      </w:r>
      <w:r w:rsidR="006E7CE6" w:rsidRPr="000C627D">
        <w:t>40</w:t>
      </w:r>
      <w:r w:rsidRPr="000C627D">
        <w:t xml:space="preserve"> applies in relation to:</w:t>
      </w:r>
    </w:p>
    <w:p w:rsidR="004477E6" w:rsidRPr="000C627D" w:rsidRDefault="004477E6" w:rsidP="004477E6">
      <w:pPr>
        <w:pStyle w:val="paragraph"/>
      </w:pPr>
      <w:r w:rsidRPr="000C627D">
        <w:tab/>
        <w:t>(a)</w:t>
      </w:r>
      <w:r w:rsidRPr="000C627D">
        <w:tab/>
        <w:t xml:space="preserve">importing </w:t>
      </w:r>
      <w:r w:rsidR="001E6DB7" w:rsidRPr="000C627D">
        <w:t>an emissions</w:t>
      </w:r>
      <w:r w:rsidR="000C627D">
        <w:noBreakHyphen/>
      </w:r>
      <w:r w:rsidR="001E6DB7" w:rsidRPr="000C627D">
        <w:t xml:space="preserve">controlled product </w:t>
      </w:r>
      <w:r w:rsidRPr="000C627D">
        <w:t>on or after 1</w:t>
      </w:r>
      <w:r w:rsidR="000C627D" w:rsidRPr="000C627D">
        <w:t> </w:t>
      </w:r>
      <w:r w:rsidRPr="000C627D">
        <w:t xml:space="preserve">July 2018; </w:t>
      </w:r>
      <w:r w:rsidR="001E6DB7" w:rsidRPr="000C627D">
        <w:t>and</w:t>
      </w:r>
    </w:p>
    <w:p w:rsidR="002B5FFF" w:rsidRPr="000C627D" w:rsidRDefault="001E6DB7" w:rsidP="004477E6">
      <w:pPr>
        <w:pStyle w:val="paragraph"/>
      </w:pPr>
      <w:r w:rsidRPr="000C627D">
        <w:tab/>
        <w:t>(b)</w:t>
      </w:r>
      <w:r w:rsidRPr="000C627D">
        <w:tab/>
        <w:t>supplying an emissions</w:t>
      </w:r>
      <w:r w:rsidR="000C627D">
        <w:noBreakHyphen/>
      </w:r>
      <w:r w:rsidRPr="000C627D">
        <w:t>controlled product on or after 1</w:t>
      </w:r>
      <w:r w:rsidR="000C627D" w:rsidRPr="000C627D">
        <w:t> </w:t>
      </w:r>
      <w:r w:rsidRPr="000C627D">
        <w:t>July 2018</w:t>
      </w:r>
      <w:r w:rsidR="0030338F" w:rsidRPr="000C627D">
        <w:t xml:space="preserve"> and on or before 30</w:t>
      </w:r>
      <w:r w:rsidR="000C627D" w:rsidRPr="000C627D">
        <w:t> </w:t>
      </w:r>
      <w:r w:rsidR="0030338F" w:rsidRPr="000C627D">
        <w:t>June 2019</w:t>
      </w:r>
      <w:r w:rsidRPr="000C627D">
        <w:t xml:space="preserve"> if</w:t>
      </w:r>
      <w:r w:rsidR="002B5FFF" w:rsidRPr="000C627D">
        <w:t>:</w:t>
      </w:r>
    </w:p>
    <w:p w:rsidR="001E6DB7" w:rsidRPr="000C627D" w:rsidRDefault="002B5FFF" w:rsidP="002B5FFF">
      <w:pPr>
        <w:pStyle w:val="paragraphsub"/>
      </w:pPr>
      <w:r w:rsidRPr="000C627D">
        <w:tab/>
        <w:t>(</w:t>
      </w:r>
      <w:proofErr w:type="spellStart"/>
      <w:r w:rsidRPr="000C627D">
        <w:t>i</w:t>
      </w:r>
      <w:proofErr w:type="spellEnd"/>
      <w:r w:rsidRPr="000C627D">
        <w:t>)</w:t>
      </w:r>
      <w:r w:rsidRPr="000C627D">
        <w:tab/>
      </w:r>
      <w:r w:rsidR="001E6DB7" w:rsidRPr="000C627D">
        <w:t>the product was manufactured in Australia; and</w:t>
      </w:r>
    </w:p>
    <w:p w:rsidR="002B5FFF" w:rsidRPr="000C627D" w:rsidRDefault="002B5FFF" w:rsidP="002B5FFF">
      <w:pPr>
        <w:pStyle w:val="paragraphsub"/>
      </w:pPr>
      <w:r w:rsidRPr="000C627D">
        <w:tab/>
        <w:t>(ii)</w:t>
      </w:r>
      <w:r w:rsidRPr="000C627D">
        <w:tab/>
        <w:t>the supply is the first supply of the product; and</w:t>
      </w:r>
    </w:p>
    <w:p w:rsidR="004477E6" w:rsidRPr="000C627D" w:rsidRDefault="004477E6" w:rsidP="004477E6">
      <w:pPr>
        <w:pStyle w:val="paragraph"/>
      </w:pPr>
      <w:r w:rsidRPr="000C627D">
        <w:tab/>
        <w:t>(</w:t>
      </w:r>
      <w:r w:rsidR="001E6DB7" w:rsidRPr="000C627D">
        <w:t>c</w:t>
      </w:r>
      <w:r w:rsidRPr="000C627D">
        <w:t>)</w:t>
      </w:r>
      <w:r w:rsidRPr="000C627D">
        <w:tab/>
        <w:t xml:space="preserve">supplying </w:t>
      </w:r>
      <w:r w:rsidR="001E6DB7" w:rsidRPr="000C627D">
        <w:t>an emissions</w:t>
      </w:r>
      <w:r w:rsidR="000C627D">
        <w:noBreakHyphen/>
      </w:r>
      <w:r w:rsidR="001E6DB7" w:rsidRPr="000C627D">
        <w:t xml:space="preserve">controlled product </w:t>
      </w:r>
      <w:r w:rsidRPr="000C627D">
        <w:t>on or after 1</w:t>
      </w:r>
      <w:r w:rsidR="000C627D" w:rsidRPr="000C627D">
        <w:t> </w:t>
      </w:r>
      <w:r w:rsidRPr="000C627D">
        <w:t>July 2019</w:t>
      </w:r>
      <w:r w:rsidR="004329C4" w:rsidRPr="000C627D">
        <w:t>.</w:t>
      </w:r>
    </w:p>
    <w:p w:rsidR="001F326D" w:rsidRPr="000C627D" w:rsidRDefault="006E7CE6" w:rsidP="001F326D">
      <w:pPr>
        <w:pStyle w:val="ActHead5"/>
      </w:pPr>
      <w:bookmarkStart w:id="77" w:name="_Toc500512618"/>
      <w:r w:rsidRPr="000C627D">
        <w:rPr>
          <w:rStyle w:val="CharSectno"/>
        </w:rPr>
        <w:t>54</w:t>
      </w:r>
      <w:r w:rsidR="001F326D" w:rsidRPr="000C627D">
        <w:t xml:space="preserve">  </w:t>
      </w:r>
      <w:r w:rsidR="004477E6" w:rsidRPr="000C627D">
        <w:t>Reporting periods</w:t>
      </w:r>
      <w:bookmarkEnd w:id="77"/>
    </w:p>
    <w:p w:rsidR="001F326D" w:rsidRPr="000C627D" w:rsidRDefault="001F326D" w:rsidP="001F326D">
      <w:pPr>
        <w:pStyle w:val="subsection"/>
      </w:pPr>
      <w:r w:rsidRPr="000C627D">
        <w:tab/>
      </w:r>
      <w:r w:rsidRPr="000C627D">
        <w:tab/>
        <w:t>Subsection</w:t>
      </w:r>
      <w:r w:rsidR="000C627D" w:rsidRPr="000C627D">
        <w:t> </w:t>
      </w:r>
      <w:r w:rsidR="006E7CE6" w:rsidRPr="000C627D">
        <w:t>41</w:t>
      </w:r>
      <w:r w:rsidRPr="000C627D">
        <w:t>(1) applies to a financial year starting on or after 1</w:t>
      </w:r>
      <w:r w:rsidR="000C627D" w:rsidRPr="000C627D">
        <w:t> </w:t>
      </w:r>
      <w:r w:rsidRPr="000C627D">
        <w:t>July 2018.</w:t>
      </w:r>
    </w:p>
    <w:sectPr w:rsidR="001F326D" w:rsidRPr="000C627D" w:rsidSect="009A21AD">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DF" w:rsidRDefault="001A2FDF" w:rsidP="00715914">
      <w:pPr>
        <w:spacing w:line="240" w:lineRule="auto"/>
      </w:pPr>
      <w:r>
        <w:separator/>
      </w:r>
    </w:p>
  </w:endnote>
  <w:endnote w:type="continuationSeparator" w:id="0">
    <w:p w:rsidR="001A2FDF" w:rsidRDefault="001A2FD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AD" w:rsidRPr="009A21AD" w:rsidRDefault="009A21AD" w:rsidP="009A21AD">
    <w:pPr>
      <w:pStyle w:val="Footer"/>
      <w:rPr>
        <w:i/>
        <w:sz w:val="18"/>
      </w:rPr>
    </w:pPr>
    <w:r w:rsidRPr="009A21AD">
      <w:rPr>
        <w:i/>
        <w:sz w:val="18"/>
      </w:rPr>
      <w:t>OPC62495 -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Default="001A2FDF" w:rsidP="007500C8">
    <w:pPr>
      <w:pStyle w:val="Footer"/>
    </w:pPr>
  </w:p>
  <w:p w:rsidR="001A2FDF" w:rsidRPr="009A21AD" w:rsidRDefault="009A21AD" w:rsidP="009A21AD">
    <w:pPr>
      <w:pStyle w:val="Footer"/>
      <w:rPr>
        <w:i/>
        <w:sz w:val="18"/>
      </w:rPr>
    </w:pPr>
    <w:r w:rsidRPr="009A21AD">
      <w:rPr>
        <w:i/>
        <w:sz w:val="18"/>
      </w:rPr>
      <w:t>OPC62495 -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9A21AD" w:rsidRDefault="009A21AD" w:rsidP="009A21AD">
    <w:pPr>
      <w:pStyle w:val="Footer"/>
      <w:tabs>
        <w:tab w:val="clear" w:pos="4153"/>
        <w:tab w:val="clear" w:pos="8306"/>
        <w:tab w:val="center" w:pos="4150"/>
        <w:tab w:val="right" w:pos="8307"/>
      </w:tabs>
      <w:spacing w:before="120"/>
      <w:rPr>
        <w:i/>
        <w:sz w:val="18"/>
      </w:rPr>
    </w:pPr>
    <w:r w:rsidRPr="009A21AD">
      <w:rPr>
        <w:i/>
        <w:sz w:val="18"/>
      </w:rPr>
      <w:t>OPC62495 -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E33C1C" w:rsidRDefault="001A2FDF"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A2FDF" w:rsidTr="000C627D">
      <w:tc>
        <w:tcPr>
          <w:tcW w:w="709" w:type="dxa"/>
          <w:tcBorders>
            <w:top w:val="nil"/>
            <w:left w:val="nil"/>
            <w:bottom w:val="nil"/>
            <w:right w:val="nil"/>
          </w:tcBorders>
        </w:tcPr>
        <w:p w:rsidR="001A2FDF" w:rsidRDefault="001A2FDF" w:rsidP="008D121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2520D">
            <w:rPr>
              <w:i/>
              <w:noProof/>
              <w:sz w:val="18"/>
            </w:rPr>
            <w:t>ii</w:t>
          </w:r>
          <w:r w:rsidRPr="00ED79B6">
            <w:rPr>
              <w:i/>
              <w:sz w:val="18"/>
            </w:rPr>
            <w:fldChar w:fldCharType="end"/>
          </w:r>
        </w:p>
      </w:tc>
      <w:tc>
        <w:tcPr>
          <w:tcW w:w="6379" w:type="dxa"/>
          <w:tcBorders>
            <w:top w:val="nil"/>
            <w:left w:val="nil"/>
            <w:bottom w:val="nil"/>
            <w:right w:val="nil"/>
          </w:tcBorders>
        </w:tcPr>
        <w:p w:rsidR="001A2FDF" w:rsidRDefault="001A2FDF" w:rsidP="008D121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09EC">
            <w:rPr>
              <w:i/>
              <w:sz w:val="18"/>
            </w:rPr>
            <w:t>Product Emissions Standards Rules 2017</w:t>
          </w:r>
          <w:r w:rsidRPr="007A1328">
            <w:rPr>
              <w:i/>
              <w:sz w:val="18"/>
            </w:rPr>
            <w:fldChar w:fldCharType="end"/>
          </w:r>
        </w:p>
      </w:tc>
      <w:tc>
        <w:tcPr>
          <w:tcW w:w="1384" w:type="dxa"/>
          <w:tcBorders>
            <w:top w:val="nil"/>
            <w:left w:val="nil"/>
            <w:bottom w:val="nil"/>
            <w:right w:val="nil"/>
          </w:tcBorders>
        </w:tcPr>
        <w:p w:rsidR="001A2FDF" w:rsidRDefault="001A2FDF" w:rsidP="008D1217">
          <w:pPr>
            <w:spacing w:line="0" w:lineRule="atLeast"/>
            <w:jc w:val="right"/>
            <w:rPr>
              <w:sz w:val="18"/>
            </w:rPr>
          </w:pPr>
        </w:p>
      </w:tc>
    </w:tr>
  </w:tbl>
  <w:p w:rsidR="001A2FDF" w:rsidRPr="009A21AD" w:rsidRDefault="009A21AD" w:rsidP="009A21AD">
    <w:pPr>
      <w:rPr>
        <w:rFonts w:cs="Times New Roman"/>
        <w:i/>
        <w:sz w:val="18"/>
      </w:rPr>
    </w:pPr>
    <w:r w:rsidRPr="009A21AD">
      <w:rPr>
        <w:rFonts w:cs="Times New Roman"/>
        <w:i/>
        <w:sz w:val="18"/>
      </w:rPr>
      <w:t>OPC62495 -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E33C1C" w:rsidRDefault="001A2FDF"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1A2FDF" w:rsidTr="00B33709">
      <w:tc>
        <w:tcPr>
          <w:tcW w:w="1383" w:type="dxa"/>
          <w:tcBorders>
            <w:top w:val="nil"/>
            <w:left w:val="nil"/>
            <w:bottom w:val="nil"/>
            <w:right w:val="nil"/>
          </w:tcBorders>
        </w:tcPr>
        <w:p w:rsidR="001A2FDF" w:rsidRDefault="001A2FDF" w:rsidP="008D1217">
          <w:pPr>
            <w:spacing w:line="0" w:lineRule="atLeast"/>
            <w:rPr>
              <w:sz w:val="18"/>
            </w:rPr>
          </w:pPr>
        </w:p>
      </w:tc>
      <w:tc>
        <w:tcPr>
          <w:tcW w:w="6380" w:type="dxa"/>
          <w:tcBorders>
            <w:top w:val="nil"/>
            <w:left w:val="nil"/>
            <w:bottom w:val="nil"/>
            <w:right w:val="nil"/>
          </w:tcBorders>
        </w:tcPr>
        <w:p w:rsidR="001A2FDF" w:rsidRDefault="001A2FDF" w:rsidP="008D121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09EC">
            <w:rPr>
              <w:i/>
              <w:sz w:val="18"/>
            </w:rPr>
            <w:t>Product Emissions Standards Rules 2017</w:t>
          </w:r>
          <w:r w:rsidRPr="007A1328">
            <w:rPr>
              <w:i/>
              <w:sz w:val="18"/>
            </w:rPr>
            <w:fldChar w:fldCharType="end"/>
          </w:r>
        </w:p>
      </w:tc>
      <w:tc>
        <w:tcPr>
          <w:tcW w:w="709" w:type="dxa"/>
          <w:tcBorders>
            <w:top w:val="nil"/>
            <w:left w:val="nil"/>
            <w:bottom w:val="nil"/>
            <w:right w:val="nil"/>
          </w:tcBorders>
        </w:tcPr>
        <w:p w:rsidR="001A2FDF" w:rsidRDefault="001A2FDF" w:rsidP="008D121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2520D">
            <w:rPr>
              <w:i/>
              <w:noProof/>
              <w:sz w:val="18"/>
            </w:rPr>
            <w:t>i</w:t>
          </w:r>
          <w:r w:rsidRPr="00ED79B6">
            <w:rPr>
              <w:i/>
              <w:sz w:val="18"/>
            </w:rPr>
            <w:fldChar w:fldCharType="end"/>
          </w:r>
        </w:p>
      </w:tc>
    </w:tr>
  </w:tbl>
  <w:p w:rsidR="001A2FDF" w:rsidRPr="009A21AD" w:rsidRDefault="009A21AD" w:rsidP="009A21AD">
    <w:pPr>
      <w:rPr>
        <w:rFonts w:cs="Times New Roman"/>
        <w:i/>
        <w:sz w:val="18"/>
      </w:rPr>
    </w:pPr>
    <w:r w:rsidRPr="009A21AD">
      <w:rPr>
        <w:rFonts w:cs="Times New Roman"/>
        <w:i/>
        <w:sz w:val="18"/>
      </w:rPr>
      <w:t>OPC62495 -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E33C1C" w:rsidRDefault="001A2FDF"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A2FDF" w:rsidTr="000C627D">
      <w:tc>
        <w:tcPr>
          <w:tcW w:w="709" w:type="dxa"/>
          <w:tcBorders>
            <w:top w:val="nil"/>
            <w:left w:val="nil"/>
            <w:bottom w:val="nil"/>
            <w:right w:val="nil"/>
          </w:tcBorders>
        </w:tcPr>
        <w:p w:rsidR="001A2FDF" w:rsidRDefault="001A2FDF" w:rsidP="008D121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2520D">
            <w:rPr>
              <w:i/>
              <w:noProof/>
              <w:sz w:val="18"/>
            </w:rPr>
            <w:t>2</w:t>
          </w:r>
          <w:r w:rsidRPr="00ED79B6">
            <w:rPr>
              <w:i/>
              <w:sz w:val="18"/>
            </w:rPr>
            <w:fldChar w:fldCharType="end"/>
          </w:r>
        </w:p>
      </w:tc>
      <w:tc>
        <w:tcPr>
          <w:tcW w:w="6379" w:type="dxa"/>
          <w:tcBorders>
            <w:top w:val="nil"/>
            <w:left w:val="nil"/>
            <w:bottom w:val="nil"/>
            <w:right w:val="nil"/>
          </w:tcBorders>
        </w:tcPr>
        <w:p w:rsidR="001A2FDF" w:rsidRDefault="001A2FDF" w:rsidP="008D121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09EC">
            <w:rPr>
              <w:i/>
              <w:sz w:val="18"/>
            </w:rPr>
            <w:t>Product Emissions Standards Rules 2017</w:t>
          </w:r>
          <w:r w:rsidRPr="007A1328">
            <w:rPr>
              <w:i/>
              <w:sz w:val="18"/>
            </w:rPr>
            <w:fldChar w:fldCharType="end"/>
          </w:r>
        </w:p>
      </w:tc>
      <w:tc>
        <w:tcPr>
          <w:tcW w:w="1384" w:type="dxa"/>
          <w:tcBorders>
            <w:top w:val="nil"/>
            <w:left w:val="nil"/>
            <w:bottom w:val="nil"/>
            <w:right w:val="nil"/>
          </w:tcBorders>
        </w:tcPr>
        <w:p w:rsidR="001A2FDF" w:rsidRDefault="001A2FDF" w:rsidP="008D1217">
          <w:pPr>
            <w:spacing w:line="0" w:lineRule="atLeast"/>
            <w:jc w:val="right"/>
            <w:rPr>
              <w:sz w:val="18"/>
            </w:rPr>
          </w:pPr>
        </w:p>
      </w:tc>
    </w:tr>
  </w:tbl>
  <w:p w:rsidR="001A2FDF" w:rsidRPr="009A21AD" w:rsidRDefault="009A21AD" w:rsidP="009A21AD">
    <w:pPr>
      <w:rPr>
        <w:rFonts w:cs="Times New Roman"/>
        <w:i/>
        <w:sz w:val="18"/>
      </w:rPr>
    </w:pPr>
    <w:r w:rsidRPr="009A21AD">
      <w:rPr>
        <w:rFonts w:cs="Times New Roman"/>
        <w:i/>
        <w:sz w:val="18"/>
      </w:rPr>
      <w:t>OPC62495 -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E33C1C" w:rsidRDefault="001A2FDF"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A2FDF" w:rsidTr="008D1217">
      <w:tc>
        <w:tcPr>
          <w:tcW w:w="1384" w:type="dxa"/>
          <w:tcBorders>
            <w:top w:val="nil"/>
            <w:left w:val="nil"/>
            <w:bottom w:val="nil"/>
            <w:right w:val="nil"/>
          </w:tcBorders>
        </w:tcPr>
        <w:p w:rsidR="001A2FDF" w:rsidRDefault="001A2FDF" w:rsidP="008D1217">
          <w:pPr>
            <w:spacing w:line="0" w:lineRule="atLeast"/>
            <w:rPr>
              <w:sz w:val="18"/>
            </w:rPr>
          </w:pPr>
        </w:p>
      </w:tc>
      <w:tc>
        <w:tcPr>
          <w:tcW w:w="6379" w:type="dxa"/>
          <w:tcBorders>
            <w:top w:val="nil"/>
            <w:left w:val="nil"/>
            <w:bottom w:val="nil"/>
            <w:right w:val="nil"/>
          </w:tcBorders>
        </w:tcPr>
        <w:p w:rsidR="001A2FDF" w:rsidRDefault="001A2FDF" w:rsidP="008D121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09EC">
            <w:rPr>
              <w:i/>
              <w:sz w:val="18"/>
            </w:rPr>
            <w:t>Product Emissions Standards Rules 2017</w:t>
          </w:r>
          <w:r w:rsidRPr="007A1328">
            <w:rPr>
              <w:i/>
              <w:sz w:val="18"/>
            </w:rPr>
            <w:fldChar w:fldCharType="end"/>
          </w:r>
        </w:p>
      </w:tc>
      <w:tc>
        <w:tcPr>
          <w:tcW w:w="709" w:type="dxa"/>
          <w:tcBorders>
            <w:top w:val="nil"/>
            <w:left w:val="nil"/>
            <w:bottom w:val="nil"/>
            <w:right w:val="nil"/>
          </w:tcBorders>
        </w:tcPr>
        <w:p w:rsidR="001A2FDF" w:rsidRDefault="001A2FDF" w:rsidP="008D121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2520D">
            <w:rPr>
              <w:i/>
              <w:noProof/>
              <w:sz w:val="18"/>
            </w:rPr>
            <w:t>1</w:t>
          </w:r>
          <w:r w:rsidRPr="00ED79B6">
            <w:rPr>
              <w:i/>
              <w:sz w:val="18"/>
            </w:rPr>
            <w:fldChar w:fldCharType="end"/>
          </w:r>
        </w:p>
      </w:tc>
    </w:tr>
  </w:tbl>
  <w:p w:rsidR="001A2FDF" w:rsidRPr="009A21AD" w:rsidRDefault="009A21AD" w:rsidP="009A21AD">
    <w:pPr>
      <w:rPr>
        <w:rFonts w:cs="Times New Roman"/>
        <w:i/>
        <w:sz w:val="18"/>
      </w:rPr>
    </w:pPr>
    <w:r w:rsidRPr="009A21AD">
      <w:rPr>
        <w:rFonts w:cs="Times New Roman"/>
        <w:i/>
        <w:sz w:val="18"/>
      </w:rPr>
      <w:t>OPC62495 -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E33C1C" w:rsidRDefault="001A2FD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A2FDF" w:rsidTr="00B33709">
      <w:tc>
        <w:tcPr>
          <w:tcW w:w="1384" w:type="dxa"/>
          <w:tcBorders>
            <w:top w:val="nil"/>
            <w:left w:val="nil"/>
            <w:bottom w:val="nil"/>
            <w:right w:val="nil"/>
          </w:tcBorders>
        </w:tcPr>
        <w:p w:rsidR="001A2FDF" w:rsidRDefault="001A2FDF" w:rsidP="008D1217">
          <w:pPr>
            <w:spacing w:line="0" w:lineRule="atLeast"/>
            <w:rPr>
              <w:sz w:val="18"/>
            </w:rPr>
          </w:pPr>
        </w:p>
      </w:tc>
      <w:tc>
        <w:tcPr>
          <w:tcW w:w="6379" w:type="dxa"/>
          <w:tcBorders>
            <w:top w:val="nil"/>
            <w:left w:val="nil"/>
            <w:bottom w:val="nil"/>
            <w:right w:val="nil"/>
          </w:tcBorders>
        </w:tcPr>
        <w:p w:rsidR="001A2FDF" w:rsidRDefault="001A2FDF" w:rsidP="008D121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09EC">
            <w:rPr>
              <w:i/>
              <w:sz w:val="18"/>
            </w:rPr>
            <w:t>Product Emissions Standards Rules 2017</w:t>
          </w:r>
          <w:r w:rsidRPr="007A1328">
            <w:rPr>
              <w:i/>
              <w:sz w:val="18"/>
            </w:rPr>
            <w:fldChar w:fldCharType="end"/>
          </w:r>
        </w:p>
      </w:tc>
      <w:tc>
        <w:tcPr>
          <w:tcW w:w="709" w:type="dxa"/>
          <w:tcBorders>
            <w:top w:val="nil"/>
            <w:left w:val="nil"/>
            <w:bottom w:val="nil"/>
            <w:right w:val="nil"/>
          </w:tcBorders>
        </w:tcPr>
        <w:p w:rsidR="001A2FDF" w:rsidRDefault="001A2FDF" w:rsidP="008D121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09EC">
            <w:rPr>
              <w:i/>
              <w:noProof/>
              <w:sz w:val="18"/>
            </w:rPr>
            <w:t>35</w:t>
          </w:r>
          <w:r w:rsidRPr="00ED79B6">
            <w:rPr>
              <w:i/>
              <w:sz w:val="18"/>
            </w:rPr>
            <w:fldChar w:fldCharType="end"/>
          </w:r>
        </w:p>
      </w:tc>
    </w:tr>
  </w:tbl>
  <w:p w:rsidR="001A2FDF" w:rsidRPr="009A21AD" w:rsidRDefault="009A21AD" w:rsidP="009A21AD">
    <w:pPr>
      <w:rPr>
        <w:rFonts w:cs="Times New Roman"/>
        <w:i/>
        <w:sz w:val="18"/>
      </w:rPr>
    </w:pPr>
    <w:r w:rsidRPr="009A21AD">
      <w:rPr>
        <w:rFonts w:cs="Times New Roman"/>
        <w:i/>
        <w:sz w:val="18"/>
      </w:rPr>
      <w:t>OPC62495 -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DF" w:rsidRDefault="001A2FDF" w:rsidP="00715914">
      <w:pPr>
        <w:spacing w:line="240" w:lineRule="auto"/>
      </w:pPr>
      <w:r>
        <w:separator/>
      </w:r>
    </w:p>
  </w:footnote>
  <w:footnote w:type="continuationSeparator" w:id="0">
    <w:p w:rsidR="001A2FDF" w:rsidRDefault="001A2FD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5F1388" w:rsidRDefault="001A2FDF"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5F1388" w:rsidRDefault="001A2FDF"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5F1388" w:rsidRDefault="001A2FDF"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ED79B6" w:rsidRDefault="001A2FDF"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ED79B6" w:rsidRDefault="001A2FDF"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ED79B6" w:rsidRDefault="001A2FDF"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Default="001A2FD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A2FDF" w:rsidRDefault="001A2FD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2520D">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2520D">
      <w:rPr>
        <w:noProof/>
        <w:sz w:val="20"/>
      </w:rPr>
      <w:t>Preliminary</w:t>
    </w:r>
    <w:r>
      <w:rPr>
        <w:sz w:val="20"/>
      </w:rPr>
      <w:fldChar w:fldCharType="end"/>
    </w:r>
  </w:p>
  <w:p w:rsidR="001A2FDF" w:rsidRPr="007A1328" w:rsidRDefault="001A2FD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A2FDF" w:rsidRPr="007A1328" w:rsidRDefault="001A2FDF" w:rsidP="00715914">
    <w:pPr>
      <w:rPr>
        <w:b/>
        <w:sz w:val="24"/>
      </w:rPr>
    </w:pPr>
  </w:p>
  <w:p w:rsidR="001A2FDF" w:rsidRPr="007A1328" w:rsidRDefault="001A2FDF"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309E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2520D">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7A1328" w:rsidRDefault="001A2FD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A2FDF" w:rsidRPr="007A1328" w:rsidRDefault="001A2FD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2520D">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2520D">
      <w:rPr>
        <w:b/>
        <w:noProof/>
        <w:sz w:val="20"/>
      </w:rPr>
      <w:t>Part 1</w:t>
    </w:r>
    <w:r>
      <w:rPr>
        <w:b/>
        <w:sz w:val="20"/>
      </w:rPr>
      <w:fldChar w:fldCharType="end"/>
    </w:r>
  </w:p>
  <w:p w:rsidR="001A2FDF" w:rsidRPr="007A1328" w:rsidRDefault="001A2FD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A2FDF" w:rsidRPr="007A1328" w:rsidRDefault="001A2FDF" w:rsidP="00715914">
    <w:pPr>
      <w:jc w:val="right"/>
      <w:rPr>
        <w:b/>
        <w:sz w:val="24"/>
      </w:rPr>
    </w:pPr>
  </w:p>
  <w:p w:rsidR="001A2FDF" w:rsidRPr="007A1328" w:rsidRDefault="001A2FDF"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309E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2520D">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F" w:rsidRPr="007A1328" w:rsidRDefault="001A2FDF"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65456429"/>
    <w:multiLevelType w:val="multilevel"/>
    <w:tmpl w:val="E898CC72"/>
    <w:numStyleLink w:val="KeyPoints"/>
  </w:abstractNum>
  <w:abstractNum w:abstractNumId="13">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54"/>
    <w:rsid w:val="00001705"/>
    <w:rsid w:val="00003D6F"/>
    <w:rsid w:val="00003EEF"/>
    <w:rsid w:val="00004470"/>
    <w:rsid w:val="0000469D"/>
    <w:rsid w:val="00010BE3"/>
    <w:rsid w:val="0001227B"/>
    <w:rsid w:val="000136AF"/>
    <w:rsid w:val="00023C31"/>
    <w:rsid w:val="000254B8"/>
    <w:rsid w:val="00025A74"/>
    <w:rsid w:val="000260BD"/>
    <w:rsid w:val="000279F4"/>
    <w:rsid w:val="00030360"/>
    <w:rsid w:val="000309EC"/>
    <w:rsid w:val="00032129"/>
    <w:rsid w:val="00033D20"/>
    <w:rsid w:val="00034158"/>
    <w:rsid w:val="00037BE0"/>
    <w:rsid w:val="0004010A"/>
    <w:rsid w:val="000437C1"/>
    <w:rsid w:val="00043A78"/>
    <w:rsid w:val="00045407"/>
    <w:rsid w:val="00052F49"/>
    <w:rsid w:val="0005365D"/>
    <w:rsid w:val="00056172"/>
    <w:rsid w:val="000571B0"/>
    <w:rsid w:val="00060453"/>
    <w:rsid w:val="000614BF"/>
    <w:rsid w:val="00062A03"/>
    <w:rsid w:val="00062CB6"/>
    <w:rsid w:val="000636AC"/>
    <w:rsid w:val="00064F3C"/>
    <w:rsid w:val="00070F37"/>
    <w:rsid w:val="00071971"/>
    <w:rsid w:val="00075732"/>
    <w:rsid w:val="000763E7"/>
    <w:rsid w:val="000770DA"/>
    <w:rsid w:val="000803F5"/>
    <w:rsid w:val="00084B22"/>
    <w:rsid w:val="0009034B"/>
    <w:rsid w:val="00095E8F"/>
    <w:rsid w:val="000979AE"/>
    <w:rsid w:val="000A0280"/>
    <w:rsid w:val="000A2A40"/>
    <w:rsid w:val="000B2ACE"/>
    <w:rsid w:val="000B32F8"/>
    <w:rsid w:val="000B3CF5"/>
    <w:rsid w:val="000B58FA"/>
    <w:rsid w:val="000B785A"/>
    <w:rsid w:val="000C15F7"/>
    <w:rsid w:val="000C239D"/>
    <w:rsid w:val="000C48EA"/>
    <w:rsid w:val="000C627D"/>
    <w:rsid w:val="000D05EF"/>
    <w:rsid w:val="000D510C"/>
    <w:rsid w:val="000D5C03"/>
    <w:rsid w:val="000D6A5F"/>
    <w:rsid w:val="000D6E45"/>
    <w:rsid w:val="000E119E"/>
    <w:rsid w:val="000E2261"/>
    <w:rsid w:val="000E2C5A"/>
    <w:rsid w:val="000E34E0"/>
    <w:rsid w:val="000E5574"/>
    <w:rsid w:val="000F21C1"/>
    <w:rsid w:val="001071E7"/>
    <w:rsid w:val="0010745C"/>
    <w:rsid w:val="001132B4"/>
    <w:rsid w:val="001169DB"/>
    <w:rsid w:val="0011748A"/>
    <w:rsid w:val="00124E1E"/>
    <w:rsid w:val="00124FB6"/>
    <w:rsid w:val="00127D45"/>
    <w:rsid w:val="00131E38"/>
    <w:rsid w:val="001324C3"/>
    <w:rsid w:val="00132CEB"/>
    <w:rsid w:val="001336A1"/>
    <w:rsid w:val="0013468D"/>
    <w:rsid w:val="00141A42"/>
    <w:rsid w:val="00141D04"/>
    <w:rsid w:val="00142B62"/>
    <w:rsid w:val="0014328A"/>
    <w:rsid w:val="0014539C"/>
    <w:rsid w:val="00150B53"/>
    <w:rsid w:val="00151381"/>
    <w:rsid w:val="00156FAC"/>
    <w:rsid w:val="001572C6"/>
    <w:rsid w:val="0015749B"/>
    <w:rsid w:val="00157B8B"/>
    <w:rsid w:val="001619CC"/>
    <w:rsid w:val="001640C6"/>
    <w:rsid w:val="0016434E"/>
    <w:rsid w:val="00165420"/>
    <w:rsid w:val="00166C2F"/>
    <w:rsid w:val="001774D1"/>
    <w:rsid w:val="00177884"/>
    <w:rsid w:val="00180594"/>
    <w:rsid w:val="001809D7"/>
    <w:rsid w:val="00181423"/>
    <w:rsid w:val="0018219E"/>
    <w:rsid w:val="00183451"/>
    <w:rsid w:val="00185875"/>
    <w:rsid w:val="00186ED7"/>
    <w:rsid w:val="00193203"/>
    <w:rsid w:val="001939E1"/>
    <w:rsid w:val="00193FF1"/>
    <w:rsid w:val="00194C3E"/>
    <w:rsid w:val="00195382"/>
    <w:rsid w:val="001A0082"/>
    <w:rsid w:val="001A2FDF"/>
    <w:rsid w:val="001A32BF"/>
    <w:rsid w:val="001B0AD8"/>
    <w:rsid w:val="001B2BB7"/>
    <w:rsid w:val="001B522C"/>
    <w:rsid w:val="001C1374"/>
    <w:rsid w:val="001C61C5"/>
    <w:rsid w:val="001C69C4"/>
    <w:rsid w:val="001D0390"/>
    <w:rsid w:val="001D208D"/>
    <w:rsid w:val="001D224A"/>
    <w:rsid w:val="001D37EF"/>
    <w:rsid w:val="001E14FE"/>
    <w:rsid w:val="001E3590"/>
    <w:rsid w:val="001E4676"/>
    <w:rsid w:val="001E563B"/>
    <w:rsid w:val="001E6DB7"/>
    <w:rsid w:val="001E7407"/>
    <w:rsid w:val="001F3120"/>
    <w:rsid w:val="001F326D"/>
    <w:rsid w:val="001F5D5E"/>
    <w:rsid w:val="001F6123"/>
    <w:rsid w:val="001F6219"/>
    <w:rsid w:val="001F6B1B"/>
    <w:rsid w:val="001F6CD4"/>
    <w:rsid w:val="001F7255"/>
    <w:rsid w:val="001F734E"/>
    <w:rsid w:val="001F7AFD"/>
    <w:rsid w:val="00206C4D"/>
    <w:rsid w:val="0021053C"/>
    <w:rsid w:val="00210F2B"/>
    <w:rsid w:val="00211ABF"/>
    <w:rsid w:val="00214458"/>
    <w:rsid w:val="00214CD8"/>
    <w:rsid w:val="00215A16"/>
    <w:rsid w:val="00215AF1"/>
    <w:rsid w:val="00221119"/>
    <w:rsid w:val="002227C8"/>
    <w:rsid w:val="00223D93"/>
    <w:rsid w:val="0023004F"/>
    <w:rsid w:val="00231FAD"/>
    <w:rsid w:val="002320EE"/>
    <w:rsid w:val="002321E8"/>
    <w:rsid w:val="00232589"/>
    <w:rsid w:val="002338BF"/>
    <w:rsid w:val="00233FA1"/>
    <w:rsid w:val="002343E5"/>
    <w:rsid w:val="00236EEC"/>
    <w:rsid w:val="002370FC"/>
    <w:rsid w:val="0024010F"/>
    <w:rsid w:val="00240749"/>
    <w:rsid w:val="00240982"/>
    <w:rsid w:val="002421D6"/>
    <w:rsid w:val="00243018"/>
    <w:rsid w:val="002435D0"/>
    <w:rsid w:val="00243C2D"/>
    <w:rsid w:val="00244182"/>
    <w:rsid w:val="00247FF4"/>
    <w:rsid w:val="00255298"/>
    <w:rsid w:val="002564A4"/>
    <w:rsid w:val="002565F2"/>
    <w:rsid w:val="00265BEA"/>
    <w:rsid w:val="00265F18"/>
    <w:rsid w:val="0026736C"/>
    <w:rsid w:val="00267AB7"/>
    <w:rsid w:val="002725FC"/>
    <w:rsid w:val="002735C0"/>
    <w:rsid w:val="00274E31"/>
    <w:rsid w:val="0028074A"/>
    <w:rsid w:val="00281308"/>
    <w:rsid w:val="0028204E"/>
    <w:rsid w:val="0028350D"/>
    <w:rsid w:val="00284719"/>
    <w:rsid w:val="002856FD"/>
    <w:rsid w:val="00293F18"/>
    <w:rsid w:val="00293F29"/>
    <w:rsid w:val="00295D7C"/>
    <w:rsid w:val="00297ECB"/>
    <w:rsid w:val="002A1DD9"/>
    <w:rsid w:val="002A6394"/>
    <w:rsid w:val="002A68D5"/>
    <w:rsid w:val="002A727F"/>
    <w:rsid w:val="002A786C"/>
    <w:rsid w:val="002A7BCF"/>
    <w:rsid w:val="002B0E3F"/>
    <w:rsid w:val="002B3781"/>
    <w:rsid w:val="002B5FFF"/>
    <w:rsid w:val="002B7B15"/>
    <w:rsid w:val="002B7F07"/>
    <w:rsid w:val="002C0C4A"/>
    <w:rsid w:val="002C20E9"/>
    <w:rsid w:val="002C264D"/>
    <w:rsid w:val="002D043A"/>
    <w:rsid w:val="002D0591"/>
    <w:rsid w:val="002D0FCF"/>
    <w:rsid w:val="002D20FF"/>
    <w:rsid w:val="002D4240"/>
    <w:rsid w:val="002D4791"/>
    <w:rsid w:val="002D6224"/>
    <w:rsid w:val="002E11DF"/>
    <w:rsid w:val="002E13C9"/>
    <w:rsid w:val="002E2F09"/>
    <w:rsid w:val="002E3F4B"/>
    <w:rsid w:val="002E77BD"/>
    <w:rsid w:val="002E7B94"/>
    <w:rsid w:val="002F0930"/>
    <w:rsid w:val="002F1B10"/>
    <w:rsid w:val="0030338F"/>
    <w:rsid w:val="00304F8B"/>
    <w:rsid w:val="00306859"/>
    <w:rsid w:val="00310069"/>
    <w:rsid w:val="00315605"/>
    <w:rsid w:val="00316383"/>
    <w:rsid w:val="00321154"/>
    <w:rsid w:val="00323BEA"/>
    <w:rsid w:val="00326BBB"/>
    <w:rsid w:val="003354D2"/>
    <w:rsid w:val="00335BC6"/>
    <w:rsid w:val="003415D3"/>
    <w:rsid w:val="003433DA"/>
    <w:rsid w:val="00344701"/>
    <w:rsid w:val="00345F54"/>
    <w:rsid w:val="00346774"/>
    <w:rsid w:val="00352B0F"/>
    <w:rsid w:val="00353B20"/>
    <w:rsid w:val="00356690"/>
    <w:rsid w:val="00360459"/>
    <w:rsid w:val="0036321C"/>
    <w:rsid w:val="003737D0"/>
    <w:rsid w:val="0038199A"/>
    <w:rsid w:val="00382FB0"/>
    <w:rsid w:val="00390EC5"/>
    <w:rsid w:val="00394A7C"/>
    <w:rsid w:val="003A046C"/>
    <w:rsid w:val="003A0FB2"/>
    <w:rsid w:val="003A3F38"/>
    <w:rsid w:val="003A4467"/>
    <w:rsid w:val="003A6714"/>
    <w:rsid w:val="003B49E3"/>
    <w:rsid w:val="003B7BAF"/>
    <w:rsid w:val="003C0267"/>
    <w:rsid w:val="003C03C4"/>
    <w:rsid w:val="003C2222"/>
    <w:rsid w:val="003C225B"/>
    <w:rsid w:val="003C2650"/>
    <w:rsid w:val="003C2E30"/>
    <w:rsid w:val="003C411C"/>
    <w:rsid w:val="003C6231"/>
    <w:rsid w:val="003D0BFE"/>
    <w:rsid w:val="003D5700"/>
    <w:rsid w:val="003E0B4B"/>
    <w:rsid w:val="003E3017"/>
    <w:rsid w:val="003E341B"/>
    <w:rsid w:val="003E35C4"/>
    <w:rsid w:val="003E4824"/>
    <w:rsid w:val="003E5395"/>
    <w:rsid w:val="003F0832"/>
    <w:rsid w:val="003F1953"/>
    <w:rsid w:val="003F2827"/>
    <w:rsid w:val="003F43AB"/>
    <w:rsid w:val="003F573C"/>
    <w:rsid w:val="003F636C"/>
    <w:rsid w:val="003F74F2"/>
    <w:rsid w:val="003F75B5"/>
    <w:rsid w:val="0040122E"/>
    <w:rsid w:val="00401976"/>
    <w:rsid w:val="00402A32"/>
    <w:rsid w:val="00403448"/>
    <w:rsid w:val="0040381D"/>
    <w:rsid w:val="004052B6"/>
    <w:rsid w:val="00407F8E"/>
    <w:rsid w:val="004116CD"/>
    <w:rsid w:val="00412D05"/>
    <w:rsid w:val="004144EC"/>
    <w:rsid w:val="00414F7E"/>
    <w:rsid w:val="00415573"/>
    <w:rsid w:val="00417EB9"/>
    <w:rsid w:val="00420E20"/>
    <w:rsid w:val="00424CA9"/>
    <w:rsid w:val="0042718F"/>
    <w:rsid w:val="00427C61"/>
    <w:rsid w:val="00427CC3"/>
    <w:rsid w:val="00431E45"/>
    <w:rsid w:val="00431E9B"/>
    <w:rsid w:val="004329C4"/>
    <w:rsid w:val="00433D5F"/>
    <w:rsid w:val="00435D04"/>
    <w:rsid w:val="004379E3"/>
    <w:rsid w:val="0044015E"/>
    <w:rsid w:val="0044291A"/>
    <w:rsid w:val="00444ABD"/>
    <w:rsid w:val="004477E6"/>
    <w:rsid w:val="00450BD4"/>
    <w:rsid w:val="00453B37"/>
    <w:rsid w:val="00461C81"/>
    <w:rsid w:val="004649A7"/>
    <w:rsid w:val="004650CE"/>
    <w:rsid w:val="00465F6E"/>
    <w:rsid w:val="004662B0"/>
    <w:rsid w:val="00466C57"/>
    <w:rsid w:val="00467661"/>
    <w:rsid w:val="004705B7"/>
    <w:rsid w:val="0047140A"/>
    <w:rsid w:val="00472DBE"/>
    <w:rsid w:val="00474A19"/>
    <w:rsid w:val="00476A57"/>
    <w:rsid w:val="004775A2"/>
    <w:rsid w:val="00483FD6"/>
    <w:rsid w:val="0048607A"/>
    <w:rsid w:val="00492859"/>
    <w:rsid w:val="0049691F"/>
    <w:rsid w:val="00496F97"/>
    <w:rsid w:val="004A423D"/>
    <w:rsid w:val="004A7902"/>
    <w:rsid w:val="004B2C3E"/>
    <w:rsid w:val="004B40C0"/>
    <w:rsid w:val="004B6542"/>
    <w:rsid w:val="004C6AE8"/>
    <w:rsid w:val="004D0076"/>
    <w:rsid w:val="004D1B2E"/>
    <w:rsid w:val="004D25E1"/>
    <w:rsid w:val="004D33B2"/>
    <w:rsid w:val="004D6F10"/>
    <w:rsid w:val="004D787D"/>
    <w:rsid w:val="004E063A"/>
    <w:rsid w:val="004E115F"/>
    <w:rsid w:val="004E3161"/>
    <w:rsid w:val="004E4744"/>
    <w:rsid w:val="004E5FFB"/>
    <w:rsid w:val="004E69BA"/>
    <w:rsid w:val="004E6A10"/>
    <w:rsid w:val="004E7BEC"/>
    <w:rsid w:val="004F0684"/>
    <w:rsid w:val="004F2837"/>
    <w:rsid w:val="004F28C3"/>
    <w:rsid w:val="004F5FDE"/>
    <w:rsid w:val="004F70FD"/>
    <w:rsid w:val="004F7A0A"/>
    <w:rsid w:val="0050040E"/>
    <w:rsid w:val="00500EF4"/>
    <w:rsid w:val="00502085"/>
    <w:rsid w:val="0050314A"/>
    <w:rsid w:val="005039CB"/>
    <w:rsid w:val="0050553D"/>
    <w:rsid w:val="00505D3D"/>
    <w:rsid w:val="00506AF6"/>
    <w:rsid w:val="00507C41"/>
    <w:rsid w:val="00507EEC"/>
    <w:rsid w:val="00510DD5"/>
    <w:rsid w:val="00510FC5"/>
    <w:rsid w:val="00511EA4"/>
    <w:rsid w:val="00511F6B"/>
    <w:rsid w:val="00513EED"/>
    <w:rsid w:val="00516B8D"/>
    <w:rsid w:val="005209B2"/>
    <w:rsid w:val="005211BF"/>
    <w:rsid w:val="00521EAE"/>
    <w:rsid w:val="00522689"/>
    <w:rsid w:val="00522AA0"/>
    <w:rsid w:val="005251D5"/>
    <w:rsid w:val="0052567B"/>
    <w:rsid w:val="005268A6"/>
    <w:rsid w:val="00537FBC"/>
    <w:rsid w:val="005402E8"/>
    <w:rsid w:val="00550D27"/>
    <w:rsid w:val="00551191"/>
    <w:rsid w:val="00552360"/>
    <w:rsid w:val="00553C7C"/>
    <w:rsid w:val="005574D1"/>
    <w:rsid w:val="00562210"/>
    <w:rsid w:val="00567365"/>
    <w:rsid w:val="005717C6"/>
    <w:rsid w:val="005737F6"/>
    <w:rsid w:val="00575A8D"/>
    <w:rsid w:val="00580E5A"/>
    <w:rsid w:val="00580FB2"/>
    <w:rsid w:val="00581F42"/>
    <w:rsid w:val="005828B5"/>
    <w:rsid w:val="00584811"/>
    <w:rsid w:val="00585784"/>
    <w:rsid w:val="005930D9"/>
    <w:rsid w:val="00593AA6"/>
    <w:rsid w:val="00593EBF"/>
    <w:rsid w:val="00594161"/>
    <w:rsid w:val="00594749"/>
    <w:rsid w:val="005959A6"/>
    <w:rsid w:val="005964B8"/>
    <w:rsid w:val="005A183F"/>
    <w:rsid w:val="005A20DD"/>
    <w:rsid w:val="005A402B"/>
    <w:rsid w:val="005A444D"/>
    <w:rsid w:val="005A572B"/>
    <w:rsid w:val="005B4067"/>
    <w:rsid w:val="005B7869"/>
    <w:rsid w:val="005C262F"/>
    <w:rsid w:val="005C3F41"/>
    <w:rsid w:val="005C4227"/>
    <w:rsid w:val="005C4AD2"/>
    <w:rsid w:val="005D0ACB"/>
    <w:rsid w:val="005D2D09"/>
    <w:rsid w:val="005D3056"/>
    <w:rsid w:val="005D48CE"/>
    <w:rsid w:val="005D784F"/>
    <w:rsid w:val="005E10FD"/>
    <w:rsid w:val="005E2327"/>
    <w:rsid w:val="005E4CE1"/>
    <w:rsid w:val="005F5BAB"/>
    <w:rsid w:val="00600219"/>
    <w:rsid w:val="00600549"/>
    <w:rsid w:val="00600EAA"/>
    <w:rsid w:val="0060248C"/>
    <w:rsid w:val="0060283A"/>
    <w:rsid w:val="00602976"/>
    <w:rsid w:val="00603DC4"/>
    <w:rsid w:val="006103E5"/>
    <w:rsid w:val="006110D4"/>
    <w:rsid w:val="00615A66"/>
    <w:rsid w:val="00615E21"/>
    <w:rsid w:val="00620076"/>
    <w:rsid w:val="00620C84"/>
    <w:rsid w:val="006228A9"/>
    <w:rsid w:val="0062374B"/>
    <w:rsid w:val="006248F2"/>
    <w:rsid w:val="0062520D"/>
    <w:rsid w:val="00633657"/>
    <w:rsid w:val="00635B03"/>
    <w:rsid w:val="00640D81"/>
    <w:rsid w:val="006424E4"/>
    <w:rsid w:val="006433FB"/>
    <w:rsid w:val="00644BCB"/>
    <w:rsid w:val="006467BB"/>
    <w:rsid w:val="00650D46"/>
    <w:rsid w:val="0065187E"/>
    <w:rsid w:val="00652156"/>
    <w:rsid w:val="00652DBE"/>
    <w:rsid w:val="00653860"/>
    <w:rsid w:val="006569C7"/>
    <w:rsid w:val="00660623"/>
    <w:rsid w:val="0066326B"/>
    <w:rsid w:val="0066579F"/>
    <w:rsid w:val="00670EA1"/>
    <w:rsid w:val="0067576A"/>
    <w:rsid w:val="00677CC2"/>
    <w:rsid w:val="0068048C"/>
    <w:rsid w:val="00680687"/>
    <w:rsid w:val="0068084C"/>
    <w:rsid w:val="006828F1"/>
    <w:rsid w:val="006903E2"/>
    <w:rsid w:val="006905DE"/>
    <w:rsid w:val="0069207B"/>
    <w:rsid w:val="00692152"/>
    <w:rsid w:val="006950CD"/>
    <w:rsid w:val="00697A9C"/>
    <w:rsid w:val="00697FB1"/>
    <w:rsid w:val="006A2E2D"/>
    <w:rsid w:val="006A3E9C"/>
    <w:rsid w:val="006B17F9"/>
    <w:rsid w:val="006B5789"/>
    <w:rsid w:val="006C1F2F"/>
    <w:rsid w:val="006C30C5"/>
    <w:rsid w:val="006C73C7"/>
    <w:rsid w:val="006C7F8C"/>
    <w:rsid w:val="006D0710"/>
    <w:rsid w:val="006D0F9B"/>
    <w:rsid w:val="006D20AF"/>
    <w:rsid w:val="006D26B1"/>
    <w:rsid w:val="006D7815"/>
    <w:rsid w:val="006E0A86"/>
    <w:rsid w:val="006E1B41"/>
    <w:rsid w:val="006E39EE"/>
    <w:rsid w:val="006E5E92"/>
    <w:rsid w:val="006E6246"/>
    <w:rsid w:val="006E70A1"/>
    <w:rsid w:val="006E7CE6"/>
    <w:rsid w:val="006F06D8"/>
    <w:rsid w:val="006F25C2"/>
    <w:rsid w:val="006F318F"/>
    <w:rsid w:val="006F4226"/>
    <w:rsid w:val="006F698D"/>
    <w:rsid w:val="006F73F0"/>
    <w:rsid w:val="0070017E"/>
    <w:rsid w:val="00700B2C"/>
    <w:rsid w:val="0070232D"/>
    <w:rsid w:val="00702DD4"/>
    <w:rsid w:val="007050A2"/>
    <w:rsid w:val="00707CFF"/>
    <w:rsid w:val="00710003"/>
    <w:rsid w:val="00711401"/>
    <w:rsid w:val="00712D38"/>
    <w:rsid w:val="00713084"/>
    <w:rsid w:val="00714F20"/>
    <w:rsid w:val="007155BF"/>
    <w:rsid w:val="0071590F"/>
    <w:rsid w:val="00715914"/>
    <w:rsid w:val="00716B8E"/>
    <w:rsid w:val="00731E00"/>
    <w:rsid w:val="00732489"/>
    <w:rsid w:val="00734565"/>
    <w:rsid w:val="00737158"/>
    <w:rsid w:val="007440B7"/>
    <w:rsid w:val="00747333"/>
    <w:rsid w:val="007500C8"/>
    <w:rsid w:val="0075247D"/>
    <w:rsid w:val="007534DB"/>
    <w:rsid w:val="0075380E"/>
    <w:rsid w:val="00756272"/>
    <w:rsid w:val="0076169F"/>
    <w:rsid w:val="00762F00"/>
    <w:rsid w:val="00763AE6"/>
    <w:rsid w:val="0076681A"/>
    <w:rsid w:val="00770671"/>
    <w:rsid w:val="007715C9"/>
    <w:rsid w:val="00771613"/>
    <w:rsid w:val="0077374A"/>
    <w:rsid w:val="00774EDD"/>
    <w:rsid w:val="007757EC"/>
    <w:rsid w:val="00777044"/>
    <w:rsid w:val="007835E6"/>
    <w:rsid w:val="00783E61"/>
    <w:rsid w:val="00783E89"/>
    <w:rsid w:val="00786C00"/>
    <w:rsid w:val="00791D64"/>
    <w:rsid w:val="00793915"/>
    <w:rsid w:val="00793C36"/>
    <w:rsid w:val="007A1862"/>
    <w:rsid w:val="007A739D"/>
    <w:rsid w:val="007B1A30"/>
    <w:rsid w:val="007B33BC"/>
    <w:rsid w:val="007B38B5"/>
    <w:rsid w:val="007B705B"/>
    <w:rsid w:val="007C18A6"/>
    <w:rsid w:val="007C1EF1"/>
    <w:rsid w:val="007C2253"/>
    <w:rsid w:val="007C2E70"/>
    <w:rsid w:val="007C30EC"/>
    <w:rsid w:val="007C4068"/>
    <w:rsid w:val="007C5338"/>
    <w:rsid w:val="007C543E"/>
    <w:rsid w:val="007C739B"/>
    <w:rsid w:val="007D0808"/>
    <w:rsid w:val="007D1880"/>
    <w:rsid w:val="007D1947"/>
    <w:rsid w:val="007D25F6"/>
    <w:rsid w:val="007D4ECA"/>
    <w:rsid w:val="007D5A63"/>
    <w:rsid w:val="007D76FD"/>
    <w:rsid w:val="007D7B81"/>
    <w:rsid w:val="007E02DB"/>
    <w:rsid w:val="007E163D"/>
    <w:rsid w:val="007E1BB2"/>
    <w:rsid w:val="007E1C42"/>
    <w:rsid w:val="007E3029"/>
    <w:rsid w:val="007E4CF1"/>
    <w:rsid w:val="007E667A"/>
    <w:rsid w:val="007F28C9"/>
    <w:rsid w:val="00800733"/>
    <w:rsid w:val="00801B89"/>
    <w:rsid w:val="00802647"/>
    <w:rsid w:val="00803587"/>
    <w:rsid w:val="00803823"/>
    <w:rsid w:val="0080382A"/>
    <w:rsid w:val="00807A5A"/>
    <w:rsid w:val="008117E9"/>
    <w:rsid w:val="00815A27"/>
    <w:rsid w:val="00817BA6"/>
    <w:rsid w:val="008242A5"/>
    <w:rsid w:val="00824498"/>
    <w:rsid w:val="00831F06"/>
    <w:rsid w:val="0083719A"/>
    <w:rsid w:val="0083754A"/>
    <w:rsid w:val="0084423F"/>
    <w:rsid w:val="00846091"/>
    <w:rsid w:val="0084755A"/>
    <w:rsid w:val="008508EC"/>
    <w:rsid w:val="00853412"/>
    <w:rsid w:val="00856A31"/>
    <w:rsid w:val="00860F51"/>
    <w:rsid w:val="00861405"/>
    <w:rsid w:val="00861876"/>
    <w:rsid w:val="0086498A"/>
    <w:rsid w:val="00864B24"/>
    <w:rsid w:val="00867B37"/>
    <w:rsid w:val="00870FA0"/>
    <w:rsid w:val="00872A53"/>
    <w:rsid w:val="008747B5"/>
    <w:rsid w:val="00874F78"/>
    <w:rsid w:val="008754D0"/>
    <w:rsid w:val="00877B99"/>
    <w:rsid w:val="00880941"/>
    <w:rsid w:val="0088200A"/>
    <w:rsid w:val="00884D3D"/>
    <w:rsid w:val="008855C9"/>
    <w:rsid w:val="00886456"/>
    <w:rsid w:val="00886D5B"/>
    <w:rsid w:val="00886F50"/>
    <w:rsid w:val="008874B0"/>
    <w:rsid w:val="0089168F"/>
    <w:rsid w:val="00892E7B"/>
    <w:rsid w:val="00892FE6"/>
    <w:rsid w:val="008A0890"/>
    <w:rsid w:val="008A28E1"/>
    <w:rsid w:val="008A46E1"/>
    <w:rsid w:val="008A4F43"/>
    <w:rsid w:val="008A6E71"/>
    <w:rsid w:val="008B1295"/>
    <w:rsid w:val="008B2706"/>
    <w:rsid w:val="008B608A"/>
    <w:rsid w:val="008C4631"/>
    <w:rsid w:val="008C4C1B"/>
    <w:rsid w:val="008C6042"/>
    <w:rsid w:val="008D0BC4"/>
    <w:rsid w:val="008D0EE0"/>
    <w:rsid w:val="008D0F76"/>
    <w:rsid w:val="008D1217"/>
    <w:rsid w:val="008D186F"/>
    <w:rsid w:val="008D1B5D"/>
    <w:rsid w:val="008D23B7"/>
    <w:rsid w:val="008D287C"/>
    <w:rsid w:val="008D4876"/>
    <w:rsid w:val="008D678F"/>
    <w:rsid w:val="008E0373"/>
    <w:rsid w:val="008E06A4"/>
    <w:rsid w:val="008E1860"/>
    <w:rsid w:val="008E26F4"/>
    <w:rsid w:val="008E3486"/>
    <w:rsid w:val="008E3CC3"/>
    <w:rsid w:val="008E6067"/>
    <w:rsid w:val="008E62EA"/>
    <w:rsid w:val="008F1EE4"/>
    <w:rsid w:val="008F256B"/>
    <w:rsid w:val="008F5151"/>
    <w:rsid w:val="008F54E7"/>
    <w:rsid w:val="00903422"/>
    <w:rsid w:val="00907CB7"/>
    <w:rsid w:val="0091354E"/>
    <w:rsid w:val="0091366D"/>
    <w:rsid w:val="00914BF0"/>
    <w:rsid w:val="00915DF9"/>
    <w:rsid w:val="009178A1"/>
    <w:rsid w:val="00917E5E"/>
    <w:rsid w:val="0092098A"/>
    <w:rsid w:val="00922E00"/>
    <w:rsid w:val="0092529B"/>
    <w:rsid w:val="009254C3"/>
    <w:rsid w:val="009303B9"/>
    <w:rsid w:val="009306D8"/>
    <w:rsid w:val="00932213"/>
    <w:rsid w:val="00932377"/>
    <w:rsid w:val="00935642"/>
    <w:rsid w:val="00936245"/>
    <w:rsid w:val="009400E5"/>
    <w:rsid w:val="00940549"/>
    <w:rsid w:val="00941C6F"/>
    <w:rsid w:val="00943B11"/>
    <w:rsid w:val="009451A1"/>
    <w:rsid w:val="0094582A"/>
    <w:rsid w:val="009471A0"/>
    <w:rsid w:val="00947D5A"/>
    <w:rsid w:val="00951167"/>
    <w:rsid w:val="009532A5"/>
    <w:rsid w:val="00955140"/>
    <w:rsid w:val="00957366"/>
    <w:rsid w:val="0096584A"/>
    <w:rsid w:val="00972861"/>
    <w:rsid w:val="00973308"/>
    <w:rsid w:val="00974FA7"/>
    <w:rsid w:val="00975E0D"/>
    <w:rsid w:val="00977804"/>
    <w:rsid w:val="00982242"/>
    <w:rsid w:val="00986310"/>
    <w:rsid w:val="009868E9"/>
    <w:rsid w:val="00986945"/>
    <w:rsid w:val="009907C7"/>
    <w:rsid w:val="00992A17"/>
    <w:rsid w:val="00994D34"/>
    <w:rsid w:val="00995A9E"/>
    <w:rsid w:val="009A21AD"/>
    <w:rsid w:val="009A5F97"/>
    <w:rsid w:val="009A64F4"/>
    <w:rsid w:val="009B13DC"/>
    <w:rsid w:val="009B5076"/>
    <w:rsid w:val="009B705B"/>
    <w:rsid w:val="009C141B"/>
    <w:rsid w:val="009D0B67"/>
    <w:rsid w:val="009D30A8"/>
    <w:rsid w:val="009D4A66"/>
    <w:rsid w:val="009D4EC7"/>
    <w:rsid w:val="009E461D"/>
    <w:rsid w:val="009E543F"/>
    <w:rsid w:val="009E5CFC"/>
    <w:rsid w:val="009F20B8"/>
    <w:rsid w:val="009F254F"/>
    <w:rsid w:val="009F5098"/>
    <w:rsid w:val="009F5C91"/>
    <w:rsid w:val="00A02595"/>
    <w:rsid w:val="00A079CB"/>
    <w:rsid w:val="00A12128"/>
    <w:rsid w:val="00A136C8"/>
    <w:rsid w:val="00A14076"/>
    <w:rsid w:val="00A17926"/>
    <w:rsid w:val="00A22C98"/>
    <w:rsid w:val="00A231E2"/>
    <w:rsid w:val="00A25604"/>
    <w:rsid w:val="00A26400"/>
    <w:rsid w:val="00A2747B"/>
    <w:rsid w:val="00A27EE2"/>
    <w:rsid w:val="00A304D6"/>
    <w:rsid w:val="00A3210C"/>
    <w:rsid w:val="00A32146"/>
    <w:rsid w:val="00A44B12"/>
    <w:rsid w:val="00A457BA"/>
    <w:rsid w:val="00A46A8A"/>
    <w:rsid w:val="00A47963"/>
    <w:rsid w:val="00A526DB"/>
    <w:rsid w:val="00A5285B"/>
    <w:rsid w:val="00A551BC"/>
    <w:rsid w:val="00A57673"/>
    <w:rsid w:val="00A61429"/>
    <w:rsid w:val="00A6426E"/>
    <w:rsid w:val="00A64822"/>
    <w:rsid w:val="00A64912"/>
    <w:rsid w:val="00A649CD"/>
    <w:rsid w:val="00A67AB4"/>
    <w:rsid w:val="00A70A74"/>
    <w:rsid w:val="00A72257"/>
    <w:rsid w:val="00A72C93"/>
    <w:rsid w:val="00A73101"/>
    <w:rsid w:val="00A73D94"/>
    <w:rsid w:val="00A751C0"/>
    <w:rsid w:val="00A7633E"/>
    <w:rsid w:val="00A7767B"/>
    <w:rsid w:val="00A805E0"/>
    <w:rsid w:val="00A80A53"/>
    <w:rsid w:val="00A9207F"/>
    <w:rsid w:val="00A95B69"/>
    <w:rsid w:val="00AA01C5"/>
    <w:rsid w:val="00AA03BC"/>
    <w:rsid w:val="00AA0BC7"/>
    <w:rsid w:val="00AA3BB9"/>
    <w:rsid w:val="00AB2A72"/>
    <w:rsid w:val="00AC0A0A"/>
    <w:rsid w:val="00AC0C3F"/>
    <w:rsid w:val="00AC186E"/>
    <w:rsid w:val="00AC2332"/>
    <w:rsid w:val="00AC3B78"/>
    <w:rsid w:val="00AC6995"/>
    <w:rsid w:val="00AC69C8"/>
    <w:rsid w:val="00AD138A"/>
    <w:rsid w:val="00AD5641"/>
    <w:rsid w:val="00AD7889"/>
    <w:rsid w:val="00AE1821"/>
    <w:rsid w:val="00AE2D8A"/>
    <w:rsid w:val="00AF021B"/>
    <w:rsid w:val="00AF06CF"/>
    <w:rsid w:val="00AF29F1"/>
    <w:rsid w:val="00AF5EDC"/>
    <w:rsid w:val="00AF669E"/>
    <w:rsid w:val="00B00877"/>
    <w:rsid w:val="00B00FBE"/>
    <w:rsid w:val="00B010CE"/>
    <w:rsid w:val="00B0356C"/>
    <w:rsid w:val="00B03924"/>
    <w:rsid w:val="00B040FC"/>
    <w:rsid w:val="00B05BDE"/>
    <w:rsid w:val="00B05CF4"/>
    <w:rsid w:val="00B07CDB"/>
    <w:rsid w:val="00B11705"/>
    <w:rsid w:val="00B13B1B"/>
    <w:rsid w:val="00B1575D"/>
    <w:rsid w:val="00B16A31"/>
    <w:rsid w:val="00B17DFD"/>
    <w:rsid w:val="00B20471"/>
    <w:rsid w:val="00B237C7"/>
    <w:rsid w:val="00B247EF"/>
    <w:rsid w:val="00B261DE"/>
    <w:rsid w:val="00B27646"/>
    <w:rsid w:val="00B308FE"/>
    <w:rsid w:val="00B31C3D"/>
    <w:rsid w:val="00B31EC9"/>
    <w:rsid w:val="00B33709"/>
    <w:rsid w:val="00B33B3C"/>
    <w:rsid w:val="00B3402E"/>
    <w:rsid w:val="00B34A3C"/>
    <w:rsid w:val="00B423CF"/>
    <w:rsid w:val="00B46F4A"/>
    <w:rsid w:val="00B4748D"/>
    <w:rsid w:val="00B47752"/>
    <w:rsid w:val="00B50A55"/>
    <w:rsid w:val="00B50ADC"/>
    <w:rsid w:val="00B53587"/>
    <w:rsid w:val="00B538B7"/>
    <w:rsid w:val="00B566B1"/>
    <w:rsid w:val="00B60872"/>
    <w:rsid w:val="00B61730"/>
    <w:rsid w:val="00B63834"/>
    <w:rsid w:val="00B65F8A"/>
    <w:rsid w:val="00B7190C"/>
    <w:rsid w:val="00B72734"/>
    <w:rsid w:val="00B75682"/>
    <w:rsid w:val="00B75A3D"/>
    <w:rsid w:val="00B763C9"/>
    <w:rsid w:val="00B7768B"/>
    <w:rsid w:val="00B80199"/>
    <w:rsid w:val="00B81659"/>
    <w:rsid w:val="00B83204"/>
    <w:rsid w:val="00B84380"/>
    <w:rsid w:val="00B843EC"/>
    <w:rsid w:val="00B85374"/>
    <w:rsid w:val="00B915D8"/>
    <w:rsid w:val="00B944B2"/>
    <w:rsid w:val="00B96385"/>
    <w:rsid w:val="00BA048F"/>
    <w:rsid w:val="00BA0C87"/>
    <w:rsid w:val="00BA20F5"/>
    <w:rsid w:val="00BA220B"/>
    <w:rsid w:val="00BA2C8D"/>
    <w:rsid w:val="00BA3A57"/>
    <w:rsid w:val="00BA691F"/>
    <w:rsid w:val="00BA70E8"/>
    <w:rsid w:val="00BB1086"/>
    <w:rsid w:val="00BB1A90"/>
    <w:rsid w:val="00BB3AAA"/>
    <w:rsid w:val="00BB4E1A"/>
    <w:rsid w:val="00BB5679"/>
    <w:rsid w:val="00BB5B76"/>
    <w:rsid w:val="00BC015E"/>
    <w:rsid w:val="00BC0BE1"/>
    <w:rsid w:val="00BC0D50"/>
    <w:rsid w:val="00BC1DF5"/>
    <w:rsid w:val="00BC58A6"/>
    <w:rsid w:val="00BC76AC"/>
    <w:rsid w:val="00BD0ECB"/>
    <w:rsid w:val="00BD272C"/>
    <w:rsid w:val="00BD411A"/>
    <w:rsid w:val="00BD41A6"/>
    <w:rsid w:val="00BD54A4"/>
    <w:rsid w:val="00BD6EA6"/>
    <w:rsid w:val="00BE0D5B"/>
    <w:rsid w:val="00BE10BA"/>
    <w:rsid w:val="00BE2155"/>
    <w:rsid w:val="00BE2213"/>
    <w:rsid w:val="00BE6039"/>
    <w:rsid w:val="00BE719A"/>
    <w:rsid w:val="00BE720A"/>
    <w:rsid w:val="00BF0D73"/>
    <w:rsid w:val="00BF1083"/>
    <w:rsid w:val="00BF1B61"/>
    <w:rsid w:val="00BF1F42"/>
    <w:rsid w:val="00BF2465"/>
    <w:rsid w:val="00BF3C3B"/>
    <w:rsid w:val="00BF51D6"/>
    <w:rsid w:val="00BF5CA6"/>
    <w:rsid w:val="00BF7A2A"/>
    <w:rsid w:val="00C00D44"/>
    <w:rsid w:val="00C04090"/>
    <w:rsid w:val="00C0645E"/>
    <w:rsid w:val="00C0790D"/>
    <w:rsid w:val="00C1217C"/>
    <w:rsid w:val="00C20D22"/>
    <w:rsid w:val="00C24A4C"/>
    <w:rsid w:val="00C25E7F"/>
    <w:rsid w:val="00C2644F"/>
    <w:rsid w:val="00C26E86"/>
    <w:rsid w:val="00C271DB"/>
    <w:rsid w:val="00C2746F"/>
    <w:rsid w:val="00C2759C"/>
    <w:rsid w:val="00C27F9D"/>
    <w:rsid w:val="00C32443"/>
    <w:rsid w:val="00C324A0"/>
    <w:rsid w:val="00C3300F"/>
    <w:rsid w:val="00C332B5"/>
    <w:rsid w:val="00C3380D"/>
    <w:rsid w:val="00C358CF"/>
    <w:rsid w:val="00C4226F"/>
    <w:rsid w:val="00C42766"/>
    <w:rsid w:val="00C4279E"/>
    <w:rsid w:val="00C42BF8"/>
    <w:rsid w:val="00C44FF5"/>
    <w:rsid w:val="00C50043"/>
    <w:rsid w:val="00C551CC"/>
    <w:rsid w:val="00C56D2E"/>
    <w:rsid w:val="00C56F96"/>
    <w:rsid w:val="00C57747"/>
    <w:rsid w:val="00C6174B"/>
    <w:rsid w:val="00C62454"/>
    <w:rsid w:val="00C63139"/>
    <w:rsid w:val="00C6350D"/>
    <w:rsid w:val="00C651F9"/>
    <w:rsid w:val="00C65587"/>
    <w:rsid w:val="00C6713C"/>
    <w:rsid w:val="00C71E79"/>
    <w:rsid w:val="00C7573B"/>
    <w:rsid w:val="00C76544"/>
    <w:rsid w:val="00C80426"/>
    <w:rsid w:val="00C837A6"/>
    <w:rsid w:val="00C84384"/>
    <w:rsid w:val="00C90C85"/>
    <w:rsid w:val="00C93C03"/>
    <w:rsid w:val="00C943FA"/>
    <w:rsid w:val="00C9486C"/>
    <w:rsid w:val="00C95AE2"/>
    <w:rsid w:val="00C96570"/>
    <w:rsid w:val="00C9678A"/>
    <w:rsid w:val="00CA1482"/>
    <w:rsid w:val="00CA2407"/>
    <w:rsid w:val="00CA27E7"/>
    <w:rsid w:val="00CA419F"/>
    <w:rsid w:val="00CB078F"/>
    <w:rsid w:val="00CB1E32"/>
    <w:rsid w:val="00CB2C8E"/>
    <w:rsid w:val="00CB5358"/>
    <w:rsid w:val="00CB567F"/>
    <w:rsid w:val="00CB602E"/>
    <w:rsid w:val="00CB685C"/>
    <w:rsid w:val="00CB6ABF"/>
    <w:rsid w:val="00CC0C74"/>
    <w:rsid w:val="00CC1228"/>
    <w:rsid w:val="00CC312B"/>
    <w:rsid w:val="00CC36A1"/>
    <w:rsid w:val="00CC50F6"/>
    <w:rsid w:val="00CD02D0"/>
    <w:rsid w:val="00CE051D"/>
    <w:rsid w:val="00CE10F5"/>
    <w:rsid w:val="00CE1335"/>
    <w:rsid w:val="00CE2791"/>
    <w:rsid w:val="00CE2B58"/>
    <w:rsid w:val="00CE2F48"/>
    <w:rsid w:val="00CE493D"/>
    <w:rsid w:val="00CE6110"/>
    <w:rsid w:val="00CE6522"/>
    <w:rsid w:val="00CE6ABE"/>
    <w:rsid w:val="00CE712A"/>
    <w:rsid w:val="00CF0279"/>
    <w:rsid w:val="00CF07FA"/>
    <w:rsid w:val="00CF0BB2"/>
    <w:rsid w:val="00CF3EE8"/>
    <w:rsid w:val="00CF5030"/>
    <w:rsid w:val="00D050E6"/>
    <w:rsid w:val="00D05117"/>
    <w:rsid w:val="00D13441"/>
    <w:rsid w:val="00D14BFB"/>
    <w:rsid w:val="00D150E7"/>
    <w:rsid w:val="00D156EA"/>
    <w:rsid w:val="00D16875"/>
    <w:rsid w:val="00D17A63"/>
    <w:rsid w:val="00D222DF"/>
    <w:rsid w:val="00D24CD6"/>
    <w:rsid w:val="00D27B66"/>
    <w:rsid w:val="00D30AE7"/>
    <w:rsid w:val="00D324D6"/>
    <w:rsid w:val="00D3275E"/>
    <w:rsid w:val="00D32F65"/>
    <w:rsid w:val="00D35C13"/>
    <w:rsid w:val="00D409B4"/>
    <w:rsid w:val="00D417C9"/>
    <w:rsid w:val="00D41B69"/>
    <w:rsid w:val="00D42E0A"/>
    <w:rsid w:val="00D4414A"/>
    <w:rsid w:val="00D45439"/>
    <w:rsid w:val="00D477E6"/>
    <w:rsid w:val="00D523F7"/>
    <w:rsid w:val="00D52DC2"/>
    <w:rsid w:val="00D53BCC"/>
    <w:rsid w:val="00D548FE"/>
    <w:rsid w:val="00D55478"/>
    <w:rsid w:val="00D65DDF"/>
    <w:rsid w:val="00D70DFB"/>
    <w:rsid w:val="00D71C22"/>
    <w:rsid w:val="00D740FB"/>
    <w:rsid w:val="00D74C29"/>
    <w:rsid w:val="00D756A4"/>
    <w:rsid w:val="00D766DF"/>
    <w:rsid w:val="00D81BF7"/>
    <w:rsid w:val="00D86279"/>
    <w:rsid w:val="00D9071A"/>
    <w:rsid w:val="00D91B19"/>
    <w:rsid w:val="00DA186E"/>
    <w:rsid w:val="00DA2A0F"/>
    <w:rsid w:val="00DA3733"/>
    <w:rsid w:val="00DA4116"/>
    <w:rsid w:val="00DA6AA1"/>
    <w:rsid w:val="00DA7F74"/>
    <w:rsid w:val="00DB07F8"/>
    <w:rsid w:val="00DB251C"/>
    <w:rsid w:val="00DB370C"/>
    <w:rsid w:val="00DB4630"/>
    <w:rsid w:val="00DB622F"/>
    <w:rsid w:val="00DC25DD"/>
    <w:rsid w:val="00DC4F88"/>
    <w:rsid w:val="00DC74FB"/>
    <w:rsid w:val="00DC7F8B"/>
    <w:rsid w:val="00DD3E74"/>
    <w:rsid w:val="00DD5B8D"/>
    <w:rsid w:val="00DE00E9"/>
    <w:rsid w:val="00DE0D1A"/>
    <w:rsid w:val="00DE127B"/>
    <w:rsid w:val="00DE1729"/>
    <w:rsid w:val="00DE419E"/>
    <w:rsid w:val="00DF0959"/>
    <w:rsid w:val="00DF3212"/>
    <w:rsid w:val="00DF7058"/>
    <w:rsid w:val="00E039CE"/>
    <w:rsid w:val="00E04D71"/>
    <w:rsid w:val="00E05704"/>
    <w:rsid w:val="00E06BF4"/>
    <w:rsid w:val="00E11E44"/>
    <w:rsid w:val="00E13E69"/>
    <w:rsid w:val="00E14316"/>
    <w:rsid w:val="00E157A2"/>
    <w:rsid w:val="00E231CE"/>
    <w:rsid w:val="00E239FD"/>
    <w:rsid w:val="00E24E75"/>
    <w:rsid w:val="00E257CF"/>
    <w:rsid w:val="00E277D5"/>
    <w:rsid w:val="00E27C60"/>
    <w:rsid w:val="00E3026C"/>
    <w:rsid w:val="00E30BC3"/>
    <w:rsid w:val="00E31978"/>
    <w:rsid w:val="00E325C5"/>
    <w:rsid w:val="00E3270E"/>
    <w:rsid w:val="00E338EF"/>
    <w:rsid w:val="00E4214F"/>
    <w:rsid w:val="00E50315"/>
    <w:rsid w:val="00E5165C"/>
    <w:rsid w:val="00E5212B"/>
    <w:rsid w:val="00E52F3A"/>
    <w:rsid w:val="00E544BB"/>
    <w:rsid w:val="00E617B3"/>
    <w:rsid w:val="00E61DB8"/>
    <w:rsid w:val="00E649F9"/>
    <w:rsid w:val="00E660B6"/>
    <w:rsid w:val="00E662CB"/>
    <w:rsid w:val="00E707AE"/>
    <w:rsid w:val="00E70B1A"/>
    <w:rsid w:val="00E710A5"/>
    <w:rsid w:val="00E72E78"/>
    <w:rsid w:val="00E73D79"/>
    <w:rsid w:val="00E74DC7"/>
    <w:rsid w:val="00E75033"/>
    <w:rsid w:val="00E75218"/>
    <w:rsid w:val="00E75F39"/>
    <w:rsid w:val="00E7631B"/>
    <w:rsid w:val="00E76C4F"/>
    <w:rsid w:val="00E8075A"/>
    <w:rsid w:val="00E84688"/>
    <w:rsid w:val="00E8630E"/>
    <w:rsid w:val="00E87B5F"/>
    <w:rsid w:val="00E9406E"/>
    <w:rsid w:val="00E94D5E"/>
    <w:rsid w:val="00E95413"/>
    <w:rsid w:val="00E97839"/>
    <w:rsid w:val="00EA3F9F"/>
    <w:rsid w:val="00EA64C6"/>
    <w:rsid w:val="00EA7100"/>
    <w:rsid w:val="00EA7F9F"/>
    <w:rsid w:val="00EB1274"/>
    <w:rsid w:val="00EB5138"/>
    <w:rsid w:val="00EB6AD0"/>
    <w:rsid w:val="00ED007F"/>
    <w:rsid w:val="00ED2BB6"/>
    <w:rsid w:val="00ED34E1"/>
    <w:rsid w:val="00ED369C"/>
    <w:rsid w:val="00ED3B8D"/>
    <w:rsid w:val="00ED5A64"/>
    <w:rsid w:val="00ED64B2"/>
    <w:rsid w:val="00ED659C"/>
    <w:rsid w:val="00ED7863"/>
    <w:rsid w:val="00EE018B"/>
    <w:rsid w:val="00EE24B2"/>
    <w:rsid w:val="00EE63B3"/>
    <w:rsid w:val="00EF13C2"/>
    <w:rsid w:val="00EF2E3A"/>
    <w:rsid w:val="00EF2E4E"/>
    <w:rsid w:val="00EF4743"/>
    <w:rsid w:val="00EF4F0B"/>
    <w:rsid w:val="00EF6D59"/>
    <w:rsid w:val="00EF70E2"/>
    <w:rsid w:val="00EF7E2C"/>
    <w:rsid w:val="00F00D1F"/>
    <w:rsid w:val="00F072A7"/>
    <w:rsid w:val="00F078DC"/>
    <w:rsid w:val="00F10A77"/>
    <w:rsid w:val="00F11701"/>
    <w:rsid w:val="00F14F9F"/>
    <w:rsid w:val="00F20483"/>
    <w:rsid w:val="00F229E4"/>
    <w:rsid w:val="00F23DBC"/>
    <w:rsid w:val="00F27C92"/>
    <w:rsid w:val="00F32BA8"/>
    <w:rsid w:val="00F32CCA"/>
    <w:rsid w:val="00F331C1"/>
    <w:rsid w:val="00F349F1"/>
    <w:rsid w:val="00F37249"/>
    <w:rsid w:val="00F4350D"/>
    <w:rsid w:val="00F448CF"/>
    <w:rsid w:val="00F51D6C"/>
    <w:rsid w:val="00F543D4"/>
    <w:rsid w:val="00F567F7"/>
    <w:rsid w:val="00F573BB"/>
    <w:rsid w:val="00F61EE5"/>
    <w:rsid w:val="00F62036"/>
    <w:rsid w:val="00F624F0"/>
    <w:rsid w:val="00F646C6"/>
    <w:rsid w:val="00F64A85"/>
    <w:rsid w:val="00F64DDF"/>
    <w:rsid w:val="00F65B52"/>
    <w:rsid w:val="00F6797A"/>
    <w:rsid w:val="00F67BCA"/>
    <w:rsid w:val="00F67DAB"/>
    <w:rsid w:val="00F70EDD"/>
    <w:rsid w:val="00F71555"/>
    <w:rsid w:val="00F71656"/>
    <w:rsid w:val="00F73BD6"/>
    <w:rsid w:val="00F80233"/>
    <w:rsid w:val="00F83989"/>
    <w:rsid w:val="00F83DEE"/>
    <w:rsid w:val="00F85099"/>
    <w:rsid w:val="00F85A32"/>
    <w:rsid w:val="00F85F54"/>
    <w:rsid w:val="00F86C58"/>
    <w:rsid w:val="00F91E6E"/>
    <w:rsid w:val="00F9231D"/>
    <w:rsid w:val="00F9379C"/>
    <w:rsid w:val="00F94488"/>
    <w:rsid w:val="00F9632C"/>
    <w:rsid w:val="00F9744E"/>
    <w:rsid w:val="00F97E99"/>
    <w:rsid w:val="00FA1E52"/>
    <w:rsid w:val="00FA54E8"/>
    <w:rsid w:val="00FB3E6F"/>
    <w:rsid w:val="00FC109E"/>
    <w:rsid w:val="00FC3CAE"/>
    <w:rsid w:val="00FC5314"/>
    <w:rsid w:val="00FC5E14"/>
    <w:rsid w:val="00FD3BE1"/>
    <w:rsid w:val="00FD5533"/>
    <w:rsid w:val="00FE4688"/>
    <w:rsid w:val="00FE49D0"/>
    <w:rsid w:val="00FE51BF"/>
    <w:rsid w:val="00FE76FE"/>
    <w:rsid w:val="00FE7901"/>
    <w:rsid w:val="00FE7C66"/>
    <w:rsid w:val="00FF289E"/>
    <w:rsid w:val="00FF2E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627D"/>
    <w:pPr>
      <w:spacing w:line="260" w:lineRule="atLeast"/>
    </w:pPr>
    <w:rPr>
      <w:sz w:val="22"/>
    </w:rPr>
  </w:style>
  <w:style w:type="paragraph" w:styleId="Heading1">
    <w:name w:val="heading 1"/>
    <w:basedOn w:val="Normal"/>
    <w:next w:val="Normal"/>
    <w:link w:val="Heading1Char"/>
    <w:uiPriority w:val="9"/>
    <w:qFormat/>
    <w:rsid w:val="000C62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2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62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62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C62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C62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C62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C627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C627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C627D"/>
  </w:style>
  <w:style w:type="paragraph" w:customStyle="1" w:styleId="OPCParaBase">
    <w:name w:val="OPCParaBase"/>
    <w:qFormat/>
    <w:rsid w:val="000C627D"/>
    <w:pPr>
      <w:spacing w:line="260" w:lineRule="atLeast"/>
    </w:pPr>
    <w:rPr>
      <w:rFonts w:eastAsia="Times New Roman" w:cs="Times New Roman"/>
      <w:sz w:val="22"/>
      <w:lang w:eastAsia="en-AU"/>
    </w:rPr>
  </w:style>
  <w:style w:type="paragraph" w:customStyle="1" w:styleId="ShortT">
    <w:name w:val="ShortT"/>
    <w:basedOn w:val="OPCParaBase"/>
    <w:next w:val="Normal"/>
    <w:qFormat/>
    <w:rsid w:val="000C627D"/>
    <w:pPr>
      <w:spacing w:line="240" w:lineRule="auto"/>
    </w:pPr>
    <w:rPr>
      <w:b/>
      <w:sz w:val="40"/>
    </w:rPr>
  </w:style>
  <w:style w:type="paragraph" w:customStyle="1" w:styleId="ActHead1">
    <w:name w:val="ActHead 1"/>
    <w:aliases w:val="c"/>
    <w:basedOn w:val="OPCParaBase"/>
    <w:next w:val="Normal"/>
    <w:qFormat/>
    <w:rsid w:val="000C627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C627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C627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C627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C627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C627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C627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C627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C627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C627D"/>
  </w:style>
  <w:style w:type="paragraph" w:customStyle="1" w:styleId="Blocks">
    <w:name w:val="Blocks"/>
    <w:aliases w:val="bb"/>
    <w:basedOn w:val="OPCParaBase"/>
    <w:qFormat/>
    <w:rsid w:val="000C627D"/>
    <w:pPr>
      <w:spacing w:line="240" w:lineRule="auto"/>
    </w:pPr>
    <w:rPr>
      <w:sz w:val="24"/>
    </w:rPr>
  </w:style>
  <w:style w:type="paragraph" w:customStyle="1" w:styleId="BoxText">
    <w:name w:val="BoxText"/>
    <w:aliases w:val="bt"/>
    <w:basedOn w:val="OPCParaBase"/>
    <w:qFormat/>
    <w:rsid w:val="000C627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C627D"/>
    <w:rPr>
      <w:b/>
    </w:rPr>
  </w:style>
  <w:style w:type="paragraph" w:customStyle="1" w:styleId="BoxHeadItalic">
    <w:name w:val="BoxHeadItalic"/>
    <w:aliases w:val="bhi"/>
    <w:basedOn w:val="BoxText"/>
    <w:next w:val="BoxStep"/>
    <w:qFormat/>
    <w:rsid w:val="000C627D"/>
    <w:rPr>
      <w:i/>
    </w:rPr>
  </w:style>
  <w:style w:type="paragraph" w:customStyle="1" w:styleId="BoxList">
    <w:name w:val="BoxList"/>
    <w:aliases w:val="bl"/>
    <w:basedOn w:val="BoxText"/>
    <w:qFormat/>
    <w:rsid w:val="000C627D"/>
    <w:pPr>
      <w:ind w:left="1559" w:hanging="425"/>
    </w:pPr>
  </w:style>
  <w:style w:type="paragraph" w:customStyle="1" w:styleId="BoxNote">
    <w:name w:val="BoxNote"/>
    <w:aliases w:val="bn"/>
    <w:basedOn w:val="BoxText"/>
    <w:qFormat/>
    <w:rsid w:val="000C627D"/>
    <w:pPr>
      <w:tabs>
        <w:tab w:val="left" w:pos="1985"/>
      </w:tabs>
      <w:spacing w:before="122" w:line="198" w:lineRule="exact"/>
      <w:ind w:left="2948" w:hanging="1814"/>
    </w:pPr>
    <w:rPr>
      <w:sz w:val="18"/>
    </w:rPr>
  </w:style>
  <w:style w:type="paragraph" w:customStyle="1" w:styleId="BoxPara">
    <w:name w:val="BoxPara"/>
    <w:aliases w:val="bp"/>
    <w:basedOn w:val="BoxText"/>
    <w:qFormat/>
    <w:rsid w:val="000C627D"/>
    <w:pPr>
      <w:tabs>
        <w:tab w:val="right" w:pos="2268"/>
      </w:tabs>
      <w:ind w:left="2552" w:hanging="1418"/>
    </w:pPr>
  </w:style>
  <w:style w:type="paragraph" w:customStyle="1" w:styleId="BoxStep">
    <w:name w:val="BoxStep"/>
    <w:aliases w:val="bs"/>
    <w:basedOn w:val="BoxText"/>
    <w:qFormat/>
    <w:rsid w:val="000C627D"/>
    <w:pPr>
      <w:ind w:left="1985" w:hanging="851"/>
    </w:pPr>
  </w:style>
  <w:style w:type="character" w:customStyle="1" w:styleId="CharAmPartNo">
    <w:name w:val="CharAmPartNo"/>
    <w:basedOn w:val="OPCCharBase"/>
    <w:uiPriority w:val="1"/>
    <w:qFormat/>
    <w:rsid w:val="000C627D"/>
  </w:style>
  <w:style w:type="character" w:customStyle="1" w:styleId="CharAmPartText">
    <w:name w:val="CharAmPartText"/>
    <w:basedOn w:val="OPCCharBase"/>
    <w:uiPriority w:val="1"/>
    <w:qFormat/>
    <w:rsid w:val="000C627D"/>
  </w:style>
  <w:style w:type="character" w:customStyle="1" w:styleId="CharAmSchNo">
    <w:name w:val="CharAmSchNo"/>
    <w:basedOn w:val="OPCCharBase"/>
    <w:uiPriority w:val="1"/>
    <w:qFormat/>
    <w:rsid w:val="000C627D"/>
  </w:style>
  <w:style w:type="character" w:customStyle="1" w:styleId="CharAmSchText">
    <w:name w:val="CharAmSchText"/>
    <w:basedOn w:val="OPCCharBase"/>
    <w:uiPriority w:val="1"/>
    <w:qFormat/>
    <w:rsid w:val="000C627D"/>
  </w:style>
  <w:style w:type="character" w:customStyle="1" w:styleId="CharBoldItalic">
    <w:name w:val="CharBoldItalic"/>
    <w:basedOn w:val="OPCCharBase"/>
    <w:uiPriority w:val="1"/>
    <w:qFormat/>
    <w:rsid w:val="000C627D"/>
    <w:rPr>
      <w:b/>
      <w:i/>
    </w:rPr>
  </w:style>
  <w:style w:type="character" w:customStyle="1" w:styleId="CharChapNo">
    <w:name w:val="CharChapNo"/>
    <w:basedOn w:val="OPCCharBase"/>
    <w:qFormat/>
    <w:rsid w:val="000C627D"/>
  </w:style>
  <w:style w:type="character" w:customStyle="1" w:styleId="CharChapText">
    <w:name w:val="CharChapText"/>
    <w:basedOn w:val="OPCCharBase"/>
    <w:qFormat/>
    <w:rsid w:val="000C627D"/>
  </w:style>
  <w:style w:type="character" w:customStyle="1" w:styleId="CharDivNo">
    <w:name w:val="CharDivNo"/>
    <w:basedOn w:val="OPCCharBase"/>
    <w:qFormat/>
    <w:rsid w:val="000C627D"/>
  </w:style>
  <w:style w:type="character" w:customStyle="1" w:styleId="CharDivText">
    <w:name w:val="CharDivText"/>
    <w:basedOn w:val="OPCCharBase"/>
    <w:qFormat/>
    <w:rsid w:val="000C627D"/>
  </w:style>
  <w:style w:type="character" w:customStyle="1" w:styleId="CharItalic">
    <w:name w:val="CharItalic"/>
    <w:basedOn w:val="OPCCharBase"/>
    <w:uiPriority w:val="1"/>
    <w:qFormat/>
    <w:rsid w:val="000C627D"/>
    <w:rPr>
      <w:i/>
    </w:rPr>
  </w:style>
  <w:style w:type="character" w:customStyle="1" w:styleId="CharPartNo">
    <w:name w:val="CharPartNo"/>
    <w:basedOn w:val="OPCCharBase"/>
    <w:qFormat/>
    <w:rsid w:val="000C627D"/>
  </w:style>
  <w:style w:type="character" w:customStyle="1" w:styleId="CharPartText">
    <w:name w:val="CharPartText"/>
    <w:basedOn w:val="OPCCharBase"/>
    <w:qFormat/>
    <w:rsid w:val="000C627D"/>
  </w:style>
  <w:style w:type="character" w:customStyle="1" w:styleId="CharSectno">
    <w:name w:val="CharSectno"/>
    <w:basedOn w:val="OPCCharBase"/>
    <w:qFormat/>
    <w:rsid w:val="000C627D"/>
  </w:style>
  <w:style w:type="character" w:customStyle="1" w:styleId="CharSubdNo">
    <w:name w:val="CharSubdNo"/>
    <w:basedOn w:val="OPCCharBase"/>
    <w:uiPriority w:val="1"/>
    <w:qFormat/>
    <w:rsid w:val="000C627D"/>
  </w:style>
  <w:style w:type="character" w:customStyle="1" w:styleId="CharSubdText">
    <w:name w:val="CharSubdText"/>
    <w:basedOn w:val="OPCCharBase"/>
    <w:uiPriority w:val="1"/>
    <w:qFormat/>
    <w:rsid w:val="000C627D"/>
  </w:style>
  <w:style w:type="paragraph" w:customStyle="1" w:styleId="CTA--">
    <w:name w:val="CTA --"/>
    <w:basedOn w:val="OPCParaBase"/>
    <w:next w:val="Normal"/>
    <w:rsid w:val="000C627D"/>
    <w:pPr>
      <w:spacing w:before="60" w:line="240" w:lineRule="atLeast"/>
      <w:ind w:left="142" w:hanging="142"/>
    </w:pPr>
    <w:rPr>
      <w:sz w:val="20"/>
    </w:rPr>
  </w:style>
  <w:style w:type="paragraph" w:customStyle="1" w:styleId="CTA-">
    <w:name w:val="CTA -"/>
    <w:basedOn w:val="OPCParaBase"/>
    <w:rsid w:val="000C627D"/>
    <w:pPr>
      <w:spacing w:before="60" w:line="240" w:lineRule="atLeast"/>
      <w:ind w:left="85" w:hanging="85"/>
    </w:pPr>
    <w:rPr>
      <w:sz w:val="20"/>
    </w:rPr>
  </w:style>
  <w:style w:type="paragraph" w:customStyle="1" w:styleId="CTA---">
    <w:name w:val="CTA ---"/>
    <w:basedOn w:val="OPCParaBase"/>
    <w:next w:val="Normal"/>
    <w:rsid w:val="000C627D"/>
    <w:pPr>
      <w:spacing w:before="60" w:line="240" w:lineRule="atLeast"/>
      <w:ind w:left="198" w:hanging="198"/>
    </w:pPr>
    <w:rPr>
      <w:sz w:val="20"/>
    </w:rPr>
  </w:style>
  <w:style w:type="paragraph" w:customStyle="1" w:styleId="CTA----">
    <w:name w:val="CTA ----"/>
    <w:basedOn w:val="OPCParaBase"/>
    <w:next w:val="Normal"/>
    <w:rsid w:val="000C627D"/>
    <w:pPr>
      <w:spacing w:before="60" w:line="240" w:lineRule="atLeast"/>
      <w:ind w:left="255" w:hanging="255"/>
    </w:pPr>
    <w:rPr>
      <w:sz w:val="20"/>
    </w:rPr>
  </w:style>
  <w:style w:type="paragraph" w:customStyle="1" w:styleId="CTA1a">
    <w:name w:val="CTA 1(a)"/>
    <w:basedOn w:val="OPCParaBase"/>
    <w:rsid w:val="000C627D"/>
    <w:pPr>
      <w:tabs>
        <w:tab w:val="right" w:pos="414"/>
      </w:tabs>
      <w:spacing w:before="40" w:line="240" w:lineRule="atLeast"/>
      <w:ind w:left="675" w:hanging="675"/>
    </w:pPr>
    <w:rPr>
      <w:sz w:val="20"/>
    </w:rPr>
  </w:style>
  <w:style w:type="paragraph" w:customStyle="1" w:styleId="CTA1ai">
    <w:name w:val="CTA 1(a)(i)"/>
    <w:basedOn w:val="OPCParaBase"/>
    <w:rsid w:val="000C627D"/>
    <w:pPr>
      <w:tabs>
        <w:tab w:val="right" w:pos="1004"/>
      </w:tabs>
      <w:spacing w:before="40" w:line="240" w:lineRule="atLeast"/>
      <w:ind w:left="1253" w:hanging="1253"/>
    </w:pPr>
    <w:rPr>
      <w:sz w:val="20"/>
    </w:rPr>
  </w:style>
  <w:style w:type="paragraph" w:customStyle="1" w:styleId="CTA2a">
    <w:name w:val="CTA 2(a)"/>
    <w:basedOn w:val="OPCParaBase"/>
    <w:rsid w:val="000C627D"/>
    <w:pPr>
      <w:tabs>
        <w:tab w:val="right" w:pos="482"/>
      </w:tabs>
      <w:spacing w:before="40" w:line="240" w:lineRule="atLeast"/>
      <w:ind w:left="748" w:hanging="748"/>
    </w:pPr>
    <w:rPr>
      <w:sz w:val="20"/>
    </w:rPr>
  </w:style>
  <w:style w:type="paragraph" w:customStyle="1" w:styleId="CTA2ai">
    <w:name w:val="CTA 2(a)(i)"/>
    <w:basedOn w:val="OPCParaBase"/>
    <w:rsid w:val="000C627D"/>
    <w:pPr>
      <w:tabs>
        <w:tab w:val="right" w:pos="1089"/>
      </w:tabs>
      <w:spacing w:before="40" w:line="240" w:lineRule="atLeast"/>
      <w:ind w:left="1327" w:hanging="1327"/>
    </w:pPr>
    <w:rPr>
      <w:sz w:val="20"/>
    </w:rPr>
  </w:style>
  <w:style w:type="paragraph" w:customStyle="1" w:styleId="CTA3a">
    <w:name w:val="CTA 3(a)"/>
    <w:basedOn w:val="OPCParaBase"/>
    <w:rsid w:val="000C627D"/>
    <w:pPr>
      <w:tabs>
        <w:tab w:val="right" w:pos="556"/>
      </w:tabs>
      <w:spacing w:before="40" w:line="240" w:lineRule="atLeast"/>
      <w:ind w:left="805" w:hanging="805"/>
    </w:pPr>
    <w:rPr>
      <w:sz w:val="20"/>
    </w:rPr>
  </w:style>
  <w:style w:type="paragraph" w:customStyle="1" w:styleId="CTA3ai">
    <w:name w:val="CTA 3(a)(i)"/>
    <w:basedOn w:val="OPCParaBase"/>
    <w:rsid w:val="000C627D"/>
    <w:pPr>
      <w:tabs>
        <w:tab w:val="right" w:pos="1140"/>
      </w:tabs>
      <w:spacing w:before="40" w:line="240" w:lineRule="atLeast"/>
      <w:ind w:left="1361" w:hanging="1361"/>
    </w:pPr>
    <w:rPr>
      <w:sz w:val="20"/>
    </w:rPr>
  </w:style>
  <w:style w:type="paragraph" w:customStyle="1" w:styleId="CTA4a">
    <w:name w:val="CTA 4(a)"/>
    <w:basedOn w:val="OPCParaBase"/>
    <w:rsid w:val="000C627D"/>
    <w:pPr>
      <w:tabs>
        <w:tab w:val="right" w:pos="624"/>
      </w:tabs>
      <w:spacing w:before="40" w:line="240" w:lineRule="atLeast"/>
      <w:ind w:left="873" w:hanging="873"/>
    </w:pPr>
    <w:rPr>
      <w:sz w:val="20"/>
    </w:rPr>
  </w:style>
  <w:style w:type="paragraph" w:customStyle="1" w:styleId="CTA4ai">
    <w:name w:val="CTA 4(a)(i)"/>
    <w:basedOn w:val="OPCParaBase"/>
    <w:rsid w:val="000C627D"/>
    <w:pPr>
      <w:tabs>
        <w:tab w:val="right" w:pos="1213"/>
      </w:tabs>
      <w:spacing w:before="40" w:line="240" w:lineRule="atLeast"/>
      <w:ind w:left="1452" w:hanging="1452"/>
    </w:pPr>
    <w:rPr>
      <w:sz w:val="20"/>
    </w:rPr>
  </w:style>
  <w:style w:type="paragraph" w:customStyle="1" w:styleId="CTACAPS">
    <w:name w:val="CTA CAPS"/>
    <w:basedOn w:val="OPCParaBase"/>
    <w:rsid w:val="000C627D"/>
    <w:pPr>
      <w:spacing w:before="60" w:line="240" w:lineRule="atLeast"/>
    </w:pPr>
    <w:rPr>
      <w:sz w:val="20"/>
    </w:rPr>
  </w:style>
  <w:style w:type="paragraph" w:customStyle="1" w:styleId="CTAright">
    <w:name w:val="CTA right"/>
    <w:basedOn w:val="OPCParaBase"/>
    <w:rsid w:val="000C627D"/>
    <w:pPr>
      <w:spacing w:before="60" w:line="240" w:lineRule="auto"/>
      <w:jc w:val="right"/>
    </w:pPr>
    <w:rPr>
      <w:sz w:val="20"/>
    </w:rPr>
  </w:style>
  <w:style w:type="paragraph" w:customStyle="1" w:styleId="subsection">
    <w:name w:val="subsection"/>
    <w:aliases w:val="ss,Subsection"/>
    <w:basedOn w:val="OPCParaBase"/>
    <w:link w:val="subsectionChar"/>
    <w:rsid w:val="000C627D"/>
    <w:pPr>
      <w:tabs>
        <w:tab w:val="right" w:pos="1021"/>
      </w:tabs>
      <w:spacing w:before="180" w:line="240" w:lineRule="auto"/>
      <w:ind w:left="1134" w:hanging="1134"/>
    </w:pPr>
  </w:style>
  <w:style w:type="paragraph" w:customStyle="1" w:styleId="Definition">
    <w:name w:val="Definition"/>
    <w:aliases w:val="dd"/>
    <w:basedOn w:val="OPCParaBase"/>
    <w:rsid w:val="000C627D"/>
    <w:pPr>
      <w:spacing w:before="180" w:line="240" w:lineRule="auto"/>
      <w:ind w:left="1134"/>
    </w:pPr>
  </w:style>
  <w:style w:type="paragraph" w:customStyle="1" w:styleId="EndNotespara">
    <w:name w:val="EndNotes(para)"/>
    <w:aliases w:val="eta"/>
    <w:basedOn w:val="OPCParaBase"/>
    <w:next w:val="EndNotessubpara"/>
    <w:rsid w:val="000C627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C627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C627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C627D"/>
    <w:pPr>
      <w:tabs>
        <w:tab w:val="right" w:pos="1412"/>
      </w:tabs>
      <w:spacing w:before="60" w:line="240" w:lineRule="auto"/>
      <w:ind w:left="1525" w:hanging="1525"/>
    </w:pPr>
    <w:rPr>
      <w:sz w:val="20"/>
    </w:rPr>
  </w:style>
  <w:style w:type="paragraph" w:customStyle="1" w:styleId="Formula">
    <w:name w:val="Formula"/>
    <w:basedOn w:val="OPCParaBase"/>
    <w:rsid w:val="000C627D"/>
    <w:pPr>
      <w:spacing w:line="240" w:lineRule="auto"/>
      <w:ind w:left="1134"/>
    </w:pPr>
    <w:rPr>
      <w:sz w:val="20"/>
    </w:rPr>
  </w:style>
  <w:style w:type="paragraph" w:styleId="Header">
    <w:name w:val="header"/>
    <w:basedOn w:val="OPCParaBase"/>
    <w:link w:val="HeaderChar"/>
    <w:unhideWhenUsed/>
    <w:rsid w:val="000C627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C627D"/>
    <w:rPr>
      <w:rFonts w:eastAsia="Times New Roman" w:cs="Times New Roman"/>
      <w:sz w:val="16"/>
      <w:lang w:eastAsia="en-AU"/>
    </w:rPr>
  </w:style>
  <w:style w:type="paragraph" w:customStyle="1" w:styleId="House">
    <w:name w:val="House"/>
    <w:basedOn w:val="OPCParaBase"/>
    <w:rsid w:val="000C627D"/>
    <w:pPr>
      <w:spacing w:line="240" w:lineRule="auto"/>
    </w:pPr>
    <w:rPr>
      <w:sz w:val="28"/>
    </w:rPr>
  </w:style>
  <w:style w:type="paragraph" w:customStyle="1" w:styleId="Item">
    <w:name w:val="Item"/>
    <w:aliases w:val="i"/>
    <w:basedOn w:val="OPCParaBase"/>
    <w:next w:val="ItemHead"/>
    <w:rsid w:val="000C627D"/>
    <w:pPr>
      <w:keepLines/>
      <w:spacing w:before="80" w:line="240" w:lineRule="auto"/>
      <w:ind w:left="709"/>
    </w:pPr>
  </w:style>
  <w:style w:type="paragraph" w:customStyle="1" w:styleId="ItemHead">
    <w:name w:val="ItemHead"/>
    <w:aliases w:val="ih"/>
    <w:basedOn w:val="OPCParaBase"/>
    <w:next w:val="Item"/>
    <w:rsid w:val="000C627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C627D"/>
    <w:pPr>
      <w:spacing w:line="240" w:lineRule="auto"/>
    </w:pPr>
    <w:rPr>
      <w:b/>
      <w:sz w:val="32"/>
    </w:rPr>
  </w:style>
  <w:style w:type="paragraph" w:customStyle="1" w:styleId="notedraft">
    <w:name w:val="note(draft)"/>
    <w:aliases w:val="nd"/>
    <w:basedOn w:val="OPCParaBase"/>
    <w:rsid w:val="000C627D"/>
    <w:pPr>
      <w:spacing w:before="240" w:line="240" w:lineRule="auto"/>
      <w:ind w:left="284" w:hanging="284"/>
    </w:pPr>
    <w:rPr>
      <w:i/>
      <w:sz w:val="24"/>
    </w:rPr>
  </w:style>
  <w:style w:type="paragraph" w:customStyle="1" w:styleId="notemargin">
    <w:name w:val="note(margin)"/>
    <w:aliases w:val="nm"/>
    <w:basedOn w:val="OPCParaBase"/>
    <w:rsid w:val="000C627D"/>
    <w:pPr>
      <w:tabs>
        <w:tab w:val="left" w:pos="709"/>
      </w:tabs>
      <w:spacing w:before="122" w:line="198" w:lineRule="exact"/>
      <w:ind w:left="709" w:hanging="709"/>
    </w:pPr>
    <w:rPr>
      <w:sz w:val="18"/>
    </w:rPr>
  </w:style>
  <w:style w:type="paragraph" w:customStyle="1" w:styleId="noteToPara">
    <w:name w:val="noteToPara"/>
    <w:aliases w:val="ntp"/>
    <w:basedOn w:val="OPCParaBase"/>
    <w:rsid w:val="000C627D"/>
    <w:pPr>
      <w:spacing w:before="122" w:line="198" w:lineRule="exact"/>
      <w:ind w:left="2353" w:hanging="709"/>
    </w:pPr>
    <w:rPr>
      <w:sz w:val="18"/>
    </w:rPr>
  </w:style>
  <w:style w:type="paragraph" w:customStyle="1" w:styleId="noteParlAmend">
    <w:name w:val="note(ParlAmend)"/>
    <w:aliases w:val="npp"/>
    <w:basedOn w:val="OPCParaBase"/>
    <w:next w:val="ParlAmend"/>
    <w:rsid w:val="000C627D"/>
    <w:pPr>
      <w:spacing w:line="240" w:lineRule="auto"/>
      <w:jc w:val="right"/>
    </w:pPr>
    <w:rPr>
      <w:rFonts w:ascii="Arial" w:hAnsi="Arial"/>
      <w:b/>
      <w:i/>
    </w:rPr>
  </w:style>
  <w:style w:type="paragraph" w:customStyle="1" w:styleId="Page1">
    <w:name w:val="Page1"/>
    <w:basedOn w:val="OPCParaBase"/>
    <w:rsid w:val="000C627D"/>
    <w:pPr>
      <w:spacing w:before="5600" w:line="240" w:lineRule="auto"/>
    </w:pPr>
    <w:rPr>
      <w:b/>
      <w:sz w:val="32"/>
    </w:rPr>
  </w:style>
  <w:style w:type="paragraph" w:customStyle="1" w:styleId="PageBreak">
    <w:name w:val="PageBreak"/>
    <w:aliases w:val="pb"/>
    <w:basedOn w:val="OPCParaBase"/>
    <w:rsid w:val="000C627D"/>
    <w:pPr>
      <w:spacing w:line="240" w:lineRule="auto"/>
    </w:pPr>
    <w:rPr>
      <w:sz w:val="20"/>
    </w:rPr>
  </w:style>
  <w:style w:type="paragraph" w:customStyle="1" w:styleId="paragraphsub">
    <w:name w:val="paragraph(sub)"/>
    <w:aliases w:val="aa"/>
    <w:basedOn w:val="OPCParaBase"/>
    <w:rsid w:val="000C627D"/>
    <w:pPr>
      <w:tabs>
        <w:tab w:val="right" w:pos="1985"/>
      </w:tabs>
      <w:spacing w:before="40" w:line="240" w:lineRule="auto"/>
      <w:ind w:left="2098" w:hanging="2098"/>
    </w:pPr>
  </w:style>
  <w:style w:type="paragraph" w:customStyle="1" w:styleId="paragraphsub-sub">
    <w:name w:val="paragraph(sub-sub)"/>
    <w:aliases w:val="aaa"/>
    <w:basedOn w:val="OPCParaBase"/>
    <w:rsid w:val="000C627D"/>
    <w:pPr>
      <w:tabs>
        <w:tab w:val="right" w:pos="2722"/>
      </w:tabs>
      <w:spacing w:before="40" w:line="240" w:lineRule="auto"/>
      <w:ind w:left="2835" w:hanging="2835"/>
    </w:pPr>
  </w:style>
  <w:style w:type="paragraph" w:customStyle="1" w:styleId="paragraph">
    <w:name w:val="paragraph"/>
    <w:aliases w:val="a"/>
    <w:basedOn w:val="OPCParaBase"/>
    <w:rsid w:val="000C627D"/>
    <w:pPr>
      <w:tabs>
        <w:tab w:val="right" w:pos="1531"/>
      </w:tabs>
      <w:spacing w:before="40" w:line="240" w:lineRule="auto"/>
      <w:ind w:left="1644" w:hanging="1644"/>
    </w:pPr>
  </w:style>
  <w:style w:type="paragraph" w:customStyle="1" w:styleId="ParlAmend">
    <w:name w:val="ParlAmend"/>
    <w:aliases w:val="pp"/>
    <w:basedOn w:val="OPCParaBase"/>
    <w:rsid w:val="000C627D"/>
    <w:pPr>
      <w:spacing w:before="240" w:line="240" w:lineRule="atLeast"/>
      <w:ind w:hanging="567"/>
    </w:pPr>
    <w:rPr>
      <w:sz w:val="24"/>
    </w:rPr>
  </w:style>
  <w:style w:type="paragraph" w:customStyle="1" w:styleId="Penalty">
    <w:name w:val="Penalty"/>
    <w:basedOn w:val="OPCParaBase"/>
    <w:rsid w:val="000C627D"/>
    <w:pPr>
      <w:tabs>
        <w:tab w:val="left" w:pos="2977"/>
      </w:tabs>
      <w:spacing w:before="180" w:line="240" w:lineRule="auto"/>
      <w:ind w:left="1985" w:hanging="851"/>
    </w:pPr>
  </w:style>
  <w:style w:type="paragraph" w:customStyle="1" w:styleId="Portfolio">
    <w:name w:val="Portfolio"/>
    <w:basedOn w:val="OPCParaBase"/>
    <w:rsid w:val="000C627D"/>
    <w:pPr>
      <w:spacing w:line="240" w:lineRule="auto"/>
    </w:pPr>
    <w:rPr>
      <w:i/>
      <w:sz w:val="20"/>
    </w:rPr>
  </w:style>
  <w:style w:type="paragraph" w:customStyle="1" w:styleId="Preamble">
    <w:name w:val="Preamble"/>
    <w:basedOn w:val="OPCParaBase"/>
    <w:next w:val="Normal"/>
    <w:rsid w:val="000C627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C627D"/>
    <w:pPr>
      <w:spacing w:line="240" w:lineRule="auto"/>
    </w:pPr>
    <w:rPr>
      <w:i/>
      <w:sz w:val="20"/>
    </w:rPr>
  </w:style>
  <w:style w:type="paragraph" w:customStyle="1" w:styleId="Session">
    <w:name w:val="Session"/>
    <w:basedOn w:val="OPCParaBase"/>
    <w:rsid w:val="000C627D"/>
    <w:pPr>
      <w:spacing w:line="240" w:lineRule="auto"/>
    </w:pPr>
    <w:rPr>
      <w:sz w:val="28"/>
    </w:rPr>
  </w:style>
  <w:style w:type="paragraph" w:customStyle="1" w:styleId="Sponsor">
    <w:name w:val="Sponsor"/>
    <w:basedOn w:val="OPCParaBase"/>
    <w:rsid w:val="000C627D"/>
    <w:pPr>
      <w:spacing w:line="240" w:lineRule="auto"/>
    </w:pPr>
    <w:rPr>
      <w:i/>
    </w:rPr>
  </w:style>
  <w:style w:type="paragraph" w:customStyle="1" w:styleId="Subitem">
    <w:name w:val="Subitem"/>
    <w:aliases w:val="iss"/>
    <w:basedOn w:val="OPCParaBase"/>
    <w:rsid w:val="000C627D"/>
    <w:pPr>
      <w:spacing w:before="180" w:line="240" w:lineRule="auto"/>
      <w:ind w:left="709" w:hanging="709"/>
    </w:pPr>
  </w:style>
  <w:style w:type="paragraph" w:customStyle="1" w:styleId="SubitemHead">
    <w:name w:val="SubitemHead"/>
    <w:aliases w:val="issh"/>
    <w:basedOn w:val="OPCParaBase"/>
    <w:rsid w:val="000C627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C627D"/>
    <w:pPr>
      <w:spacing w:before="40" w:line="240" w:lineRule="auto"/>
      <w:ind w:left="1134"/>
    </w:pPr>
  </w:style>
  <w:style w:type="paragraph" w:customStyle="1" w:styleId="SubsectionHead">
    <w:name w:val="SubsectionHead"/>
    <w:aliases w:val="ssh"/>
    <w:basedOn w:val="OPCParaBase"/>
    <w:next w:val="subsection"/>
    <w:rsid w:val="000C627D"/>
    <w:pPr>
      <w:keepNext/>
      <w:keepLines/>
      <w:spacing w:before="240" w:line="240" w:lineRule="auto"/>
      <w:ind w:left="1134"/>
    </w:pPr>
    <w:rPr>
      <w:i/>
    </w:rPr>
  </w:style>
  <w:style w:type="paragraph" w:customStyle="1" w:styleId="Tablea">
    <w:name w:val="Table(a)"/>
    <w:aliases w:val="ta"/>
    <w:basedOn w:val="OPCParaBase"/>
    <w:rsid w:val="000C627D"/>
    <w:pPr>
      <w:spacing w:before="60" w:line="240" w:lineRule="auto"/>
      <w:ind w:left="284" w:hanging="284"/>
    </w:pPr>
    <w:rPr>
      <w:sz w:val="20"/>
    </w:rPr>
  </w:style>
  <w:style w:type="paragraph" w:customStyle="1" w:styleId="TableAA">
    <w:name w:val="Table(AA)"/>
    <w:aliases w:val="taaa"/>
    <w:basedOn w:val="OPCParaBase"/>
    <w:rsid w:val="000C627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C627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C627D"/>
    <w:pPr>
      <w:spacing w:before="60" w:line="240" w:lineRule="atLeast"/>
    </w:pPr>
    <w:rPr>
      <w:sz w:val="20"/>
    </w:rPr>
  </w:style>
  <w:style w:type="paragraph" w:customStyle="1" w:styleId="TLPBoxTextnote">
    <w:name w:val="TLPBoxText(note"/>
    <w:aliases w:val="right)"/>
    <w:basedOn w:val="OPCParaBase"/>
    <w:rsid w:val="000C627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C627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C627D"/>
    <w:pPr>
      <w:spacing w:before="122" w:line="198" w:lineRule="exact"/>
      <w:ind w:left="1985" w:hanging="851"/>
      <w:jc w:val="right"/>
    </w:pPr>
    <w:rPr>
      <w:sz w:val="18"/>
    </w:rPr>
  </w:style>
  <w:style w:type="paragraph" w:customStyle="1" w:styleId="TLPTableBullet">
    <w:name w:val="TLPTableBullet"/>
    <w:aliases w:val="ttb"/>
    <w:basedOn w:val="OPCParaBase"/>
    <w:rsid w:val="000C627D"/>
    <w:pPr>
      <w:spacing w:line="240" w:lineRule="exact"/>
      <w:ind w:left="284" w:hanging="284"/>
    </w:pPr>
    <w:rPr>
      <w:sz w:val="20"/>
    </w:rPr>
  </w:style>
  <w:style w:type="paragraph" w:styleId="TOC1">
    <w:name w:val="toc 1"/>
    <w:basedOn w:val="Normal"/>
    <w:next w:val="Normal"/>
    <w:uiPriority w:val="39"/>
    <w:unhideWhenUsed/>
    <w:rsid w:val="000C627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C627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C627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0C627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C627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C627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C627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C627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C627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C627D"/>
    <w:pPr>
      <w:keepLines/>
      <w:spacing w:before="240" w:after="120" w:line="240" w:lineRule="auto"/>
      <w:ind w:left="794"/>
    </w:pPr>
    <w:rPr>
      <w:b/>
      <w:kern w:val="28"/>
      <w:sz w:val="20"/>
    </w:rPr>
  </w:style>
  <w:style w:type="paragraph" w:customStyle="1" w:styleId="TofSectsHeading">
    <w:name w:val="TofSects(Heading)"/>
    <w:basedOn w:val="OPCParaBase"/>
    <w:rsid w:val="000C627D"/>
    <w:pPr>
      <w:spacing w:before="240" w:after="120" w:line="240" w:lineRule="auto"/>
    </w:pPr>
    <w:rPr>
      <w:b/>
      <w:sz w:val="24"/>
    </w:rPr>
  </w:style>
  <w:style w:type="paragraph" w:customStyle="1" w:styleId="TofSectsSection">
    <w:name w:val="TofSects(Section)"/>
    <w:basedOn w:val="OPCParaBase"/>
    <w:rsid w:val="000C627D"/>
    <w:pPr>
      <w:keepLines/>
      <w:spacing w:before="40" w:line="240" w:lineRule="auto"/>
      <w:ind w:left="1588" w:hanging="794"/>
    </w:pPr>
    <w:rPr>
      <w:kern w:val="28"/>
      <w:sz w:val="18"/>
    </w:rPr>
  </w:style>
  <w:style w:type="paragraph" w:customStyle="1" w:styleId="TofSectsSubdiv">
    <w:name w:val="TofSects(Subdiv)"/>
    <w:basedOn w:val="OPCParaBase"/>
    <w:rsid w:val="000C627D"/>
    <w:pPr>
      <w:keepLines/>
      <w:spacing w:before="80" w:line="240" w:lineRule="auto"/>
      <w:ind w:left="1588" w:hanging="794"/>
    </w:pPr>
    <w:rPr>
      <w:kern w:val="28"/>
    </w:rPr>
  </w:style>
  <w:style w:type="paragraph" w:customStyle="1" w:styleId="WRStyle">
    <w:name w:val="WR Style"/>
    <w:aliases w:val="WR"/>
    <w:basedOn w:val="OPCParaBase"/>
    <w:rsid w:val="000C627D"/>
    <w:pPr>
      <w:spacing w:before="240" w:line="240" w:lineRule="auto"/>
      <w:ind w:left="284" w:hanging="284"/>
    </w:pPr>
    <w:rPr>
      <w:b/>
      <w:i/>
      <w:kern w:val="28"/>
      <w:sz w:val="24"/>
    </w:rPr>
  </w:style>
  <w:style w:type="paragraph" w:customStyle="1" w:styleId="notepara">
    <w:name w:val="note(para)"/>
    <w:aliases w:val="na"/>
    <w:basedOn w:val="OPCParaBase"/>
    <w:rsid w:val="000C627D"/>
    <w:pPr>
      <w:spacing w:before="40" w:line="198" w:lineRule="exact"/>
      <w:ind w:left="2354" w:hanging="369"/>
    </w:pPr>
    <w:rPr>
      <w:sz w:val="18"/>
    </w:rPr>
  </w:style>
  <w:style w:type="paragraph" w:styleId="Footer">
    <w:name w:val="footer"/>
    <w:link w:val="FooterChar"/>
    <w:rsid w:val="000C627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C627D"/>
    <w:rPr>
      <w:rFonts w:eastAsia="Times New Roman" w:cs="Times New Roman"/>
      <w:sz w:val="22"/>
      <w:szCs w:val="24"/>
      <w:lang w:eastAsia="en-AU"/>
    </w:rPr>
  </w:style>
  <w:style w:type="character" w:styleId="LineNumber">
    <w:name w:val="line number"/>
    <w:basedOn w:val="OPCCharBase"/>
    <w:uiPriority w:val="99"/>
    <w:semiHidden/>
    <w:unhideWhenUsed/>
    <w:rsid w:val="000C627D"/>
    <w:rPr>
      <w:sz w:val="16"/>
    </w:rPr>
  </w:style>
  <w:style w:type="table" w:customStyle="1" w:styleId="CFlag">
    <w:name w:val="CFlag"/>
    <w:basedOn w:val="TableNormal"/>
    <w:uiPriority w:val="99"/>
    <w:rsid w:val="000C627D"/>
    <w:rPr>
      <w:rFonts w:eastAsia="Times New Roman" w:cs="Times New Roman"/>
      <w:lang w:eastAsia="en-AU"/>
    </w:rPr>
    <w:tblPr/>
  </w:style>
  <w:style w:type="paragraph" w:styleId="BalloonText">
    <w:name w:val="Balloon Text"/>
    <w:basedOn w:val="Normal"/>
    <w:link w:val="BalloonTextChar"/>
    <w:uiPriority w:val="99"/>
    <w:semiHidden/>
    <w:unhideWhenUsed/>
    <w:rsid w:val="000C62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7D"/>
    <w:rPr>
      <w:rFonts w:ascii="Tahoma" w:hAnsi="Tahoma" w:cs="Tahoma"/>
      <w:sz w:val="16"/>
      <w:szCs w:val="16"/>
    </w:rPr>
  </w:style>
  <w:style w:type="table" w:styleId="TableGrid">
    <w:name w:val="Table Grid"/>
    <w:basedOn w:val="TableNormal"/>
    <w:uiPriority w:val="59"/>
    <w:rsid w:val="000C6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C627D"/>
    <w:rPr>
      <w:b/>
      <w:sz w:val="28"/>
      <w:szCs w:val="32"/>
    </w:rPr>
  </w:style>
  <w:style w:type="paragraph" w:customStyle="1" w:styleId="LegislationMadeUnder">
    <w:name w:val="LegislationMadeUnder"/>
    <w:basedOn w:val="OPCParaBase"/>
    <w:next w:val="Normal"/>
    <w:rsid w:val="000C627D"/>
    <w:rPr>
      <w:i/>
      <w:sz w:val="32"/>
      <w:szCs w:val="32"/>
    </w:rPr>
  </w:style>
  <w:style w:type="paragraph" w:customStyle="1" w:styleId="SignCoverPageEnd">
    <w:name w:val="SignCoverPageEnd"/>
    <w:basedOn w:val="OPCParaBase"/>
    <w:next w:val="Normal"/>
    <w:rsid w:val="000C627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C627D"/>
    <w:pPr>
      <w:pBdr>
        <w:top w:val="single" w:sz="4" w:space="1" w:color="auto"/>
      </w:pBdr>
      <w:spacing w:before="360"/>
      <w:ind w:right="397"/>
      <w:jc w:val="both"/>
    </w:pPr>
  </w:style>
  <w:style w:type="paragraph" w:customStyle="1" w:styleId="NotesHeading1">
    <w:name w:val="NotesHeading 1"/>
    <w:basedOn w:val="OPCParaBase"/>
    <w:next w:val="Normal"/>
    <w:rsid w:val="000C627D"/>
    <w:pPr>
      <w:outlineLvl w:val="0"/>
    </w:pPr>
    <w:rPr>
      <w:b/>
      <w:sz w:val="28"/>
      <w:szCs w:val="28"/>
    </w:rPr>
  </w:style>
  <w:style w:type="paragraph" w:customStyle="1" w:styleId="NotesHeading2">
    <w:name w:val="NotesHeading 2"/>
    <w:basedOn w:val="OPCParaBase"/>
    <w:next w:val="Normal"/>
    <w:rsid w:val="000C627D"/>
    <w:rPr>
      <w:b/>
      <w:sz w:val="28"/>
      <w:szCs w:val="28"/>
    </w:rPr>
  </w:style>
  <w:style w:type="paragraph" w:customStyle="1" w:styleId="CompiledActNo">
    <w:name w:val="CompiledActNo"/>
    <w:basedOn w:val="OPCParaBase"/>
    <w:next w:val="Normal"/>
    <w:rsid w:val="000C627D"/>
    <w:rPr>
      <w:b/>
      <w:sz w:val="24"/>
      <w:szCs w:val="24"/>
    </w:rPr>
  </w:style>
  <w:style w:type="paragraph" w:customStyle="1" w:styleId="ENotesText">
    <w:name w:val="ENotesText"/>
    <w:aliases w:val="Ent"/>
    <w:basedOn w:val="OPCParaBase"/>
    <w:next w:val="Normal"/>
    <w:rsid w:val="000C627D"/>
    <w:pPr>
      <w:spacing w:before="120"/>
    </w:pPr>
  </w:style>
  <w:style w:type="paragraph" w:customStyle="1" w:styleId="CompiledMadeUnder">
    <w:name w:val="CompiledMadeUnder"/>
    <w:basedOn w:val="OPCParaBase"/>
    <w:next w:val="Normal"/>
    <w:rsid w:val="000C627D"/>
    <w:rPr>
      <w:i/>
      <w:sz w:val="24"/>
      <w:szCs w:val="24"/>
    </w:rPr>
  </w:style>
  <w:style w:type="paragraph" w:customStyle="1" w:styleId="Paragraphsub-sub-sub">
    <w:name w:val="Paragraph(sub-sub-sub)"/>
    <w:aliases w:val="aaaa"/>
    <w:basedOn w:val="OPCParaBase"/>
    <w:rsid w:val="000C627D"/>
    <w:pPr>
      <w:tabs>
        <w:tab w:val="right" w:pos="3402"/>
      </w:tabs>
      <w:spacing w:before="40" w:line="240" w:lineRule="auto"/>
      <w:ind w:left="3402" w:hanging="3402"/>
    </w:pPr>
  </w:style>
  <w:style w:type="paragraph" w:customStyle="1" w:styleId="TableTextEndNotes">
    <w:name w:val="TableTextEndNotes"/>
    <w:aliases w:val="Tten"/>
    <w:basedOn w:val="Normal"/>
    <w:rsid w:val="000C627D"/>
    <w:pPr>
      <w:spacing w:before="60" w:line="240" w:lineRule="auto"/>
    </w:pPr>
    <w:rPr>
      <w:rFonts w:cs="Arial"/>
      <w:sz w:val="20"/>
      <w:szCs w:val="22"/>
    </w:rPr>
  </w:style>
  <w:style w:type="paragraph" w:customStyle="1" w:styleId="NoteToSubpara">
    <w:name w:val="NoteToSubpara"/>
    <w:aliases w:val="nts"/>
    <w:basedOn w:val="OPCParaBase"/>
    <w:rsid w:val="000C627D"/>
    <w:pPr>
      <w:spacing w:before="40" w:line="198" w:lineRule="exact"/>
      <w:ind w:left="2835" w:hanging="709"/>
    </w:pPr>
    <w:rPr>
      <w:sz w:val="18"/>
    </w:rPr>
  </w:style>
  <w:style w:type="paragraph" w:customStyle="1" w:styleId="ENoteTableHeading">
    <w:name w:val="ENoteTableHeading"/>
    <w:aliases w:val="enth"/>
    <w:basedOn w:val="OPCParaBase"/>
    <w:rsid w:val="000C627D"/>
    <w:pPr>
      <w:keepNext/>
      <w:spacing w:before="60" w:line="240" w:lineRule="atLeast"/>
    </w:pPr>
    <w:rPr>
      <w:rFonts w:ascii="Arial" w:hAnsi="Arial"/>
      <w:b/>
      <w:sz w:val="16"/>
    </w:rPr>
  </w:style>
  <w:style w:type="paragraph" w:customStyle="1" w:styleId="ENoteTTi">
    <w:name w:val="ENoteTTi"/>
    <w:aliases w:val="entti"/>
    <w:basedOn w:val="OPCParaBase"/>
    <w:rsid w:val="000C627D"/>
    <w:pPr>
      <w:keepNext/>
      <w:spacing w:before="60" w:line="240" w:lineRule="atLeast"/>
      <w:ind w:left="170"/>
    </w:pPr>
    <w:rPr>
      <w:sz w:val="16"/>
    </w:rPr>
  </w:style>
  <w:style w:type="paragraph" w:customStyle="1" w:styleId="ENotesHeading1">
    <w:name w:val="ENotesHeading 1"/>
    <w:aliases w:val="Enh1"/>
    <w:basedOn w:val="OPCParaBase"/>
    <w:next w:val="Normal"/>
    <w:rsid w:val="000C627D"/>
    <w:pPr>
      <w:spacing w:before="120"/>
      <w:outlineLvl w:val="1"/>
    </w:pPr>
    <w:rPr>
      <w:b/>
      <w:sz w:val="28"/>
      <w:szCs w:val="28"/>
    </w:rPr>
  </w:style>
  <w:style w:type="paragraph" w:customStyle="1" w:styleId="ENotesHeading2">
    <w:name w:val="ENotesHeading 2"/>
    <w:aliases w:val="Enh2"/>
    <w:basedOn w:val="OPCParaBase"/>
    <w:next w:val="Normal"/>
    <w:rsid w:val="000C627D"/>
    <w:pPr>
      <w:spacing w:before="120" w:after="120"/>
      <w:outlineLvl w:val="2"/>
    </w:pPr>
    <w:rPr>
      <w:b/>
      <w:sz w:val="24"/>
      <w:szCs w:val="28"/>
    </w:rPr>
  </w:style>
  <w:style w:type="paragraph" w:customStyle="1" w:styleId="ENoteTTIndentHeading">
    <w:name w:val="ENoteTTIndentHeading"/>
    <w:aliases w:val="enTTHi"/>
    <w:basedOn w:val="OPCParaBase"/>
    <w:rsid w:val="000C627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C627D"/>
    <w:pPr>
      <w:spacing w:before="60" w:line="240" w:lineRule="atLeast"/>
    </w:pPr>
    <w:rPr>
      <w:sz w:val="16"/>
    </w:rPr>
  </w:style>
  <w:style w:type="paragraph" w:customStyle="1" w:styleId="MadeunderText">
    <w:name w:val="MadeunderText"/>
    <w:basedOn w:val="OPCParaBase"/>
    <w:next w:val="CompiledMadeUnder"/>
    <w:rsid w:val="000C627D"/>
    <w:pPr>
      <w:spacing w:before="240"/>
    </w:pPr>
    <w:rPr>
      <w:sz w:val="24"/>
      <w:szCs w:val="24"/>
    </w:rPr>
  </w:style>
  <w:style w:type="paragraph" w:customStyle="1" w:styleId="ENotesHeading3">
    <w:name w:val="ENotesHeading 3"/>
    <w:aliases w:val="Enh3"/>
    <w:basedOn w:val="OPCParaBase"/>
    <w:next w:val="Normal"/>
    <w:rsid w:val="000C627D"/>
    <w:pPr>
      <w:keepNext/>
      <w:spacing w:before="120" w:line="240" w:lineRule="auto"/>
      <w:outlineLvl w:val="4"/>
    </w:pPr>
    <w:rPr>
      <w:b/>
      <w:szCs w:val="24"/>
    </w:rPr>
  </w:style>
  <w:style w:type="character" w:customStyle="1" w:styleId="CharSubPartTextCASA">
    <w:name w:val="CharSubPartText(CASA)"/>
    <w:basedOn w:val="OPCCharBase"/>
    <w:uiPriority w:val="1"/>
    <w:rsid w:val="000C627D"/>
  </w:style>
  <w:style w:type="character" w:customStyle="1" w:styleId="CharSubPartNoCASA">
    <w:name w:val="CharSubPartNo(CASA)"/>
    <w:basedOn w:val="OPCCharBase"/>
    <w:uiPriority w:val="1"/>
    <w:rsid w:val="000C627D"/>
  </w:style>
  <w:style w:type="paragraph" w:customStyle="1" w:styleId="ENoteTTIndentHeadingSub">
    <w:name w:val="ENoteTTIndentHeadingSub"/>
    <w:aliases w:val="enTTHis"/>
    <w:basedOn w:val="OPCParaBase"/>
    <w:rsid w:val="000C627D"/>
    <w:pPr>
      <w:keepNext/>
      <w:spacing w:before="60" w:line="240" w:lineRule="atLeast"/>
      <w:ind w:left="340"/>
    </w:pPr>
    <w:rPr>
      <w:b/>
      <w:sz w:val="16"/>
    </w:rPr>
  </w:style>
  <w:style w:type="paragraph" w:customStyle="1" w:styleId="ENoteTTiSub">
    <w:name w:val="ENoteTTiSub"/>
    <w:aliases w:val="enttis"/>
    <w:basedOn w:val="OPCParaBase"/>
    <w:rsid w:val="000C627D"/>
    <w:pPr>
      <w:keepNext/>
      <w:spacing w:before="60" w:line="240" w:lineRule="atLeast"/>
      <w:ind w:left="340"/>
    </w:pPr>
    <w:rPr>
      <w:sz w:val="16"/>
    </w:rPr>
  </w:style>
  <w:style w:type="paragraph" w:customStyle="1" w:styleId="SubDivisionMigration">
    <w:name w:val="SubDivisionMigration"/>
    <w:aliases w:val="sdm"/>
    <w:basedOn w:val="OPCParaBase"/>
    <w:rsid w:val="000C627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C627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C627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0C627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C627D"/>
    <w:rPr>
      <w:sz w:val="22"/>
    </w:rPr>
  </w:style>
  <w:style w:type="paragraph" w:customStyle="1" w:styleId="SOTextNote">
    <w:name w:val="SO TextNote"/>
    <w:aliases w:val="sont"/>
    <w:basedOn w:val="SOText"/>
    <w:qFormat/>
    <w:rsid w:val="000C627D"/>
    <w:pPr>
      <w:spacing w:before="122" w:line="198" w:lineRule="exact"/>
      <w:ind w:left="1843" w:hanging="709"/>
    </w:pPr>
    <w:rPr>
      <w:sz w:val="18"/>
    </w:rPr>
  </w:style>
  <w:style w:type="paragraph" w:customStyle="1" w:styleId="SOPara">
    <w:name w:val="SO Para"/>
    <w:aliases w:val="soa"/>
    <w:basedOn w:val="SOText"/>
    <w:link w:val="SOParaChar"/>
    <w:qFormat/>
    <w:rsid w:val="000C627D"/>
    <w:pPr>
      <w:tabs>
        <w:tab w:val="right" w:pos="1786"/>
      </w:tabs>
      <w:spacing w:before="40"/>
      <w:ind w:left="2070" w:hanging="936"/>
    </w:pPr>
  </w:style>
  <w:style w:type="character" w:customStyle="1" w:styleId="SOParaChar">
    <w:name w:val="SO Para Char"/>
    <w:aliases w:val="soa Char"/>
    <w:basedOn w:val="DefaultParagraphFont"/>
    <w:link w:val="SOPara"/>
    <w:rsid w:val="000C627D"/>
    <w:rPr>
      <w:sz w:val="22"/>
    </w:rPr>
  </w:style>
  <w:style w:type="paragraph" w:customStyle="1" w:styleId="FileName">
    <w:name w:val="FileName"/>
    <w:basedOn w:val="Normal"/>
    <w:rsid w:val="000C627D"/>
  </w:style>
  <w:style w:type="paragraph" w:customStyle="1" w:styleId="TableHeading">
    <w:name w:val="TableHeading"/>
    <w:aliases w:val="th"/>
    <w:basedOn w:val="OPCParaBase"/>
    <w:next w:val="Tabletext"/>
    <w:rsid w:val="000C627D"/>
    <w:pPr>
      <w:keepNext/>
      <w:spacing w:before="60" w:line="240" w:lineRule="atLeast"/>
    </w:pPr>
    <w:rPr>
      <w:b/>
      <w:sz w:val="20"/>
    </w:rPr>
  </w:style>
  <w:style w:type="paragraph" w:customStyle="1" w:styleId="SOHeadBold">
    <w:name w:val="SO HeadBold"/>
    <w:aliases w:val="sohb"/>
    <w:basedOn w:val="SOText"/>
    <w:next w:val="SOText"/>
    <w:link w:val="SOHeadBoldChar"/>
    <w:qFormat/>
    <w:rsid w:val="000C627D"/>
    <w:rPr>
      <w:b/>
    </w:rPr>
  </w:style>
  <w:style w:type="character" w:customStyle="1" w:styleId="SOHeadBoldChar">
    <w:name w:val="SO HeadBold Char"/>
    <w:aliases w:val="sohb Char"/>
    <w:basedOn w:val="DefaultParagraphFont"/>
    <w:link w:val="SOHeadBold"/>
    <w:rsid w:val="000C627D"/>
    <w:rPr>
      <w:b/>
      <w:sz w:val="22"/>
    </w:rPr>
  </w:style>
  <w:style w:type="paragraph" w:customStyle="1" w:styleId="SOHeadItalic">
    <w:name w:val="SO HeadItalic"/>
    <w:aliases w:val="sohi"/>
    <w:basedOn w:val="SOText"/>
    <w:next w:val="SOText"/>
    <w:link w:val="SOHeadItalicChar"/>
    <w:qFormat/>
    <w:rsid w:val="000C627D"/>
    <w:rPr>
      <w:i/>
    </w:rPr>
  </w:style>
  <w:style w:type="character" w:customStyle="1" w:styleId="SOHeadItalicChar">
    <w:name w:val="SO HeadItalic Char"/>
    <w:aliases w:val="sohi Char"/>
    <w:basedOn w:val="DefaultParagraphFont"/>
    <w:link w:val="SOHeadItalic"/>
    <w:rsid w:val="000C627D"/>
    <w:rPr>
      <w:i/>
      <w:sz w:val="22"/>
    </w:rPr>
  </w:style>
  <w:style w:type="paragraph" w:customStyle="1" w:styleId="SOBullet">
    <w:name w:val="SO Bullet"/>
    <w:aliases w:val="sotb"/>
    <w:basedOn w:val="SOText"/>
    <w:link w:val="SOBulletChar"/>
    <w:qFormat/>
    <w:rsid w:val="000C627D"/>
    <w:pPr>
      <w:ind w:left="1559" w:hanging="425"/>
    </w:pPr>
  </w:style>
  <w:style w:type="character" w:customStyle="1" w:styleId="SOBulletChar">
    <w:name w:val="SO Bullet Char"/>
    <w:aliases w:val="sotb Char"/>
    <w:basedOn w:val="DefaultParagraphFont"/>
    <w:link w:val="SOBullet"/>
    <w:rsid w:val="000C627D"/>
    <w:rPr>
      <w:sz w:val="22"/>
    </w:rPr>
  </w:style>
  <w:style w:type="paragraph" w:customStyle="1" w:styleId="SOBulletNote">
    <w:name w:val="SO BulletNote"/>
    <w:aliases w:val="sonb"/>
    <w:basedOn w:val="SOTextNote"/>
    <w:link w:val="SOBulletNoteChar"/>
    <w:qFormat/>
    <w:rsid w:val="000C627D"/>
    <w:pPr>
      <w:tabs>
        <w:tab w:val="left" w:pos="1560"/>
      </w:tabs>
      <w:ind w:left="2268" w:hanging="1134"/>
    </w:pPr>
  </w:style>
  <w:style w:type="character" w:customStyle="1" w:styleId="SOBulletNoteChar">
    <w:name w:val="SO BulletNote Char"/>
    <w:aliases w:val="sonb Char"/>
    <w:basedOn w:val="DefaultParagraphFont"/>
    <w:link w:val="SOBulletNote"/>
    <w:rsid w:val="000C627D"/>
    <w:rPr>
      <w:sz w:val="18"/>
    </w:rPr>
  </w:style>
  <w:style w:type="paragraph" w:customStyle="1" w:styleId="SOText2">
    <w:name w:val="SO Text2"/>
    <w:aliases w:val="sot2"/>
    <w:basedOn w:val="Normal"/>
    <w:next w:val="SOText"/>
    <w:link w:val="SOText2Char"/>
    <w:rsid w:val="000C627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C627D"/>
    <w:rPr>
      <w:sz w:val="22"/>
    </w:rPr>
  </w:style>
  <w:style w:type="paragraph" w:customStyle="1" w:styleId="SubPartCASA">
    <w:name w:val="SubPart(CASA)"/>
    <w:aliases w:val="csp"/>
    <w:basedOn w:val="OPCParaBase"/>
    <w:next w:val="ActHead3"/>
    <w:rsid w:val="000C627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C627D"/>
    <w:rPr>
      <w:rFonts w:eastAsia="Times New Roman" w:cs="Times New Roman"/>
      <w:sz w:val="22"/>
      <w:lang w:eastAsia="en-AU"/>
    </w:rPr>
  </w:style>
  <w:style w:type="character" w:customStyle="1" w:styleId="notetextChar">
    <w:name w:val="note(text) Char"/>
    <w:aliases w:val="n Char"/>
    <w:basedOn w:val="DefaultParagraphFont"/>
    <w:link w:val="notetext"/>
    <w:rsid w:val="000C627D"/>
    <w:rPr>
      <w:rFonts w:eastAsia="Times New Roman" w:cs="Times New Roman"/>
      <w:sz w:val="18"/>
      <w:lang w:eastAsia="en-AU"/>
    </w:rPr>
  </w:style>
  <w:style w:type="character" w:customStyle="1" w:styleId="Heading1Char">
    <w:name w:val="Heading 1 Char"/>
    <w:basedOn w:val="DefaultParagraphFont"/>
    <w:link w:val="Heading1"/>
    <w:uiPriority w:val="9"/>
    <w:rsid w:val="000C62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2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C627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C627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C627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C627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C627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C627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C627D"/>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A72257"/>
    <w:pPr>
      <w:spacing w:before="100" w:beforeAutospacing="1" w:after="100" w:afterAutospacing="1" w:line="240" w:lineRule="auto"/>
      <w:ind w:firstLine="480"/>
    </w:pPr>
    <w:rPr>
      <w:rFonts w:eastAsia="Times New Roman" w:cs="Times New Roman"/>
      <w:sz w:val="24"/>
      <w:szCs w:val="24"/>
      <w:lang w:eastAsia="en-AU"/>
    </w:rPr>
  </w:style>
  <w:style w:type="character" w:styleId="Hyperlink">
    <w:name w:val="Hyperlink"/>
    <w:basedOn w:val="DefaultParagraphFont"/>
    <w:uiPriority w:val="99"/>
    <w:semiHidden/>
    <w:unhideWhenUsed/>
    <w:rsid w:val="00ED369C"/>
    <w:rPr>
      <w:color w:val="0000FF"/>
      <w:u w:val="single"/>
    </w:rPr>
  </w:style>
  <w:style w:type="character" w:styleId="CommentReference">
    <w:name w:val="annotation reference"/>
    <w:basedOn w:val="DefaultParagraphFont"/>
    <w:uiPriority w:val="99"/>
    <w:semiHidden/>
    <w:unhideWhenUsed/>
    <w:rsid w:val="002565F2"/>
    <w:rPr>
      <w:sz w:val="16"/>
      <w:szCs w:val="16"/>
    </w:rPr>
  </w:style>
  <w:style w:type="paragraph" w:styleId="CommentText">
    <w:name w:val="annotation text"/>
    <w:basedOn w:val="Normal"/>
    <w:link w:val="CommentTextChar"/>
    <w:uiPriority w:val="99"/>
    <w:semiHidden/>
    <w:unhideWhenUsed/>
    <w:rsid w:val="002565F2"/>
    <w:pPr>
      <w:spacing w:line="240" w:lineRule="auto"/>
    </w:pPr>
    <w:rPr>
      <w:sz w:val="20"/>
    </w:rPr>
  </w:style>
  <w:style w:type="character" w:customStyle="1" w:styleId="CommentTextChar">
    <w:name w:val="Comment Text Char"/>
    <w:basedOn w:val="DefaultParagraphFont"/>
    <w:link w:val="CommentText"/>
    <w:uiPriority w:val="99"/>
    <w:semiHidden/>
    <w:rsid w:val="002565F2"/>
  </w:style>
  <w:style w:type="paragraph" w:styleId="CommentSubject">
    <w:name w:val="annotation subject"/>
    <w:basedOn w:val="CommentText"/>
    <w:next w:val="CommentText"/>
    <w:link w:val="CommentSubjectChar"/>
    <w:uiPriority w:val="99"/>
    <w:semiHidden/>
    <w:unhideWhenUsed/>
    <w:rsid w:val="002565F2"/>
    <w:rPr>
      <w:b/>
      <w:bCs/>
    </w:rPr>
  </w:style>
  <w:style w:type="character" w:customStyle="1" w:styleId="CommentSubjectChar">
    <w:name w:val="Comment Subject Char"/>
    <w:basedOn w:val="CommentTextChar"/>
    <w:link w:val="CommentSubject"/>
    <w:uiPriority w:val="99"/>
    <w:semiHidden/>
    <w:rsid w:val="002565F2"/>
    <w:rPr>
      <w:b/>
      <w:bCs/>
    </w:rPr>
  </w:style>
  <w:style w:type="paragraph" w:styleId="Revision">
    <w:name w:val="Revision"/>
    <w:hidden/>
    <w:uiPriority w:val="99"/>
    <w:semiHidden/>
    <w:rsid w:val="002565F2"/>
    <w:rPr>
      <w:sz w:val="22"/>
    </w:rPr>
  </w:style>
  <w:style w:type="numbering" w:customStyle="1" w:styleId="KeyPoints">
    <w:name w:val="Key Points"/>
    <w:basedOn w:val="NoList"/>
    <w:uiPriority w:val="99"/>
    <w:rsid w:val="008B608A"/>
    <w:pPr>
      <w:numPr>
        <w:numId w:val="13"/>
      </w:numPr>
    </w:pPr>
  </w:style>
  <w:style w:type="paragraph" w:styleId="ListNumber">
    <w:name w:val="List Number"/>
    <w:basedOn w:val="Normal"/>
    <w:uiPriority w:val="99"/>
    <w:qFormat/>
    <w:rsid w:val="008B608A"/>
    <w:pPr>
      <w:numPr>
        <w:numId w:val="14"/>
      </w:numPr>
      <w:spacing w:after="200" w:line="276" w:lineRule="auto"/>
    </w:pPr>
    <w:rPr>
      <w:rFonts w:ascii="Arial" w:eastAsia="Calibri" w:hAnsi="Arial" w:cs="Times New Roman"/>
      <w:szCs w:val="22"/>
    </w:rPr>
  </w:style>
  <w:style w:type="paragraph" w:styleId="ListNumber2">
    <w:name w:val="List Number 2"/>
    <w:basedOn w:val="Normal"/>
    <w:uiPriority w:val="99"/>
    <w:rsid w:val="008B608A"/>
    <w:pPr>
      <w:numPr>
        <w:ilvl w:val="1"/>
        <w:numId w:val="14"/>
      </w:numPr>
      <w:spacing w:after="200" w:line="276" w:lineRule="auto"/>
    </w:pPr>
    <w:rPr>
      <w:rFonts w:ascii="Arial" w:eastAsia="Calibri" w:hAnsi="Arial" w:cs="Times New Roman"/>
      <w:szCs w:val="22"/>
    </w:rPr>
  </w:style>
  <w:style w:type="paragraph" w:styleId="ListNumber3">
    <w:name w:val="List Number 3"/>
    <w:basedOn w:val="Normal"/>
    <w:uiPriority w:val="99"/>
    <w:rsid w:val="008B608A"/>
    <w:pPr>
      <w:numPr>
        <w:ilvl w:val="2"/>
        <w:numId w:val="14"/>
      </w:numPr>
      <w:spacing w:after="200" w:line="276" w:lineRule="auto"/>
    </w:pPr>
    <w:rPr>
      <w:rFonts w:ascii="Arial" w:eastAsia="Calibri" w:hAnsi="Arial" w:cs="Times New Roman"/>
      <w:szCs w:val="22"/>
    </w:rPr>
  </w:style>
  <w:style w:type="paragraph" w:styleId="ListNumber4">
    <w:name w:val="List Number 4"/>
    <w:basedOn w:val="Normal"/>
    <w:uiPriority w:val="99"/>
    <w:rsid w:val="008B608A"/>
    <w:pPr>
      <w:numPr>
        <w:ilvl w:val="3"/>
        <w:numId w:val="14"/>
      </w:numPr>
      <w:spacing w:after="200" w:line="276" w:lineRule="auto"/>
    </w:pPr>
    <w:rPr>
      <w:rFonts w:ascii="Arial" w:eastAsia="Calibri" w:hAnsi="Arial" w:cs="Times New Roman"/>
      <w:szCs w:val="22"/>
    </w:rPr>
  </w:style>
  <w:style w:type="paragraph" w:styleId="ListNumber5">
    <w:name w:val="List Number 5"/>
    <w:basedOn w:val="Normal"/>
    <w:uiPriority w:val="99"/>
    <w:rsid w:val="008B608A"/>
    <w:pPr>
      <w:numPr>
        <w:ilvl w:val="4"/>
        <w:numId w:val="14"/>
      </w:numPr>
      <w:spacing w:after="200" w:line="276" w:lineRule="auto"/>
    </w:pPr>
    <w:rPr>
      <w:rFonts w:ascii="Arial" w:eastAsia="Calibri" w:hAnsi="Arial" w:cs="Times New Roman"/>
      <w:szCs w:val="22"/>
    </w:rPr>
  </w:style>
  <w:style w:type="character" w:styleId="Strong">
    <w:name w:val="Strong"/>
    <w:basedOn w:val="DefaultParagraphFont"/>
    <w:uiPriority w:val="22"/>
    <w:qFormat/>
    <w:rsid w:val="00CC12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627D"/>
    <w:pPr>
      <w:spacing w:line="260" w:lineRule="atLeast"/>
    </w:pPr>
    <w:rPr>
      <w:sz w:val="22"/>
    </w:rPr>
  </w:style>
  <w:style w:type="paragraph" w:styleId="Heading1">
    <w:name w:val="heading 1"/>
    <w:basedOn w:val="Normal"/>
    <w:next w:val="Normal"/>
    <w:link w:val="Heading1Char"/>
    <w:uiPriority w:val="9"/>
    <w:qFormat/>
    <w:rsid w:val="000C62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2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62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62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C62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C62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C62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C627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C627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C627D"/>
  </w:style>
  <w:style w:type="paragraph" w:customStyle="1" w:styleId="OPCParaBase">
    <w:name w:val="OPCParaBase"/>
    <w:qFormat/>
    <w:rsid w:val="000C627D"/>
    <w:pPr>
      <w:spacing w:line="260" w:lineRule="atLeast"/>
    </w:pPr>
    <w:rPr>
      <w:rFonts w:eastAsia="Times New Roman" w:cs="Times New Roman"/>
      <w:sz w:val="22"/>
      <w:lang w:eastAsia="en-AU"/>
    </w:rPr>
  </w:style>
  <w:style w:type="paragraph" w:customStyle="1" w:styleId="ShortT">
    <w:name w:val="ShortT"/>
    <w:basedOn w:val="OPCParaBase"/>
    <w:next w:val="Normal"/>
    <w:qFormat/>
    <w:rsid w:val="000C627D"/>
    <w:pPr>
      <w:spacing w:line="240" w:lineRule="auto"/>
    </w:pPr>
    <w:rPr>
      <w:b/>
      <w:sz w:val="40"/>
    </w:rPr>
  </w:style>
  <w:style w:type="paragraph" w:customStyle="1" w:styleId="ActHead1">
    <w:name w:val="ActHead 1"/>
    <w:aliases w:val="c"/>
    <w:basedOn w:val="OPCParaBase"/>
    <w:next w:val="Normal"/>
    <w:qFormat/>
    <w:rsid w:val="000C627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C627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C627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C627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C627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C627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C627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C627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C627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C627D"/>
  </w:style>
  <w:style w:type="paragraph" w:customStyle="1" w:styleId="Blocks">
    <w:name w:val="Blocks"/>
    <w:aliases w:val="bb"/>
    <w:basedOn w:val="OPCParaBase"/>
    <w:qFormat/>
    <w:rsid w:val="000C627D"/>
    <w:pPr>
      <w:spacing w:line="240" w:lineRule="auto"/>
    </w:pPr>
    <w:rPr>
      <w:sz w:val="24"/>
    </w:rPr>
  </w:style>
  <w:style w:type="paragraph" w:customStyle="1" w:styleId="BoxText">
    <w:name w:val="BoxText"/>
    <w:aliases w:val="bt"/>
    <w:basedOn w:val="OPCParaBase"/>
    <w:qFormat/>
    <w:rsid w:val="000C627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C627D"/>
    <w:rPr>
      <w:b/>
    </w:rPr>
  </w:style>
  <w:style w:type="paragraph" w:customStyle="1" w:styleId="BoxHeadItalic">
    <w:name w:val="BoxHeadItalic"/>
    <w:aliases w:val="bhi"/>
    <w:basedOn w:val="BoxText"/>
    <w:next w:val="BoxStep"/>
    <w:qFormat/>
    <w:rsid w:val="000C627D"/>
    <w:rPr>
      <w:i/>
    </w:rPr>
  </w:style>
  <w:style w:type="paragraph" w:customStyle="1" w:styleId="BoxList">
    <w:name w:val="BoxList"/>
    <w:aliases w:val="bl"/>
    <w:basedOn w:val="BoxText"/>
    <w:qFormat/>
    <w:rsid w:val="000C627D"/>
    <w:pPr>
      <w:ind w:left="1559" w:hanging="425"/>
    </w:pPr>
  </w:style>
  <w:style w:type="paragraph" w:customStyle="1" w:styleId="BoxNote">
    <w:name w:val="BoxNote"/>
    <w:aliases w:val="bn"/>
    <w:basedOn w:val="BoxText"/>
    <w:qFormat/>
    <w:rsid w:val="000C627D"/>
    <w:pPr>
      <w:tabs>
        <w:tab w:val="left" w:pos="1985"/>
      </w:tabs>
      <w:spacing w:before="122" w:line="198" w:lineRule="exact"/>
      <w:ind w:left="2948" w:hanging="1814"/>
    </w:pPr>
    <w:rPr>
      <w:sz w:val="18"/>
    </w:rPr>
  </w:style>
  <w:style w:type="paragraph" w:customStyle="1" w:styleId="BoxPara">
    <w:name w:val="BoxPara"/>
    <w:aliases w:val="bp"/>
    <w:basedOn w:val="BoxText"/>
    <w:qFormat/>
    <w:rsid w:val="000C627D"/>
    <w:pPr>
      <w:tabs>
        <w:tab w:val="right" w:pos="2268"/>
      </w:tabs>
      <w:ind w:left="2552" w:hanging="1418"/>
    </w:pPr>
  </w:style>
  <w:style w:type="paragraph" w:customStyle="1" w:styleId="BoxStep">
    <w:name w:val="BoxStep"/>
    <w:aliases w:val="bs"/>
    <w:basedOn w:val="BoxText"/>
    <w:qFormat/>
    <w:rsid w:val="000C627D"/>
    <w:pPr>
      <w:ind w:left="1985" w:hanging="851"/>
    </w:pPr>
  </w:style>
  <w:style w:type="character" w:customStyle="1" w:styleId="CharAmPartNo">
    <w:name w:val="CharAmPartNo"/>
    <w:basedOn w:val="OPCCharBase"/>
    <w:uiPriority w:val="1"/>
    <w:qFormat/>
    <w:rsid w:val="000C627D"/>
  </w:style>
  <w:style w:type="character" w:customStyle="1" w:styleId="CharAmPartText">
    <w:name w:val="CharAmPartText"/>
    <w:basedOn w:val="OPCCharBase"/>
    <w:uiPriority w:val="1"/>
    <w:qFormat/>
    <w:rsid w:val="000C627D"/>
  </w:style>
  <w:style w:type="character" w:customStyle="1" w:styleId="CharAmSchNo">
    <w:name w:val="CharAmSchNo"/>
    <w:basedOn w:val="OPCCharBase"/>
    <w:uiPriority w:val="1"/>
    <w:qFormat/>
    <w:rsid w:val="000C627D"/>
  </w:style>
  <w:style w:type="character" w:customStyle="1" w:styleId="CharAmSchText">
    <w:name w:val="CharAmSchText"/>
    <w:basedOn w:val="OPCCharBase"/>
    <w:uiPriority w:val="1"/>
    <w:qFormat/>
    <w:rsid w:val="000C627D"/>
  </w:style>
  <w:style w:type="character" w:customStyle="1" w:styleId="CharBoldItalic">
    <w:name w:val="CharBoldItalic"/>
    <w:basedOn w:val="OPCCharBase"/>
    <w:uiPriority w:val="1"/>
    <w:qFormat/>
    <w:rsid w:val="000C627D"/>
    <w:rPr>
      <w:b/>
      <w:i/>
    </w:rPr>
  </w:style>
  <w:style w:type="character" w:customStyle="1" w:styleId="CharChapNo">
    <w:name w:val="CharChapNo"/>
    <w:basedOn w:val="OPCCharBase"/>
    <w:qFormat/>
    <w:rsid w:val="000C627D"/>
  </w:style>
  <w:style w:type="character" w:customStyle="1" w:styleId="CharChapText">
    <w:name w:val="CharChapText"/>
    <w:basedOn w:val="OPCCharBase"/>
    <w:qFormat/>
    <w:rsid w:val="000C627D"/>
  </w:style>
  <w:style w:type="character" w:customStyle="1" w:styleId="CharDivNo">
    <w:name w:val="CharDivNo"/>
    <w:basedOn w:val="OPCCharBase"/>
    <w:qFormat/>
    <w:rsid w:val="000C627D"/>
  </w:style>
  <w:style w:type="character" w:customStyle="1" w:styleId="CharDivText">
    <w:name w:val="CharDivText"/>
    <w:basedOn w:val="OPCCharBase"/>
    <w:qFormat/>
    <w:rsid w:val="000C627D"/>
  </w:style>
  <w:style w:type="character" w:customStyle="1" w:styleId="CharItalic">
    <w:name w:val="CharItalic"/>
    <w:basedOn w:val="OPCCharBase"/>
    <w:uiPriority w:val="1"/>
    <w:qFormat/>
    <w:rsid w:val="000C627D"/>
    <w:rPr>
      <w:i/>
    </w:rPr>
  </w:style>
  <w:style w:type="character" w:customStyle="1" w:styleId="CharPartNo">
    <w:name w:val="CharPartNo"/>
    <w:basedOn w:val="OPCCharBase"/>
    <w:qFormat/>
    <w:rsid w:val="000C627D"/>
  </w:style>
  <w:style w:type="character" w:customStyle="1" w:styleId="CharPartText">
    <w:name w:val="CharPartText"/>
    <w:basedOn w:val="OPCCharBase"/>
    <w:qFormat/>
    <w:rsid w:val="000C627D"/>
  </w:style>
  <w:style w:type="character" w:customStyle="1" w:styleId="CharSectno">
    <w:name w:val="CharSectno"/>
    <w:basedOn w:val="OPCCharBase"/>
    <w:qFormat/>
    <w:rsid w:val="000C627D"/>
  </w:style>
  <w:style w:type="character" w:customStyle="1" w:styleId="CharSubdNo">
    <w:name w:val="CharSubdNo"/>
    <w:basedOn w:val="OPCCharBase"/>
    <w:uiPriority w:val="1"/>
    <w:qFormat/>
    <w:rsid w:val="000C627D"/>
  </w:style>
  <w:style w:type="character" w:customStyle="1" w:styleId="CharSubdText">
    <w:name w:val="CharSubdText"/>
    <w:basedOn w:val="OPCCharBase"/>
    <w:uiPriority w:val="1"/>
    <w:qFormat/>
    <w:rsid w:val="000C627D"/>
  </w:style>
  <w:style w:type="paragraph" w:customStyle="1" w:styleId="CTA--">
    <w:name w:val="CTA --"/>
    <w:basedOn w:val="OPCParaBase"/>
    <w:next w:val="Normal"/>
    <w:rsid w:val="000C627D"/>
    <w:pPr>
      <w:spacing w:before="60" w:line="240" w:lineRule="atLeast"/>
      <w:ind w:left="142" w:hanging="142"/>
    </w:pPr>
    <w:rPr>
      <w:sz w:val="20"/>
    </w:rPr>
  </w:style>
  <w:style w:type="paragraph" w:customStyle="1" w:styleId="CTA-">
    <w:name w:val="CTA -"/>
    <w:basedOn w:val="OPCParaBase"/>
    <w:rsid w:val="000C627D"/>
    <w:pPr>
      <w:spacing w:before="60" w:line="240" w:lineRule="atLeast"/>
      <w:ind w:left="85" w:hanging="85"/>
    </w:pPr>
    <w:rPr>
      <w:sz w:val="20"/>
    </w:rPr>
  </w:style>
  <w:style w:type="paragraph" w:customStyle="1" w:styleId="CTA---">
    <w:name w:val="CTA ---"/>
    <w:basedOn w:val="OPCParaBase"/>
    <w:next w:val="Normal"/>
    <w:rsid w:val="000C627D"/>
    <w:pPr>
      <w:spacing w:before="60" w:line="240" w:lineRule="atLeast"/>
      <w:ind w:left="198" w:hanging="198"/>
    </w:pPr>
    <w:rPr>
      <w:sz w:val="20"/>
    </w:rPr>
  </w:style>
  <w:style w:type="paragraph" w:customStyle="1" w:styleId="CTA----">
    <w:name w:val="CTA ----"/>
    <w:basedOn w:val="OPCParaBase"/>
    <w:next w:val="Normal"/>
    <w:rsid w:val="000C627D"/>
    <w:pPr>
      <w:spacing w:before="60" w:line="240" w:lineRule="atLeast"/>
      <w:ind w:left="255" w:hanging="255"/>
    </w:pPr>
    <w:rPr>
      <w:sz w:val="20"/>
    </w:rPr>
  </w:style>
  <w:style w:type="paragraph" w:customStyle="1" w:styleId="CTA1a">
    <w:name w:val="CTA 1(a)"/>
    <w:basedOn w:val="OPCParaBase"/>
    <w:rsid w:val="000C627D"/>
    <w:pPr>
      <w:tabs>
        <w:tab w:val="right" w:pos="414"/>
      </w:tabs>
      <w:spacing w:before="40" w:line="240" w:lineRule="atLeast"/>
      <w:ind w:left="675" w:hanging="675"/>
    </w:pPr>
    <w:rPr>
      <w:sz w:val="20"/>
    </w:rPr>
  </w:style>
  <w:style w:type="paragraph" w:customStyle="1" w:styleId="CTA1ai">
    <w:name w:val="CTA 1(a)(i)"/>
    <w:basedOn w:val="OPCParaBase"/>
    <w:rsid w:val="000C627D"/>
    <w:pPr>
      <w:tabs>
        <w:tab w:val="right" w:pos="1004"/>
      </w:tabs>
      <w:spacing w:before="40" w:line="240" w:lineRule="atLeast"/>
      <w:ind w:left="1253" w:hanging="1253"/>
    </w:pPr>
    <w:rPr>
      <w:sz w:val="20"/>
    </w:rPr>
  </w:style>
  <w:style w:type="paragraph" w:customStyle="1" w:styleId="CTA2a">
    <w:name w:val="CTA 2(a)"/>
    <w:basedOn w:val="OPCParaBase"/>
    <w:rsid w:val="000C627D"/>
    <w:pPr>
      <w:tabs>
        <w:tab w:val="right" w:pos="482"/>
      </w:tabs>
      <w:spacing w:before="40" w:line="240" w:lineRule="atLeast"/>
      <w:ind w:left="748" w:hanging="748"/>
    </w:pPr>
    <w:rPr>
      <w:sz w:val="20"/>
    </w:rPr>
  </w:style>
  <w:style w:type="paragraph" w:customStyle="1" w:styleId="CTA2ai">
    <w:name w:val="CTA 2(a)(i)"/>
    <w:basedOn w:val="OPCParaBase"/>
    <w:rsid w:val="000C627D"/>
    <w:pPr>
      <w:tabs>
        <w:tab w:val="right" w:pos="1089"/>
      </w:tabs>
      <w:spacing w:before="40" w:line="240" w:lineRule="atLeast"/>
      <w:ind w:left="1327" w:hanging="1327"/>
    </w:pPr>
    <w:rPr>
      <w:sz w:val="20"/>
    </w:rPr>
  </w:style>
  <w:style w:type="paragraph" w:customStyle="1" w:styleId="CTA3a">
    <w:name w:val="CTA 3(a)"/>
    <w:basedOn w:val="OPCParaBase"/>
    <w:rsid w:val="000C627D"/>
    <w:pPr>
      <w:tabs>
        <w:tab w:val="right" w:pos="556"/>
      </w:tabs>
      <w:spacing w:before="40" w:line="240" w:lineRule="atLeast"/>
      <w:ind w:left="805" w:hanging="805"/>
    </w:pPr>
    <w:rPr>
      <w:sz w:val="20"/>
    </w:rPr>
  </w:style>
  <w:style w:type="paragraph" w:customStyle="1" w:styleId="CTA3ai">
    <w:name w:val="CTA 3(a)(i)"/>
    <w:basedOn w:val="OPCParaBase"/>
    <w:rsid w:val="000C627D"/>
    <w:pPr>
      <w:tabs>
        <w:tab w:val="right" w:pos="1140"/>
      </w:tabs>
      <w:spacing w:before="40" w:line="240" w:lineRule="atLeast"/>
      <w:ind w:left="1361" w:hanging="1361"/>
    </w:pPr>
    <w:rPr>
      <w:sz w:val="20"/>
    </w:rPr>
  </w:style>
  <w:style w:type="paragraph" w:customStyle="1" w:styleId="CTA4a">
    <w:name w:val="CTA 4(a)"/>
    <w:basedOn w:val="OPCParaBase"/>
    <w:rsid w:val="000C627D"/>
    <w:pPr>
      <w:tabs>
        <w:tab w:val="right" w:pos="624"/>
      </w:tabs>
      <w:spacing w:before="40" w:line="240" w:lineRule="atLeast"/>
      <w:ind w:left="873" w:hanging="873"/>
    </w:pPr>
    <w:rPr>
      <w:sz w:val="20"/>
    </w:rPr>
  </w:style>
  <w:style w:type="paragraph" w:customStyle="1" w:styleId="CTA4ai">
    <w:name w:val="CTA 4(a)(i)"/>
    <w:basedOn w:val="OPCParaBase"/>
    <w:rsid w:val="000C627D"/>
    <w:pPr>
      <w:tabs>
        <w:tab w:val="right" w:pos="1213"/>
      </w:tabs>
      <w:spacing w:before="40" w:line="240" w:lineRule="atLeast"/>
      <w:ind w:left="1452" w:hanging="1452"/>
    </w:pPr>
    <w:rPr>
      <w:sz w:val="20"/>
    </w:rPr>
  </w:style>
  <w:style w:type="paragraph" w:customStyle="1" w:styleId="CTACAPS">
    <w:name w:val="CTA CAPS"/>
    <w:basedOn w:val="OPCParaBase"/>
    <w:rsid w:val="000C627D"/>
    <w:pPr>
      <w:spacing w:before="60" w:line="240" w:lineRule="atLeast"/>
    </w:pPr>
    <w:rPr>
      <w:sz w:val="20"/>
    </w:rPr>
  </w:style>
  <w:style w:type="paragraph" w:customStyle="1" w:styleId="CTAright">
    <w:name w:val="CTA right"/>
    <w:basedOn w:val="OPCParaBase"/>
    <w:rsid w:val="000C627D"/>
    <w:pPr>
      <w:spacing w:before="60" w:line="240" w:lineRule="auto"/>
      <w:jc w:val="right"/>
    </w:pPr>
    <w:rPr>
      <w:sz w:val="20"/>
    </w:rPr>
  </w:style>
  <w:style w:type="paragraph" w:customStyle="1" w:styleId="subsection">
    <w:name w:val="subsection"/>
    <w:aliases w:val="ss,Subsection"/>
    <w:basedOn w:val="OPCParaBase"/>
    <w:link w:val="subsectionChar"/>
    <w:rsid w:val="000C627D"/>
    <w:pPr>
      <w:tabs>
        <w:tab w:val="right" w:pos="1021"/>
      </w:tabs>
      <w:spacing w:before="180" w:line="240" w:lineRule="auto"/>
      <w:ind w:left="1134" w:hanging="1134"/>
    </w:pPr>
  </w:style>
  <w:style w:type="paragraph" w:customStyle="1" w:styleId="Definition">
    <w:name w:val="Definition"/>
    <w:aliases w:val="dd"/>
    <w:basedOn w:val="OPCParaBase"/>
    <w:rsid w:val="000C627D"/>
    <w:pPr>
      <w:spacing w:before="180" w:line="240" w:lineRule="auto"/>
      <w:ind w:left="1134"/>
    </w:pPr>
  </w:style>
  <w:style w:type="paragraph" w:customStyle="1" w:styleId="EndNotespara">
    <w:name w:val="EndNotes(para)"/>
    <w:aliases w:val="eta"/>
    <w:basedOn w:val="OPCParaBase"/>
    <w:next w:val="EndNotessubpara"/>
    <w:rsid w:val="000C627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C627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C627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C627D"/>
    <w:pPr>
      <w:tabs>
        <w:tab w:val="right" w:pos="1412"/>
      </w:tabs>
      <w:spacing w:before="60" w:line="240" w:lineRule="auto"/>
      <w:ind w:left="1525" w:hanging="1525"/>
    </w:pPr>
    <w:rPr>
      <w:sz w:val="20"/>
    </w:rPr>
  </w:style>
  <w:style w:type="paragraph" w:customStyle="1" w:styleId="Formula">
    <w:name w:val="Formula"/>
    <w:basedOn w:val="OPCParaBase"/>
    <w:rsid w:val="000C627D"/>
    <w:pPr>
      <w:spacing w:line="240" w:lineRule="auto"/>
      <w:ind w:left="1134"/>
    </w:pPr>
    <w:rPr>
      <w:sz w:val="20"/>
    </w:rPr>
  </w:style>
  <w:style w:type="paragraph" w:styleId="Header">
    <w:name w:val="header"/>
    <w:basedOn w:val="OPCParaBase"/>
    <w:link w:val="HeaderChar"/>
    <w:unhideWhenUsed/>
    <w:rsid w:val="000C627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C627D"/>
    <w:rPr>
      <w:rFonts w:eastAsia="Times New Roman" w:cs="Times New Roman"/>
      <w:sz w:val="16"/>
      <w:lang w:eastAsia="en-AU"/>
    </w:rPr>
  </w:style>
  <w:style w:type="paragraph" w:customStyle="1" w:styleId="House">
    <w:name w:val="House"/>
    <w:basedOn w:val="OPCParaBase"/>
    <w:rsid w:val="000C627D"/>
    <w:pPr>
      <w:spacing w:line="240" w:lineRule="auto"/>
    </w:pPr>
    <w:rPr>
      <w:sz w:val="28"/>
    </w:rPr>
  </w:style>
  <w:style w:type="paragraph" w:customStyle="1" w:styleId="Item">
    <w:name w:val="Item"/>
    <w:aliases w:val="i"/>
    <w:basedOn w:val="OPCParaBase"/>
    <w:next w:val="ItemHead"/>
    <w:rsid w:val="000C627D"/>
    <w:pPr>
      <w:keepLines/>
      <w:spacing w:before="80" w:line="240" w:lineRule="auto"/>
      <w:ind w:left="709"/>
    </w:pPr>
  </w:style>
  <w:style w:type="paragraph" w:customStyle="1" w:styleId="ItemHead">
    <w:name w:val="ItemHead"/>
    <w:aliases w:val="ih"/>
    <w:basedOn w:val="OPCParaBase"/>
    <w:next w:val="Item"/>
    <w:rsid w:val="000C627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C627D"/>
    <w:pPr>
      <w:spacing w:line="240" w:lineRule="auto"/>
    </w:pPr>
    <w:rPr>
      <w:b/>
      <w:sz w:val="32"/>
    </w:rPr>
  </w:style>
  <w:style w:type="paragraph" w:customStyle="1" w:styleId="notedraft">
    <w:name w:val="note(draft)"/>
    <w:aliases w:val="nd"/>
    <w:basedOn w:val="OPCParaBase"/>
    <w:rsid w:val="000C627D"/>
    <w:pPr>
      <w:spacing w:before="240" w:line="240" w:lineRule="auto"/>
      <w:ind w:left="284" w:hanging="284"/>
    </w:pPr>
    <w:rPr>
      <w:i/>
      <w:sz w:val="24"/>
    </w:rPr>
  </w:style>
  <w:style w:type="paragraph" w:customStyle="1" w:styleId="notemargin">
    <w:name w:val="note(margin)"/>
    <w:aliases w:val="nm"/>
    <w:basedOn w:val="OPCParaBase"/>
    <w:rsid w:val="000C627D"/>
    <w:pPr>
      <w:tabs>
        <w:tab w:val="left" w:pos="709"/>
      </w:tabs>
      <w:spacing w:before="122" w:line="198" w:lineRule="exact"/>
      <w:ind w:left="709" w:hanging="709"/>
    </w:pPr>
    <w:rPr>
      <w:sz w:val="18"/>
    </w:rPr>
  </w:style>
  <w:style w:type="paragraph" w:customStyle="1" w:styleId="noteToPara">
    <w:name w:val="noteToPara"/>
    <w:aliases w:val="ntp"/>
    <w:basedOn w:val="OPCParaBase"/>
    <w:rsid w:val="000C627D"/>
    <w:pPr>
      <w:spacing w:before="122" w:line="198" w:lineRule="exact"/>
      <w:ind w:left="2353" w:hanging="709"/>
    </w:pPr>
    <w:rPr>
      <w:sz w:val="18"/>
    </w:rPr>
  </w:style>
  <w:style w:type="paragraph" w:customStyle="1" w:styleId="noteParlAmend">
    <w:name w:val="note(ParlAmend)"/>
    <w:aliases w:val="npp"/>
    <w:basedOn w:val="OPCParaBase"/>
    <w:next w:val="ParlAmend"/>
    <w:rsid w:val="000C627D"/>
    <w:pPr>
      <w:spacing w:line="240" w:lineRule="auto"/>
      <w:jc w:val="right"/>
    </w:pPr>
    <w:rPr>
      <w:rFonts w:ascii="Arial" w:hAnsi="Arial"/>
      <w:b/>
      <w:i/>
    </w:rPr>
  </w:style>
  <w:style w:type="paragraph" w:customStyle="1" w:styleId="Page1">
    <w:name w:val="Page1"/>
    <w:basedOn w:val="OPCParaBase"/>
    <w:rsid w:val="000C627D"/>
    <w:pPr>
      <w:spacing w:before="5600" w:line="240" w:lineRule="auto"/>
    </w:pPr>
    <w:rPr>
      <w:b/>
      <w:sz w:val="32"/>
    </w:rPr>
  </w:style>
  <w:style w:type="paragraph" w:customStyle="1" w:styleId="PageBreak">
    <w:name w:val="PageBreak"/>
    <w:aliases w:val="pb"/>
    <w:basedOn w:val="OPCParaBase"/>
    <w:rsid w:val="000C627D"/>
    <w:pPr>
      <w:spacing w:line="240" w:lineRule="auto"/>
    </w:pPr>
    <w:rPr>
      <w:sz w:val="20"/>
    </w:rPr>
  </w:style>
  <w:style w:type="paragraph" w:customStyle="1" w:styleId="paragraphsub">
    <w:name w:val="paragraph(sub)"/>
    <w:aliases w:val="aa"/>
    <w:basedOn w:val="OPCParaBase"/>
    <w:rsid w:val="000C627D"/>
    <w:pPr>
      <w:tabs>
        <w:tab w:val="right" w:pos="1985"/>
      </w:tabs>
      <w:spacing w:before="40" w:line="240" w:lineRule="auto"/>
      <w:ind w:left="2098" w:hanging="2098"/>
    </w:pPr>
  </w:style>
  <w:style w:type="paragraph" w:customStyle="1" w:styleId="paragraphsub-sub">
    <w:name w:val="paragraph(sub-sub)"/>
    <w:aliases w:val="aaa"/>
    <w:basedOn w:val="OPCParaBase"/>
    <w:rsid w:val="000C627D"/>
    <w:pPr>
      <w:tabs>
        <w:tab w:val="right" w:pos="2722"/>
      </w:tabs>
      <w:spacing w:before="40" w:line="240" w:lineRule="auto"/>
      <w:ind w:left="2835" w:hanging="2835"/>
    </w:pPr>
  </w:style>
  <w:style w:type="paragraph" w:customStyle="1" w:styleId="paragraph">
    <w:name w:val="paragraph"/>
    <w:aliases w:val="a"/>
    <w:basedOn w:val="OPCParaBase"/>
    <w:rsid w:val="000C627D"/>
    <w:pPr>
      <w:tabs>
        <w:tab w:val="right" w:pos="1531"/>
      </w:tabs>
      <w:spacing w:before="40" w:line="240" w:lineRule="auto"/>
      <w:ind w:left="1644" w:hanging="1644"/>
    </w:pPr>
  </w:style>
  <w:style w:type="paragraph" w:customStyle="1" w:styleId="ParlAmend">
    <w:name w:val="ParlAmend"/>
    <w:aliases w:val="pp"/>
    <w:basedOn w:val="OPCParaBase"/>
    <w:rsid w:val="000C627D"/>
    <w:pPr>
      <w:spacing w:before="240" w:line="240" w:lineRule="atLeast"/>
      <w:ind w:hanging="567"/>
    </w:pPr>
    <w:rPr>
      <w:sz w:val="24"/>
    </w:rPr>
  </w:style>
  <w:style w:type="paragraph" w:customStyle="1" w:styleId="Penalty">
    <w:name w:val="Penalty"/>
    <w:basedOn w:val="OPCParaBase"/>
    <w:rsid w:val="000C627D"/>
    <w:pPr>
      <w:tabs>
        <w:tab w:val="left" w:pos="2977"/>
      </w:tabs>
      <w:spacing w:before="180" w:line="240" w:lineRule="auto"/>
      <w:ind w:left="1985" w:hanging="851"/>
    </w:pPr>
  </w:style>
  <w:style w:type="paragraph" w:customStyle="1" w:styleId="Portfolio">
    <w:name w:val="Portfolio"/>
    <w:basedOn w:val="OPCParaBase"/>
    <w:rsid w:val="000C627D"/>
    <w:pPr>
      <w:spacing w:line="240" w:lineRule="auto"/>
    </w:pPr>
    <w:rPr>
      <w:i/>
      <w:sz w:val="20"/>
    </w:rPr>
  </w:style>
  <w:style w:type="paragraph" w:customStyle="1" w:styleId="Preamble">
    <w:name w:val="Preamble"/>
    <w:basedOn w:val="OPCParaBase"/>
    <w:next w:val="Normal"/>
    <w:rsid w:val="000C627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C627D"/>
    <w:pPr>
      <w:spacing w:line="240" w:lineRule="auto"/>
    </w:pPr>
    <w:rPr>
      <w:i/>
      <w:sz w:val="20"/>
    </w:rPr>
  </w:style>
  <w:style w:type="paragraph" w:customStyle="1" w:styleId="Session">
    <w:name w:val="Session"/>
    <w:basedOn w:val="OPCParaBase"/>
    <w:rsid w:val="000C627D"/>
    <w:pPr>
      <w:spacing w:line="240" w:lineRule="auto"/>
    </w:pPr>
    <w:rPr>
      <w:sz w:val="28"/>
    </w:rPr>
  </w:style>
  <w:style w:type="paragraph" w:customStyle="1" w:styleId="Sponsor">
    <w:name w:val="Sponsor"/>
    <w:basedOn w:val="OPCParaBase"/>
    <w:rsid w:val="000C627D"/>
    <w:pPr>
      <w:spacing w:line="240" w:lineRule="auto"/>
    </w:pPr>
    <w:rPr>
      <w:i/>
    </w:rPr>
  </w:style>
  <w:style w:type="paragraph" w:customStyle="1" w:styleId="Subitem">
    <w:name w:val="Subitem"/>
    <w:aliases w:val="iss"/>
    <w:basedOn w:val="OPCParaBase"/>
    <w:rsid w:val="000C627D"/>
    <w:pPr>
      <w:spacing w:before="180" w:line="240" w:lineRule="auto"/>
      <w:ind w:left="709" w:hanging="709"/>
    </w:pPr>
  </w:style>
  <w:style w:type="paragraph" w:customStyle="1" w:styleId="SubitemHead">
    <w:name w:val="SubitemHead"/>
    <w:aliases w:val="issh"/>
    <w:basedOn w:val="OPCParaBase"/>
    <w:rsid w:val="000C627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C627D"/>
    <w:pPr>
      <w:spacing w:before="40" w:line="240" w:lineRule="auto"/>
      <w:ind w:left="1134"/>
    </w:pPr>
  </w:style>
  <w:style w:type="paragraph" w:customStyle="1" w:styleId="SubsectionHead">
    <w:name w:val="SubsectionHead"/>
    <w:aliases w:val="ssh"/>
    <w:basedOn w:val="OPCParaBase"/>
    <w:next w:val="subsection"/>
    <w:rsid w:val="000C627D"/>
    <w:pPr>
      <w:keepNext/>
      <w:keepLines/>
      <w:spacing w:before="240" w:line="240" w:lineRule="auto"/>
      <w:ind w:left="1134"/>
    </w:pPr>
    <w:rPr>
      <w:i/>
    </w:rPr>
  </w:style>
  <w:style w:type="paragraph" w:customStyle="1" w:styleId="Tablea">
    <w:name w:val="Table(a)"/>
    <w:aliases w:val="ta"/>
    <w:basedOn w:val="OPCParaBase"/>
    <w:rsid w:val="000C627D"/>
    <w:pPr>
      <w:spacing w:before="60" w:line="240" w:lineRule="auto"/>
      <w:ind w:left="284" w:hanging="284"/>
    </w:pPr>
    <w:rPr>
      <w:sz w:val="20"/>
    </w:rPr>
  </w:style>
  <w:style w:type="paragraph" w:customStyle="1" w:styleId="TableAA">
    <w:name w:val="Table(AA)"/>
    <w:aliases w:val="taaa"/>
    <w:basedOn w:val="OPCParaBase"/>
    <w:rsid w:val="000C627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C627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C627D"/>
    <w:pPr>
      <w:spacing w:before="60" w:line="240" w:lineRule="atLeast"/>
    </w:pPr>
    <w:rPr>
      <w:sz w:val="20"/>
    </w:rPr>
  </w:style>
  <w:style w:type="paragraph" w:customStyle="1" w:styleId="TLPBoxTextnote">
    <w:name w:val="TLPBoxText(note"/>
    <w:aliases w:val="right)"/>
    <w:basedOn w:val="OPCParaBase"/>
    <w:rsid w:val="000C627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C627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C627D"/>
    <w:pPr>
      <w:spacing w:before="122" w:line="198" w:lineRule="exact"/>
      <w:ind w:left="1985" w:hanging="851"/>
      <w:jc w:val="right"/>
    </w:pPr>
    <w:rPr>
      <w:sz w:val="18"/>
    </w:rPr>
  </w:style>
  <w:style w:type="paragraph" w:customStyle="1" w:styleId="TLPTableBullet">
    <w:name w:val="TLPTableBullet"/>
    <w:aliases w:val="ttb"/>
    <w:basedOn w:val="OPCParaBase"/>
    <w:rsid w:val="000C627D"/>
    <w:pPr>
      <w:spacing w:line="240" w:lineRule="exact"/>
      <w:ind w:left="284" w:hanging="284"/>
    </w:pPr>
    <w:rPr>
      <w:sz w:val="20"/>
    </w:rPr>
  </w:style>
  <w:style w:type="paragraph" w:styleId="TOC1">
    <w:name w:val="toc 1"/>
    <w:basedOn w:val="Normal"/>
    <w:next w:val="Normal"/>
    <w:uiPriority w:val="39"/>
    <w:unhideWhenUsed/>
    <w:rsid w:val="000C627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C627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C627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0C627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C627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C627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C627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C627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C627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C627D"/>
    <w:pPr>
      <w:keepLines/>
      <w:spacing w:before="240" w:after="120" w:line="240" w:lineRule="auto"/>
      <w:ind w:left="794"/>
    </w:pPr>
    <w:rPr>
      <w:b/>
      <w:kern w:val="28"/>
      <w:sz w:val="20"/>
    </w:rPr>
  </w:style>
  <w:style w:type="paragraph" w:customStyle="1" w:styleId="TofSectsHeading">
    <w:name w:val="TofSects(Heading)"/>
    <w:basedOn w:val="OPCParaBase"/>
    <w:rsid w:val="000C627D"/>
    <w:pPr>
      <w:spacing w:before="240" w:after="120" w:line="240" w:lineRule="auto"/>
    </w:pPr>
    <w:rPr>
      <w:b/>
      <w:sz w:val="24"/>
    </w:rPr>
  </w:style>
  <w:style w:type="paragraph" w:customStyle="1" w:styleId="TofSectsSection">
    <w:name w:val="TofSects(Section)"/>
    <w:basedOn w:val="OPCParaBase"/>
    <w:rsid w:val="000C627D"/>
    <w:pPr>
      <w:keepLines/>
      <w:spacing w:before="40" w:line="240" w:lineRule="auto"/>
      <w:ind w:left="1588" w:hanging="794"/>
    </w:pPr>
    <w:rPr>
      <w:kern w:val="28"/>
      <w:sz w:val="18"/>
    </w:rPr>
  </w:style>
  <w:style w:type="paragraph" w:customStyle="1" w:styleId="TofSectsSubdiv">
    <w:name w:val="TofSects(Subdiv)"/>
    <w:basedOn w:val="OPCParaBase"/>
    <w:rsid w:val="000C627D"/>
    <w:pPr>
      <w:keepLines/>
      <w:spacing w:before="80" w:line="240" w:lineRule="auto"/>
      <w:ind w:left="1588" w:hanging="794"/>
    </w:pPr>
    <w:rPr>
      <w:kern w:val="28"/>
    </w:rPr>
  </w:style>
  <w:style w:type="paragraph" w:customStyle="1" w:styleId="WRStyle">
    <w:name w:val="WR Style"/>
    <w:aliases w:val="WR"/>
    <w:basedOn w:val="OPCParaBase"/>
    <w:rsid w:val="000C627D"/>
    <w:pPr>
      <w:spacing w:before="240" w:line="240" w:lineRule="auto"/>
      <w:ind w:left="284" w:hanging="284"/>
    </w:pPr>
    <w:rPr>
      <w:b/>
      <w:i/>
      <w:kern w:val="28"/>
      <w:sz w:val="24"/>
    </w:rPr>
  </w:style>
  <w:style w:type="paragraph" w:customStyle="1" w:styleId="notepara">
    <w:name w:val="note(para)"/>
    <w:aliases w:val="na"/>
    <w:basedOn w:val="OPCParaBase"/>
    <w:rsid w:val="000C627D"/>
    <w:pPr>
      <w:spacing w:before="40" w:line="198" w:lineRule="exact"/>
      <w:ind w:left="2354" w:hanging="369"/>
    </w:pPr>
    <w:rPr>
      <w:sz w:val="18"/>
    </w:rPr>
  </w:style>
  <w:style w:type="paragraph" w:styleId="Footer">
    <w:name w:val="footer"/>
    <w:link w:val="FooterChar"/>
    <w:rsid w:val="000C627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C627D"/>
    <w:rPr>
      <w:rFonts w:eastAsia="Times New Roman" w:cs="Times New Roman"/>
      <w:sz w:val="22"/>
      <w:szCs w:val="24"/>
      <w:lang w:eastAsia="en-AU"/>
    </w:rPr>
  </w:style>
  <w:style w:type="character" w:styleId="LineNumber">
    <w:name w:val="line number"/>
    <w:basedOn w:val="OPCCharBase"/>
    <w:uiPriority w:val="99"/>
    <w:semiHidden/>
    <w:unhideWhenUsed/>
    <w:rsid w:val="000C627D"/>
    <w:rPr>
      <w:sz w:val="16"/>
    </w:rPr>
  </w:style>
  <w:style w:type="table" w:customStyle="1" w:styleId="CFlag">
    <w:name w:val="CFlag"/>
    <w:basedOn w:val="TableNormal"/>
    <w:uiPriority w:val="99"/>
    <w:rsid w:val="000C627D"/>
    <w:rPr>
      <w:rFonts w:eastAsia="Times New Roman" w:cs="Times New Roman"/>
      <w:lang w:eastAsia="en-AU"/>
    </w:rPr>
    <w:tblPr/>
  </w:style>
  <w:style w:type="paragraph" w:styleId="BalloonText">
    <w:name w:val="Balloon Text"/>
    <w:basedOn w:val="Normal"/>
    <w:link w:val="BalloonTextChar"/>
    <w:uiPriority w:val="99"/>
    <w:semiHidden/>
    <w:unhideWhenUsed/>
    <w:rsid w:val="000C62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7D"/>
    <w:rPr>
      <w:rFonts w:ascii="Tahoma" w:hAnsi="Tahoma" w:cs="Tahoma"/>
      <w:sz w:val="16"/>
      <w:szCs w:val="16"/>
    </w:rPr>
  </w:style>
  <w:style w:type="table" w:styleId="TableGrid">
    <w:name w:val="Table Grid"/>
    <w:basedOn w:val="TableNormal"/>
    <w:uiPriority w:val="59"/>
    <w:rsid w:val="000C6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C627D"/>
    <w:rPr>
      <w:b/>
      <w:sz w:val="28"/>
      <w:szCs w:val="32"/>
    </w:rPr>
  </w:style>
  <w:style w:type="paragraph" w:customStyle="1" w:styleId="LegislationMadeUnder">
    <w:name w:val="LegislationMadeUnder"/>
    <w:basedOn w:val="OPCParaBase"/>
    <w:next w:val="Normal"/>
    <w:rsid w:val="000C627D"/>
    <w:rPr>
      <w:i/>
      <w:sz w:val="32"/>
      <w:szCs w:val="32"/>
    </w:rPr>
  </w:style>
  <w:style w:type="paragraph" w:customStyle="1" w:styleId="SignCoverPageEnd">
    <w:name w:val="SignCoverPageEnd"/>
    <w:basedOn w:val="OPCParaBase"/>
    <w:next w:val="Normal"/>
    <w:rsid w:val="000C627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C627D"/>
    <w:pPr>
      <w:pBdr>
        <w:top w:val="single" w:sz="4" w:space="1" w:color="auto"/>
      </w:pBdr>
      <w:spacing w:before="360"/>
      <w:ind w:right="397"/>
      <w:jc w:val="both"/>
    </w:pPr>
  </w:style>
  <w:style w:type="paragraph" w:customStyle="1" w:styleId="NotesHeading1">
    <w:name w:val="NotesHeading 1"/>
    <w:basedOn w:val="OPCParaBase"/>
    <w:next w:val="Normal"/>
    <w:rsid w:val="000C627D"/>
    <w:pPr>
      <w:outlineLvl w:val="0"/>
    </w:pPr>
    <w:rPr>
      <w:b/>
      <w:sz w:val="28"/>
      <w:szCs w:val="28"/>
    </w:rPr>
  </w:style>
  <w:style w:type="paragraph" w:customStyle="1" w:styleId="NotesHeading2">
    <w:name w:val="NotesHeading 2"/>
    <w:basedOn w:val="OPCParaBase"/>
    <w:next w:val="Normal"/>
    <w:rsid w:val="000C627D"/>
    <w:rPr>
      <w:b/>
      <w:sz w:val="28"/>
      <w:szCs w:val="28"/>
    </w:rPr>
  </w:style>
  <w:style w:type="paragraph" w:customStyle="1" w:styleId="CompiledActNo">
    <w:name w:val="CompiledActNo"/>
    <w:basedOn w:val="OPCParaBase"/>
    <w:next w:val="Normal"/>
    <w:rsid w:val="000C627D"/>
    <w:rPr>
      <w:b/>
      <w:sz w:val="24"/>
      <w:szCs w:val="24"/>
    </w:rPr>
  </w:style>
  <w:style w:type="paragraph" w:customStyle="1" w:styleId="ENotesText">
    <w:name w:val="ENotesText"/>
    <w:aliases w:val="Ent"/>
    <w:basedOn w:val="OPCParaBase"/>
    <w:next w:val="Normal"/>
    <w:rsid w:val="000C627D"/>
    <w:pPr>
      <w:spacing w:before="120"/>
    </w:pPr>
  </w:style>
  <w:style w:type="paragraph" w:customStyle="1" w:styleId="CompiledMadeUnder">
    <w:name w:val="CompiledMadeUnder"/>
    <w:basedOn w:val="OPCParaBase"/>
    <w:next w:val="Normal"/>
    <w:rsid w:val="000C627D"/>
    <w:rPr>
      <w:i/>
      <w:sz w:val="24"/>
      <w:szCs w:val="24"/>
    </w:rPr>
  </w:style>
  <w:style w:type="paragraph" w:customStyle="1" w:styleId="Paragraphsub-sub-sub">
    <w:name w:val="Paragraph(sub-sub-sub)"/>
    <w:aliases w:val="aaaa"/>
    <w:basedOn w:val="OPCParaBase"/>
    <w:rsid w:val="000C627D"/>
    <w:pPr>
      <w:tabs>
        <w:tab w:val="right" w:pos="3402"/>
      </w:tabs>
      <w:spacing w:before="40" w:line="240" w:lineRule="auto"/>
      <w:ind w:left="3402" w:hanging="3402"/>
    </w:pPr>
  </w:style>
  <w:style w:type="paragraph" w:customStyle="1" w:styleId="TableTextEndNotes">
    <w:name w:val="TableTextEndNotes"/>
    <w:aliases w:val="Tten"/>
    <w:basedOn w:val="Normal"/>
    <w:rsid w:val="000C627D"/>
    <w:pPr>
      <w:spacing w:before="60" w:line="240" w:lineRule="auto"/>
    </w:pPr>
    <w:rPr>
      <w:rFonts w:cs="Arial"/>
      <w:sz w:val="20"/>
      <w:szCs w:val="22"/>
    </w:rPr>
  </w:style>
  <w:style w:type="paragraph" w:customStyle="1" w:styleId="NoteToSubpara">
    <w:name w:val="NoteToSubpara"/>
    <w:aliases w:val="nts"/>
    <w:basedOn w:val="OPCParaBase"/>
    <w:rsid w:val="000C627D"/>
    <w:pPr>
      <w:spacing w:before="40" w:line="198" w:lineRule="exact"/>
      <w:ind w:left="2835" w:hanging="709"/>
    </w:pPr>
    <w:rPr>
      <w:sz w:val="18"/>
    </w:rPr>
  </w:style>
  <w:style w:type="paragraph" w:customStyle="1" w:styleId="ENoteTableHeading">
    <w:name w:val="ENoteTableHeading"/>
    <w:aliases w:val="enth"/>
    <w:basedOn w:val="OPCParaBase"/>
    <w:rsid w:val="000C627D"/>
    <w:pPr>
      <w:keepNext/>
      <w:spacing w:before="60" w:line="240" w:lineRule="atLeast"/>
    </w:pPr>
    <w:rPr>
      <w:rFonts w:ascii="Arial" w:hAnsi="Arial"/>
      <w:b/>
      <w:sz w:val="16"/>
    </w:rPr>
  </w:style>
  <w:style w:type="paragraph" w:customStyle="1" w:styleId="ENoteTTi">
    <w:name w:val="ENoteTTi"/>
    <w:aliases w:val="entti"/>
    <w:basedOn w:val="OPCParaBase"/>
    <w:rsid w:val="000C627D"/>
    <w:pPr>
      <w:keepNext/>
      <w:spacing w:before="60" w:line="240" w:lineRule="atLeast"/>
      <w:ind w:left="170"/>
    </w:pPr>
    <w:rPr>
      <w:sz w:val="16"/>
    </w:rPr>
  </w:style>
  <w:style w:type="paragraph" w:customStyle="1" w:styleId="ENotesHeading1">
    <w:name w:val="ENotesHeading 1"/>
    <w:aliases w:val="Enh1"/>
    <w:basedOn w:val="OPCParaBase"/>
    <w:next w:val="Normal"/>
    <w:rsid w:val="000C627D"/>
    <w:pPr>
      <w:spacing w:before="120"/>
      <w:outlineLvl w:val="1"/>
    </w:pPr>
    <w:rPr>
      <w:b/>
      <w:sz w:val="28"/>
      <w:szCs w:val="28"/>
    </w:rPr>
  </w:style>
  <w:style w:type="paragraph" w:customStyle="1" w:styleId="ENotesHeading2">
    <w:name w:val="ENotesHeading 2"/>
    <w:aliases w:val="Enh2"/>
    <w:basedOn w:val="OPCParaBase"/>
    <w:next w:val="Normal"/>
    <w:rsid w:val="000C627D"/>
    <w:pPr>
      <w:spacing w:before="120" w:after="120"/>
      <w:outlineLvl w:val="2"/>
    </w:pPr>
    <w:rPr>
      <w:b/>
      <w:sz w:val="24"/>
      <w:szCs w:val="28"/>
    </w:rPr>
  </w:style>
  <w:style w:type="paragraph" w:customStyle="1" w:styleId="ENoteTTIndentHeading">
    <w:name w:val="ENoteTTIndentHeading"/>
    <w:aliases w:val="enTTHi"/>
    <w:basedOn w:val="OPCParaBase"/>
    <w:rsid w:val="000C627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C627D"/>
    <w:pPr>
      <w:spacing w:before="60" w:line="240" w:lineRule="atLeast"/>
    </w:pPr>
    <w:rPr>
      <w:sz w:val="16"/>
    </w:rPr>
  </w:style>
  <w:style w:type="paragraph" w:customStyle="1" w:styleId="MadeunderText">
    <w:name w:val="MadeunderText"/>
    <w:basedOn w:val="OPCParaBase"/>
    <w:next w:val="CompiledMadeUnder"/>
    <w:rsid w:val="000C627D"/>
    <w:pPr>
      <w:spacing w:before="240"/>
    </w:pPr>
    <w:rPr>
      <w:sz w:val="24"/>
      <w:szCs w:val="24"/>
    </w:rPr>
  </w:style>
  <w:style w:type="paragraph" w:customStyle="1" w:styleId="ENotesHeading3">
    <w:name w:val="ENotesHeading 3"/>
    <w:aliases w:val="Enh3"/>
    <w:basedOn w:val="OPCParaBase"/>
    <w:next w:val="Normal"/>
    <w:rsid w:val="000C627D"/>
    <w:pPr>
      <w:keepNext/>
      <w:spacing w:before="120" w:line="240" w:lineRule="auto"/>
      <w:outlineLvl w:val="4"/>
    </w:pPr>
    <w:rPr>
      <w:b/>
      <w:szCs w:val="24"/>
    </w:rPr>
  </w:style>
  <w:style w:type="character" w:customStyle="1" w:styleId="CharSubPartTextCASA">
    <w:name w:val="CharSubPartText(CASA)"/>
    <w:basedOn w:val="OPCCharBase"/>
    <w:uiPriority w:val="1"/>
    <w:rsid w:val="000C627D"/>
  </w:style>
  <w:style w:type="character" w:customStyle="1" w:styleId="CharSubPartNoCASA">
    <w:name w:val="CharSubPartNo(CASA)"/>
    <w:basedOn w:val="OPCCharBase"/>
    <w:uiPriority w:val="1"/>
    <w:rsid w:val="000C627D"/>
  </w:style>
  <w:style w:type="paragraph" w:customStyle="1" w:styleId="ENoteTTIndentHeadingSub">
    <w:name w:val="ENoteTTIndentHeadingSub"/>
    <w:aliases w:val="enTTHis"/>
    <w:basedOn w:val="OPCParaBase"/>
    <w:rsid w:val="000C627D"/>
    <w:pPr>
      <w:keepNext/>
      <w:spacing w:before="60" w:line="240" w:lineRule="atLeast"/>
      <w:ind w:left="340"/>
    </w:pPr>
    <w:rPr>
      <w:b/>
      <w:sz w:val="16"/>
    </w:rPr>
  </w:style>
  <w:style w:type="paragraph" w:customStyle="1" w:styleId="ENoteTTiSub">
    <w:name w:val="ENoteTTiSub"/>
    <w:aliases w:val="enttis"/>
    <w:basedOn w:val="OPCParaBase"/>
    <w:rsid w:val="000C627D"/>
    <w:pPr>
      <w:keepNext/>
      <w:spacing w:before="60" w:line="240" w:lineRule="atLeast"/>
      <w:ind w:left="340"/>
    </w:pPr>
    <w:rPr>
      <w:sz w:val="16"/>
    </w:rPr>
  </w:style>
  <w:style w:type="paragraph" w:customStyle="1" w:styleId="SubDivisionMigration">
    <w:name w:val="SubDivisionMigration"/>
    <w:aliases w:val="sdm"/>
    <w:basedOn w:val="OPCParaBase"/>
    <w:rsid w:val="000C627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C627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C627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0C627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C627D"/>
    <w:rPr>
      <w:sz w:val="22"/>
    </w:rPr>
  </w:style>
  <w:style w:type="paragraph" w:customStyle="1" w:styleId="SOTextNote">
    <w:name w:val="SO TextNote"/>
    <w:aliases w:val="sont"/>
    <w:basedOn w:val="SOText"/>
    <w:qFormat/>
    <w:rsid w:val="000C627D"/>
    <w:pPr>
      <w:spacing w:before="122" w:line="198" w:lineRule="exact"/>
      <w:ind w:left="1843" w:hanging="709"/>
    </w:pPr>
    <w:rPr>
      <w:sz w:val="18"/>
    </w:rPr>
  </w:style>
  <w:style w:type="paragraph" w:customStyle="1" w:styleId="SOPara">
    <w:name w:val="SO Para"/>
    <w:aliases w:val="soa"/>
    <w:basedOn w:val="SOText"/>
    <w:link w:val="SOParaChar"/>
    <w:qFormat/>
    <w:rsid w:val="000C627D"/>
    <w:pPr>
      <w:tabs>
        <w:tab w:val="right" w:pos="1786"/>
      </w:tabs>
      <w:spacing w:before="40"/>
      <w:ind w:left="2070" w:hanging="936"/>
    </w:pPr>
  </w:style>
  <w:style w:type="character" w:customStyle="1" w:styleId="SOParaChar">
    <w:name w:val="SO Para Char"/>
    <w:aliases w:val="soa Char"/>
    <w:basedOn w:val="DefaultParagraphFont"/>
    <w:link w:val="SOPara"/>
    <w:rsid w:val="000C627D"/>
    <w:rPr>
      <w:sz w:val="22"/>
    </w:rPr>
  </w:style>
  <w:style w:type="paragraph" w:customStyle="1" w:styleId="FileName">
    <w:name w:val="FileName"/>
    <w:basedOn w:val="Normal"/>
    <w:rsid w:val="000C627D"/>
  </w:style>
  <w:style w:type="paragraph" w:customStyle="1" w:styleId="TableHeading">
    <w:name w:val="TableHeading"/>
    <w:aliases w:val="th"/>
    <w:basedOn w:val="OPCParaBase"/>
    <w:next w:val="Tabletext"/>
    <w:rsid w:val="000C627D"/>
    <w:pPr>
      <w:keepNext/>
      <w:spacing w:before="60" w:line="240" w:lineRule="atLeast"/>
    </w:pPr>
    <w:rPr>
      <w:b/>
      <w:sz w:val="20"/>
    </w:rPr>
  </w:style>
  <w:style w:type="paragraph" w:customStyle="1" w:styleId="SOHeadBold">
    <w:name w:val="SO HeadBold"/>
    <w:aliases w:val="sohb"/>
    <w:basedOn w:val="SOText"/>
    <w:next w:val="SOText"/>
    <w:link w:val="SOHeadBoldChar"/>
    <w:qFormat/>
    <w:rsid w:val="000C627D"/>
    <w:rPr>
      <w:b/>
    </w:rPr>
  </w:style>
  <w:style w:type="character" w:customStyle="1" w:styleId="SOHeadBoldChar">
    <w:name w:val="SO HeadBold Char"/>
    <w:aliases w:val="sohb Char"/>
    <w:basedOn w:val="DefaultParagraphFont"/>
    <w:link w:val="SOHeadBold"/>
    <w:rsid w:val="000C627D"/>
    <w:rPr>
      <w:b/>
      <w:sz w:val="22"/>
    </w:rPr>
  </w:style>
  <w:style w:type="paragraph" w:customStyle="1" w:styleId="SOHeadItalic">
    <w:name w:val="SO HeadItalic"/>
    <w:aliases w:val="sohi"/>
    <w:basedOn w:val="SOText"/>
    <w:next w:val="SOText"/>
    <w:link w:val="SOHeadItalicChar"/>
    <w:qFormat/>
    <w:rsid w:val="000C627D"/>
    <w:rPr>
      <w:i/>
    </w:rPr>
  </w:style>
  <w:style w:type="character" w:customStyle="1" w:styleId="SOHeadItalicChar">
    <w:name w:val="SO HeadItalic Char"/>
    <w:aliases w:val="sohi Char"/>
    <w:basedOn w:val="DefaultParagraphFont"/>
    <w:link w:val="SOHeadItalic"/>
    <w:rsid w:val="000C627D"/>
    <w:rPr>
      <w:i/>
      <w:sz w:val="22"/>
    </w:rPr>
  </w:style>
  <w:style w:type="paragraph" w:customStyle="1" w:styleId="SOBullet">
    <w:name w:val="SO Bullet"/>
    <w:aliases w:val="sotb"/>
    <w:basedOn w:val="SOText"/>
    <w:link w:val="SOBulletChar"/>
    <w:qFormat/>
    <w:rsid w:val="000C627D"/>
    <w:pPr>
      <w:ind w:left="1559" w:hanging="425"/>
    </w:pPr>
  </w:style>
  <w:style w:type="character" w:customStyle="1" w:styleId="SOBulletChar">
    <w:name w:val="SO Bullet Char"/>
    <w:aliases w:val="sotb Char"/>
    <w:basedOn w:val="DefaultParagraphFont"/>
    <w:link w:val="SOBullet"/>
    <w:rsid w:val="000C627D"/>
    <w:rPr>
      <w:sz w:val="22"/>
    </w:rPr>
  </w:style>
  <w:style w:type="paragraph" w:customStyle="1" w:styleId="SOBulletNote">
    <w:name w:val="SO BulletNote"/>
    <w:aliases w:val="sonb"/>
    <w:basedOn w:val="SOTextNote"/>
    <w:link w:val="SOBulletNoteChar"/>
    <w:qFormat/>
    <w:rsid w:val="000C627D"/>
    <w:pPr>
      <w:tabs>
        <w:tab w:val="left" w:pos="1560"/>
      </w:tabs>
      <w:ind w:left="2268" w:hanging="1134"/>
    </w:pPr>
  </w:style>
  <w:style w:type="character" w:customStyle="1" w:styleId="SOBulletNoteChar">
    <w:name w:val="SO BulletNote Char"/>
    <w:aliases w:val="sonb Char"/>
    <w:basedOn w:val="DefaultParagraphFont"/>
    <w:link w:val="SOBulletNote"/>
    <w:rsid w:val="000C627D"/>
    <w:rPr>
      <w:sz w:val="18"/>
    </w:rPr>
  </w:style>
  <w:style w:type="paragraph" w:customStyle="1" w:styleId="SOText2">
    <w:name w:val="SO Text2"/>
    <w:aliases w:val="sot2"/>
    <w:basedOn w:val="Normal"/>
    <w:next w:val="SOText"/>
    <w:link w:val="SOText2Char"/>
    <w:rsid w:val="000C627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C627D"/>
    <w:rPr>
      <w:sz w:val="22"/>
    </w:rPr>
  </w:style>
  <w:style w:type="paragraph" w:customStyle="1" w:styleId="SubPartCASA">
    <w:name w:val="SubPart(CASA)"/>
    <w:aliases w:val="csp"/>
    <w:basedOn w:val="OPCParaBase"/>
    <w:next w:val="ActHead3"/>
    <w:rsid w:val="000C627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C627D"/>
    <w:rPr>
      <w:rFonts w:eastAsia="Times New Roman" w:cs="Times New Roman"/>
      <w:sz w:val="22"/>
      <w:lang w:eastAsia="en-AU"/>
    </w:rPr>
  </w:style>
  <w:style w:type="character" w:customStyle="1" w:styleId="notetextChar">
    <w:name w:val="note(text) Char"/>
    <w:aliases w:val="n Char"/>
    <w:basedOn w:val="DefaultParagraphFont"/>
    <w:link w:val="notetext"/>
    <w:rsid w:val="000C627D"/>
    <w:rPr>
      <w:rFonts w:eastAsia="Times New Roman" w:cs="Times New Roman"/>
      <w:sz w:val="18"/>
      <w:lang w:eastAsia="en-AU"/>
    </w:rPr>
  </w:style>
  <w:style w:type="character" w:customStyle="1" w:styleId="Heading1Char">
    <w:name w:val="Heading 1 Char"/>
    <w:basedOn w:val="DefaultParagraphFont"/>
    <w:link w:val="Heading1"/>
    <w:uiPriority w:val="9"/>
    <w:rsid w:val="000C62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2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C627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C627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C627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C627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C627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C627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C627D"/>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A72257"/>
    <w:pPr>
      <w:spacing w:before="100" w:beforeAutospacing="1" w:after="100" w:afterAutospacing="1" w:line="240" w:lineRule="auto"/>
      <w:ind w:firstLine="480"/>
    </w:pPr>
    <w:rPr>
      <w:rFonts w:eastAsia="Times New Roman" w:cs="Times New Roman"/>
      <w:sz w:val="24"/>
      <w:szCs w:val="24"/>
      <w:lang w:eastAsia="en-AU"/>
    </w:rPr>
  </w:style>
  <w:style w:type="character" w:styleId="Hyperlink">
    <w:name w:val="Hyperlink"/>
    <w:basedOn w:val="DefaultParagraphFont"/>
    <w:uiPriority w:val="99"/>
    <w:semiHidden/>
    <w:unhideWhenUsed/>
    <w:rsid w:val="00ED369C"/>
    <w:rPr>
      <w:color w:val="0000FF"/>
      <w:u w:val="single"/>
    </w:rPr>
  </w:style>
  <w:style w:type="character" w:styleId="CommentReference">
    <w:name w:val="annotation reference"/>
    <w:basedOn w:val="DefaultParagraphFont"/>
    <w:uiPriority w:val="99"/>
    <w:semiHidden/>
    <w:unhideWhenUsed/>
    <w:rsid w:val="002565F2"/>
    <w:rPr>
      <w:sz w:val="16"/>
      <w:szCs w:val="16"/>
    </w:rPr>
  </w:style>
  <w:style w:type="paragraph" w:styleId="CommentText">
    <w:name w:val="annotation text"/>
    <w:basedOn w:val="Normal"/>
    <w:link w:val="CommentTextChar"/>
    <w:uiPriority w:val="99"/>
    <w:semiHidden/>
    <w:unhideWhenUsed/>
    <w:rsid w:val="002565F2"/>
    <w:pPr>
      <w:spacing w:line="240" w:lineRule="auto"/>
    </w:pPr>
    <w:rPr>
      <w:sz w:val="20"/>
    </w:rPr>
  </w:style>
  <w:style w:type="character" w:customStyle="1" w:styleId="CommentTextChar">
    <w:name w:val="Comment Text Char"/>
    <w:basedOn w:val="DefaultParagraphFont"/>
    <w:link w:val="CommentText"/>
    <w:uiPriority w:val="99"/>
    <w:semiHidden/>
    <w:rsid w:val="002565F2"/>
  </w:style>
  <w:style w:type="paragraph" w:styleId="CommentSubject">
    <w:name w:val="annotation subject"/>
    <w:basedOn w:val="CommentText"/>
    <w:next w:val="CommentText"/>
    <w:link w:val="CommentSubjectChar"/>
    <w:uiPriority w:val="99"/>
    <w:semiHidden/>
    <w:unhideWhenUsed/>
    <w:rsid w:val="002565F2"/>
    <w:rPr>
      <w:b/>
      <w:bCs/>
    </w:rPr>
  </w:style>
  <w:style w:type="character" w:customStyle="1" w:styleId="CommentSubjectChar">
    <w:name w:val="Comment Subject Char"/>
    <w:basedOn w:val="CommentTextChar"/>
    <w:link w:val="CommentSubject"/>
    <w:uiPriority w:val="99"/>
    <w:semiHidden/>
    <w:rsid w:val="002565F2"/>
    <w:rPr>
      <w:b/>
      <w:bCs/>
    </w:rPr>
  </w:style>
  <w:style w:type="paragraph" w:styleId="Revision">
    <w:name w:val="Revision"/>
    <w:hidden/>
    <w:uiPriority w:val="99"/>
    <w:semiHidden/>
    <w:rsid w:val="002565F2"/>
    <w:rPr>
      <w:sz w:val="22"/>
    </w:rPr>
  </w:style>
  <w:style w:type="numbering" w:customStyle="1" w:styleId="KeyPoints">
    <w:name w:val="Key Points"/>
    <w:basedOn w:val="NoList"/>
    <w:uiPriority w:val="99"/>
    <w:rsid w:val="008B608A"/>
    <w:pPr>
      <w:numPr>
        <w:numId w:val="13"/>
      </w:numPr>
    </w:pPr>
  </w:style>
  <w:style w:type="paragraph" w:styleId="ListNumber">
    <w:name w:val="List Number"/>
    <w:basedOn w:val="Normal"/>
    <w:uiPriority w:val="99"/>
    <w:qFormat/>
    <w:rsid w:val="008B608A"/>
    <w:pPr>
      <w:numPr>
        <w:numId w:val="14"/>
      </w:numPr>
      <w:spacing w:after="200" w:line="276" w:lineRule="auto"/>
    </w:pPr>
    <w:rPr>
      <w:rFonts w:ascii="Arial" w:eastAsia="Calibri" w:hAnsi="Arial" w:cs="Times New Roman"/>
      <w:szCs w:val="22"/>
    </w:rPr>
  </w:style>
  <w:style w:type="paragraph" w:styleId="ListNumber2">
    <w:name w:val="List Number 2"/>
    <w:basedOn w:val="Normal"/>
    <w:uiPriority w:val="99"/>
    <w:rsid w:val="008B608A"/>
    <w:pPr>
      <w:numPr>
        <w:ilvl w:val="1"/>
        <w:numId w:val="14"/>
      </w:numPr>
      <w:spacing w:after="200" w:line="276" w:lineRule="auto"/>
    </w:pPr>
    <w:rPr>
      <w:rFonts w:ascii="Arial" w:eastAsia="Calibri" w:hAnsi="Arial" w:cs="Times New Roman"/>
      <w:szCs w:val="22"/>
    </w:rPr>
  </w:style>
  <w:style w:type="paragraph" w:styleId="ListNumber3">
    <w:name w:val="List Number 3"/>
    <w:basedOn w:val="Normal"/>
    <w:uiPriority w:val="99"/>
    <w:rsid w:val="008B608A"/>
    <w:pPr>
      <w:numPr>
        <w:ilvl w:val="2"/>
        <w:numId w:val="14"/>
      </w:numPr>
      <w:spacing w:after="200" w:line="276" w:lineRule="auto"/>
    </w:pPr>
    <w:rPr>
      <w:rFonts w:ascii="Arial" w:eastAsia="Calibri" w:hAnsi="Arial" w:cs="Times New Roman"/>
      <w:szCs w:val="22"/>
    </w:rPr>
  </w:style>
  <w:style w:type="paragraph" w:styleId="ListNumber4">
    <w:name w:val="List Number 4"/>
    <w:basedOn w:val="Normal"/>
    <w:uiPriority w:val="99"/>
    <w:rsid w:val="008B608A"/>
    <w:pPr>
      <w:numPr>
        <w:ilvl w:val="3"/>
        <w:numId w:val="14"/>
      </w:numPr>
      <w:spacing w:after="200" w:line="276" w:lineRule="auto"/>
    </w:pPr>
    <w:rPr>
      <w:rFonts w:ascii="Arial" w:eastAsia="Calibri" w:hAnsi="Arial" w:cs="Times New Roman"/>
      <w:szCs w:val="22"/>
    </w:rPr>
  </w:style>
  <w:style w:type="paragraph" w:styleId="ListNumber5">
    <w:name w:val="List Number 5"/>
    <w:basedOn w:val="Normal"/>
    <w:uiPriority w:val="99"/>
    <w:rsid w:val="008B608A"/>
    <w:pPr>
      <w:numPr>
        <w:ilvl w:val="4"/>
        <w:numId w:val="14"/>
      </w:numPr>
      <w:spacing w:after="200" w:line="276" w:lineRule="auto"/>
    </w:pPr>
    <w:rPr>
      <w:rFonts w:ascii="Arial" w:eastAsia="Calibri" w:hAnsi="Arial" w:cs="Times New Roman"/>
      <w:szCs w:val="22"/>
    </w:rPr>
  </w:style>
  <w:style w:type="character" w:styleId="Strong">
    <w:name w:val="Strong"/>
    <w:basedOn w:val="DefaultParagraphFont"/>
    <w:uiPriority w:val="22"/>
    <w:qFormat/>
    <w:rsid w:val="00CC1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50959">
      <w:bodyDiv w:val="1"/>
      <w:marLeft w:val="0"/>
      <w:marRight w:val="0"/>
      <w:marTop w:val="30"/>
      <w:marBottom w:val="750"/>
      <w:divBdr>
        <w:top w:val="none" w:sz="0" w:space="0" w:color="auto"/>
        <w:left w:val="none" w:sz="0" w:space="0" w:color="auto"/>
        <w:bottom w:val="none" w:sz="0" w:space="0" w:color="auto"/>
        <w:right w:val="none" w:sz="0" w:space="0" w:color="auto"/>
      </w:divBdr>
      <w:divsChild>
        <w:div w:id="2116170438">
          <w:marLeft w:val="0"/>
          <w:marRight w:val="0"/>
          <w:marTop w:val="0"/>
          <w:marBottom w:val="0"/>
          <w:divBdr>
            <w:top w:val="none" w:sz="0" w:space="0" w:color="auto"/>
            <w:left w:val="none" w:sz="0" w:space="0" w:color="auto"/>
            <w:bottom w:val="none" w:sz="0" w:space="0" w:color="auto"/>
            <w:right w:val="none" w:sz="0" w:space="0" w:color="auto"/>
          </w:divBdr>
        </w:div>
      </w:divsChild>
    </w:div>
    <w:div w:id="655646833">
      <w:bodyDiv w:val="1"/>
      <w:marLeft w:val="0"/>
      <w:marRight w:val="0"/>
      <w:marTop w:val="30"/>
      <w:marBottom w:val="750"/>
      <w:divBdr>
        <w:top w:val="none" w:sz="0" w:space="0" w:color="auto"/>
        <w:left w:val="none" w:sz="0" w:space="0" w:color="auto"/>
        <w:bottom w:val="none" w:sz="0" w:space="0" w:color="auto"/>
        <w:right w:val="none" w:sz="0" w:space="0" w:color="auto"/>
      </w:divBdr>
      <w:divsChild>
        <w:div w:id="496269189">
          <w:marLeft w:val="0"/>
          <w:marRight w:val="0"/>
          <w:marTop w:val="0"/>
          <w:marBottom w:val="0"/>
          <w:divBdr>
            <w:top w:val="none" w:sz="0" w:space="0" w:color="auto"/>
            <w:left w:val="none" w:sz="0" w:space="0" w:color="auto"/>
            <w:bottom w:val="none" w:sz="0" w:space="0" w:color="auto"/>
            <w:right w:val="none" w:sz="0" w:space="0" w:color="auto"/>
          </w:divBdr>
        </w:div>
      </w:divsChild>
    </w:div>
    <w:div w:id="946887920">
      <w:bodyDiv w:val="1"/>
      <w:marLeft w:val="0"/>
      <w:marRight w:val="0"/>
      <w:marTop w:val="30"/>
      <w:marBottom w:val="750"/>
      <w:divBdr>
        <w:top w:val="none" w:sz="0" w:space="0" w:color="auto"/>
        <w:left w:val="none" w:sz="0" w:space="0" w:color="auto"/>
        <w:bottom w:val="none" w:sz="0" w:space="0" w:color="auto"/>
        <w:right w:val="none" w:sz="0" w:space="0" w:color="auto"/>
      </w:divBdr>
      <w:divsChild>
        <w:div w:id="119810484">
          <w:marLeft w:val="0"/>
          <w:marRight w:val="0"/>
          <w:marTop w:val="0"/>
          <w:marBottom w:val="0"/>
          <w:divBdr>
            <w:top w:val="none" w:sz="0" w:space="0" w:color="auto"/>
            <w:left w:val="none" w:sz="0" w:space="0" w:color="auto"/>
            <w:bottom w:val="none" w:sz="0" w:space="0" w:color="auto"/>
            <w:right w:val="none" w:sz="0" w:space="0" w:color="auto"/>
          </w:divBdr>
        </w:div>
      </w:divsChild>
    </w:div>
    <w:div w:id="1312825753">
      <w:bodyDiv w:val="1"/>
      <w:marLeft w:val="0"/>
      <w:marRight w:val="0"/>
      <w:marTop w:val="30"/>
      <w:marBottom w:val="750"/>
      <w:divBdr>
        <w:top w:val="none" w:sz="0" w:space="0" w:color="auto"/>
        <w:left w:val="none" w:sz="0" w:space="0" w:color="auto"/>
        <w:bottom w:val="none" w:sz="0" w:space="0" w:color="auto"/>
        <w:right w:val="none" w:sz="0" w:space="0" w:color="auto"/>
      </w:divBdr>
      <w:divsChild>
        <w:div w:id="1154838634">
          <w:marLeft w:val="0"/>
          <w:marRight w:val="0"/>
          <w:marTop w:val="0"/>
          <w:marBottom w:val="0"/>
          <w:divBdr>
            <w:top w:val="none" w:sz="0" w:space="0" w:color="auto"/>
            <w:left w:val="none" w:sz="0" w:space="0" w:color="auto"/>
            <w:bottom w:val="none" w:sz="0" w:space="0" w:color="auto"/>
            <w:right w:val="none" w:sz="0" w:space="0" w:color="auto"/>
          </w:divBdr>
          <w:divsChild>
            <w:div w:id="30227936">
              <w:marLeft w:val="0"/>
              <w:marRight w:val="0"/>
              <w:marTop w:val="0"/>
              <w:marBottom w:val="0"/>
              <w:divBdr>
                <w:top w:val="none" w:sz="0" w:space="0" w:color="auto"/>
                <w:left w:val="none" w:sz="0" w:space="0" w:color="auto"/>
                <w:bottom w:val="none" w:sz="0" w:space="0" w:color="auto"/>
                <w:right w:val="none" w:sz="0" w:space="0" w:color="auto"/>
              </w:divBdr>
              <w:divsChild>
                <w:div w:id="1385521722">
                  <w:marLeft w:val="0"/>
                  <w:marRight w:val="0"/>
                  <w:marTop w:val="0"/>
                  <w:marBottom w:val="0"/>
                  <w:divBdr>
                    <w:top w:val="none" w:sz="0" w:space="0" w:color="auto"/>
                    <w:left w:val="none" w:sz="0" w:space="0" w:color="auto"/>
                    <w:bottom w:val="none" w:sz="0" w:space="0" w:color="auto"/>
                    <w:right w:val="none" w:sz="0" w:space="0" w:color="auto"/>
                  </w:divBdr>
                </w:div>
                <w:div w:id="89381003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1422683522">
      <w:bodyDiv w:val="1"/>
      <w:marLeft w:val="0"/>
      <w:marRight w:val="0"/>
      <w:marTop w:val="30"/>
      <w:marBottom w:val="750"/>
      <w:divBdr>
        <w:top w:val="none" w:sz="0" w:space="0" w:color="auto"/>
        <w:left w:val="none" w:sz="0" w:space="0" w:color="auto"/>
        <w:bottom w:val="none" w:sz="0" w:space="0" w:color="auto"/>
        <w:right w:val="none" w:sz="0" w:space="0" w:color="auto"/>
      </w:divBdr>
      <w:divsChild>
        <w:div w:id="482508434">
          <w:marLeft w:val="0"/>
          <w:marRight w:val="0"/>
          <w:marTop w:val="0"/>
          <w:marBottom w:val="0"/>
          <w:divBdr>
            <w:top w:val="none" w:sz="0" w:space="0" w:color="auto"/>
            <w:left w:val="none" w:sz="0" w:space="0" w:color="auto"/>
            <w:bottom w:val="none" w:sz="0" w:space="0" w:color="auto"/>
            <w:right w:val="none" w:sz="0" w:space="0" w:color="auto"/>
          </w:divBdr>
        </w:div>
      </w:divsChild>
    </w:div>
    <w:div w:id="1695350867">
      <w:bodyDiv w:val="1"/>
      <w:marLeft w:val="0"/>
      <w:marRight w:val="0"/>
      <w:marTop w:val="30"/>
      <w:marBottom w:val="750"/>
      <w:divBdr>
        <w:top w:val="none" w:sz="0" w:space="0" w:color="auto"/>
        <w:left w:val="none" w:sz="0" w:space="0" w:color="auto"/>
        <w:bottom w:val="none" w:sz="0" w:space="0" w:color="auto"/>
        <w:right w:val="none" w:sz="0" w:space="0" w:color="auto"/>
      </w:divBdr>
      <w:divsChild>
        <w:div w:id="829176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10A24-69C6-4802-806E-2A56D954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39</Pages>
  <Words>9030</Words>
  <Characters>51476</Characters>
  <Application>Microsoft Office Word</Application>
  <DocSecurity>0</DocSecurity>
  <PresentationFormat/>
  <Lines>428</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2017-11-30T00:58:00Z</cp:lastPrinted>
  <dcterms:created xsi:type="dcterms:W3CDTF">2018-01-03T22:09:00Z</dcterms:created>
  <dcterms:modified xsi:type="dcterms:W3CDTF">2018-01-03T22:09:00Z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Product Emissions Standards Rules 2017</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OPC62495</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18 December 2017</vt:lpwstr>
  </property>
</Properties>
</file>