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DF" w:rsidRDefault="000A0326" w:rsidP="00BD35C4">
      <w:pPr>
        <w:pBdr>
          <w:top w:val="single" w:sz="8" w:space="24" w:color="auto"/>
        </w:pBd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AN ARRANGEMENT BETWEEN: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EXCELLENCY THE GOVER</w:t>
      </w:r>
      <w:r w:rsidR="0031671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OR-GENERAL OF THE COMMONWEALTH OF AUSTRALIA, acting with the advice of the Federal Executive Council</w:t>
      </w:r>
    </w:p>
    <w:p w:rsidR="000A0326" w:rsidRDefault="000A0326" w:rsidP="007D04B4">
      <w:pPr>
        <w:spacing w:before="360"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:rsidR="000A0326" w:rsidRDefault="00901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</w:t>
      </w:r>
      <w:r w:rsidR="000A0326">
        <w:rPr>
          <w:rFonts w:ascii="Times New Roman" w:hAnsi="Times New Roman" w:cs="Times New Roman"/>
        </w:rPr>
        <w:t xml:space="preserve"> EXCELLENCY THE GOVERNOR OF THE STATE OF </w:t>
      </w:r>
      <w:r w:rsidR="00DF6C83">
        <w:rPr>
          <w:rFonts w:ascii="Times New Roman" w:hAnsi="Times New Roman" w:cs="Times New Roman"/>
        </w:rPr>
        <w:t>TASMANIA</w:t>
      </w:r>
      <w:r w:rsidR="000A0326">
        <w:rPr>
          <w:rFonts w:ascii="Times New Roman" w:hAnsi="Times New Roman" w:cs="Times New Roman"/>
        </w:rPr>
        <w:t>, acting with the</w:t>
      </w:r>
      <w:r w:rsidR="007D04B4">
        <w:rPr>
          <w:rFonts w:ascii="Times New Roman" w:hAnsi="Times New Roman" w:cs="Times New Roman"/>
        </w:rPr>
        <w:t> </w:t>
      </w:r>
      <w:r w:rsidR="000A0326">
        <w:rPr>
          <w:rFonts w:ascii="Times New Roman" w:hAnsi="Times New Roman" w:cs="Times New Roman"/>
        </w:rPr>
        <w:t xml:space="preserve">advice of the </w:t>
      </w:r>
      <w:r w:rsidR="007D04B4">
        <w:rPr>
          <w:rFonts w:ascii="Times New Roman" w:hAnsi="Times New Roman" w:cs="Times New Roman"/>
        </w:rPr>
        <w:t>Executive Council</w:t>
      </w:r>
      <w:r w:rsidR="000A0326">
        <w:rPr>
          <w:rFonts w:ascii="Times New Roman" w:hAnsi="Times New Roman" w:cs="Times New Roman"/>
        </w:rPr>
        <w:t xml:space="preserve"> of that State.</w:t>
      </w:r>
    </w:p>
    <w:p w:rsidR="000A0326" w:rsidRDefault="000A0326" w:rsidP="007D04B4">
      <w:pPr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ARRANGED AS FOLLOWS:</w:t>
      </w:r>
    </w:p>
    <w:p w:rsidR="000A0326" w:rsidRPr="007A337B" w:rsidRDefault="000A0326" w:rsidP="000A0326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1</w:t>
      </w:r>
      <w:r w:rsidRPr="007A337B">
        <w:rPr>
          <w:rFonts w:ascii="Times New Roman" w:hAnsi="Times New Roman" w:cs="Times New Roman"/>
          <w:b/>
        </w:rPr>
        <w:tab/>
        <w:t>Title</w:t>
      </w:r>
    </w:p>
    <w:p w:rsidR="000A0326" w:rsidRDefault="000A0326" w:rsidP="000A0326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the </w:t>
      </w:r>
      <w:r w:rsidRPr="00905CA2">
        <w:rPr>
          <w:rFonts w:ascii="Times New Roman" w:hAnsi="Times New Roman" w:cs="Times New Roman"/>
          <w:i/>
        </w:rPr>
        <w:t>Marriage (</w:t>
      </w:r>
      <w:r w:rsidR="00DF6C83">
        <w:rPr>
          <w:rFonts w:ascii="Times New Roman" w:hAnsi="Times New Roman" w:cs="Times New Roman"/>
          <w:i/>
        </w:rPr>
        <w:t>Tasmania</w:t>
      </w:r>
      <w:r w:rsidRPr="00905CA2">
        <w:rPr>
          <w:rFonts w:ascii="Times New Roman" w:hAnsi="Times New Roman" w:cs="Times New Roman"/>
          <w:i/>
        </w:rPr>
        <w:t xml:space="preserve">) </w:t>
      </w:r>
      <w:r w:rsidR="00CC7295" w:rsidRPr="00905CA2">
        <w:rPr>
          <w:rFonts w:ascii="Times New Roman" w:hAnsi="Times New Roman" w:cs="Times New Roman"/>
          <w:i/>
        </w:rPr>
        <w:t>Arrangement 201</w:t>
      </w:r>
      <w:r w:rsidR="00C82D96" w:rsidRPr="00905CA2">
        <w:rPr>
          <w:rFonts w:ascii="Times New Roman" w:hAnsi="Times New Roman" w:cs="Times New Roman"/>
          <w:i/>
        </w:rPr>
        <w:t>7</w:t>
      </w:r>
      <w:r w:rsidR="00DF6C83">
        <w:rPr>
          <w:rFonts w:ascii="Times New Roman" w:hAnsi="Times New Roman" w:cs="Times New Roman"/>
          <w:i/>
        </w:rPr>
        <w:t>.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2</w:t>
      </w:r>
      <w:r w:rsidRPr="007A337B">
        <w:rPr>
          <w:rFonts w:ascii="Times New Roman" w:hAnsi="Times New Roman" w:cs="Times New Roman"/>
          <w:b/>
        </w:rPr>
        <w:tab/>
        <w:t>Commencement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arrangement commences on the day after the arrangement is registered.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3</w:t>
      </w:r>
      <w:r w:rsidRPr="007A337B">
        <w:rPr>
          <w:rFonts w:ascii="Times New Roman" w:hAnsi="Times New Roman" w:cs="Times New Roman"/>
          <w:b/>
        </w:rPr>
        <w:tab/>
        <w:t>Authority</w:t>
      </w:r>
    </w:p>
    <w:p w:rsidR="00CC7295" w:rsidRDefault="00CC7295" w:rsidP="00CC7295">
      <w:pPr>
        <w:tabs>
          <w:tab w:val="left" w:pos="284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made under subsection 9(1) of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4</w:t>
      </w:r>
      <w:r w:rsidRPr="007A337B">
        <w:rPr>
          <w:rFonts w:ascii="Times New Roman" w:hAnsi="Times New Roman" w:cs="Times New Roman"/>
          <w:b/>
        </w:rPr>
        <w:tab/>
        <w:t>Definitions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arrangement: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 w:rsidRPr="00CC7295">
        <w:rPr>
          <w:rFonts w:ascii="Times New Roman" w:hAnsi="Times New Roman" w:cs="Times New Roman"/>
          <w:b/>
          <w:i/>
        </w:rPr>
        <w:t>Act</w:t>
      </w:r>
      <w:r>
        <w:rPr>
          <w:rFonts w:ascii="Times New Roman" w:hAnsi="Times New Roman" w:cs="Times New Roman"/>
        </w:rPr>
        <w:t xml:space="preserve"> means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5</w:t>
      </w:r>
      <w:r w:rsidRPr="007A337B">
        <w:rPr>
          <w:rFonts w:ascii="Times New Roman" w:hAnsi="Times New Roman" w:cs="Times New Roman"/>
          <w:b/>
        </w:rPr>
        <w:tab/>
        <w:t xml:space="preserve">Arrangement with </w:t>
      </w:r>
      <w:r w:rsidR="00DF6C83">
        <w:rPr>
          <w:rFonts w:ascii="Times New Roman" w:hAnsi="Times New Roman" w:cs="Times New Roman"/>
          <w:b/>
        </w:rPr>
        <w:t>Tasmania</w:t>
      </w:r>
    </w:p>
    <w:p w:rsidR="000A0326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purposes of subsection 9(1) of the Act, the following arrangements are made: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7"/>
        <w:gridCol w:w="3432"/>
        <w:gridCol w:w="3822"/>
      </w:tblGrid>
      <w:tr w:rsidR="00F13675" w:rsidRPr="00F13675" w:rsidTr="00AD5283">
        <w:trPr>
          <w:cantSplit/>
          <w:tblHeader/>
        </w:trPr>
        <w:tc>
          <w:tcPr>
            <w:tcW w:w="9242" w:type="dxa"/>
            <w:gridSpan w:val="3"/>
            <w:tcBorders>
              <w:top w:val="single" w:sz="12" w:space="0" w:color="auto"/>
            </w:tcBorders>
          </w:tcPr>
          <w:p w:rsidR="00F13675" w:rsidRPr="00F13675" w:rsidRDefault="00F13675" w:rsidP="00DF6C83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Arrangements with </w:t>
            </w:r>
            <w:r w:rsidR="00DF6C83">
              <w:rPr>
                <w:rFonts w:ascii="Times New Roman" w:hAnsi="Times New Roman" w:cs="Times New Roman"/>
                <w:b/>
                <w:sz w:val="20"/>
                <w:szCs w:val="20"/>
              </w:rPr>
              <w:t>Tasmania</w:t>
            </w:r>
          </w:p>
        </w:tc>
      </w:tr>
      <w:tr w:rsidR="00F13675" w:rsidRPr="00F13675" w:rsidTr="00AD5283">
        <w:trPr>
          <w:cantSplit/>
          <w:tblHeader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2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3</w:t>
            </w:r>
          </w:p>
        </w:tc>
      </w:tr>
      <w:tr w:rsidR="00F13675" w:rsidRPr="00F13675" w:rsidTr="00AD5283">
        <w:trPr>
          <w:cantSplit/>
          <w:tblHeader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For the purposes of …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the arrangement is that …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9(1)(b) of the Act</w:t>
            </w:r>
          </w:p>
        </w:tc>
        <w:tc>
          <w:tcPr>
            <w:tcW w:w="4031" w:type="dxa"/>
            <w:tcBorders>
              <w:top w:val="single" w:sz="12" w:space="0" w:color="auto"/>
            </w:tcBorders>
          </w:tcPr>
          <w:p w:rsidR="00F13675" w:rsidRPr="00F13675" w:rsidRDefault="008D170A" w:rsidP="00DF6C8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persons who from time to time hold office as Judges of the Supreme Court of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Judge under sections 12, 16 and 17 of the Act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9(1)(c) of the Act</w:t>
            </w:r>
          </w:p>
        </w:tc>
        <w:tc>
          <w:tcPr>
            <w:tcW w:w="4031" w:type="dxa"/>
          </w:tcPr>
          <w:p w:rsidR="00F13675" w:rsidRPr="00F13675" w:rsidRDefault="008D170A" w:rsidP="007D04B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persons who from time to</w:t>
            </w:r>
            <w:r w:rsidR="000024E1">
              <w:rPr>
                <w:rFonts w:ascii="Times New Roman" w:hAnsi="Times New Roman" w:cs="Times New Roman"/>
                <w:sz w:val="20"/>
                <w:szCs w:val="20"/>
              </w:rPr>
              <w:t xml:space="preserve"> time hold office as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024E1">
              <w:rPr>
                <w:rFonts w:ascii="Times New Roman" w:hAnsi="Times New Roman" w:cs="Times New Roman"/>
                <w:sz w:val="20"/>
                <w:szCs w:val="20"/>
              </w:rPr>
              <w:t>agistrate</w:t>
            </w:r>
            <w:r w:rsidR="008357F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magistrate under</w:t>
            </w:r>
            <w:r w:rsidR="007D0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sections 12 and 16 of the Act</w:t>
            </w:r>
          </w:p>
        </w:tc>
      </w:tr>
      <w:tr w:rsidR="00F13675" w:rsidRPr="00F13675" w:rsidTr="007D04B4"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paragraph 9(1)(d) of the Act </w:t>
            </w:r>
          </w:p>
        </w:tc>
        <w:tc>
          <w:tcPr>
            <w:tcW w:w="4031" w:type="dxa"/>
          </w:tcPr>
          <w:p w:rsidR="00F13675" w:rsidRPr="00F13675" w:rsidRDefault="008D170A" w:rsidP="007D04B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</w:t>
            </w:r>
            <w:r w:rsidR="007D0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7D0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 authorised to solemnise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marriages by the person holding or acting in</w:t>
            </w:r>
            <w:r w:rsidR="007D0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 office of 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 xml:space="preserve"> Births, Deaths</w:t>
            </w:r>
            <w:r w:rsidR="007D04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>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9(1)(e) of the Act</w:t>
            </w:r>
          </w:p>
        </w:tc>
        <w:tc>
          <w:tcPr>
            <w:tcW w:w="4031" w:type="dxa"/>
          </w:tcPr>
          <w:p w:rsidR="00F13675" w:rsidRPr="00F13675" w:rsidRDefault="008D170A" w:rsidP="006432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for appointment as a prescribed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authority by the person holding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>Births, Deaths and Marriages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9(1)(f) of the Act</w:t>
            </w:r>
          </w:p>
        </w:tc>
        <w:tc>
          <w:tcPr>
            <w:tcW w:w="4031" w:type="dxa"/>
          </w:tcPr>
          <w:p w:rsidR="00F13675" w:rsidRPr="00F13675" w:rsidRDefault="00743DEF" w:rsidP="006432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person holding or acting in the office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appointed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 Registrar of Ministers of Religion for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under Subdivision A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Division 1 of Part IV of the Act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9(1)(g) of the Act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743DEF" w:rsidP="0064327D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person holding or acting in the office of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DF6C83">
              <w:rPr>
                <w:rFonts w:ascii="Times New Roman" w:hAnsi="Times New Roman" w:cs="Times New Roman"/>
                <w:sz w:val="20"/>
                <w:szCs w:val="20"/>
              </w:rPr>
              <w:t>Tasmania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</w:t>
            </w:r>
            <w:r w:rsidR="00C8765F">
              <w:rPr>
                <w:rFonts w:ascii="Times New Roman" w:hAnsi="Times New Roman" w:cs="Times New Roman"/>
                <w:sz w:val="20"/>
                <w:szCs w:val="20"/>
              </w:rPr>
              <w:t>authorised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an authorised officer for the</w:t>
            </w:r>
            <w:r w:rsidR="006432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purposes of section 51 of the Act</w:t>
            </w:r>
          </w:p>
        </w:tc>
      </w:tr>
    </w:tbl>
    <w:p w:rsidR="00F13675" w:rsidRDefault="00F13675" w:rsidP="00F13675">
      <w:pPr>
        <w:rPr>
          <w:rFonts w:ascii="Times New Roman" w:hAnsi="Times New Roman" w:cs="Times New Roman"/>
        </w:rPr>
      </w:pPr>
    </w:p>
    <w:p w:rsidR="00F13675" w:rsidRPr="007A337B" w:rsidRDefault="00F13675" w:rsidP="00F1367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6</w:t>
      </w:r>
      <w:r w:rsidRPr="007A337B">
        <w:rPr>
          <w:rFonts w:ascii="Times New Roman" w:hAnsi="Times New Roman" w:cs="Times New Roman"/>
          <w:b/>
        </w:rPr>
        <w:tab/>
        <w:t>Repeal of previous arrangements</w:t>
      </w:r>
    </w:p>
    <w:p w:rsidR="00F13675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arrangement with the State of </w:t>
      </w:r>
      <w:r w:rsidR="00DF6C83">
        <w:rPr>
          <w:rFonts w:ascii="Times New Roman" w:hAnsi="Times New Roman" w:cs="Times New Roman"/>
        </w:rPr>
        <w:t>Tasmania</w:t>
      </w:r>
      <w:r>
        <w:rPr>
          <w:rFonts w:ascii="Times New Roman" w:hAnsi="Times New Roman" w:cs="Times New Roman"/>
        </w:rPr>
        <w:t xml:space="preserve"> relating to section 9 or subsection 9(1) of the Act previously made is repealed.</w:t>
      </w:r>
    </w:p>
    <w:p w:rsidR="00AD5283" w:rsidRDefault="00AD5283" w:rsidP="00AD5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D5283" w:rsidRPr="0074332B" w:rsidRDefault="00AD5283" w:rsidP="00992A45">
      <w:pPr>
        <w:pBdr>
          <w:top w:val="single" w:sz="8" w:space="12" w:color="auto"/>
        </w:pBdr>
        <w:tabs>
          <w:tab w:val="left" w:pos="851"/>
        </w:tabs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lastRenderedPageBreak/>
        <w:t>Dated</w:t>
      </w:r>
      <w:r w:rsidRPr="0074332B">
        <w:rPr>
          <w:rFonts w:ascii="Times New Roman" w:hAnsi="Times New Roman" w:cs="Times New Roman"/>
        </w:rPr>
        <w:tab/>
      </w:r>
      <w:r w:rsidR="00992A45">
        <w:rPr>
          <w:rFonts w:ascii="Times New Roman" w:hAnsi="Times New Roman" w:cs="Times New Roman"/>
        </w:rPr>
        <w:t xml:space="preserve">16 October </w:t>
      </w:r>
      <w:r w:rsidRPr="0074332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</w:p>
    <w:p w:rsidR="00AD5283" w:rsidRPr="0074332B" w:rsidRDefault="00AD5283" w:rsidP="00AD5283">
      <w:pPr>
        <w:spacing w:before="1200"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Peter Cosgrove</w:t>
      </w:r>
    </w:p>
    <w:p w:rsidR="00AD5283" w:rsidRPr="0074332B" w:rsidRDefault="00AD5283" w:rsidP="00AD5283">
      <w:pPr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Governor-General</w:t>
      </w:r>
    </w:p>
    <w:p w:rsidR="00AD5283" w:rsidRPr="0074332B" w:rsidRDefault="00AD5283" w:rsidP="00AD5283">
      <w:pPr>
        <w:spacing w:before="36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By His Excellency’s Command</w:t>
      </w:r>
    </w:p>
    <w:p w:rsidR="00AD5283" w:rsidRPr="0074332B" w:rsidRDefault="00AD5283" w:rsidP="00AD5283">
      <w:pPr>
        <w:spacing w:before="108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George Brandis QC</w:t>
      </w:r>
    </w:p>
    <w:p w:rsidR="00AD5283" w:rsidRPr="0074332B" w:rsidRDefault="00AD5283" w:rsidP="00AD5283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Attorney-General of</w:t>
      </w:r>
    </w:p>
    <w:p w:rsidR="00AD5283" w:rsidRPr="0074332B" w:rsidRDefault="00AD5283" w:rsidP="00AD5283">
      <w:pPr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the Commonwealth of Australia</w:t>
      </w:r>
    </w:p>
    <w:p w:rsidR="00AD5283" w:rsidRPr="0074332B" w:rsidRDefault="00DF6C83" w:rsidP="00AD5283">
      <w:pPr>
        <w:spacing w:before="120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 Warner</w:t>
      </w:r>
      <w:r w:rsidR="00AD5283">
        <w:rPr>
          <w:rFonts w:ascii="Times New Roman" w:hAnsi="Times New Roman" w:cs="Times New Roman"/>
        </w:rPr>
        <w:t xml:space="preserve"> A</w:t>
      </w:r>
      <w:r w:rsidR="00620078">
        <w:rPr>
          <w:rFonts w:ascii="Times New Roman" w:hAnsi="Times New Roman" w:cs="Times New Roman"/>
        </w:rPr>
        <w:t>C</w:t>
      </w:r>
    </w:p>
    <w:p w:rsidR="00AD5283" w:rsidRPr="0074332B" w:rsidRDefault="00AD5283" w:rsidP="00AD5283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 of the</w:t>
      </w:r>
    </w:p>
    <w:p w:rsidR="00AD5283" w:rsidRPr="0074332B" w:rsidRDefault="00AD5283" w:rsidP="00AD5283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State of </w:t>
      </w:r>
      <w:r w:rsidR="00DF6C83">
        <w:rPr>
          <w:rFonts w:ascii="Times New Roman" w:hAnsi="Times New Roman" w:cs="Times New Roman"/>
        </w:rPr>
        <w:t>Tasmania</w:t>
      </w:r>
    </w:p>
    <w:p w:rsidR="00AD5283" w:rsidRPr="0074332B" w:rsidRDefault="00AD5283" w:rsidP="00AD5283">
      <w:pPr>
        <w:spacing w:before="84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By </w:t>
      </w:r>
      <w:r w:rsidR="00C82D96">
        <w:rPr>
          <w:rFonts w:ascii="Times New Roman" w:hAnsi="Times New Roman" w:cs="Times New Roman"/>
        </w:rPr>
        <w:t>Her</w:t>
      </w:r>
      <w:r w:rsidRPr="0074332B">
        <w:rPr>
          <w:rFonts w:ascii="Times New Roman" w:hAnsi="Times New Roman" w:cs="Times New Roman"/>
        </w:rPr>
        <w:t xml:space="preserve"> Excellency’s Command</w:t>
      </w:r>
    </w:p>
    <w:p w:rsidR="00AD5283" w:rsidRPr="0074332B" w:rsidRDefault="00DF6C83" w:rsidP="00AD5283">
      <w:pPr>
        <w:spacing w:before="13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Matthew Groom</w:t>
      </w:r>
      <w:r w:rsidR="00AD5283" w:rsidRPr="0074332B">
        <w:rPr>
          <w:rFonts w:ascii="Times New Roman" w:hAnsi="Times New Roman" w:cs="Times New Roman"/>
        </w:rPr>
        <w:t xml:space="preserve"> MP</w:t>
      </w:r>
    </w:p>
    <w:p w:rsidR="00AD5283" w:rsidRPr="0074332B" w:rsidRDefault="00DF6C83" w:rsidP="00AD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Acting </w:t>
      </w:r>
      <w:r w:rsidR="00AD5283" w:rsidRPr="0074332B">
        <w:rPr>
          <w:rFonts w:ascii="Times New Roman" w:hAnsi="Times New Roman" w:cs="Times New Roman"/>
        </w:rPr>
        <w:t>Attorney</w:t>
      </w:r>
      <w:r w:rsidR="00E6051A">
        <w:rPr>
          <w:rFonts w:ascii="Times New Roman" w:hAnsi="Times New Roman" w:cs="Times New Roman"/>
        </w:rPr>
        <w:t>-</w:t>
      </w:r>
      <w:r w:rsidR="00AD5283" w:rsidRPr="0074332B">
        <w:rPr>
          <w:rFonts w:ascii="Times New Roman" w:hAnsi="Times New Roman" w:cs="Times New Roman"/>
        </w:rPr>
        <w:t>General of</w:t>
      </w:r>
    </w:p>
    <w:p w:rsidR="00AD5283" w:rsidRPr="0074332B" w:rsidRDefault="00AD5283" w:rsidP="00AD5283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the State of </w:t>
      </w:r>
      <w:r w:rsidR="00DF6C83">
        <w:rPr>
          <w:rFonts w:ascii="Times New Roman" w:hAnsi="Times New Roman" w:cs="Times New Roman"/>
        </w:rPr>
        <w:t>Tasmania</w:t>
      </w:r>
    </w:p>
    <w:p w:rsidR="000A0326" w:rsidRPr="000A0326" w:rsidRDefault="000A0326">
      <w:pPr>
        <w:rPr>
          <w:rFonts w:ascii="Times New Roman" w:hAnsi="Times New Roman" w:cs="Times New Roman"/>
        </w:rPr>
      </w:pPr>
    </w:p>
    <w:sectPr w:rsidR="000A0326" w:rsidRPr="000A0326" w:rsidSect="007D04B4">
      <w:footerReference w:type="default" r:id="rId7"/>
      <w:pgSz w:w="11906" w:h="16838"/>
      <w:pgMar w:top="1560" w:right="17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C4" w:rsidRDefault="00BD35C4" w:rsidP="00BD35C4">
      <w:pPr>
        <w:spacing w:after="0" w:line="240" w:lineRule="auto"/>
      </w:pPr>
      <w:r>
        <w:separator/>
      </w:r>
    </w:p>
  </w:endnote>
  <w:endnote w:type="continuationSeparator" w:id="0">
    <w:p w:rsidR="00BD35C4" w:rsidRDefault="00BD35C4" w:rsidP="00B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036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:rsidR="00BD35C4" w:rsidRPr="00BD35C4" w:rsidRDefault="00BD35C4" w:rsidP="00BD35C4">
        <w:pPr>
          <w:pStyle w:val="Footer"/>
          <w:pBdr>
            <w:top w:val="single" w:sz="8" w:space="12" w:color="auto"/>
          </w:pBdr>
          <w:ind w:left="-284"/>
          <w:jc w:val="right"/>
          <w:rPr>
            <w:rFonts w:ascii="Times New Roman" w:hAnsi="Times New Roman" w:cs="Times New Roman"/>
            <w:i/>
          </w:rPr>
        </w:pPr>
        <w:r w:rsidRPr="00BD35C4">
          <w:rPr>
            <w:rFonts w:ascii="Times New Roman" w:hAnsi="Times New Roman" w:cs="Times New Roman"/>
            <w:i/>
          </w:rPr>
          <w:fldChar w:fldCharType="begin"/>
        </w:r>
        <w:r w:rsidRPr="00BD35C4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BD35C4">
          <w:rPr>
            <w:rFonts w:ascii="Times New Roman" w:hAnsi="Times New Roman" w:cs="Times New Roman"/>
            <w:i/>
          </w:rPr>
          <w:fldChar w:fldCharType="separate"/>
        </w:r>
        <w:r w:rsidR="007F24BC">
          <w:rPr>
            <w:rFonts w:ascii="Times New Roman" w:hAnsi="Times New Roman" w:cs="Times New Roman"/>
            <w:i/>
            <w:noProof/>
          </w:rPr>
          <w:t>1</w:t>
        </w:r>
        <w:r w:rsidRPr="00BD35C4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:rsidR="00BD35C4" w:rsidRDefault="00BD3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C4" w:rsidRDefault="00BD35C4" w:rsidP="00BD35C4">
      <w:pPr>
        <w:spacing w:after="0" w:line="240" w:lineRule="auto"/>
      </w:pPr>
      <w:r>
        <w:separator/>
      </w:r>
    </w:p>
  </w:footnote>
  <w:footnote w:type="continuationSeparator" w:id="0">
    <w:p w:rsidR="00BD35C4" w:rsidRDefault="00BD35C4" w:rsidP="00BD3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26"/>
    <w:rsid w:val="000024E1"/>
    <w:rsid w:val="000A0326"/>
    <w:rsid w:val="002B5331"/>
    <w:rsid w:val="0031671D"/>
    <w:rsid w:val="004B5ADF"/>
    <w:rsid w:val="00620078"/>
    <w:rsid w:val="0064327D"/>
    <w:rsid w:val="006753C4"/>
    <w:rsid w:val="006B722E"/>
    <w:rsid w:val="00743DEF"/>
    <w:rsid w:val="00784A69"/>
    <w:rsid w:val="007A337B"/>
    <w:rsid w:val="007D04B4"/>
    <w:rsid w:val="007F24BC"/>
    <w:rsid w:val="008357F4"/>
    <w:rsid w:val="008C585A"/>
    <w:rsid w:val="008D170A"/>
    <w:rsid w:val="008F2B07"/>
    <w:rsid w:val="00901476"/>
    <w:rsid w:val="00905CA2"/>
    <w:rsid w:val="0095106A"/>
    <w:rsid w:val="00992A45"/>
    <w:rsid w:val="00A25F13"/>
    <w:rsid w:val="00A71BDD"/>
    <w:rsid w:val="00AD5283"/>
    <w:rsid w:val="00AE3929"/>
    <w:rsid w:val="00B565CD"/>
    <w:rsid w:val="00BD35C4"/>
    <w:rsid w:val="00C82D96"/>
    <w:rsid w:val="00C8765F"/>
    <w:rsid w:val="00CC7295"/>
    <w:rsid w:val="00DD7766"/>
    <w:rsid w:val="00DF6C83"/>
    <w:rsid w:val="00E26510"/>
    <w:rsid w:val="00E6051A"/>
    <w:rsid w:val="00F13675"/>
    <w:rsid w:val="00F5775B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C4"/>
  </w:style>
  <w:style w:type="paragraph" w:styleId="Footer">
    <w:name w:val="footer"/>
    <w:basedOn w:val="Normal"/>
    <w:link w:val="Foot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C4"/>
  </w:style>
  <w:style w:type="paragraph" w:styleId="BalloonText">
    <w:name w:val="Balloon Text"/>
    <w:basedOn w:val="Normal"/>
    <w:link w:val="BalloonTextChar"/>
    <w:uiPriority w:val="99"/>
    <w:semiHidden/>
    <w:unhideWhenUsed/>
    <w:rsid w:val="00B5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C4"/>
  </w:style>
  <w:style w:type="paragraph" w:styleId="Footer">
    <w:name w:val="footer"/>
    <w:basedOn w:val="Normal"/>
    <w:link w:val="Foot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C4"/>
  </w:style>
  <w:style w:type="paragraph" w:styleId="BalloonText">
    <w:name w:val="Balloon Text"/>
    <w:basedOn w:val="Normal"/>
    <w:link w:val="BalloonTextChar"/>
    <w:uiPriority w:val="99"/>
    <w:semiHidden/>
    <w:unhideWhenUsed/>
    <w:rsid w:val="00B5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2145</Characters>
  <Application>Microsoft Office Word</Application>
  <DocSecurity>4</DocSecurity>
  <Lines>153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Conduit, Nikki</cp:lastModifiedBy>
  <cp:revision>2</cp:revision>
  <cp:lastPrinted>2017-10-18T23:50:00Z</cp:lastPrinted>
  <dcterms:created xsi:type="dcterms:W3CDTF">2017-10-20T00:16:00Z</dcterms:created>
  <dcterms:modified xsi:type="dcterms:W3CDTF">2017-10-20T00:16:00Z</dcterms:modified>
</cp:coreProperties>
</file>