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B1" w:rsidRPr="00937E39" w:rsidRDefault="00CD57B1" w:rsidP="00CD57B1">
      <w:pPr>
        <w:pStyle w:val="BodyText"/>
        <w:keepNext/>
        <w:keepLines/>
        <w:spacing w:before="0" w:after="0"/>
        <w:rPr>
          <w:iCs/>
        </w:rPr>
      </w:pPr>
      <w:bookmarkStart w:id="0" w:name="_GoBack"/>
      <w:bookmarkEnd w:id="0"/>
      <w:r w:rsidRPr="00937E39">
        <w:rPr>
          <w:iCs/>
        </w:rPr>
        <w:t>EXPLANATORY STATEMENT</w:t>
      </w:r>
    </w:p>
    <w:p w:rsidR="00CD57B1" w:rsidRPr="00937E39" w:rsidRDefault="00CD57B1" w:rsidP="00CD57B1">
      <w:pPr>
        <w:pStyle w:val="BodyText"/>
        <w:keepNext/>
        <w:keepLines/>
        <w:spacing w:before="0" w:after="0"/>
        <w:rPr>
          <w:iCs/>
        </w:rPr>
      </w:pPr>
    </w:p>
    <w:p w:rsidR="00991D77" w:rsidRPr="00937E39" w:rsidRDefault="00991D77" w:rsidP="00CD57B1">
      <w:pPr>
        <w:pStyle w:val="BodyText"/>
        <w:keepNext/>
        <w:keepLines/>
        <w:spacing w:after="0"/>
        <w:rPr>
          <w:b w:val="0"/>
          <w:iCs/>
        </w:rPr>
      </w:pPr>
      <w:r w:rsidRPr="00937E39">
        <w:rPr>
          <w:b w:val="0"/>
          <w:iCs/>
        </w:rPr>
        <w:t>Issued by the authority of the Minister for Social Services</w:t>
      </w:r>
    </w:p>
    <w:p w:rsidR="00991D77" w:rsidRPr="00937E39" w:rsidRDefault="00991D77" w:rsidP="00CD57B1">
      <w:pPr>
        <w:pStyle w:val="BodyText"/>
        <w:keepNext/>
        <w:keepLines/>
        <w:spacing w:after="0"/>
        <w:rPr>
          <w:b w:val="0"/>
          <w:iCs/>
        </w:rPr>
      </w:pPr>
    </w:p>
    <w:p w:rsidR="00991D77" w:rsidRPr="00937E39" w:rsidRDefault="00991D77" w:rsidP="00CD57B1">
      <w:pPr>
        <w:pStyle w:val="BodyText"/>
        <w:keepNext/>
        <w:keepLines/>
        <w:spacing w:after="0"/>
        <w:rPr>
          <w:b w:val="0"/>
          <w:i/>
          <w:iCs/>
        </w:rPr>
      </w:pPr>
      <w:r w:rsidRPr="00937E39">
        <w:rPr>
          <w:b w:val="0"/>
          <w:i/>
          <w:iCs/>
        </w:rPr>
        <w:t>Social Security (Administration) Act 1999</w:t>
      </w:r>
    </w:p>
    <w:p w:rsidR="00991D77" w:rsidRPr="00937E39" w:rsidRDefault="00991D77" w:rsidP="00CD57B1">
      <w:pPr>
        <w:pStyle w:val="BodyText"/>
        <w:keepNext/>
        <w:keepLines/>
        <w:spacing w:after="0"/>
        <w:rPr>
          <w:i/>
          <w:iCs/>
        </w:rPr>
      </w:pPr>
    </w:p>
    <w:p w:rsidR="00CD57B1" w:rsidRPr="00937E39" w:rsidRDefault="00CD57B1" w:rsidP="00CD57B1">
      <w:pPr>
        <w:pStyle w:val="BodyText"/>
        <w:keepNext/>
        <w:keepLines/>
        <w:spacing w:after="0"/>
        <w:rPr>
          <w:b w:val="0"/>
          <w:iCs/>
        </w:rPr>
      </w:pPr>
      <w:r w:rsidRPr="00937E39">
        <w:rPr>
          <w:b w:val="0"/>
          <w:iCs/>
        </w:rPr>
        <w:t>Social Security (</w:t>
      </w:r>
      <w:r w:rsidR="00202B32" w:rsidRPr="00937E39">
        <w:rPr>
          <w:b w:val="0"/>
          <w:iCs/>
        </w:rPr>
        <w:t>Obtaining Information to Verify Claims – Income Stream Recipients</w:t>
      </w:r>
      <w:r w:rsidRPr="00937E39">
        <w:rPr>
          <w:b w:val="0"/>
          <w:iCs/>
        </w:rPr>
        <w:t xml:space="preserve">) </w:t>
      </w:r>
      <w:r w:rsidR="00202B32" w:rsidRPr="00937E39">
        <w:rPr>
          <w:b w:val="0"/>
          <w:iCs/>
        </w:rPr>
        <w:t>Specification</w:t>
      </w:r>
      <w:r w:rsidRPr="00937E39">
        <w:rPr>
          <w:b w:val="0"/>
          <w:iCs/>
        </w:rPr>
        <w:t xml:space="preserve"> 2017</w:t>
      </w:r>
    </w:p>
    <w:p w:rsidR="00CD57B1" w:rsidRPr="00937E39" w:rsidRDefault="00CD57B1" w:rsidP="00CD57B1">
      <w:pPr>
        <w:keepNext/>
        <w:keepLines/>
        <w:spacing w:before="0" w:after="0"/>
        <w:jc w:val="both"/>
        <w:outlineLvl w:val="0"/>
        <w:rPr>
          <w:b/>
        </w:rPr>
      </w:pPr>
    </w:p>
    <w:p w:rsidR="00CD57B1" w:rsidRPr="00937E39" w:rsidRDefault="00CD57B1" w:rsidP="00CD57B1">
      <w:pPr>
        <w:keepNext/>
        <w:keepLines/>
        <w:spacing w:after="0"/>
        <w:jc w:val="both"/>
        <w:outlineLvl w:val="0"/>
        <w:rPr>
          <w:b/>
        </w:rPr>
      </w:pPr>
      <w:r w:rsidRPr="00937E39">
        <w:rPr>
          <w:b/>
        </w:rPr>
        <w:t>Summary</w:t>
      </w:r>
    </w:p>
    <w:p w:rsidR="00CD57B1" w:rsidRPr="00937E39" w:rsidRDefault="00CD57B1" w:rsidP="00CD57B1">
      <w:pPr>
        <w:keepNext/>
        <w:keepLines/>
        <w:spacing w:before="0" w:after="0"/>
        <w:jc w:val="both"/>
        <w:outlineLvl w:val="0"/>
        <w:rPr>
          <w:b/>
        </w:rPr>
      </w:pPr>
    </w:p>
    <w:p w:rsidR="00D856E7" w:rsidRPr="00937E39" w:rsidRDefault="00D856E7" w:rsidP="00D856E7">
      <w:pPr>
        <w:pStyle w:val="BodyText"/>
        <w:keepNext/>
        <w:keepLines/>
        <w:spacing w:after="0"/>
        <w:jc w:val="left"/>
        <w:rPr>
          <w:b w:val="0"/>
        </w:rPr>
      </w:pPr>
      <w:r w:rsidRPr="00937E39">
        <w:rPr>
          <w:b w:val="0"/>
        </w:rPr>
        <w:t xml:space="preserve">The </w:t>
      </w:r>
      <w:r w:rsidRPr="00937E39">
        <w:rPr>
          <w:b w:val="0"/>
          <w:i/>
          <w:iCs/>
        </w:rPr>
        <w:t>Social Security (Obtaining Information to Verify Claims – Income Stream Recipients) Specification 2017</w:t>
      </w:r>
      <w:r w:rsidRPr="00937E39">
        <w:rPr>
          <w:b w:val="0"/>
          <w:iCs/>
        </w:rPr>
        <w:t xml:space="preserve"> is a legislative instrument made under subs</w:t>
      </w:r>
      <w:r w:rsidR="00CD57B1" w:rsidRPr="00937E39">
        <w:rPr>
          <w:b w:val="0"/>
        </w:rPr>
        <w:t xml:space="preserve">ection </w:t>
      </w:r>
      <w:r w:rsidR="00202B32" w:rsidRPr="00937E39">
        <w:rPr>
          <w:b w:val="0"/>
        </w:rPr>
        <w:t>195(3</w:t>
      </w:r>
      <w:r w:rsidR="00CD57B1" w:rsidRPr="00937E39">
        <w:rPr>
          <w:b w:val="0"/>
        </w:rPr>
        <w:t>A</w:t>
      </w:r>
      <w:r w:rsidR="00202B32" w:rsidRPr="00937E39">
        <w:rPr>
          <w:b w:val="0"/>
        </w:rPr>
        <w:t>)</w:t>
      </w:r>
      <w:r w:rsidR="00CD57B1" w:rsidRPr="00937E39">
        <w:rPr>
          <w:b w:val="0"/>
        </w:rPr>
        <w:t xml:space="preserve"> of the </w:t>
      </w:r>
      <w:r w:rsidR="00CD57B1" w:rsidRPr="00937E39">
        <w:rPr>
          <w:b w:val="0"/>
          <w:i/>
        </w:rPr>
        <w:t>Social Security</w:t>
      </w:r>
      <w:r w:rsidR="00202B32" w:rsidRPr="00937E39">
        <w:rPr>
          <w:b w:val="0"/>
          <w:i/>
        </w:rPr>
        <w:t xml:space="preserve"> (Administration)</w:t>
      </w:r>
      <w:r w:rsidR="00CD57B1" w:rsidRPr="00937E39">
        <w:rPr>
          <w:b w:val="0"/>
          <w:i/>
        </w:rPr>
        <w:t xml:space="preserve"> Act 199</w:t>
      </w:r>
      <w:r w:rsidR="00202B32" w:rsidRPr="00937E39">
        <w:rPr>
          <w:b w:val="0"/>
          <w:i/>
        </w:rPr>
        <w:t>9</w:t>
      </w:r>
      <w:r w:rsidR="00CD57B1" w:rsidRPr="00937E39">
        <w:rPr>
          <w:b w:val="0"/>
          <w:i/>
        </w:rPr>
        <w:t xml:space="preserve"> </w:t>
      </w:r>
      <w:r w:rsidRPr="00937E39">
        <w:rPr>
          <w:b w:val="0"/>
        </w:rPr>
        <w:t>(the Act</w:t>
      </w:r>
      <w:r w:rsidR="00C42530" w:rsidRPr="00937E39">
        <w:rPr>
          <w:b w:val="0"/>
        </w:rPr>
        <w:t>)</w:t>
      </w:r>
      <w:r w:rsidRPr="00937E39">
        <w:rPr>
          <w:b w:val="0"/>
        </w:rPr>
        <w:t>.</w:t>
      </w:r>
    </w:p>
    <w:p w:rsidR="00D856E7" w:rsidRPr="00937E39" w:rsidRDefault="00D856E7" w:rsidP="00D856E7">
      <w:pPr>
        <w:pStyle w:val="BodyText"/>
        <w:keepNext/>
        <w:keepLines/>
        <w:spacing w:after="0"/>
        <w:jc w:val="left"/>
        <w:rPr>
          <w:b w:val="0"/>
        </w:rPr>
      </w:pPr>
    </w:p>
    <w:p w:rsidR="00CD57B1" w:rsidRPr="00937E39" w:rsidRDefault="00D856E7" w:rsidP="00D856E7">
      <w:pPr>
        <w:pStyle w:val="BodyText"/>
        <w:keepNext/>
        <w:keepLines/>
        <w:spacing w:after="0"/>
        <w:jc w:val="left"/>
        <w:rPr>
          <w:b w:val="0"/>
        </w:rPr>
      </w:pPr>
      <w:r w:rsidRPr="00937E39">
        <w:rPr>
          <w:b w:val="0"/>
        </w:rPr>
        <w:t xml:space="preserve">The purpose of the legislative instrument is to allow </w:t>
      </w:r>
      <w:r w:rsidR="00CD57B1" w:rsidRPr="00937E39">
        <w:rPr>
          <w:b w:val="0"/>
        </w:rPr>
        <w:t xml:space="preserve">the Minister to </w:t>
      </w:r>
      <w:r w:rsidR="00202B32" w:rsidRPr="00937E39">
        <w:rPr>
          <w:b w:val="0"/>
        </w:rPr>
        <w:t>specify</w:t>
      </w:r>
      <w:r w:rsidRPr="00937E39">
        <w:rPr>
          <w:b w:val="0"/>
        </w:rPr>
        <w:t xml:space="preserve"> </w:t>
      </w:r>
      <w:r w:rsidR="00202B32" w:rsidRPr="00937E39">
        <w:rPr>
          <w:b w:val="0"/>
        </w:rPr>
        <w:t>information required to be given in relation to an income stream received by a person</w:t>
      </w:r>
      <w:r w:rsidR="00CD57B1" w:rsidRPr="00937E39">
        <w:rPr>
          <w:b w:val="0"/>
        </w:rPr>
        <w:t>.</w:t>
      </w:r>
    </w:p>
    <w:p w:rsidR="00D856E7" w:rsidRPr="00937E39" w:rsidRDefault="00D856E7" w:rsidP="00D856E7">
      <w:pPr>
        <w:pStyle w:val="BodyText"/>
        <w:keepNext/>
        <w:keepLines/>
        <w:spacing w:after="0"/>
        <w:jc w:val="left"/>
        <w:rPr>
          <w:b w:val="0"/>
        </w:rPr>
      </w:pPr>
    </w:p>
    <w:p w:rsidR="00D856E7" w:rsidRPr="00937E39" w:rsidRDefault="00D75549" w:rsidP="00D856E7">
      <w:pPr>
        <w:pStyle w:val="BodyText"/>
        <w:keepNext/>
        <w:keepLines/>
        <w:spacing w:after="0"/>
        <w:jc w:val="left"/>
        <w:rPr>
          <w:b w:val="0"/>
        </w:rPr>
      </w:pPr>
      <w:r w:rsidRPr="00937E39">
        <w:t>Background</w:t>
      </w:r>
    </w:p>
    <w:p w:rsidR="00D75549" w:rsidRPr="00937E39" w:rsidRDefault="00D75549" w:rsidP="00D856E7">
      <w:pPr>
        <w:pStyle w:val="BodyText"/>
        <w:keepNext/>
        <w:keepLines/>
        <w:spacing w:after="0"/>
        <w:jc w:val="left"/>
        <w:rPr>
          <w:b w:val="0"/>
        </w:rPr>
      </w:pPr>
    </w:p>
    <w:p w:rsidR="00D75549" w:rsidRPr="00937E39" w:rsidRDefault="00D75549" w:rsidP="00D75549">
      <w:pPr>
        <w:rPr>
          <w:szCs w:val="24"/>
        </w:rPr>
      </w:pPr>
      <w:r w:rsidRPr="00937E39">
        <w:rPr>
          <w:szCs w:val="24"/>
        </w:rPr>
        <w:t xml:space="preserve">Subsection </w:t>
      </w:r>
      <w:r w:rsidR="002027C0" w:rsidRPr="00937E39">
        <w:rPr>
          <w:szCs w:val="24"/>
        </w:rPr>
        <w:t>195(3A)</w:t>
      </w:r>
      <w:r w:rsidRPr="00937E39">
        <w:rPr>
          <w:szCs w:val="24"/>
        </w:rPr>
        <w:t xml:space="preserve"> of the Act provides that the</w:t>
      </w:r>
      <w:r w:rsidR="002027C0" w:rsidRPr="00937E39">
        <w:rPr>
          <w:szCs w:val="24"/>
        </w:rPr>
        <w:t xml:space="preserve"> Minister may specify information required to be given at the request of the </w:t>
      </w:r>
      <w:r w:rsidRPr="00937E39">
        <w:rPr>
          <w:szCs w:val="24"/>
        </w:rPr>
        <w:t xml:space="preserve">Secretary </w:t>
      </w:r>
      <w:r w:rsidR="002027C0" w:rsidRPr="00937E39">
        <w:rPr>
          <w:szCs w:val="24"/>
        </w:rPr>
        <w:t>in relation to an income stream received by a person.</w:t>
      </w:r>
    </w:p>
    <w:p w:rsidR="00D75549" w:rsidRPr="00937E39" w:rsidRDefault="00D75549" w:rsidP="00D75549">
      <w:pPr>
        <w:rPr>
          <w:szCs w:val="24"/>
        </w:rPr>
      </w:pPr>
      <w:r w:rsidRPr="00937E39">
        <w:rPr>
          <w:szCs w:val="24"/>
        </w:rPr>
        <w:t xml:space="preserve">The purpose of this instrument is to specify </w:t>
      </w:r>
      <w:r w:rsidR="006A5BE4" w:rsidRPr="00937E39">
        <w:rPr>
          <w:szCs w:val="24"/>
        </w:rPr>
        <w:t xml:space="preserve">further </w:t>
      </w:r>
      <w:r w:rsidR="002027C0" w:rsidRPr="00937E39">
        <w:rPr>
          <w:szCs w:val="24"/>
        </w:rPr>
        <w:t>information that the Secretary can request from a person in relation to an income stream received by the person</w:t>
      </w:r>
      <w:r w:rsidR="006A5BE4" w:rsidRPr="00937E39">
        <w:rPr>
          <w:szCs w:val="24"/>
        </w:rPr>
        <w:t>, which is not already listed in paragraph 195(2)(ja)</w:t>
      </w:r>
      <w:r w:rsidR="002027C0" w:rsidRPr="00937E39">
        <w:rPr>
          <w:szCs w:val="24"/>
        </w:rPr>
        <w:t xml:space="preserve">. </w:t>
      </w:r>
    </w:p>
    <w:p w:rsidR="002027C0" w:rsidRPr="00937E39" w:rsidRDefault="002027C0" w:rsidP="002027C0">
      <w:pPr>
        <w:pStyle w:val="base-text-paragraph"/>
        <w:numPr>
          <w:ilvl w:val="0"/>
          <w:numId w:val="0"/>
        </w:numPr>
        <w:tabs>
          <w:tab w:val="left" w:pos="720"/>
        </w:tabs>
        <w:rPr>
          <w:sz w:val="24"/>
          <w:szCs w:val="24"/>
        </w:rPr>
      </w:pPr>
      <w:r w:rsidRPr="00937E39">
        <w:rPr>
          <w:sz w:val="24"/>
          <w:szCs w:val="24"/>
        </w:rPr>
        <w:t>Section 195 of the Act sets out when the Secretary may require a person to give information about a class of persons to the Department for various purposes. Subsection 195(2) sets out the types of information that the Secretary may require about each person in the class of persons.</w:t>
      </w:r>
      <w:r w:rsidR="00C42530" w:rsidRPr="00937E39">
        <w:rPr>
          <w:sz w:val="24"/>
          <w:szCs w:val="24"/>
        </w:rPr>
        <w:t xml:space="preserve"> </w:t>
      </w:r>
      <w:r w:rsidRPr="00937E39">
        <w:rPr>
          <w:sz w:val="24"/>
          <w:szCs w:val="24"/>
        </w:rPr>
        <w:t>Recently amended paragraph 195(2)(ja) provides that the Secretary may require information in relation to income stream payments.</w:t>
      </w:r>
    </w:p>
    <w:p w:rsidR="002027C0" w:rsidRPr="00937E39" w:rsidRDefault="002027C0" w:rsidP="002027C0">
      <w:pPr>
        <w:pStyle w:val="base-text-paragraph"/>
        <w:numPr>
          <w:ilvl w:val="0"/>
          <w:numId w:val="0"/>
        </w:numPr>
        <w:tabs>
          <w:tab w:val="left" w:pos="720"/>
        </w:tabs>
        <w:rPr>
          <w:sz w:val="24"/>
          <w:szCs w:val="24"/>
        </w:rPr>
      </w:pPr>
      <w:r w:rsidRPr="00937E39">
        <w:rPr>
          <w:sz w:val="24"/>
          <w:szCs w:val="24"/>
        </w:rPr>
        <w:t xml:space="preserve">The recent amendments to section 195 of the Act are expected to create cost savings by reducing regulatory and compliance costs, and improving the efficiency </w:t>
      </w:r>
      <w:r w:rsidR="00BD5F93" w:rsidRPr="00937E39">
        <w:rPr>
          <w:sz w:val="24"/>
          <w:szCs w:val="24"/>
        </w:rPr>
        <w:t>of the</w:t>
      </w:r>
      <w:r w:rsidR="00662DA9" w:rsidRPr="00937E39">
        <w:rPr>
          <w:sz w:val="24"/>
          <w:szCs w:val="24"/>
        </w:rPr>
        <w:t xml:space="preserve"> Department of Human Services’ (</w:t>
      </w:r>
      <w:r w:rsidRPr="00937E39">
        <w:rPr>
          <w:sz w:val="24"/>
          <w:szCs w:val="24"/>
        </w:rPr>
        <w:t>DHS</w:t>
      </w:r>
      <w:r w:rsidR="00662DA9" w:rsidRPr="00937E39">
        <w:rPr>
          <w:sz w:val="24"/>
          <w:szCs w:val="24"/>
        </w:rPr>
        <w:t>)</w:t>
      </w:r>
      <w:r w:rsidRPr="00937E39">
        <w:rPr>
          <w:sz w:val="24"/>
          <w:szCs w:val="24"/>
        </w:rPr>
        <w:t xml:space="preserve"> service delivery. It is also expected that the amendments will improve the accuracy of income support payments and reduce customer debts that arise when a customer fails to inform DHS of changes to their income streams, or when they do not inform DHS that they have commenced receiving an income stream payment.</w:t>
      </w:r>
    </w:p>
    <w:p w:rsidR="002027C0" w:rsidRPr="00937E39" w:rsidRDefault="002027C0" w:rsidP="002027C0">
      <w:pPr>
        <w:spacing w:line="240" w:lineRule="atLeast"/>
        <w:rPr>
          <w:szCs w:val="24"/>
        </w:rPr>
      </w:pPr>
      <w:r w:rsidRPr="00937E39">
        <w:rPr>
          <w:szCs w:val="24"/>
        </w:rPr>
        <w:t xml:space="preserve">Subsection 195(3A) of the Act was inserted to allow for </w:t>
      </w:r>
      <w:r w:rsidR="00C42530" w:rsidRPr="00937E39">
        <w:rPr>
          <w:szCs w:val="24"/>
        </w:rPr>
        <w:t>further</w:t>
      </w:r>
      <w:r w:rsidRPr="00937E39">
        <w:rPr>
          <w:szCs w:val="24"/>
        </w:rPr>
        <w:t xml:space="preserve"> income stream </w:t>
      </w:r>
      <w:r w:rsidR="00C42530" w:rsidRPr="00937E39">
        <w:rPr>
          <w:szCs w:val="24"/>
        </w:rPr>
        <w:t>data</w:t>
      </w:r>
      <w:r w:rsidRPr="00937E39">
        <w:rPr>
          <w:szCs w:val="24"/>
        </w:rPr>
        <w:t xml:space="preserve">, where such </w:t>
      </w:r>
      <w:r w:rsidR="00C42530" w:rsidRPr="00937E39">
        <w:rPr>
          <w:szCs w:val="24"/>
        </w:rPr>
        <w:t>data items</w:t>
      </w:r>
      <w:r w:rsidRPr="00937E39">
        <w:rPr>
          <w:szCs w:val="24"/>
        </w:rPr>
        <w:t xml:space="preserve"> were not contemplated in the drafting of the amendments, to be included in the income stream review process. </w:t>
      </w:r>
    </w:p>
    <w:p w:rsidR="00D75549" w:rsidRPr="00937E39" w:rsidRDefault="00D75549" w:rsidP="00D75549">
      <w:pPr>
        <w:rPr>
          <w:szCs w:val="24"/>
        </w:rPr>
      </w:pPr>
      <w:r w:rsidRPr="00937E39">
        <w:rPr>
          <w:szCs w:val="24"/>
        </w:rPr>
        <w:t xml:space="preserve">Therefore, this legislative instrument provides for </w:t>
      </w:r>
      <w:r w:rsidR="002027C0" w:rsidRPr="00937E39">
        <w:rPr>
          <w:szCs w:val="24"/>
        </w:rPr>
        <w:t>the Minister</w:t>
      </w:r>
      <w:r w:rsidR="00C42530" w:rsidRPr="00937E39">
        <w:rPr>
          <w:szCs w:val="24"/>
        </w:rPr>
        <w:t xml:space="preserve"> to specify further information required to be given at the request of the Secretary regarding an income stream received by a person</w:t>
      </w:r>
      <w:r w:rsidRPr="00937E39">
        <w:rPr>
          <w:szCs w:val="24"/>
        </w:rPr>
        <w:t xml:space="preserve">. </w:t>
      </w:r>
    </w:p>
    <w:p w:rsidR="00CC5823" w:rsidRDefault="00CC5823" w:rsidP="00C42530">
      <w:pPr>
        <w:rPr>
          <w:b/>
          <w:szCs w:val="24"/>
        </w:rPr>
      </w:pPr>
    </w:p>
    <w:p w:rsidR="00CC5823" w:rsidRDefault="00CC5823">
      <w:pPr>
        <w:spacing w:before="0" w:after="200" w:line="276" w:lineRule="auto"/>
        <w:rPr>
          <w:b/>
          <w:szCs w:val="24"/>
        </w:rPr>
      </w:pPr>
      <w:r>
        <w:rPr>
          <w:b/>
          <w:szCs w:val="24"/>
        </w:rPr>
        <w:br w:type="page"/>
      </w:r>
    </w:p>
    <w:p w:rsidR="00C42530" w:rsidRPr="00937E39" w:rsidRDefault="00C42530" w:rsidP="00C42530">
      <w:pPr>
        <w:rPr>
          <w:b/>
          <w:szCs w:val="24"/>
        </w:rPr>
      </w:pPr>
      <w:r w:rsidRPr="00937E39">
        <w:rPr>
          <w:b/>
          <w:szCs w:val="24"/>
        </w:rPr>
        <w:lastRenderedPageBreak/>
        <w:t>Commencement</w:t>
      </w:r>
    </w:p>
    <w:p w:rsidR="00C42530" w:rsidRPr="00937E39" w:rsidRDefault="00C42530" w:rsidP="00C42530">
      <w:pPr>
        <w:rPr>
          <w:b/>
          <w:szCs w:val="24"/>
        </w:rPr>
      </w:pPr>
    </w:p>
    <w:p w:rsidR="00C42530" w:rsidRPr="00937E39" w:rsidRDefault="00C42530" w:rsidP="00C42530">
      <w:pPr>
        <w:rPr>
          <w:szCs w:val="24"/>
        </w:rPr>
      </w:pPr>
      <w:r w:rsidRPr="00937E39">
        <w:rPr>
          <w:szCs w:val="24"/>
        </w:rPr>
        <w:t>This instrument commences on 1 January 2018.</w:t>
      </w:r>
    </w:p>
    <w:p w:rsidR="00C42530" w:rsidRPr="00937E39" w:rsidRDefault="00C42530" w:rsidP="00C42530">
      <w:pPr>
        <w:rPr>
          <w:szCs w:val="24"/>
        </w:rPr>
      </w:pPr>
    </w:p>
    <w:p w:rsidR="00C42530" w:rsidRPr="00937E39" w:rsidRDefault="00C42530" w:rsidP="00C42530">
      <w:pPr>
        <w:rPr>
          <w:b/>
          <w:szCs w:val="24"/>
        </w:rPr>
      </w:pPr>
      <w:r w:rsidRPr="00937E39">
        <w:rPr>
          <w:b/>
          <w:szCs w:val="24"/>
        </w:rPr>
        <w:t>Consultation</w:t>
      </w:r>
    </w:p>
    <w:p w:rsidR="00C42530" w:rsidRPr="00937E39" w:rsidRDefault="00C42530" w:rsidP="00C42530">
      <w:pPr>
        <w:rPr>
          <w:b/>
          <w:szCs w:val="24"/>
          <w:u w:val="single"/>
        </w:rPr>
      </w:pPr>
    </w:p>
    <w:p w:rsidR="00C42530" w:rsidRPr="00937E39" w:rsidRDefault="00C42530" w:rsidP="00C42530">
      <w:pPr>
        <w:rPr>
          <w:szCs w:val="24"/>
        </w:rPr>
      </w:pPr>
      <w:r w:rsidRPr="00937E39">
        <w:rPr>
          <w:szCs w:val="24"/>
        </w:rPr>
        <w:t xml:space="preserve">Consultation </w:t>
      </w:r>
      <w:r w:rsidR="00BD5F93" w:rsidRPr="00937E39">
        <w:rPr>
          <w:szCs w:val="24"/>
        </w:rPr>
        <w:t>was</w:t>
      </w:r>
      <w:r w:rsidRPr="00937E39">
        <w:rPr>
          <w:szCs w:val="24"/>
        </w:rPr>
        <w:t xml:space="preserve"> undertaken with the Department of Human Services</w:t>
      </w:r>
      <w:r w:rsidR="00A37C1B">
        <w:rPr>
          <w:szCs w:val="24"/>
        </w:rPr>
        <w:t xml:space="preserve"> (DHS)</w:t>
      </w:r>
      <w:r w:rsidRPr="00937E39">
        <w:rPr>
          <w:szCs w:val="24"/>
        </w:rPr>
        <w:t xml:space="preserve"> and the Information Commissioner.</w:t>
      </w:r>
      <w:r w:rsidR="00A37C1B">
        <w:rPr>
          <w:szCs w:val="24"/>
        </w:rPr>
        <w:t xml:space="preserve"> DHS </w:t>
      </w:r>
      <w:r w:rsidR="00E5381D">
        <w:rPr>
          <w:szCs w:val="24"/>
        </w:rPr>
        <w:t>has undertaken a</w:t>
      </w:r>
      <w:r w:rsidR="00A37C1B">
        <w:rPr>
          <w:szCs w:val="24"/>
        </w:rPr>
        <w:t xml:space="preserve"> Privacy Impact Assessment in relation to the </w:t>
      </w:r>
      <w:r w:rsidR="00E5381D">
        <w:rPr>
          <w:szCs w:val="24"/>
        </w:rPr>
        <w:t>automation of income stream</w:t>
      </w:r>
      <w:r w:rsidR="00853FB2">
        <w:rPr>
          <w:szCs w:val="24"/>
        </w:rPr>
        <w:t xml:space="preserve"> reviews</w:t>
      </w:r>
      <w:r w:rsidR="00A37C1B">
        <w:rPr>
          <w:szCs w:val="24"/>
        </w:rPr>
        <w:t>.</w:t>
      </w:r>
    </w:p>
    <w:p w:rsidR="00C42530" w:rsidRPr="00937E39" w:rsidRDefault="00C42530" w:rsidP="00C42530">
      <w:pPr>
        <w:rPr>
          <w:szCs w:val="24"/>
        </w:rPr>
      </w:pPr>
    </w:p>
    <w:p w:rsidR="00C42530" w:rsidRPr="00937E39" w:rsidRDefault="00C42530" w:rsidP="00C42530">
      <w:pPr>
        <w:rPr>
          <w:b/>
          <w:szCs w:val="24"/>
        </w:rPr>
      </w:pPr>
      <w:r w:rsidRPr="00937E39">
        <w:rPr>
          <w:b/>
          <w:szCs w:val="24"/>
        </w:rPr>
        <w:t>Retrospectivity</w:t>
      </w:r>
    </w:p>
    <w:p w:rsidR="00C42530" w:rsidRPr="00937E39" w:rsidRDefault="00C42530" w:rsidP="00C42530">
      <w:pPr>
        <w:rPr>
          <w:szCs w:val="24"/>
        </w:rPr>
      </w:pPr>
    </w:p>
    <w:p w:rsidR="00C42530" w:rsidRPr="00937E39" w:rsidRDefault="00C42530" w:rsidP="00C42530">
      <w:pPr>
        <w:rPr>
          <w:szCs w:val="24"/>
        </w:rPr>
      </w:pPr>
      <w:r w:rsidRPr="00937E39">
        <w:rPr>
          <w:szCs w:val="24"/>
        </w:rPr>
        <w:t xml:space="preserve">This instrument has prospective operation. </w:t>
      </w:r>
    </w:p>
    <w:p w:rsidR="00C42530" w:rsidRPr="00937E39" w:rsidRDefault="00C42530" w:rsidP="00C42530">
      <w:pPr>
        <w:rPr>
          <w:szCs w:val="24"/>
        </w:rPr>
      </w:pPr>
    </w:p>
    <w:p w:rsidR="00C42530" w:rsidRPr="00937E39" w:rsidRDefault="00C42530" w:rsidP="00C42530">
      <w:pPr>
        <w:rPr>
          <w:b/>
          <w:szCs w:val="24"/>
        </w:rPr>
      </w:pPr>
      <w:r w:rsidRPr="00937E39">
        <w:rPr>
          <w:b/>
          <w:szCs w:val="24"/>
        </w:rPr>
        <w:t>Regulation Impact Statement (RIS)</w:t>
      </w:r>
    </w:p>
    <w:p w:rsidR="00C42530" w:rsidRPr="00937E39" w:rsidRDefault="00C42530" w:rsidP="00C42530">
      <w:pPr>
        <w:rPr>
          <w:b/>
          <w:szCs w:val="24"/>
        </w:rPr>
      </w:pPr>
    </w:p>
    <w:p w:rsidR="00C42530" w:rsidRPr="00937E39" w:rsidRDefault="001541B2" w:rsidP="001541B2">
      <w:pPr>
        <w:jc w:val="both"/>
        <w:rPr>
          <w:szCs w:val="24"/>
        </w:rPr>
      </w:pPr>
      <w:r w:rsidRPr="00937E39">
        <w:rPr>
          <w:szCs w:val="24"/>
        </w:rPr>
        <w:t xml:space="preserve">The Instrument does not require a Regulatory Impact Statement. The Instrument is not regulatory in nature, will </w:t>
      </w:r>
      <w:r w:rsidRPr="00937E39">
        <w:rPr>
          <w:bCs/>
          <w:szCs w:val="24"/>
        </w:rPr>
        <w:t>not</w:t>
      </w:r>
      <w:r w:rsidRPr="00937E39">
        <w:rPr>
          <w:szCs w:val="24"/>
        </w:rPr>
        <w:t xml:space="preserve"> impact on business activity and will have no, or minimal, compliance costs or competition impact. </w:t>
      </w:r>
    </w:p>
    <w:p w:rsidR="00D75549" w:rsidRPr="00937E39" w:rsidRDefault="00D75549" w:rsidP="00D75549">
      <w:pPr>
        <w:rPr>
          <w:szCs w:val="24"/>
        </w:rPr>
      </w:pPr>
    </w:p>
    <w:p w:rsidR="002F2EDF" w:rsidRPr="00937E39" w:rsidRDefault="002F2EDF" w:rsidP="002F2EDF">
      <w:pPr>
        <w:rPr>
          <w:b/>
          <w:szCs w:val="24"/>
        </w:rPr>
      </w:pPr>
      <w:r w:rsidRPr="00937E39">
        <w:rPr>
          <w:b/>
          <w:szCs w:val="24"/>
        </w:rPr>
        <w:t>Explanation of provisions</w:t>
      </w:r>
    </w:p>
    <w:p w:rsidR="002F2EDF" w:rsidRPr="00937E39" w:rsidRDefault="002F2EDF" w:rsidP="002F2EDF">
      <w:pPr>
        <w:rPr>
          <w:b/>
          <w:szCs w:val="24"/>
        </w:rPr>
      </w:pPr>
    </w:p>
    <w:p w:rsidR="002F2EDF" w:rsidRPr="00937E39" w:rsidRDefault="002F2EDF" w:rsidP="002F2EDF">
      <w:pPr>
        <w:rPr>
          <w:szCs w:val="24"/>
        </w:rPr>
      </w:pPr>
      <w:r w:rsidRPr="00937E39">
        <w:rPr>
          <w:b/>
          <w:szCs w:val="24"/>
        </w:rPr>
        <w:t>Section 1</w:t>
      </w:r>
      <w:r w:rsidRPr="00937E39">
        <w:rPr>
          <w:szCs w:val="24"/>
        </w:rPr>
        <w:t xml:space="preserve"> states the name of the Specification.</w:t>
      </w:r>
    </w:p>
    <w:p w:rsidR="002F2EDF" w:rsidRPr="00937E39" w:rsidRDefault="002F2EDF" w:rsidP="002F2EDF">
      <w:pPr>
        <w:rPr>
          <w:szCs w:val="24"/>
        </w:rPr>
      </w:pPr>
    </w:p>
    <w:p w:rsidR="002F2EDF" w:rsidRPr="00937E39" w:rsidRDefault="002F2EDF" w:rsidP="002F2EDF">
      <w:pPr>
        <w:rPr>
          <w:szCs w:val="24"/>
        </w:rPr>
      </w:pPr>
      <w:r w:rsidRPr="00937E39">
        <w:rPr>
          <w:b/>
          <w:szCs w:val="24"/>
        </w:rPr>
        <w:t xml:space="preserve">Section 2 </w:t>
      </w:r>
      <w:r w:rsidRPr="00937E39">
        <w:rPr>
          <w:szCs w:val="24"/>
        </w:rPr>
        <w:t>p</w:t>
      </w:r>
      <w:r w:rsidR="00BD5F93" w:rsidRPr="00937E39">
        <w:rPr>
          <w:szCs w:val="24"/>
        </w:rPr>
        <w:t>rovides that the Specification will commence</w:t>
      </w:r>
      <w:r w:rsidRPr="00937E39">
        <w:rPr>
          <w:szCs w:val="24"/>
        </w:rPr>
        <w:t xml:space="preserve"> on </w:t>
      </w:r>
      <w:r w:rsidR="00C42530" w:rsidRPr="00937E39">
        <w:rPr>
          <w:szCs w:val="24"/>
        </w:rPr>
        <w:t>1 January 2018</w:t>
      </w:r>
      <w:r w:rsidRPr="00937E39">
        <w:rPr>
          <w:szCs w:val="24"/>
        </w:rPr>
        <w:t>.</w:t>
      </w:r>
    </w:p>
    <w:p w:rsidR="002F2EDF" w:rsidRPr="00937E39" w:rsidRDefault="002F2EDF" w:rsidP="002F2EDF">
      <w:pPr>
        <w:rPr>
          <w:szCs w:val="24"/>
        </w:rPr>
      </w:pPr>
    </w:p>
    <w:p w:rsidR="002F2EDF" w:rsidRPr="00937E39" w:rsidRDefault="002F2EDF" w:rsidP="002F2EDF">
      <w:pPr>
        <w:rPr>
          <w:szCs w:val="24"/>
        </w:rPr>
      </w:pPr>
      <w:r w:rsidRPr="00937E39">
        <w:rPr>
          <w:b/>
          <w:szCs w:val="24"/>
        </w:rPr>
        <w:t xml:space="preserve">Section 3 </w:t>
      </w:r>
      <w:r w:rsidRPr="00937E39">
        <w:rPr>
          <w:szCs w:val="24"/>
        </w:rPr>
        <w:t>provides that the authority for making this Specification is s</w:t>
      </w:r>
      <w:r w:rsidR="00C42530" w:rsidRPr="00937E39">
        <w:rPr>
          <w:szCs w:val="24"/>
        </w:rPr>
        <w:t>ubsection 195(3A) of the Act</w:t>
      </w:r>
      <w:r w:rsidRPr="00937E39">
        <w:rPr>
          <w:szCs w:val="24"/>
        </w:rPr>
        <w:t>.</w:t>
      </w:r>
    </w:p>
    <w:p w:rsidR="002F2EDF" w:rsidRPr="00937E39" w:rsidRDefault="002F2EDF" w:rsidP="002F2EDF">
      <w:pPr>
        <w:rPr>
          <w:b/>
          <w:szCs w:val="24"/>
        </w:rPr>
      </w:pPr>
    </w:p>
    <w:p w:rsidR="002F2EDF" w:rsidRPr="00937E39" w:rsidRDefault="002F2EDF" w:rsidP="002F2EDF">
      <w:pPr>
        <w:rPr>
          <w:szCs w:val="24"/>
        </w:rPr>
      </w:pPr>
      <w:r w:rsidRPr="00937E39">
        <w:rPr>
          <w:b/>
          <w:szCs w:val="24"/>
        </w:rPr>
        <w:t xml:space="preserve">Section </w:t>
      </w:r>
      <w:r w:rsidR="001541B2" w:rsidRPr="00937E39">
        <w:rPr>
          <w:b/>
          <w:szCs w:val="24"/>
        </w:rPr>
        <w:t>4</w:t>
      </w:r>
      <w:r w:rsidRPr="00937E39">
        <w:rPr>
          <w:b/>
          <w:szCs w:val="24"/>
        </w:rPr>
        <w:t xml:space="preserve"> </w:t>
      </w:r>
      <w:r w:rsidR="001541B2" w:rsidRPr="00937E39">
        <w:rPr>
          <w:szCs w:val="24"/>
        </w:rPr>
        <w:t>provides definitions of</w:t>
      </w:r>
      <w:r w:rsidRPr="00937E39">
        <w:rPr>
          <w:szCs w:val="24"/>
        </w:rPr>
        <w:t xml:space="preserve"> terms used in the Specification.  </w:t>
      </w:r>
    </w:p>
    <w:p w:rsidR="002F2EDF" w:rsidRPr="00937E39" w:rsidRDefault="002F2EDF" w:rsidP="002F2EDF">
      <w:pPr>
        <w:rPr>
          <w:szCs w:val="24"/>
        </w:rPr>
      </w:pPr>
    </w:p>
    <w:p w:rsidR="00C533B2" w:rsidRPr="00937E39" w:rsidRDefault="002F2EDF" w:rsidP="00C533B2">
      <w:pPr>
        <w:rPr>
          <w:szCs w:val="24"/>
        </w:rPr>
      </w:pPr>
      <w:r w:rsidRPr="00937E39">
        <w:rPr>
          <w:b/>
          <w:szCs w:val="24"/>
        </w:rPr>
        <w:t xml:space="preserve">Section </w:t>
      </w:r>
      <w:r w:rsidR="001541B2" w:rsidRPr="00937E39">
        <w:rPr>
          <w:b/>
          <w:szCs w:val="24"/>
        </w:rPr>
        <w:t>5</w:t>
      </w:r>
      <w:r w:rsidRPr="00937E39">
        <w:rPr>
          <w:b/>
          <w:szCs w:val="24"/>
        </w:rPr>
        <w:t xml:space="preserve"> </w:t>
      </w:r>
      <w:r w:rsidRPr="00937E39">
        <w:rPr>
          <w:szCs w:val="24"/>
        </w:rPr>
        <w:t xml:space="preserve">specifies the </w:t>
      </w:r>
      <w:r w:rsidR="00C533B2" w:rsidRPr="00937E39">
        <w:rPr>
          <w:szCs w:val="24"/>
        </w:rPr>
        <w:t xml:space="preserve">additional </w:t>
      </w:r>
      <w:r w:rsidR="001541B2" w:rsidRPr="00937E39">
        <w:rPr>
          <w:szCs w:val="24"/>
        </w:rPr>
        <w:t>information that can be requested in relation to an income stream received by a person</w:t>
      </w:r>
      <w:r w:rsidR="00C533B2" w:rsidRPr="00937E39">
        <w:rPr>
          <w:szCs w:val="24"/>
        </w:rPr>
        <w:t xml:space="preserve"> is as follows:</w:t>
      </w:r>
    </w:p>
    <w:p w:rsidR="00C533B2" w:rsidRPr="00937E39" w:rsidRDefault="00C533B2" w:rsidP="00C533B2">
      <w:pPr>
        <w:rPr>
          <w:szCs w:val="24"/>
        </w:rPr>
      </w:pPr>
    </w:p>
    <w:p w:rsidR="00C533B2" w:rsidRPr="00937E39" w:rsidRDefault="00937E39" w:rsidP="00C533B2">
      <w:pPr>
        <w:pStyle w:val="ListParagraph"/>
        <w:numPr>
          <w:ilvl w:val="0"/>
          <w:numId w:val="4"/>
        </w:numPr>
        <w:rPr>
          <w:szCs w:val="24"/>
        </w:rPr>
      </w:pPr>
      <w:r>
        <w:rPr>
          <w:szCs w:val="24"/>
        </w:rPr>
        <w:t>T</w:t>
      </w:r>
      <w:r w:rsidR="00C533B2" w:rsidRPr="00937E39">
        <w:rPr>
          <w:szCs w:val="24"/>
        </w:rPr>
        <w:t>he unique data transfer identifier allocated to the income stream provider or their administrator</w:t>
      </w:r>
      <w:r>
        <w:rPr>
          <w:szCs w:val="24"/>
        </w:rPr>
        <w:t xml:space="preserve"> </w:t>
      </w:r>
      <w:r w:rsidR="00F6369C">
        <w:rPr>
          <w:szCs w:val="24"/>
        </w:rPr>
        <w:t>by the Human Services Department</w:t>
      </w:r>
      <w:r w:rsidR="00C533B2" w:rsidRPr="00937E39">
        <w:rPr>
          <w:szCs w:val="24"/>
        </w:rPr>
        <w:t xml:space="preserve">; </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The Australian Business Number of the income stream provider, as reported on the income stream schedule;</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The name of the income stream product;</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owner is a revisionary beneficiary – whether they became a revisionary beneficiary in the</w:t>
      </w:r>
      <w:r w:rsidRPr="00937E39">
        <w:rPr>
          <w:sz w:val="24"/>
          <w:szCs w:val="24"/>
          <w:lang w:val="en"/>
        </w:rPr>
        <w:t xml:space="preserve"> </w:t>
      </w:r>
      <w:r w:rsidR="00937E39">
        <w:rPr>
          <w:sz w:val="24"/>
          <w:szCs w:val="24"/>
          <w:lang w:val="en"/>
        </w:rPr>
        <w:t>period specified in the notice issued</w:t>
      </w:r>
      <w:r w:rsidRPr="00937E39">
        <w:rPr>
          <w:sz w:val="24"/>
          <w:szCs w:val="24"/>
          <w:lang w:val="en"/>
        </w:rPr>
        <w:t>;</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owner is a revisionary beneficiary - the date on which the income stream reverted to the revisionary beneficiary;</w:t>
      </w:r>
    </w:p>
    <w:p w:rsidR="00C533B2" w:rsidRPr="00937E39" w:rsidRDefault="00C533B2" w:rsidP="00C533B2">
      <w:pPr>
        <w:pStyle w:val="ListParagraph"/>
        <w:ind w:left="1146"/>
        <w:rPr>
          <w:szCs w:val="24"/>
        </w:rPr>
      </w:pP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lastRenderedPageBreak/>
        <w:t>The latest available account balance of the income stream;</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The date of the latest available account balance of the income stream;</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income stream is commuted – the total value of commutations since commencement of the income stream;</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income stream is commuted – the total number of commutations made in the</w:t>
      </w:r>
      <w:r w:rsidRPr="00937E39">
        <w:rPr>
          <w:sz w:val="24"/>
          <w:szCs w:val="24"/>
          <w:lang w:val="en"/>
        </w:rPr>
        <w:t xml:space="preserve"> </w:t>
      </w:r>
      <w:r w:rsidR="00937E39">
        <w:rPr>
          <w:sz w:val="24"/>
          <w:szCs w:val="24"/>
          <w:lang w:val="en"/>
        </w:rPr>
        <w:t>period specified in the notice issued</w:t>
      </w:r>
      <w:r w:rsidRPr="00937E39">
        <w:rPr>
          <w:sz w:val="24"/>
          <w:szCs w:val="24"/>
          <w:lang w:val="en"/>
        </w:rPr>
        <w:t>;</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income stream is a market-linked income stream and is commuted – the reason that a commutation has been made;</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income stream is a market-linked income stream and is in its final year of term – the expiry date of the income stream’s term;</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Whether payments from the income stream have been suspended;</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payments from the income stream have been suspended, the date on which payments were suspended;</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 xml:space="preserve">Whether the income stream is jointly owned; </w:t>
      </w:r>
    </w:p>
    <w:p w:rsidR="00C533B2" w:rsidRPr="00937E39" w:rsidRDefault="00C533B2" w:rsidP="00C533B2">
      <w:pPr>
        <w:pStyle w:val="BodyTextIndent3"/>
        <w:keepNext/>
        <w:keepLines/>
        <w:numPr>
          <w:ilvl w:val="0"/>
          <w:numId w:val="4"/>
        </w:numPr>
        <w:spacing w:before="0" w:after="0"/>
        <w:rPr>
          <w:sz w:val="24"/>
          <w:szCs w:val="24"/>
        </w:rPr>
      </w:pPr>
      <w:r w:rsidRPr="00937E39">
        <w:rPr>
          <w:sz w:val="24"/>
          <w:szCs w:val="24"/>
        </w:rPr>
        <w:t>If the income stream is jointly owned, the division of ownership of the</w:t>
      </w:r>
      <w:r w:rsidR="00937E39">
        <w:rPr>
          <w:sz w:val="24"/>
          <w:szCs w:val="24"/>
        </w:rPr>
        <w:t xml:space="preserve"> income </w:t>
      </w:r>
      <w:r w:rsidR="00937E39" w:rsidRPr="00937E39">
        <w:rPr>
          <w:sz w:val="24"/>
          <w:szCs w:val="24"/>
        </w:rPr>
        <w:t>stream, as a percentage;</w:t>
      </w:r>
    </w:p>
    <w:p w:rsidR="00937E39" w:rsidRPr="00937E39" w:rsidRDefault="00937E39" w:rsidP="00937E39">
      <w:pPr>
        <w:pStyle w:val="BodyTextIndent3"/>
        <w:keepNext/>
        <w:keepLines/>
        <w:numPr>
          <w:ilvl w:val="0"/>
          <w:numId w:val="4"/>
        </w:numPr>
        <w:spacing w:before="0" w:after="0"/>
        <w:rPr>
          <w:rFonts w:cs="Arial"/>
          <w:sz w:val="24"/>
          <w:szCs w:val="24"/>
        </w:rPr>
      </w:pPr>
      <w:r w:rsidRPr="00937E39">
        <w:rPr>
          <w:rFonts w:cs="Arial"/>
          <w:sz w:val="24"/>
          <w:szCs w:val="24"/>
        </w:rPr>
        <w:t>If the income stream is an account-based or market-linked income stream - the gross annual payment for the current financial year made under the income stream;</w:t>
      </w:r>
    </w:p>
    <w:p w:rsidR="00937E39" w:rsidRPr="00937E39" w:rsidRDefault="00937E39" w:rsidP="00937E39">
      <w:pPr>
        <w:pStyle w:val="BodyTextIndent3"/>
        <w:keepNext/>
        <w:keepLines/>
        <w:numPr>
          <w:ilvl w:val="0"/>
          <w:numId w:val="4"/>
        </w:numPr>
        <w:spacing w:before="0" w:after="0"/>
        <w:rPr>
          <w:rFonts w:cs="Arial"/>
          <w:sz w:val="24"/>
          <w:szCs w:val="24"/>
        </w:rPr>
      </w:pPr>
      <w:r w:rsidRPr="00937E39">
        <w:rPr>
          <w:rFonts w:cs="Arial"/>
          <w:sz w:val="24"/>
          <w:szCs w:val="24"/>
        </w:rPr>
        <w:t>If the income stream is a defined benefit income stream – the gross fortnightly payment made under the income stream; and</w:t>
      </w:r>
    </w:p>
    <w:p w:rsidR="00937E39" w:rsidRPr="00937E39" w:rsidRDefault="00937E39" w:rsidP="00937E39">
      <w:pPr>
        <w:pStyle w:val="BodyTextIndent3"/>
        <w:keepNext/>
        <w:keepLines/>
        <w:numPr>
          <w:ilvl w:val="0"/>
          <w:numId w:val="4"/>
        </w:numPr>
        <w:spacing w:before="0" w:after="0"/>
        <w:rPr>
          <w:rFonts w:cs="Arial"/>
          <w:sz w:val="24"/>
          <w:szCs w:val="24"/>
        </w:rPr>
      </w:pPr>
      <w:r w:rsidRPr="00937E39">
        <w:rPr>
          <w:rFonts w:cs="Arial"/>
          <w:sz w:val="24"/>
          <w:szCs w:val="24"/>
        </w:rPr>
        <w:t>If the income stream is a lifetime, life expectancy or term income stream – the gross amount of each payment made under the income stream and the frequency of the payment.</w:t>
      </w:r>
    </w:p>
    <w:p w:rsidR="00937E39" w:rsidRPr="00937E39" w:rsidRDefault="00937E39" w:rsidP="00937E39">
      <w:pPr>
        <w:pStyle w:val="BodyTextIndent3"/>
        <w:keepNext/>
        <w:keepLines/>
        <w:spacing w:before="0" w:after="0"/>
        <w:ind w:left="1146"/>
        <w:rPr>
          <w:sz w:val="24"/>
          <w:szCs w:val="24"/>
        </w:rPr>
      </w:pPr>
    </w:p>
    <w:p w:rsidR="00C533B2" w:rsidRPr="00937E39" w:rsidRDefault="00C533B2" w:rsidP="002F2EDF">
      <w:pPr>
        <w:rPr>
          <w:szCs w:val="24"/>
        </w:rPr>
      </w:pPr>
    </w:p>
    <w:p w:rsidR="001541B2" w:rsidRPr="00937E39" w:rsidRDefault="001541B2">
      <w:pPr>
        <w:spacing w:before="0" w:after="200" w:line="276" w:lineRule="auto"/>
        <w:rPr>
          <w:b/>
        </w:rPr>
      </w:pPr>
      <w:r w:rsidRPr="00937E39">
        <w:rPr>
          <w:b/>
        </w:rPr>
        <w:br w:type="page"/>
      </w:r>
    </w:p>
    <w:p w:rsidR="002F2EDF" w:rsidRPr="00937E39" w:rsidRDefault="002F2EDF" w:rsidP="002F2EDF"/>
    <w:p w:rsidR="002F2EDF" w:rsidRPr="00937E39" w:rsidRDefault="002F2EDF" w:rsidP="002F2EDF">
      <w:pPr>
        <w:keepNext/>
        <w:jc w:val="center"/>
        <w:outlineLvl w:val="2"/>
        <w:rPr>
          <w:b/>
          <w:bCs/>
        </w:rPr>
      </w:pPr>
      <w:r w:rsidRPr="00937E39">
        <w:rPr>
          <w:b/>
          <w:bCs/>
        </w:rPr>
        <w:t>Statement of Compatibility with Human Rights</w:t>
      </w:r>
    </w:p>
    <w:p w:rsidR="002F2EDF" w:rsidRPr="00937E39" w:rsidRDefault="002F2EDF" w:rsidP="002F2EDF">
      <w:pPr>
        <w:keepNext/>
        <w:jc w:val="center"/>
        <w:outlineLvl w:val="2"/>
        <w:rPr>
          <w:b/>
          <w:bCs/>
        </w:rPr>
      </w:pPr>
    </w:p>
    <w:p w:rsidR="002F2EDF" w:rsidRPr="00937E39" w:rsidRDefault="002F2EDF" w:rsidP="002F2EDF">
      <w:pPr>
        <w:jc w:val="center"/>
        <w:rPr>
          <w:i/>
        </w:rPr>
      </w:pPr>
      <w:r w:rsidRPr="00937E39">
        <w:t>Prepared in accordance with Part 3 of the</w:t>
      </w:r>
      <w:r w:rsidRPr="00937E39">
        <w:rPr>
          <w:i/>
        </w:rPr>
        <w:t xml:space="preserve"> Human Rights (Parliamentary Scrutiny) Act 2011</w:t>
      </w:r>
    </w:p>
    <w:p w:rsidR="002F2EDF" w:rsidRPr="00937E39" w:rsidRDefault="002F2EDF" w:rsidP="002F2EDF"/>
    <w:p w:rsidR="001541B2" w:rsidRPr="00937E39" w:rsidRDefault="001541B2" w:rsidP="001541B2">
      <w:pPr>
        <w:pStyle w:val="BodyText"/>
        <w:keepNext/>
        <w:keepLines/>
        <w:spacing w:after="0"/>
        <w:rPr>
          <w:i/>
          <w:iCs/>
        </w:rPr>
      </w:pPr>
      <w:r w:rsidRPr="00937E39">
        <w:rPr>
          <w:i/>
          <w:iCs/>
        </w:rPr>
        <w:t>Social Security (Obtaining Information to Verify Claims – Income Stream Recipients) Specification 2017</w:t>
      </w:r>
    </w:p>
    <w:p w:rsidR="002F2EDF" w:rsidRPr="00937E39" w:rsidRDefault="002F2EDF" w:rsidP="002F2EDF">
      <w:pPr>
        <w:rPr>
          <w:rFonts w:eastAsiaTheme="majorEastAsia"/>
        </w:rPr>
      </w:pPr>
    </w:p>
    <w:p w:rsidR="00662DA9" w:rsidRPr="00937E39" w:rsidRDefault="001541B2" w:rsidP="00662DA9">
      <w:pPr>
        <w:rPr>
          <w:szCs w:val="24"/>
        </w:rPr>
      </w:pPr>
      <w:r w:rsidRPr="00937E39">
        <w:rPr>
          <w:iCs/>
          <w:szCs w:val="24"/>
        </w:rPr>
        <w:t xml:space="preserve">Subsection </w:t>
      </w:r>
      <w:r w:rsidR="00662DA9" w:rsidRPr="00937E39">
        <w:rPr>
          <w:iCs/>
          <w:szCs w:val="24"/>
        </w:rPr>
        <w:t>195(3A) of the Act</w:t>
      </w:r>
      <w:r w:rsidRPr="00937E39">
        <w:rPr>
          <w:iCs/>
          <w:szCs w:val="24"/>
        </w:rPr>
        <w:t xml:space="preserve"> </w:t>
      </w:r>
      <w:r w:rsidRPr="00937E39">
        <w:rPr>
          <w:szCs w:val="24"/>
        </w:rPr>
        <w:t xml:space="preserve">allows the Minister for Social Services to specify </w:t>
      </w:r>
      <w:r w:rsidR="00662DA9" w:rsidRPr="00937E39">
        <w:rPr>
          <w:szCs w:val="24"/>
        </w:rPr>
        <w:t>information required to be given at the request of the Secretary of the Department of Social Services in relation to an income stream received by a person.</w:t>
      </w:r>
    </w:p>
    <w:p w:rsidR="001541B2" w:rsidRPr="00937E39" w:rsidRDefault="001541B2" w:rsidP="001541B2">
      <w:pPr>
        <w:shd w:val="clear" w:color="auto" w:fill="FFFFFF"/>
        <w:spacing w:before="100" w:beforeAutospacing="1" w:after="100" w:afterAutospacing="1"/>
        <w:rPr>
          <w:szCs w:val="24"/>
          <w:lang w:val="en-US"/>
        </w:rPr>
      </w:pPr>
      <w:r w:rsidRPr="00937E39">
        <w:rPr>
          <w:i/>
          <w:iCs/>
          <w:szCs w:val="24"/>
        </w:rPr>
        <w:t>Human rights implications</w:t>
      </w:r>
    </w:p>
    <w:p w:rsidR="00853FB2" w:rsidRDefault="001541B2" w:rsidP="00853FB2">
      <w:pPr>
        <w:shd w:val="clear" w:color="auto" w:fill="FFFFFF"/>
        <w:spacing w:before="100" w:beforeAutospacing="1" w:after="100" w:afterAutospacing="1"/>
        <w:rPr>
          <w:szCs w:val="24"/>
        </w:rPr>
      </w:pPr>
      <w:r w:rsidRPr="00937E39">
        <w:rPr>
          <w:szCs w:val="24"/>
        </w:rPr>
        <w:t>The Specification 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A37C1B" w:rsidRPr="00A37C1B" w:rsidRDefault="00A37C1B" w:rsidP="00853FB2">
      <w:pPr>
        <w:shd w:val="clear" w:color="auto" w:fill="FFFFFF"/>
        <w:spacing w:before="100" w:beforeAutospacing="1" w:after="100" w:afterAutospacing="1"/>
      </w:pPr>
      <w:r w:rsidRPr="00A37C1B">
        <w:rPr>
          <w:rFonts w:eastAsiaTheme="minorHAnsi"/>
          <w:color w:val="000000"/>
        </w:rPr>
        <w:t>Article 17 of the International Covenant on Civil and Political Rights (ICCPR) provides that no one shall be subjected to arbitrary or unlawful interference with their privacy.  Privacy guarantees a right to secrecy f</w:t>
      </w:r>
      <w:r w:rsidR="00C70C24">
        <w:rPr>
          <w:rFonts w:eastAsiaTheme="minorHAnsi"/>
          <w:color w:val="000000"/>
        </w:rPr>
        <w:t>or</w:t>
      </w:r>
      <w:r w:rsidRPr="00A37C1B">
        <w:rPr>
          <w:rFonts w:eastAsiaTheme="minorHAnsi"/>
          <w:color w:val="000000"/>
        </w:rPr>
        <w:t xml:space="preserve"> the public of personal information.  For interference with privacy not to be arbitrary, it must be in accordance with the provisions, aims and objectives of the ICCPR and should be reasonable in the particular circumstances.  Reasonableness in this context incorporates notions of proportionality to the end sought and necessity in the circumstances.</w:t>
      </w:r>
      <w:bookmarkStart w:id="1" w:name="art12"/>
      <w:bookmarkEnd w:id="1"/>
      <w:r w:rsidRPr="00A37C1B">
        <w:rPr>
          <w:rFonts w:eastAsiaTheme="minorHAnsi"/>
          <w:color w:val="000000"/>
        </w:rPr>
        <w:t xml:space="preserve">  The </w:t>
      </w:r>
      <w:r w:rsidR="00B768E5">
        <w:rPr>
          <w:rFonts w:eastAsiaTheme="minorHAnsi"/>
          <w:color w:val="000000"/>
        </w:rPr>
        <w:t>specification will expand on the automated</w:t>
      </w:r>
      <w:r w:rsidRPr="00A37C1B">
        <w:rPr>
          <w:rFonts w:eastAsiaTheme="minorHAnsi"/>
          <w:color w:val="000000"/>
        </w:rPr>
        <w:t xml:space="preserve"> </w:t>
      </w:r>
      <w:r w:rsidRPr="00A37C1B">
        <w:t>income stream review process by requiring income stream providers to electronically transfer a dataset to the Department of Human Services on a regular basis, instead of the information being sought via the income support recipient.  The information will be solely</w:t>
      </w:r>
      <w:r w:rsidRPr="00A37C1B">
        <w:rPr>
          <w:rFonts w:eastAsiaTheme="minorHAnsi"/>
          <w:color w:val="000000"/>
        </w:rPr>
        <w:t xml:space="preserve"> for the purpose of administering social security payments and reduce regulatory costs for all parties.  </w:t>
      </w:r>
    </w:p>
    <w:p w:rsidR="00662DA9" w:rsidRPr="00937E39" w:rsidRDefault="001541B2" w:rsidP="00662DA9">
      <w:pPr>
        <w:pStyle w:val="base-text-paragraph"/>
        <w:numPr>
          <w:ilvl w:val="0"/>
          <w:numId w:val="0"/>
        </w:numPr>
        <w:tabs>
          <w:tab w:val="left" w:pos="720"/>
        </w:tabs>
        <w:rPr>
          <w:sz w:val="24"/>
          <w:szCs w:val="24"/>
        </w:rPr>
      </w:pPr>
      <w:r w:rsidRPr="00937E39">
        <w:rPr>
          <w:sz w:val="24"/>
          <w:szCs w:val="24"/>
        </w:rPr>
        <w:t xml:space="preserve">The Specification improves </w:t>
      </w:r>
      <w:r w:rsidR="00662DA9" w:rsidRPr="00937E39">
        <w:rPr>
          <w:sz w:val="24"/>
          <w:szCs w:val="24"/>
        </w:rPr>
        <w:t xml:space="preserve">cost savings by reducing regulatory and compliance costs, and improving the efficiency </w:t>
      </w:r>
      <w:r w:rsidR="00BD5F93" w:rsidRPr="00937E39">
        <w:rPr>
          <w:sz w:val="24"/>
          <w:szCs w:val="24"/>
        </w:rPr>
        <w:t xml:space="preserve">of DHS’ </w:t>
      </w:r>
      <w:r w:rsidR="00662DA9" w:rsidRPr="00937E39">
        <w:rPr>
          <w:sz w:val="24"/>
          <w:szCs w:val="24"/>
        </w:rPr>
        <w:t>service delivery. It is also expected that it will improve the accuracy of income support payments and reduce customer debts that arise when a customer fails to inform DHS of changes to their income streams, or when they do not inform DHS that they have commenced receiving an income stream payment.</w:t>
      </w:r>
    </w:p>
    <w:p w:rsidR="001541B2" w:rsidRPr="00937E39" w:rsidRDefault="001541B2" w:rsidP="001541B2">
      <w:pPr>
        <w:shd w:val="clear" w:color="auto" w:fill="FFFFFF"/>
        <w:spacing w:before="100" w:beforeAutospacing="1" w:after="100" w:afterAutospacing="1"/>
        <w:jc w:val="both"/>
        <w:rPr>
          <w:szCs w:val="24"/>
          <w:lang w:val="en-US"/>
        </w:rPr>
      </w:pPr>
      <w:r w:rsidRPr="00937E39">
        <w:rPr>
          <w:szCs w:val="24"/>
        </w:rPr>
        <w:t xml:space="preserve">The </w:t>
      </w:r>
      <w:r w:rsidR="00910895">
        <w:rPr>
          <w:szCs w:val="24"/>
        </w:rPr>
        <w:t>Specification</w:t>
      </w:r>
      <w:r w:rsidRPr="00937E39">
        <w:rPr>
          <w:szCs w:val="24"/>
        </w:rPr>
        <w:t xml:space="preserve"> is therefore consistent with the promotion of the right of social security.</w:t>
      </w:r>
    </w:p>
    <w:p w:rsidR="001541B2" w:rsidRPr="00937E39" w:rsidRDefault="001541B2" w:rsidP="001541B2">
      <w:pPr>
        <w:shd w:val="clear" w:color="auto" w:fill="FFFFFF"/>
        <w:spacing w:before="100" w:beforeAutospacing="1" w:after="100" w:afterAutospacing="1"/>
        <w:rPr>
          <w:szCs w:val="24"/>
          <w:lang w:val="en-US"/>
        </w:rPr>
      </w:pPr>
      <w:r w:rsidRPr="00937E39">
        <w:rPr>
          <w:i/>
          <w:iCs/>
          <w:szCs w:val="24"/>
        </w:rPr>
        <w:t xml:space="preserve">Conclusion </w:t>
      </w:r>
    </w:p>
    <w:p w:rsidR="001541B2" w:rsidRDefault="001541B2" w:rsidP="001541B2">
      <w:pPr>
        <w:shd w:val="clear" w:color="auto" w:fill="FFFFFF"/>
        <w:spacing w:before="100" w:beforeAutospacing="1" w:after="100" w:afterAutospacing="1"/>
        <w:rPr>
          <w:szCs w:val="24"/>
        </w:rPr>
      </w:pPr>
      <w:r w:rsidRPr="00937E39">
        <w:rPr>
          <w:szCs w:val="24"/>
        </w:rPr>
        <w:t>This Specification supports a person’s human right to social security and is therefore compatible with human rights.</w:t>
      </w:r>
    </w:p>
    <w:p w:rsidR="00A37C1B" w:rsidRPr="00A37C1B" w:rsidRDefault="00A37C1B" w:rsidP="00A37C1B">
      <w:pPr>
        <w:jc w:val="both"/>
      </w:pPr>
      <w:r w:rsidRPr="00A37C1B">
        <w:lastRenderedPageBreak/>
        <w:t>Any interference with privacy is proportionate and necessary for the purposes of accurate administration.</w:t>
      </w:r>
    </w:p>
    <w:p w:rsidR="00CD57B1" w:rsidRPr="00937E39" w:rsidRDefault="00CD57B1" w:rsidP="00CD57B1">
      <w:pPr>
        <w:pStyle w:val="numberlist"/>
        <w:numPr>
          <w:ilvl w:val="0"/>
          <w:numId w:val="0"/>
        </w:numPr>
        <w:tabs>
          <w:tab w:val="left" w:pos="720"/>
        </w:tabs>
        <w:spacing w:after="0"/>
        <w:jc w:val="both"/>
        <w:rPr>
          <w:szCs w:val="24"/>
          <w:u w:val="single"/>
        </w:rPr>
      </w:pPr>
    </w:p>
    <w:p w:rsidR="00CD57B1" w:rsidRPr="00937E39" w:rsidRDefault="00CD57B1" w:rsidP="00CD57B1">
      <w:pPr>
        <w:spacing w:after="0"/>
        <w:jc w:val="center"/>
        <w:rPr>
          <w:rStyle w:val="BookTitle"/>
          <w:rFonts w:eastAsiaTheme="majorEastAsia"/>
          <w:i w:val="0"/>
          <w:iCs w:val="0"/>
          <w:szCs w:val="24"/>
        </w:rPr>
      </w:pPr>
      <w:r w:rsidRPr="00937E39">
        <w:rPr>
          <w:b/>
          <w:szCs w:val="24"/>
          <w:u w:val="single"/>
        </w:rPr>
        <w:t xml:space="preserve">The Hon Christian Porter MP, Minister for Social Services  </w:t>
      </w:r>
    </w:p>
    <w:sectPr w:rsidR="00CD57B1" w:rsidRPr="00937E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C5" w:rsidRDefault="006576C5" w:rsidP="002F2EDF">
      <w:pPr>
        <w:spacing w:before="0" w:after="0"/>
      </w:pPr>
      <w:r>
        <w:separator/>
      </w:r>
    </w:p>
  </w:endnote>
  <w:endnote w:type="continuationSeparator" w:id="0">
    <w:p w:rsidR="006576C5" w:rsidRDefault="006576C5" w:rsidP="002F2E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B" w:rsidRDefault="006D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B" w:rsidRDefault="006D2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B" w:rsidRDefault="006D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C5" w:rsidRDefault="006576C5" w:rsidP="002F2EDF">
      <w:pPr>
        <w:spacing w:before="0" w:after="0"/>
      </w:pPr>
      <w:r>
        <w:separator/>
      </w:r>
    </w:p>
  </w:footnote>
  <w:footnote w:type="continuationSeparator" w:id="0">
    <w:p w:rsidR="006576C5" w:rsidRDefault="006576C5" w:rsidP="002F2E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B" w:rsidRDefault="006D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B" w:rsidRDefault="006D2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2B" w:rsidRDefault="006D2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E87"/>
    <w:multiLevelType w:val="hybridMultilevel"/>
    <w:tmpl w:val="EACC28CE"/>
    <w:lvl w:ilvl="0" w:tplc="5FD25636">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24405E3A"/>
    <w:multiLevelType w:val="hybridMultilevel"/>
    <w:tmpl w:val="42C01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844"/>
        </w:tabs>
        <w:ind w:left="993"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4E0611"/>
    <w:multiLevelType w:val="singleLevel"/>
    <w:tmpl w:val="DD162334"/>
    <w:lvl w:ilvl="0">
      <w:start w:val="2"/>
      <w:numFmt w:val="decimal"/>
      <w:pStyle w:val="numberlist"/>
      <w:lvlText w:val="%1."/>
      <w:lvlJc w:val="left"/>
      <w:pPr>
        <w:tabs>
          <w:tab w:val="num" w:pos="360"/>
        </w:tabs>
        <w:ind w:left="360" w:hanging="360"/>
      </w:pPr>
      <w:rPr>
        <w:b w:val="0"/>
      </w:rPr>
    </w:lvl>
  </w:abstractNum>
  <w:num w:numId="1">
    <w:abstractNumId w:val="3"/>
    <w:lvlOverride w:ilvl="0">
      <w:startOverride w:val="2"/>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B1"/>
    <w:rsid w:val="00005633"/>
    <w:rsid w:val="001478E7"/>
    <w:rsid w:val="001541B2"/>
    <w:rsid w:val="001E630D"/>
    <w:rsid w:val="002027C0"/>
    <w:rsid w:val="00202B32"/>
    <w:rsid w:val="00284DC9"/>
    <w:rsid w:val="002F2EDF"/>
    <w:rsid w:val="00373666"/>
    <w:rsid w:val="003B2BB8"/>
    <w:rsid w:val="003D34FF"/>
    <w:rsid w:val="004417A2"/>
    <w:rsid w:val="00453C11"/>
    <w:rsid w:val="00454D92"/>
    <w:rsid w:val="004B54CA"/>
    <w:rsid w:val="004E5CBF"/>
    <w:rsid w:val="005C3AA9"/>
    <w:rsid w:val="00621FC5"/>
    <w:rsid w:val="00637B02"/>
    <w:rsid w:val="006576C5"/>
    <w:rsid w:val="00662DA9"/>
    <w:rsid w:val="006A4CE7"/>
    <w:rsid w:val="006A5BE4"/>
    <w:rsid w:val="006D2C2B"/>
    <w:rsid w:val="0071681D"/>
    <w:rsid w:val="00785261"/>
    <w:rsid w:val="007B0256"/>
    <w:rsid w:val="007C2C6F"/>
    <w:rsid w:val="0083177B"/>
    <w:rsid w:val="00853FB2"/>
    <w:rsid w:val="00910895"/>
    <w:rsid w:val="009225F0"/>
    <w:rsid w:val="0093462C"/>
    <w:rsid w:val="00937E39"/>
    <w:rsid w:val="00953795"/>
    <w:rsid w:val="00974189"/>
    <w:rsid w:val="00991D77"/>
    <w:rsid w:val="00A37C1B"/>
    <w:rsid w:val="00A5449D"/>
    <w:rsid w:val="00AB47EB"/>
    <w:rsid w:val="00B768E5"/>
    <w:rsid w:val="00B774A4"/>
    <w:rsid w:val="00B91E3E"/>
    <w:rsid w:val="00BA2DB9"/>
    <w:rsid w:val="00BD5F93"/>
    <w:rsid w:val="00BE7148"/>
    <w:rsid w:val="00C42530"/>
    <w:rsid w:val="00C533B2"/>
    <w:rsid w:val="00C70C24"/>
    <w:rsid w:val="00C84DD7"/>
    <w:rsid w:val="00CB5863"/>
    <w:rsid w:val="00CC5823"/>
    <w:rsid w:val="00CD57B1"/>
    <w:rsid w:val="00D02E24"/>
    <w:rsid w:val="00D75549"/>
    <w:rsid w:val="00D856E7"/>
    <w:rsid w:val="00DA1D1A"/>
    <w:rsid w:val="00DA243A"/>
    <w:rsid w:val="00DC339C"/>
    <w:rsid w:val="00E14F2E"/>
    <w:rsid w:val="00E273E4"/>
    <w:rsid w:val="00E5381D"/>
    <w:rsid w:val="00EB5538"/>
    <w:rsid w:val="00EC3D64"/>
    <w:rsid w:val="00EF5BCA"/>
    <w:rsid w:val="00F015AF"/>
    <w:rsid w:val="00F3671D"/>
    <w:rsid w:val="00F6369C"/>
    <w:rsid w:val="00FB7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BD944CF-7096-4FCC-AA26-DC18B85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B1"/>
    <w:pPr>
      <w:spacing w:before="60" w:after="6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semiHidden/>
    <w:unhideWhenUsed/>
    <w:rsid w:val="00CD57B1"/>
    <w:rPr>
      <w:sz w:val="20"/>
    </w:rPr>
  </w:style>
  <w:style w:type="character" w:customStyle="1" w:styleId="CommentTextChar">
    <w:name w:val="Comment Text Char"/>
    <w:basedOn w:val="DefaultParagraphFont"/>
    <w:link w:val="CommentText"/>
    <w:uiPriority w:val="99"/>
    <w:semiHidden/>
    <w:rsid w:val="00CD57B1"/>
    <w:rPr>
      <w:rFonts w:ascii="Times New Roman" w:eastAsia="Times New Roman" w:hAnsi="Times New Roman" w:cs="Times New Roman"/>
      <w:sz w:val="20"/>
      <w:szCs w:val="20"/>
    </w:rPr>
  </w:style>
  <w:style w:type="paragraph" w:styleId="BodyText">
    <w:name w:val="Body Text"/>
    <w:basedOn w:val="Normal"/>
    <w:link w:val="BodyTextChar"/>
    <w:unhideWhenUsed/>
    <w:rsid w:val="00CD57B1"/>
    <w:pPr>
      <w:jc w:val="center"/>
    </w:pPr>
    <w:rPr>
      <w:b/>
    </w:rPr>
  </w:style>
  <w:style w:type="character" w:customStyle="1" w:styleId="BodyTextChar">
    <w:name w:val="Body Text Char"/>
    <w:basedOn w:val="DefaultParagraphFont"/>
    <w:link w:val="BodyText"/>
    <w:rsid w:val="00CD57B1"/>
    <w:rPr>
      <w:rFonts w:ascii="Times New Roman" w:eastAsia="Times New Roman" w:hAnsi="Times New Roman" w:cs="Times New Roman"/>
      <w:b/>
      <w:sz w:val="24"/>
      <w:szCs w:val="20"/>
    </w:rPr>
  </w:style>
  <w:style w:type="paragraph" w:customStyle="1" w:styleId="numberlist">
    <w:name w:val="number_list"/>
    <w:basedOn w:val="Normal"/>
    <w:rsid w:val="00CD57B1"/>
    <w:pPr>
      <w:numPr>
        <w:numId w:val="1"/>
      </w:numPr>
      <w:tabs>
        <w:tab w:val="clear" w:pos="360"/>
        <w:tab w:val="num" w:pos="851"/>
      </w:tabs>
      <w:spacing w:before="0" w:after="120"/>
      <w:ind w:left="0" w:firstLine="0"/>
    </w:pPr>
  </w:style>
  <w:style w:type="paragraph" w:customStyle="1" w:styleId="Letter2Text">
    <w:name w:val="Letter 2 Text"/>
    <w:basedOn w:val="Normal"/>
    <w:rsid w:val="00CD57B1"/>
    <w:pPr>
      <w:spacing w:before="0" w:after="0"/>
    </w:pPr>
  </w:style>
  <w:style w:type="paragraph" w:customStyle="1" w:styleId="numberlist0">
    <w:name w:val="numberlist"/>
    <w:basedOn w:val="Normal"/>
    <w:rsid w:val="00CD57B1"/>
    <w:pPr>
      <w:spacing w:before="0" w:after="120"/>
    </w:pPr>
    <w:rPr>
      <w:rFonts w:eastAsia="Arial Unicode MS"/>
      <w:szCs w:val="24"/>
    </w:rPr>
  </w:style>
  <w:style w:type="character" w:styleId="CommentReference">
    <w:name w:val="annotation reference"/>
    <w:basedOn w:val="DefaultParagraphFont"/>
    <w:uiPriority w:val="99"/>
    <w:semiHidden/>
    <w:unhideWhenUsed/>
    <w:rsid w:val="00CD57B1"/>
    <w:rPr>
      <w:sz w:val="16"/>
      <w:szCs w:val="16"/>
    </w:rPr>
  </w:style>
  <w:style w:type="paragraph" w:styleId="BalloonText">
    <w:name w:val="Balloon Text"/>
    <w:basedOn w:val="Normal"/>
    <w:link w:val="BalloonTextChar"/>
    <w:uiPriority w:val="99"/>
    <w:semiHidden/>
    <w:unhideWhenUsed/>
    <w:rsid w:val="00CD57B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B1"/>
    <w:rPr>
      <w:rFonts w:ascii="Segoe UI" w:eastAsia="Times New Roman" w:hAnsi="Segoe UI" w:cs="Segoe UI"/>
      <w:sz w:val="18"/>
      <w:szCs w:val="18"/>
    </w:rPr>
  </w:style>
  <w:style w:type="character" w:styleId="Hyperlink">
    <w:name w:val="Hyperlink"/>
    <w:basedOn w:val="DefaultParagraphFont"/>
    <w:uiPriority w:val="99"/>
    <w:semiHidden/>
    <w:unhideWhenUsed/>
    <w:rsid w:val="002F2EDF"/>
    <w:rPr>
      <w:color w:val="0000FF" w:themeColor="hyperlink"/>
      <w:u w:val="single"/>
    </w:rPr>
  </w:style>
  <w:style w:type="paragraph" w:styleId="FootnoteText">
    <w:name w:val="footnote text"/>
    <w:basedOn w:val="Normal"/>
    <w:link w:val="FootnoteTextChar"/>
    <w:uiPriority w:val="99"/>
    <w:semiHidden/>
    <w:unhideWhenUsed/>
    <w:rsid w:val="002F2EDF"/>
    <w:pPr>
      <w:spacing w:before="0" w:after="0"/>
    </w:pPr>
    <w:rPr>
      <w:sz w:val="20"/>
    </w:rPr>
  </w:style>
  <w:style w:type="character" w:customStyle="1" w:styleId="FootnoteTextChar">
    <w:name w:val="Footnote Text Char"/>
    <w:basedOn w:val="DefaultParagraphFont"/>
    <w:link w:val="FootnoteText"/>
    <w:uiPriority w:val="99"/>
    <w:semiHidden/>
    <w:rsid w:val="002F2E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F2EDF"/>
    <w:rPr>
      <w:vertAlign w:val="superscript"/>
    </w:rPr>
  </w:style>
  <w:style w:type="paragraph" w:customStyle="1" w:styleId="ChapterHeading">
    <w:name w:val="Chapter Heading"/>
    <w:next w:val="Heading2"/>
    <w:rsid w:val="002027C0"/>
    <w:pPr>
      <w:numPr>
        <w:numId w:val="3"/>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2027C0"/>
    <w:pPr>
      <w:keepNext/>
      <w:numPr>
        <w:ilvl w:val="4"/>
        <w:numId w:val="3"/>
      </w:numPr>
      <w:tabs>
        <w:tab w:val="num" w:pos="360"/>
        <w:tab w:val="num" w:pos="3600"/>
      </w:tabs>
      <w:spacing w:before="120" w:after="120"/>
      <w:ind w:left="3600" w:hanging="360"/>
    </w:pPr>
    <w:rPr>
      <w:rFonts w:eastAsia="Times New Roman" w:cs="Times New Roman"/>
      <w:bCs w:val="0"/>
      <w:i w:val="0"/>
      <w:iCs w:val="0"/>
      <w:lang w:eastAsia="en-AU"/>
    </w:rPr>
  </w:style>
  <w:style w:type="character" w:customStyle="1" w:styleId="base-text-paragraphChar">
    <w:name w:val="base-text-paragraph Char"/>
    <w:link w:val="base-text-paragraph"/>
    <w:locked/>
    <w:rsid w:val="002027C0"/>
    <w:rPr>
      <w:rFonts w:ascii="Times New Roman" w:eastAsia="Times New Roman" w:hAnsi="Times New Roman" w:cs="Times New Roman"/>
      <w:szCs w:val="20"/>
      <w:lang w:eastAsia="en-AU"/>
    </w:rPr>
  </w:style>
  <w:style w:type="paragraph" w:customStyle="1" w:styleId="base-text-paragraph">
    <w:name w:val="base-text-paragraph"/>
    <w:basedOn w:val="Normal"/>
    <w:link w:val="base-text-paragraphChar"/>
    <w:rsid w:val="002027C0"/>
    <w:pPr>
      <w:numPr>
        <w:ilvl w:val="1"/>
        <w:numId w:val="3"/>
      </w:numPr>
      <w:spacing w:before="120" w:after="120"/>
    </w:pPr>
    <w:rPr>
      <w:sz w:val="22"/>
      <w:lang w:eastAsia="en-AU"/>
    </w:rPr>
  </w:style>
  <w:style w:type="paragraph" w:customStyle="1" w:styleId="ExampleHeading">
    <w:name w:val="Example Heading"/>
    <w:basedOn w:val="Normal"/>
    <w:next w:val="Normal"/>
    <w:rsid w:val="002027C0"/>
    <w:pPr>
      <w:keepNext/>
      <w:numPr>
        <w:ilvl w:val="3"/>
        <w:numId w:val="3"/>
      </w:numPr>
      <w:spacing w:before="120" w:after="120"/>
    </w:pPr>
    <w:rPr>
      <w:b/>
      <w:sz w:val="22"/>
      <w:lang w:eastAsia="en-AU"/>
    </w:rPr>
  </w:style>
  <w:style w:type="paragraph" w:customStyle="1" w:styleId="Diagram">
    <w:name w:val="Diagram"/>
    <w:basedOn w:val="Normal"/>
    <w:next w:val="Normal"/>
    <w:rsid w:val="002027C0"/>
    <w:pPr>
      <w:keepNext/>
      <w:numPr>
        <w:ilvl w:val="2"/>
        <w:numId w:val="3"/>
      </w:numPr>
      <w:spacing w:before="0" w:after="0"/>
    </w:pPr>
    <w:rPr>
      <w:b/>
      <w:sz w:val="22"/>
      <w:lang w:eastAsia="en-AU"/>
    </w:rPr>
  </w:style>
  <w:style w:type="numbering" w:customStyle="1" w:styleId="ChapterList">
    <w:name w:val="ChapterList"/>
    <w:uiPriority w:val="99"/>
    <w:rsid w:val="002027C0"/>
    <w:pPr>
      <w:numPr>
        <w:numId w:val="3"/>
      </w:numPr>
    </w:pPr>
  </w:style>
  <w:style w:type="paragraph" w:styleId="CommentSubject">
    <w:name w:val="annotation subject"/>
    <w:basedOn w:val="CommentText"/>
    <w:next w:val="CommentText"/>
    <w:link w:val="CommentSubjectChar"/>
    <w:uiPriority w:val="99"/>
    <w:semiHidden/>
    <w:unhideWhenUsed/>
    <w:rsid w:val="00C42530"/>
    <w:rPr>
      <w:b/>
      <w:bCs/>
    </w:rPr>
  </w:style>
  <w:style w:type="character" w:customStyle="1" w:styleId="CommentSubjectChar">
    <w:name w:val="Comment Subject Char"/>
    <w:basedOn w:val="CommentTextChar"/>
    <w:link w:val="CommentSubject"/>
    <w:uiPriority w:val="99"/>
    <w:semiHidden/>
    <w:rsid w:val="00C4253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D2C2B"/>
    <w:pPr>
      <w:tabs>
        <w:tab w:val="center" w:pos="4513"/>
        <w:tab w:val="right" w:pos="9026"/>
      </w:tabs>
      <w:spacing w:before="0" w:after="0"/>
    </w:pPr>
  </w:style>
  <w:style w:type="character" w:customStyle="1" w:styleId="HeaderChar">
    <w:name w:val="Header Char"/>
    <w:basedOn w:val="DefaultParagraphFont"/>
    <w:link w:val="Header"/>
    <w:uiPriority w:val="99"/>
    <w:rsid w:val="006D2C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D2C2B"/>
    <w:pPr>
      <w:tabs>
        <w:tab w:val="center" w:pos="4513"/>
        <w:tab w:val="right" w:pos="9026"/>
      </w:tabs>
      <w:spacing w:before="0" w:after="0"/>
    </w:pPr>
  </w:style>
  <w:style w:type="character" w:customStyle="1" w:styleId="FooterChar">
    <w:name w:val="Footer Char"/>
    <w:basedOn w:val="DefaultParagraphFont"/>
    <w:link w:val="Footer"/>
    <w:uiPriority w:val="99"/>
    <w:rsid w:val="006D2C2B"/>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533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33B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1280">
      <w:bodyDiv w:val="1"/>
      <w:marLeft w:val="0"/>
      <w:marRight w:val="0"/>
      <w:marTop w:val="0"/>
      <w:marBottom w:val="0"/>
      <w:divBdr>
        <w:top w:val="none" w:sz="0" w:space="0" w:color="auto"/>
        <w:left w:val="none" w:sz="0" w:space="0" w:color="auto"/>
        <w:bottom w:val="none" w:sz="0" w:space="0" w:color="auto"/>
        <w:right w:val="none" w:sz="0" w:space="0" w:color="auto"/>
      </w:divBdr>
    </w:div>
    <w:div w:id="830028191">
      <w:bodyDiv w:val="1"/>
      <w:marLeft w:val="0"/>
      <w:marRight w:val="0"/>
      <w:marTop w:val="0"/>
      <w:marBottom w:val="0"/>
      <w:divBdr>
        <w:top w:val="none" w:sz="0" w:space="0" w:color="auto"/>
        <w:left w:val="none" w:sz="0" w:space="0" w:color="auto"/>
        <w:bottom w:val="none" w:sz="0" w:space="0" w:color="auto"/>
        <w:right w:val="none" w:sz="0" w:space="0" w:color="auto"/>
      </w:divBdr>
    </w:div>
    <w:div w:id="881793225">
      <w:bodyDiv w:val="1"/>
      <w:marLeft w:val="0"/>
      <w:marRight w:val="0"/>
      <w:marTop w:val="0"/>
      <w:marBottom w:val="0"/>
      <w:divBdr>
        <w:top w:val="none" w:sz="0" w:space="0" w:color="auto"/>
        <w:left w:val="none" w:sz="0" w:space="0" w:color="auto"/>
        <w:bottom w:val="none" w:sz="0" w:space="0" w:color="auto"/>
        <w:right w:val="none" w:sz="0" w:space="0" w:color="auto"/>
      </w:divBdr>
    </w:div>
    <w:div w:id="1610502586">
      <w:bodyDiv w:val="1"/>
      <w:marLeft w:val="0"/>
      <w:marRight w:val="0"/>
      <w:marTop w:val="0"/>
      <w:marBottom w:val="0"/>
      <w:divBdr>
        <w:top w:val="none" w:sz="0" w:space="0" w:color="auto"/>
        <w:left w:val="none" w:sz="0" w:space="0" w:color="auto"/>
        <w:bottom w:val="none" w:sz="0" w:space="0" w:color="auto"/>
        <w:right w:val="none" w:sz="0" w:space="0" w:color="auto"/>
      </w:divBdr>
    </w:div>
    <w:div w:id="1637831301">
      <w:bodyDiv w:val="1"/>
      <w:marLeft w:val="0"/>
      <w:marRight w:val="0"/>
      <w:marTop w:val="0"/>
      <w:marBottom w:val="0"/>
      <w:divBdr>
        <w:top w:val="none" w:sz="0" w:space="0" w:color="auto"/>
        <w:left w:val="none" w:sz="0" w:space="0" w:color="auto"/>
        <w:bottom w:val="none" w:sz="0" w:space="0" w:color="auto"/>
        <w:right w:val="none" w:sz="0" w:space="0" w:color="auto"/>
      </w:divBdr>
    </w:div>
    <w:div w:id="21166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Naomi</dc:creator>
  <cp:keywords/>
  <dc:description/>
  <cp:lastModifiedBy>MCNAMARA, Silvia</cp:lastModifiedBy>
  <cp:revision>2</cp:revision>
  <dcterms:created xsi:type="dcterms:W3CDTF">2017-12-20T03:00:00Z</dcterms:created>
  <dcterms:modified xsi:type="dcterms:W3CDTF">2017-12-20T03:00:00Z</dcterms:modified>
</cp:coreProperties>
</file>