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4F6172" w:rsidRDefault="00DA186E" w:rsidP="00B05CF4">
      <w:pPr>
        <w:rPr>
          <w:sz w:val="28"/>
        </w:rPr>
      </w:pPr>
      <w:r w:rsidRPr="004F6172">
        <w:rPr>
          <w:noProof/>
          <w:lang w:eastAsia="en-AU"/>
        </w:rPr>
        <w:drawing>
          <wp:inline distT="0" distB="0" distL="0" distR="0" wp14:anchorId="65AAF7FC" wp14:editId="6AF86F9D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4F6172" w:rsidRDefault="00715914" w:rsidP="00715914">
      <w:pPr>
        <w:rPr>
          <w:sz w:val="19"/>
        </w:rPr>
      </w:pPr>
    </w:p>
    <w:p w:rsidR="00715914" w:rsidRPr="004F6172" w:rsidRDefault="005E2068" w:rsidP="00715914">
      <w:pPr>
        <w:pStyle w:val="ShortT"/>
      </w:pPr>
      <w:r w:rsidRPr="004F6172">
        <w:t>Consumer Goods (Basketball Rings and Backboards) Safety Standard 201</w:t>
      </w:r>
      <w:r w:rsidR="00BA5CEE" w:rsidRPr="004F6172">
        <w:t>7</w:t>
      </w:r>
    </w:p>
    <w:p w:rsidR="005E2068" w:rsidRPr="004F6172" w:rsidRDefault="005E2068" w:rsidP="00672820">
      <w:pPr>
        <w:pStyle w:val="SignCoverPageStart"/>
        <w:rPr>
          <w:szCs w:val="22"/>
        </w:rPr>
      </w:pPr>
      <w:r w:rsidRPr="004F6172">
        <w:rPr>
          <w:szCs w:val="22"/>
        </w:rPr>
        <w:t>I, Michael McCormack, Minister for Sm</w:t>
      </w:r>
      <w:bookmarkStart w:id="0" w:name="_GoBack"/>
      <w:bookmarkEnd w:id="0"/>
      <w:r w:rsidRPr="004F6172">
        <w:rPr>
          <w:szCs w:val="22"/>
        </w:rPr>
        <w:t>all Business, make the following safety standard.</w:t>
      </w:r>
    </w:p>
    <w:p w:rsidR="005E2068" w:rsidRPr="004F6172" w:rsidRDefault="005E2068" w:rsidP="00672820">
      <w:pPr>
        <w:keepNext/>
        <w:spacing w:before="300" w:line="240" w:lineRule="atLeast"/>
        <w:ind w:right="397"/>
        <w:jc w:val="both"/>
        <w:rPr>
          <w:szCs w:val="22"/>
        </w:rPr>
      </w:pPr>
      <w:r w:rsidRPr="004F6172">
        <w:rPr>
          <w:szCs w:val="22"/>
        </w:rPr>
        <w:t>Dated</w:t>
      </w:r>
      <w:r w:rsidRPr="004F6172">
        <w:rPr>
          <w:szCs w:val="22"/>
        </w:rPr>
        <w:tab/>
      </w:r>
      <w:r w:rsidR="00AB0996">
        <w:rPr>
          <w:szCs w:val="22"/>
        </w:rPr>
        <w:t xml:space="preserve">14 December </w:t>
      </w:r>
      <w:r w:rsidR="00A83E99" w:rsidRPr="004F6172">
        <w:rPr>
          <w:szCs w:val="22"/>
        </w:rPr>
        <w:t>201</w:t>
      </w:r>
      <w:r w:rsidR="00BA5CEE" w:rsidRPr="004F6172">
        <w:rPr>
          <w:szCs w:val="22"/>
        </w:rPr>
        <w:t>7</w:t>
      </w:r>
    </w:p>
    <w:p w:rsidR="005E2068" w:rsidRPr="004F6172" w:rsidRDefault="005E2068" w:rsidP="0067282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4F6172">
        <w:rPr>
          <w:szCs w:val="22"/>
        </w:rPr>
        <w:t>Michael McCormack</w:t>
      </w:r>
    </w:p>
    <w:p w:rsidR="005E2068" w:rsidRPr="004F6172" w:rsidRDefault="005E2068" w:rsidP="00672820">
      <w:pPr>
        <w:pStyle w:val="SignCoverPageEnd"/>
        <w:rPr>
          <w:szCs w:val="22"/>
        </w:rPr>
      </w:pPr>
      <w:r w:rsidRPr="004F6172">
        <w:rPr>
          <w:szCs w:val="22"/>
        </w:rPr>
        <w:t>Minister for Small Business</w:t>
      </w:r>
    </w:p>
    <w:p w:rsidR="005E2068" w:rsidRPr="004F6172" w:rsidRDefault="005E2068" w:rsidP="00672820"/>
    <w:p w:rsidR="00715914" w:rsidRPr="004F6172" w:rsidRDefault="00715914" w:rsidP="00715914">
      <w:pPr>
        <w:pStyle w:val="Header"/>
        <w:tabs>
          <w:tab w:val="clear" w:pos="4150"/>
          <w:tab w:val="clear" w:pos="8307"/>
        </w:tabs>
      </w:pPr>
      <w:r w:rsidRPr="004F6172">
        <w:rPr>
          <w:rStyle w:val="CharChapNo"/>
        </w:rPr>
        <w:t xml:space="preserve"> </w:t>
      </w:r>
      <w:r w:rsidRPr="004F6172">
        <w:rPr>
          <w:rStyle w:val="CharChapText"/>
        </w:rPr>
        <w:t xml:space="preserve"> </w:t>
      </w:r>
    </w:p>
    <w:p w:rsidR="00715914" w:rsidRPr="004F6172" w:rsidRDefault="00715914" w:rsidP="00715914">
      <w:pPr>
        <w:pStyle w:val="Header"/>
        <w:tabs>
          <w:tab w:val="clear" w:pos="4150"/>
          <w:tab w:val="clear" w:pos="8307"/>
        </w:tabs>
      </w:pPr>
      <w:r w:rsidRPr="004F6172">
        <w:rPr>
          <w:rStyle w:val="CharPartNo"/>
        </w:rPr>
        <w:t xml:space="preserve"> </w:t>
      </w:r>
      <w:r w:rsidRPr="004F6172">
        <w:rPr>
          <w:rStyle w:val="CharPartText"/>
        </w:rPr>
        <w:t xml:space="preserve"> </w:t>
      </w:r>
    </w:p>
    <w:p w:rsidR="00715914" w:rsidRPr="004F6172" w:rsidRDefault="00715914" w:rsidP="00715914">
      <w:pPr>
        <w:pStyle w:val="Header"/>
        <w:tabs>
          <w:tab w:val="clear" w:pos="4150"/>
          <w:tab w:val="clear" w:pos="8307"/>
        </w:tabs>
      </w:pPr>
      <w:r w:rsidRPr="004F6172">
        <w:rPr>
          <w:rStyle w:val="CharDivNo"/>
        </w:rPr>
        <w:t xml:space="preserve"> </w:t>
      </w:r>
      <w:r w:rsidRPr="004F6172">
        <w:rPr>
          <w:rStyle w:val="CharDivText"/>
        </w:rPr>
        <w:t xml:space="preserve"> </w:t>
      </w:r>
    </w:p>
    <w:p w:rsidR="00715914" w:rsidRPr="004F6172" w:rsidRDefault="00715914" w:rsidP="00715914">
      <w:pPr>
        <w:sectPr w:rsidR="00715914" w:rsidRPr="004F6172" w:rsidSect="00C82FC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4F6172" w:rsidRDefault="00715914" w:rsidP="006F6CB6">
      <w:pPr>
        <w:rPr>
          <w:sz w:val="36"/>
        </w:rPr>
      </w:pPr>
      <w:r w:rsidRPr="004F6172">
        <w:rPr>
          <w:sz w:val="36"/>
        </w:rPr>
        <w:lastRenderedPageBreak/>
        <w:t>Contents</w:t>
      </w:r>
    </w:p>
    <w:p w:rsidR="002F4205" w:rsidRPr="004F6172" w:rsidRDefault="002F4205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F6172">
        <w:fldChar w:fldCharType="begin"/>
      </w:r>
      <w:r w:rsidRPr="004F6172">
        <w:instrText xml:space="preserve"> TOC \o "1-9" </w:instrText>
      </w:r>
      <w:r w:rsidRPr="004F6172">
        <w:fldChar w:fldCharType="separate"/>
      </w:r>
      <w:r w:rsidRPr="004F6172">
        <w:rPr>
          <w:noProof/>
        </w:rPr>
        <w:t>Part</w:t>
      </w:r>
      <w:r w:rsidR="004F6172" w:rsidRPr="004F6172">
        <w:rPr>
          <w:noProof/>
        </w:rPr>
        <w:t> </w:t>
      </w:r>
      <w:r w:rsidRPr="004F6172">
        <w:rPr>
          <w:noProof/>
        </w:rPr>
        <w:t>1—Preliminary</w:t>
      </w:r>
      <w:r w:rsidRPr="004F6172">
        <w:rPr>
          <w:b w:val="0"/>
          <w:noProof/>
          <w:sz w:val="18"/>
        </w:rPr>
        <w:tab/>
      </w:r>
      <w:r w:rsidRPr="004F6172">
        <w:rPr>
          <w:b w:val="0"/>
          <w:noProof/>
          <w:sz w:val="18"/>
        </w:rPr>
        <w:fldChar w:fldCharType="begin"/>
      </w:r>
      <w:r w:rsidRPr="004F6172">
        <w:rPr>
          <w:b w:val="0"/>
          <w:noProof/>
          <w:sz w:val="18"/>
        </w:rPr>
        <w:instrText xml:space="preserve"> PAGEREF _Toc500398944 \h </w:instrText>
      </w:r>
      <w:r w:rsidRPr="004F6172">
        <w:rPr>
          <w:b w:val="0"/>
          <w:noProof/>
          <w:sz w:val="18"/>
        </w:rPr>
      </w:r>
      <w:r w:rsidRPr="004F6172">
        <w:rPr>
          <w:b w:val="0"/>
          <w:noProof/>
          <w:sz w:val="18"/>
        </w:rPr>
        <w:fldChar w:fldCharType="separate"/>
      </w:r>
      <w:r w:rsidR="00AB0996">
        <w:rPr>
          <w:b w:val="0"/>
          <w:noProof/>
          <w:sz w:val="18"/>
        </w:rPr>
        <w:t>1</w:t>
      </w:r>
      <w:r w:rsidRPr="004F6172">
        <w:rPr>
          <w:b w:val="0"/>
          <w:noProof/>
          <w:sz w:val="18"/>
        </w:rPr>
        <w:fldChar w:fldCharType="end"/>
      </w:r>
    </w:p>
    <w:p w:rsidR="002F4205" w:rsidRPr="004F6172" w:rsidRDefault="002F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172">
        <w:rPr>
          <w:noProof/>
        </w:rPr>
        <w:t>1</w:t>
      </w:r>
      <w:r w:rsidRPr="004F6172">
        <w:rPr>
          <w:noProof/>
        </w:rPr>
        <w:tab/>
        <w:t>Name</w:t>
      </w:r>
      <w:r w:rsidRPr="004F6172">
        <w:rPr>
          <w:noProof/>
        </w:rPr>
        <w:tab/>
      </w:r>
      <w:r w:rsidRPr="004F6172">
        <w:rPr>
          <w:noProof/>
        </w:rPr>
        <w:fldChar w:fldCharType="begin"/>
      </w:r>
      <w:r w:rsidRPr="004F6172">
        <w:rPr>
          <w:noProof/>
        </w:rPr>
        <w:instrText xml:space="preserve"> PAGEREF _Toc500398945 \h </w:instrText>
      </w:r>
      <w:r w:rsidRPr="004F6172">
        <w:rPr>
          <w:noProof/>
        </w:rPr>
      </w:r>
      <w:r w:rsidRPr="004F6172">
        <w:rPr>
          <w:noProof/>
        </w:rPr>
        <w:fldChar w:fldCharType="separate"/>
      </w:r>
      <w:r w:rsidR="00AB0996">
        <w:rPr>
          <w:noProof/>
        </w:rPr>
        <w:t>1</w:t>
      </w:r>
      <w:r w:rsidRPr="004F6172">
        <w:rPr>
          <w:noProof/>
        </w:rPr>
        <w:fldChar w:fldCharType="end"/>
      </w:r>
    </w:p>
    <w:p w:rsidR="002F4205" w:rsidRPr="004F6172" w:rsidRDefault="002F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172">
        <w:rPr>
          <w:noProof/>
        </w:rPr>
        <w:t>2</w:t>
      </w:r>
      <w:r w:rsidRPr="004F6172">
        <w:rPr>
          <w:noProof/>
        </w:rPr>
        <w:tab/>
        <w:t>Commencement</w:t>
      </w:r>
      <w:r w:rsidRPr="004F6172">
        <w:rPr>
          <w:noProof/>
        </w:rPr>
        <w:tab/>
      </w:r>
      <w:r w:rsidRPr="004F6172">
        <w:rPr>
          <w:noProof/>
        </w:rPr>
        <w:fldChar w:fldCharType="begin"/>
      </w:r>
      <w:r w:rsidRPr="004F6172">
        <w:rPr>
          <w:noProof/>
        </w:rPr>
        <w:instrText xml:space="preserve"> PAGEREF _Toc500398946 \h </w:instrText>
      </w:r>
      <w:r w:rsidRPr="004F6172">
        <w:rPr>
          <w:noProof/>
        </w:rPr>
      </w:r>
      <w:r w:rsidRPr="004F6172">
        <w:rPr>
          <w:noProof/>
        </w:rPr>
        <w:fldChar w:fldCharType="separate"/>
      </w:r>
      <w:r w:rsidR="00AB0996">
        <w:rPr>
          <w:noProof/>
        </w:rPr>
        <w:t>1</w:t>
      </w:r>
      <w:r w:rsidRPr="004F6172">
        <w:rPr>
          <w:noProof/>
        </w:rPr>
        <w:fldChar w:fldCharType="end"/>
      </w:r>
    </w:p>
    <w:p w:rsidR="002F4205" w:rsidRPr="004F6172" w:rsidRDefault="002F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172">
        <w:rPr>
          <w:noProof/>
        </w:rPr>
        <w:t>3</w:t>
      </w:r>
      <w:r w:rsidRPr="004F6172">
        <w:rPr>
          <w:noProof/>
        </w:rPr>
        <w:tab/>
        <w:t>Authority</w:t>
      </w:r>
      <w:r w:rsidRPr="004F6172">
        <w:rPr>
          <w:noProof/>
        </w:rPr>
        <w:tab/>
      </w:r>
      <w:r w:rsidRPr="004F6172">
        <w:rPr>
          <w:noProof/>
        </w:rPr>
        <w:fldChar w:fldCharType="begin"/>
      </w:r>
      <w:r w:rsidRPr="004F6172">
        <w:rPr>
          <w:noProof/>
        </w:rPr>
        <w:instrText xml:space="preserve"> PAGEREF _Toc500398947 \h </w:instrText>
      </w:r>
      <w:r w:rsidRPr="004F6172">
        <w:rPr>
          <w:noProof/>
        </w:rPr>
      </w:r>
      <w:r w:rsidRPr="004F6172">
        <w:rPr>
          <w:noProof/>
        </w:rPr>
        <w:fldChar w:fldCharType="separate"/>
      </w:r>
      <w:r w:rsidR="00AB0996">
        <w:rPr>
          <w:noProof/>
        </w:rPr>
        <w:t>1</w:t>
      </w:r>
      <w:r w:rsidRPr="004F6172">
        <w:rPr>
          <w:noProof/>
        </w:rPr>
        <w:fldChar w:fldCharType="end"/>
      </w:r>
    </w:p>
    <w:p w:rsidR="002F4205" w:rsidRPr="004F6172" w:rsidRDefault="002F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172">
        <w:rPr>
          <w:noProof/>
        </w:rPr>
        <w:t>4</w:t>
      </w:r>
      <w:r w:rsidRPr="004F6172">
        <w:rPr>
          <w:noProof/>
        </w:rPr>
        <w:tab/>
        <w:t>Schedules</w:t>
      </w:r>
      <w:r w:rsidRPr="004F6172">
        <w:rPr>
          <w:noProof/>
        </w:rPr>
        <w:tab/>
      </w:r>
      <w:r w:rsidRPr="004F6172">
        <w:rPr>
          <w:noProof/>
        </w:rPr>
        <w:fldChar w:fldCharType="begin"/>
      </w:r>
      <w:r w:rsidRPr="004F6172">
        <w:rPr>
          <w:noProof/>
        </w:rPr>
        <w:instrText xml:space="preserve"> PAGEREF _Toc500398948 \h </w:instrText>
      </w:r>
      <w:r w:rsidRPr="004F6172">
        <w:rPr>
          <w:noProof/>
        </w:rPr>
      </w:r>
      <w:r w:rsidRPr="004F6172">
        <w:rPr>
          <w:noProof/>
        </w:rPr>
        <w:fldChar w:fldCharType="separate"/>
      </w:r>
      <w:r w:rsidR="00AB0996">
        <w:rPr>
          <w:noProof/>
        </w:rPr>
        <w:t>1</w:t>
      </w:r>
      <w:r w:rsidRPr="004F6172">
        <w:rPr>
          <w:noProof/>
        </w:rPr>
        <w:fldChar w:fldCharType="end"/>
      </w:r>
    </w:p>
    <w:p w:rsidR="002F4205" w:rsidRPr="004F6172" w:rsidRDefault="002F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172">
        <w:rPr>
          <w:noProof/>
        </w:rPr>
        <w:t>5</w:t>
      </w:r>
      <w:r w:rsidRPr="004F6172">
        <w:rPr>
          <w:noProof/>
        </w:rPr>
        <w:tab/>
        <w:t>Definitions</w:t>
      </w:r>
      <w:r w:rsidRPr="004F6172">
        <w:rPr>
          <w:noProof/>
        </w:rPr>
        <w:tab/>
      </w:r>
      <w:r w:rsidRPr="004F6172">
        <w:rPr>
          <w:noProof/>
        </w:rPr>
        <w:fldChar w:fldCharType="begin"/>
      </w:r>
      <w:r w:rsidRPr="004F6172">
        <w:rPr>
          <w:noProof/>
        </w:rPr>
        <w:instrText xml:space="preserve"> PAGEREF _Toc500398949 \h </w:instrText>
      </w:r>
      <w:r w:rsidRPr="004F6172">
        <w:rPr>
          <w:noProof/>
        </w:rPr>
      </w:r>
      <w:r w:rsidRPr="004F6172">
        <w:rPr>
          <w:noProof/>
        </w:rPr>
        <w:fldChar w:fldCharType="separate"/>
      </w:r>
      <w:r w:rsidR="00AB0996">
        <w:rPr>
          <w:noProof/>
        </w:rPr>
        <w:t>1</w:t>
      </w:r>
      <w:r w:rsidRPr="004F6172">
        <w:rPr>
          <w:noProof/>
        </w:rPr>
        <w:fldChar w:fldCharType="end"/>
      </w:r>
    </w:p>
    <w:p w:rsidR="002F4205" w:rsidRPr="004F6172" w:rsidRDefault="002F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172">
        <w:rPr>
          <w:noProof/>
        </w:rPr>
        <w:t>6</w:t>
      </w:r>
      <w:r w:rsidRPr="004F6172">
        <w:rPr>
          <w:noProof/>
        </w:rPr>
        <w:tab/>
        <w:t>Application</w:t>
      </w:r>
      <w:r w:rsidRPr="004F6172">
        <w:rPr>
          <w:noProof/>
        </w:rPr>
        <w:tab/>
      </w:r>
      <w:r w:rsidRPr="004F6172">
        <w:rPr>
          <w:noProof/>
        </w:rPr>
        <w:fldChar w:fldCharType="begin"/>
      </w:r>
      <w:r w:rsidRPr="004F6172">
        <w:rPr>
          <w:noProof/>
        </w:rPr>
        <w:instrText xml:space="preserve"> PAGEREF _Toc500398950 \h </w:instrText>
      </w:r>
      <w:r w:rsidRPr="004F6172">
        <w:rPr>
          <w:noProof/>
        </w:rPr>
      </w:r>
      <w:r w:rsidRPr="004F6172">
        <w:rPr>
          <w:noProof/>
        </w:rPr>
        <w:fldChar w:fldCharType="separate"/>
      </w:r>
      <w:r w:rsidR="00AB0996">
        <w:rPr>
          <w:noProof/>
        </w:rPr>
        <w:t>1</w:t>
      </w:r>
      <w:r w:rsidRPr="004F6172">
        <w:rPr>
          <w:noProof/>
        </w:rPr>
        <w:fldChar w:fldCharType="end"/>
      </w:r>
    </w:p>
    <w:p w:rsidR="002F4205" w:rsidRPr="004F6172" w:rsidRDefault="002F4205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F6172">
        <w:rPr>
          <w:noProof/>
        </w:rPr>
        <w:t>Part</w:t>
      </w:r>
      <w:r w:rsidR="004F6172" w:rsidRPr="004F6172">
        <w:rPr>
          <w:noProof/>
        </w:rPr>
        <w:t> </w:t>
      </w:r>
      <w:r w:rsidRPr="004F6172">
        <w:rPr>
          <w:noProof/>
        </w:rPr>
        <w:t>2—Requirements</w:t>
      </w:r>
      <w:r w:rsidRPr="004F6172">
        <w:rPr>
          <w:b w:val="0"/>
          <w:noProof/>
          <w:sz w:val="18"/>
        </w:rPr>
        <w:tab/>
      </w:r>
      <w:r w:rsidRPr="004F6172">
        <w:rPr>
          <w:b w:val="0"/>
          <w:noProof/>
          <w:sz w:val="18"/>
        </w:rPr>
        <w:fldChar w:fldCharType="begin"/>
      </w:r>
      <w:r w:rsidRPr="004F6172">
        <w:rPr>
          <w:b w:val="0"/>
          <w:noProof/>
          <w:sz w:val="18"/>
        </w:rPr>
        <w:instrText xml:space="preserve"> PAGEREF _Toc500398951 \h </w:instrText>
      </w:r>
      <w:r w:rsidRPr="004F6172">
        <w:rPr>
          <w:b w:val="0"/>
          <w:noProof/>
          <w:sz w:val="18"/>
        </w:rPr>
      </w:r>
      <w:r w:rsidRPr="004F6172">
        <w:rPr>
          <w:b w:val="0"/>
          <w:noProof/>
          <w:sz w:val="18"/>
        </w:rPr>
        <w:fldChar w:fldCharType="separate"/>
      </w:r>
      <w:r w:rsidR="00AB0996">
        <w:rPr>
          <w:b w:val="0"/>
          <w:noProof/>
          <w:sz w:val="18"/>
        </w:rPr>
        <w:t>2</w:t>
      </w:r>
      <w:r w:rsidRPr="004F6172">
        <w:rPr>
          <w:b w:val="0"/>
          <w:noProof/>
          <w:sz w:val="18"/>
        </w:rPr>
        <w:fldChar w:fldCharType="end"/>
      </w:r>
    </w:p>
    <w:p w:rsidR="002F4205" w:rsidRPr="004F6172" w:rsidRDefault="002F4205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4F6172">
        <w:rPr>
          <w:noProof/>
        </w:rPr>
        <w:t>Division</w:t>
      </w:r>
      <w:r w:rsidR="004F6172" w:rsidRPr="004F6172">
        <w:rPr>
          <w:noProof/>
        </w:rPr>
        <w:t> </w:t>
      </w:r>
      <w:r w:rsidRPr="004F6172">
        <w:rPr>
          <w:noProof/>
        </w:rPr>
        <w:t>1—Basic requirements</w:t>
      </w:r>
      <w:r w:rsidRPr="004F6172">
        <w:rPr>
          <w:b w:val="0"/>
          <w:noProof/>
          <w:sz w:val="18"/>
        </w:rPr>
        <w:tab/>
      </w:r>
      <w:r w:rsidRPr="004F6172">
        <w:rPr>
          <w:b w:val="0"/>
          <w:noProof/>
          <w:sz w:val="18"/>
        </w:rPr>
        <w:fldChar w:fldCharType="begin"/>
      </w:r>
      <w:r w:rsidRPr="004F6172">
        <w:rPr>
          <w:b w:val="0"/>
          <w:noProof/>
          <w:sz w:val="18"/>
        </w:rPr>
        <w:instrText xml:space="preserve"> PAGEREF _Toc500398952 \h </w:instrText>
      </w:r>
      <w:r w:rsidRPr="004F6172">
        <w:rPr>
          <w:b w:val="0"/>
          <w:noProof/>
          <w:sz w:val="18"/>
        </w:rPr>
      </w:r>
      <w:r w:rsidRPr="004F6172">
        <w:rPr>
          <w:b w:val="0"/>
          <w:noProof/>
          <w:sz w:val="18"/>
        </w:rPr>
        <w:fldChar w:fldCharType="separate"/>
      </w:r>
      <w:r w:rsidR="00AB0996">
        <w:rPr>
          <w:b w:val="0"/>
          <w:noProof/>
          <w:sz w:val="18"/>
        </w:rPr>
        <w:t>2</w:t>
      </w:r>
      <w:r w:rsidRPr="004F6172">
        <w:rPr>
          <w:b w:val="0"/>
          <w:noProof/>
          <w:sz w:val="18"/>
        </w:rPr>
        <w:fldChar w:fldCharType="end"/>
      </w:r>
    </w:p>
    <w:p w:rsidR="002F4205" w:rsidRPr="004F6172" w:rsidRDefault="002F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172">
        <w:rPr>
          <w:noProof/>
        </w:rPr>
        <w:t>7</w:t>
      </w:r>
      <w:r w:rsidRPr="004F6172">
        <w:rPr>
          <w:noProof/>
        </w:rPr>
        <w:tab/>
        <w:t>Requirements during transitional period</w:t>
      </w:r>
      <w:r w:rsidRPr="004F6172">
        <w:rPr>
          <w:noProof/>
        </w:rPr>
        <w:tab/>
      </w:r>
      <w:r w:rsidRPr="004F6172">
        <w:rPr>
          <w:noProof/>
        </w:rPr>
        <w:fldChar w:fldCharType="begin"/>
      </w:r>
      <w:r w:rsidRPr="004F6172">
        <w:rPr>
          <w:noProof/>
        </w:rPr>
        <w:instrText xml:space="preserve"> PAGEREF _Toc500398953 \h </w:instrText>
      </w:r>
      <w:r w:rsidRPr="004F6172">
        <w:rPr>
          <w:noProof/>
        </w:rPr>
      </w:r>
      <w:r w:rsidRPr="004F6172">
        <w:rPr>
          <w:noProof/>
        </w:rPr>
        <w:fldChar w:fldCharType="separate"/>
      </w:r>
      <w:r w:rsidR="00AB0996">
        <w:rPr>
          <w:noProof/>
        </w:rPr>
        <w:t>2</w:t>
      </w:r>
      <w:r w:rsidRPr="004F6172">
        <w:rPr>
          <w:noProof/>
        </w:rPr>
        <w:fldChar w:fldCharType="end"/>
      </w:r>
    </w:p>
    <w:p w:rsidR="002F4205" w:rsidRPr="004F6172" w:rsidRDefault="002F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172">
        <w:rPr>
          <w:noProof/>
        </w:rPr>
        <w:t>8</w:t>
      </w:r>
      <w:r w:rsidRPr="004F6172">
        <w:rPr>
          <w:noProof/>
        </w:rPr>
        <w:tab/>
        <w:t>Requirements after transitional period</w:t>
      </w:r>
      <w:r w:rsidRPr="004F6172">
        <w:rPr>
          <w:noProof/>
        </w:rPr>
        <w:tab/>
      </w:r>
      <w:r w:rsidRPr="004F6172">
        <w:rPr>
          <w:noProof/>
        </w:rPr>
        <w:fldChar w:fldCharType="begin"/>
      </w:r>
      <w:r w:rsidRPr="004F6172">
        <w:rPr>
          <w:noProof/>
        </w:rPr>
        <w:instrText xml:space="preserve"> PAGEREF _Toc500398954 \h </w:instrText>
      </w:r>
      <w:r w:rsidRPr="004F6172">
        <w:rPr>
          <w:noProof/>
        </w:rPr>
      </w:r>
      <w:r w:rsidRPr="004F6172">
        <w:rPr>
          <w:noProof/>
        </w:rPr>
        <w:fldChar w:fldCharType="separate"/>
      </w:r>
      <w:r w:rsidR="00AB0996">
        <w:rPr>
          <w:noProof/>
        </w:rPr>
        <w:t>2</w:t>
      </w:r>
      <w:r w:rsidRPr="004F6172">
        <w:rPr>
          <w:noProof/>
        </w:rPr>
        <w:fldChar w:fldCharType="end"/>
      </w:r>
    </w:p>
    <w:p w:rsidR="002F4205" w:rsidRPr="004F6172" w:rsidRDefault="002F4205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4F6172">
        <w:rPr>
          <w:noProof/>
        </w:rPr>
        <w:t>Division</w:t>
      </w:r>
      <w:r w:rsidR="004F6172" w:rsidRPr="004F6172">
        <w:rPr>
          <w:noProof/>
        </w:rPr>
        <w:t> </w:t>
      </w:r>
      <w:r w:rsidRPr="004F6172">
        <w:rPr>
          <w:noProof/>
        </w:rPr>
        <w:t>2—Details of requirements</w:t>
      </w:r>
      <w:r w:rsidRPr="004F6172">
        <w:rPr>
          <w:b w:val="0"/>
          <w:noProof/>
          <w:sz w:val="18"/>
        </w:rPr>
        <w:tab/>
      </w:r>
      <w:r w:rsidRPr="004F6172">
        <w:rPr>
          <w:b w:val="0"/>
          <w:noProof/>
          <w:sz w:val="18"/>
        </w:rPr>
        <w:fldChar w:fldCharType="begin"/>
      </w:r>
      <w:r w:rsidRPr="004F6172">
        <w:rPr>
          <w:b w:val="0"/>
          <w:noProof/>
          <w:sz w:val="18"/>
        </w:rPr>
        <w:instrText xml:space="preserve"> PAGEREF _Toc500398955 \h </w:instrText>
      </w:r>
      <w:r w:rsidRPr="004F6172">
        <w:rPr>
          <w:b w:val="0"/>
          <w:noProof/>
          <w:sz w:val="18"/>
        </w:rPr>
      </w:r>
      <w:r w:rsidRPr="004F6172">
        <w:rPr>
          <w:b w:val="0"/>
          <w:noProof/>
          <w:sz w:val="18"/>
        </w:rPr>
        <w:fldChar w:fldCharType="separate"/>
      </w:r>
      <w:r w:rsidR="00AB0996">
        <w:rPr>
          <w:b w:val="0"/>
          <w:noProof/>
          <w:sz w:val="18"/>
        </w:rPr>
        <w:t>3</w:t>
      </w:r>
      <w:r w:rsidRPr="004F6172">
        <w:rPr>
          <w:b w:val="0"/>
          <w:noProof/>
          <w:sz w:val="18"/>
        </w:rPr>
        <w:fldChar w:fldCharType="end"/>
      </w:r>
    </w:p>
    <w:p w:rsidR="002F4205" w:rsidRPr="004F6172" w:rsidRDefault="002F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172">
        <w:rPr>
          <w:noProof/>
        </w:rPr>
        <w:t>9</w:t>
      </w:r>
      <w:r w:rsidRPr="004F6172">
        <w:rPr>
          <w:noProof/>
        </w:rPr>
        <w:tab/>
        <w:t>Warnings and instructions to accompany basketball ring or backboard</w:t>
      </w:r>
      <w:r w:rsidRPr="004F6172">
        <w:rPr>
          <w:noProof/>
        </w:rPr>
        <w:tab/>
      </w:r>
      <w:r w:rsidRPr="004F6172">
        <w:rPr>
          <w:noProof/>
        </w:rPr>
        <w:fldChar w:fldCharType="begin"/>
      </w:r>
      <w:r w:rsidRPr="004F6172">
        <w:rPr>
          <w:noProof/>
        </w:rPr>
        <w:instrText xml:space="preserve"> PAGEREF _Toc500398956 \h </w:instrText>
      </w:r>
      <w:r w:rsidRPr="004F6172">
        <w:rPr>
          <w:noProof/>
        </w:rPr>
      </w:r>
      <w:r w:rsidRPr="004F6172">
        <w:rPr>
          <w:noProof/>
        </w:rPr>
        <w:fldChar w:fldCharType="separate"/>
      </w:r>
      <w:r w:rsidR="00AB0996">
        <w:rPr>
          <w:noProof/>
        </w:rPr>
        <w:t>3</w:t>
      </w:r>
      <w:r w:rsidRPr="004F6172">
        <w:rPr>
          <w:noProof/>
        </w:rPr>
        <w:fldChar w:fldCharType="end"/>
      </w:r>
    </w:p>
    <w:p w:rsidR="002F4205" w:rsidRPr="004F6172" w:rsidRDefault="002F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172">
        <w:rPr>
          <w:noProof/>
        </w:rPr>
        <w:t>10</w:t>
      </w:r>
      <w:r w:rsidRPr="004F6172">
        <w:rPr>
          <w:noProof/>
        </w:rPr>
        <w:tab/>
        <w:t>Form of written warning accompanying basketball ring or backboard</w:t>
      </w:r>
      <w:r w:rsidRPr="004F6172">
        <w:rPr>
          <w:noProof/>
        </w:rPr>
        <w:tab/>
      </w:r>
      <w:r w:rsidRPr="004F6172">
        <w:rPr>
          <w:noProof/>
        </w:rPr>
        <w:fldChar w:fldCharType="begin"/>
      </w:r>
      <w:r w:rsidRPr="004F6172">
        <w:rPr>
          <w:noProof/>
        </w:rPr>
        <w:instrText xml:space="preserve"> PAGEREF _Toc500398957 \h </w:instrText>
      </w:r>
      <w:r w:rsidRPr="004F6172">
        <w:rPr>
          <w:noProof/>
        </w:rPr>
      </w:r>
      <w:r w:rsidRPr="004F6172">
        <w:rPr>
          <w:noProof/>
        </w:rPr>
        <w:fldChar w:fldCharType="separate"/>
      </w:r>
      <w:r w:rsidR="00AB0996">
        <w:rPr>
          <w:noProof/>
        </w:rPr>
        <w:t>3</w:t>
      </w:r>
      <w:r w:rsidRPr="004F6172">
        <w:rPr>
          <w:noProof/>
        </w:rPr>
        <w:fldChar w:fldCharType="end"/>
      </w:r>
    </w:p>
    <w:p w:rsidR="002F4205" w:rsidRPr="004F6172" w:rsidRDefault="002F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172">
        <w:rPr>
          <w:noProof/>
        </w:rPr>
        <w:t>11</w:t>
      </w:r>
      <w:r w:rsidRPr="004F6172">
        <w:rPr>
          <w:noProof/>
        </w:rPr>
        <w:tab/>
        <w:t>Form of warning symbol accompanying basketball ring or backboard</w:t>
      </w:r>
      <w:r w:rsidRPr="004F6172">
        <w:rPr>
          <w:noProof/>
        </w:rPr>
        <w:tab/>
      </w:r>
      <w:r w:rsidRPr="004F6172">
        <w:rPr>
          <w:noProof/>
        </w:rPr>
        <w:fldChar w:fldCharType="begin"/>
      </w:r>
      <w:r w:rsidRPr="004F6172">
        <w:rPr>
          <w:noProof/>
        </w:rPr>
        <w:instrText xml:space="preserve"> PAGEREF _Toc500398958 \h </w:instrText>
      </w:r>
      <w:r w:rsidRPr="004F6172">
        <w:rPr>
          <w:noProof/>
        </w:rPr>
      </w:r>
      <w:r w:rsidRPr="004F6172">
        <w:rPr>
          <w:noProof/>
        </w:rPr>
        <w:fldChar w:fldCharType="separate"/>
      </w:r>
      <w:r w:rsidR="00AB0996">
        <w:rPr>
          <w:noProof/>
        </w:rPr>
        <w:t>3</w:t>
      </w:r>
      <w:r w:rsidRPr="004F6172">
        <w:rPr>
          <w:noProof/>
        </w:rPr>
        <w:fldChar w:fldCharType="end"/>
      </w:r>
    </w:p>
    <w:p w:rsidR="002F4205" w:rsidRPr="004F6172" w:rsidRDefault="002F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172">
        <w:rPr>
          <w:noProof/>
        </w:rPr>
        <w:t>12</w:t>
      </w:r>
      <w:r w:rsidRPr="004F6172">
        <w:rPr>
          <w:noProof/>
        </w:rPr>
        <w:tab/>
        <w:t>How written warning and warning symbol are to accompany basketball ring or backboard</w:t>
      </w:r>
      <w:r w:rsidRPr="004F6172">
        <w:rPr>
          <w:noProof/>
        </w:rPr>
        <w:tab/>
      </w:r>
      <w:r w:rsidRPr="004F6172">
        <w:rPr>
          <w:noProof/>
        </w:rPr>
        <w:fldChar w:fldCharType="begin"/>
      </w:r>
      <w:r w:rsidRPr="004F6172">
        <w:rPr>
          <w:noProof/>
        </w:rPr>
        <w:instrText xml:space="preserve"> PAGEREF _Toc500398959 \h </w:instrText>
      </w:r>
      <w:r w:rsidRPr="004F6172">
        <w:rPr>
          <w:noProof/>
        </w:rPr>
      </w:r>
      <w:r w:rsidRPr="004F6172">
        <w:rPr>
          <w:noProof/>
        </w:rPr>
        <w:fldChar w:fldCharType="separate"/>
      </w:r>
      <w:r w:rsidR="00AB0996">
        <w:rPr>
          <w:noProof/>
        </w:rPr>
        <w:t>4</w:t>
      </w:r>
      <w:r w:rsidRPr="004F6172">
        <w:rPr>
          <w:noProof/>
        </w:rPr>
        <w:fldChar w:fldCharType="end"/>
      </w:r>
    </w:p>
    <w:p w:rsidR="002F4205" w:rsidRPr="004F6172" w:rsidRDefault="002F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172">
        <w:rPr>
          <w:noProof/>
        </w:rPr>
        <w:t>13</w:t>
      </w:r>
      <w:r w:rsidRPr="004F6172">
        <w:rPr>
          <w:noProof/>
        </w:rPr>
        <w:tab/>
        <w:t>Form of permanent warning marked on front of backboard</w:t>
      </w:r>
      <w:r w:rsidRPr="004F6172">
        <w:rPr>
          <w:noProof/>
        </w:rPr>
        <w:tab/>
      </w:r>
      <w:r w:rsidRPr="004F6172">
        <w:rPr>
          <w:noProof/>
        </w:rPr>
        <w:fldChar w:fldCharType="begin"/>
      </w:r>
      <w:r w:rsidRPr="004F6172">
        <w:rPr>
          <w:noProof/>
        </w:rPr>
        <w:instrText xml:space="preserve"> PAGEREF _Toc500398960 \h </w:instrText>
      </w:r>
      <w:r w:rsidRPr="004F6172">
        <w:rPr>
          <w:noProof/>
        </w:rPr>
      </w:r>
      <w:r w:rsidRPr="004F6172">
        <w:rPr>
          <w:noProof/>
        </w:rPr>
        <w:fldChar w:fldCharType="separate"/>
      </w:r>
      <w:r w:rsidR="00AB0996">
        <w:rPr>
          <w:noProof/>
        </w:rPr>
        <w:t>4</w:t>
      </w:r>
      <w:r w:rsidRPr="004F6172">
        <w:rPr>
          <w:noProof/>
        </w:rPr>
        <w:fldChar w:fldCharType="end"/>
      </w:r>
    </w:p>
    <w:p w:rsidR="002F4205" w:rsidRPr="004F6172" w:rsidRDefault="002F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172">
        <w:rPr>
          <w:noProof/>
        </w:rPr>
        <w:t>14</w:t>
      </w:r>
      <w:r w:rsidRPr="004F6172">
        <w:rPr>
          <w:noProof/>
        </w:rPr>
        <w:tab/>
        <w:t>Instructions accompanying basketball ring or backboard for installation for safe use</w:t>
      </w:r>
      <w:r w:rsidRPr="004F6172">
        <w:rPr>
          <w:noProof/>
        </w:rPr>
        <w:tab/>
      </w:r>
      <w:r w:rsidRPr="004F6172">
        <w:rPr>
          <w:noProof/>
        </w:rPr>
        <w:fldChar w:fldCharType="begin"/>
      </w:r>
      <w:r w:rsidRPr="004F6172">
        <w:rPr>
          <w:noProof/>
        </w:rPr>
        <w:instrText xml:space="preserve"> PAGEREF _Toc500398961 \h </w:instrText>
      </w:r>
      <w:r w:rsidRPr="004F6172">
        <w:rPr>
          <w:noProof/>
        </w:rPr>
      </w:r>
      <w:r w:rsidRPr="004F6172">
        <w:rPr>
          <w:noProof/>
        </w:rPr>
        <w:fldChar w:fldCharType="separate"/>
      </w:r>
      <w:r w:rsidR="00AB0996">
        <w:rPr>
          <w:noProof/>
        </w:rPr>
        <w:t>5</w:t>
      </w:r>
      <w:r w:rsidRPr="004F6172">
        <w:rPr>
          <w:noProof/>
        </w:rPr>
        <w:fldChar w:fldCharType="end"/>
      </w:r>
    </w:p>
    <w:p w:rsidR="002F4205" w:rsidRPr="004F6172" w:rsidRDefault="002F4205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4F6172">
        <w:rPr>
          <w:noProof/>
        </w:rPr>
        <w:t>Division</w:t>
      </w:r>
      <w:r w:rsidR="004F6172" w:rsidRPr="004F6172">
        <w:rPr>
          <w:noProof/>
        </w:rPr>
        <w:t> </w:t>
      </w:r>
      <w:r w:rsidRPr="004F6172">
        <w:rPr>
          <w:noProof/>
        </w:rPr>
        <w:t>3—Details of alternative requirements that apply during transitional period</w:t>
      </w:r>
      <w:r w:rsidRPr="004F6172">
        <w:rPr>
          <w:b w:val="0"/>
          <w:noProof/>
          <w:sz w:val="18"/>
        </w:rPr>
        <w:tab/>
      </w:r>
      <w:r w:rsidRPr="004F6172">
        <w:rPr>
          <w:b w:val="0"/>
          <w:noProof/>
          <w:sz w:val="18"/>
        </w:rPr>
        <w:fldChar w:fldCharType="begin"/>
      </w:r>
      <w:r w:rsidRPr="004F6172">
        <w:rPr>
          <w:b w:val="0"/>
          <w:noProof/>
          <w:sz w:val="18"/>
        </w:rPr>
        <w:instrText xml:space="preserve"> PAGEREF _Toc500398962 \h </w:instrText>
      </w:r>
      <w:r w:rsidRPr="004F6172">
        <w:rPr>
          <w:b w:val="0"/>
          <w:noProof/>
          <w:sz w:val="18"/>
        </w:rPr>
      </w:r>
      <w:r w:rsidRPr="004F6172">
        <w:rPr>
          <w:b w:val="0"/>
          <w:noProof/>
          <w:sz w:val="18"/>
        </w:rPr>
        <w:fldChar w:fldCharType="separate"/>
      </w:r>
      <w:r w:rsidR="00AB0996">
        <w:rPr>
          <w:b w:val="0"/>
          <w:noProof/>
          <w:sz w:val="18"/>
        </w:rPr>
        <w:t>6</w:t>
      </w:r>
      <w:r w:rsidRPr="004F6172">
        <w:rPr>
          <w:b w:val="0"/>
          <w:noProof/>
          <w:sz w:val="18"/>
        </w:rPr>
        <w:fldChar w:fldCharType="end"/>
      </w:r>
    </w:p>
    <w:p w:rsidR="002F4205" w:rsidRPr="004F6172" w:rsidRDefault="002F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F6172">
        <w:rPr>
          <w:noProof/>
        </w:rPr>
        <w:t>15</w:t>
      </w:r>
      <w:r w:rsidRPr="004F6172">
        <w:rPr>
          <w:noProof/>
        </w:rPr>
        <w:tab/>
        <w:t xml:space="preserve">Requirements of the </w:t>
      </w:r>
      <w:r w:rsidRPr="004F6172">
        <w:rPr>
          <w:i/>
          <w:noProof/>
        </w:rPr>
        <w:t>Trade Practices (Consumer Product Safety Standard) (Basketball Rings and Backboards) Regulations</w:t>
      </w:r>
      <w:r w:rsidR="004F6172" w:rsidRPr="004F6172">
        <w:rPr>
          <w:i/>
          <w:noProof/>
        </w:rPr>
        <w:t> </w:t>
      </w:r>
      <w:r w:rsidRPr="004F6172">
        <w:rPr>
          <w:i/>
          <w:noProof/>
        </w:rPr>
        <w:t>2005</w:t>
      </w:r>
      <w:r w:rsidRPr="004F6172">
        <w:rPr>
          <w:noProof/>
        </w:rPr>
        <w:tab/>
      </w:r>
      <w:r w:rsidRPr="004F6172">
        <w:rPr>
          <w:noProof/>
        </w:rPr>
        <w:fldChar w:fldCharType="begin"/>
      </w:r>
      <w:r w:rsidRPr="004F6172">
        <w:rPr>
          <w:noProof/>
        </w:rPr>
        <w:instrText xml:space="preserve"> PAGEREF _Toc500398963 \h </w:instrText>
      </w:r>
      <w:r w:rsidRPr="004F6172">
        <w:rPr>
          <w:noProof/>
        </w:rPr>
      </w:r>
      <w:r w:rsidRPr="004F6172">
        <w:rPr>
          <w:noProof/>
        </w:rPr>
        <w:fldChar w:fldCharType="separate"/>
      </w:r>
      <w:r w:rsidR="00AB0996">
        <w:rPr>
          <w:noProof/>
        </w:rPr>
        <w:t>6</w:t>
      </w:r>
      <w:r w:rsidRPr="004F6172">
        <w:rPr>
          <w:noProof/>
        </w:rPr>
        <w:fldChar w:fldCharType="end"/>
      </w:r>
    </w:p>
    <w:p w:rsidR="002F4205" w:rsidRPr="004F6172" w:rsidRDefault="002F420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F6172">
        <w:rPr>
          <w:noProof/>
        </w:rPr>
        <w:t>Schedule</w:t>
      </w:r>
      <w:r w:rsidR="004F6172" w:rsidRPr="004F6172">
        <w:rPr>
          <w:noProof/>
        </w:rPr>
        <w:t> </w:t>
      </w:r>
      <w:r w:rsidRPr="004F6172">
        <w:rPr>
          <w:noProof/>
        </w:rPr>
        <w:t>1—Repeals</w:t>
      </w:r>
      <w:r w:rsidRPr="004F6172">
        <w:rPr>
          <w:b w:val="0"/>
          <w:noProof/>
          <w:sz w:val="18"/>
        </w:rPr>
        <w:tab/>
      </w:r>
      <w:r w:rsidRPr="004F6172">
        <w:rPr>
          <w:b w:val="0"/>
          <w:noProof/>
          <w:sz w:val="18"/>
        </w:rPr>
        <w:fldChar w:fldCharType="begin"/>
      </w:r>
      <w:r w:rsidRPr="004F6172">
        <w:rPr>
          <w:b w:val="0"/>
          <w:noProof/>
          <w:sz w:val="18"/>
        </w:rPr>
        <w:instrText xml:space="preserve"> PAGEREF _Toc500398964 \h </w:instrText>
      </w:r>
      <w:r w:rsidRPr="004F6172">
        <w:rPr>
          <w:b w:val="0"/>
          <w:noProof/>
          <w:sz w:val="18"/>
        </w:rPr>
      </w:r>
      <w:r w:rsidRPr="004F6172">
        <w:rPr>
          <w:b w:val="0"/>
          <w:noProof/>
          <w:sz w:val="18"/>
        </w:rPr>
        <w:fldChar w:fldCharType="separate"/>
      </w:r>
      <w:r w:rsidR="00AB0996">
        <w:rPr>
          <w:b w:val="0"/>
          <w:noProof/>
          <w:sz w:val="18"/>
        </w:rPr>
        <w:t>7</w:t>
      </w:r>
      <w:r w:rsidRPr="004F6172">
        <w:rPr>
          <w:b w:val="0"/>
          <w:noProof/>
          <w:sz w:val="18"/>
        </w:rPr>
        <w:fldChar w:fldCharType="end"/>
      </w:r>
    </w:p>
    <w:p w:rsidR="002F4205" w:rsidRPr="004F6172" w:rsidRDefault="002F420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F6172">
        <w:rPr>
          <w:noProof/>
        </w:rPr>
        <w:t>Trade Practices (Consumer Product Safety Standard) (Basketball Rings and Backboards) Regulations</w:t>
      </w:r>
      <w:r w:rsidR="004F6172" w:rsidRPr="004F6172">
        <w:rPr>
          <w:noProof/>
        </w:rPr>
        <w:t> </w:t>
      </w:r>
      <w:r w:rsidRPr="004F6172">
        <w:rPr>
          <w:noProof/>
        </w:rPr>
        <w:t>2005</w:t>
      </w:r>
      <w:r w:rsidRPr="004F6172">
        <w:rPr>
          <w:i w:val="0"/>
          <w:noProof/>
          <w:sz w:val="18"/>
        </w:rPr>
        <w:tab/>
      </w:r>
      <w:r w:rsidRPr="004F6172">
        <w:rPr>
          <w:i w:val="0"/>
          <w:noProof/>
          <w:sz w:val="18"/>
        </w:rPr>
        <w:fldChar w:fldCharType="begin"/>
      </w:r>
      <w:r w:rsidRPr="004F6172">
        <w:rPr>
          <w:i w:val="0"/>
          <w:noProof/>
          <w:sz w:val="18"/>
        </w:rPr>
        <w:instrText xml:space="preserve"> PAGEREF _Toc500398965 \h </w:instrText>
      </w:r>
      <w:r w:rsidRPr="004F6172">
        <w:rPr>
          <w:i w:val="0"/>
          <w:noProof/>
          <w:sz w:val="18"/>
        </w:rPr>
      </w:r>
      <w:r w:rsidRPr="004F6172">
        <w:rPr>
          <w:i w:val="0"/>
          <w:noProof/>
          <w:sz w:val="18"/>
        </w:rPr>
        <w:fldChar w:fldCharType="separate"/>
      </w:r>
      <w:r w:rsidR="00AB0996">
        <w:rPr>
          <w:i w:val="0"/>
          <w:noProof/>
          <w:sz w:val="18"/>
        </w:rPr>
        <w:t>7</w:t>
      </w:r>
      <w:r w:rsidRPr="004F6172">
        <w:rPr>
          <w:i w:val="0"/>
          <w:noProof/>
          <w:sz w:val="18"/>
        </w:rPr>
        <w:fldChar w:fldCharType="end"/>
      </w:r>
    </w:p>
    <w:p w:rsidR="00670EA1" w:rsidRPr="004F6172" w:rsidRDefault="002F4205" w:rsidP="00715914">
      <w:r w:rsidRPr="004F6172">
        <w:fldChar w:fldCharType="end"/>
      </w:r>
    </w:p>
    <w:p w:rsidR="00670EA1" w:rsidRPr="004F6172" w:rsidRDefault="00670EA1" w:rsidP="00715914">
      <w:pPr>
        <w:sectPr w:rsidR="00670EA1" w:rsidRPr="004F6172" w:rsidSect="00C82FC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4F6172" w:rsidRDefault="00715914" w:rsidP="00715914">
      <w:pPr>
        <w:pStyle w:val="ActHead2"/>
      </w:pPr>
      <w:bookmarkStart w:id="1" w:name="_Toc500398944"/>
      <w:r w:rsidRPr="004F6172">
        <w:rPr>
          <w:rStyle w:val="CharPartNo"/>
        </w:rPr>
        <w:lastRenderedPageBreak/>
        <w:t>Part</w:t>
      </w:r>
      <w:r w:rsidR="004F6172" w:rsidRPr="004F6172">
        <w:rPr>
          <w:rStyle w:val="CharPartNo"/>
        </w:rPr>
        <w:t> </w:t>
      </w:r>
      <w:r w:rsidRPr="004F6172">
        <w:rPr>
          <w:rStyle w:val="CharPartNo"/>
        </w:rPr>
        <w:t>1</w:t>
      </w:r>
      <w:r w:rsidRPr="004F6172">
        <w:t>—</w:t>
      </w:r>
      <w:r w:rsidRPr="004F6172">
        <w:rPr>
          <w:rStyle w:val="CharPartText"/>
        </w:rPr>
        <w:t>Preliminary</w:t>
      </w:r>
      <w:bookmarkEnd w:id="1"/>
    </w:p>
    <w:p w:rsidR="00715914" w:rsidRPr="004F6172" w:rsidRDefault="00715914" w:rsidP="00715914">
      <w:pPr>
        <w:pStyle w:val="Header"/>
      </w:pPr>
      <w:r w:rsidRPr="004F6172">
        <w:rPr>
          <w:rStyle w:val="CharDivNo"/>
        </w:rPr>
        <w:t xml:space="preserve"> </w:t>
      </w:r>
      <w:r w:rsidRPr="004F6172">
        <w:rPr>
          <w:rStyle w:val="CharDivText"/>
        </w:rPr>
        <w:t xml:space="preserve"> </w:t>
      </w:r>
    </w:p>
    <w:p w:rsidR="00715914" w:rsidRPr="004F6172" w:rsidRDefault="00715914" w:rsidP="00715914">
      <w:pPr>
        <w:pStyle w:val="ActHead5"/>
      </w:pPr>
      <w:bookmarkStart w:id="2" w:name="_Toc500398945"/>
      <w:r w:rsidRPr="004F6172">
        <w:rPr>
          <w:rStyle w:val="CharSectno"/>
        </w:rPr>
        <w:t>1</w:t>
      </w:r>
      <w:r w:rsidRPr="004F6172">
        <w:t xml:space="preserve">  </w:t>
      </w:r>
      <w:r w:rsidR="00CE493D" w:rsidRPr="004F6172">
        <w:t>Name</w:t>
      </w:r>
      <w:bookmarkEnd w:id="2"/>
    </w:p>
    <w:p w:rsidR="00715914" w:rsidRPr="004F6172" w:rsidRDefault="00715914" w:rsidP="00715914">
      <w:pPr>
        <w:pStyle w:val="subsection"/>
      </w:pPr>
      <w:r w:rsidRPr="004F6172">
        <w:tab/>
      </w:r>
      <w:r w:rsidRPr="004F6172">
        <w:tab/>
        <w:t xml:space="preserve">This </w:t>
      </w:r>
      <w:r w:rsidR="005E2068" w:rsidRPr="004F6172">
        <w:t xml:space="preserve">instrument </w:t>
      </w:r>
      <w:r w:rsidR="00CE493D" w:rsidRPr="004F6172">
        <w:t xml:space="preserve">is the </w:t>
      </w:r>
      <w:r w:rsidR="00BC76AC" w:rsidRPr="004F6172">
        <w:rPr>
          <w:i/>
        </w:rPr>
        <w:fldChar w:fldCharType="begin"/>
      </w:r>
      <w:r w:rsidR="00BC76AC" w:rsidRPr="004F6172">
        <w:rPr>
          <w:i/>
        </w:rPr>
        <w:instrText xml:space="preserve"> STYLEREF  ShortT </w:instrText>
      </w:r>
      <w:r w:rsidR="00BC76AC" w:rsidRPr="004F6172">
        <w:rPr>
          <w:i/>
        </w:rPr>
        <w:fldChar w:fldCharType="separate"/>
      </w:r>
      <w:r w:rsidR="00AB0996">
        <w:rPr>
          <w:i/>
          <w:noProof/>
        </w:rPr>
        <w:t>Consumer Goods (Basketball Rings and Backboards) Safety Standard 2017</w:t>
      </w:r>
      <w:r w:rsidR="00BC76AC" w:rsidRPr="004F6172">
        <w:rPr>
          <w:i/>
        </w:rPr>
        <w:fldChar w:fldCharType="end"/>
      </w:r>
      <w:r w:rsidRPr="004F6172">
        <w:t>.</w:t>
      </w:r>
    </w:p>
    <w:p w:rsidR="00715914" w:rsidRPr="004F6172" w:rsidRDefault="00715914" w:rsidP="00715914">
      <w:pPr>
        <w:pStyle w:val="ActHead5"/>
      </w:pPr>
      <w:bookmarkStart w:id="3" w:name="_Toc500398946"/>
      <w:r w:rsidRPr="004F6172">
        <w:rPr>
          <w:rStyle w:val="CharSectno"/>
        </w:rPr>
        <w:t>2</w:t>
      </w:r>
      <w:r w:rsidRPr="004F6172">
        <w:t xml:space="preserve">  Commencement</w:t>
      </w:r>
      <w:bookmarkEnd w:id="3"/>
    </w:p>
    <w:p w:rsidR="005E2068" w:rsidRPr="004F6172" w:rsidRDefault="005E2068" w:rsidP="00672820">
      <w:pPr>
        <w:pStyle w:val="subsection"/>
      </w:pPr>
      <w:r w:rsidRPr="004F6172">
        <w:tab/>
      </w:r>
      <w:r w:rsidRPr="004F6172">
        <w:tab/>
        <w:t>This instrument commences on the day after this instrument is registered on the Federal Register of Legislation.</w:t>
      </w:r>
    </w:p>
    <w:p w:rsidR="007500C8" w:rsidRPr="004F6172" w:rsidRDefault="007500C8" w:rsidP="007500C8">
      <w:pPr>
        <w:pStyle w:val="ActHead5"/>
      </w:pPr>
      <w:bookmarkStart w:id="4" w:name="_Toc500398947"/>
      <w:r w:rsidRPr="004F6172">
        <w:rPr>
          <w:rStyle w:val="CharSectno"/>
        </w:rPr>
        <w:t>3</w:t>
      </w:r>
      <w:r w:rsidRPr="004F6172">
        <w:t xml:space="preserve">  Authority</w:t>
      </w:r>
      <w:bookmarkEnd w:id="4"/>
    </w:p>
    <w:p w:rsidR="00157B8B" w:rsidRPr="004F6172" w:rsidRDefault="007500C8" w:rsidP="007E667A">
      <w:pPr>
        <w:pStyle w:val="subsection"/>
      </w:pPr>
      <w:r w:rsidRPr="004F6172">
        <w:tab/>
      </w:r>
      <w:r w:rsidRPr="004F6172">
        <w:tab/>
        <w:t xml:space="preserve">This </w:t>
      </w:r>
      <w:r w:rsidR="005E2068" w:rsidRPr="004F6172">
        <w:t>instrument</w:t>
      </w:r>
      <w:r w:rsidRPr="004F6172">
        <w:t xml:space="preserve"> is made under </w:t>
      </w:r>
      <w:r w:rsidR="005E2068" w:rsidRPr="004F6172">
        <w:t>subsection</w:t>
      </w:r>
      <w:r w:rsidR="004F6172" w:rsidRPr="004F6172">
        <w:t> </w:t>
      </w:r>
      <w:r w:rsidR="005E2068" w:rsidRPr="004F6172">
        <w:t>104(1) of the Australian Consumer Law</w:t>
      </w:r>
      <w:r w:rsidR="00F4350D" w:rsidRPr="004F6172">
        <w:t>.</w:t>
      </w:r>
    </w:p>
    <w:p w:rsidR="005E2068" w:rsidRPr="004F6172" w:rsidRDefault="005E2068" w:rsidP="005E2068">
      <w:pPr>
        <w:pStyle w:val="notetext"/>
      </w:pPr>
      <w:r w:rsidRPr="004F6172">
        <w:t>Note:</w:t>
      </w:r>
      <w:r w:rsidRPr="004F6172">
        <w:tab/>
        <w:t>The reference to the Australian Consumer Law is a reference to Schedule</w:t>
      </w:r>
      <w:r w:rsidR="004F6172" w:rsidRPr="004F6172">
        <w:t> </w:t>
      </w:r>
      <w:r w:rsidRPr="004F6172">
        <w:t xml:space="preserve">2 to the </w:t>
      </w:r>
      <w:r w:rsidRPr="004F6172">
        <w:rPr>
          <w:i/>
        </w:rPr>
        <w:t>Competition and Consumer Act 2010</w:t>
      </w:r>
      <w:r w:rsidRPr="004F6172">
        <w:t xml:space="preserve"> as it applies as a law of the Commonwealth, States and Territories: see section</w:t>
      </w:r>
      <w:r w:rsidR="004F6172" w:rsidRPr="004F6172">
        <w:t> </w:t>
      </w:r>
      <w:r w:rsidRPr="004F6172">
        <w:t>140K of that Act and corresponding provisions of Acts of States and Territories applying that Schedule.</w:t>
      </w:r>
    </w:p>
    <w:p w:rsidR="005E2068" w:rsidRPr="004F6172" w:rsidRDefault="005E2068" w:rsidP="005E2068">
      <w:pPr>
        <w:pStyle w:val="ActHead5"/>
      </w:pPr>
      <w:bookmarkStart w:id="5" w:name="_Toc500398948"/>
      <w:r w:rsidRPr="004F6172">
        <w:rPr>
          <w:rStyle w:val="CharSectno"/>
        </w:rPr>
        <w:t>4</w:t>
      </w:r>
      <w:r w:rsidRPr="004F6172">
        <w:t xml:space="preserve">  Schedules</w:t>
      </w:r>
      <w:bookmarkEnd w:id="5"/>
    </w:p>
    <w:p w:rsidR="005E2068" w:rsidRPr="004F6172" w:rsidRDefault="005E2068" w:rsidP="005E2068">
      <w:pPr>
        <w:pStyle w:val="subsection"/>
      </w:pPr>
      <w:r w:rsidRPr="004F6172">
        <w:tab/>
      </w:r>
      <w:r w:rsidRPr="004F617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85053D" w:rsidRPr="004F6172" w:rsidRDefault="0085053D" w:rsidP="00216548">
      <w:pPr>
        <w:pStyle w:val="ActHead5"/>
      </w:pPr>
      <w:bookmarkStart w:id="6" w:name="_Toc500398949"/>
      <w:r w:rsidRPr="004F6172">
        <w:rPr>
          <w:rStyle w:val="CharSectno"/>
        </w:rPr>
        <w:t>5</w:t>
      </w:r>
      <w:r w:rsidRPr="004F6172">
        <w:t xml:space="preserve">  Definitions</w:t>
      </w:r>
      <w:bookmarkEnd w:id="6"/>
    </w:p>
    <w:p w:rsidR="0085053D" w:rsidRPr="004F6172" w:rsidRDefault="0085053D" w:rsidP="0085053D">
      <w:pPr>
        <w:pStyle w:val="subsection"/>
      </w:pPr>
      <w:r w:rsidRPr="004F6172">
        <w:tab/>
      </w:r>
      <w:r w:rsidRPr="004F6172">
        <w:tab/>
        <w:t>In this instrument:</w:t>
      </w:r>
    </w:p>
    <w:p w:rsidR="00CD2454" w:rsidRPr="004F6172" w:rsidRDefault="00CD2454" w:rsidP="00CD2454">
      <w:pPr>
        <w:pStyle w:val="Definition"/>
      </w:pPr>
      <w:r w:rsidRPr="004F6172">
        <w:rPr>
          <w:b/>
          <w:i/>
        </w:rPr>
        <w:t>portable basketball system</w:t>
      </w:r>
      <w:r w:rsidRPr="004F6172">
        <w:t xml:space="preserve"> </w:t>
      </w:r>
      <w:r w:rsidR="006E73EC" w:rsidRPr="004F6172">
        <w:t>means a basketball ring, a backboard and a portable structure, that includes a pole and a base, for supporting the basketball ring and backboard.</w:t>
      </w:r>
    </w:p>
    <w:p w:rsidR="00CD2454" w:rsidRPr="004F6172" w:rsidRDefault="00CD2454" w:rsidP="00CD2454">
      <w:pPr>
        <w:pStyle w:val="Definition"/>
      </w:pPr>
      <w:r w:rsidRPr="004F6172">
        <w:rPr>
          <w:b/>
          <w:i/>
        </w:rPr>
        <w:t>toy basketball ring</w:t>
      </w:r>
      <w:r w:rsidRPr="004F6172">
        <w:t xml:space="preserve"> means a miniature basketball ring</w:t>
      </w:r>
      <w:r w:rsidR="006E73EC" w:rsidRPr="004F6172">
        <w:t xml:space="preserve"> (with or without</w:t>
      </w:r>
      <w:r w:rsidRPr="004F6172">
        <w:t xml:space="preserve"> a backboard</w:t>
      </w:r>
      <w:r w:rsidR="006E73EC" w:rsidRPr="004F6172">
        <w:t>) that is</w:t>
      </w:r>
      <w:r w:rsidRPr="004F6172">
        <w:t xml:space="preserve"> not designed to be permanently fixed to a fixture.</w:t>
      </w:r>
    </w:p>
    <w:p w:rsidR="0085053D" w:rsidRPr="004F6172" w:rsidRDefault="0085053D" w:rsidP="0085053D">
      <w:pPr>
        <w:pStyle w:val="Definition"/>
      </w:pPr>
      <w:r w:rsidRPr="004F6172">
        <w:rPr>
          <w:b/>
          <w:i/>
        </w:rPr>
        <w:t>transition</w:t>
      </w:r>
      <w:r w:rsidR="00E013F8" w:rsidRPr="004F6172">
        <w:rPr>
          <w:b/>
          <w:i/>
        </w:rPr>
        <w:t>al</w:t>
      </w:r>
      <w:r w:rsidRPr="004F6172">
        <w:rPr>
          <w:b/>
          <w:i/>
        </w:rPr>
        <w:t xml:space="preserve"> period</w:t>
      </w:r>
      <w:r w:rsidRPr="004F6172">
        <w:t xml:space="preserve"> means the </w:t>
      </w:r>
      <w:r w:rsidR="00E013F8" w:rsidRPr="004F6172">
        <w:t xml:space="preserve">period of </w:t>
      </w:r>
      <w:r w:rsidRPr="004F6172">
        <w:t xml:space="preserve">12 months </w:t>
      </w:r>
      <w:r w:rsidR="00E013F8" w:rsidRPr="004F6172">
        <w:t xml:space="preserve">beginning </w:t>
      </w:r>
      <w:r w:rsidRPr="004F6172">
        <w:t xml:space="preserve">on the </w:t>
      </w:r>
      <w:r w:rsidR="00E013F8" w:rsidRPr="004F6172">
        <w:t xml:space="preserve">day this instrument </w:t>
      </w:r>
      <w:r w:rsidRPr="004F6172">
        <w:t>commence</w:t>
      </w:r>
      <w:r w:rsidR="00E013F8" w:rsidRPr="004F6172">
        <w:t>s</w:t>
      </w:r>
      <w:r w:rsidRPr="004F6172">
        <w:t>.</w:t>
      </w:r>
    </w:p>
    <w:p w:rsidR="005E2068" w:rsidRPr="004F6172" w:rsidRDefault="0085053D" w:rsidP="005E2068">
      <w:pPr>
        <w:pStyle w:val="ActHead5"/>
      </w:pPr>
      <w:bookmarkStart w:id="7" w:name="_Toc500398950"/>
      <w:r w:rsidRPr="004F6172">
        <w:rPr>
          <w:rStyle w:val="CharSectno"/>
        </w:rPr>
        <w:t>6</w:t>
      </w:r>
      <w:r w:rsidR="005E2068" w:rsidRPr="004F6172">
        <w:t xml:space="preserve">  Application</w:t>
      </w:r>
      <w:bookmarkEnd w:id="7"/>
    </w:p>
    <w:p w:rsidR="00EC4027" w:rsidRPr="004F6172" w:rsidRDefault="00EC4027" w:rsidP="00EC4027">
      <w:pPr>
        <w:pStyle w:val="subsection"/>
      </w:pPr>
      <w:r w:rsidRPr="004F6172">
        <w:tab/>
      </w:r>
      <w:r w:rsidR="00E97248" w:rsidRPr="004F6172">
        <w:t>(1)</w:t>
      </w:r>
      <w:r w:rsidRPr="004F6172">
        <w:tab/>
        <w:t>This instrument applies to basketball rings and backboards</w:t>
      </w:r>
      <w:r w:rsidR="0001292F" w:rsidRPr="004F6172">
        <w:t>, including portable basketball</w:t>
      </w:r>
      <w:r w:rsidRPr="004F6172">
        <w:t xml:space="preserve"> </w:t>
      </w:r>
      <w:r w:rsidR="0001292F" w:rsidRPr="004F6172">
        <w:t xml:space="preserve">systems, </w:t>
      </w:r>
      <w:r w:rsidRPr="004F6172">
        <w:t>that</w:t>
      </w:r>
      <w:r w:rsidR="00E97248" w:rsidRPr="004F6172">
        <w:t xml:space="preserve"> are of a kind likely to be used for domestic use.</w:t>
      </w:r>
    </w:p>
    <w:p w:rsidR="00E97248" w:rsidRPr="004F6172" w:rsidRDefault="00E97248" w:rsidP="00E97248">
      <w:pPr>
        <w:pStyle w:val="subsection"/>
      </w:pPr>
      <w:r w:rsidRPr="004F6172">
        <w:tab/>
        <w:t>(2)</w:t>
      </w:r>
      <w:r w:rsidRPr="004F6172">
        <w:tab/>
        <w:t xml:space="preserve">However, this instrument does not apply to </w:t>
      </w:r>
      <w:r w:rsidR="0001292F" w:rsidRPr="004F6172">
        <w:t>toy basketball rings</w:t>
      </w:r>
      <w:r w:rsidR="00C135FB" w:rsidRPr="004F6172">
        <w:t xml:space="preserve"> or backboards for toy basketball rings</w:t>
      </w:r>
      <w:r w:rsidR="0001292F" w:rsidRPr="004F6172">
        <w:t>.</w:t>
      </w:r>
    </w:p>
    <w:p w:rsidR="005E2068" w:rsidRPr="004F6172" w:rsidRDefault="00C451FF" w:rsidP="00C451FF">
      <w:pPr>
        <w:pStyle w:val="ActHead2"/>
        <w:pageBreakBefore/>
      </w:pPr>
      <w:bookmarkStart w:id="8" w:name="_Toc500398951"/>
      <w:r w:rsidRPr="004F6172">
        <w:rPr>
          <w:rStyle w:val="CharPartNo"/>
        </w:rPr>
        <w:lastRenderedPageBreak/>
        <w:t>Part</w:t>
      </w:r>
      <w:r w:rsidR="004F6172" w:rsidRPr="004F6172">
        <w:rPr>
          <w:rStyle w:val="CharPartNo"/>
        </w:rPr>
        <w:t> </w:t>
      </w:r>
      <w:r w:rsidRPr="004F6172">
        <w:rPr>
          <w:rStyle w:val="CharPartNo"/>
        </w:rPr>
        <w:t>2</w:t>
      </w:r>
      <w:r w:rsidRPr="004F6172">
        <w:t>—</w:t>
      </w:r>
      <w:r w:rsidR="00C462F2" w:rsidRPr="004F6172">
        <w:rPr>
          <w:rStyle w:val="CharPartText"/>
        </w:rPr>
        <w:t>R</w:t>
      </w:r>
      <w:r w:rsidRPr="004F6172">
        <w:rPr>
          <w:rStyle w:val="CharPartText"/>
        </w:rPr>
        <w:t>equirements</w:t>
      </w:r>
      <w:bookmarkEnd w:id="8"/>
    </w:p>
    <w:p w:rsidR="00C462F2" w:rsidRPr="004F6172" w:rsidRDefault="00C462F2" w:rsidP="00C462F2">
      <w:pPr>
        <w:pStyle w:val="ActHead3"/>
      </w:pPr>
      <w:bookmarkStart w:id="9" w:name="_Toc500398952"/>
      <w:r w:rsidRPr="004F6172">
        <w:rPr>
          <w:rStyle w:val="CharDivNo"/>
        </w:rPr>
        <w:t>Division</w:t>
      </w:r>
      <w:r w:rsidR="004F6172" w:rsidRPr="004F6172">
        <w:rPr>
          <w:rStyle w:val="CharDivNo"/>
        </w:rPr>
        <w:t> </w:t>
      </w:r>
      <w:r w:rsidRPr="004F6172">
        <w:rPr>
          <w:rStyle w:val="CharDivNo"/>
        </w:rPr>
        <w:t>1</w:t>
      </w:r>
      <w:r w:rsidRPr="004F6172">
        <w:t>—</w:t>
      </w:r>
      <w:r w:rsidRPr="004F6172">
        <w:rPr>
          <w:rStyle w:val="CharDivText"/>
        </w:rPr>
        <w:t>Basic requirements</w:t>
      </w:r>
      <w:bookmarkEnd w:id="9"/>
    </w:p>
    <w:p w:rsidR="00C451FF" w:rsidRPr="004F6172" w:rsidRDefault="00E013F8" w:rsidP="00C451FF">
      <w:pPr>
        <w:pStyle w:val="ActHead5"/>
      </w:pPr>
      <w:bookmarkStart w:id="10" w:name="_Toc500398953"/>
      <w:r w:rsidRPr="004F6172">
        <w:rPr>
          <w:rStyle w:val="CharSectno"/>
        </w:rPr>
        <w:t>7</w:t>
      </w:r>
      <w:r w:rsidR="00C451FF" w:rsidRPr="004F6172">
        <w:t xml:space="preserve">  Requirements </w:t>
      </w:r>
      <w:r w:rsidRPr="004F6172">
        <w:t>during transitional period</w:t>
      </w:r>
      <w:bookmarkEnd w:id="10"/>
    </w:p>
    <w:p w:rsidR="00C451FF" w:rsidRPr="004F6172" w:rsidRDefault="00C451FF" w:rsidP="00C451FF">
      <w:pPr>
        <w:pStyle w:val="subsection"/>
      </w:pPr>
      <w:r w:rsidRPr="004F6172">
        <w:tab/>
        <w:t>(1)</w:t>
      </w:r>
      <w:r w:rsidRPr="004F6172">
        <w:tab/>
      </w:r>
      <w:r w:rsidR="00E013F8" w:rsidRPr="004F6172">
        <w:t>During the transitional period, a</w:t>
      </w:r>
      <w:r w:rsidRPr="004F6172">
        <w:t xml:space="preserve"> basketball ring or backboard must meet the requirements set out in </w:t>
      </w:r>
      <w:r w:rsidR="00C462F2" w:rsidRPr="004F6172">
        <w:t>Division</w:t>
      </w:r>
      <w:r w:rsidR="004F6172" w:rsidRPr="004F6172">
        <w:t> </w:t>
      </w:r>
      <w:r w:rsidR="00C462F2" w:rsidRPr="004F6172">
        <w:t>2 or Division</w:t>
      </w:r>
      <w:r w:rsidR="004F6172" w:rsidRPr="004F6172">
        <w:t> </w:t>
      </w:r>
      <w:r w:rsidR="00C462F2" w:rsidRPr="004F6172">
        <w:t>3.</w:t>
      </w:r>
    </w:p>
    <w:p w:rsidR="00C462F2" w:rsidRPr="004F6172" w:rsidRDefault="00C462F2" w:rsidP="00C451FF">
      <w:pPr>
        <w:pStyle w:val="subsection"/>
      </w:pPr>
      <w:r w:rsidRPr="004F6172">
        <w:tab/>
        <w:t>(2)</w:t>
      </w:r>
      <w:r w:rsidRPr="004F6172">
        <w:tab/>
        <w:t xml:space="preserve">This section is repealed at the </w:t>
      </w:r>
      <w:r w:rsidR="00E013F8" w:rsidRPr="004F6172">
        <w:t>end of the last day of the transitional period</w:t>
      </w:r>
      <w:r w:rsidRPr="004F6172">
        <w:t>.</w:t>
      </w:r>
    </w:p>
    <w:p w:rsidR="00C451FF" w:rsidRPr="004F6172" w:rsidRDefault="00E013F8" w:rsidP="00C451FF">
      <w:pPr>
        <w:pStyle w:val="ActHead5"/>
      </w:pPr>
      <w:bookmarkStart w:id="11" w:name="_Toc500398954"/>
      <w:r w:rsidRPr="004F6172">
        <w:rPr>
          <w:rStyle w:val="CharSectno"/>
        </w:rPr>
        <w:t>8</w:t>
      </w:r>
      <w:r w:rsidR="00C451FF" w:rsidRPr="004F6172">
        <w:t xml:space="preserve">  Requirements </w:t>
      </w:r>
      <w:r w:rsidRPr="004F6172">
        <w:t>after transitional period</w:t>
      </w:r>
      <w:bookmarkEnd w:id="11"/>
    </w:p>
    <w:p w:rsidR="00C462F2" w:rsidRPr="004F6172" w:rsidRDefault="0073707E" w:rsidP="00C462F2">
      <w:pPr>
        <w:pStyle w:val="subsection"/>
      </w:pPr>
      <w:r w:rsidRPr="004F6172">
        <w:tab/>
      </w:r>
      <w:r w:rsidRPr="004F6172">
        <w:tab/>
      </w:r>
      <w:r w:rsidR="00E013F8" w:rsidRPr="004F6172">
        <w:t>After the transitional period</w:t>
      </w:r>
      <w:r w:rsidR="00C462F2" w:rsidRPr="004F6172">
        <w:t>, a basketball ring or backboard must meet the requirements set out in Division</w:t>
      </w:r>
      <w:r w:rsidR="004F6172" w:rsidRPr="004F6172">
        <w:t> </w:t>
      </w:r>
      <w:r w:rsidR="00C462F2" w:rsidRPr="004F6172">
        <w:t>2.</w:t>
      </w:r>
    </w:p>
    <w:p w:rsidR="00C451FF" w:rsidRPr="004F6172" w:rsidRDefault="00C462F2" w:rsidP="00C462F2">
      <w:pPr>
        <w:pStyle w:val="ActHead3"/>
        <w:pageBreakBefore/>
      </w:pPr>
      <w:bookmarkStart w:id="12" w:name="_Toc500398955"/>
      <w:r w:rsidRPr="004F6172">
        <w:rPr>
          <w:rStyle w:val="CharDivNo"/>
        </w:rPr>
        <w:lastRenderedPageBreak/>
        <w:t>Division</w:t>
      </w:r>
      <w:r w:rsidR="004F6172" w:rsidRPr="004F6172">
        <w:rPr>
          <w:rStyle w:val="CharDivNo"/>
        </w:rPr>
        <w:t> </w:t>
      </w:r>
      <w:r w:rsidRPr="004F6172">
        <w:rPr>
          <w:rStyle w:val="CharDivNo"/>
        </w:rPr>
        <w:t>2</w:t>
      </w:r>
      <w:r w:rsidRPr="004F6172">
        <w:t>—</w:t>
      </w:r>
      <w:r w:rsidRPr="004F6172">
        <w:rPr>
          <w:rStyle w:val="CharDivText"/>
        </w:rPr>
        <w:t>Details of requirements</w:t>
      </w:r>
      <w:bookmarkEnd w:id="12"/>
    </w:p>
    <w:p w:rsidR="00C462F2" w:rsidRPr="004F6172" w:rsidRDefault="00E013F8" w:rsidP="00C462F2">
      <w:pPr>
        <w:pStyle w:val="ActHead5"/>
      </w:pPr>
      <w:bookmarkStart w:id="13" w:name="_Toc500398956"/>
      <w:r w:rsidRPr="004F6172">
        <w:rPr>
          <w:rStyle w:val="CharSectno"/>
        </w:rPr>
        <w:t>9</w:t>
      </w:r>
      <w:r w:rsidR="00C462F2" w:rsidRPr="004F6172">
        <w:t xml:space="preserve">  Warnings and instructions to accompany basketball ring or backboard</w:t>
      </w:r>
      <w:bookmarkEnd w:id="13"/>
    </w:p>
    <w:p w:rsidR="00C664AF" w:rsidRPr="004F6172" w:rsidRDefault="00C664AF" w:rsidP="00C664AF">
      <w:pPr>
        <w:pStyle w:val="SubsectionHead"/>
      </w:pPr>
      <w:r w:rsidRPr="004F6172">
        <w:t>Warnings</w:t>
      </w:r>
    </w:p>
    <w:p w:rsidR="00C462F2" w:rsidRPr="004F6172" w:rsidRDefault="00C462F2" w:rsidP="00C462F2">
      <w:pPr>
        <w:pStyle w:val="subsection"/>
      </w:pPr>
      <w:r w:rsidRPr="004F6172">
        <w:tab/>
        <w:t>(1)</w:t>
      </w:r>
      <w:r w:rsidRPr="004F6172">
        <w:tab/>
        <w:t>A basketball ring or backboard must be accompanied by:</w:t>
      </w:r>
    </w:p>
    <w:p w:rsidR="00C462F2" w:rsidRPr="004F6172" w:rsidRDefault="00C462F2" w:rsidP="00C462F2">
      <w:pPr>
        <w:pStyle w:val="paragraph"/>
      </w:pPr>
      <w:r w:rsidRPr="004F6172">
        <w:tab/>
        <w:t>(a)</w:t>
      </w:r>
      <w:r w:rsidRPr="004F6172">
        <w:tab/>
        <w:t xml:space="preserve">a </w:t>
      </w:r>
      <w:r w:rsidR="00C664AF" w:rsidRPr="004F6172">
        <w:t xml:space="preserve">written </w:t>
      </w:r>
      <w:r w:rsidRPr="004F6172">
        <w:t>warning described in section</w:t>
      </w:r>
      <w:r w:rsidR="004F6172" w:rsidRPr="004F6172">
        <w:t> </w:t>
      </w:r>
      <w:r w:rsidR="00E013F8" w:rsidRPr="004F6172">
        <w:t>10</w:t>
      </w:r>
      <w:r w:rsidRPr="004F6172">
        <w:t>; and</w:t>
      </w:r>
    </w:p>
    <w:p w:rsidR="00672820" w:rsidRPr="004F6172" w:rsidRDefault="00C462F2" w:rsidP="00C462F2">
      <w:pPr>
        <w:pStyle w:val="paragraph"/>
      </w:pPr>
      <w:r w:rsidRPr="004F6172">
        <w:tab/>
        <w:t>(b)</w:t>
      </w:r>
      <w:r w:rsidRPr="004F6172">
        <w:tab/>
        <w:t>a warning symbol described in section</w:t>
      </w:r>
      <w:r w:rsidR="004F6172" w:rsidRPr="004F6172">
        <w:t> </w:t>
      </w:r>
      <w:r w:rsidRPr="004F6172">
        <w:t>1</w:t>
      </w:r>
      <w:r w:rsidR="00E013F8" w:rsidRPr="004F6172">
        <w:t>1</w:t>
      </w:r>
      <w:r w:rsidRPr="004F6172">
        <w:t>;</w:t>
      </w:r>
    </w:p>
    <w:p w:rsidR="00672820" w:rsidRPr="004F6172" w:rsidRDefault="00672820" w:rsidP="00672820">
      <w:pPr>
        <w:pStyle w:val="subsection2"/>
      </w:pPr>
      <w:r w:rsidRPr="004F6172">
        <w:t>in the way described in section</w:t>
      </w:r>
      <w:r w:rsidR="004F6172" w:rsidRPr="004F6172">
        <w:t> </w:t>
      </w:r>
      <w:r w:rsidRPr="004F6172">
        <w:t>1</w:t>
      </w:r>
      <w:r w:rsidR="00E013F8" w:rsidRPr="004F6172">
        <w:t>2</w:t>
      </w:r>
      <w:r w:rsidRPr="004F6172">
        <w:t>.</w:t>
      </w:r>
    </w:p>
    <w:p w:rsidR="00C462F2" w:rsidRPr="004F6172" w:rsidRDefault="00C462F2" w:rsidP="00C462F2">
      <w:pPr>
        <w:pStyle w:val="subsection"/>
      </w:pPr>
      <w:r w:rsidRPr="004F6172">
        <w:tab/>
        <w:t>(2)</w:t>
      </w:r>
      <w:r w:rsidRPr="004F6172">
        <w:tab/>
        <w:t xml:space="preserve">A backboard </w:t>
      </w:r>
      <w:r w:rsidR="00026991" w:rsidRPr="004F6172">
        <w:t>must have a warning described in section</w:t>
      </w:r>
      <w:r w:rsidR="004F6172" w:rsidRPr="004F6172">
        <w:t> </w:t>
      </w:r>
      <w:r w:rsidR="00C664AF" w:rsidRPr="004F6172">
        <w:t>1</w:t>
      </w:r>
      <w:r w:rsidR="00E013F8" w:rsidRPr="004F6172">
        <w:t>3</w:t>
      </w:r>
      <w:r w:rsidR="00C664AF" w:rsidRPr="004F6172">
        <w:t xml:space="preserve"> permanently marked</w:t>
      </w:r>
      <w:r w:rsidR="00BE136E" w:rsidRPr="004F6172">
        <w:t xml:space="preserve"> in a conspicuous place</w:t>
      </w:r>
      <w:r w:rsidR="00C664AF" w:rsidRPr="004F6172">
        <w:t xml:space="preserve"> on the front of the backboard</w:t>
      </w:r>
      <w:r w:rsidR="00BE136E" w:rsidRPr="004F6172">
        <w:t xml:space="preserve"> or on a label fixed in such a place</w:t>
      </w:r>
      <w:r w:rsidR="00C664AF" w:rsidRPr="004F6172">
        <w:t>.</w:t>
      </w:r>
    </w:p>
    <w:p w:rsidR="00C664AF" w:rsidRPr="004F6172" w:rsidRDefault="00C664AF" w:rsidP="00C664AF">
      <w:pPr>
        <w:pStyle w:val="SubsectionHead"/>
      </w:pPr>
      <w:r w:rsidRPr="004F6172">
        <w:t>Instructions</w:t>
      </w:r>
    </w:p>
    <w:p w:rsidR="00C664AF" w:rsidRPr="004F6172" w:rsidRDefault="00C664AF" w:rsidP="00C664AF">
      <w:pPr>
        <w:pStyle w:val="subsection"/>
      </w:pPr>
      <w:r w:rsidRPr="004F6172">
        <w:tab/>
        <w:t>(3)</w:t>
      </w:r>
      <w:r w:rsidRPr="004F6172">
        <w:tab/>
        <w:t xml:space="preserve">A basketball ring or backboard must be accompanied by </w:t>
      </w:r>
      <w:r w:rsidR="000E1EB7" w:rsidRPr="004F6172">
        <w:t xml:space="preserve">a label, tag or manual setting out </w:t>
      </w:r>
      <w:r w:rsidRPr="004F6172">
        <w:t>instructions described in section</w:t>
      </w:r>
      <w:r w:rsidR="004F6172" w:rsidRPr="004F6172">
        <w:t> </w:t>
      </w:r>
      <w:r w:rsidRPr="004F6172">
        <w:t>1</w:t>
      </w:r>
      <w:r w:rsidR="00E013F8" w:rsidRPr="004F6172">
        <w:t>4</w:t>
      </w:r>
      <w:r w:rsidR="000E1EB7" w:rsidRPr="004F6172">
        <w:t xml:space="preserve"> for installation</w:t>
      </w:r>
      <w:r w:rsidR="00481867" w:rsidRPr="004F6172">
        <w:t xml:space="preserve"> of the basketball ring or backboard</w:t>
      </w:r>
      <w:r w:rsidR="003E4440" w:rsidRPr="004F6172">
        <w:t xml:space="preserve"> for its safe use</w:t>
      </w:r>
      <w:r w:rsidR="00EC4027" w:rsidRPr="004F6172">
        <w:t xml:space="preserve">, unless the ring or backboard is supplied as part of a </w:t>
      </w:r>
      <w:r w:rsidR="0001292F" w:rsidRPr="004F6172">
        <w:t>portable basketball system</w:t>
      </w:r>
      <w:r w:rsidRPr="004F6172">
        <w:t>.</w:t>
      </w:r>
    </w:p>
    <w:p w:rsidR="005E2068" w:rsidRPr="004F6172" w:rsidRDefault="00E013F8" w:rsidP="00C664AF">
      <w:pPr>
        <w:pStyle w:val="ActHead5"/>
      </w:pPr>
      <w:bookmarkStart w:id="14" w:name="_Toc500398957"/>
      <w:r w:rsidRPr="004F6172">
        <w:rPr>
          <w:rStyle w:val="CharSectno"/>
        </w:rPr>
        <w:t>10</w:t>
      </w:r>
      <w:r w:rsidR="00C664AF" w:rsidRPr="004F6172">
        <w:t xml:space="preserve">  Form of written warning accompanying basketball ring or backboard</w:t>
      </w:r>
      <w:bookmarkEnd w:id="14"/>
    </w:p>
    <w:p w:rsidR="00C664AF" w:rsidRPr="004F6172" w:rsidRDefault="0073707E" w:rsidP="00C664AF">
      <w:pPr>
        <w:pStyle w:val="subsection"/>
      </w:pPr>
      <w:r w:rsidRPr="004F6172">
        <w:tab/>
        <w:t>(1)</w:t>
      </w:r>
      <w:r w:rsidRPr="004F6172">
        <w:tab/>
        <w:t>The warning accompanying the basketball ring or backboard must:</w:t>
      </w:r>
    </w:p>
    <w:p w:rsidR="0073707E" w:rsidRPr="004F6172" w:rsidRDefault="0073707E" w:rsidP="0073707E">
      <w:pPr>
        <w:pStyle w:val="paragraph"/>
      </w:pPr>
      <w:r w:rsidRPr="004F6172">
        <w:tab/>
        <w:t>(a)</w:t>
      </w:r>
      <w:r w:rsidRPr="004F6172">
        <w:tab/>
        <w:t xml:space="preserve">consist of the words </w:t>
      </w:r>
      <w:r w:rsidR="00CD2454" w:rsidRPr="004F6172">
        <w:t>“</w:t>
      </w:r>
      <w:r w:rsidRPr="004F6172">
        <w:t>WARNING: IMPROPER INSTALLATION OR SWINGING ON THE RING MAY CAUSE SERIOUS INJURY OR DEATH</w:t>
      </w:r>
      <w:r w:rsidR="00CD2454" w:rsidRPr="004F6172">
        <w:t>”</w:t>
      </w:r>
      <w:r w:rsidRPr="004F6172">
        <w:t>; and</w:t>
      </w:r>
    </w:p>
    <w:p w:rsidR="0073707E" w:rsidRPr="004F6172" w:rsidRDefault="0073707E" w:rsidP="0073707E">
      <w:pPr>
        <w:pStyle w:val="paragraph"/>
      </w:pPr>
      <w:r w:rsidRPr="004F6172">
        <w:tab/>
        <w:t>(b)</w:t>
      </w:r>
      <w:r w:rsidRPr="004F6172">
        <w:tab/>
        <w:t>be clearly legible.</w:t>
      </w:r>
    </w:p>
    <w:p w:rsidR="0073707E" w:rsidRPr="004F6172" w:rsidRDefault="0073707E" w:rsidP="00C664AF">
      <w:pPr>
        <w:pStyle w:val="subsection"/>
      </w:pPr>
      <w:r w:rsidRPr="004F6172">
        <w:tab/>
        <w:t>(2)</w:t>
      </w:r>
      <w:r w:rsidRPr="004F6172">
        <w:tab/>
        <w:t>In the warning:</w:t>
      </w:r>
    </w:p>
    <w:p w:rsidR="0073707E" w:rsidRPr="004F6172" w:rsidRDefault="0073707E" w:rsidP="0073707E">
      <w:pPr>
        <w:pStyle w:val="paragraph"/>
      </w:pPr>
      <w:r w:rsidRPr="004F6172">
        <w:tab/>
        <w:t>(a)</w:t>
      </w:r>
      <w:r w:rsidRPr="004F6172">
        <w:tab/>
        <w:t>the letters must be upper</w:t>
      </w:r>
      <w:r w:rsidR="004F6172">
        <w:noBreakHyphen/>
      </w:r>
      <w:r w:rsidRPr="004F6172">
        <w:t>case and red, and appear on a white background; and</w:t>
      </w:r>
    </w:p>
    <w:p w:rsidR="0073707E" w:rsidRPr="004F6172" w:rsidRDefault="0073707E" w:rsidP="0073707E">
      <w:pPr>
        <w:pStyle w:val="paragraph"/>
      </w:pPr>
      <w:r w:rsidRPr="004F6172">
        <w:tab/>
        <w:t>(b)</w:t>
      </w:r>
      <w:r w:rsidRPr="004F6172">
        <w:tab/>
        <w:t xml:space="preserve">the letters of the word </w:t>
      </w:r>
      <w:r w:rsidR="00CD2454" w:rsidRPr="004F6172">
        <w:t>“</w:t>
      </w:r>
      <w:r w:rsidRPr="004F6172">
        <w:t>WARNING</w:t>
      </w:r>
      <w:r w:rsidR="00CD2454" w:rsidRPr="004F6172">
        <w:t>”</w:t>
      </w:r>
      <w:r w:rsidRPr="004F6172">
        <w:t xml:space="preserve"> must be at least 15 millimetres high; and</w:t>
      </w:r>
    </w:p>
    <w:p w:rsidR="0073707E" w:rsidRPr="004F6172" w:rsidRDefault="0073707E" w:rsidP="0073707E">
      <w:pPr>
        <w:pStyle w:val="paragraph"/>
      </w:pPr>
      <w:r w:rsidRPr="004F6172">
        <w:tab/>
        <w:t>(c)</w:t>
      </w:r>
      <w:r w:rsidRPr="004F6172">
        <w:tab/>
        <w:t>the letters of the other words must be at least 10 millimetres high.</w:t>
      </w:r>
    </w:p>
    <w:p w:rsidR="00C664AF" w:rsidRPr="004F6172" w:rsidRDefault="00C664AF" w:rsidP="00C664AF">
      <w:pPr>
        <w:pStyle w:val="ActHead5"/>
      </w:pPr>
      <w:bookmarkStart w:id="15" w:name="_Toc500398958"/>
      <w:r w:rsidRPr="004F6172">
        <w:rPr>
          <w:rStyle w:val="CharSectno"/>
        </w:rPr>
        <w:t>1</w:t>
      </w:r>
      <w:r w:rsidR="00E013F8" w:rsidRPr="004F6172">
        <w:rPr>
          <w:rStyle w:val="CharSectno"/>
        </w:rPr>
        <w:t>1</w:t>
      </w:r>
      <w:r w:rsidRPr="004F6172">
        <w:t xml:space="preserve">  Form of warning symbol accompanying basketball ring or backboard</w:t>
      </w:r>
      <w:bookmarkEnd w:id="15"/>
    </w:p>
    <w:p w:rsidR="00C664AF" w:rsidRPr="004F6172" w:rsidRDefault="0073707E" w:rsidP="00C664AF">
      <w:pPr>
        <w:pStyle w:val="subsection"/>
      </w:pPr>
      <w:r w:rsidRPr="004F6172">
        <w:tab/>
        <w:t>(1)</w:t>
      </w:r>
      <w:r w:rsidRPr="004F6172">
        <w:tab/>
        <w:t xml:space="preserve">The warning symbol accompanying the basketball ring or backboard must be in the form of the following symbol (which is not </w:t>
      </w:r>
      <w:r w:rsidR="00F12E86" w:rsidRPr="004F6172">
        <w:t>full size</w:t>
      </w:r>
      <w:r w:rsidRPr="004F6172">
        <w:t>):</w:t>
      </w:r>
    </w:p>
    <w:p w:rsidR="0073707E" w:rsidRPr="004F6172" w:rsidRDefault="00451CA0" w:rsidP="00451CA0">
      <w:pPr>
        <w:pStyle w:val="subsection2"/>
      </w:pPr>
      <w:r w:rsidRPr="004F6172">
        <w:rPr>
          <w:noProof/>
        </w:rPr>
        <w:lastRenderedPageBreak/>
        <w:drawing>
          <wp:inline distT="0" distB="0" distL="0" distR="0" wp14:anchorId="24CAAA77" wp14:editId="0DFA5B6B">
            <wp:extent cx="2209800" cy="2171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707E" w:rsidRPr="004F6172" w:rsidRDefault="0073707E" w:rsidP="00C664AF">
      <w:pPr>
        <w:pStyle w:val="subsection"/>
      </w:pPr>
      <w:r w:rsidRPr="004F6172">
        <w:tab/>
        <w:t>(2)</w:t>
      </w:r>
      <w:r w:rsidRPr="004F6172">
        <w:tab/>
        <w:t>In the warning symbol:</w:t>
      </w:r>
    </w:p>
    <w:p w:rsidR="0073707E" w:rsidRPr="004F6172" w:rsidRDefault="0073707E" w:rsidP="0073707E">
      <w:pPr>
        <w:pStyle w:val="paragraph"/>
      </w:pPr>
      <w:r w:rsidRPr="004F6172">
        <w:tab/>
        <w:t>(a)</w:t>
      </w:r>
      <w:r w:rsidRPr="004F6172">
        <w:tab/>
        <w:t>the diameter of the outer edge of the circle must be at least 120 millimetres; and</w:t>
      </w:r>
    </w:p>
    <w:p w:rsidR="0073707E" w:rsidRPr="004F6172" w:rsidRDefault="0073707E" w:rsidP="0073707E">
      <w:pPr>
        <w:pStyle w:val="paragraph"/>
      </w:pPr>
      <w:r w:rsidRPr="004F6172">
        <w:tab/>
        <w:t>(b)</w:t>
      </w:r>
      <w:r w:rsidRPr="004F6172">
        <w:tab/>
      </w:r>
      <w:r w:rsidR="00390BCE" w:rsidRPr="004F6172">
        <w:t>the circle and diagonal line must be shown with red lines at least 5 millimetres wide; and</w:t>
      </w:r>
    </w:p>
    <w:p w:rsidR="00390BCE" w:rsidRPr="004F6172" w:rsidRDefault="00390BCE" w:rsidP="0073707E">
      <w:pPr>
        <w:pStyle w:val="paragraph"/>
      </w:pPr>
      <w:r w:rsidRPr="004F6172">
        <w:tab/>
        <w:t>(c)</w:t>
      </w:r>
      <w:r w:rsidRPr="004F6172">
        <w:tab/>
        <w:t>the human figure must be entirely black; and</w:t>
      </w:r>
    </w:p>
    <w:p w:rsidR="00390BCE" w:rsidRPr="004F6172" w:rsidRDefault="00390BCE" w:rsidP="0073707E">
      <w:pPr>
        <w:pStyle w:val="paragraph"/>
      </w:pPr>
      <w:r w:rsidRPr="004F6172">
        <w:tab/>
        <w:t>(d)</w:t>
      </w:r>
      <w:r w:rsidRPr="004F6172">
        <w:tab/>
        <w:t>the basketball ring and back</w:t>
      </w:r>
      <w:r w:rsidR="00854549" w:rsidRPr="004F6172">
        <w:t>boar</w:t>
      </w:r>
      <w:r w:rsidRPr="004F6172">
        <w:t>d must be outlined in black.</w:t>
      </w:r>
    </w:p>
    <w:p w:rsidR="00C664AF" w:rsidRPr="004F6172" w:rsidRDefault="00C664AF" w:rsidP="00C664AF">
      <w:pPr>
        <w:pStyle w:val="ActHead5"/>
      </w:pPr>
      <w:bookmarkStart w:id="16" w:name="_Toc500398959"/>
      <w:r w:rsidRPr="004F6172">
        <w:rPr>
          <w:rStyle w:val="CharSectno"/>
        </w:rPr>
        <w:t>1</w:t>
      </w:r>
      <w:r w:rsidR="00E013F8" w:rsidRPr="004F6172">
        <w:rPr>
          <w:rStyle w:val="CharSectno"/>
        </w:rPr>
        <w:t>2</w:t>
      </w:r>
      <w:r w:rsidRPr="004F6172">
        <w:t xml:space="preserve">  How </w:t>
      </w:r>
      <w:r w:rsidR="006F6CB6" w:rsidRPr="004F6172">
        <w:t xml:space="preserve">written </w:t>
      </w:r>
      <w:r w:rsidRPr="004F6172">
        <w:t>warning and warning symbol are to accompany basketball ring or backboard</w:t>
      </w:r>
      <w:bookmarkEnd w:id="16"/>
    </w:p>
    <w:p w:rsidR="00FD08C3" w:rsidRPr="004F6172" w:rsidRDefault="00FD08C3" w:rsidP="00FD08C3">
      <w:pPr>
        <w:pStyle w:val="SubsectionHead"/>
      </w:pPr>
      <w:r w:rsidRPr="004F6172">
        <w:t>If basketball ring or backboard is packaged</w:t>
      </w:r>
    </w:p>
    <w:p w:rsidR="00FD08C3" w:rsidRPr="004F6172" w:rsidRDefault="00FD08C3" w:rsidP="00FD08C3">
      <w:pPr>
        <w:pStyle w:val="subsection"/>
      </w:pPr>
      <w:r w:rsidRPr="004F6172">
        <w:tab/>
        <w:t>(1)</w:t>
      </w:r>
      <w:r w:rsidRPr="004F6172">
        <w:tab/>
        <w:t>If the basketball ring or backboard is packaged, the warning and warning symbol must accompany the ring or backboard by being marked:</w:t>
      </w:r>
    </w:p>
    <w:p w:rsidR="00FD08C3" w:rsidRPr="004F6172" w:rsidRDefault="00FD08C3" w:rsidP="00FD08C3">
      <w:pPr>
        <w:pStyle w:val="paragraph"/>
      </w:pPr>
      <w:r w:rsidRPr="004F6172">
        <w:tab/>
        <w:t>(a)</w:t>
      </w:r>
      <w:r w:rsidRPr="004F6172">
        <w:tab/>
        <w:t>in a conspicuous place on the package; or</w:t>
      </w:r>
    </w:p>
    <w:p w:rsidR="00FD08C3" w:rsidRPr="004F6172" w:rsidRDefault="00FD08C3" w:rsidP="00FD08C3">
      <w:pPr>
        <w:pStyle w:val="paragraph"/>
      </w:pPr>
      <w:r w:rsidRPr="004F6172">
        <w:tab/>
        <w:t>(b)</w:t>
      </w:r>
      <w:r w:rsidRPr="004F6172">
        <w:tab/>
        <w:t xml:space="preserve">on a label fixed in </w:t>
      </w:r>
      <w:r w:rsidR="00BE136E" w:rsidRPr="004F6172">
        <w:t xml:space="preserve">such </w:t>
      </w:r>
      <w:r w:rsidR="00725504" w:rsidRPr="004F6172">
        <w:t xml:space="preserve">a </w:t>
      </w:r>
      <w:r w:rsidRPr="004F6172">
        <w:t>place.</w:t>
      </w:r>
    </w:p>
    <w:p w:rsidR="00FD08C3" w:rsidRPr="004F6172" w:rsidRDefault="00FD08C3" w:rsidP="00FD08C3">
      <w:pPr>
        <w:pStyle w:val="SubsectionHead"/>
      </w:pPr>
      <w:r w:rsidRPr="004F6172">
        <w:t>If basketball ring or backboard is not packaged</w:t>
      </w:r>
    </w:p>
    <w:p w:rsidR="00FD08C3" w:rsidRPr="004F6172" w:rsidRDefault="00FD08C3" w:rsidP="00C664AF">
      <w:pPr>
        <w:pStyle w:val="subsection"/>
      </w:pPr>
      <w:r w:rsidRPr="004F6172">
        <w:tab/>
        <w:t>(2)</w:t>
      </w:r>
      <w:r w:rsidRPr="004F6172">
        <w:tab/>
        <w:t>If the basketball ring or backboard is not packaged, the warning and warning symbol must accompany the ring or backboard by being marked:</w:t>
      </w:r>
    </w:p>
    <w:p w:rsidR="00FD08C3" w:rsidRPr="004F6172" w:rsidRDefault="00FD08C3" w:rsidP="00FD08C3">
      <w:pPr>
        <w:pStyle w:val="paragraph"/>
      </w:pPr>
      <w:r w:rsidRPr="004F6172">
        <w:tab/>
        <w:t>(a)</w:t>
      </w:r>
      <w:r w:rsidRPr="004F6172">
        <w:tab/>
        <w:t>in a conspicuous place on the ring or backboard; or</w:t>
      </w:r>
    </w:p>
    <w:p w:rsidR="00FD08C3" w:rsidRPr="004F6172" w:rsidRDefault="00FD08C3" w:rsidP="00FD08C3">
      <w:pPr>
        <w:pStyle w:val="paragraph"/>
      </w:pPr>
      <w:r w:rsidRPr="004F6172">
        <w:tab/>
        <w:t>(b)</w:t>
      </w:r>
      <w:r w:rsidRPr="004F6172">
        <w:tab/>
        <w:t xml:space="preserve">on a label fixed in </w:t>
      </w:r>
      <w:r w:rsidR="0097675C" w:rsidRPr="004F6172">
        <w:t xml:space="preserve">such </w:t>
      </w:r>
      <w:r w:rsidRPr="004F6172">
        <w:t>a place; or</w:t>
      </w:r>
    </w:p>
    <w:p w:rsidR="00FD08C3" w:rsidRPr="004F6172" w:rsidRDefault="00FD08C3" w:rsidP="00FD08C3">
      <w:pPr>
        <w:pStyle w:val="paragraph"/>
      </w:pPr>
      <w:r w:rsidRPr="004F6172">
        <w:tab/>
        <w:t>(c)</w:t>
      </w:r>
      <w:r w:rsidRPr="004F6172">
        <w:tab/>
        <w:t>on a conspicuous tag attached to the ring or backboard.</w:t>
      </w:r>
    </w:p>
    <w:p w:rsidR="00C664AF" w:rsidRPr="004F6172" w:rsidRDefault="00C664AF" w:rsidP="00C664AF">
      <w:pPr>
        <w:pStyle w:val="ActHead5"/>
      </w:pPr>
      <w:bookmarkStart w:id="17" w:name="_Toc500398960"/>
      <w:r w:rsidRPr="004F6172">
        <w:rPr>
          <w:rStyle w:val="CharSectno"/>
        </w:rPr>
        <w:t>1</w:t>
      </w:r>
      <w:r w:rsidR="00E013F8" w:rsidRPr="004F6172">
        <w:rPr>
          <w:rStyle w:val="CharSectno"/>
        </w:rPr>
        <w:t>3</w:t>
      </w:r>
      <w:r w:rsidRPr="004F6172">
        <w:t xml:space="preserve">  Form of permanent warning marked on front of backboard</w:t>
      </w:r>
      <w:bookmarkEnd w:id="17"/>
    </w:p>
    <w:p w:rsidR="00C664AF" w:rsidRPr="004F6172" w:rsidRDefault="00FD08C3" w:rsidP="00C664AF">
      <w:pPr>
        <w:pStyle w:val="subsection"/>
      </w:pPr>
      <w:r w:rsidRPr="004F6172">
        <w:tab/>
      </w:r>
      <w:r w:rsidR="00481867" w:rsidRPr="004F6172">
        <w:t>(1)</w:t>
      </w:r>
      <w:r w:rsidRPr="004F6172">
        <w:tab/>
        <w:t xml:space="preserve">The warning permanently marked on </w:t>
      </w:r>
      <w:r w:rsidR="00481867" w:rsidRPr="004F6172">
        <w:t xml:space="preserve">the front of the backboard </w:t>
      </w:r>
      <w:r w:rsidR="0097675C" w:rsidRPr="004F6172">
        <w:t xml:space="preserve">(or on a label there) </w:t>
      </w:r>
      <w:r w:rsidR="00481867" w:rsidRPr="004F6172">
        <w:t>must:</w:t>
      </w:r>
    </w:p>
    <w:p w:rsidR="00481867" w:rsidRPr="004F6172" w:rsidRDefault="00481867" w:rsidP="00481867">
      <w:pPr>
        <w:pStyle w:val="paragraph"/>
      </w:pPr>
      <w:r w:rsidRPr="004F6172">
        <w:tab/>
        <w:t>(a)</w:t>
      </w:r>
      <w:r w:rsidRPr="004F6172">
        <w:tab/>
        <w:t xml:space="preserve">consist of the words </w:t>
      </w:r>
      <w:r w:rsidR="00CD2454" w:rsidRPr="004F6172">
        <w:t>“</w:t>
      </w:r>
      <w:r w:rsidRPr="004F6172">
        <w:t>WARNING: SWINGING ON THE RING MAY CAUSE SERIOUS INJURY OR DEATH</w:t>
      </w:r>
      <w:r w:rsidR="00CD2454" w:rsidRPr="004F6172">
        <w:t>”</w:t>
      </w:r>
      <w:r w:rsidRPr="004F6172">
        <w:t>; and</w:t>
      </w:r>
    </w:p>
    <w:p w:rsidR="00481867" w:rsidRPr="004F6172" w:rsidRDefault="00481867" w:rsidP="00481867">
      <w:pPr>
        <w:pStyle w:val="paragraph"/>
      </w:pPr>
      <w:r w:rsidRPr="004F6172">
        <w:tab/>
        <w:t>(b)</w:t>
      </w:r>
      <w:r w:rsidRPr="004F6172">
        <w:tab/>
        <w:t>be clearly legible.</w:t>
      </w:r>
    </w:p>
    <w:p w:rsidR="00481867" w:rsidRPr="004F6172" w:rsidRDefault="00481867" w:rsidP="00481867">
      <w:pPr>
        <w:pStyle w:val="subsection"/>
      </w:pPr>
      <w:r w:rsidRPr="004F6172">
        <w:tab/>
        <w:t>(2)</w:t>
      </w:r>
      <w:r w:rsidRPr="004F6172">
        <w:tab/>
        <w:t>The lettering of the warning must be upper</w:t>
      </w:r>
      <w:r w:rsidR="004F6172">
        <w:noBreakHyphen/>
      </w:r>
      <w:r w:rsidRPr="004F6172">
        <w:t>case and at least 10 millimetres high.</w:t>
      </w:r>
    </w:p>
    <w:p w:rsidR="00C664AF" w:rsidRPr="004F6172" w:rsidRDefault="00C664AF" w:rsidP="00C664AF">
      <w:pPr>
        <w:pStyle w:val="ActHead5"/>
      </w:pPr>
      <w:bookmarkStart w:id="18" w:name="_Toc500398961"/>
      <w:r w:rsidRPr="004F6172">
        <w:rPr>
          <w:rStyle w:val="CharSectno"/>
        </w:rPr>
        <w:lastRenderedPageBreak/>
        <w:t>1</w:t>
      </w:r>
      <w:r w:rsidR="00E013F8" w:rsidRPr="004F6172">
        <w:rPr>
          <w:rStyle w:val="CharSectno"/>
        </w:rPr>
        <w:t>4</w:t>
      </w:r>
      <w:r w:rsidRPr="004F6172">
        <w:t xml:space="preserve">  </w:t>
      </w:r>
      <w:r w:rsidR="008414C8" w:rsidRPr="004F6172">
        <w:t>I</w:t>
      </w:r>
      <w:r w:rsidRPr="004F6172">
        <w:t xml:space="preserve">nstructions accompanying </w:t>
      </w:r>
      <w:r w:rsidR="000E1EB7" w:rsidRPr="004F6172">
        <w:t>basketball ring or backboard</w:t>
      </w:r>
      <w:r w:rsidR="008414C8" w:rsidRPr="004F6172">
        <w:t xml:space="preserve"> for installation for safe use</w:t>
      </w:r>
      <w:bookmarkEnd w:id="18"/>
    </w:p>
    <w:p w:rsidR="00C664AF" w:rsidRPr="004F6172" w:rsidRDefault="00481867" w:rsidP="00C664AF">
      <w:pPr>
        <w:pStyle w:val="subsection"/>
      </w:pPr>
      <w:r w:rsidRPr="004F6172">
        <w:tab/>
      </w:r>
      <w:r w:rsidRPr="004F6172">
        <w:tab/>
        <w:t xml:space="preserve">The instructions accompanying the basketball ring or backboard </w:t>
      </w:r>
      <w:r w:rsidR="008414C8" w:rsidRPr="004F6172">
        <w:t xml:space="preserve">for its installation for safe use </w:t>
      </w:r>
      <w:r w:rsidRPr="004F6172">
        <w:t>must:</w:t>
      </w:r>
    </w:p>
    <w:p w:rsidR="00481867" w:rsidRPr="004F6172" w:rsidRDefault="00481867" w:rsidP="00481867">
      <w:pPr>
        <w:pStyle w:val="paragraph"/>
      </w:pPr>
      <w:r w:rsidRPr="004F6172">
        <w:tab/>
        <w:t>(a)</w:t>
      </w:r>
      <w:r w:rsidRPr="004F6172">
        <w:tab/>
      </w:r>
      <w:r w:rsidR="003E4440" w:rsidRPr="004F6172">
        <w:t>give details of the</w:t>
      </w:r>
      <w:r w:rsidRPr="004F6172">
        <w:t xml:space="preserve"> supporting structure </w:t>
      </w:r>
      <w:r w:rsidR="0069211C" w:rsidRPr="004F6172">
        <w:t>to</w:t>
      </w:r>
      <w:r w:rsidRPr="004F6172">
        <w:t xml:space="preserve"> which the </w:t>
      </w:r>
      <w:r w:rsidR="0069211C" w:rsidRPr="004F6172">
        <w:t>ring or backboard is to be fixed; and</w:t>
      </w:r>
    </w:p>
    <w:p w:rsidR="0069211C" w:rsidRPr="004F6172" w:rsidRDefault="0069211C" w:rsidP="00481867">
      <w:pPr>
        <w:pStyle w:val="paragraph"/>
      </w:pPr>
      <w:r w:rsidRPr="004F6172">
        <w:tab/>
        <w:t>(b)</w:t>
      </w:r>
      <w:r w:rsidRPr="004F6172">
        <w:tab/>
      </w:r>
      <w:r w:rsidR="003E4440" w:rsidRPr="004F6172">
        <w:t>give details</w:t>
      </w:r>
      <w:r w:rsidRPr="004F6172">
        <w:t xml:space="preserve"> of </w:t>
      </w:r>
      <w:r w:rsidR="003E4440" w:rsidRPr="004F6172">
        <w:t xml:space="preserve">the </w:t>
      </w:r>
      <w:r w:rsidRPr="004F6172">
        <w:t>hardware to be used to fix the ring or backboard to the supporting structure; and</w:t>
      </w:r>
    </w:p>
    <w:p w:rsidR="0069211C" w:rsidRPr="004F6172" w:rsidRDefault="0069211C" w:rsidP="00481867">
      <w:pPr>
        <w:pStyle w:val="paragraph"/>
      </w:pPr>
      <w:r w:rsidRPr="004F6172">
        <w:tab/>
        <w:t>(c)</w:t>
      </w:r>
      <w:r w:rsidRPr="004F6172">
        <w:tab/>
      </w:r>
      <w:r w:rsidR="003E4440" w:rsidRPr="004F6172">
        <w:t xml:space="preserve">strongly </w:t>
      </w:r>
      <w:r w:rsidRPr="004F6172">
        <w:t>warn against fixing the ring or backboard to brickwork; and</w:t>
      </w:r>
    </w:p>
    <w:p w:rsidR="0069211C" w:rsidRPr="004F6172" w:rsidRDefault="0069211C" w:rsidP="00481867">
      <w:pPr>
        <w:pStyle w:val="paragraph"/>
      </w:pPr>
      <w:r w:rsidRPr="004F6172">
        <w:tab/>
        <w:t>(d)</w:t>
      </w:r>
      <w:r w:rsidRPr="004F6172">
        <w:tab/>
      </w:r>
      <w:r w:rsidR="003E4440" w:rsidRPr="004F6172">
        <w:t>include advice to consult a structural engineer if there is any doubt about the safety or stability of the installation.</w:t>
      </w:r>
    </w:p>
    <w:p w:rsidR="00FB5F26" w:rsidRPr="004F6172" w:rsidRDefault="00FB5F26" w:rsidP="00FB5F26">
      <w:pPr>
        <w:pStyle w:val="notetext"/>
      </w:pPr>
      <w:r w:rsidRPr="004F6172">
        <w:t>Note:</w:t>
      </w:r>
      <w:r w:rsidRPr="004F6172">
        <w:tab/>
        <w:t xml:space="preserve">This section does not apply to a </w:t>
      </w:r>
      <w:r w:rsidR="006E73EC" w:rsidRPr="004F6172">
        <w:t xml:space="preserve">basketball ring or backboard supplied as part of a </w:t>
      </w:r>
      <w:r w:rsidR="00233B56" w:rsidRPr="004F6172">
        <w:t xml:space="preserve">portable </w:t>
      </w:r>
      <w:r w:rsidRPr="004F6172">
        <w:t xml:space="preserve">basketball </w:t>
      </w:r>
      <w:r w:rsidR="00233B56" w:rsidRPr="004F6172">
        <w:t>system</w:t>
      </w:r>
      <w:r w:rsidRPr="004F6172">
        <w:t>: see subsection</w:t>
      </w:r>
      <w:r w:rsidR="004F6172" w:rsidRPr="004F6172">
        <w:t> </w:t>
      </w:r>
      <w:r w:rsidRPr="004F6172">
        <w:t>9(3).</w:t>
      </w:r>
    </w:p>
    <w:p w:rsidR="000E1EB7" w:rsidRPr="004F6172" w:rsidRDefault="000E1EB7" w:rsidP="000E1EB7">
      <w:pPr>
        <w:pStyle w:val="ActHead3"/>
        <w:pageBreakBefore/>
      </w:pPr>
      <w:bookmarkStart w:id="19" w:name="_Toc500398962"/>
      <w:r w:rsidRPr="004F6172">
        <w:rPr>
          <w:rStyle w:val="CharDivNo"/>
        </w:rPr>
        <w:lastRenderedPageBreak/>
        <w:t>Division</w:t>
      </w:r>
      <w:r w:rsidR="004F6172" w:rsidRPr="004F6172">
        <w:rPr>
          <w:rStyle w:val="CharDivNo"/>
        </w:rPr>
        <w:t> </w:t>
      </w:r>
      <w:r w:rsidRPr="004F6172">
        <w:rPr>
          <w:rStyle w:val="CharDivNo"/>
        </w:rPr>
        <w:t>3</w:t>
      </w:r>
      <w:r w:rsidRPr="004F6172">
        <w:t>—</w:t>
      </w:r>
      <w:r w:rsidRPr="004F6172">
        <w:rPr>
          <w:rStyle w:val="CharDivText"/>
        </w:rPr>
        <w:t xml:space="preserve">Details of alternative requirements that apply </w:t>
      </w:r>
      <w:r w:rsidR="00E013F8" w:rsidRPr="004F6172">
        <w:rPr>
          <w:rStyle w:val="CharDivText"/>
        </w:rPr>
        <w:t>during transitional period</w:t>
      </w:r>
      <w:bookmarkEnd w:id="19"/>
    </w:p>
    <w:p w:rsidR="00C664AF" w:rsidRPr="004F6172" w:rsidRDefault="000E1EB7" w:rsidP="000E1EB7">
      <w:pPr>
        <w:pStyle w:val="ActHead5"/>
      </w:pPr>
      <w:bookmarkStart w:id="20" w:name="_Toc500398963"/>
      <w:r w:rsidRPr="004F6172">
        <w:rPr>
          <w:rStyle w:val="CharSectno"/>
        </w:rPr>
        <w:t>1</w:t>
      </w:r>
      <w:r w:rsidR="00E013F8" w:rsidRPr="004F6172">
        <w:rPr>
          <w:rStyle w:val="CharSectno"/>
        </w:rPr>
        <w:t>5</w:t>
      </w:r>
      <w:r w:rsidRPr="004F6172">
        <w:t xml:space="preserve">  Requirements of the </w:t>
      </w:r>
      <w:r w:rsidRPr="004F6172">
        <w:rPr>
          <w:i/>
        </w:rPr>
        <w:t>Trade Practices (Consumer Product Safety Standard) (Basketball Rings and Backboards) Regulations</w:t>
      </w:r>
      <w:r w:rsidR="004F6172" w:rsidRPr="004F6172">
        <w:rPr>
          <w:i/>
        </w:rPr>
        <w:t> </w:t>
      </w:r>
      <w:r w:rsidRPr="004F6172">
        <w:rPr>
          <w:i/>
        </w:rPr>
        <w:t>2005</w:t>
      </w:r>
      <w:bookmarkEnd w:id="20"/>
    </w:p>
    <w:p w:rsidR="00C664AF" w:rsidRPr="004F6172" w:rsidRDefault="000E1EB7" w:rsidP="00C664AF">
      <w:pPr>
        <w:pStyle w:val="subsection"/>
      </w:pPr>
      <w:r w:rsidRPr="004F6172">
        <w:tab/>
        <w:t>(1)</w:t>
      </w:r>
      <w:r w:rsidRPr="004F6172">
        <w:tab/>
        <w:t>If a basketball ring or backboard does not meet the requirements of Division</w:t>
      </w:r>
      <w:r w:rsidR="004F6172" w:rsidRPr="004F6172">
        <w:t> </w:t>
      </w:r>
      <w:r w:rsidRPr="004F6172">
        <w:t xml:space="preserve">2, the ring or backboard must comply with the </w:t>
      </w:r>
      <w:r w:rsidR="0069211C" w:rsidRPr="004F6172">
        <w:t>requirements of</w:t>
      </w:r>
      <w:r w:rsidRPr="004F6172">
        <w:t xml:space="preserve"> the </w:t>
      </w:r>
      <w:r w:rsidRPr="004F6172">
        <w:rPr>
          <w:i/>
        </w:rPr>
        <w:t>Trade Practices (Consumer Product Safety Standard) (Basketball Rings and Backboards) Regulations</w:t>
      </w:r>
      <w:r w:rsidR="004F6172" w:rsidRPr="004F6172">
        <w:rPr>
          <w:i/>
        </w:rPr>
        <w:t> </w:t>
      </w:r>
      <w:r w:rsidRPr="004F6172">
        <w:rPr>
          <w:i/>
        </w:rPr>
        <w:t>2005</w:t>
      </w:r>
      <w:r w:rsidRPr="004F6172">
        <w:t>, as in force immediately before the commencement of this instrument.</w:t>
      </w:r>
    </w:p>
    <w:p w:rsidR="0069211C" w:rsidRPr="004F6172" w:rsidRDefault="0069211C" w:rsidP="0069211C">
      <w:pPr>
        <w:pStyle w:val="notetext"/>
      </w:pPr>
      <w:r w:rsidRPr="004F6172">
        <w:t>Note:</w:t>
      </w:r>
      <w:r w:rsidRPr="004F6172">
        <w:tab/>
        <w:t>The Regulations could in 2017 be viewed on the Federal Register of Legislation website (https://www.legislation.gov.au).</w:t>
      </w:r>
    </w:p>
    <w:p w:rsidR="00E013F8" w:rsidRPr="004F6172" w:rsidRDefault="00E013F8" w:rsidP="00E013F8">
      <w:pPr>
        <w:pStyle w:val="subsection"/>
      </w:pPr>
      <w:r w:rsidRPr="004F6172">
        <w:tab/>
        <w:t>(2)</w:t>
      </w:r>
      <w:r w:rsidRPr="004F6172">
        <w:tab/>
        <w:t>This Division is repealed at the end of the last day of the transitional period.</w:t>
      </w:r>
    </w:p>
    <w:p w:rsidR="005E2068" w:rsidRPr="004F6172" w:rsidRDefault="005E2068" w:rsidP="00C664AF">
      <w:pPr>
        <w:sectPr w:rsidR="005E2068" w:rsidRPr="004F6172" w:rsidSect="00C82FC4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:rsidR="005E2068" w:rsidRPr="004F6172" w:rsidRDefault="005E2068" w:rsidP="005E2068">
      <w:pPr>
        <w:pStyle w:val="ActHead6"/>
      </w:pPr>
      <w:bookmarkStart w:id="21" w:name="_Toc500398964"/>
      <w:bookmarkStart w:id="22" w:name="opcAmSched"/>
      <w:bookmarkStart w:id="23" w:name="opcCurrentFind"/>
      <w:r w:rsidRPr="004F6172">
        <w:rPr>
          <w:rStyle w:val="CharAmSchNo"/>
        </w:rPr>
        <w:lastRenderedPageBreak/>
        <w:t>Schedule</w:t>
      </w:r>
      <w:r w:rsidR="004F6172" w:rsidRPr="004F6172">
        <w:rPr>
          <w:rStyle w:val="CharAmSchNo"/>
        </w:rPr>
        <w:t> </w:t>
      </w:r>
      <w:r w:rsidRPr="004F6172">
        <w:rPr>
          <w:rStyle w:val="CharAmSchNo"/>
        </w:rPr>
        <w:t>1</w:t>
      </w:r>
      <w:r w:rsidRPr="004F6172">
        <w:t>—</w:t>
      </w:r>
      <w:r w:rsidRPr="004F6172">
        <w:rPr>
          <w:rStyle w:val="CharAmSchText"/>
        </w:rPr>
        <w:t>Repeals</w:t>
      </w:r>
      <w:bookmarkEnd w:id="21"/>
    </w:p>
    <w:bookmarkEnd w:id="22"/>
    <w:bookmarkEnd w:id="23"/>
    <w:p w:rsidR="005E2068" w:rsidRPr="004F6172" w:rsidRDefault="005E2068" w:rsidP="00672820">
      <w:pPr>
        <w:pStyle w:val="Header"/>
      </w:pPr>
      <w:r w:rsidRPr="004F6172">
        <w:rPr>
          <w:rStyle w:val="CharAmPartNo"/>
        </w:rPr>
        <w:t xml:space="preserve"> </w:t>
      </w:r>
      <w:r w:rsidRPr="004F6172">
        <w:rPr>
          <w:rStyle w:val="CharAmPartText"/>
        </w:rPr>
        <w:t xml:space="preserve"> </w:t>
      </w:r>
    </w:p>
    <w:p w:rsidR="003D4513" w:rsidRPr="004F6172" w:rsidRDefault="003D4513" w:rsidP="003D4513">
      <w:pPr>
        <w:pStyle w:val="ActHead9"/>
      </w:pPr>
      <w:bookmarkStart w:id="24" w:name="_Toc500398965"/>
      <w:r w:rsidRPr="004F6172">
        <w:t>Trade Practices (Consumer Product Safety Standard) (Basketball Rings and Backboards) Regulations</w:t>
      </w:r>
      <w:r w:rsidR="004F6172" w:rsidRPr="004F6172">
        <w:t> </w:t>
      </w:r>
      <w:r w:rsidRPr="004F6172">
        <w:t>2005</w:t>
      </w:r>
      <w:bookmarkEnd w:id="24"/>
    </w:p>
    <w:p w:rsidR="003D4513" w:rsidRPr="004F6172" w:rsidRDefault="003D4513" w:rsidP="003D4513">
      <w:pPr>
        <w:pStyle w:val="ItemHead"/>
      </w:pPr>
      <w:r w:rsidRPr="004F6172">
        <w:t xml:space="preserve">1  The whole of the </w:t>
      </w:r>
      <w:r w:rsidR="00131B53" w:rsidRPr="004F6172">
        <w:t>instrument</w:t>
      </w:r>
    </w:p>
    <w:p w:rsidR="003D4513" w:rsidRPr="004F6172" w:rsidRDefault="003D4513" w:rsidP="003D4513">
      <w:pPr>
        <w:pStyle w:val="Item"/>
      </w:pPr>
      <w:r w:rsidRPr="004F6172">
        <w:t xml:space="preserve">Repeal the </w:t>
      </w:r>
      <w:r w:rsidR="00131B53" w:rsidRPr="004F6172">
        <w:t>instrument</w:t>
      </w:r>
      <w:r w:rsidRPr="004F6172">
        <w:t>.</w:t>
      </w:r>
    </w:p>
    <w:p w:rsidR="003D4513" w:rsidRPr="004F6172" w:rsidRDefault="003D4513" w:rsidP="003D4513">
      <w:pPr>
        <w:pStyle w:val="notemargin"/>
      </w:pPr>
      <w:r w:rsidRPr="004F6172">
        <w:t>Note:</w:t>
      </w:r>
      <w:r w:rsidRPr="004F6172">
        <w:tab/>
        <w:t>Under item</w:t>
      </w:r>
      <w:r w:rsidR="004F6172" w:rsidRPr="004F6172">
        <w:t> </w:t>
      </w:r>
      <w:r w:rsidRPr="004F6172">
        <w:t>4 of Schedule</w:t>
      </w:r>
      <w:r w:rsidR="004F6172" w:rsidRPr="004F6172">
        <w:t> </w:t>
      </w:r>
      <w:r w:rsidRPr="004F6172">
        <w:t xml:space="preserve">7 to the </w:t>
      </w:r>
      <w:r w:rsidRPr="004F6172">
        <w:rPr>
          <w:i/>
        </w:rPr>
        <w:t>Trade Practices Amendment (Australian Consumer Law) Act (No.</w:t>
      </w:r>
      <w:r w:rsidR="004F6172" w:rsidRPr="004F6172">
        <w:rPr>
          <w:i/>
        </w:rPr>
        <w:t> </w:t>
      </w:r>
      <w:r w:rsidRPr="004F6172">
        <w:rPr>
          <w:i/>
        </w:rPr>
        <w:t>2) 2010</w:t>
      </w:r>
      <w:r w:rsidRPr="004F6172">
        <w:t>, the Regulations continued in force from the start of 1</w:t>
      </w:r>
      <w:r w:rsidR="004F6172" w:rsidRPr="004F6172">
        <w:t> </w:t>
      </w:r>
      <w:r w:rsidRPr="004F6172">
        <w:t>January 2011 as if they were a safety standard made under section</w:t>
      </w:r>
      <w:r w:rsidR="004F6172" w:rsidRPr="004F6172">
        <w:t> </w:t>
      </w:r>
      <w:r w:rsidRPr="004F6172">
        <w:t>104 of the Australian Consumer Law.</w:t>
      </w:r>
    </w:p>
    <w:p w:rsidR="005E2068" w:rsidRPr="004F6172" w:rsidRDefault="005E2068" w:rsidP="00672820">
      <w:pPr>
        <w:sectPr w:rsidR="005E2068" w:rsidRPr="004F6172" w:rsidSect="00C82FC4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5E2068" w:rsidRPr="004F6172" w:rsidRDefault="005E2068" w:rsidP="00EC3688">
      <w:pPr>
        <w:rPr>
          <w:b/>
          <w:i/>
        </w:rPr>
      </w:pPr>
    </w:p>
    <w:sectPr w:rsidR="005E2068" w:rsidRPr="004F6172" w:rsidSect="00C82FC4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92F" w:rsidRDefault="0001292F" w:rsidP="00715914">
      <w:pPr>
        <w:spacing w:line="240" w:lineRule="auto"/>
      </w:pPr>
      <w:r>
        <w:separator/>
      </w:r>
    </w:p>
  </w:endnote>
  <w:endnote w:type="continuationSeparator" w:id="0">
    <w:p w:rsidR="0001292F" w:rsidRDefault="0001292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FC4" w:rsidRPr="00C82FC4" w:rsidRDefault="00C82FC4" w:rsidP="00C82FC4">
    <w:pPr>
      <w:pStyle w:val="Footer"/>
      <w:rPr>
        <w:i/>
        <w:sz w:val="18"/>
      </w:rPr>
    </w:pPr>
    <w:r w:rsidRPr="00C82FC4">
      <w:rPr>
        <w:i/>
        <w:sz w:val="18"/>
      </w:rPr>
      <w:t>OPC62519 - D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A41F52" w:rsidRDefault="0001292F" w:rsidP="005E206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1292F" w:rsidTr="0067282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0996">
            <w:rPr>
              <w:i/>
              <w:sz w:val="18"/>
            </w:rPr>
            <w:t>Consumer Goods (Basketball Rings and Backboards)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996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292F" w:rsidRPr="00C82FC4" w:rsidRDefault="00C82FC4" w:rsidP="00C82FC4">
    <w:pPr>
      <w:rPr>
        <w:rFonts w:cs="Times New Roman"/>
        <w:i/>
        <w:sz w:val="18"/>
      </w:rPr>
    </w:pPr>
    <w:r w:rsidRPr="00C82FC4">
      <w:rPr>
        <w:rFonts w:cs="Times New Roman"/>
        <w:i/>
        <w:sz w:val="18"/>
      </w:rPr>
      <w:t>OPC62519 - D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E33C1C" w:rsidRDefault="0001292F" w:rsidP="0067282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1292F" w:rsidTr="0067282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0996">
            <w:rPr>
              <w:i/>
              <w:sz w:val="18"/>
            </w:rPr>
            <w:t>Consumer Goods (Basketball Rings and Backboards)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996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292F" w:rsidRPr="00C82FC4" w:rsidRDefault="00C82FC4" w:rsidP="00C82FC4">
    <w:pPr>
      <w:rPr>
        <w:rFonts w:cs="Times New Roman"/>
        <w:i/>
        <w:sz w:val="18"/>
      </w:rPr>
    </w:pPr>
    <w:r w:rsidRPr="00C82FC4">
      <w:rPr>
        <w:rFonts w:cs="Times New Roman"/>
        <w:i/>
        <w:sz w:val="18"/>
      </w:rPr>
      <w:t>OPC62519 - D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E33C1C" w:rsidRDefault="0001292F" w:rsidP="005E206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1292F" w:rsidTr="00EC368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996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0996">
            <w:rPr>
              <w:i/>
              <w:sz w:val="18"/>
            </w:rPr>
            <w:t>Consumer Goods (Basketball Rings and Backboards)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right"/>
            <w:rPr>
              <w:sz w:val="18"/>
            </w:rPr>
          </w:pPr>
        </w:p>
      </w:tc>
    </w:tr>
  </w:tbl>
  <w:p w:rsidR="0001292F" w:rsidRPr="00C82FC4" w:rsidRDefault="00C82FC4" w:rsidP="00C82FC4">
    <w:pPr>
      <w:rPr>
        <w:rFonts w:cs="Times New Roman"/>
        <w:i/>
        <w:sz w:val="18"/>
      </w:rPr>
    </w:pPr>
    <w:r w:rsidRPr="00C82FC4">
      <w:rPr>
        <w:rFonts w:cs="Times New Roman"/>
        <w:i/>
        <w:sz w:val="18"/>
      </w:rPr>
      <w:t>OPC62519 - D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E33C1C" w:rsidRDefault="0001292F" w:rsidP="005E206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1292F" w:rsidTr="0067282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0996">
            <w:rPr>
              <w:i/>
              <w:sz w:val="18"/>
            </w:rPr>
            <w:t>Consumer Goods (Basketball Rings and Backboards)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996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292F" w:rsidRPr="00C82FC4" w:rsidRDefault="00C82FC4" w:rsidP="00C82FC4">
    <w:pPr>
      <w:rPr>
        <w:rFonts w:cs="Times New Roman"/>
        <w:i/>
        <w:sz w:val="18"/>
      </w:rPr>
    </w:pPr>
    <w:r w:rsidRPr="00C82FC4">
      <w:rPr>
        <w:rFonts w:cs="Times New Roman"/>
        <w:i/>
        <w:sz w:val="18"/>
      </w:rPr>
      <w:t>OPC62519 - D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E33C1C" w:rsidRDefault="0001292F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1292F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0996">
            <w:rPr>
              <w:i/>
              <w:sz w:val="18"/>
            </w:rPr>
            <w:t>Consumer Goods (Basketball Rings and Backboards)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996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292F" w:rsidRPr="00C82FC4" w:rsidRDefault="00C82FC4" w:rsidP="00C82FC4">
    <w:pPr>
      <w:rPr>
        <w:rFonts w:cs="Times New Roman"/>
        <w:i/>
        <w:sz w:val="18"/>
      </w:rPr>
    </w:pPr>
    <w:r w:rsidRPr="00C82FC4">
      <w:rPr>
        <w:rFonts w:cs="Times New Roman"/>
        <w:i/>
        <w:sz w:val="18"/>
      </w:rPr>
      <w:t>OPC62519 - 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Default="0001292F" w:rsidP="005E2068">
    <w:pPr>
      <w:pStyle w:val="Footer"/>
      <w:spacing w:before="120"/>
    </w:pPr>
  </w:p>
  <w:p w:rsidR="0001292F" w:rsidRPr="00C82FC4" w:rsidRDefault="00C82FC4" w:rsidP="00C82FC4">
    <w:pPr>
      <w:pStyle w:val="Footer"/>
      <w:rPr>
        <w:i/>
        <w:sz w:val="18"/>
      </w:rPr>
    </w:pPr>
    <w:r w:rsidRPr="00C82FC4">
      <w:rPr>
        <w:i/>
        <w:sz w:val="18"/>
      </w:rPr>
      <w:t>OPC62519 - 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C82FC4" w:rsidRDefault="00C82FC4" w:rsidP="00C82F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82FC4">
      <w:rPr>
        <w:i/>
        <w:sz w:val="18"/>
      </w:rPr>
      <w:t>OPC62519 - D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E33C1C" w:rsidRDefault="0001292F" w:rsidP="005E206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1292F" w:rsidTr="00EC368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996">
            <w:rPr>
              <w:i/>
              <w:noProof/>
              <w:sz w:val="18"/>
            </w:rPr>
            <w:t>vii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0996">
            <w:rPr>
              <w:i/>
              <w:sz w:val="18"/>
            </w:rPr>
            <w:t>Consumer Goods (Basketball Rings and Backboards)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right"/>
            <w:rPr>
              <w:sz w:val="18"/>
            </w:rPr>
          </w:pPr>
        </w:p>
      </w:tc>
    </w:tr>
  </w:tbl>
  <w:p w:rsidR="0001292F" w:rsidRPr="00C82FC4" w:rsidRDefault="00C82FC4" w:rsidP="00C82FC4">
    <w:pPr>
      <w:rPr>
        <w:rFonts w:cs="Times New Roman"/>
        <w:i/>
        <w:sz w:val="18"/>
      </w:rPr>
    </w:pPr>
    <w:r w:rsidRPr="00C82FC4">
      <w:rPr>
        <w:rFonts w:cs="Times New Roman"/>
        <w:i/>
        <w:sz w:val="18"/>
      </w:rPr>
      <w:t>OPC62519 - D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E33C1C" w:rsidRDefault="0001292F" w:rsidP="005E206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01292F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0996">
            <w:rPr>
              <w:i/>
              <w:sz w:val="18"/>
            </w:rPr>
            <w:t>Consumer Goods (Basketball Rings and Backboards)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99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292F" w:rsidRPr="00C82FC4" w:rsidRDefault="00C82FC4" w:rsidP="00C82FC4">
    <w:pPr>
      <w:rPr>
        <w:rFonts w:cs="Times New Roman"/>
        <w:i/>
        <w:sz w:val="18"/>
      </w:rPr>
    </w:pPr>
    <w:r w:rsidRPr="00C82FC4">
      <w:rPr>
        <w:rFonts w:cs="Times New Roman"/>
        <w:i/>
        <w:sz w:val="18"/>
      </w:rPr>
      <w:t>OPC62519 - D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E33C1C" w:rsidRDefault="0001292F" w:rsidP="005E206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1292F" w:rsidTr="00EC368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99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0996">
            <w:rPr>
              <w:i/>
              <w:sz w:val="18"/>
            </w:rPr>
            <w:t>Consumer Goods (Basketball Rings and Backboards)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right"/>
            <w:rPr>
              <w:sz w:val="18"/>
            </w:rPr>
          </w:pPr>
        </w:p>
      </w:tc>
    </w:tr>
  </w:tbl>
  <w:p w:rsidR="0001292F" w:rsidRPr="00C82FC4" w:rsidRDefault="00C82FC4" w:rsidP="00C82FC4">
    <w:pPr>
      <w:rPr>
        <w:rFonts w:cs="Times New Roman"/>
        <w:i/>
        <w:sz w:val="18"/>
      </w:rPr>
    </w:pPr>
    <w:r w:rsidRPr="00C82FC4">
      <w:rPr>
        <w:rFonts w:cs="Times New Roman"/>
        <w:i/>
        <w:sz w:val="18"/>
      </w:rPr>
      <w:t>OPC62519 - D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E33C1C" w:rsidRDefault="0001292F" w:rsidP="005E206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1292F" w:rsidTr="0067282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0996">
            <w:rPr>
              <w:i/>
              <w:sz w:val="18"/>
            </w:rPr>
            <w:t>Consumer Goods (Basketball Rings and Backboards)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99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292F" w:rsidRPr="00C82FC4" w:rsidRDefault="00C82FC4" w:rsidP="00C82FC4">
    <w:pPr>
      <w:rPr>
        <w:rFonts w:cs="Times New Roman"/>
        <w:i/>
        <w:sz w:val="18"/>
      </w:rPr>
    </w:pPr>
    <w:r w:rsidRPr="00C82FC4">
      <w:rPr>
        <w:rFonts w:cs="Times New Roman"/>
        <w:i/>
        <w:sz w:val="18"/>
      </w:rPr>
      <w:t>OPC62519 - D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E33C1C" w:rsidRDefault="0001292F" w:rsidP="005E206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1292F" w:rsidTr="0067282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0996">
            <w:rPr>
              <w:i/>
              <w:sz w:val="18"/>
            </w:rPr>
            <w:t>Consumer Goods (Basketball Rings and Backboards)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996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292F" w:rsidRPr="00ED79B6" w:rsidRDefault="0001292F" w:rsidP="005E2068">
    <w:pPr>
      <w:rPr>
        <w:i/>
        <w:sz w:val="18"/>
      </w:rPr>
    </w:pPr>
  </w:p>
  <w:p w:rsidR="0001292F" w:rsidRPr="00C82FC4" w:rsidRDefault="00C82FC4" w:rsidP="00C82FC4">
    <w:pPr>
      <w:pStyle w:val="Footer"/>
      <w:rPr>
        <w:i/>
        <w:sz w:val="18"/>
      </w:rPr>
    </w:pPr>
    <w:r w:rsidRPr="00C82FC4">
      <w:rPr>
        <w:i/>
        <w:sz w:val="18"/>
      </w:rPr>
      <w:t>OPC62519 - D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EF5531" w:rsidRDefault="0001292F" w:rsidP="005E206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1292F" w:rsidTr="00EC368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996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0996">
            <w:rPr>
              <w:i/>
              <w:sz w:val="18"/>
            </w:rPr>
            <w:t>Consumer Goods (Basketball Rings and Backboards)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1292F" w:rsidRDefault="0001292F" w:rsidP="00672820">
          <w:pPr>
            <w:spacing w:line="0" w:lineRule="atLeast"/>
            <w:jc w:val="right"/>
            <w:rPr>
              <w:sz w:val="18"/>
            </w:rPr>
          </w:pPr>
        </w:p>
      </w:tc>
    </w:tr>
  </w:tbl>
  <w:p w:rsidR="0001292F" w:rsidRPr="00C82FC4" w:rsidRDefault="00C82FC4" w:rsidP="00C82FC4">
    <w:pPr>
      <w:rPr>
        <w:rFonts w:cs="Times New Roman"/>
        <w:i/>
        <w:sz w:val="18"/>
      </w:rPr>
    </w:pPr>
    <w:r w:rsidRPr="00C82FC4">
      <w:rPr>
        <w:rFonts w:cs="Times New Roman"/>
        <w:i/>
        <w:sz w:val="18"/>
      </w:rPr>
      <w:t>OPC62519 - 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92F" w:rsidRDefault="0001292F" w:rsidP="00715914">
      <w:pPr>
        <w:spacing w:line="240" w:lineRule="auto"/>
      </w:pPr>
      <w:r>
        <w:separator/>
      </w:r>
    </w:p>
  </w:footnote>
  <w:footnote w:type="continuationSeparator" w:id="0">
    <w:p w:rsidR="0001292F" w:rsidRDefault="0001292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5F1388" w:rsidRDefault="0001292F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Default="0001292F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B0996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B0996">
      <w:rPr>
        <w:noProof/>
        <w:sz w:val="20"/>
      </w:rPr>
      <w:t>Repeals</w:t>
    </w:r>
    <w:r>
      <w:rPr>
        <w:sz w:val="20"/>
      </w:rPr>
      <w:fldChar w:fldCharType="end"/>
    </w:r>
  </w:p>
  <w:p w:rsidR="0001292F" w:rsidRDefault="0001292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1292F" w:rsidRDefault="0001292F" w:rsidP="005E2068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Default="0001292F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B0996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B099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01292F" w:rsidRDefault="0001292F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01292F" w:rsidRDefault="0001292F" w:rsidP="005E2068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Default="0001292F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Default="0001292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01292F" w:rsidRDefault="0001292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AB0996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AB0996">
      <w:rPr>
        <w:noProof/>
        <w:sz w:val="20"/>
      </w:rPr>
      <w:t>Requirements</w:t>
    </w:r>
    <w:r>
      <w:rPr>
        <w:sz w:val="20"/>
      </w:rPr>
      <w:fldChar w:fldCharType="end"/>
    </w:r>
  </w:p>
  <w:p w:rsidR="0001292F" w:rsidRPr="007A1328" w:rsidRDefault="0001292F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AB0996">
      <w:rPr>
        <w:b/>
        <w:noProof/>
        <w:sz w:val="20"/>
      </w:rPr>
      <w:t>Division 3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AB0996">
      <w:rPr>
        <w:noProof/>
        <w:sz w:val="20"/>
      </w:rPr>
      <w:t>Details of alternative requirements that apply during transitional period</w:t>
    </w:r>
    <w:r>
      <w:rPr>
        <w:sz w:val="20"/>
      </w:rPr>
      <w:fldChar w:fldCharType="end"/>
    </w:r>
  </w:p>
  <w:p w:rsidR="0001292F" w:rsidRPr="007A1328" w:rsidRDefault="0001292F" w:rsidP="00715914">
    <w:pPr>
      <w:rPr>
        <w:b/>
        <w:sz w:val="24"/>
      </w:rPr>
    </w:pPr>
  </w:p>
  <w:p w:rsidR="0001292F" w:rsidRPr="007A1328" w:rsidRDefault="0001292F" w:rsidP="005E206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B099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B0996">
      <w:rPr>
        <w:noProof/>
        <w:sz w:val="24"/>
      </w:rPr>
      <w:t>15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7A1328" w:rsidRDefault="0001292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01292F" w:rsidRPr="007A1328" w:rsidRDefault="0001292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AB0996">
      <w:rPr>
        <w:noProof/>
        <w:sz w:val="20"/>
      </w:rPr>
      <w:t>Requirements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AB0996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01292F" w:rsidRPr="007A1328" w:rsidRDefault="0001292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AB0996">
      <w:rPr>
        <w:noProof/>
        <w:sz w:val="20"/>
      </w:rPr>
      <w:t>Details of alternative requirements that apply during transitional period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AB0996">
      <w:rPr>
        <w:b/>
        <w:noProof/>
        <w:sz w:val="20"/>
      </w:rPr>
      <w:t>Division 3</w:t>
    </w:r>
    <w:r>
      <w:rPr>
        <w:b/>
        <w:sz w:val="20"/>
      </w:rPr>
      <w:fldChar w:fldCharType="end"/>
    </w:r>
  </w:p>
  <w:p w:rsidR="0001292F" w:rsidRPr="007A1328" w:rsidRDefault="0001292F" w:rsidP="00715914">
    <w:pPr>
      <w:jc w:val="right"/>
      <w:rPr>
        <w:b/>
        <w:sz w:val="24"/>
      </w:rPr>
    </w:pPr>
  </w:p>
  <w:p w:rsidR="0001292F" w:rsidRPr="007A1328" w:rsidRDefault="0001292F" w:rsidP="005E206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B099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B0996">
      <w:rPr>
        <w:noProof/>
        <w:sz w:val="24"/>
      </w:rPr>
      <w:t>15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7A1328" w:rsidRDefault="0001292F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5F1388" w:rsidRDefault="0001292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5F1388" w:rsidRDefault="0001292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ED79B6" w:rsidRDefault="0001292F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ED79B6" w:rsidRDefault="0001292F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ED79B6" w:rsidRDefault="0001292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Default="0001292F" w:rsidP="00672820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01292F" w:rsidRDefault="0001292F" w:rsidP="00672820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AB0996">
      <w:rPr>
        <w:b/>
        <w:sz w:val="20"/>
      </w:rPr>
      <w:fldChar w:fldCharType="separate"/>
    </w:r>
    <w:r w:rsidR="00AB0996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AB0996">
      <w:rPr>
        <w:sz w:val="20"/>
      </w:rPr>
      <w:fldChar w:fldCharType="separate"/>
    </w:r>
    <w:r w:rsidR="00AB0996">
      <w:rPr>
        <w:noProof/>
        <w:sz w:val="20"/>
      </w:rPr>
      <w:t>Requirements</w:t>
    </w:r>
    <w:r>
      <w:rPr>
        <w:sz w:val="20"/>
      </w:rPr>
      <w:fldChar w:fldCharType="end"/>
    </w:r>
  </w:p>
  <w:p w:rsidR="0001292F" w:rsidRPr="007A1328" w:rsidRDefault="0001292F" w:rsidP="0067282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AB0996">
      <w:rPr>
        <w:b/>
        <w:sz w:val="20"/>
      </w:rPr>
      <w:fldChar w:fldCharType="separate"/>
    </w:r>
    <w:r w:rsidR="00AB0996">
      <w:rPr>
        <w:b/>
        <w:noProof/>
        <w:sz w:val="20"/>
      </w:rPr>
      <w:t>Division 1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 w:rsidR="00AB0996">
      <w:rPr>
        <w:sz w:val="20"/>
      </w:rPr>
      <w:fldChar w:fldCharType="separate"/>
    </w:r>
    <w:r w:rsidR="00AB0996">
      <w:rPr>
        <w:noProof/>
        <w:sz w:val="20"/>
      </w:rPr>
      <w:t>Basic requirements</w:t>
    </w:r>
    <w:r>
      <w:rPr>
        <w:sz w:val="20"/>
      </w:rPr>
      <w:fldChar w:fldCharType="end"/>
    </w:r>
  </w:p>
  <w:p w:rsidR="0001292F" w:rsidRPr="007A1328" w:rsidRDefault="0001292F" w:rsidP="00672820">
    <w:pPr>
      <w:rPr>
        <w:b/>
        <w:sz w:val="24"/>
      </w:rPr>
    </w:pPr>
  </w:p>
  <w:p w:rsidR="0001292F" w:rsidRPr="007A1328" w:rsidRDefault="0001292F" w:rsidP="005E206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B099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B0996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7A1328" w:rsidRDefault="0001292F" w:rsidP="00672820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01292F" w:rsidRPr="007A1328" w:rsidRDefault="0001292F" w:rsidP="00672820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AB0996">
      <w:rPr>
        <w:sz w:val="20"/>
      </w:rPr>
      <w:fldChar w:fldCharType="separate"/>
    </w:r>
    <w:r w:rsidR="00AB0996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AB0996">
      <w:rPr>
        <w:b/>
        <w:sz w:val="20"/>
      </w:rPr>
      <w:fldChar w:fldCharType="separate"/>
    </w:r>
    <w:r w:rsidR="00AB0996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01292F" w:rsidRPr="007A1328" w:rsidRDefault="0001292F" w:rsidP="00672820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01292F" w:rsidRPr="007A1328" w:rsidRDefault="0001292F" w:rsidP="00672820">
    <w:pPr>
      <w:jc w:val="right"/>
      <w:rPr>
        <w:b/>
        <w:sz w:val="24"/>
      </w:rPr>
    </w:pPr>
  </w:p>
  <w:p w:rsidR="0001292F" w:rsidRPr="007A1328" w:rsidRDefault="0001292F" w:rsidP="005E206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B099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B0996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2F" w:rsidRPr="007A1328" w:rsidRDefault="0001292F" w:rsidP="006728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68"/>
    <w:rsid w:val="00004470"/>
    <w:rsid w:val="0001292F"/>
    <w:rsid w:val="000136AF"/>
    <w:rsid w:val="000221BF"/>
    <w:rsid w:val="000221F7"/>
    <w:rsid w:val="00026991"/>
    <w:rsid w:val="000437C1"/>
    <w:rsid w:val="0005365D"/>
    <w:rsid w:val="000614BF"/>
    <w:rsid w:val="000B58FA"/>
    <w:rsid w:val="000D05EF"/>
    <w:rsid w:val="000E1EB7"/>
    <w:rsid w:val="000E2261"/>
    <w:rsid w:val="000F21C1"/>
    <w:rsid w:val="0010638D"/>
    <w:rsid w:val="0010745C"/>
    <w:rsid w:val="00131B53"/>
    <w:rsid w:val="00132CEB"/>
    <w:rsid w:val="00142B62"/>
    <w:rsid w:val="0014539C"/>
    <w:rsid w:val="001453A9"/>
    <w:rsid w:val="00157B8B"/>
    <w:rsid w:val="00166C2F"/>
    <w:rsid w:val="001809D7"/>
    <w:rsid w:val="001939E1"/>
    <w:rsid w:val="00194C3E"/>
    <w:rsid w:val="00195382"/>
    <w:rsid w:val="001A411E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16548"/>
    <w:rsid w:val="002321E8"/>
    <w:rsid w:val="00233B56"/>
    <w:rsid w:val="00236EEC"/>
    <w:rsid w:val="002376B8"/>
    <w:rsid w:val="0024010F"/>
    <w:rsid w:val="00240749"/>
    <w:rsid w:val="00241C81"/>
    <w:rsid w:val="00243018"/>
    <w:rsid w:val="002564A4"/>
    <w:rsid w:val="0026736C"/>
    <w:rsid w:val="00274779"/>
    <w:rsid w:val="00281308"/>
    <w:rsid w:val="00284719"/>
    <w:rsid w:val="00297ECB"/>
    <w:rsid w:val="002A7BCF"/>
    <w:rsid w:val="002B4908"/>
    <w:rsid w:val="002D043A"/>
    <w:rsid w:val="002D6224"/>
    <w:rsid w:val="002E3F4B"/>
    <w:rsid w:val="002F4205"/>
    <w:rsid w:val="00304F8B"/>
    <w:rsid w:val="00305A91"/>
    <w:rsid w:val="003354D2"/>
    <w:rsid w:val="00335BC6"/>
    <w:rsid w:val="003415D3"/>
    <w:rsid w:val="00344701"/>
    <w:rsid w:val="00352B0F"/>
    <w:rsid w:val="00356690"/>
    <w:rsid w:val="00360459"/>
    <w:rsid w:val="003906CB"/>
    <w:rsid w:val="00390BCE"/>
    <w:rsid w:val="003951D9"/>
    <w:rsid w:val="003B7203"/>
    <w:rsid w:val="003C6231"/>
    <w:rsid w:val="003D0BFE"/>
    <w:rsid w:val="003D4513"/>
    <w:rsid w:val="003D5700"/>
    <w:rsid w:val="003E0C8D"/>
    <w:rsid w:val="003E341B"/>
    <w:rsid w:val="003E4440"/>
    <w:rsid w:val="003F57E4"/>
    <w:rsid w:val="004116CD"/>
    <w:rsid w:val="004144EC"/>
    <w:rsid w:val="00417EB9"/>
    <w:rsid w:val="00424CA9"/>
    <w:rsid w:val="004250AE"/>
    <w:rsid w:val="00431E9B"/>
    <w:rsid w:val="004379E3"/>
    <w:rsid w:val="0044015E"/>
    <w:rsid w:val="0044291A"/>
    <w:rsid w:val="00444ABD"/>
    <w:rsid w:val="00451CA0"/>
    <w:rsid w:val="00461C81"/>
    <w:rsid w:val="00467661"/>
    <w:rsid w:val="004705B7"/>
    <w:rsid w:val="00472DBE"/>
    <w:rsid w:val="00474A19"/>
    <w:rsid w:val="00481867"/>
    <w:rsid w:val="00496F97"/>
    <w:rsid w:val="004C6AE8"/>
    <w:rsid w:val="004D5494"/>
    <w:rsid w:val="004E063A"/>
    <w:rsid w:val="004E7BEC"/>
    <w:rsid w:val="004F6172"/>
    <w:rsid w:val="00505D3D"/>
    <w:rsid w:val="00506AF6"/>
    <w:rsid w:val="00516072"/>
    <w:rsid w:val="00516B8D"/>
    <w:rsid w:val="00520B80"/>
    <w:rsid w:val="00537FBC"/>
    <w:rsid w:val="00555652"/>
    <w:rsid w:val="005574D1"/>
    <w:rsid w:val="005840FD"/>
    <w:rsid w:val="00584811"/>
    <w:rsid w:val="00585784"/>
    <w:rsid w:val="00593AA6"/>
    <w:rsid w:val="00594161"/>
    <w:rsid w:val="00594749"/>
    <w:rsid w:val="005B4067"/>
    <w:rsid w:val="005C3F41"/>
    <w:rsid w:val="005D2D09"/>
    <w:rsid w:val="005E2068"/>
    <w:rsid w:val="00600219"/>
    <w:rsid w:val="00603DC4"/>
    <w:rsid w:val="00620076"/>
    <w:rsid w:val="00651043"/>
    <w:rsid w:val="00652667"/>
    <w:rsid w:val="00670EA1"/>
    <w:rsid w:val="00672820"/>
    <w:rsid w:val="006771A9"/>
    <w:rsid w:val="00677CC2"/>
    <w:rsid w:val="006905DE"/>
    <w:rsid w:val="0069207B"/>
    <w:rsid w:val="0069211C"/>
    <w:rsid w:val="00697014"/>
    <w:rsid w:val="006B5789"/>
    <w:rsid w:val="006C30C5"/>
    <w:rsid w:val="006C7F8C"/>
    <w:rsid w:val="006E6246"/>
    <w:rsid w:val="006E73EC"/>
    <w:rsid w:val="006F318F"/>
    <w:rsid w:val="006F4226"/>
    <w:rsid w:val="006F6CB6"/>
    <w:rsid w:val="0070017E"/>
    <w:rsid w:val="00700B2C"/>
    <w:rsid w:val="007050A2"/>
    <w:rsid w:val="00713084"/>
    <w:rsid w:val="00713C3B"/>
    <w:rsid w:val="00714F20"/>
    <w:rsid w:val="0071590F"/>
    <w:rsid w:val="00715914"/>
    <w:rsid w:val="00725504"/>
    <w:rsid w:val="00731E00"/>
    <w:rsid w:val="00734BCE"/>
    <w:rsid w:val="0073707E"/>
    <w:rsid w:val="007440B7"/>
    <w:rsid w:val="007475BF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133E9"/>
    <w:rsid w:val="00824498"/>
    <w:rsid w:val="008414C8"/>
    <w:rsid w:val="0085053D"/>
    <w:rsid w:val="00854549"/>
    <w:rsid w:val="00856A31"/>
    <w:rsid w:val="00864B24"/>
    <w:rsid w:val="00867B37"/>
    <w:rsid w:val="008754D0"/>
    <w:rsid w:val="00880C95"/>
    <w:rsid w:val="00884A0D"/>
    <w:rsid w:val="008855C9"/>
    <w:rsid w:val="00886456"/>
    <w:rsid w:val="008A46E1"/>
    <w:rsid w:val="008A4F43"/>
    <w:rsid w:val="008B2706"/>
    <w:rsid w:val="008B3106"/>
    <w:rsid w:val="008D0EE0"/>
    <w:rsid w:val="008E6067"/>
    <w:rsid w:val="008F54E7"/>
    <w:rsid w:val="00903422"/>
    <w:rsid w:val="00915DF9"/>
    <w:rsid w:val="009254C3"/>
    <w:rsid w:val="00925D67"/>
    <w:rsid w:val="00925F7B"/>
    <w:rsid w:val="00932377"/>
    <w:rsid w:val="00937168"/>
    <w:rsid w:val="00947D5A"/>
    <w:rsid w:val="009532A5"/>
    <w:rsid w:val="0097675C"/>
    <w:rsid w:val="00982242"/>
    <w:rsid w:val="00985671"/>
    <w:rsid w:val="009868E9"/>
    <w:rsid w:val="009E5CFC"/>
    <w:rsid w:val="00A079CB"/>
    <w:rsid w:val="00A12128"/>
    <w:rsid w:val="00A22152"/>
    <w:rsid w:val="00A22C98"/>
    <w:rsid w:val="00A231E2"/>
    <w:rsid w:val="00A446C0"/>
    <w:rsid w:val="00A64298"/>
    <w:rsid w:val="00A64912"/>
    <w:rsid w:val="00A70A74"/>
    <w:rsid w:val="00A83E99"/>
    <w:rsid w:val="00AB0996"/>
    <w:rsid w:val="00AD5641"/>
    <w:rsid w:val="00AD7889"/>
    <w:rsid w:val="00AF021B"/>
    <w:rsid w:val="00AF06CF"/>
    <w:rsid w:val="00AF12C5"/>
    <w:rsid w:val="00B05CF4"/>
    <w:rsid w:val="00B07CDB"/>
    <w:rsid w:val="00B16668"/>
    <w:rsid w:val="00B16A31"/>
    <w:rsid w:val="00B17DFD"/>
    <w:rsid w:val="00B308FE"/>
    <w:rsid w:val="00B33709"/>
    <w:rsid w:val="00B33891"/>
    <w:rsid w:val="00B33B3C"/>
    <w:rsid w:val="00B44A9E"/>
    <w:rsid w:val="00B50ADC"/>
    <w:rsid w:val="00B566B1"/>
    <w:rsid w:val="00B63834"/>
    <w:rsid w:val="00B72734"/>
    <w:rsid w:val="00B76FC5"/>
    <w:rsid w:val="00B80199"/>
    <w:rsid w:val="00B83204"/>
    <w:rsid w:val="00BA220B"/>
    <w:rsid w:val="00BA3A57"/>
    <w:rsid w:val="00BA5CEE"/>
    <w:rsid w:val="00BA691F"/>
    <w:rsid w:val="00BB4E1A"/>
    <w:rsid w:val="00BC015E"/>
    <w:rsid w:val="00BC76AC"/>
    <w:rsid w:val="00BD0ECB"/>
    <w:rsid w:val="00BE136E"/>
    <w:rsid w:val="00BE2155"/>
    <w:rsid w:val="00BE2213"/>
    <w:rsid w:val="00BE719A"/>
    <w:rsid w:val="00BE720A"/>
    <w:rsid w:val="00BF0D73"/>
    <w:rsid w:val="00BF2465"/>
    <w:rsid w:val="00C135FB"/>
    <w:rsid w:val="00C24D3D"/>
    <w:rsid w:val="00C25E7F"/>
    <w:rsid w:val="00C2746F"/>
    <w:rsid w:val="00C324A0"/>
    <w:rsid w:val="00C3300F"/>
    <w:rsid w:val="00C42BF8"/>
    <w:rsid w:val="00C451FF"/>
    <w:rsid w:val="00C462F2"/>
    <w:rsid w:val="00C50043"/>
    <w:rsid w:val="00C664AF"/>
    <w:rsid w:val="00C73249"/>
    <w:rsid w:val="00C7573B"/>
    <w:rsid w:val="00C82FC4"/>
    <w:rsid w:val="00C93C03"/>
    <w:rsid w:val="00CB2C8E"/>
    <w:rsid w:val="00CB602E"/>
    <w:rsid w:val="00CD2454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13F8"/>
    <w:rsid w:val="00E05704"/>
    <w:rsid w:val="00E11E44"/>
    <w:rsid w:val="00E3270E"/>
    <w:rsid w:val="00E338EF"/>
    <w:rsid w:val="00E44706"/>
    <w:rsid w:val="00E544BB"/>
    <w:rsid w:val="00E662CB"/>
    <w:rsid w:val="00E74DC7"/>
    <w:rsid w:val="00E8075A"/>
    <w:rsid w:val="00E94D5E"/>
    <w:rsid w:val="00E97248"/>
    <w:rsid w:val="00EA7100"/>
    <w:rsid w:val="00EA7F9F"/>
    <w:rsid w:val="00EB1274"/>
    <w:rsid w:val="00EC3688"/>
    <w:rsid w:val="00EC4027"/>
    <w:rsid w:val="00ED2BB6"/>
    <w:rsid w:val="00ED34E1"/>
    <w:rsid w:val="00ED3B8D"/>
    <w:rsid w:val="00EF2E3A"/>
    <w:rsid w:val="00F072A7"/>
    <w:rsid w:val="00F078DC"/>
    <w:rsid w:val="00F12E86"/>
    <w:rsid w:val="00F32BA8"/>
    <w:rsid w:val="00F349F1"/>
    <w:rsid w:val="00F4061C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5F26"/>
    <w:rsid w:val="00FC320C"/>
    <w:rsid w:val="00FD08C3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617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1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1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1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1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61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1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1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17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6172"/>
  </w:style>
  <w:style w:type="paragraph" w:customStyle="1" w:styleId="OPCParaBase">
    <w:name w:val="OPCParaBase"/>
    <w:qFormat/>
    <w:rsid w:val="004F617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617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617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617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617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617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F617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617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617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617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617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6172"/>
  </w:style>
  <w:style w:type="paragraph" w:customStyle="1" w:styleId="Blocks">
    <w:name w:val="Blocks"/>
    <w:aliases w:val="bb"/>
    <w:basedOn w:val="OPCParaBase"/>
    <w:qFormat/>
    <w:rsid w:val="004F617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61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617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6172"/>
    <w:rPr>
      <w:i/>
    </w:rPr>
  </w:style>
  <w:style w:type="paragraph" w:customStyle="1" w:styleId="BoxList">
    <w:name w:val="BoxList"/>
    <w:aliases w:val="bl"/>
    <w:basedOn w:val="BoxText"/>
    <w:qFormat/>
    <w:rsid w:val="004F617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617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617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617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4F6172"/>
  </w:style>
  <w:style w:type="character" w:customStyle="1" w:styleId="CharAmPartText">
    <w:name w:val="CharAmPartText"/>
    <w:basedOn w:val="OPCCharBase"/>
    <w:uiPriority w:val="1"/>
    <w:qFormat/>
    <w:rsid w:val="004F6172"/>
  </w:style>
  <w:style w:type="character" w:customStyle="1" w:styleId="CharAmSchNo">
    <w:name w:val="CharAmSchNo"/>
    <w:basedOn w:val="OPCCharBase"/>
    <w:uiPriority w:val="1"/>
    <w:qFormat/>
    <w:rsid w:val="004F6172"/>
  </w:style>
  <w:style w:type="character" w:customStyle="1" w:styleId="CharAmSchText">
    <w:name w:val="CharAmSchText"/>
    <w:basedOn w:val="OPCCharBase"/>
    <w:uiPriority w:val="1"/>
    <w:qFormat/>
    <w:rsid w:val="004F6172"/>
  </w:style>
  <w:style w:type="character" w:customStyle="1" w:styleId="CharBoldItalic">
    <w:name w:val="CharBoldItalic"/>
    <w:basedOn w:val="OPCCharBase"/>
    <w:uiPriority w:val="1"/>
    <w:qFormat/>
    <w:rsid w:val="004F6172"/>
    <w:rPr>
      <w:b/>
      <w:i/>
    </w:rPr>
  </w:style>
  <w:style w:type="character" w:customStyle="1" w:styleId="CharChapNo">
    <w:name w:val="CharChapNo"/>
    <w:basedOn w:val="OPCCharBase"/>
    <w:qFormat/>
    <w:rsid w:val="004F6172"/>
  </w:style>
  <w:style w:type="character" w:customStyle="1" w:styleId="CharChapText">
    <w:name w:val="CharChapText"/>
    <w:basedOn w:val="OPCCharBase"/>
    <w:qFormat/>
    <w:rsid w:val="004F6172"/>
  </w:style>
  <w:style w:type="character" w:customStyle="1" w:styleId="CharDivNo">
    <w:name w:val="CharDivNo"/>
    <w:basedOn w:val="OPCCharBase"/>
    <w:qFormat/>
    <w:rsid w:val="004F6172"/>
  </w:style>
  <w:style w:type="character" w:customStyle="1" w:styleId="CharDivText">
    <w:name w:val="CharDivText"/>
    <w:basedOn w:val="OPCCharBase"/>
    <w:qFormat/>
    <w:rsid w:val="004F6172"/>
  </w:style>
  <w:style w:type="character" w:customStyle="1" w:styleId="CharItalic">
    <w:name w:val="CharItalic"/>
    <w:basedOn w:val="OPCCharBase"/>
    <w:uiPriority w:val="1"/>
    <w:qFormat/>
    <w:rsid w:val="004F6172"/>
    <w:rPr>
      <w:i/>
    </w:rPr>
  </w:style>
  <w:style w:type="character" w:customStyle="1" w:styleId="CharPartNo">
    <w:name w:val="CharPartNo"/>
    <w:basedOn w:val="OPCCharBase"/>
    <w:qFormat/>
    <w:rsid w:val="004F6172"/>
  </w:style>
  <w:style w:type="character" w:customStyle="1" w:styleId="CharPartText">
    <w:name w:val="CharPartText"/>
    <w:basedOn w:val="OPCCharBase"/>
    <w:qFormat/>
    <w:rsid w:val="004F6172"/>
  </w:style>
  <w:style w:type="character" w:customStyle="1" w:styleId="CharSectno">
    <w:name w:val="CharSectno"/>
    <w:basedOn w:val="OPCCharBase"/>
    <w:qFormat/>
    <w:rsid w:val="004F6172"/>
  </w:style>
  <w:style w:type="character" w:customStyle="1" w:styleId="CharSubdNo">
    <w:name w:val="CharSubdNo"/>
    <w:basedOn w:val="OPCCharBase"/>
    <w:uiPriority w:val="1"/>
    <w:qFormat/>
    <w:rsid w:val="004F6172"/>
  </w:style>
  <w:style w:type="character" w:customStyle="1" w:styleId="CharSubdText">
    <w:name w:val="CharSubdText"/>
    <w:basedOn w:val="OPCCharBase"/>
    <w:uiPriority w:val="1"/>
    <w:qFormat/>
    <w:rsid w:val="004F6172"/>
  </w:style>
  <w:style w:type="paragraph" w:customStyle="1" w:styleId="CTA--">
    <w:name w:val="CTA --"/>
    <w:basedOn w:val="OPCParaBase"/>
    <w:next w:val="Normal"/>
    <w:rsid w:val="004F617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617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617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617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617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617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617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617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617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617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617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617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617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617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F617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617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F617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617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F617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617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617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617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617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617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617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617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617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617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617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617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617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617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617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617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617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F617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617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617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617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617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617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617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617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617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617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617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617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617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617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617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617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61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617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617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617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F617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F617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F617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4F617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F617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F617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F617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F617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F617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F617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617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617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617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617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617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617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617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F6172"/>
    <w:rPr>
      <w:sz w:val="16"/>
    </w:rPr>
  </w:style>
  <w:style w:type="table" w:customStyle="1" w:styleId="CFlag">
    <w:name w:val="CFlag"/>
    <w:basedOn w:val="TableNormal"/>
    <w:uiPriority w:val="99"/>
    <w:rsid w:val="004F617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F61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1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F617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F617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F617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617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F6172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617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F617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F617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F617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F617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F617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F617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F617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617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617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617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617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617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F617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617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F6172"/>
  </w:style>
  <w:style w:type="character" w:customStyle="1" w:styleId="CharSubPartNoCASA">
    <w:name w:val="CharSubPartNo(CASA)"/>
    <w:basedOn w:val="OPCCharBase"/>
    <w:uiPriority w:val="1"/>
    <w:rsid w:val="004F6172"/>
  </w:style>
  <w:style w:type="paragraph" w:customStyle="1" w:styleId="ENoteTTIndentHeadingSub">
    <w:name w:val="ENoteTTIndentHeadingSub"/>
    <w:aliases w:val="enTTHis"/>
    <w:basedOn w:val="OPCParaBase"/>
    <w:rsid w:val="004F617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617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617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617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F617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61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6172"/>
    <w:rPr>
      <w:sz w:val="22"/>
    </w:rPr>
  </w:style>
  <w:style w:type="paragraph" w:customStyle="1" w:styleId="SOTextNote">
    <w:name w:val="SO TextNote"/>
    <w:aliases w:val="sont"/>
    <w:basedOn w:val="SOText"/>
    <w:qFormat/>
    <w:rsid w:val="004F617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617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6172"/>
    <w:rPr>
      <w:sz w:val="22"/>
    </w:rPr>
  </w:style>
  <w:style w:type="paragraph" w:customStyle="1" w:styleId="FileName">
    <w:name w:val="FileName"/>
    <w:basedOn w:val="Normal"/>
    <w:rsid w:val="004F6172"/>
  </w:style>
  <w:style w:type="paragraph" w:customStyle="1" w:styleId="TableHeading">
    <w:name w:val="TableHeading"/>
    <w:aliases w:val="th"/>
    <w:basedOn w:val="OPCParaBase"/>
    <w:next w:val="Tabletext"/>
    <w:rsid w:val="004F617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617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617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617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617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617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617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617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617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61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617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F617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F617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F617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F61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17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17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17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F617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17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17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17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617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1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1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1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1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61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1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1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17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6172"/>
  </w:style>
  <w:style w:type="paragraph" w:customStyle="1" w:styleId="OPCParaBase">
    <w:name w:val="OPCParaBase"/>
    <w:qFormat/>
    <w:rsid w:val="004F617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617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617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617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617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617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F617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617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617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617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617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6172"/>
  </w:style>
  <w:style w:type="paragraph" w:customStyle="1" w:styleId="Blocks">
    <w:name w:val="Blocks"/>
    <w:aliases w:val="bb"/>
    <w:basedOn w:val="OPCParaBase"/>
    <w:qFormat/>
    <w:rsid w:val="004F617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61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617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6172"/>
    <w:rPr>
      <w:i/>
    </w:rPr>
  </w:style>
  <w:style w:type="paragraph" w:customStyle="1" w:styleId="BoxList">
    <w:name w:val="BoxList"/>
    <w:aliases w:val="bl"/>
    <w:basedOn w:val="BoxText"/>
    <w:qFormat/>
    <w:rsid w:val="004F617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617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617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617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4F6172"/>
  </w:style>
  <w:style w:type="character" w:customStyle="1" w:styleId="CharAmPartText">
    <w:name w:val="CharAmPartText"/>
    <w:basedOn w:val="OPCCharBase"/>
    <w:uiPriority w:val="1"/>
    <w:qFormat/>
    <w:rsid w:val="004F6172"/>
  </w:style>
  <w:style w:type="character" w:customStyle="1" w:styleId="CharAmSchNo">
    <w:name w:val="CharAmSchNo"/>
    <w:basedOn w:val="OPCCharBase"/>
    <w:uiPriority w:val="1"/>
    <w:qFormat/>
    <w:rsid w:val="004F6172"/>
  </w:style>
  <w:style w:type="character" w:customStyle="1" w:styleId="CharAmSchText">
    <w:name w:val="CharAmSchText"/>
    <w:basedOn w:val="OPCCharBase"/>
    <w:uiPriority w:val="1"/>
    <w:qFormat/>
    <w:rsid w:val="004F6172"/>
  </w:style>
  <w:style w:type="character" w:customStyle="1" w:styleId="CharBoldItalic">
    <w:name w:val="CharBoldItalic"/>
    <w:basedOn w:val="OPCCharBase"/>
    <w:uiPriority w:val="1"/>
    <w:qFormat/>
    <w:rsid w:val="004F6172"/>
    <w:rPr>
      <w:b/>
      <w:i/>
    </w:rPr>
  </w:style>
  <w:style w:type="character" w:customStyle="1" w:styleId="CharChapNo">
    <w:name w:val="CharChapNo"/>
    <w:basedOn w:val="OPCCharBase"/>
    <w:qFormat/>
    <w:rsid w:val="004F6172"/>
  </w:style>
  <w:style w:type="character" w:customStyle="1" w:styleId="CharChapText">
    <w:name w:val="CharChapText"/>
    <w:basedOn w:val="OPCCharBase"/>
    <w:qFormat/>
    <w:rsid w:val="004F6172"/>
  </w:style>
  <w:style w:type="character" w:customStyle="1" w:styleId="CharDivNo">
    <w:name w:val="CharDivNo"/>
    <w:basedOn w:val="OPCCharBase"/>
    <w:qFormat/>
    <w:rsid w:val="004F6172"/>
  </w:style>
  <w:style w:type="character" w:customStyle="1" w:styleId="CharDivText">
    <w:name w:val="CharDivText"/>
    <w:basedOn w:val="OPCCharBase"/>
    <w:qFormat/>
    <w:rsid w:val="004F6172"/>
  </w:style>
  <w:style w:type="character" w:customStyle="1" w:styleId="CharItalic">
    <w:name w:val="CharItalic"/>
    <w:basedOn w:val="OPCCharBase"/>
    <w:uiPriority w:val="1"/>
    <w:qFormat/>
    <w:rsid w:val="004F6172"/>
    <w:rPr>
      <w:i/>
    </w:rPr>
  </w:style>
  <w:style w:type="character" w:customStyle="1" w:styleId="CharPartNo">
    <w:name w:val="CharPartNo"/>
    <w:basedOn w:val="OPCCharBase"/>
    <w:qFormat/>
    <w:rsid w:val="004F6172"/>
  </w:style>
  <w:style w:type="character" w:customStyle="1" w:styleId="CharPartText">
    <w:name w:val="CharPartText"/>
    <w:basedOn w:val="OPCCharBase"/>
    <w:qFormat/>
    <w:rsid w:val="004F6172"/>
  </w:style>
  <w:style w:type="character" w:customStyle="1" w:styleId="CharSectno">
    <w:name w:val="CharSectno"/>
    <w:basedOn w:val="OPCCharBase"/>
    <w:qFormat/>
    <w:rsid w:val="004F6172"/>
  </w:style>
  <w:style w:type="character" w:customStyle="1" w:styleId="CharSubdNo">
    <w:name w:val="CharSubdNo"/>
    <w:basedOn w:val="OPCCharBase"/>
    <w:uiPriority w:val="1"/>
    <w:qFormat/>
    <w:rsid w:val="004F6172"/>
  </w:style>
  <w:style w:type="character" w:customStyle="1" w:styleId="CharSubdText">
    <w:name w:val="CharSubdText"/>
    <w:basedOn w:val="OPCCharBase"/>
    <w:uiPriority w:val="1"/>
    <w:qFormat/>
    <w:rsid w:val="004F6172"/>
  </w:style>
  <w:style w:type="paragraph" w:customStyle="1" w:styleId="CTA--">
    <w:name w:val="CTA --"/>
    <w:basedOn w:val="OPCParaBase"/>
    <w:next w:val="Normal"/>
    <w:rsid w:val="004F617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617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617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617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617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617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617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617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617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617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617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617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617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617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F617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617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F617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617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F617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617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617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617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617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617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617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617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617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617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617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617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617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617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617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617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617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F617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617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617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617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617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617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617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617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617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617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617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617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617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617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617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617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61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617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617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617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F617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F617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F617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4F617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F617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F617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F617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F617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F617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F617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617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617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617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617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617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617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617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F6172"/>
    <w:rPr>
      <w:sz w:val="16"/>
    </w:rPr>
  </w:style>
  <w:style w:type="table" w:customStyle="1" w:styleId="CFlag">
    <w:name w:val="CFlag"/>
    <w:basedOn w:val="TableNormal"/>
    <w:uiPriority w:val="99"/>
    <w:rsid w:val="004F617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F61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1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F617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F617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F617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617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F6172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617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F617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F617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F617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F617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F617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F617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F617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617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617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617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617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617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F617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617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F6172"/>
  </w:style>
  <w:style w:type="character" w:customStyle="1" w:styleId="CharSubPartNoCASA">
    <w:name w:val="CharSubPartNo(CASA)"/>
    <w:basedOn w:val="OPCCharBase"/>
    <w:uiPriority w:val="1"/>
    <w:rsid w:val="004F6172"/>
  </w:style>
  <w:style w:type="paragraph" w:customStyle="1" w:styleId="ENoteTTIndentHeadingSub">
    <w:name w:val="ENoteTTIndentHeadingSub"/>
    <w:aliases w:val="enTTHis"/>
    <w:basedOn w:val="OPCParaBase"/>
    <w:rsid w:val="004F617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617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617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617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F617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61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6172"/>
    <w:rPr>
      <w:sz w:val="22"/>
    </w:rPr>
  </w:style>
  <w:style w:type="paragraph" w:customStyle="1" w:styleId="SOTextNote">
    <w:name w:val="SO TextNote"/>
    <w:aliases w:val="sont"/>
    <w:basedOn w:val="SOText"/>
    <w:qFormat/>
    <w:rsid w:val="004F617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617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6172"/>
    <w:rPr>
      <w:sz w:val="22"/>
    </w:rPr>
  </w:style>
  <w:style w:type="paragraph" w:customStyle="1" w:styleId="FileName">
    <w:name w:val="FileName"/>
    <w:basedOn w:val="Normal"/>
    <w:rsid w:val="004F6172"/>
  </w:style>
  <w:style w:type="paragraph" w:customStyle="1" w:styleId="TableHeading">
    <w:name w:val="TableHeading"/>
    <w:aliases w:val="th"/>
    <w:basedOn w:val="OPCParaBase"/>
    <w:next w:val="Tabletext"/>
    <w:rsid w:val="004F617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617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617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617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617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617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617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617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617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61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617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F617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F617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F617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F61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17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17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17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F617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17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17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17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footer" Target="footer14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header" Target="header1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37" Type="http://schemas.openxmlformats.org/officeDocument/2006/relationships/footer" Target="footer13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footer" Target="footer12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header" Target="header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6ACB-DE71-45DF-B831-7D232070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11</Pages>
  <Words>1467</Words>
  <Characters>7530</Characters>
  <Application>Microsoft Office Word</Application>
  <DocSecurity>0</DocSecurity>
  <PresentationFormat/>
  <Lines>198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Goods (Basketball Rings and Backboards) Safety Standard 2017</vt:lpstr>
    </vt:vector>
  </TitlesOfParts>
  <Manager/>
  <Company/>
  <LinksUpToDate>false</LinksUpToDate>
  <CharactersWithSpaces>8855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2017-12-15T03:23:00Z</dcterms:created>
  <dcterms:modified xsi:type="dcterms:W3CDTF">2017-12-15T03:24:00Z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Consumer Goods (Basketball Rings and Backboards) Safety Standard 2017</vt:lpwstr>
  </property>
  <property fmtid="{D5CDD505-2E9C-101B-9397-08002B2CF9AE}" pid="4" name="Header">
    <vt:lpwstr>Section</vt:lpwstr>
  </property>
  <property fmtid="{D5CDD505-2E9C-101B-9397-08002B2CF9AE}" pid="5" name="Class">
    <vt:lpwstr>safety standard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OPC62519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subsection 104(1) of the Australian Consumer Law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D</vt:lpwstr>
  </property>
  <property fmtid="{D5CDD505-2E9C-101B-9397-08002B2CF9AE}" pid="18" name="CounterSign">
    <vt:lpwstr/>
  </property>
  <property fmtid="{D5CDD505-2E9C-101B-9397-08002B2CF9AE}" pid="19" name="DateMade">
    <vt:lpwstr>14 December 2017</vt:lpwstr>
  </property>
</Properties>
</file>