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30DC9" w14:textId="77777777" w:rsidR="00DC0573" w:rsidRPr="006C1637" w:rsidRDefault="00DC0573">
      <w:pPr>
        <w:pStyle w:val="Title"/>
        <w:rPr>
          <w:b/>
          <w:bCs/>
        </w:rPr>
      </w:pPr>
      <w:bookmarkStart w:id="0" w:name="_GoBack"/>
      <w:bookmarkEnd w:id="0"/>
      <w:r w:rsidRPr="006C1637">
        <w:rPr>
          <w:b/>
          <w:bCs/>
        </w:rPr>
        <w:t>EXPLANATORY STATEMENT</w:t>
      </w:r>
    </w:p>
    <w:p w14:paraId="2B530DCB" w14:textId="6F8721D1" w:rsidR="00A93501" w:rsidRPr="00583D8B" w:rsidRDefault="00A93501" w:rsidP="006A61B8">
      <w:pPr>
        <w:rPr>
          <w:sz w:val="24"/>
          <w:u w:val="single"/>
        </w:rPr>
      </w:pPr>
    </w:p>
    <w:p w14:paraId="2B530DCC" w14:textId="77777777" w:rsidR="00A93501" w:rsidRDefault="00A93501" w:rsidP="00A93501">
      <w:pPr>
        <w:jc w:val="center"/>
        <w:rPr>
          <w:sz w:val="24"/>
        </w:rPr>
      </w:pPr>
    </w:p>
    <w:p w14:paraId="2B530DCD" w14:textId="77777777" w:rsidR="00A93501" w:rsidRDefault="00A93501" w:rsidP="00A93501">
      <w:pPr>
        <w:jc w:val="center"/>
        <w:rPr>
          <w:sz w:val="24"/>
        </w:rPr>
      </w:pPr>
      <w:r>
        <w:rPr>
          <w:sz w:val="24"/>
        </w:rPr>
        <w:t>Issued by the Authority of the Minister for Foreign Affairs</w:t>
      </w:r>
    </w:p>
    <w:p w14:paraId="2B530DCE" w14:textId="77777777" w:rsidR="00A93501" w:rsidRDefault="00A93501" w:rsidP="00A93501">
      <w:pPr>
        <w:jc w:val="center"/>
        <w:rPr>
          <w:sz w:val="24"/>
        </w:rPr>
      </w:pPr>
    </w:p>
    <w:p w14:paraId="2B530DCF" w14:textId="77777777" w:rsidR="00A93501" w:rsidRDefault="00A93501" w:rsidP="00A93501">
      <w:pPr>
        <w:jc w:val="center"/>
        <w:rPr>
          <w:sz w:val="24"/>
        </w:rPr>
      </w:pPr>
      <w:r>
        <w:rPr>
          <w:i/>
          <w:sz w:val="24"/>
        </w:rPr>
        <w:t>Nuclear Non-Proliferation (Safeguards) Act 1987</w:t>
      </w:r>
    </w:p>
    <w:p w14:paraId="2B530DD0" w14:textId="77777777" w:rsidR="00A93501" w:rsidRDefault="00A93501" w:rsidP="00A93501">
      <w:pPr>
        <w:jc w:val="center"/>
        <w:rPr>
          <w:sz w:val="24"/>
        </w:rPr>
      </w:pPr>
    </w:p>
    <w:p w14:paraId="2B530DD1" w14:textId="77777777" w:rsidR="00A93501" w:rsidRPr="009F7ADB" w:rsidRDefault="00A93501" w:rsidP="00754240">
      <w:pPr>
        <w:jc w:val="center"/>
        <w:rPr>
          <w:i/>
          <w:iCs/>
          <w:sz w:val="24"/>
        </w:rPr>
      </w:pPr>
      <w:r w:rsidRPr="009F7ADB">
        <w:rPr>
          <w:i/>
          <w:iCs/>
          <w:sz w:val="24"/>
        </w:rPr>
        <w:t>Nuclear Non-Proliferation (Safeg</w:t>
      </w:r>
      <w:r w:rsidR="006C00EE">
        <w:rPr>
          <w:i/>
          <w:iCs/>
          <w:sz w:val="24"/>
        </w:rPr>
        <w:t xml:space="preserve">uards) Amendment </w:t>
      </w:r>
      <w:r w:rsidR="00444EB2">
        <w:rPr>
          <w:i/>
          <w:iCs/>
          <w:sz w:val="24"/>
        </w:rPr>
        <w:t xml:space="preserve">(2017 Measures No. 1) </w:t>
      </w:r>
      <w:r w:rsidR="006C00EE">
        <w:rPr>
          <w:i/>
          <w:iCs/>
          <w:sz w:val="24"/>
        </w:rPr>
        <w:t xml:space="preserve">Regulations </w:t>
      </w:r>
      <w:r w:rsidR="00444EB2">
        <w:rPr>
          <w:i/>
          <w:iCs/>
          <w:sz w:val="24"/>
        </w:rPr>
        <w:t>2017</w:t>
      </w:r>
    </w:p>
    <w:p w14:paraId="2B530DD2" w14:textId="77777777" w:rsidR="00A93501" w:rsidRDefault="00A93501" w:rsidP="00A93501">
      <w:pPr>
        <w:rPr>
          <w:sz w:val="24"/>
        </w:rPr>
      </w:pPr>
    </w:p>
    <w:p w14:paraId="2B530DD3" w14:textId="10DC068F" w:rsidR="001622A9" w:rsidRPr="00E531D0" w:rsidRDefault="001622A9" w:rsidP="001622A9">
      <w:pPr>
        <w:contextualSpacing/>
        <w:jc w:val="both"/>
        <w:rPr>
          <w:sz w:val="24"/>
        </w:rPr>
      </w:pPr>
      <w:proofErr w:type="gramStart"/>
      <w:r w:rsidRPr="00E531D0">
        <w:rPr>
          <w:sz w:val="24"/>
        </w:rPr>
        <w:t xml:space="preserve">The </w:t>
      </w:r>
      <w:r w:rsidRPr="00515079">
        <w:rPr>
          <w:i/>
          <w:sz w:val="24"/>
        </w:rPr>
        <w:t>Nuclear Non-Proliferation (Safeguards) Act 1987</w:t>
      </w:r>
      <w:r>
        <w:rPr>
          <w:sz w:val="24"/>
        </w:rPr>
        <w:t xml:space="preserve"> (the </w:t>
      </w:r>
      <w:r w:rsidRPr="00E531D0">
        <w:rPr>
          <w:sz w:val="24"/>
        </w:rPr>
        <w:t>Act) gives effect to certain obligations that Australia has under international agreements on the peaceful use of nuclear material and</w:t>
      </w:r>
      <w:r w:rsidR="00676F53">
        <w:rPr>
          <w:sz w:val="24"/>
        </w:rPr>
        <w:t xml:space="preserve"> </w:t>
      </w:r>
      <w:r w:rsidRPr="00E531D0">
        <w:rPr>
          <w:sz w:val="24"/>
        </w:rPr>
        <w:t xml:space="preserve"> facilities, including all of Australia’s bilateral nuclear cooperation agreements, as well as the Treaty on the Non-Proliferation of Nuclear Weapons, the Convention on the Physical Protection of Nuclear Material (Physical Protection Convention), and Australia’s agreements with the International </w:t>
      </w:r>
      <w:r w:rsidR="00676F53">
        <w:rPr>
          <w:sz w:val="24"/>
        </w:rPr>
        <w:t xml:space="preserve">  </w:t>
      </w:r>
      <w:r w:rsidRPr="00E531D0">
        <w:rPr>
          <w:sz w:val="24"/>
        </w:rPr>
        <w:t>Atomic Energy Agency.</w:t>
      </w:r>
      <w:proofErr w:type="gramEnd"/>
    </w:p>
    <w:p w14:paraId="2B530DD4" w14:textId="77777777" w:rsidR="001622A9" w:rsidRDefault="001622A9" w:rsidP="001622A9">
      <w:pPr>
        <w:contextualSpacing/>
        <w:jc w:val="both"/>
        <w:rPr>
          <w:sz w:val="24"/>
        </w:rPr>
      </w:pPr>
    </w:p>
    <w:p w14:paraId="2B530DD5" w14:textId="77777777" w:rsidR="001622A9" w:rsidRDefault="001622A9" w:rsidP="001622A9">
      <w:pPr>
        <w:contextualSpacing/>
        <w:jc w:val="both"/>
        <w:rPr>
          <w:sz w:val="24"/>
        </w:rPr>
      </w:pPr>
      <w:r w:rsidRPr="006C00EE">
        <w:rPr>
          <w:sz w:val="24"/>
        </w:rPr>
        <w:t xml:space="preserve">Section 74 of the </w:t>
      </w:r>
      <w:r w:rsidRPr="006C00EE">
        <w:rPr>
          <w:i/>
          <w:sz w:val="24"/>
        </w:rPr>
        <w:t>Nuclear Non-Proliferation (Safeguards) Act 1987</w:t>
      </w:r>
      <w:r w:rsidRPr="006C00EE">
        <w:rPr>
          <w:sz w:val="24"/>
        </w:rPr>
        <w:t xml:space="preserve"> (the Act) provides, in part, that the Governor-General may make regulations, not inconsistent with the Act, prescribing matters required or permitted by the Act to be prescribed, or necessary or convenient to be prescribed for carrying out or giving effect to the Act. </w:t>
      </w:r>
    </w:p>
    <w:p w14:paraId="2B530DD6" w14:textId="77777777" w:rsidR="001622A9" w:rsidRDefault="001622A9" w:rsidP="001622A9">
      <w:pPr>
        <w:contextualSpacing/>
        <w:jc w:val="both"/>
        <w:rPr>
          <w:sz w:val="24"/>
        </w:rPr>
      </w:pPr>
    </w:p>
    <w:p w14:paraId="2B530DD7" w14:textId="77777777" w:rsidR="001622A9" w:rsidRPr="006C00EE" w:rsidRDefault="001622A9" w:rsidP="001622A9">
      <w:pPr>
        <w:contextualSpacing/>
        <w:jc w:val="both"/>
        <w:rPr>
          <w:sz w:val="24"/>
        </w:rPr>
      </w:pPr>
      <w:r>
        <w:rPr>
          <w:sz w:val="24"/>
        </w:rPr>
        <w:t>S</w:t>
      </w:r>
      <w:r w:rsidRPr="006C00EE">
        <w:rPr>
          <w:sz w:val="24"/>
        </w:rPr>
        <w:t xml:space="preserve">ection 70 of the Act provides that powers, discretions, duties or functions under the Act </w:t>
      </w:r>
      <w:proofErr w:type="gramStart"/>
      <w:r w:rsidRPr="006C00EE">
        <w:rPr>
          <w:sz w:val="24"/>
        </w:rPr>
        <w:t>are</w:t>
      </w:r>
      <w:proofErr w:type="gramEnd"/>
      <w:r w:rsidRPr="006C00EE">
        <w:rPr>
          <w:sz w:val="24"/>
        </w:rPr>
        <w:t xml:space="preserve"> to be exercised in accordance with specified international agreements identified in the Act, or prescribed in regulations.  </w:t>
      </w:r>
    </w:p>
    <w:p w14:paraId="2B530DD8" w14:textId="77777777" w:rsidR="001622A9" w:rsidRDefault="001622A9" w:rsidP="001622A9">
      <w:pPr>
        <w:contextualSpacing/>
        <w:rPr>
          <w:sz w:val="24"/>
        </w:rPr>
      </w:pPr>
    </w:p>
    <w:p w14:paraId="2B530DD9" w14:textId="77777777" w:rsidR="001622A9" w:rsidRDefault="001622A9" w:rsidP="001622A9">
      <w:pPr>
        <w:contextualSpacing/>
        <w:rPr>
          <w:sz w:val="24"/>
        </w:rPr>
      </w:pPr>
      <w:r w:rsidRPr="00E531D0">
        <w:rPr>
          <w:sz w:val="24"/>
        </w:rPr>
        <w:t>The</w:t>
      </w:r>
      <w:r>
        <w:rPr>
          <w:sz w:val="24"/>
        </w:rPr>
        <w:t xml:space="preserve"> </w:t>
      </w:r>
      <w:r w:rsidRPr="00F90DF9">
        <w:rPr>
          <w:i/>
          <w:sz w:val="24"/>
        </w:rPr>
        <w:t>Nuclear Non-Proliferation (Safeguards) Regulations 1987</w:t>
      </w:r>
      <w:r w:rsidRPr="00E531D0">
        <w:rPr>
          <w:sz w:val="24"/>
        </w:rPr>
        <w:t xml:space="preserve"> </w:t>
      </w:r>
      <w:r>
        <w:rPr>
          <w:sz w:val="24"/>
        </w:rPr>
        <w:t>(the Principal R</w:t>
      </w:r>
      <w:r w:rsidRPr="00E531D0">
        <w:rPr>
          <w:sz w:val="24"/>
        </w:rPr>
        <w:t>egulations</w:t>
      </w:r>
      <w:r>
        <w:rPr>
          <w:sz w:val="24"/>
        </w:rPr>
        <w:t>)</w:t>
      </w:r>
      <w:r w:rsidRPr="00E531D0">
        <w:rPr>
          <w:sz w:val="24"/>
        </w:rPr>
        <w:t xml:space="preserve"> list relevant agreements for the purposes of the</w:t>
      </w:r>
      <w:r>
        <w:rPr>
          <w:sz w:val="24"/>
        </w:rPr>
        <w:t xml:space="preserve"> </w:t>
      </w:r>
      <w:r w:rsidRPr="00E531D0">
        <w:rPr>
          <w:sz w:val="24"/>
        </w:rPr>
        <w:t xml:space="preserve">Act. The purpose of </w:t>
      </w:r>
      <w:r>
        <w:rPr>
          <w:i/>
          <w:iCs/>
          <w:sz w:val="24"/>
        </w:rPr>
        <w:t>Nuclear Non</w:t>
      </w:r>
      <w:r>
        <w:rPr>
          <w:i/>
          <w:iCs/>
          <w:sz w:val="24"/>
        </w:rPr>
        <w:noBreakHyphen/>
      </w:r>
      <w:r w:rsidRPr="009F7ADB">
        <w:rPr>
          <w:i/>
          <w:iCs/>
          <w:sz w:val="24"/>
        </w:rPr>
        <w:t>Proliferation (Safeg</w:t>
      </w:r>
      <w:r>
        <w:rPr>
          <w:i/>
          <w:iCs/>
          <w:sz w:val="24"/>
        </w:rPr>
        <w:t xml:space="preserve">uards) Amendment (2017 Measures No. 1) Regulations 2017 </w:t>
      </w:r>
      <w:r w:rsidR="00E25080">
        <w:rPr>
          <w:iCs/>
          <w:sz w:val="24"/>
        </w:rPr>
        <w:t>was</w:t>
      </w:r>
      <w:r w:rsidR="00E25080">
        <w:rPr>
          <w:sz w:val="24"/>
        </w:rPr>
        <w:t xml:space="preserve"> to</w:t>
      </w:r>
      <w:r w:rsidRPr="00E531D0">
        <w:rPr>
          <w:sz w:val="24"/>
        </w:rPr>
        <w:t xml:space="preserve"> update the list of </w:t>
      </w:r>
      <w:r>
        <w:rPr>
          <w:sz w:val="24"/>
        </w:rPr>
        <w:t>prescribed</w:t>
      </w:r>
      <w:r w:rsidRPr="00E531D0">
        <w:rPr>
          <w:sz w:val="24"/>
        </w:rPr>
        <w:t xml:space="preserve"> international agreements</w:t>
      </w:r>
      <w:r>
        <w:rPr>
          <w:sz w:val="24"/>
        </w:rPr>
        <w:t xml:space="preserve"> by adding the following</w:t>
      </w:r>
      <w:r w:rsidRPr="00E531D0">
        <w:rPr>
          <w:sz w:val="24"/>
        </w:rPr>
        <w:t xml:space="preserve"> international agreements:</w:t>
      </w:r>
    </w:p>
    <w:p w14:paraId="2B530DDA" w14:textId="77777777" w:rsidR="00E25080" w:rsidRDefault="00E25080" w:rsidP="00E25080">
      <w:pPr>
        <w:pStyle w:val="ListParagraph"/>
        <w:numPr>
          <w:ilvl w:val="0"/>
          <w:numId w:val="25"/>
        </w:numPr>
        <w:rPr>
          <w:sz w:val="24"/>
        </w:rPr>
      </w:pPr>
      <w:r w:rsidRPr="00E531D0">
        <w:rPr>
          <w:i/>
          <w:sz w:val="24"/>
        </w:rPr>
        <w:t>Agreement between the Government of Australia and the Government of the United Arab Emirates on Cooperation in the Peaceful Uses of Nuclear Energy</w:t>
      </w:r>
      <w:r w:rsidRPr="00E531D0">
        <w:rPr>
          <w:sz w:val="24"/>
        </w:rPr>
        <w:t>,</w:t>
      </w:r>
      <w:r>
        <w:rPr>
          <w:sz w:val="24"/>
        </w:rPr>
        <w:t xml:space="preserve"> date signed on behalf of Australia 31 July 2012.</w:t>
      </w:r>
    </w:p>
    <w:p w14:paraId="2B530DDB" w14:textId="77777777" w:rsidR="00E25080" w:rsidRPr="00E531D0" w:rsidRDefault="00E25080" w:rsidP="00E25080">
      <w:pPr>
        <w:pStyle w:val="ListParagraph"/>
        <w:numPr>
          <w:ilvl w:val="0"/>
          <w:numId w:val="25"/>
        </w:numPr>
        <w:jc w:val="both"/>
        <w:rPr>
          <w:sz w:val="24"/>
        </w:rPr>
      </w:pPr>
      <w:r w:rsidRPr="00E531D0">
        <w:rPr>
          <w:i/>
          <w:sz w:val="24"/>
        </w:rPr>
        <w:t>Agreement between the Government of Australia and the Government of India on Cooperation in the Peaceful Uses of Nuclear Energy</w:t>
      </w:r>
      <w:r w:rsidRPr="00E531D0">
        <w:rPr>
          <w:sz w:val="24"/>
        </w:rPr>
        <w:t xml:space="preserve">, </w:t>
      </w:r>
      <w:r>
        <w:rPr>
          <w:sz w:val="24"/>
        </w:rPr>
        <w:t>date signed on behalf of Australia 5 September 2014.</w:t>
      </w:r>
    </w:p>
    <w:p w14:paraId="2B530DDC" w14:textId="77777777" w:rsidR="001622A9" w:rsidRPr="00E25080" w:rsidRDefault="001622A9" w:rsidP="00E25080">
      <w:pPr>
        <w:pStyle w:val="ListParagraph"/>
        <w:numPr>
          <w:ilvl w:val="0"/>
          <w:numId w:val="25"/>
        </w:numPr>
        <w:rPr>
          <w:sz w:val="24"/>
        </w:rPr>
      </w:pPr>
      <w:r w:rsidRPr="00E25080">
        <w:rPr>
          <w:i/>
          <w:sz w:val="24"/>
        </w:rPr>
        <w:t>Agreement between the Government of Australia and the Government of Ukraine on Cooperation in the Peaceful Uses of Nuclear Energy</w:t>
      </w:r>
      <w:r w:rsidRPr="00E25080">
        <w:rPr>
          <w:sz w:val="24"/>
        </w:rPr>
        <w:t>, date signed on behalf of Australia 31 March 2016.</w:t>
      </w:r>
    </w:p>
    <w:p w14:paraId="2B530DDD" w14:textId="77777777" w:rsidR="001622A9" w:rsidRDefault="001622A9" w:rsidP="001622A9">
      <w:pPr>
        <w:jc w:val="both"/>
        <w:rPr>
          <w:sz w:val="24"/>
        </w:rPr>
      </w:pPr>
    </w:p>
    <w:p w14:paraId="2B530DDE" w14:textId="77777777" w:rsidR="001622A9" w:rsidRPr="00C03FC4" w:rsidRDefault="001622A9" w:rsidP="001622A9">
      <w:pPr>
        <w:jc w:val="both"/>
        <w:rPr>
          <w:sz w:val="24"/>
        </w:rPr>
      </w:pPr>
      <w:r>
        <w:rPr>
          <w:sz w:val="24"/>
        </w:rPr>
        <w:t xml:space="preserve">Prescribing these international agreements brings them under the Safeguards Act, giving legal effect to Australia’s implementation of the agreements for actions such as processing the transfer of Australian obligated nuclear material (including Australian uranium ore concentrate) sold to the United Arab Emirates, India or Ukraine for nuclear fuel manufacture, use or storage.   </w:t>
      </w:r>
    </w:p>
    <w:p w14:paraId="2B530DDF" w14:textId="77777777" w:rsidR="001622A9" w:rsidRPr="00AD61C7" w:rsidRDefault="001622A9" w:rsidP="001622A9">
      <w:pPr>
        <w:tabs>
          <w:tab w:val="left" w:pos="567"/>
        </w:tabs>
        <w:autoSpaceDE w:val="0"/>
        <w:autoSpaceDN w:val="0"/>
        <w:adjustRightInd w:val="0"/>
        <w:contextualSpacing/>
        <w:rPr>
          <w:sz w:val="24"/>
          <w:szCs w:val="24"/>
          <w:lang w:eastAsia="en-AU"/>
        </w:rPr>
      </w:pPr>
    </w:p>
    <w:p w14:paraId="2B530DE0" w14:textId="77777777" w:rsidR="001622A9" w:rsidRDefault="001622A9" w:rsidP="001622A9">
      <w:pPr>
        <w:contextualSpacing/>
        <w:jc w:val="both"/>
        <w:rPr>
          <w:sz w:val="24"/>
        </w:rPr>
      </w:pPr>
      <w:r>
        <w:rPr>
          <w:sz w:val="24"/>
        </w:rPr>
        <w:t>T</w:t>
      </w:r>
      <w:r w:rsidRPr="006C00EE">
        <w:rPr>
          <w:sz w:val="24"/>
        </w:rPr>
        <w:t xml:space="preserve">he </w:t>
      </w:r>
      <w:r w:rsidRPr="006C00EE">
        <w:rPr>
          <w:i/>
          <w:sz w:val="24"/>
        </w:rPr>
        <w:t>Nuclear Safeguards (Producers of Uranium Ore Concentrates) Charge Act 1993</w:t>
      </w:r>
      <w:r w:rsidRPr="006C00EE">
        <w:rPr>
          <w:sz w:val="24"/>
        </w:rPr>
        <w:t xml:space="preserve"> imposes a </w:t>
      </w:r>
      <w:proofErr w:type="gramStart"/>
      <w:r w:rsidRPr="006C00EE">
        <w:rPr>
          <w:sz w:val="24"/>
        </w:rPr>
        <w:t>charge</w:t>
      </w:r>
      <w:proofErr w:type="gramEnd"/>
      <w:r w:rsidRPr="006C00EE">
        <w:rPr>
          <w:sz w:val="24"/>
        </w:rPr>
        <w:t xml:space="preserve"> on producers of uranium ore concentrates (the charge) under certain circumstances. Section</w:t>
      </w:r>
      <w:r>
        <w:rPr>
          <w:sz w:val="24"/>
        </w:rPr>
        <w:t> </w:t>
      </w:r>
      <w:r w:rsidRPr="006C00EE">
        <w:rPr>
          <w:sz w:val="24"/>
        </w:rPr>
        <w:t xml:space="preserve">69A of the Act specifies that the charge is </w:t>
      </w:r>
      <w:r>
        <w:rPr>
          <w:sz w:val="24"/>
        </w:rPr>
        <w:t>payable</w:t>
      </w:r>
      <w:r w:rsidRPr="006C00EE">
        <w:rPr>
          <w:sz w:val="24"/>
        </w:rPr>
        <w:t xml:space="preserve"> on 1 December each year and that the amount of the charge payable by a producer is $500,000 or an amount prescribed by the regulations, whichever is the lesser. The amount of the charge, expressed in cents per kilogram of uranium in the uranium ore concentrate produced, is set in the Principal Regulations.</w:t>
      </w:r>
    </w:p>
    <w:p w14:paraId="2B530DE1" w14:textId="77777777" w:rsidR="001622A9" w:rsidRDefault="001622A9" w:rsidP="001622A9">
      <w:pPr>
        <w:contextualSpacing/>
        <w:jc w:val="both"/>
        <w:rPr>
          <w:sz w:val="24"/>
          <w:szCs w:val="24"/>
        </w:rPr>
      </w:pPr>
    </w:p>
    <w:p w14:paraId="2B530DE2" w14:textId="475A26DE" w:rsidR="001622A9" w:rsidRPr="00D72EBE" w:rsidRDefault="001622A9" w:rsidP="001622A9">
      <w:pPr>
        <w:contextualSpacing/>
        <w:jc w:val="both"/>
        <w:rPr>
          <w:sz w:val="24"/>
          <w:szCs w:val="24"/>
        </w:rPr>
      </w:pPr>
      <w:r w:rsidRPr="006C00EE">
        <w:rPr>
          <w:sz w:val="24"/>
          <w:szCs w:val="24"/>
        </w:rPr>
        <w:t xml:space="preserve">The </w:t>
      </w:r>
      <w:r w:rsidR="00E25080">
        <w:rPr>
          <w:sz w:val="24"/>
          <w:szCs w:val="24"/>
        </w:rPr>
        <w:t>Regulations</w:t>
      </w:r>
      <w:r>
        <w:rPr>
          <w:sz w:val="24"/>
          <w:szCs w:val="24"/>
        </w:rPr>
        <w:t xml:space="preserve"> amend </w:t>
      </w:r>
      <w:r w:rsidRPr="006C00EE">
        <w:rPr>
          <w:sz w:val="24"/>
          <w:szCs w:val="24"/>
        </w:rPr>
        <w:t xml:space="preserve">the Principal Regulations </w:t>
      </w:r>
      <w:r>
        <w:rPr>
          <w:sz w:val="24"/>
          <w:szCs w:val="24"/>
        </w:rPr>
        <w:t xml:space="preserve">to be </w:t>
      </w:r>
      <w:r w:rsidRPr="006C00EE">
        <w:rPr>
          <w:sz w:val="24"/>
          <w:szCs w:val="24"/>
        </w:rPr>
        <w:t xml:space="preserve">the amount of charge payable by a producer as the </w:t>
      </w:r>
      <w:r w:rsidRPr="00F90DF9">
        <w:rPr>
          <w:sz w:val="24"/>
          <w:szCs w:val="24"/>
        </w:rPr>
        <w:t>lesser</w:t>
      </w:r>
      <w:r w:rsidRPr="006C00EE">
        <w:rPr>
          <w:sz w:val="24"/>
          <w:szCs w:val="24"/>
        </w:rPr>
        <w:t xml:space="preserve"> of $500,000 or </w:t>
      </w:r>
      <w:r w:rsidRPr="00E31627">
        <w:rPr>
          <w:sz w:val="24"/>
          <w:szCs w:val="24"/>
        </w:rPr>
        <w:t>13.1813</w:t>
      </w:r>
      <w:r w:rsidRPr="006C00EE">
        <w:rPr>
          <w:sz w:val="24"/>
          <w:szCs w:val="24"/>
        </w:rPr>
        <w:t xml:space="preserve"> cents per kilogram of uranium in the uranium ore concentrates produced in the previous financial </w:t>
      </w:r>
      <w:r>
        <w:rPr>
          <w:sz w:val="24"/>
          <w:szCs w:val="24"/>
        </w:rPr>
        <w:t>year</w:t>
      </w:r>
      <w:r w:rsidRPr="00F11CE1">
        <w:rPr>
          <w:sz w:val="24"/>
          <w:szCs w:val="24"/>
        </w:rPr>
        <w:t>.</w:t>
      </w:r>
      <w:r>
        <w:rPr>
          <w:sz w:val="24"/>
          <w:szCs w:val="24"/>
        </w:rPr>
        <w:t xml:space="preserve"> </w:t>
      </w:r>
      <w:r w:rsidR="00E25080">
        <w:rPr>
          <w:sz w:val="24"/>
        </w:rPr>
        <w:t>The rate was</w:t>
      </w:r>
      <w:r w:rsidRPr="006C00EE">
        <w:rPr>
          <w:sz w:val="24"/>
        </w:rPr>
        <w:t xml:space="preserve"> arrived</w:t>
      </w:r>
      <w:r>
        <w:rPr>
          <w:sz w:val="24"/>
        </w:rPr>
        <w:t xml:space="preserve"> at</w:t>
      </w:r>
      <w:r w:rsidRPr="006C00EE">
        <w:rPr>
          <w:sz w:val="24"/>
        </w:rPr>
        <w:t xml:space="preserve"> by apportioning </w:t>
      </w:r>
      <w:proofErr w:type="gramStart"/>
      <w:r w:rsidRPr="006C00EE">
        <w:rPr>
          <w:sz w:val="24"/>
        </w:rPr>
        <w:t xml:space="preserve">Australian </w:t>
      </w:r>
      <w:r w:rsidR="00AE1D9A">
        <w:rPr>
          <w:sz w:val="24"/>
        </w:rPr>
        <w:t xml:space="preserve"> </w:t>
      </w:r>
      <w:r w:rsidRPr="006C00EE">
        <w:rPr>
          <w:sz w:val="24"/>
        </w:rPr>
        <w:lastRenderedPageBreak/>
        <w:t>Safeguards</w:t>
      </w:r>
      <w:proofErr w:type="gramEnd"/>
      <w:r w:rsidRPr="006C00EE">
        <w:rPr>
          <w:sz w:val="24"/>
        </w:rPr>
        <w:t xml:space="preserve"> and Non-Proliferation Office general expenses to work categories related to </w:t>
      </w:r>
      <w:r>
        <w:rPr>
          <w:sz w:val="24"/>
        </w:rPr>
        <w:t xml:space="preserve">regulation of </w:t>
      </w:r>
      <w:r w:rsidRPr="006C00EE">
        <w:rPr>
          <w:sz w:val="24"/>
        </w:rPr>
        <w:t>uranium mining and export</w:t>
      </w:r>
      <w:r>
        <w:rPr>
          <w:sz w:val="24"/>
        </w:rPr>
        <w:t xml:space="preserve"> and will apply to the 2016-17 financial year.</w:t>
      </w:r>
    </w:p>
    <w:p w14:paraId="2B530DE3" w14:textId="77777777" w:rsidR="001622A9" w:rsidRDefault="001622A9" w:rsidP="001622A9">
      <w:pPr>
        <w:contextualSpacing/>
        <w:jc w:val="both"/>
        <w:rPr>
          <w:sz w:val="24"/>
          <w:szCs w:val="24"/>
        </w:rPr>
      </w:pPr>
    </w:p>
    <w:p w14:paraId="2B530DE4" w14:textId="77777777" w:rsidR="001622A9" w:rsidRDefault="001622A9" w:rsidP="001622A9">
      <w:pPr>
        <w:contextualSpacing/>
        <w:jc w:val="both"/>
        <w:rPr>
          <w:sz w:val="24"/>
          <w:szCs w:val="24"/>
        </w:rPr>
      </w:pPr>
      <w:r>
        <w:rPr>
          <w:sz w:val="24"/>
          <w:szCs w:val="24"/>
        </w:rPr>
        <w:t xml:space="preserve">The </w:t>
      </w:r>
      <w:r w:rsidR="003E245C">
        <w:rPr>
          <w:sz w:val="24"/>
          <w:szCs w:val="24"/>
        </w:rPr>
        <w:t xml:space="preserve">charge </w:t>
      </w:r>
      <w:proofErr w:type="gramStart"/>
      <w:r w:rsidR="003E245C">
        <w:rPr>
          <w:sz w:val="24"/>
          <w:szCs w:val="24"/>
        </w:rPr>
        <w:t>has been reduced</w:t>
      </w:r>
      <w:proofErr w:type="gramEnd"/>
      <w:r w:rsidR="003E245C">
        <w:rPr>
          <w:sz w:val="24"/>
          <w:szCs w:val="24"/>
        </w:rPr>
        <w:t xml:space="preserve"> from the</w:t>
      </w:r>
      <w:r w:rsidR="002E248E">
        <w:rPr>
          <w:sz w:val="24"/>
          <w:szCs w:val="24"/>
        </w:rPr>
        <w:t xml:space="preserve"> 2015-16</w:t>
      </w:r>
      <w:r w:rsidR="003E245C">
        <w:rPr>
          <w:sz w:val="24"/>
          <w:szCs w:val="24"/>
        </w:rPr>
        <w:t xml:space="preserve"> rate</w:t>
      </w:r>
      <w:r w:rsidR="002E248E">
        <w:rPr>
          <w:sz w:val="24"/>
          <w:szCs w:val="24"/>
        </w:rPr>
        <w:t xml:space="preserve"> </w:t>
      </w:r>
      <w:r>
        <w:rPr>
          <w:sz w:val="24"/>
          <w:szCs w:val="24"/>
        </w:rPr>
        <w:t>of 14.1715 cents per kilogram of uranium in uranium ore concentrates to 13.1813 cents per kilogram of uranium in uranium ore concentrates</w:t>
      </w:r>
      <w:r w:rsidR="003E245C">
        <w:rPr>
          <w:sz w:val="24"/>
          <w:szCs w:val="24"/>
        </w:rPr>
        <w:t xml:space="preserve"> for 2016-17</w:t>
      </w:r>
      <w:r>
        <w:rPr>
          <w:sz w:val="24"/>
          <w:szCs w:val="24"/>
        </w:rPr>
        <w:t xml:space="preserve">. </w:t>
      </w:r>
    </w:p>
    <w:p w14:paraId="2B530DE5" w14:textId="77777777" w:rsidR="001622A9" w:rsidRPr="00C07504" w:rsidRDefault="001622A9" w:rsidP="001622A9">
      <w:pPr>
        <w:contextualSpacing/>
        <w:jc w:val="both"/>
        <w:rPr>
          <w:sz w:val="24"/>
          <w:szCs w:val="24"/>
        </w:rPr>
      </w:pPr>
    </w:p>
    <w:p w14:paraId="2B530DE6" w14:textId="77777777" w:rsidR="00514B5B" w:rsidRPr="00514B5B" w:rsidRDefault="00514B5B" w:rsidP="00696764">
      <w:pPr>
        <w:spacing w:after="120"/>
        <w:jc w:val="both"/>
        <w:rPr>
          <w:b/>
          <w:sz w:val="24"/>
          <w:szCs w:val="24"/>
        </w:rPr>
      </w:pPr>
      <w:r w:rsidRPr="00514B5B">
        <w:rPr>
          <w:b/>
          <w:sz w:val="24"/>
          <w:szCs w:val="24"/>
        </w:rPr>
        <w:t>Consultation and Regulatory Impact</w:t>
      </w:r>
    </w:p>
    <w:p w14:paraId="2B530DE7" w14:textId="2CE713A3" w:rsidR="00C241BB" w:rsidRDefault="00C241BB" w:rsidP="00C241BB">
      <w:pPr>
        <w:spacing w:after="120"/>
        <w:jc w:val="both"/>
        <w:rPr>
          <w:sz w:val="24"/>
          <w:szCs w:val="24"/>
        </w:rPr>
      </w:pPr>
      <w:r>
        <w:rPr>
          <w:sz w:val="24"/>
          <w:szCs w:val="24"/>
        </w:rPr>
        <w:t>The then Office of Regulation Review advised on 18 January 2006 that as the direct effect on</w:t>
      </w:r>
      <w:r w:rsidR="00AE1D9A">
        <w:rPr>
          <w:sz w:val="24"/>
          <w:szCs w:val="24"/>
        </w:rPr>
        <w:t xml:space="preserve">  </w:t>
      </w:r>
      <w:r>
        <w:rPr>
          <w:sz w:val="24"/>
          <w:szCs w:val="24"/>
        </w:rPr>
        <w:t xml:space="preserve"> business is minor in nature a Regulation Impact Statement (RIS) is not mandatory, </w:t>
      </w:r>
      <w:proofErr w:type="gramStart"/>
      <w:r>
        <w:rPr>
          <w:sz w:val="24"/>
          <w:szCs w:val="24"/>
        </w:rPr>
        <w:t>therefore</w:t>
      </w:r>
      <w:proofErr w:type="gramEnd"/>
      <w:r>
        <w:rPr>
          <w:sz w:val="24"/>
          <w:szCs w:val="24"/>
        </w:rPr>
        <w:t xml:space="preserve"> an exception applies.  The Office of Regulation Review also advised that subsequent amendments to the charge per kilogram to uranium producers </w:t>
      </w:r>
      <w:proofErr w:type="gramStart"/>
      <w:r>
        <w:rPr>
          <w:sz w:val="24"/>
          <w:szCs w:val="24"/>
        </w:rPr>
        <w:t>will</w:t>
      </w:r>
      <w:proofErr w:type="gramEnd"/>
      <w:r>
        <w:rPr>
          <w:sz w:val="24"/>
          <w:szCs w:val="24"/>
        </w:rPr>
        <w:t xml:space="preserve"> not require a RIS.  </w:t>
      </w:r>
      <w:r w:rsidR="002E248E">
        <w:rPr>
          <w:sz w:val="24"/>
          <w:szCs w:val="24"/>
        </w:rPr>
        <w:t>The active uranium producers</w:t>
      </w:r>
      <w:r w:rsidR="00AE1D9A">
        <w:rPr>
          <w:sz w:val="24"/>
          <w:szCs w:val="24"/>
        </w:rPr>
        <w:br/>
      </w:r>
      <w:r w:rsidR="002E248E">
        <w:rPr>
          <w:sz w:val="24"/>
          <w:szCs w:val="24"/>
        </w:rPr>
        <w:t xml:space="preserve">in Australia </w:t>
      </w:r>
      <w:proofErr w:type="gramStart"/>
      <w:r w:rsidR="002E248E">
        <w:rPr>
          <w:sz w:val="24"/>
          <w:szCs w:val="24"/>
        </w:rPr>
        <w:t>were consulted</w:t>
      </w:r>
      <w:proofErr w:type="gramEnd"/>
      <w:r w:rsidR="002E248E">
        <w:rPr>
          <w:sz w:val="24"/>
          <w:szCs w:val="24"/>
        </w:rPr>
        <w:t xml:space="preserve"> on the revised </w:t>
      </w:r>
      <w:r w:rsidR="003E245C">
        <w:rPr>
          <w:sz w:val="24"/>
          <w:szCs w:val="24"/>
        </w:rPr>
        <w:t>rate</w:t>
      </w:r>
      <w:r w:rsidR="002E248E">
        <w:rPr>
          <w:sz w:val="24"/>
          <w:szCs w:val="24"/>
        </w:rPr>
        <w:t xml:space="preserve"> for the charge payable in</w:t>
      </w:r>
      <w:r w:rsidR="003E245C">
        <w:rPr>
          <w:sz w:val="24"/>
          <w:szCs w:val="24"/>
        </w:rPr>
        <w:t xml:space="preserve"> the</w:t>
      </w:r>
      <w:r w:rsidR="002E248E">
        <w:rPr>
          <w:sz w:val="24"/>
          <w:szCs w:val="24"/>
        </w:rPr>
        <w:t xml:space="preserve"> 2017-18 financial year and were supportive of the decrease. </w:t>
      </w:r>
      <w:r>
        <w:rPr>
          <w:sz w:val="24"/>
          <w:szCs w:val="24"/>
          <w:lang w:eastAsia="en-AU"/>
        </w:rPr>
        <w:t>Consultati</w:t>
      </w:r>
      <w:r w:rsidR="003E245C">
        <w:rPr>
          <w:sz w:val="24"/>
          <w:szCs w:val="24"/>
          <w:lang w:eastAsia="en-AU"/>
        </w:rPr>
        <w:t>on and the regulatory impact of</w:t>
      </w:r>
      <w:r>
        <w:rPr>
          <w:sz w:val="24"/>
          <w:szCs w:val="24"/>
          <w:lang w:eastAsia="en-AU"/>
        </w:rPr>
        <w:t xml:space="preserve"> the </w:t>
      </w:r>
      <w:r w:rsidR="003E245C">
        <w:rPr>
          <w:sz w:val="24"/>
          <w:szCs w:val="24"/>
          <w:lang w:eastAsia="en-AU"/>
        </w:rPr>
        <w:t xml:space="preserve">three </w:t>
      </w:r>
      <w:r>
        <w:rPr>
          <w:sz w:val="24"/>
          <w:szCs w:val="24"/>
          <w:lang w:eastAsia="en-AU"/>
        </w:rPr>
        <w:t xml:space="preserve">nuclear cooperation agreements </w:t>
      </w:r>
      <w:proofErr w:type="gramStart"/>
      <w:r>
        <w:rPr>
          <w:sz w:val="24"/>
          <w:szCs w:val="24"/>
          <w:lang w:eastAsia="en-AU"/>
        </w:rPr>
        <w:t>was addressed</w:t>
      </w:r>
      <w:proofErr w:type="gramEnd"/>
      <w:r>
        <w:rPr>
          <w:sz w:val="24"/>
          <w:szCs w:val="24"/>
          <w:lang w:eastAsia="en-AU"/>
        </w:rPr>
        <w:t xml:space="preserve"> during the process of </w:t>
      </w:r>
      <w:r w:rsidR="003E245C">
        <w:rPr>
          <w:sz w:val="24"/>
          <w:szCs w:val="24"/>
          <w:lang w:eastAsia="en-AU"/>
        </w:rPr>
        <w:t xml:space="preserve">seeking approval for signing </w:t>
      </w:r>
      <w:r>
        <w:rPr>
          <w:sz w:val="24"/>
          <w:szCs w:val="24"/>
          <w:lang w:eastAsia="en-AU"/>
        </w:rPr>
        <w:t>the</w:t>
      </w:r>
      <w:r w:rsidR="00AE1D9A">
        <w:rPr>
          <w:sz w:val="24"/>
          <w:szCs w:val="24"/>
          <w:lang w:eastAsia="en-AU"/>
        </w:rPr>
        <w:br/>
      </w:r>
      <w:r>
        <w:rPr>
          <w:sz w:val="24"/>
          <w:szCs w:val="24"/>
          <w:lang w:eastAsia="en-AU"/>
        </w:rPr>
        <w:t xml:space="preserve">treaties.  </w:t>
      </w:r>
    </w:p>
    <w:p w14:paraId="2B530DE8" w14:textId="77777777" w:rsidR="002E248E" w:rsidRPr="000A19C3" w:rsidRDefault="002E248E" w:rsidP="002E248E">
      <w:pPr>
        <w:spacing w:after="120"/>
        <w:jc w:val="both"/>
        <w:rPr>
          <w:b/>
          <w:sz w:val="24"/>
          <w:szCs w:val="24"/>
        </w:rPr>
      </w:pPr>
      <w:r w:rsidRPr="000A19C3">
        <w:rPr>
          <w:b/>
          <w:sz w:val="24"/>
          <w:szCs w:val="24"/>
        </w:rPr>
        <w:t xml:space="preserve">Human Rights </w:t>
      </w:r>
    </w:p>
    <w:p w14:paraId="2B530DE9" w14:textId="39C176F6" w:rsidR="002E248E" w:rsidRDefault="002E248E" w:rsidP="00C241BB">
      <w:pPr>
        <w:spacing w:after="120"/>
        <w:jc w:val="both"/>
        <w:rPr>
          <w:sz w:val="24"/>
          <w:szCs w:val="24"/>
        </w:rPr>
      </w:pPr>
      <w:r w:rsidRPr="000A19C3">
        <w:rPr>
          <w:sz w:val="24"/>
          <w:szCs w:val="24"/>
        </w:rPr>
        <w:t xml:space="preserve">This statement of compatibility is prepared in accordance with Part 3 of the </w:t>
      </w:r>
      <w:r w:rsidRPr="000A19C3">
        <w:rPr>
          <w:i/>
          <w:sz w:val="24"/>
          <w:szCs w:val="24"/>
        </w:rPr>
        <w:t>Human Rights (Parliamentary Scrutiny) Act 2011</w:t>
      </w:r>
      <w:r w:rsidRPr="000A19C3">
        <w:rPr>
          <w:sz w:val="24"/>
          <w:szCs w:val="24"/>
        </w:rPr>
        <w:t>.</w:t>
      </w:r>
      <w:r>
        <w:rPr>
          <w:sz w:val="24"/>
          <w:szCs w:val="24"/>
        </w:rPr>
        <w:t xml:space="preserve"> This</w:t>
      </w:r>
      <w:r w:rsidRPr="000A19C3">
        <w:rPr>
          <w:sz w:val="24"/>
          <w:szCs w:val="24"/>
        </w:rPr>
        <w:t xml:space="preserve"> </w:t>
      </w:r>
      <w:r>
        <w:rPr>
          <w:sz w:val="24"/>
          <w:szCs w:val="24"/>
        </w:rPr>
        <w:t>Legislative Instrument</w:t>
      </w:r>
      <w:r w:rsidRPr="000A19C3">
        <w:rPr>
          <w:sz w:val="24"/>
          <w:szCs w:val="24"/>
        </w:rPr>
        <w:t xml:space="preserve"> does not engage any of the </w:t>
      </w:r>
      <w:r w:rsidR="00AE1D9A">
        <w:rPr>
          <w:sz w:val="24"/>
          <w:szCs w:val="24"/>
        </w:rPr>
        <w:br/>
      </w:r>
      <w:r w:rsidRPr="000A19C3">
        <w:rPr>
          <w:sz w:val="24"/>
          <w:szCs w:val="24"/>
        </w:rPr>
        <w:t>applicable rights or freedoms</w:t>
      </w:r>
      <w:r>
        <w:rPr>
          <w:sz w:val="24"/>
          <w:szCs w:val="24"/>
        </w:rPr>
        <w:t xml:space="preserve"> described in the </w:t>
      </w:r>
      <w:r w:rsidRPr="000A19C3">
        <w:rPr>
          <w:i/>
          <w:sz w:val="24"/>
          <w:szCs w:val="24"/>
        </w:rPr>
        <w:t>Human Rights (Parliamentary Scrutiny) Act 2011</w:t>
      </w:r>
      <w:r w:rsidRPr="000A19C3">
        <w:rPr>
          <w:sz w:val="24"/>
          <w:szCs w:val="24"/>
        </w:rPr>
        <w:t>.</w:t>
      </w:r>
      <w:r>
        <w:rPr>
          <w:sz w:val="24"/>
          <w:szCs w:val="24"/>
        </w:rPr>
        <w:t xml:space="preserve"> Accordingly, this Legislative Instrument</w:t>
      </w:r>
      <w:r w:rsidRPr="000A19C3">
        <w:rPr>
          <w:sz w:val="24"/>
          <w:szCs w:val="24"/>
        </w:rPr>
        <w:t xml:space="preserve"> is compatible with human rights.</w:t>
      </w:r>
    </w:p>
    <w:p w14:paraId="2B530DEA" w14:textId="77777777" w:rsidR="00F11CE1" w:rsidRPr="00F11CE1" w:rsidRDefault="00F11CE1" w:rsidP="000A19C3">
      <w:pPr>
        <w:spacing w:after="120"/>
        <w:jc w:val="both"/>
        <w:rPr>
          <w:b/>
          <w:sz w:val="24"/>
          <w:szCs w:val="24"/>
        </w:rPr>
      </w:pPr>
      <w:r w:rsidRPr="00F11CE1">
        <w:rPr>
          <w:b/>
          <w:sz w:val="24"/>
          <w:szCs w:val="24"/>
        </w:rPr>
        <w:t>Commencement</w:t>
      </w:r>
    </w:p>
    <w:p w14:paraId="2B530DEB" w14:textId="38B4EB55" w:rsidR="00444EB2" w:rsidRDefault="00444EB2" w:rsidP="00444EB2">
      <w:pPr>
        <w:spacing w:after="120"/>
        <w:jc w:val="both"/>
        <w:rPr>
          <w:sz w:val="24"/>
          <w:szCs w:val="24"/>
        </w:rPr>
      </w:pPr>
      <w:r w:rsidRPr="000A19C3">
        <w:rPr>
          <w:sz w:val="24"/>
          <w:szCs w:val="24"/>
        </w:rPr>
        <w:t xml:space="preserve">The Regulations </w:t>
      </w:r>
      <w:r w:rsidR="009536D0">
        <w:rPr>
          <w:sz w:val="24"/>
          <w:szCs w:val="24"/>
        </w:rPr>
        <w:t>will</w:t>
      </w:r>
      <w:r>
        <w:rPr>
          <w:sz w:val="24"/>
          <w:szCs w:val="24"/>
        </w:rPr>
        <w:t xml:space="preserve"> commence</w:t>
      </w:r>
      <w:r w:rsidRPr="000A19C3">
        <w:rPr>
          <w:sz w:val="24"/>
          <w:szCs w:val="24"/>
        </w:rPr>
        <w:t xml:space="preserve"> on </w:t>
      </w:r>
      <w:r>
        <w:rPr>
          <w:sz w:val="24"/>
          <w:szCs w:val="24"/>
        </w:rPr>
        <w:t>the 1 December 2017</w:t>
      </w:r>
      <w:r w:rsidR="002E248E">
        <w:rPr>
          <w:sz w:val="24"/>
          <w:szCs w:val="24"/>
        </w:rPr>
        <w:t>, as required by the Act</w:t>
      </w:r>
      <w:r w:rsidR="002E248E" w:rsidRPr="000A19C3">
        <w:rPr>
          <w:sz w:val="24"/>
          <w:szCs w:val="24"/>
        </w:rPr>
        <w:t>.</w:t>
      </w:r>
      <w:r w:rsidR="002E248E">
        <w:rPr>
          <w:sz w:val="24"/>
          <w:szCs w:val="24"/>
        </w:rPr>
        <w:t xml:space="preserve"> </w:t>
      </w:r>
      <w:r w:rsidR="002E248E" w:rsidRPr="00694CFF">
        <w:rPr>
          <w:sz w:val="24"/>
          <w:szCs w:val="24"/>
        </w:rPr>
        <w:t xml:space="preserve">Because the effect of the amendment to regulation 6 of the Nuclear Non-Proliferation (Safeguards) Regulations </w:t>
      </w:r>
      <w:r w:rsidR="00AE1D9A">
        <w:rPr>
          <w:sz w:val="24"/>
          <w:szCs w:val="24"/>
        </w:rPr>
        <w:br/>
      </w:r>
      <w:r w:rsidR="002E248E" w:rsidRPr="00694CFF">
        <w:rPr>
          <w:sz w:val="24"/>
          <w:szCs w:val="24"/>
        </w:rPr>
        <w:t>1987 is beneficial, subsection 12(2) of the Legislation Act 2003 will not prevent the ame</w:t>
      </w:r>
      <w:r w:rsidR="002E248E">
        <w:rPr>
          <w:sz w:val="24"/>
          <w:szCs w:val="24"/>
        </w:rPr>
        <w:t>ndment applying retrospectively if there is a delay in registering the instrument.</w:t>
      </w:r>
    </w:p>
    <w:p w14:paraId="2B530DEC" w14:textId="77777777" w:rsidR="00E44D76" w:rsidRDefault="00E44D76" w:rsidP="000A19C3">
      <w:pPr>
        <w:spacing w:after="120"/>
        <w:jc w:val="both"/>
        <w:rPr>
          <w:sz w:val="24"/>
          <w:szCs w:val="24"/>
        </w:rPr>
      </w:pPr>
    </w:p>
    <w:p w14:paraId="2B530DED" w14:textId="77777777" w:rsidR="00C07504" w:rsidRDefault="00C07504" w:rsidP="000A19C3">
      <w:pPr>
        <w:spacing w:after="120"/>
        <w:jc w:val="both"/>
        <w:rPr>
          <w:sz w:val="24"/>
          <w:szCs w:val="24"/>
        </w:rPr>
      </w:pPr>
    </w:p>
    <w:p w14:paraId="2B530DEE" w14:textId="77777777" w:rsidR="00C07504" w:rsidRDefault="00C07504" w:rsidP="000A19C3">
      <w:pPr>
        <w:spacing w:after="120"/>
        <w:jc w:val="both"/>
        <w:rPr>
          <w:sz w:val="24"/>
          <w:szCs w:val="24"/>
        </w:rPr>
      </w:pPr>
    </w:p>
    <w:p w14:paraId="2B530DEF" w14:textId="77777777" w:rsidR="00444EB2" w:rsidRDefault="00444EB2" w:rsidP="00444EB2">
      <w:pPr>
        <w:jc w:val="right"/>
        <w:rPr>
          <w:sz w:val="24"/>
        </w:rPr>
      </w:pPr>
    </w:p>
    <w:p w14:paraId="2B530DF0" w14:textId="77777777" w:rsidR="00D76BE1" w:rsidRDefault="009D3698" w:rsidP="00D76BE1">
      <w:pPr>
        <w:ind w:right="91"/>
        <w:jc w:val="right"/>
        <w:rPr>
          <w:sz w:val="24"/>
        </w:rPr>
      </w:pPr>
      <w:r>
        <w:rPr>
          <w:sz w:val="24"/>
        </w:rPr>
        <w:t xml:space="preserve"> </w:t>
      </w:r>
    </w:p>
    <w:p w14:paraId="2B530DF1" w14:textId="77777777" w:rsidR="00D76BE1" w:rsidRPr="00D76BE1" w:rsidRDefault="00D76BE1" w:rsidP="00D76BE1">
      <w:pPr>
        <w:rPr>
          <w:sz w:val="24"/>
        </w:rPr>
      </w:pPr>
      <w:r>
        <w:rPr>
          <w:sz w:val="24"/>
        </w:rPr>
        <w:br w:type="page"/>
      </w:r>
    </w:p>
    <w:p w14:paraId="2B530DF2" w14:textId="77777777" w:rsidR="00D76BE1" w:rsidRDefault="00D76BE1">
      <w:pPr>
        <w:rPr>
          <w:b/>
          <w:u w:val="single"/>
        </w:rPr>
      </w:pPr>
    </w:p>
    <w:p w14:paraId="2B530DF3" w14:textId="77777777" w:rsidR="00D76BE1" w:rsidRPr="009C7A63" w:rsidRDefault="00D76BE1" w:rsidP="00D76BE1">
      <w:pPr>
        <w:ind w:right="91"/>
        <w:jc w:val="right"/>
        <w:rPr>
          <w:u w:val="single"/>
        </w:rPr>
      </w:pPr>
      <w:r w:rsidRPr="009C7A63">
        <w:rPr>
          <w:b/>
          <w:u w:val="single"/>
        </w:rPr>
        <w:t>ATTACHMENT</w:t>
      </w:r>
    </w:p>
    <w:p w14:paraId="2B530DF4" w14:textId="77777777" w:rsidR="00D76BE1" w:rsidRDefault="00D76BE1" w:rsidP="00D76BE1">
      <w:pPr>
        <w:ind w:right="91"/>
        <w:jc w:val="right"/>
      </w:pPr>
    </w:p>
    <w:p w14:paraId="2B530DF5" w14:textId="77777777" w:rsidR="00D76BE1" w:rsidRPr="007D5E71" w:rsidRDefault="00D76BE1" w:rsidP="00D76BE1">
      <w:pPr>
        <w:ind w:right="91"/>
        <w:rPr>
          <w:sz w:val="24"/>
          <w:u w:val="single"/>
          <w:lang w:eastAsia="en-AU"/>
        </w:rPr>
      </w:pPr>
      <w:r w:rsidRPr="007D5E71">
        <w:rPr>
          <w:b/>
          <w:sz w:val="24"/>
          <w:u w:val="single"/>
          <w:lang w:eastAsia="en-AU"/>
        </w:rPr>
        <w:t xml:space="preserve">Details of the proposed </w:t>
      </w:r>
      <w:r w:rsidRPr="007D5E71">
        <w:rPr>
          <w:b/>
          <w:i/>
          <w:sz w:val="24"/>
          <w:u w:val="single"/>
          <w:lang w:eastAsia="en-AU"/>
        </w:rPr>
        <w:t>Nuclear Non-Proliferation (Safeguards) Amendment (2017 Measures No. 1) Regulations 2017</w:t>
      </w:r>
      <w:r w:rsidRPr="007D5E71">
        <w:rPr>
          <w:b/>
          <w:sz w:val="24"/>
          <w:u w:val="single"/>
          <w:lang w:eastAsia="en-AU"/>
        </w:rPr>
        <w:t xml:space="preserve"> </w:t>
      </w:r>
    </w:p>
    <w:p w14:paraId="2B530DF6" w14:textId="77777777" w:rsidR="00D76BE1" w:rsidRPr="007D5E71" w:rsidRDefault="00D76BE1" w:rsidP="00D76BE1">
      <w:pPr>
        <w:ind w:right="91"/>
        <w:rPr>
          <w:sz w:val="24"/>
          <w:lang w:eastAsia="en-AU"/>
        </w:rPr>
      </w:pPr>
    </w:p>
    <w:p w14:paraId="2B530DF7" w14:textId="77777777" w:rsidR="00D76BE1" w:rsidRPr="007D5E71" w:rsidRDefault="00D76BE1" w:rsidP="00D76BE1">
      <w:pPr>
        <w:ind w:right="91"/>
        <w:rPr>
          <w:sz w:val="24"/>
          <w:lang w:eastAsia="en-AU"/>
        </w:rPr>
      </w:pPr>
      <w:r w:rsidRPr="007D5E71">
        <w:rPr>
          <w:sz w:val="24"/>
          <w:u w:val="single"/>
          <w:lang w:eastAsia="en-AU"/>
        </w:rPr>
        <w:t>Section 1 - Name of Regulations</w:t>
      </w:r>
    </w:p>
    <w:p w14:paraId="2B530DF8" w14:textId="77777777" w:rsidR="00D76BE1" w:rsidRPr="007D5E71" w:rsidRDefault="00D76BE1" w:rsidP="00D76BE1">
      <w:pPr>
        <w:ind w:right="91"/>
        <w:rPr>
          <w:sz w:val="24"/>
          <w:lang w:eastAsia="en-AU"/>
        </w:rPr>
      </w:pPr>
    </w:p>
    <w:p w14:paraId="2B530DF9" w14:textId="77777777" w:rsidR="00D76BE1" w:rsidRDefault="00D76BE1" w:rsidP="00D76BE1">
      <w:pPr>
        <w:ind w:right="91"/>
        <w:rPr>
          <w:i/>
          <w:sz w:val="24"/>
          <w:lang w:eastAsia="en-AU"/>
        </w:rPr>
      </w:pPr>
      <w:r w:rsidRPr="007D5E71">
        <w:rPr>
          <w:i/>
          <w:sz w:val="24"/>
          <w:lang w:eastAsia="en-AU"/>
        </w:rPr>
        <w:t>This instrument is the Nuclear Non-Proliferation (Safeguards) Amendment (2017 Measures No. 1) Regulations 2017.</w:t>
      </w:r>
    </w:p>
    <w:p w14:paraId="2B530DFA" w14:textId="77777777" w:rsidR="00D76BE1" w:rsidRPr="007D5E71" w:rsidRDefault="00D76BE1" w:rsidP="00D76BE1">
      <w:pPr>
        <w:ind w:right="91"/>
        <w:rPr>
          <w:sz w:val="24"/>
          <w:lang w:eastAsia="en-AU"/>
        </w:rPr>
      </w:pPr>
    </w:p>
    <w:p w14:paraId="2B530DFB" w14:textId="77777777" w:rsidR="00D76BE1" w:rsidRPr="007D5E71" w:rsidRDefault="00D76BE1" w:rsidP="00D76BE1">
      <w:pPr>
        <w:ind w:right="91"/>
        <w:rPr>
          <w:sz w:val="24"/>
          <w:u w:val="single"/>
          <w:lang w:eastAsia="en-AU"/>
        </w:rPr>
      </w:pPr>
      <w:r w:rsidRPr="007D5E71">
        <w:rPr>
          <w:sz w:val="24"/>
          <w:u w:val="single"/>
          <w:lang w:eastAsia="en-AU"/>
        </w:rPr>
        <w:t>Section 2 - Commencement</w:t>
      </w:r>
    </w:p>
    <w:p w14:paraId="2B530DFC" w14:textId="77777777" w:rsidR="00D76BE1" w:rsidRPr="007D5E71" w:rsidRDefault="00D76BE1" w:rsidP="00D76BE1">
      <w:pPr>
        <w:ind w:right="91"/>
        <w:rPr>
          <w:sz w:val="24"/>
          <w:lang w:eastAsia="en-AU"/>
        </w:rPr>
      </w:pPr>
    </w:p>
    <w:p w14:paraId="2B530DFD" w14:textId="77777777" w:rsidR="00D76BE1" w:rsidRPr="000A64A6" w:rsidRDefault="00D76BE1" w:rsidP="00D76BE1">
      <w:pPr>
        <w:pStyle w:val="subsection"/>
        <w:numPr>
          <w:ilvl w:val="0"/>
          <w:numId w:val="27"/>
        </w:numPr>
      </w:pPr>
      <w:r w:rsidRPr="000A64A6">
        <w:tab/>
        <w:t xml:space="preserve">Each provision of this instrument specified in column 1 of the table commences, or </w:t>
      </w:r>
      <w:proofErr w:type="gramStart"/>
      <w:r w:rsidRPr="000A64A6">
        <w:t>is taken</w:t>
      </w:r>
      <w:proofErr w:type="gramEnd"/>
      <w:r w:rsidRPr="000A64A6">
        <w:t xml:space="preserve"> to have commenced, in accordance with column 2 of the table. Any other statement in column 2 has effect according to its terms.</w:t>
      </w:r>
    </w:p>
    <w:p w14:paraId="2B530DFE" w14:textId="77777777" w:rsidR="00D76BE1" w:rsidRPr="000A64A6" w:rsidRDefault="00D76BE1" w:rsidP="00D76BE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76BE1" w:rsidRPr="00A05E4C" w14:paraId="2B530E00" w14:textId="77777777" w:rsidTr="00163058">
        <w:trPr>
          <w:tblHeader/>
        </w:trPr>
        <w:tc>
          <w:tcPr>
            <w:tcW w:w="8364" w:type="dxa"/>
            <w:gridSpan w:val="3"/>
            <w:tcBorders>
              <w:top w:val="single" w:sz="12" w:space="0" w:color="auto"/>
              <w:bottom w:val="single" w:sz="6" w:space="0" w:color="auto"/>
            </w:tcBorders>
            <w:shd w:val="clear" w:color="auto" w:fill="auto"/>
            <w:hideMark/>
          </w:tcPr>
          <w:p w14:paraId="2B530DFF" w14:textId="77777777" w:rsidR="00D76BE1" w:rsidRPr="000A64A6" w:rsidRDefault="00D76BE1" w:rsidP="00163058">
            <w:pPr>
              <w:pStyle w:val="TableHeading"/>
            </w:pPr>
            <w:r w:rsidRPr="000A64A6">
              <w:t>Commencement information</w:t>
            </w:r>
          </w:p>
        </w:tc>
      </w:tr>
      <w:tr w:rsidR="00D76BE1" w:rsidRPr="00A05E4C" w14:paraId="2B530E04" w14:textId="77777777" w:rsidTr="00163058">
        <w:trPr>
          <w:tblHeader/>
        </w:trPr>
        <w:tc>
          <w:tcPr>
            <w:tcW w:w="2127" w:type="dxa"/>
            <w:tcBorders>
              <w:top w:val="single" w:sz="6" w:space="0" w:color="auto"/>
              <w:bottom w:val="single" w:sz="6" w:space="0" w:color="auto"/>
            </w:tcBorders>
            <w:shd w:val="clear" w:color="auto" w:fill="auto"/>
            <w:hideMark/>
          </w:tcPr>
          <w:p w14:paraId="2B530E01" w14:textId="77777777" w:rsidR="00D76BE1" w:rsidRPr="000A64A6" w:rsidRDefault="00D76BE1" w:rsidP="00163058">
            <w:pPr>
              <w:pStyle w:val="TableHeading"/>
            </w:pPr>
            <w:r w:rsidRPr="000A64A6">
              <w:t>Column 1</w:t>
            </w:r>
          </w:p>
        </w:tc>
        <w:tc>
          <w:tcPr>
            <w:tcW w:w="4394" w:type="dxa"/>
            <w:tcBorders>
              <w:top w:val="single" w:sz="6" w:space="0" w:color="auto"/>
              <w:bottom w:val="single" w:sz="6" w:space="0" w:color="auto"/>
            </w:tcBorders>
            <w:shd w:val="clear" w:color="auto" w:fill="auto"/>
            <w:hideMark/>
          </w:tcPr>
          <w:p w14:paraId="2B530E02" w14:textId="77777777" w:rsidR="00D76BE1" w:rsidRPr="000A64A6" w:rsidRDefault="00D76BE1" w:rsidP="00163058">
            <w:pPr>
              <w:pStyle w:val="TableHeading"/>
            </w:pPr>
            <w:r w:rsidRPr="000A64A6">
              <w:t>Column 2</w:t>
            </w:r>
          </w:p>
        </w:tc>
        <w:tc>
          <w:tcPr>
            <w:tcW w:w="1843" w:type="dxa"/>
            <w:tcBorders>
              <w:top w:val="single" w:sz="6" w:space="0" w:color="auto"/>
              <w:bottom w:val="single" w:sz="6" w:space="0" w:color="auto"/>
            </w:tcBorders>
            <w:shd w:val="clear" w:color="auto" w:fill="auto"/>
            <w:hideMark/>
          </w:tcPr>
          <w:p w14:paraId="2B530E03" w14:textId="77777777" w:rsidR="00D76BE1" w:rsidRPr="000A64A6" w:rsidRDefault="00D76BE1" w:rsidP="00163058">
            <w:pPr>
              <w:pStyle w:val="TableHeading"/>
            </w:pPr>
            <w:r w:rsidRPr="000A64A6">
              <w:t>Column 3</w:t>
            </w:r>
          </w:p>
        </w:tc>
      </w:tr>
      <w:tr w:rsidR="00D76BE1" w:rsidRPr="00A05E4C" w14:paraId="2B530E08" w14:textId="77777777" w:rsidTr="00163058">
        <w:trPr>
          <w:tblHeader/>
        </w:trPr>
        <w:tc>
          <w:tcPr>
            <w:tcW w:w="2127" w:type="dxa"/>
            <w:tcBorders>
              <w:top w:val="single" w:sz="6" w:space="0" w:color="auto"/>
              <w:bottom w:val="single" w:sz="12" w:space="0" w:color="auto"/>
            </w:tcBorders>
            <w:shd w:val="clear" w:color="auto" w:fill="auto"/>
            <w:hideMark/>
          </w:tcPr>
          <w:p w14:paraId="2B530E05" w14:textId="77777777" w:rsidR="00D76BE1" w:rsidRPr="000A64A6" w:rsidRDefault="00D76BE1" w:rsidP="00163058">
            <w:pPr>
              <w:pStyle w:val="TableHeading"/>
            </w:pPr>
            <w:r w:rsidRPr="000A64A6">
              <w:t>Provisions</w:t>
            </w:r>
          </w:p>
        </w:tc>
        <w:tc>
          <w:tcPr>
            <w:tcW w:w="4394" w:type="dxa"/>
            <w:tcBorders>
              <w:top w:val="single" w:sz="6" w:space="0" w:color="auto"/>
              <w:bottom w:val="single" w:sz="12" w:space="0" w:color="auto"/>
            </w:tcBorders>
            <w:shd w:val="clear" w:color="auto" w:fill="auto"/>
            <w:hideMark/>
          </w:tcPr>
          <w:p w14:paraId="2B530E06" w14:textId="77777777" w:rsidR="00D76BE1" w:rsidRPr="000A64A6" w:rsidRDefault="00D76BE1" w:rsidP="00163058">
            <w:pPr>
              <w:pStyle w:val="TableHeading"/>
            </w:pPr>
            <w:r w:rsidRPr="000A64A6">
              <w:t>Commencement</w:t>
            </w:r>
          </w:p>
        </w:tc>
        <w:tc>
          <w:tcPr>
            <w:tcW w:w="1843" w:type="dxa"/>
            <w:tcBorders>
              <w:top w:val="single" w:sz="6" w:space="0" w:color="auto"/>
              <w:bottom w:val="single" w:sz="12" w:space="0" w:color="auto"/>
            </w:tcBorders>
            <w:shd w:val="clear" w:color="auto" w:fill="auto"/>
            <w:hideMark/>
          </w:tcPr>
          <w:p w14:paraId="2B530E07" w14:textId="77777777" w:rsidR="00D76BE1" w:rsidRPr="000A64A6" w:rsidRDefault="00D76BE1" w:rsidP="00163058">
            <w:pPr>
              <w:pStyle w:val="TableHeading"/>
            </w:pPr>
            <w:r w:rsidRPr="000A64A6">
              <w:t>Date/Details</w:t>
            </w:r>
          </w:p>
        </w:tc>
      </w:tr>
      <w:tr w:rsidR="00D76BE1" w:rsidRPr="00A05E4C" w14:paraId="2B530E0C" w14:textId="77777777" w:rsidTr="00163058">
        <w:tc>
          <w:tcPr>
            <w:tcW w:w="2127" w:type="dxa"/>
            <w:tcBorders>
              <w:top w:val="single" w:sz="12" w:space="0" w:color="auto"/>
              <w:bottom w:val="single" w:sz="12" w:space="0" w:color="auto"/>
            </w:tcBorders>
            <w:shd w:val="clear" w:color="auto" w:fill="auto"/>
            <w:hideMark/>
          </w:tcPr>
          <w:p w14:paraId="2B530E09" w14:textId="77777777" w:rsidR="00D76BE1" w:rsidRPr="000A64A6" w:rsidRDefault="00D76BE1" w:rsidP="00163058">
            <w:pPr>
              <w:pStyle w:val="Tabletext"/>
            </w:pPr>
            <w:r w:rsidRPr="000A64A6">
              <w:t xml:space="preserve">1.  </w:t>
            </w:r>
            <w:bookmarkStart w:id="1" w:name="BkAutotext"/>
            <w:bookmarkEnd w:id="1"/>
            <w:r w:rsidRPr="000A64A6">
              <w:t>The whole of this instrument</w:t>
            </w:r>
          </w:p>
        </w:tc>
        <w:tc>
          <w:tcPr>
            <w:tcW w:w="4394" w:type="dxa"/>
            <w:tcBorders>
              <w:top w:val="single" w:sz="12" w:space="0" w:color="auto"/>
              <w:bottom w:val="single" w:sz="12" w:space="0" w:color="auto"/>
            </w:tcBorders>
            <w:shd w:val="clear" w:color="auto" w:fill="auto"/>
            <w:hideMark/>
          </w:tcPr>
          <w:p w14:paraId="2B530E0A" w14:textId="77777777" w:rsidR="00D76BE1" w:rsidRPr="000A64A6" w:rsidRDefault="00D76BE1" w:rsidP="00163058">
            <w:pPr>
              <w:pStyle w:val="Tabletext"/>
            </w:pPr>
            <w:r>
              <w:t>1 December 2017</w:t>
            </w:r>
            <w:r w:rsidRPr="000A64A6">
              <w:t>.</w:t>
            </w:r>
          </w:p>
        </w:tc>
        <w:tc>
          <w:tcPr>
            <w:tcW w:w="1843" w:type="dxa"/>
            <w:tcBorders>
              <w:top w:val="single" w:sz="12" w:space="0" w:color="auto"/>
              <w:bottom w:val="single" w:sz="12" w:space="0" w:color="auto"/>
            </w:tcBorders>
            <w:shd w:val="clear" w:color="auto" w:fill="auto"/>
          </w:tcPr>
          <w:p w14:paraId="2B530E0B" w14:textId="77777777" w:rsidR="00D76BE1" w:rsidRPr="000A64A6" w:rsidRDefault="00D76BE1" w:rsidP="00163058">
            <w:pPr>
              <w:pStyle w:val="Tabletext"/>
            </w:pPr>
            <w:r>
              <w:t>1 December 2017</w:t>
            </w:r>
          </w:p>
        </w:tc>
      </w:tr>
    </w:tbl>
    <w:p w14:paraId="2B530E0D" w14:textId="77777777" w:rsidR="00D76BE1" w:rsidRPr="000A64A6" w:rsidRDefault="00D76BE1" w:rsidP="00D76BE1">
      <w:pPr>
        <w:pStyle w:val="notetext"/>
      </w:pPr>
      <w:r w:rsidRPr="000A64A6">
        <w:rPr>
          <w:snapToGrid w:val="0"/>
          <w:lang w:eastAsia="en-US"/>
        </w:rPr>
        <w:t>Note:</w:t>
      </w:r>
      <w:r w:rsidRPr="000A64A6">
        <w:rPr>
          <w:snapToGrid w:val="0"/>
          <w:lang w:eastAsia="en-US"/>
        </w:rPr>
        <w:tab/>
        <w:t>This table relates only to the provisions of this instrument</w:t>
      </w:r>
      <w:r w:rsidRPr="000A64A6">
        <w:t xml:space="preserve"> </w:t>
      </w:r>
      <w:r w:rsidRPr="000A64A6">
        <w:rPr>
          <w:snapToGrid w:val="0"/>
          <w:lang w:eastAsia="en-US"/>
        </w:rPr>
        <w:t xml:space="preserve">as originally made. It </w:t>
      </w:r>
      <w:proofErr w:type="gramStart"/>
      <w:r w:rsidRPr="000A64A6">
        <w:rPr>
          <w:snapToGrid w:val="0"/>
          <w:lang w:eastAsia="en-US"/>
        </w:rPr>
        <w:t>will not be amended</w:t>
      </w:r>
      <w:proofErr w:type="gramEnd"/>
      <w:r w:rsidRPr="000A64A6">
        <w:rPr>
          <w:snapToGrid w:val="0"/>
          <w:lang w:eastAsia="en-US"/>
        </w:rPr>
        <w:t xml:space="preserve"> to deal with any later amendments of this instrument.</w:t>
      </w:r>
    </w:p>
    <w:p w14:paraId="2B530E0E" w14:textId="77777777" w:rsidR="00D76BE1" w:rsidRPr="000A64A6" w:rsidRDefault="00D76BE1" w:rsidP="00D76BE1">
      <w:pPr>
        <w:pStyle w:val="subsection"/>
      </w:pPr>
      <w:r w:rsidRPr="000A64A6">
        <w:tab/>
        <w:t>(2)</w:t>
      </w:r>
      <w:r w:rsidRPr="000A64A6">
        <w:tab/>
        <w:t xml:space="preserve">Any information in column 3 of the table is not part of this instrument. Information </w:t>
      </w:r>
      <w:proofErr w:type="gramStart"/>
      <w:r w:rsidRPr="000A64A6">
        <w:t>may be inserted</w:t>
      </w:r>
      <w:proofErr w:type="gramEnd"/>
      <w:r w:rsidRPr="000A64A6">
        <w:t xml:space="preserve"> in this column, or information in it may be edited, in any published version of this instrument.</w:t>
      </w:r>
    </w:p>
    <w:p w14:paraId="2B530E0F" w14:textId="77777777" w:rsidR="00D76BE1" w:rsidRPr="007D5E71" w:rsidRDefault="00D76BE1" w:rsidP="00D76BE1">
      <w:pPr>
        <w:ind w:right="91"/>
        <w:rPr>
          <w:sz w:val="24"/>
          <w:lang w:eastAsia="en-AU"/>
        </w:rPr>
      </w:pPr>
    </w:p>
    <w:p w14:paraId="2B530E10" w14:textId="77777777" w:rsidR="00D76BE1" w:rsidRPr="007D5E71" w:rsidRDefault="00D76BE1" w:rsidP="00D76BE1">
      <w:pPr>
        <w:ind w:right="91"/>
        <w:rPr>
          <w:sz w:val="24"/>
          <w:lang w:eastAsia="en-AU"/>
        </w:rPr>
      </w:pPr>
      <w:r w:rsidRPr="007D5E71">
        <w:rPr>
          <w:sz w:val="24"/>
          <w:u w:val="single"/>
          <w:lang w:eastAsia="en-AU"/>
        </w:rPr>
        <w:t>Section 3 - Authority</w:t>
      </w:r>
    </w:p>
    <w:p w14:paraId="2B530E11" w14:textId="77777777" w:rsidR="00D76BE1" w:rsidRPr="007D5E71" w:rsidRDefault="00D76BE1" w:rsidP="00D76BE1">
      <w:pPr>
        <w:ind w:right="91"/>
        <w:rPr>
          <w:sz w:val="24"/>
          <w:lang w:eastAsia="en-AU"/>
        </w:rPr>
      </w:pPr>
    </w:p>
    <w:p w14:paraId="2B530E12" w14:textId="77777777" w:rsidR="00D76BE1" w:rsidRPr="001427CD" w:rsidRDefault="00D76BE1" w:rsidP="00D76BE1">
      <w:pPr>
        <w:ind w:right="91"/>
        <w:rPr>
          <w:i/>
          <w:sz w:val="24"/>
          <w:lang w:eastAsia="en-AU"/>
        </w:rPr>
      </w:pPr>
      <w:r w:rsidRPr="001427CD">
        <w:rPr>
          <w:sz w:val="24"/>
          <w:lang w:eastAsia="en-AU"/>
        </w:rPr>
        <w:t xml:space="preserve">This instrument </w:t>
      </w:r>
      <w:proofErr w:type="gramStart"/>
      <w:r w:rsidRPr="001427CD">
        <w:rPr>
          <w:sz w:val="24"/>
          <w:lang w:eastAsia="en-AU"/>
        </w:rPr>
        <w:t>is made</w:t>
      </w:r>
      <w:proofErr w:type="gramEnd"/>
      <w:r w:rsidRPr="001427CD">
        <w:rPr>
          <w:sz w:val="24"/>
          <w:lang w:eastAsia="en-AU"/>
        </w:rPr>
        <w:t xml:space="preserve"> under the </w:t>
      </w:r>
      <w:r w:rsidRPr="001427CD">
        <w:rPr>
          <w:i/>
          <w:sz w:val="24"/>
          <w:lang w:eastAsia="en-AU"/>
        </w:rPr>
        <w:t>Nuclear Non Proliferation (Safeguards) Act 1987.</w:t>
      </w:r>
    </w:p>
    <w:p w14:paraId="2B530E13" w14:textId="77777777" w:rsidR="00D76BE1" w:rsidRPr="007D5E71" w:rsidRDefault="00D76BE1" w:rsidP="00D76BE1">
      <w:pPr>
        <w:ind w:right="91"/>
        <w:rPr>
          <w:sz w:val="24"/>
          <w:lang w:eastAsia="en-AU"/>
        </w:rPr>
      </w:pPr>
    </w:p>
    <w:p w14:paraId="2B530E14" w14:textId="77777777" w:rsidR="00D76BE1" w:rsidRPr="007D5E71" w:rsidRDefault="00D76BE1" w:rsidP="00D76BE1">
      <w:pPr>
        <w:keepNext/>
        <w:ind w:right="748"/>
        <w:rPr>
          <w:sz w:val="24"/>
          <w:u w:val="single"/>
          <w:lang w:eastAsia="en-AU"/>
        </w:rPr>
      </w:pPr>
      <w:r w:rsidRPr="007D5E71">
        <w:rPr>
          <w:sz w:val="24"/>
          <w:u w:val="single"/>
          <w:lang w:eastAsia="en-AU"/>
        </w:rPr>
        <w:t>Section 4 - Schedule(s)</w:t>
      </w:r>
    </w:p>
    <w:p w14:paraId="2B530E15" w14:textId="77777777" w:rsidR="00D76BE1" w:rsidRPr="007D5E71" w:rsidRDefault="00D76BE1" w:rsidP="00D76BE1">
      <w:pPr>
        <w:keepNext/>
        <w:ind w:right="748"/>
        <w:rPr>
          <w:sz w:val="24"/>
          <w:lang w:eastAsia="en-AU"/>
        </w:rPr>
      </w:pPr>
    </w:p>
    <w:p w14:paraId="2B530E16" w14:textId="77777777" w:rsidR="00D76BE1" w:rsidRPr="007D5E71" w:rsidRDefault="00D76BE1" w:rsidP="00D76BE1">
      <w:pPr>
        <w:keepNext/>
        <w:ind w:right="748"/>
        <w:rPr>
          <w:sz w:val="24"/>
          <w:lang w:eastAsia="en-AU"/>
        </w:rPr>
      </w:pPr>
      <w:r w:rsidRPr="001427CD">
        <w:rPr>
          <w:sz w:val="24"/>
          <w:lang w:eastAsia="en-AU"/>
        </w:rPr>
        <w:t xml:space="preserve">Each instrument that </w:t>
      </w:r>
      <w:proofErr w:type="gramStart"/>
      <w:r w:rsidRPr="001427CD">
        <w:rPr>
          <w:sz w:val="24"/>
          <w:lang w:eastAsia="en-AU"/>
        </w:rPr>
        <w:t>is specified</w:t>
      </w:r>
      <w:proofErr w:type="gramEnd"/>
      <w:r w:rsidRPr="001427CD">
        <w:rPr>
          <w:sz w:val="24"/>
          <w:lang w:eastAsia="en-AU"/>
        </w:rPr>
        <w:t xml:space="preserve"> in a Schedule to this instrument is amended or repealed as set out in the applicable items in the Schedule concerned, and any other item in a Schedule to this instrument has effect according to its terms.</w:t>
      </w:r>
    </w:p>
    <w:p w14:paraId="2B530E17" w14:textId="77777777" w:rsidR="00D76BE1" w:rsidRPr="007D5E71" w:rsidRDefault="00D76BE1" w:rsidP="00D76BE1">
      <w:pPr>
        <w:ind w:right="91"/>
        <w:rPr>
          <w:sz w:val="24"/>
          <w:u w:val="single"/>
          <w:lang w:eastAsia="en-AU"/>
        </w:rPr>
      </w:pPr>
    </w:p>
    <w:p w14:paraId="2B530E18" w14:textId="77777777" w:rsidR="00D76BE1" w:rsidRPr="007D5E71" w:rsidRDefault="00D76BE1" w:rsidP="00D76BE1">
      <w:pPr>
        <w:ind w:right="91"/>
        <w:rPr>
          <w:sz w:val="24"/>
          <w:lang w:eastAsia="en-AU"/>
        </w:rPr>
      </w:pPr>
      <w:r w:rsidRPr="007D5E71">
        <w:rPr>
          <w:sz w:val="24"/>
          <w:u w:val="single"/>
          <w:lang w:eastAsia="en-AU"/>
        </w:rPr>
        <w:t>Schedule 1 - Amendments</w:t>
      </w:r>
    </w:p>
    <w:p w14:paraId="2B530E19" w14:textId="77777777" w:rsidR="00D76BE1" w:rsidRPr="000A64A6" w:rsidRDefault="00D76BE1" w:rsidP="00D76BE1">
      <w:pPr>
        <w:pStyle w:val="ActHead9"/>
      </w:pPr>
      <w:bookmarkStart w:id="2" w:name="_Toc497376025"/>
      <w:r w:rsidRPr="000A64A6">
        <w:t>Nuclear Non</w:t>
      </w:r>
      <w:r>
        <w:noBreakHyphen/>
      </w:r>
      <w:r w:rsidRPr="000A64A6">
        <w:t>Proliferation (Safeguards) Regulations 1987</w:t>
      </w:r>
      <w:bookmarkEnd w:id="2"/>
    </w:p>
    <w:p w14:paraId="2B530E1A" w14:textId="77777777" w:rsidR="00D76BE1" w:rsidRPr="000A64A6" w:rsidRDefault="00D76BE1" w:rsidP="00D76BE1">
      <w:pPr>
        <w:pStyle w:val="ItemHead"/>
      </w:pPr>
      <w:proofErr w:type="gramStart"/>
      <w:r w:rsidRPr="000A64A6">
        <w:t>1  Paragraph</w:t>
      </w:r>
      <w:proofErr w:type="gramEnd"/>
      <w:r w:rsidRPr="000A64A6">
        <w:t xml:space="preserve"> 6(a)</w:t>
      </w:r>
    </w:p>
    <w:p w14:paraId="2B530E1B" w14:textId="77777777" w:rsidR="00D76BE1" w:rsidRPr="000A64A6" w:rsidRDefault="00D76BE1" w:rsidP="00D76BE1">
      <w:pPr>
        <w:pStyle w:val="Item"/>
      </w:pPr>
      <w:r w:rsidRPr="000A64A6">
        <w:t>Omit “14.1775”, substitute “13.1813”.</w:t>
      </w:r>
    </w:p>
    <w:p w14:paraId="2B530E1C" w14:textId="77777777" w:rsidR="00D76BE1" w:rsidRPr="000A64A6" w:rsidRDefault="00D76BE1" w:rsidP="00D76BE1">
      <w:pPr>
        <w:pStyle w:val="ItemHead"/>
      </w:pPr>
      <w:proofErr w:type="gramStart"/>
      <w:r w:rsidRPr="000A64A6">
        <w:t>2  Regulation</w:t>
      </w:r>
      <w:proofErr w:type="gramEnd"/>
      <w:r w:rsidRPr="000A64A6">
        <w:t> 7</w:t>
      </w:r>
    </w:p>
    <w:p w14:paraId="2B530E1D" w14:textId="77777777" w:rsidR="00D76BE1" w:rsidRPr="000A64A6" w:rsidRDefault="00D76BE1" w:rsidP="00D76BE1">
      <w:pPr>
        <w:pStyle w:val="Item"/>
      </w:pPr>
      <w:r w:rsidRPr="000A64A6">
        <w:t>Repeal the regulation, substitute:</w:t>
      </w:r>
    </w:p>
    <w:p w14:paraId="2B530E1E" w14:textId="77777777" w:rsidR="00D76BE1" w:rsidRPr="000A64A6" w:rsidRDefault="00D76BE1" w:rsidP="00D76BE1">
      <w:pPr>
        <w:pStyle w:val="ActHead5"/>
      </w:pPr>
      <w:bookmarkStart w:id="3" w:name="_Toc497376026"/>
      <w:proofErr w:type="gramStart"/>
      <w:r w:rsidRPr="000A64A6">
        <w:rPr>
          <w:rStyle w:val="CharSectno"/>
        </w:rPr>
        <w:lastRenderedPageBreak/>
        <w:t>7</w:t>
      </w:r>
      <w:r w:rsidRPr="000A64A6">
        <w:t xml:space="preserve">  Application</w:t>
      </w:r>
      <w:proofErr w:type="gramEnd"/>
      <w:r w:rsidRPr="000A64A6">
        <w:t xml:space="preserve"> of the </w:t>
      </w:r>
      <w:r w:rsidRPr="000A64A6">
        <w:rPr>
          <w:i/>
        </w:rPr>
        <w:t>Nuclear Non</w:t>
      </w:r>
      <w:r>
        <w:rPr>
          <w:i/>
        </w:rPr>
        <w:noBreakHyphen/>
      </w:r>
      <w:r w:rsidRPr="000A64A6">
        <w:rPr>
          <w:i/>
        </w:rPr>
        <w:t>Proliferation (Safeguards) Amendment (2017 Measures No. 1) Regulations 2017</w:t>
      </w:r>
      <w:bookmarkEnd w:id="3"/>
    </w:p>
    <w:p w14:paraId="2B530E1F" w14:textId="77777777" w:rsidR="00D76BE1" w:rsidRPr="000A64A6" w:rsidRDefault="00D76BE1" w:rsidP="00D76BE1">
      <w:pPr>
        <w:pStyle w:val="subsection"/>
      </w:pPr>
      <w:r w:rsidRPr="000A64A6">
        <w:tab/>
      </w:r>
      <w:r w:rsidRPr="000A64A6">
        <w:tab/>
        <w:t xml:space="preserve">The amendment </w:t>
      </w:r>
      <w:r>
        <w:t>of</w:t>
      </w:r>
      <w:r w:rsidRPr="000A64A6">
        <w:t xml:space="preserve"> paragraph 6(a) made by the </w:t>
      </w:r>
      <w:r w:rsidRPr="000A64A6">
        <w:rPr>
          <w:i/>
        </w:rPr>
        <w:t>Nuclear Non</w:t>
      </w:r>
      <w:r>
        <w:rPr>
          <w:i/>
        </w:rPr>
        <w:noBreakHyphen/>
      </w:r>
      <w:r w:rsidRPr="000A64A6">
        <w:rPr>
          <w:i/>
        </w:rPr>
        <w:t>Proliferation (Safeguards) Amendment (2017 Measures No. 1) Regulations 2017</w:t>
      </w:r>
      <w:r w:rsidRPr="000A64A6">
        <w:t xml:space="preserve"> applies in relation to charge payable on 1 December in the 2017</w:t>
      </w:r>
      <w:r>
        <w:noBreakHyphen/>
      </w:r>
      <w:r w:rsidRPr="000A64A6">
        <w:t>18 financial year and later financial years.</w:t>
      </w:r>
    </w:p>
    <w:p w14:paraId="2B530E20" w14:textId="77777777" w:rsidR="00D76BE1" w:rsidRPr="000A64A6" w:rsidRDefault="00D76BE1" w:rsidP="00D76BE1">
      <w:pPr>
        <w:pStyle w:val="ItemHead"/>
      </w:pPr>
      <w:proofErr w:type="gramStart"/>
      <w:r w:rsidRPr="000A64A6">
        <w:t>3  Schedule</w:t>
      </w:r>
      <w:proofErr w:type="gramEnd"/>
      <w:r w:rsidRPr="000A64A6">
        <w:t> 1 (at the end of the table)</w:t>
      </w:r>
    </w:p>
    <w:p w14:paraId="2B530E21" w14:textId="77777777" w:rsidR="00D76BE1" w:rsidRPr="000A64A6" w:rsidRDefault="00D76BE1" w:rsidP="00D76BE1">
      <w:pPr>
        <w:pStyle w:val="Item"/>
      </w:pPr>
      <w:r w:rsidRPr="000A64A6">
        <w:t>Add:</w:t>
      </w:r>
    </w:p>
    <w:p w14:paraId="2B530E22" w14:textId="77777777" w:rsidR="00D76BE1" w:rsidRPr="000A64A6" w:rsidRDefault="00D76BE1" w:rsidP="00D76BE1">
      <w:pPr>
        <w:pStyle w:val="Tabletext"/>
      </w:pPr>
    </w:p>
    <w:tbl>
      <w:tblPr>
        <w:tblW w:w="0" w:type="auto"/>
        <w:tblInd w:w="142" w:type="dxa"/>
        <w:tblBorders>
          <w:top w:val="single" w:sz="4" w:space="0" w:color="auto"/>
          <w:insideH w:val="single" w:sz="4" w:space="0" w:color="auto"/>
        </w:tblBorders>
        <w:tblLayout w:type="fixed"/>
        <w:tblCellMar>
          <w:left w:w="107" w:type="dxa"/>
          <w:right w:w="107" w:type="dxa"/>
        </w:tblCellMar>
        <w:tblLook w:val="0000" w:firstRow="0" w:lastRow="0" w:firstColumn="0" w:lastColumn="0" w:noHBand="0" w:noVBand="0"/>
      </w:tblPr>
      <w:tblGrid>
        <w:gridCol w:w="1099"/>
        <w:gridCol w:w="3969"/>
        <w:gridCol w:w="2084"/>
      </w:tblGrid>
      <w:tr w:rsidR="00D76BE1" w:rsidRPr="00A05E4C" w14:paraId="2B530E26" w14:textId="77777777" w:rsidTr="00163058">
        <w:tc>
          <w:tcPr>
            <w:tcW w:w="1099" w:type="dxa"/>
            <w:tcBorders>
              <w:top w:val="nil"/>
              <w:bottom w:val="single" w:sz="4" w:space="0" w:color="auto"/>
            </w:tcBorders>
            <w:shd w:val="clear" w:color="auto" w:fill="auto"/>
          </w:tcPr>
          <w:p w14:paraId="2B530E23" w14:textId="77777777" w:rsidR="00D76BE1" w:rsidRPr="000A64A6" w:rsidRDefault="00D76BE1" w:rsidP="00163058">
            <w:pPr>
              <w:pStyle w:val="Tabletext"/>
            </w:pPr>
            <w:r w:rsidRPr="000A64A6">
              <w:t>25</w:t>
            </w:r>
          </w:p>
        </w:tc>
        <w:tc>
          <w:tcPr>
            <w:tcW w:w="3969" w:type="dxa"/>
            <w:tcBorders>
              <w:top w:val="nil"/>
              <w:bottom w:val="single" w:sz="4" w:space="0" w:color="auto"/>
            </w:tcBorders>
            <w:shd w:val="clear" w:color="auto" w:fill="auto"/>
          </w:tcPr>
          <w:p w14:paraId="2B530E24" w14:textId="77777777" w:rsidR="00D76BE1" w:rsidRPr="000A64A6" w:rsidRDefault="00D76BE1" w:rsidP="00163058">
            <w:pPr>
              <w:pStyle w:val="Tabletext"/>
            </w:pPr>
            <w:r w:rsidRPr="000A64A6">
              <w:t>Agreement between the Government of Australia and the Government of the United Arab Emirates on Cooperation in the Peaceful Uses of Nuclear Energy</w:t>
            </w:r>
          </w:p>
        </w:tc>
        <w:tc>
          <w:tcPr>
            <w:tcW w:w="2084" w:type="dxa"/>
            <w:tcBorders>
              <w:top w:val="nil"/>
              <w:bottom w:val="single" w:sz="4" w:space="0" w:color="auto"/>
            </w:tcBorders>
            <w:shd w:val="clear" w:color="auto" w:fill="auto"/>
          </w:tcPr>
          <w:p w14:paraId="2B530E25" w14:textId="77777777" w:rsidR="00D76BE1" w:rsidRPr="000A64A6" w:rsidRDefault="00D76BE1" w:rsidP="00163058">
            <w:pPr>
              <w:pStyle w:val="Tabletext"/>
            </w:pPr>
            <w:r w:rsidRPr="000A64A6">
              <w:t>31 July 2012</w:t>
            </w:r>
          </w:p>
        </w:tc>
      </w:tr>
      <w:tr w:rsidR="00D76BE1" w:rsidRPr="00A05E4C" w14:paraId="2B530E2A" w14:textId="77777777" w:rsidTr="00163058">
        <w:tc>
          <w:tcPr>
            <w:tcW w:w="1099" w:type="dxa"/>
            <w:tcBorders>
              <w:top w:val="single" w:sz="4" w:space="0" w:color="auto"/>
            </w:tcBorders>
            <w:shd w:val="clear" w:color="auto" w:fill="auto"/>
          </w:tcPr>
          <w:p w14:paraId="2B530E27" w14:textId="77777777" w:rsidR="00D76BE1" w:rsidRPr="000A64A6" w:rsidRDefault="00D76BE1" w:rsidP="00163058">
            <w:pPr>
              <w:pStyle w:val="Tabletext"/>
            </w:pPr>
            <w:r w:rsidRPr="000A64A6">
              <w:t>26</w:t>
            </w:r>
          </w:p>
        </w:tc>
        <w:tc>
          <w:tcPr>
            <w:tcW w:w="3969" w:type="dxa"/>
            <w:tcBorders>
              <w:top w:val="single" w:sz="4" w:space="0" w:color="auto"/>
            </w:tcBorders>
            <w:shd w:val="clear" w:color="auto" w:fill="auto"/>
          </w:tcPr>
          <w:p w14:paraId="2B530E28" w14:textId="77777777" w:rsidR="00D76BE1" w:rsidRPr="000A64A6" w:rsidRDefault="00D76BE1" w:rsidP="00163058">
            <w:pPr>
              <w:pStyle w:val="Tabletext"/>
            </w:pPr>
            <w:r w:rsidRPr="000A64A6">
              <w:t>Agreement between the Government of Australia and the Government of India on Cooperation in the Peaceful Uses of Nuclear Energy</w:t>
            </w:r>
          </w:p>
        </w:tc>
        <w:tc>
          <w:tcPr>
            <w:tcW w:w="2084" w:type="dxa"/>
            <w:tcBorders>
              <w:top w:val="single" w:sz="4" w:space="0" w:color="auto"/>
            </w:tcBorders>
            <w:shd w:val="clear" w:color="auto" w:fill="auto"/>
          </w:tcPr>
          <w:p w14:paraId="2B530E29" w14:textId="77777777" w:rsidR="00D76BE1" w:rsidRPr="000A64A6" w:rsidRDefault="00D76BE1" w:rsidP="00163058">
            <w:pPr>
              <w:pStyle w:val="Tabletext"/>
            </w:pPr>
            <w:r w:rsidRPr="000A64A6">
              <w:t>5 September 2014</w:t>
            </w:r>
          </w:p>
        </w:tc>
      </w:tr>
      <w:tr w:rsidR="00D76BE1" w:rsidRPr="00A05E4C" w14:paraId="2B530E2E" w14:textId="77777777" w:rsidTr="00163058">
        <w:trPr>
          <w:cantSplit/>
        </w:trPr>
        <w:tc>
          <w:tcPr>
            <w:tcW w:w="1099" w:type="dxa"/>
            <w:shd w:val="clear" w:color="auto" w:fill="auto"/>
          </w:tcPr>
          <w:p w14:paraId="2B530E2B" w14:textId="77777777" w:rsidR="00D76BE1" w:rsidRPr="000A64A6" w:rsidRDefault="00D76BE1" w:rsidP="00163058">
            <w:pPr>
              <w:pStyle w:val="Tabletext"/>
            </w:pPr>
            <w:r w:rsidRPr="000A64A6">
              <w:t>27</w:t>
            </w:r>
          </w:p>
        </w:tc>
        <w:tc>
          <w:tcPr>
            <w:tcW w:w="3969" w:type="dxa"/>
            <w:shd w:val="clear" w:color="auto" w:fill="auto"/>
          </w:tcPr>
          <w:p w14:paraId="2B530E2C" w14:textId="77777777" w:rsidR="00D76BE1" w:rsidRPr="000A64A6" w:rsidRDefault="00D76BE1" w:rsidP="00163058">
            <w:pPr>
              <w:pStyle w:val="Tabletext"/>
            </w:pPr>
            <w:r w:rsidRPr="000A64A6">
              <w:t>Agreement between the Government of Australia and the Government of Ukraine on Cooperation in the Peaceful Uses of Nuclear Energy</w:t>
            </w:r>
          </w:p>
        </w:tc>
        <w:tc>
          <w:tcPr>
            <w:tcW w:w="2084" w:type="dxa"/>
            <w:shd w:val="clear" w:color="auto" w:fill="auto"/>
          </w:tcPr>
          <w:p w14:paraId="2B530E2D" w14:textId="77777777" w:rsidR="00D76BE1" w:rsidRPr="000A64A6" w:rsidRDefault="00D76BE1" w:rsidP="00163058">
            <w:pPr>
              <w:pStyle w:val="Tabletext"/>
            </w:pPr>
            <w:r w:rsidRPr="000A64A6">
              <w:t>31 March 2016</w:t>
            </w:r>
          </w:p>
        </w:tc>
      </w:tr>
    </w:tbl>
    <w:p w14:paraId="2B530E2F" w14:textId="77777777" w:rsidR="00D76BE1" w:rsidRDefault="00D76BE1" w:rsidP="00D76BE1">
      <w:pPr>
        <w:contextualSpacing/>
        <w:jc w:val="both"/>
        <w:rPr>
          <w:sz w:val="24"/>
        </w:rPr>
      </w:pPr>
    </w:p>
    <w:p w14:paraId="2B530E30" w14:textId="77777777" w:rsidR="009D3698" w:rsidRPr="009D3698" w:rsidRDefault="009D3698" w:rsidP="00FF181F">
      <w:pPr>
        <w:jc w:val="both"/>
        <w:rPr>
          <w:sz w:val="24"/>
        </w:rPr>
      </w:pPr>
    </w:p>
    <w:sectPr w:rsidR="009D3698" w:rsidRPr="009D3698" w:rsidSect="00F24436">
      <w:footerReference w:type="default" r:id="rId10"/>
      <w:pgSz w:w="11907" w:h="16840"/>
      <w:pgMar w:top="851"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30E33" w14:textId="77777777" w:rsidR="00EB326C" w:rsidRDefault="00EB326C">
      <w:r>
        <w:separator/>
      </w:r>
    </w:p>
  </w:endnote>
  <w:endnote w:type="continuationSeparator" w:id="0">
    <w:p w14:paraId="2B530E34" w14:textId="77777777" w:rsidR="00EB326C" w:rsidRDefault="00EB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0E35" w14:textId="1A42E139" w:rsidR="00EB326C" w:rsidRDefault="00EB326C" w:rsidP="003953E4">
    <w:pPr>
      <w:pStyle w:val="Footer"/>
      <w:jc w:val="center"/>
    </w:pPr>
    <w:r>
      <w:rPr>
        <w:rStyle w:val="PageNumber"/>
      </w:rPr>
      <w:fldChar w:fldCharType="begin"/>
    </w:r>
    <w:r>
      <w:rPr>
        <w:rStyle w:val="PageNumber"/>
      </w:rPr>
      <w:instrText xml:space="preserve"> PAGE </w:instrText>
    </w:r>
    <w:r>
      <w:rPr>
        <w:rStyle w:val="PageNumber"/>
      </w:rPr>
      <w:fldChar w:fldCharType="separate"/>
    </w:r>
    <w:r w:rsidR="001F7373">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30E31" w14:textId="77777777" w:rsidR="00EB326C" w:rsidRDefault="00EB326C">
      <w:r>
        <w:separator/>
      </w:r>
    </w:p>
  </w:footnote>
  <w:footnote w:type="continuationSeparator" w:id="0">
    <w:p w14:paraId="2B530E32" w14:textId="77777777" w:rsidR="00EB326C" w:rsidRDefault="00EB3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6C3"/>
    <w:multiLevelType w:val="singleLevel"/>
    <w:tmpl w:val="3E328788"/>
    <w:lvl w:ilvl="0">
      <w:start w:val="21"/>
      <w:numFmt w:val="decimal"/>
      <w:lvlText w:val="%1."/>
      <w:legacy w:legacy="1" w:legacySpace="0" w:legacyIndent="340"/>
      <w:lvlJc w:val="left"/>
      <w:pPr>
        <w:ind w:left="340" w:hanging="340"/>
      </w:pPr>
    </w:lvl>
  </w:abstractNum>
  <w:abstractNum w:abstractNumId="1" w15:restartNumberingAfterBreak="0">
    <w:nsid w:val="03DC3AC4"/>
    <w:multiLevelType w:val="hybridMultilevel"/>
    <w:tmpl w:val="C0B8F2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995252"/>
    <w:multiLevelType w:val="hybridMultilevel"/>
    <w:tmpl w:val="383CE548"/>
    <w:lvl w:ilvl="0" w:tplc="260AB7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7D3DB9"/>
    <w:multiLevelType w:val="singleLevel"/>
    <w:tmpl w:val="59C40A60"/>
    <w:lvl w:ilvl="0">
      <w:start w:val="30"/>
      <w:numFmt w:val="decimal"/>
      <w:lvlText w:val="%1."/>
      <w:legacy w:legacy="1" w:legacySpace="0" w:legacyIndent="340"/>
      <w:lvlJc w:val="left"/>
      <w:pPr>
        <w:ind w:left="340" w:hanging="340"/>
      </w:pPr>
    </w:lvl>
  </w:abstractNum>
  <w:abstractNum w:abstractNumId="4" w15:restartNumberingAfterBreak="0">
    <w:nsid w:val="1D3E0AFA"/>
    <w:multiLevelType w:val="singleLevel"/>
    <w:tmpl w:val="B8E81B44"/>
    <w:lvl w:ilvl="0">
      <w:start w:val="16"/>
      <w:numFmt w:val="decimal"/>
      <w:lvlText w:val="%1."/>
      <w:legacy w:legacy="1" w:legacySpace="0" w:legacyIndent="340"/>
      <w:lvlJc w:val="left"/>
      <w:pPr>
        <w:ind w:left="340" w:hanging="340"/>
      </w:pPr>
    </w:lvl>
  </w:abstractNum>
  <w:abstractNum w:abstractNumId="5" w15:restartNumberingAfterBreak="0">
    <w:nsid w:val="224740AA"/>
    <w:multiLevelType w:val="multilevel"/>
    <w:tmpl w:val="DA82709C"/>
    <w:lvl w:ilvl="0">
      <w:start w:val="1"/>
      <w:numFmt w:val="lowerRoman"/>
      <w:lvlText w:val="(%1)"/>
      <w:legacy w:legacy="1" w:legacySpace="0" w:legacyIndent="720"/>
      <w:lvlJc w:val="left"/>
      <w:pPr>
        <w:ind w:left="720" w:hanging="720"/>
      </w:pPr>
    </w:lvl>
    <w:lvl w:ilvl="1">
      <w:start w:val="1"/>
      <w:numFmt w:val="none"/>
      <w:lvlText w:val=""/>
      <w:legacy w:legacy="1" w:legacySpace="113" w:legacyIndent="454"/>
      <w:lvlJc w:val="left"/>
      <w:pPr>
        <w:ind w:left="1174" w:hanging="454"/>
      </w:pPr>
      <w:rPr>
        <w:rFonts w:ascii="Symbol" w:hAnsi="Symbol" w:hint="default"/>
      </w:rPr>
    </w:lvl>
    <w:lvl w:ilvl="2">
      <w:start w:val="1"/>
      <w:numFmt w:val="decimal"/>
      <w:lvlText w:val="%3."/>
      <w:legacy w:legacy="1" w:legacySpace="0" w:legacyIndent="720"/>
      <w:lvlJc w:val="left"/>
      <w:pPr>
        <w:ind w:left="1894" w:hanging="720"/>
      </w:pPr>
    </w:lvl>
    <w:lvl w:ilvl="3">
      <w:start w:val="1"/>
      <w:numFmt w:val="lowerLetter"/>
      <w:lvlText w:val="%4)"/>
      <w:legacy w:legacy="1" w:legacySpace="0" w:legacyIndent="720"/>
      <w:lvlJc w:val="left"/>
      <w:pPr>
        <w:ind w:left="2614" w:hanging="720"/>
      </w:pPr>
    </w:lvl>
    <w:lvl w:ilvl="4">
      <w:start w:val="1"/>
      <w:numFmt w:val="decimal"/>
      <w:lvlText w:val="(%5)"/>
      <w:legacy w:legacy="1" w:legacySpace="0" w:legacyIndent="720"/>
      <w:lvlJc w:val="left"/>
      <w:pPr>
        <w:ind w:left="3334" w:hanging="720"/>
      </w:pPr>
    </w:lvl>
    <w:lvl w:ilvl="5">
      <w:start w:val="1"/>
      <w:numFmt w:val="lowerLetter"/>
      <w:lvlText w:val="(%6)"/>
      <w:legacy w:legacy="1" w:legacySpace="0" w:legacyIndent="720"/>
      <w:lvlJc w:val="left"/>
      <w:pPr>
        <w:ind w:left="4054" w:hanging="720"/>
      </w:pPr>
    </w:lvl>
    <w:lvl w:ilvl="6">
      <w:start w:val="1"/>
      <w:numFmt w:val="lowerRoman"/>
      <w:lvlText w:val="(%7)"/>
      <w:legacy w:legacy="1" w:legacySpace="0" w:legacyIndent="720"/>
      <w:lvlJc w:val="left"/>
      <w:pPr>
        <w:ind w:left="4774" w:hanging="720"/>
      </w:pPr>
    </w:lvl>
    <w:lvl w:ilvl="7">
      <w:start w:val="1"/>
      <w:numFmt w:val="lowerLetter"/>
      <w:lvlText w:val="(%8)"/>
      <w:legacy w:legacy="1" w:legacySpace="0" w:legacyIndent="720"/>
      <w:lvlJc w:val="left"/>
      <w:pPr>
        <w:ind w:left="5494" w:hanging="720"/>
      </w:pPr>
    </w:lvl>
    <w:lvl w:ilvl="8">
      <w:start w:val="1"/>
      <w:numFmt w:val="lowerRoman"/>
      <w:lvlText w:val="(%9)"/>
      <w:legacy w:legacy="1" w:legacySpace="0" w:legacyIndent="720"/>
      <w:lvlJc w:val="left"/>
      <w:pPr>
        <w:ind w:left="6214" w:hanging="720"/>
      </w:pPr>
    </w:lvl>
  </w:abstractNum>
  <w:abstractNum w:abstractNumId="6" w15:restartNumberingAfterBreak="0">
    <w:nsid w:val="2E0A69E6"/>
    <w:multiLevelType w:val="singleLevel"/>
    <w:tmpl w:val="59C40A60"/>
    <w:lvl w:ilvl="0">
      <w:start w:val="30"/>
      <w:numFmt w:val="decimal"/>
      <w:lvlText w:val="%1."/>
      <w:legacy w:legacy="1" w:legacySpace="0" w:legacyIndent="340"/>
      <w:lvlJc w:val="left"/>
      <w:pPr>
        <w:ind w:left="340" w:hanging="340"/>
      </w:pPr>
    </w:lvl>
  </w:abstractNum>
  <w:abstractNum w:abstractNumId="7" w15:restartNumberingAfterBreak="0">
    <w:nsid w:val="32385E44"/>
    <w:multiLevelType w:val="singleLevel"/>
    <w:tmpl w:val="57F6FCD4"/>
    <w:lvl w:ilvl="0">
      <w:start w:val="19"/>
      <w:numFmt w:val="decimal"/>
      <w:lvlText w:val="%1."/>
      <w:legacy w:legacy="1" w:legacySpace="0" w:legacyIndent="340"/>
      <w:lvlJc w:val="left"/>
      <w:pPr>
        <w:ind w:left="340" w:hanging="340"/>
      </w:pPr>
    </w:lvl>
  </w:abstractNum>
  <w:abstractNum w:abstractNumId="8" w15:restartNumberingAfterBreak="0">
    <w:nsid w:val="331C0605"/>
    <w:multiLevelType w:val="singleLevel"/>
    <w:tmpl w:val="40847D20"/>
    <w:lvl w:ilvl="0">
      <w:start w:val="36"/>
      <w:numFmt w:val="decimal"/>
      <w:lvlText w:val="%1."/>
      <w:legacy w:legacy="1" w:legacySpace="0" w:legacyIndent="340"/>
      <w:lvlJc w:val="left"/>
      <w:pPr>
        <w:ind w:left="340" w:hanging="340"/>
      </w:pPr>
    </w:lvl>
  </w:abstractNum>
  <w:abstractNum w:abstractNumId="9" w15:restartNumberingAfterBreak="0">
    <w:nsid w:val="3D04134F"/>
    <w:multiLevelType w:val="singleLevel"/>
    <w:tmpl w:val="E2CC26D2"/>
    <w:lvl w:ilvl="0">
      <w:start w:val="1"/>
      <w:numFmt w:val="decimal"/>
      <w:lvlText w:val="%1."/>
      <w:legacy w:legacy="1" w:legacySpace="0" w:legacyIndent="340"/>
      <w:lvlJc w:val="left"/>
      <w:pPr>
        <w:ind w:left="340" w:hanging="340"/>
      </w:pPr>
    </w:lvl>
  </w:abstractNum>
  <w:abstractNum w:abstractNumId="10" w15:restartNumberingAfterBreak="0">
    <w:nsid w:val="4447176B"/>
    <w:multiLevelType w:val="singleLevel"/>
    <w:tmpl w:val="0C403FF4"/>
    <w:lvl w:ilvl="0">
      <w:start w:val="3"/>
      <w:numFmt w:val="decimal"/>
      <w:lvlText w:val="%1."/>
      <w:legacy w:legacy="1" w:legacySpace="0" w:legacyIndent="340"/>
      <w:lvlJc w:val="left"/>
      <w:pPr>
        <w:ind w:left="340" w:hanging="340"/>
      </w:pPr>
    </w:lvl>
  </w:abstractNum>
  <w:abstractNum w:abstractNumId="11" w15:restartNumberingAfterBreak="0">
    <w:nsid w:val="49627D39"/>
    <w:multiLevelType w:val="singleLevel"/>
    <w:tmpl w:val="AA34FB80"/>
    <w:lvl w:ilvl="0">
      <w:start w:val="27"/>
      <w:numFmt w:val="decimal"/>
      <w:lvlText w:val="%1."/>
      <w:legacy w:legacy="1" w:legacySpace="0" w:legacyIndent="340"/>
      <w:lvlJc w:val="left"/>
      <w:pPr>
        <w:ind w:left="340" w:hanging="340"/>
      </w:pPr>
    </w:lvl>
  </w:abstractNum>
  <w:abstractNum w:abstractNumId="12" w15:restartNumberingAfterBreak="0">
    <w:nsid w:val="4B8167B8"/>
    <w:multiLevelType w:val="singleLevel"/>
    <w:tmpl w:val="A6CA2DC0"/>
    <w:lvl w:ilvl="0">
      <w:start w:val="34"/>
      <w:numFmt w:val="decimal"/>
      <w:lvlText w:val="%1."/>
      <w:legacy w:legacy="1" w:legacySpace="0" w:legacyIndent="340"/>
      <w:lvlJc w:val="left"/>
      <w:pPr>
        <w:ind w:left="340" w:hanging="340"/>
      </w:pPr>
    </w:lvl>
  </w:abstractNum>
  <w:abstractNum w:abstractNumId="13" w15:restartNumberingAfterBreak="0">
    <w:nsid w:val="546571EF"/>
    <w:multiLevelType w:val="multilevel"/>
    <w:tmpl w:val="78FCC89A"/>
    <w:lvl w:ilvl="0">
      <w:start w:val="1"/>
      <w:numFmt w:val="lowerRoman"/>
      <w:lvlText w:val="(%1)"/>
      <w:legacy w:legacy="1" w:legacySpace="113" w:legacyIndent="454"/>
      <w:lvlJc w:val="left"/>
      <w:pPr>
        <w:ind w:left="454" w:hanging="454"/>
      </w:pPr>
    </w:lvl>
    <w:lvl w:ilvl="1">
      <w:start w:val="1"/>
      <w:numFmt w:val="none"/>
      <w:lvlText w:val=""/>
      <w:legacy w:legacy="1" w:legacySpace="57" w:legacyIndent="284"/>
      <w:lvlJc w:val="left"/>
      <w:pPr>
        <w:ind w:left="738" w:hanging="284"/>
      </w:pPr>
      <w:rPr>
        <w:rFonts w:ascii="Symbol" w:hAnsi="Symbol" w:hint="default"/>
      </w:rPr>
    </w:lvl>
    <w:lvl w:ilvl="2">
      <w:start w:val="1"/>
      <w:numFmt w:val="none"/>
      <w:lvlText w:val=""/>
      <w:legacy w:legacy="1" w:legacySpace="0" w:legacyIndent="283"/>
      <w:lvlJc w:val="left"/>
      <w:rPr>
        <w:rFonts w:ascii="Symbol" w:hAnsi="Symbol" w:hint="default"/>
      </w:rPr>
    </w:lvl>
    <w:lvl w:ilvl="3">
      <w:start w:val="1"/>
      <w:numFmt w:val="none"/>
      <w:lvlText w:val=""/>
      <w:legacy w:legacy="1" w:legacySpace="0" w:legacyIndent="283"/>
      <w:lvlJc w:val="left"/>
      <w:rPr>
        <w:rFonts w:ascii="Symbol" w:hAnsi="Symbol" w:hint="default"/>
      </w:rPr>
    </w:lvl>
    <w:lvl w:ilvl="4">
      <w:start w:val="1"/>
      <w:numFmt w:val="none"/>
      <w:lvlText w:val=""/>
      <w:legacy w:legacy="1" w:legacySpace="0" w:legacyIndent="283"/>
      <w:lvlJc w:val="left"/>
      <w:rPr>
        <w:rFonts w:ascii="Symbol" w:hAnsi="Symbol" w:hint="default"/>
      </w:rPr>
    </w:lvl>
    <w:lvl w:ilvl="5">
      <w:start w:val="1"/>
      <w:numFmt w:val="none"/>
      <w:lvlText w:val=""/>
      <w:legacy w:legacy="1" w:legacySpace="0" w:legacyIndent="283"/>
      <w:lvlJc w:val="left"/>
      <w:rPr>
        <w:rFonts w:ascii="Symbol" w:hAnsi="Symbol" w:hint="default"/>
      </w:rPr>
    </w:lvl>
    <w:lvl w:ilvl="6">
      <w:start w:val="1"/>
      <w:numFmt w:val="none"/>
      <w:lvlText w:val=""/>
      <w:legacy w:legacy="1" w:legacySpace="0" w:legacyIndent="283"/>
      <w:lvlJc w:val="left"/>
      <w:rPr>
        <w:rFonts w:ascii="Symbol" w:hAnsi="Symbol" w:hint="default"/>
      </w:rPr>
    </w:lvl>
    <w:lvl w:ilvl="7">
      <w:start w:val="1"/>
      <w:numFmt w:val="none"/>
      <w:lvlText w:val=""/>
      <w:legacy w:legacy="1" w:legacySpace="0" w:legacyIndent="283"/>
      <w:lvlJc w:val="left"/>
      <w:rPr>
        <w:rFonts w:ascii="Symbol" w:hAnsi="Symbol" w:hint="default"/>
      </w:rPr>
    </w:lvl>
    <w:lvl w:ilvl="8">
      <w:start w:val="1"/>
      <w:numFmt w:val="none"/>
      <w:lvlText w:val=""/>
      <w:legacy w:legacy="1" w:legacySpace="0" w:legacyIndent="283"/>
      <w:lvlJc w:val="left"/>
      <w:rPr>
        <w:rFonts w:ascii="Symbol" w:hAnsi="Symbol" w:hint="default"/>
      </w:rPr>
    </w:lvl>
  </w:abstractNum>
  <w:abstractNum w:abstractNumId="14" w15:restartNumberingAfterBreak="0">
    <w:nsid w:val="595019B3"/>
    <w:multiLevelType w:val="singleLevel"/>
    <w:tmpl w:val="18B065DA"/>
    <w:lvl w:ilvl="0">
      <w:start w:val="1"/>
      <w:numFmt w:val="decimal"/>
      <w:lvlText w:val="%1."/>
      <w:legacy w:legacy="1" w:legacySpace="0" w:legacyIndent="340"/>
      <w:lvlJc w:val="left"/>
      <w:pPr>
        <w:ind w:left="340" w:hanging="340"/>
      </w:pPr>
    </w:lvl>
  </w:abstractNum>
  <w:abstractNum w:abstractNumId="15" w15:restartNumberingAfterBreak="0">
    <w:nsid w:val="668A7716"/>
    <w:multiLevelType w:val="singleLevel"/>
    <w:tmpl w:val="A6F22C86"/>
    <w:lvl w:ilvl="0">
      <w:start w:val="2"/>
      <w:numFmt w:val="decimal"/>
      <w:lvlText w:val="%1."/>
      <w:legacy w:legacy="1" w:legacySpace="0" w:legacyIndent="340"/>
      <w:lvlJc w:val="left"/>
      <w:pPr>
        <w:ind w:left="340" w:hanging="340"/>
      </w:pPr>
    </w:lvl>
  </w:abstractNum>
  <w:abstractNum w:abstractNumId="16" w15:restartNumberingAfterBreak="0">
    <w:nsid w:val="66CE3D6C"/>
    <w:multiLevelType w:val="hybridMultilevel"/>
    <w:tmpl w:val="72581D06"/>
    <w:lvl w:ilvl="0" w:tplc="FD04238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E9488A"/>
    <w:multiLevelType w:val="singleLevel"/>
    <w:tmpl w:val="515454A0"/>
    <w:lvl w:ilvl="0">
      <w:start w:val="8"/>
      <w:numFmt w:val="decimal"/>
      <w:lvlText w:val="%1."/>
      <w:legacy w:legacy="1" w:legacySpace="0" w:legacyIndent="340"/>
      <w:lvlJc w:val="left"/>
      <w:pPr>
        <w:ind w:left="340" w:hanging="340"/>
      </w:pPr>
    </w:lvl>
  </w:abstractNum>
  <w:abstractNum w:abstractNumId="18" w15:restartNumberingAfterBreak="0">
    <w:nsid w:val="67D1196A"/>
    <w:multiLevelType w:val="singleLevel"/>
    <w:tmpl w:val="48E61D56"/>
    <w:lvl w:ilvl="0">
      <w:start w:val="4"/>
      <w:numFmt w:val="decimal"/>
      <w:lvlText w:val="%1."/>
      <w:legacy w:legacy="1" w:legacySpace="0" w:legacyIndent="340"/>
      <w:lvlJc w:val="left"/>
      <w:pPr>
        <w:ind w:left="340" w:hanging="340"/>
      </w:pPr>
    </w:lvl>
  </w:abstractNum>
  <w:abstractNum w:abstractNumId="19" w15:restartNumberingAfterBreak="0">
    <w:nsid w:val="69621376"/>
    <w:multiLevelType w:val="singleLevel"/>
    <w:tmpl w:val="93FA89BC"/>
    <w:lvl w:ilvl="0">
      <w:start w:val="26"/>
      <w:numFmt w:val="decimal"/>
      <w:lvlText w:val="%1."/>
      <w:legacy w:legacy="1" w:legacySpace="0" w:legacyIndent="340"/>
      <w:lvlJc w:val="left"/>
      <w:pPr>
        <w:ind w:left="340" w:hanging="340"/>
      </w:pPr>
    </w:lvl>
  </w:abstractNum>
  <w:abstractNum w:abstractNumId="20" w15:restartNumberingAfterBreak="0">
    <w:nsid w:val="6FE3236D"/>
    <w:multiLevelType w:val="singleLevel"/>
    <w:tmpl w:val="A26A69FA"/>
    <w:lvl w:ilvl="0">
      <w:start w:val="28"/>
      <w:numFmt w:val="decimal"/>
      <w:lvlText w:val="%1."/>
      <w:legacy w:legacy="1" w:legacySpace="0" w:legacyIndent="340"/>
      <w:lvlJc w:val="left"/>
      <w:pPr>
        <w:ind w:left="340" w:hanging="340"/>
      </w:pPr>
    </w:lvl>
  </w:abstractNum>
  <w:abstractNum w:abstractNumId="21" w15:restartNumberingAfterBreak="0">
    <w:nsid w:val="77B23BD8"/>
    <w:multiLevelType w:val="singleLevel"/>
    <w:tmpl w:val="2FA2E43C"/>
    <w:lvl w:ilvl="0">
      <w:start w:val="32"/>
      <w:numFmt w:val="decimal"/>
      <w:lvlText w:val="%1."/>
      <w:legacy w:legacy="1" w:legacySpace="0" w:legacyIndent="340"/>
      <w:lvlJc w:val="left"/>
      <w:pPr>
        <w:ind w:left="340" w:hanging="340"/>
      </w:pPr>
    </w:lvl>
  </w:abstractNum>
  <w:abstractNum w:abstractNumId="22" w15:restartNumberingAfterBreak="0">
    <w:nsid w:val="7984189B"/>
    <w:multiLevelType w:val="singleLevel"/>
    <w:tmpl w:val="321E0B34"/>
    <w:lvl w:ilvl="0">
      <w:start w:val="12"/>
      <w:numFmt w:val="decimal"/>
      <w:lvlText w:val="%1."/>
      <w:legacy w:legacy="1" w:legacySpace="0" w:legacyIndent="340"/>
      <w:lvlJc w:val="left"/>
      <w:pPr>
        <w:ind w:left="340" w:hanging="340"/>
      </w:pPr>
    </w:lvl>
  </w:abstractNum>
  <w:abstractNum w:abstractNumId="23" w15:restartNumberingAfterBreak="0">
    <w:nsid w:val="7E92734E"/>
    <w:multiLevelType w:val="singleLevel"/>
    <w:tmpl w:val="936E73DC"/>
    <w:lvl w:ilvl="0">
      <w:start w:val="29"/>
      <w:numFmt w:val="decimal"/>
      <w:lvlText w:val="%1."/>
      <w:legacy w:legacy="1" w:legacySpace="0" w:legacyIndent="340"/>
      <w:lvlJc w:val="left"/>
      <w:pPr>
        <w:ind w:left="340" w:hanging="340"/>
      </w:pPr>
    </w:lvl>
  </w:abstractNum>
  <w:num w:numId="1">
    <w:abstractNumId w:val="5"/>
  </w:num>
  <w:num w:numId="2">
    <w:abstractNumId w:val="14"/>
  </w:num>
  <w:num w:numId="3">
    <w:abstractNumId w:val="15"/>
  </w:num>
  <w:num w:numId="4">
    <w:abstractNumId w:val="10"/>
  </w:num>
  <w:num w:numId="5">
    <w:abstractNumId w:val="18"/>
  </w:num>
  <w:num w:numId="6">
    <w:abstractNumId w:val="17"/>
  </w:num>
  <w:num w:numId="7">
    <w:abstractNumId w:val="22"/>
  </w:num>
  <w:num w:numId="8">
    <w:abstractNumId w:val="4"/>
  </w:num>
  <w:num w:numId="9">
    <w:abstractNumId w:val="7"/>
  </w:num>
  <w:num w:numId="10">
    <w:abstractNumId w:val="0"/>
  </w:num>
  <w:num w:numId="11">
    <w:abstractNumId w:val="19"/>
  </w:num>
  <w:num w:numId="12">
    <w:abstractNumId w:val="11"/>
  </w:num>
  <w:num w:numId="13">
    <w:abstractNumId w:val="20"/>
  </w:num>
  <w:num w:numId="14">
    <w:abstractNumId w:val="23"/>
  </w:num>
  <w:num w:numId="15">
    <w:abstractNumId w:val="3"/>
  </w:num>
  <w:num w:numId="16">
    <w:abstractNumId w:val="6"/>
  </w:num>
  <w:num w:numId="17">
    <w:abstractNumId w:val="21"/>
  </w:num>
  <w:num w:numId="18">
    <w:abstractNumId w:val="12"/>
  </w:num>
  <w:num w:numId="19">
    <w:abstractNumId w:val="8"/>
  </w:num>
  <w:num w:numId="20">
    <w:abstractNumId w:val="13"/>
  </w:num>
  <w:num w:numId="21">
    <w:abstractNumId w:val="13"/>
    <w:lvlOverride w:ilvl="0">
      <w:lvl w:ilvl="0">
        <w:start w:val="1"/>
        <w:numFmt w:val="lowerRoman"/>
        <w:lvlText w:val="(%1)"/>
        <w:legacy w:legacy="1" w:legacySpace="113" w:legacyIndent="454"/>
        <w:lvlJc w:val="left"/>
        <w:pPr>
          <w:ind w:left="454" w:hanging="454"/>
        </w:pPr>
      </w:lvl>
    </w:lvlOverride>
    <w:lvlOverride w:ilvl="1">
      <w:lvl w:ilvl="1">
        <w:start w:val="1"/>
        <w:numFmt w:val="none"/>
        <w:lvlText w:val=""/>
        <w:legacy w:legacy="1" w:legacySpace="57" w:legacyIndent="284"/>
        <w:lvlJc w:val="left"/>
        <w:pPr>
          <w:ind w:left="738" w:hanging="284"/>
        </w:pPr>
        <w:rPr>
          <w:rFonts w:ascii="Symbol" w:hAnsi="Symbol" w:hint="default"/>
        </w:rPr>
      </w:lvl>
    </w:lvlOverride>
    <w:lvlOverride w:ilvl="2">
      <w:lvl w:ilvl="2">
        <w:start w:val="1"/>
        <w:numFmt w:val="none"/>
        <w:lvlText w:val=""/>
        <w:legacy w:legacy="1" w:legacySpace="0" w:legacyIndent="283"/>
        <w:lvlJc w:val="left"/>
        <w:rPr>
          <w:rFonts w:ascii="Symbol" w:hAnsi="Symbol" w:hint="default"/>
        </w:rPr>
      </w:lvl>
    </w:lvlOverride>
    <w:lvlOverride w:ilvl="3">
      <w:lvl w:ilvl="3">
        <w:start w:val="1"/>
        <w:numFmt w:val="none"/>
        <w:lvlText w:val=""/>
        <w:legacy w:legacy="1" w:legacySpace="0" w:legacyIndent="283"/>
        <w:lvlJc w:val="left"/>
        <w:rPr>
          <w:rFonts w:ascii="Symbol" w:hAnsi="Symbol" w:hint="default"/>
        </w:rPr>
      </w:lvl>
    </w:lvlOverride>
    <w:lvlOverride w:ilvl="4">
      <w:lvl w:ilvl="4">
        <w:start w:val="1"/>
        <w:numFmt w:val="none"/>
        <w:lvlText w:val=""/>
        <w:legacy w:legacy="1" w:legacySpace="0" w:legacyIndent="283"/>
        <w:lvlJc w:val="left"/>
        <w:rPr>
          <w:rFonts w:ascii="Symbol" w:hAnsi="Symbol" w:hint="default"/>
        </w:rPr>
      </w:lvl>
    </w:lvlOverride>
    <w:lvlOverride w:ilvl="5">
      <w:lvl w:ilvl="5">
        <w:start w:val="1"/>
        <w:numFmt w:val="none"/>
        <w:lvlText w:val=""/>
        <w:legacy w:legacy="1" w:legacySpace="0" w:legacyIndent="283"/>
        <w:lvlJc w:val="left"/>
        <w:rPr>
          <w:rFonts w:ascii="Symbol" w:hAnsi="Symbol" w:hint="default"/>
        </w:rPr>
      </w:lvl>
    </w:lvlOverride>
    <w:lvlOverride w:ilvl="6">
      <w:lvl w:ilvl="6">
        <w:start w:val="1"/>
        <w:numFmt w:val="none"/>
        <w:lvlText w:val=""/>
        <w:legacy w:legacy="1" w:legacySpace="0" w:legacyIndent="283"/>
        <w:lvlJc w:val="left"/>
        <w:rPr>
          <w:rFonts w:ascii="Symbol" w:hAnsi="Symbol" w:hint="default"/>
        </w:rPr>
      </w:lvl>
    </w:lvlOverride>
    <w:lvlOverride w:ilvl="7">
      <w:lvl w:ilvl="7">
        <w:start w:val="1"/>
        <w:numFmt w:val="none"/>
        <w:lvlText w:val=""/>
        <w:legacy w:legacy="1" w:legacySpace="0" w:legacyIndent="283"/>
        <w:lvlJc w:val="left"/>
        <w:rPr>
          <w:rFonts w:ascii="Symbol" w:hAnsi="Symbol" w:hint="default"/>
        </w:rPr>
      </w:lvl>
    </w:lvlOverride>
    <w:lvlOverride w:ilvl="8">
      <w:lvl w:ilvl="8">
        <w:start w:val="1"/>
        <w:numFmt w:val="none"/>
        <w:lvlText w:val=""/>
        <w:legacy w:legacy="1" w:legacySpace="0" w:legacyIndent="283"/>
        <w:lvlJc w:val="left"/>
        <w:rPr>
          <w:rFonts w:ascii="Symbol" w:hAnsi="Symbol" w:hint="default"/>
        </w:rPr>
      </w:lvl>
    </w:lvlOverride>
  </w:num>
  <w:num w:numId="22">
    <w:abstractNumId w:val="13"/>
    <w:lvlOverride w:ilvl="0">
      <w:lvl w:ilvl="0">
        <w:start w:val="1"/>
        <w:numFmt w:val="lowerRoman"/>
        <w:lvlText w:val="(%1)"/>
        <w:legacy w:legacy="1" w:legacySpace="113" w:legacyIndent="454"/>
        <w:lvlJc w:val="left"/>
        <w:pPr>
          <w:ind w:left="454" w:hanging="454"/>
        </w:pPr>
      </w:lvl>
    </w:lvlOverride>
    <w:lvlOverride w:ilvl="1">
      <w:lvl w:ilvl="1">
        <w:start w:val="1"/>
        <w:numFmt w:val="none"/>
        <w:lvlText w:val=""/>
        <w:legacy w:legacy="1" w:legacySpace="57" w:legacyIndent="284"/>
        <w:lvlJc w:val="left"/>
        <w:pPr>
          <w:ind w:left="738" w:hanging="284"/>
        </w:pPr>
        <w:rPr>
          <w:rFonts w:ascii="Symbol" w:hAnsi="Symbol" w:hint="default"/>
        </w:rPr>
      </w:lvl>
    </w:lvlOverride>
    <w:lvlOverride w:ilvl="2">
      <w:lvl w:ilvl="2">
        <w:start w:val="1"/>
        <w:numFmt w:val="none"/>
        <w:lvlText w:val=""/>
        <w:legacy w:legacy="1" w:legacySpace="0" w:legacyIndent="283"/>
        <w:lvlJc w:val="left"/>
        <w:rPr>
          <w:rFonts w:ascii="Symbol" w:hAnsi="Symbol" w:hint="default"/>
        </w:rPr>
      </w:lvl>
    </w:lvlOverride>
    <w:lvlOverride w:ilvl="3">
      <w:lvl w:ilvl="3">
        <w:start w:val="1"/>
        <w:numFmt w:val="none"/>
        <w:lvlText w:val=""/>
        <w:legacy w:legacy="1" w:legacySpace="0" w:legacyIndent="283"/>
        <w:lvlJc w:val="left"/>
        <w:rPr>
          <w:rFonts w:ascii="Symbol" w:hAnsi="Symbol" w:hint="default"/>
        </w:rPr>
      </w:lvl>
    </w:lvlOverride>
    <w:lvlOverride w:ilvl="4">
      <w:lvl w:ilvl="4">
        <w:start w:val="1"/>
        <w:numFmt w:val="none"/>
        <w:lvlText w:val=""/>
        <w:legacy w:legacy="1" w:legacySpace="0" w:legacyIndent="283"/>
        <w:lvlJc w:val="left"/>
        <w:rPr>
          <w:rFonts w:ascii="Symbol" w:hAnsi="Symbol" w:hint="default"/>
        </w:rPr>
      </w:lvl>
    </w:lvlOverride>
    <w:lvlOverride w:ilvl="5">
      <w:lvl w:ilvl="5">
        <w:start w:val="1"/>
        <w:numFmt w:val="none"/>
        <w:lvlText w:val=""/>
        <w:legacy w:legacy="1" w:legacySpace="0" w:legacyIndent="283"/>
        <w:lvlJc w:val="left"/>
        <w:rPr>
          <w:rFonts w:ascii="Symbol" w:hAnsi="Symbol" w:hint="default"/>
        </w:rPr>
      </w:lvl>
    </w:lvlOverride>
    <w:lvlOverride w:ilvl="6">
      <w:lvl w:ilvl="6">
        <w:start w:val="1"/>
        <w:numFmt w:val="none"/>
        <w:lvlText w:val=""/>
        <w:legacy w:legacy="1" w:legacySpace="0" w:legacyIndent="283"/>
        <w:lvlJc w:val="left"/>
        <w:rPr>
          <w:rFonts w:ascii="Symbol" w:hAnsi="Symbol" w:hint="default"/>
        </w:rPr>
      </w:lvl>
    </w:lvlOverride>
    <w:lvlOverride w:ilvl="7">
      <w:lvl w:ilvl="7">
        <w:start w:val="1"/>
        <w:numFmt w:val="none"/>
        <w:lvlText w:val=""/>
        <w:legacy w:legacy="1" w:legacySpace="0" w:legacyIndent="283"/>
        <w:lvlJc w:val="left"/>
        <w:rPr>
          <w:rFonts w:ascii="Symbol" w:hAnsi="Symbol" w:hint="default"/>
        </w:rPr>
      </w:lvl>
    </w:lvlOverride>
    <w:lvlOverride w:ilvl="8">
      <w:lvl w:ilvl="8">
        <w:start w:val="1"/>
        <w:numFmt w:val="none"/>
        <w:lvlText w:val=""/>
        <w:legacy w:legacy="1" w:legacySpace="0" w:legacyIndent="283"/>
        <w:lvlJc w:val="left"/>
        <w:rPr>
          <w:rFonts w:ascii="Symbol" w:hAnsi="Symbol" w:hint="default"/>
        </w:rPr>
      </w:lvl>
    </w:lvlOverride>
  </w:num>
  <w:num w:numId="23">
    <w:abstractNumId w:val="13"/>
    <w:lvlOverride w:ilvl="0">
      <w:lvl w:ilvl="0">
        <w:start w:val="1"/>
        <w:numFmt w:val="lowerRoman"/>
        <w:lvlText w:val="(%1)"/>
        <w:legacy w:legacy="1" w:legacySpace="113" w:legacyIndent="454"/>
        <w:lvlJc w:val="left"/>
        <w:pPr>
          <w:ind w:left="454" w:hanging="454"/>
        </w:pPr>
      </w:lvl>
    </w:lvlOverride>
    <w:lvlOverride w:ilvl="1">
      <w:lvl w:ilvl="1">
        <w:start w:val="1"/>
        <w:numFmt w:val="none"/>
        <w:lvlText w:val=""/>
        <w:legacy w:legacy="1" w:legacySpace="57" w:legacyIndent="284"/>
        <w:lvlJc w:val="left"/>
        <w:pPr>
          <w:ind w:left="738" w:hanging="284"/>
        </w:pPr>
        <w:rPr>
          <w:rFonts w:ascii="Symbol" w:hAnsi="Symbol" w:hint="default"/>
        </w:rPr>
      </w:lvl>
    </w:lvlOverride>
    <w:lvlOverride w:ilvl="2">
      <w:lvl w:ilvl="2">
        <w:start w:val="1"/>
        <w:numFmt w:val="none"/>
        <w:lvlText w:val=""/>
        <w:legacy w:legacy="1" w:legacySpace="0" w:legacyIndent="283"/>
        <w:lvlJc w:val="left"/>
        <w:rPr>
          <w:rFonts w:ascii="Symbol" w:hAnsi="Symbol" w:hint="default"/>
        </w:rPr>
      </w:lvl>
    </w:lvlOverride>
    <w:lvlOverride w:ilvl="3">
      <w:lvl w:ilvl="3">
        <w:start w:val="1"/>
        <w:numFmt w:val="none"/>
        <w:lvlText w:val=""/>
        <w:legacy w:legacy="1" w:legacySpace="0" w:legacyIndent="283"/>
        <w:lvlJc w:val="left"/>
        <w:rPr>
          <w:rFonts w:ascii="Symbol" w:hAnsi="Symbol" w:hint="default"/>
        </w:rPr>
      </w:lvl>
    </w:lvlOverride>
    <w:lvlOverride w:ilvl="4">
      <w:lvl w:ilvl="4">
        <w:start w:val="1"/>
        <w:numFmt w:val="none"/>
        <w:lvlText w:val=""/>
        <w:legacy w:legacy="1" w:legacySpace="0" w:legacyIndent="283"/>
        <w:lvlJc w:val="left"/>
        <w:rPr>
          <w:rFonts w:ascii="Symbol" w:hAnsi="Symbol" w:hint="default"/>
        </w:rPr>
      </w:lvl>
    </w:lvlOverride>
    <w:lvlOverride w:ilvl="5">
      <w:lvl w:ilvl="5">
        <w:start w:val="1"/>
        <w:numFmt w:val="none"/>
        <w:lvlText w:val=""/>
        <w:legacy w:legacy="1" w:legacySpace="0" w:legacyIndent="283"/>
        <w:lvlJc w:val="left"/>
        <w:rPr>
          <w:rFonts w:ascii="Symbol" w:hAnsi="Symbol" w:hint="default"/>
        </w:rPr>
      </w:lvl>
    </w:lvlOverride>
    <w:lvlOverride w:ilvl="6">
      <w:lvl w:ilvl="6">
        <w:start w:val="1"/>
        <w:numFmt w:val="none"/>
        <w:lvlText w:val=""/>
        <w:legacy w:legacy="1" w:legacySpace="0" w:legacyIndent="283"/>
        <w:lvlJc w:val="left"/>
        <w:rPr>
          <w:rFonts w:ascii="Symbol" w:hAnsi="Symbol" w:hint="default"/>
        </w:rPr>
      </w:lvl>
    </w:lvlOverride>
    <w:lvlOverride w:ilvl="7">
      <w:lvl w:ilvl="7">
        <w:start w:val="1"/>
        <w:numFmt w:val="none"/>
        <w:lvlText w:val=""/>
        <w:legacy w:legacy="1" w:legacySpace="0" w:legacyIndent="283"/>
        <w:lvlJc w:val="left"/>
        <w:rPr>
          <w:rFonts w:ascii="Symbol" w:hAnsi="Symbol" w:hint="default"/>
        </w:rPr>
      </w:lvl>
    </w:lvlOverride>
    <w:lvlOverride w:ilvl="8">
      <w:lvl w:ilvl="8">
        <w:start w:val="1"/>
        <w:numFmt w:val="none"/>
        <w:lvlText w:val=""/>
        <w:legacy w:legacy="1" w:legacySpace="0" w:legacyIndent="283"/>
        <w:lvlJc w:val="left"/>
        <w:rPr>
          <w:rFonts w:ascii="Symbol" w:hAnsi="Symbol" w:hint="default"/>
        </w:rPr>
      </w:lvl>
    </w:lvlOverride>
  </w:num>
  <w:num w:numId="24">
    <w:abstractNumId w:val="9"/>
  </w:num>
  <w:num w:numId="25">
    <w:abstractNumId w:val="1"/>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01"/>
    <w:rsid w:val="00052233"/>
    <w:rsid w:val="00082054"/>
    <w:rsid w:val="000A19C3"/>
    <w:rsid w:val="000A5856"/>
    <w:rsid w:val="000C3876"/>
    <w:rsid w:val="000D5EF5"/>
    <w:rsid w:val="000E5663"/>
    <w:rsid w:val="000E5C2A"/>
    <w:rsid w:val="00106B89"/>
    <w:rsid w:val="001323A9"/>
    <w:rsid w:val="0014093D"/>
    <w:rsid w:val="00144D05"/>
    <w:rsid w:val="00147997"/>
    <w:rsid w:val="00157F60"/>
    <w:rsid w:val="001601B8"/>
    <w:rsid w:val="00161494"/>
    <w:rsid w:val="001622A9"/>
    <w:rsid w:val="00196363"/>
    <w:rsid w:val="001A1648"/>
    <w:rsid w:val="001F7373"/>
    <w:rsid w:val="00204764"/>
    <w:rsid w:val="00221BC7"/>
    <w:rsid w:val="002266EF"/>
    <w:rsid w:val="00235DFB"/>
    <w:rsid w:val="002375C4"/>
    <w:rsid w:val="00277E78"/>
    <w:rsid w:val="002A63E0"/>
    <w:rsid w:val="002E248E"/>
    <w:rsid w:val="002E4283"/>
    <w:rsid w:val="002F2F84"/>
    <w:rsid w:val="003103D5"/>
    <w:rsid w:val="00337672"/>
    <w:rsid w:val="00353385"/>
    <w:rsid w:val="00361209"/>
    <w:rsid w:val="00367B82"/>
    <w:rsid w:val="00384B35"/>
    <w:rsid w:val="003953E4"/>
    <w:rsid w:val="003A2AEC"/>
    <w:rsid w:val="003E245C"/>
    <w:rsid w:val="00444EB2"/>
    <w:rsid w:val="0047556D"/>
    <w:rsid w:val="004933FE"/>
    <w:rsid w:val="004A3B5F"/>
    <w:rsid w:val="004A5517"/>
    <w:rsid w:val="004B0E20"/>
    <w:rsid w:val="004F1FCD"/>
    <w:rsid w:val="00514B5B"/>
    <w:rsid w:val="00544F58"/>
    <w:rsid w:val="0056403C"/>
    <w:rsid w:val="00583D88"/>
    <w:rsid w:val="00583D8B"/>
    <w:rsid w:val="00592E78"/>
    <w:rsid w:val="005B43CB"/>
    <w:rsid w:val="005C283E"/>
    <w:rsid w:val="005F773E"/>
    <w:rsid w:val="0060539A"/>
    <w:rsid w:val="00625BE6"/>
    <w:rsid w:val="00630886"/>
    <w:rsid w:val="006440E7"/>
    <w:rsid w:val="00662917"/>
    <w:rsid w:val="00676F53"/>
    <w:rsid w:val="00696764"/>
    <w:rsid w:val="006A3E56"/>
    <w:rsid w:val="006A61B8"/>
    <w:rsid w:val="006C00EE"/>
    <w:rsid w:val="006C0DF6"/>
    <w:rsid w:val="006C1637"/>
    <w:rsid w:val="006C66DA"/>
    <w:rsid w:val="006E3674"/>
    <w:rsid w:val="006F2F3B"/>
    <w:rsid w:val="00704CA7"/>
    <w:rsid w:val="00722EFC"/>
    <w:rsid w:val="00747A2F"/>
    <w:rsid w:val="007508E0"/>
    <w:rsid w:val="00754240"/>
    <w:rsid w:val="00772C36"/>
    <w:rsid w:val="007A2731"/>
    <w:rsid w:val="007D02A1"/>
    <w:rsid w:val="007D5BB3"/>
    <w:rsid w:val="007D7A16"/>
    <w:rsid w:val="007F77B7"/>
    <w:rsid w:val="00800C70"/>
    <w:rsid w:val="00805B4E"/>
    <w:rsid w:val="00812D55"/>
    <w:rsid w:val="00847136"/>
    <w:rsid w:val="00865702"/>
    <w:rsid w:val="008E1DEC"/>
    <w:rsid w:val="008F421A"/>
    <w:rsid w:val="00933A46"/>
    <w:rsid w:val="009536D0"/>
    <w:rsid w:val="009746CA"/>
    <w:rsid w:val="009927BF"/>
    <w:rsid w:val="009B3450"/>
    <w:rsid w:val="009C3149"/>
    <w:rsid w:val="009D3698"/>
    <w:rsid w:val="009F7ADB"/>
    <w:rsid w:val="00A03335"/>
    <w:rsid w:val="00A06BBD"/>
    <w:rsid w:val="00A627FF"/>
    <w:rsid w:val="00A62DDF"/>
    <w:rsid w:val="00A630F4"/>
    <w:rsid w:val="00A93501"/>
    <w:rsid w:val="00A97C37"/>
    <w:rsid w:val="00AE1D9A"/>
    <w:rsid w:val="00B1348A"/>
    <w:rsid w:val="00B21B80"/>
    <w:rsid w:val="00B37D54"/>
    <w:rsid w:val="00B449CD"/>
    <w:rsid w:val="00B82240"/>
    <w:rsid w:val="00B91C36"/>
    <w:rsid w:val="00C07504"/>
    <w:rsid w:val="00C241BB"/>
    <w:rsid w:val="00C2525A"/>
    <w:rsid w:val="00C316A4"/>
    <w:rsid w:val="00C51DA5"/>
    <w:rsid w:val="00C700C0"/>
    <w:rsid w:val="00C852DA"/>
    <w:rsid w:val="00D1631E"/>
    <w:rsid w:val="00D511CD"/>
    <w:rsid w:val="00D52EC4"/>
    <w:rsid w:val="00D654FA"/>
    <w:rsid w:val="00D67E13"/>
    <w:rsid w:val="00D73D7C"/>
    <w:rsid w:val="00D76BE1"/>
    <w:rsid w:val="00D9060A"/>
    <w:rsid w:val="00DC0573"/>
    <w:rsid w:val="00DC6AA3"/>
    <w:rsid w:val="00DF09E2"/>
    <w:rsid w:val="00E0039D"/>
    <w:rsid w:val="00E245A2"/>
    <w:rsid w:val="00E25080"/>
    <w:rsid w:val="00E44D76"/>
    <w:rsid w:val="00EB0FE9"/>
    <w:rsid w:val="00EB326C"/>
    <w:rsid w:val="00ED6AA4"/>
    <w:rsid w:val="00EE1405"/>
    <w:rsid w:val="00F11CE1"/>
    <w:rsid w:val="00F21C60"/>
    <w:rsid w:val="00F24436"/>
    <w:rsid w:val="00F67CC6"/>
    <w:rsid w:val="00F8379C"/>
    <w:rsid w:val="00FE7484"/>
    <w:rsid w:val="00FF1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2B530DC9"/>
  <w15:docId w15:val="{C1E8CE41-891B-4749-A4FC-94BDC6FC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0E7"/>
    <w:rPr>
      <w:lang w:eastAsia="zh-CN"/>
    </w:rPr>
  </w:style>
  <w:style w:type="paragraph" w:styleId="Heading1">
    <w:name w:val="heading 1"/>
    <w:basedOn w:val="Normal"/>
    <w:next w:val="Normal"/>
    <w:qFormat/>
    <w:rsid w:val="006440E7"/>
    <w:pPr>
      <w:keepNext/>
      <w:jc w:val="both"/>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40E7"/>
    <w:pPr>
      <w:tabs>
        <w:tab w:val="center" w:pos="4153"/>
        <w:tab w:val="right" w:pos="8306"/>
      </w:tabs>
    </w:pPr>
  </w:style>
  <w:style w:type="character" w:styleId="PageNumber">
    <w:name w:val="page number"/>
    <w:basedOn w:val="DefaultParagraphFont"/>
    <w:rsid w:val="006440E7"/>
  </w:style>
  <w:style w:type="paragraph" w:styleId="Header">
    <w:name w:val="header"/>
    <w:basedOn w:val="Normal"/>
    <w:rsid w:val="006440E7"/>
    <w:pPr>
      <w:tabs>
        <w:tab w:val="center" w:pos="4153"/>
        <w:tab w:val="right" w:pos="8306"/>
      </w:tabs>
    </w:pPr>
  </w:style>
  <w:style w:type="paragraph" w:styleId="Title">
    <w:name w:val="Title"/>
    <w:basedOn w:val="Normal"/>
    <w:qFormat/>
    <w:rsid w:val="006440E7"/>
    <w:pPr>
      <w:jc w:val="center"/>
    </w:pPr>
    <w:rPr>
      <w:sz w:val="24"/>
      <w:szCs w:val="24"/>
    </w:rPr>
  </w:style>
  <w:style w:type="paragraph" w:styleId="BodyText">
    <w:name w:val="Body Text"/>
    <w:basedOn w:val="Normal"/>
    <w:rsid w:val="006440E7"/>
    <w:pPr>
      <w:spacing w:after="240"/>
      <w:jc w:val="both"/>
    </w:pPr>
    <w:rPr>
      <w:sz w:val="24"/>
      <w:szCs w:val="24"/>
    </w:rPr>
  </w:style>
  <w:style w:type="paragraph" w:styleId="BalloonText">
    <w:name w:val="Balloon Text"/>
    <w:basedOn w:val="Normal"/>
    <w:semiHidden/>
    <w:rsid w:val="0056403C"/>
    <w:rPr>
      <w:rFonts w:ascii="Tahoma" w:hAnsi="Tahoma" w:cs="Tahoma"/>
      <w:sz w:val="16"/>
      <w:szCs w:val="16"/>
    </w:rPr>
  </w:style>
  <w:style w:type="paragraph" w:styleId="ListParagraph">
    <w:name w:val="List Paragraph"/>
    <w:basedOn w:val="Normal"/>
    <w:uiPriority w:val="34"/>
    <w:qFormat/>
    <w:rsid w:val="002266EF"/>
    <w:pPr>
      <w:ind w:left="720"/>
      <w:contextualSpacing/>
    </w:pPr>
  </w:style>
  <w:style w:type="paragraph" w:customStyle="1" w:styleId="subsection">
    <w:name w:val="subsection"/>
    <w:aliases w:val="ss"/>
    <w:basedOn w:val="Normal"/>
    <w:link w:val="subsectionChar"/>
    <w:rsid w:val="00D76BE1"/>
    <w:pPr>
      <w:tabs>
        <w:tab w:val="right" w:pos="1021"/>
      </w:tabs>
      <w:spacing w:before="180"/>
      <w:ind w:left="1134" w:hanging="1134"/>
    </w:pPr>
    <w:rPr>
      <w:sz w:val="22"/>
      <w:lang w:eastAsia="en-AU"/>
    </w:rPr>
  </w:style>
  <w:style w:type="paragraph" w:customStyle="1" w:styleId="Tabletext">
    <w:name w:val="Tabletext"/>
    <w:aliases w:val="tt"/>
    <w:basedOn w:val="Normal"/>
    <w:rsid w:val="00D76BE1"/>
    <w:pPr>
      <w:spacing w:before="60" w:line="240" w:lineRule="atLeast"/>
    </w:pPr>
    <w:rPr>
      <w:lang w:eastAsia="en-AU"/>
    </w:rPr>
  </w:style>
  <w:style w:type="paragraph" w:customStyle="1" w:styleId="notetext">
    <w:name w:val="note(text)"/>
    <w:aliases w:val="n"/>
    <w:basedOn w:val="Normal"/>
    <w:link w:val="notetextChar"/>
    <w:rsid w:val="00D76BE1"/>
    <w:pPr>
      <w:spacing w:before="122"/>
      <w:ind w:left="1985" w:hanging="851"/>
    </w:pPr>
    <w:rPr>
      <w:sz w:val="18"/>
      <w:lang w:eastAsia="en-AU"/>
    </w:rPr>
  </w:style>
  <w:style w:type="paragraph" w:customStyle="1" w:styleId="TableHeading">
    <w:name w:val="TableHeading"/>
    <w:aliases w:val="th"/>
    <w:basedOn w:val="Normal"/>
    <w:next w:val="Tabletext"/>
    <w:rsid w:val="00D76BE1"/>
    <w:pPr>
      <w:keepNext/>
      <w:spacing w:before="60" w:line="240" w:lineRule="atLeast"/>
    </w:pPr>
    <w:rPr>
      <w:b/>
      <w:lang w:eastAsia="en-AU"/>
    </w:rPr>
  </w:style>
  <w:style w:type="character" w:customStyle="1" w:styleId="subsectionChar">
    <w:name w:val="subsection Char"/>
    <w:aliases w:val="ss Char"/>
    <w:link w:val="subsection"/>
    <w:locked/>
    <w:rsid w:val="00D76BE1"/>
    <w:rPr>
      <w:sz w:val="22"/>
    </w:rPr>
  </w:style>
  <w:style w:type="character" w:customStyle="1" w:styleId="notetextChar">
    <w:name w:val="note(text) Char"/>
    <w:aliases w:val="n Char"/>
    <w:link w:val="notetext"/>
    <w:rsid w:val="00D76BE1"/>
    <w:rPr>
      <w:sz w:val="18"/>
    </w:rPr>
  </w:style>
  <w:style w:type="paragraph" w:customStyle="1" w:styleId="ActHead5">
    <w:name w:val="ActHead 5"/>
    <w:aliases w:val="s"/>
    <w:basedOn w:val="Normal"/>
    <w:next w:val="subsection"/>
    <w:qFormat/>
    <w:rsid w:val="00D76BE1"/>
    <w:pPr>
      <w:keepNext/>
      <w:keepLines/>
      <w:spacing w:before="280"/>
      <w:ind w:left="1134" w:hanging="1134"/>
      <w:outlineLvl w:val="4"/>
    </w:pPr>
    <w:rPr>
      <w:b/>
      <w:kern w:val="28"/>
      <w:sz w:val="24"/>
      <w:lang w:eastAsia="en-AU"/>
    </w:rPr>
  </w:style>
  <w:style w:type="paragraph" w:customStyle="1" w:styleId="ActHead9">
    <w:name w:val="ActHead 9"/>
    <w:aliases w:val="aat"/>
    <w:basedOn w:val="Normal"/>
    <w:next w:val="ItemHead"/>
    <w:qFormat/>
    <w:rsid w:val="00D76BE1"/>
    <w:pPr>
      <w:keepNext/>
      <w:keepLines/>
      <w:spacing w:before="280"/>
      <w:ind w:left="1134" w:hanging="1134"/>
      <w:outlineLvl w:val="8"/>
    </w:pPr>
    <w:rPr>
      <w:b/>
      <w:i/>
      <w:kern w:val="28"/>
      <w:sz w:val="28"/>
      <w:lang w:eastAsia="en-AU"/>
    </w:rPr>
  </w:style>
  <w:style w:type="character" w:customStyle="1" w:styleId="CharSectno">
    <w:name w:val="CharSectno"/>
    <w:basedOn w:val="DefaultParagraphFont"/>
    <w:qFormat/>
    <w:rsid w:val="00D76BE1"/>
  </w:style>
  <w:style w:type="paragraph" w:customStyle="1" w:styleId="Item">
    <w:name w:val="Item"/>
    <w:aliases w:val="i"/>
    <w:basedOn w:val="Normal"/>
    <w:next w:val="ItemHead"/>
    <w:rsid w:val="00D76BE1"/>
    <w:pPr>
      <w:keepLines/>
      <w:spacing w:before="80"/>
      <w:ind w:left="709"/>
    </w:pPr>
    <w:rPr>
      <w:sz w:val="22"/>
      <w:lang w:eastAsia="en-AU"/>
    </w:rPr>
  </w:style>
  <w:style w:type="paragraph" w:customStyle="1" w:styleId="ItemHead">
    <w:name w:val="ItemHead"/>
    <w:aliases w:val="ih"/>
    <w:basedOn w:val="Normal"/>
    <w:next w:val="Item"/>
    <w:rsid w:val="00D76BE1"/>
    <w:pPr>
      <w:keepNext/>
      <w:keepLines/>
      <w:spacing w:before="22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0729">
      <w:bodyDiv w:val="1"/>
      <w:marLeft w:val="0"/>
      <w:marRight w:val="0"/>
      <w:marTop w:val="0"/>
      <w:marBottom w:val="0"/>
      <w:divBdr>
        <w:top w:val="none" w:sz="0" w:space="0" w:color="auto"/>
        <w:left w:val="none" w:sz="0" w:space="0" w:color="auto"/>
        <w:bottom w:val="none" w:sz="0" w:space="0" w:color="auto"/>
        <w:right w:val="none" w:sz="0" w:space="0" w:color="auto"/>
      </w:divBdr>
    </w:div>
    <w:div w:id="183556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7F0B8E90F4254B91571EA3467E2185" ma:contentTypeVersion="" ma:contentTypeDescription="PDMS Document Site Content Type" ma:contentTypeScope="" ma:versionID="f29a9d3ecdf2b2482f80400864abeed5">
  <xsd:schema xmlns:xsd="http://www.w3.org/2001/XMLSchema" xmlns:xs="http://www.w3.org/2001/XMLSchema" xmlns:p="http://schemas.microsoft.com/office/2006/metadata/properties" xmlns:ns2="CD688CD2-8648-466F-904F-BFC059598A53" targetNamespace="http://schemas.microsoft.com/office/2006/metadata/properties" ma:root="true" ma:fieldsID="cb13ea3fb7d9d5756b0689d128203020" ns2:_="">
    <xsd:import namespace="CD688CD2-8648-466F-904F-BFC059598A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88CD2-8648-466F-904F-BFC059598A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D688CD2-8648-466F-904F-BFC059598A53" xsi:nil="true"/>
  </documentManagement>
</p:properties>
</file>

<file path=customXml/itemProps1.xml><?xml version="1.0" encoding="utf-8"?>
<ds:datastoreItem xmlns:ds="http://schemas.openxmlformats.org/officeDocument/2006/customXml" ds:itemID="{EB532BEF-4042-420A-B716-85E3BDCB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88CD2-8648-466F-904F-BFC05959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B66D4-FF09-47B1-BB9C-44C61453B1A3}">
  <ds:schemaRefs>
    <ds:schemaRef ds:uri="http://schemas.microsoft.com/sharepoint/v3/contenttype/forms"/>
  </ds:schemaRefs>
</ds:datastoreItem>
</file>

<file path=customXml/itemProps3.xml><?xml version="1.0" encoding="utf-8"?>
<ds:datastoreItem xmlns:ds="http://schemas.openxmlformats.org/officeDocument/2006/customXml" ds:itemID="{D083DFF3-FC66-4A74-9C98-05CF8E87B14A}">
  <ds:schemaRefs>
    <ds:schemaRef ds:uri="CD688CD2-8648-466F-904F-BFC059598A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1167</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Department of Foreign Affairs and Trade</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ceverton</dc:creator>
  <cp:keywords/>
  <cp:lastModifiedBy>Shipley, Nell</cp:lastModifiedBy>
  <cp:revision>5</cp:revision>
  <cp:lastPrinted>2017-11-02T02:55:00Z</cp:lastPrinted>
  <dcterms:created xsi:type="dcterms:W3CDTF">2017-11-08T05:46:00Z</dcterms:created>
  <dcterms:modified xsi:type="dcterms:W3CDTF">2017-11-17T05:23:00Z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f7435d86-fb88-4e25-9de4-de17b313b559</vt:lpwstr>
  </property>
  <property fmtid="{D5CDD505-2E9C-101B-9397-08002B2CF9AE}" pid="3" name="ContentTypeId">
    <vt:lpwstr>0x010100266966F133664895A6EE3632470D45F500627F0B8E90F4254B91571EA3467E2185</vt:lpwstr>
  </property>
  <property fmtid="{D5CDD505-2E9C-101B-9397-08002B2CF9AE}" pid="4" name="SEC">
    <vt:lpwstr>UNCLASSIFIED</vt:lpwstr>
  </property>
  <property fmtid="{D5CDD505-2E9C-101B-9397-08002B2CF9AE}" pid="5" name="DLM">
    <vt:lpwstr>No DLM</vt:lpwstr>
  </property>
</Properties>
</file>