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7B" w:rsidRPr="006C2E1D" w:rsidRDefault="001B4A7B" w:rsidP="001B4A7B">
      <w:pPr>
        <w:jc w:val="center"/>
        <w:rPr>
          <w:rFonts w:asciiTheme="minorHAnsi" w:hAnsiTheme="minorHAnsi" w:cstheme="minorHAnsi"/>
          <w:b/>
          <w:lang w:val="en-GB"/>
        </w:rPr>
      </w:pPr>
      <w:bookmarkStart w:id="0" w:name="_GoBack"/>
      <w:bookmarkEnd w:id="0"/>
      <w:r w:rsidRPr="006C2E1D">
        <w:rPr>
          <w:rFonts w:asciiTheme="minorHAnsi" w:hAnsiTheme="minorHAnsi" w:cstheme="minorHAnsi"/>
          <w:b/>
          <w:lang w:val="en-GB"/>
        </w:rPr>
        <w:t>EXPLANATORY STATEMENT</w:t>
      </w:r>
    </w:p>
    <w:p w:rsidR="001B4A7B" w:rsidRPr="006C2E1D" w:rsidRDefault="001B4A7B" w:rsidP="001B4A7B">
      <w:pPr>
        <w:jc w:val="center"/>
        <w:rPr>
          <w:rFonts w:asciiTheme="minorHAnsi" w:hAnsiTheme="minorHAnsi" w:cstheme="minorHAnsi"/>
          <w:i/>
          <w:lang w:val="en-GB"/>
        </w:rPr>
      </w:pPr>
      <w:r w:rsidRPr="006C2E1D">
        <w:rPr>
          <w:rFonts w:asciiTheme="minorHAnsi" w:hAnsiTheme="minorHAnsi" w:cstheme="minorHAnsi"/>
          <w:i/>
          <w:lang w:val="en-GB"/>
        </w:rPr>
        <w:t>Consumer Goods (</w:t>
      </w:r>
      <w:r w:rsidR="000D5A29">
        <w:rPr>
          <w:rFonts w:asciiTheme="minorHAnsi" w:hAnsiTheme="minorHAnsi" w:cstheme="minorHAnsi"/>
          <w:i/>
          <w:lang w:val="en-GB"/>
        </w:rPr>
        <w:t>Vehicle S</w:t>
      </w:r>
      <w:r w:rsidR="00852C8E">
        <w:rPr>
          <w:rFonts w:asciiTheme="minorHAnsi" w:hAnsiTheme="minorHAnsi" w:cstheme="minorHAnsi"/>
          <w:i/>
          <w:lang w:val="en-GB"/>
        </w:rPr>
        <w:t xml:space="preserve">upport </w:t>
      </w:r>
      <w:r w:rsidR="000D5A29">
        <w:rPr>
          <w:rFonts w:asciiTheme="minorHAnsi" w:hAnsiTheme="minorHAnsi" w:cstheme="minorHAnsi"/>
          <w:i/>
          <w:lang w:val="en-GB"/>
        </w:rPr>
        <w:t>S</w:t>
      </w:r>
      <w:r w:rsidR="00852C8E">
        <w:rPr>
          <w:rFonts w:asciiTheme="minorHAnsi" w:hAnsiTheme="minorHAnsi" w:cstheme="minorHAnsi"/>
          <w:i/>
          <w:lang w:val="en-GB"/>
        </w:rPr>
        <w:t>tands</w:t>
      </w:r>
      <w:r w:rsidRPr="006C2E1D">
        <w:rPr>
          <w:rFonts w:asciiTheme="minorHAnsi" w:hAnsiTheme="minorHAnsi" w:cstheme="minorHAnsi"/>
          <w:i/>
          <w:lang w:val="en-GB"/>
        </w:rPr>
        <w:t>) Safety Standard 201</w:t>
      </w:r>
      <w:r w:rsidR="007A502D" w:rsidRPr="006C2E1D">
        <w:rPr>
          <w:rFonts w:asciiTheme="minorHAnsi" w:hAnsiTheme="minorHAnsi" w:cstheme="minorHAnsi"/>
          <w:i/>
          <w:lang w:val="en-GB"/>
        </w:rPr>
        <w:t>7</w:t>
      </w:r>
    </w:p>
    <w:p w:rsidR="001B4A7B" w:rsidRPr="006C2E1D" w:rsidRDefault="001B4A7B" w:rsidP="001B4A7B">
      <w:pPr>
        <w:rPr>
          <w:rFonts w:cs="Arial"/>
          <w:b/>
          <w:lang w:val="en-GB"/>
        </w:rPr>
      </w:pPr>
      <w:r w:rsidRPr="006C2E1D">
        <w:rPr>
          <w:rFonts w:cs="Arial"/>
          <w:b/>
          <w:lang w:val="en-GB"/>
        </w:rPr>
        <w:t>Overview</w:t>
      </w:r>
    </w:p>
    <w:p w:rsidR="00820DAD" w:rsidRDefault="00644E3A" w:rsidP="001B4A7B">
      <w:pPr>
        <w:rPr>
          <w:rFonts w:cs="Arial"/>
          <w:lang w:val="en-GB"/>
        </w:rPr>
      </w:pPr>
      <w:r w:rsidRPr="002F6A17">
        <w:rPr>
          <w:rFonts w:cs="Arial"/>
          <w:lang w:val="en-GB"/>
        </w:rPr>
        <w:t xml:space="preserve">The Commonwealth Minister for Small Business (the Minister) has made a safety standard for </w:t>
      </w:r>
      <w:r w:rsidR="00852C8E" w:rsidRPr="002F6A17">
        <w:rPr>
          <w:rFonts w:cs="Arial"/>
          <w:lang w:val="en-GB"/>
        </w:rPr>
        <w:t xml:space="preserve">vehicle support stands </w:t>
      </w:r>
      <w:r w:rsidRPr="002F6A17">
        <w:rPr>
          <w:rFonts w:cs="Arial"/>
          <w:lang w:val="en-GB"/>
        </w:rPr>
        <w:t>pursuant to section</w:t>
      </w:r>
      <w:r w:rsidR="004024D9">
        <w:rPr>
          <w:rFonts w:cs="Arial"/>
          <w:lang w:val="en-GB"/>
        </w:rPr>
        <w:t>s</w:t>
      </w:r>
      <w:r w:rsidRPr="002F6A17">
        <w:rPr>
          <w:rFonts w:cs="Arial"/>
          <w:lang w:val="en-GB"/>
        </w:rPr>
        <w:t xml:space="preserve"> 104</w:t>
      </w:r>
      <w:r w:rsidR="004024D9">
        <w:rPr>
          <w:rFonts w:cs="Arial"/>
          <w:lang w:val="en-GB"/>
        </w:rPr>
        <w:t xml:space="preserve"> and 105</w:t>
      </w:r>
      <w:r w:rsidRPr="002F6A17">
        <w:rPr>
          <w:rFonts w:cs="Arial"/>
          <w:lang w:val="en-GB"/>
        </w:rPr>
        <w:t xml:space="preserve"> of the Australian Consumer Law, which is Schedule 2 of the </w:t>
      </w:r>
      <w:r w:rsidRPr="002F6A17">
        <w:rPr>
          <w:rFonts w:cs="Arial"/>
          <w:i/>
          <w:lang w:val="en-GB"/>
        </w:rPr>
        <w:t>Competition and Consumer Act 2010 (Cth</w:t>
      </w:r>
      <w:r w:rsidR="00197372" w:rsidRPr="002F6A17">
        <w:rPr>
          <w:rFonts w:cs="Arial"/>
          <w:i/>
          <w:lang w:val="en-GB"/>
        </w:rPr>
        <w:t>)</w:t>
      </w:r>
      <w:r w:rsidRPr="002F6A17">
        <w:rPr>
          <w:rFonts w:cs="Arial"/>
          <w:lang w:val="en-GB"/>
        </w:rPr>
        <w:t>.</w:t>
      </w:r>
    </w:p>
    <w:p w:rsidR="00820DAD" w:rsidRDefault="00820DAD" w:rsidP="00884D6C">
      <w:pPr>
        <w:rPr>
          <w:rFonts w:cs="Arial"/>
          <w:lang w:val="en-GB"/>
        </w:rPr>
      </w:pPr>
      <w:r w:rsidRPr="00820DAD">
        <w:rPr>
          <w:rFonts w:cs="Arial"/>
          <w:lang w:val="en-GB"/>
        </w:rPr>
        <w:t xml:space="preserve">The safety standard comes into effect on the day after it is registered on the Federal Register of Legislation. A transitional period of 24 months will apply during which suppliers may supply </w:t>
      </w:r>
      <w:r w:rsidR="001A30A4">
        <w:rPr>
          <w:rFonts w:cs="Arial"/>
          <w:lang w:val="en-GB"/>
        </w:rPr>
        <w:t xml:space="preserve">vehicle support stands </w:t>
      </w:r>
      <w:r w:rsidRPr="00820DAD">
        <w:rPr>
          <w:rFonts w:cs="Arial"/>
          <w:lang w:val="en-GB"/>
        </w:rPr>
        <w:t>that meet either the previous safety standard or the new safety standard. At the end of the 24 month transitional period</w:t>
      </w:r>
      <w:r w:rsidR="009F0946">
        <w:rPr>
          <w:rFonts w:cs="Arial"/>
          <w:lang w:val="en-GB"/>
        </w:rPr>
        <w:t>,</w:t>
      </w:r>
      <w:r w:rsidRPr="00820DAD">
        <w:rPr>
          <w:rFonts w:cs="Arial"/>
          <w:lang w:val="en-GB"/>
        </w:rPr>
        <w:t xml:space="preserve"> suppliers will need to ensure they comply with the new safety standard.</w:t>
      </w:r>
    </w:p>
    <w:p w:rsidR="00925D12" w:rsidRDefault="001B4A7B" w:rsidP="00884D6C">
      <w:pPr>
        <w:rPr>
          <w:rFonts w:eastAsia="Arial" w:cs="Arial"/>
        </w:rPr>
      </w:pPr>
      <w:r w:rsidRPr="00E97A3E">
        <w:rPr>
          <w:rFonts w:eastAsia="Arial" w:cs="Arial"/>
        </w:rPr>
        <w:t xml:space="preserve">The </w:t>
      </w:r>
      <w:r w:rsidR="0091775F" w:rsidRPr="00E97A3E">
        <w:rPr>
          <w:rFonts w:eastAsia="Arial" w:cs="Arial"/>
        </w:rPr>
        <w:t xml:space="preserve">purpose of the </w:t>
      </w:r>
      <w:r w:rsidR="001F4C58" w:rsidRPr="00E97A3E">
        <w:rPr>
          <w:rFonts w:eastAsia="Arial" w:cs="Arial"/>
        </w:rPr>
        <w:t xml:space="preserve">safety </w:t>
      </w:r>
      <w:r w:rsidR="0091775F" w:rsidRPr="00E97A3E">
        <w:rPr>
          <w:rFonts w:eastAsia="Arial" w:cs="Arial"/>
        </w:rPr>
        <w:t>standard is to</w:t>
      </w:r>
      <w:r w:rsidRPr="00E97A3E">
        <w:rPr>
          <w:rFonts w:eastAsia="Arial" w:cs="Arial"/>
        </w:rPr>
        <w:t xml:space="preserve"> reduce the risk of </w:t>
      </w:r>
      <w:r w:rsidR="00A71F5F" w:rsidRPr="00E97A3E">
        <w:rPr>
          <w:rFonts w:eastAsia="Arial" w:cs="Arial"/>
        </w:rPr>
        <w:t xml:space="preserve">death and serious injuries </w:t>
      </w:r>
      <w:r w:rsidR="00127FD6" w:rsidRPr="00E97A3E">
        <w:rPr>
          <w:rFonts w:eastAsia="Arial" w:cs="Arial"/>
        </w:rPr>
        <w:t>resulting from</w:t>
      </w:r>
      <w:r w:rsidR="00A71F5F" w:rsidRPr="00E97A3E">
        <w:rPr>
          <w:rFonts w:eastAsia="Arial" w:cs="Arial"/>
        </w:rPr>
        <w:t xml:space="preserve"> </w:t>
      </w:r>
      <w:r w:rsidR="00E97A3E" w:rsidRPr="00E97A3E">
        <w:rPr>
          <w:rFonts w:eastAsia="Arial" w:cs="Arial"/>
        </w:rPr>
        <w:t xml:space="preserve">the use of </w:t>
      </w:r>
      <w:r w:rsidR="00852C8E">
        <w:rPr>
          <w:rFonts w:cs="Arial"/>
          <w:lang w:val="en-GB"/>
        </w:rPr>
        <w:t>vehicle support stands</w:t>
      </w:r>
      <w:r w:rsidR="00B47C2D">
        <w:rPr>
          <w:rFonts w:eastAsia="Arial" w:cs="Arial"/>
        </w:rPr>
        <w:t xml:space="preserve"> and associated products</w:t>
      </w:r>
      <w:r w:rsidR="00E97A3E" w:rsidRPr="00E97A3E">
        <w:rPr>
          <w:rFonts w:eastAsia="Arial" w:cs="Arial"/>
        </w:rPr>
        <w:t xml:space="preserve">. </w:t>
      </w:r>
      <w:r w:rsidR="00B9628B" w:rsidRPr="00E97A3E">
        <w:rPr>
          <w:rFonts w:eastAsia="Arial" w:cs="Arial"/>
        </w:rPr>
        <w:t xml:space="preserve">The </w:t>
      </w:r>
      <w:r w:rsidR="00925D12">
        <w:rPr>
          <w:rFonts w:eastAsia="Arial" w:cs="Arial"/>
        </w:rPr>
        <w:t xml:space="preserve">previous </w:t>
      </w:r>
      <w:r w:rsidRPr="00E97A3E">
        <w:rPr>
          <w:rFonts w:eastAsia="Arial" w:cs="Arial"/>
        </w:rPr>
        <w:t>standard was introduced in</w:t>
      </w:r>
      <w:r w:rsidR="00D73912" w:rsidRPr="00E97A3E">
        <w:rPr>
          <w:rFonts w:eastAsia="Arial" w:cs="Arial"/>
        </w:rPr>
        <w:t xml:space="preserve"> </w:t>
      </w:r>
      <w:r w:rsidR="00E97A3E" w:rsidRPr="00E97A3E">
        <w:rPr>
          <w:rFonts w:eastAsia="Arial" w:cs="Arial"/>
        </w:rPr>
        <w:t xml:space="preserve">1985 due to </w:t>
      </w:r>
      <w:r w:rsidR="000E70CC">
        <w:rPr>
          <w:rFonts w:eastAsia="Arial" w:cs="Arial"/>
        </w:rPr>
        <w:t xml:space="preserve">concerns about the </w:t>
      </w:r>
      <w:r w:rsidR="00925D12">
        <w:rPr>
          <w:rFonts w:eastAsia="Arial" w:cs="Arial"/>
        </w:rPr>
        <w:t>safety</w:t>
      </w:r>
      <w:r w:rsidR="00E97A3E" w:rsidRPr="008852B3">
        <w:rPr>
          <w:rFonts w:eastAsia="Arial" w:cs="Arial"/>
        </w:rPr>
        <w:t xml:space="preserve"> of these products.</w:t>
      </w:r>
    </w:p>
    <w:p w:rsidR="00925D12" w:rsidRDefault="00925D12" w:rsidP="00925D12">
      <w:pPr>
        <w:rPr>
          <w:rFonts w:eastAsia="Arial" w:cs="Arial"/>
        </w:rPr>
      </w:pPr>
      <w:r w:rsidRPr="008852B3">
        <w:rPr>
          <w:rFonts w:eastAsia="Arial" w:cs="Arial"/>
        </w:rPr>
        <w:t>Since 2000, five Australians</w:t>
      </w:r>
      <w:r>
        <w:rPr>
          <w:rFonts w:eastAsia="Arial" w:cs="Arial"/>
        </w:rPr>
        <w:t xml:space="preserve"> have, on average,</w:t>
      </w:r>
      <w:r w:rsidRPr="008852B3">
        <w:rPr>
          <w:rFonts w:eastAsia="Arial" w:cs="Arial"/>
        </w:rPr>
        <w:t xml:space="preserve"> been killed at home from vehicles falling on them while they were performing mai</w:t>
      </w:r>
      <w:r>
        <w:rPr>
          <w:rFonts w:eastAsia="Arial" w:cs="Arial"/>
        </w:rPr>
        <w:t>ntenance underneath the vehicle</w:t>
      </w:r>
      <w:r w:rsidRPr="008852B3">
        <w:rPr>
          <w:rFonts w:eastAsia="Arial" w:cs="Arial"/>
        </w:rPr>
        <w:t xml:space="preserve">. </w:t>
      </w:r>
      <w:r>
        <w:rPr>
          <w:rFonts w:eastAsia="Arial" w:cs="Arial"/>
        </w:rPr>
        <w:t xml:space="preserve">These deaths have been linked to incorrect use of lifting and support products (e.g. using a trolley jack without </w:t>
      </w:r>
      <w:r w:rsidR="001A30A4">
        <w:rPr>
          <w:rFonts w:eastAsia="Arial" w:cs="Arial"/>
        </w:rPr>
        <w:t xml:space="preserve">vehicle </w:t>
      </w:r>
      <w:r>
        <w:rPr>
          <w:rFonts w:eastAsia="Arial" w:cs="Arial"/>
        </w:rPr>
        <w:t>support stands) or using unstable and inappropriate alternatives such as bricks and wooden blocks.</w:t>
      </w:r>
    </w:p>
    <w:p w:rsidR="00F5752F" w:rsidRPr="00197372" w:rsidRDefault="00F5752F" w:rsidP="00F5752F">
      <w:pPr>
        <w:rPr>
          <w:rFonts w:cs="Arial"/>
          <w:b/>
          <w:lang w:val="en-GB"/>
        </w:rPr>
      </w:pPr>
      <w:r w:rsidRPr="00197372">
        <w:rPr>
          <w:rFonts w:cs="Arial"/>
          <w:b/>
          <w:lang w:val="en-GB"/>
        </w:rPr>
        <w:t>Repealed Standard</w:t>
      </w:r>
    </w:p>
    <w:p w:rsidR="002B60C9" w:rsidRDefault="002B60C9" w:rsidP="001B4A7B">
      <w:pPr>
        <w:rPr>
          <w:rFonts w:cs="Arial"/>
          <w:lang w:val="en-GB"/>
        </w:rPr>
      </w:pPr>
      <w:r w:rsidRPr="00197372">
        <w:rPr>
          <w:rFonts w:cs="Arial"/>
          <w:lang w:val="en-GB"/>
        </w:rPr>
        <w:t xml:space="preserve">The </w:t>
      </w:r>
      <w:r w:rsidR="00A624C1" w:rsidRPr="00197372">
        <w:rPr>
          <w:rFonts w:cs="Arial"/>
          <w:lang w:val="en-GB"/>
        </w:rPr>
        <w:t xml:space="preserve">previous safety </w:t>
      </w:r>
      <w:r w:rsidRPr="00197372">
        <w:rPr>
          <w:rFonts w:cs="Arial"/>
          <w:lang w:val="en-GB"/>
        </w:rPr>
        <w:t xml:space="preserve">standard </w:t>
      </w:r>
      <w:r w:rsidR="00F5752F" w:rsidRPr="00197372">
        <w:rPr>
          <w:rFonts w:cs="Arial"/>
          <w:lang w:val="en-GB"/>
        </w:rPr>
        <w:t xml:space="preserve">for </w:t>
      </w:r>
      <w:r w:rsidR="00852C8E" w:rsidRPr="00197372">
        <w:rPr>
          <w:rFonts w:cs="Arial"/>
          <w:lang w:val="en-GB"/>
        </w:rPr>
        <w:t>vehicle support stands</w:t>
      </w:r>
      <w:r w:rsidR="00692E2E" w:rsidRPr="00197372">
        <w:rPr>
          <w:rFonts w:cs="Arial"/>
          <w:lang w:val="en-GB"/>
        </w:rPr>
        <w:t xml:space="preserve"> </w:t>
      </w:r>
      <w:r w:rsidRPr="00197372">
        <w:rPr>
          <w:rFonts w:cs="Arial"/>
          <w:lang w:val="en-GB"/>
        </w:rPr>
        <w:t>was</w:t>
      </w:r>
      <w:r w:rsidR="005D6AFC" w:rsidRPr="00197372">
        <w:rPr>
          <w:rFonts w:cs="Arial"/>
          <w:lang w:val="en-GB"/>
        </w:rPr>
        <w:t xml:space="preserve"> the </w:t>
      </w:r>
      <w:r w:rsidR="005D6AFC" w:rsidRPr="00197372">
        <w:rPr>
          <w:rFonts w:cs="Arial"/>
          <w:i/>
          <w:lang w:val="en-GB"/>
        </w:rPr>
        <w:t>Trade Practices Act 1974</w:t>
      </w:r>
      <w:r w:rsidRPr="00197372">
        <w:rPr>
          <w:rFonts w:cs="Arial"/>
          <w:lang w:val="en-GB"/>
        </w:rPr>
        <w:t xml:space="preserve"> </w:t>
      </w:r>
      <w:r w:rsidR="006F615F" w:rsidRPr="00197372">
        <w:rPr>
          <w:rFonts w:cs="Arial"/>
          <w:lang w:val="en-GB"/>
        </w:rPr>
        <w:t>Consumer Protection Notice No 1</w:t>
      </w:r>
      <w:r w:rsidR="00197372" w:rsidRPr="00197372">
        <w:rPr>
          <w:rFonts w:cs="Arial"/>
          <w:lang w:val="en-GB"/>
        </w:rPr>
        <w:t>2</w:t>
      </w:r>
      <w:r w:rsidR="006F615F" w:rsidRPr="00197372">
        <w:rPr>
          <w:rFonts w:cs="Arial"/>
          <w:lang w:val="en-GB"/>
        </w:rPr>
        <w:t xml:space="preserve"> of 2008 – </w:t>
      </w:r>
      <w:r w:rsidR="006F615F" w:rsidRPr="0049090A">
        <w:rPr>
          <w:rFonts w:cs="Arial"/>
          <w:i/>
          <w:lang w:val="en-GB"/>
        </w:rPr>
        <w:t>C</w:t>
      </w:r>
      <w:r w:rsidR="0049090A" w:rsidRPr="0049090A">
        <w:rPr>
          <w:rFonts w:cs="Arial"/>
          <w:i/>
          <w:lang w:val="en-GB"/>
        </w:rPr>
        <w:t>onsumer Product Safety Standard for Vehicle Support Stands</w:t>
      </w:r>
      <w:r w:rsidR="0049090A">
        <w:rPr>
          <w:rFonts w:cs="Arial"/>
          <w:lang w:val="en-GB"/>
        </w:rPr>
        <w:t>.</w:t>
      </w:r>
    </w:p>
    <w:p w:rsidR="008C5FAA" w:rsidRPr="008B62BE" w:rsidRDefault="008C5FAA" w:rsidP="008C5FAA">
      <w:pPr>
        <w:rPr>
          <w:rFonts w:cs="Arial"/>
          <w:lang w:val="en-GB"/>
        </w:rPr>
      </w:pPr>
      <w:r w:rsidRPr="00EE6BA8">
        <w:rPr>
          <w:rFonts w:cs="Arial"/>
          <w:lang w:val="en-GB"/>
        </w:rPr>
        <w:t xml:space="preserve">Under subsection 33(3) of the </w:t>
      </w:r>
      <w:r w:rsidRPr="00EE6BA8">
        <w:rPr>
          <w:rFonts w:cs="Arial"/>
          <w:i/>
          <w:lang w:val="en-GB"/>
        </w:rPr>
        <w:t>Acts Interpretation Act 1901</w:t>
      </w:r>
      <w:r>
        <w:rPr>
          <w:rFonts w:cs="Arial"/>
          <w:lang w:val="en-GB"/>
        </w:rPr>
        <w:t xml:space="preserve">, where an Act </w:t>
      </w:r>
      <w:r w:rsidRPr="00EE6BA8">
        <w:rPr>
          <w:rFonts w:cs="Arial"/>
          <w:lang w:val="en-GB"/>
        </w:rPr>
        <w:t>confers a power to make, grant or issue any instrument of a legislative or</w:t>
      </w:r>
      <w:r>
        <w:rPr>
          <w:rFonts w:cs="Arial"/>
          <w:lang w:val="en-GB"/>
        </w:rPr>
        <w:t xml:space="preserve"> </w:t>
      </w:r>
      <w:r w:rsidRPr="00EE6BA8">
        <w:rPr>
          <w:rFonts w:cs="Arial"/>
          <w:lang w:val="en-GB"/>
        </w:rPr>
        <w:t>administrative character (including rules, regulations or by-laws),</w:t>
      </w:r>
      <w:r>
        <w:rPr>
          <w:rFonts w:cs="Arial"/>
          <w:lang w:val="en-GB"/>
        </w:rPr>
        <w:t xml:space="preserve"> </w:t>
      </w:r>
      <w:r w:rsidRPr="00EE6BA8">
        <w:rPr>
          <w:rFonts w:cs="Arial"/>
          <w:lang w:val="en-GB"/>
        </w:rPr>
        <w:t>the power shall be construed as including a power exercisable in the like</w:t>
      </w:r>
      <w:r>
        <w:rPr>
          <w:rFonts w:cs="Arial"/>
          <w:lang w:val="en-GB"/>
        </w:rPr>
        <w:t xml:space="preserve"> </w:t>
      </w:r>
      <w:r w:rsidRPr="00EE6BA8">
        <w:rPr>
          <w:rFonts w:cs="Arial"/>
          <w:lang w:val="en-GB"/>
        </w:rPr>
        <w:t>manner and subject to the like conditions (if any) to repeal, rescind,</w:t>
      </w:r>
      <w:r>
        <w:rPr>
          <w:rFonts w:cs="Arial"/>
          <w:lang w:val="en-GB"/>
        </w:rPr>
        <w:t xml:space="preserve"> </w:t>
      </w:r>
      <w:r w:rsidRPr="00EE6BA8">
        <w:rPr>
          <w:rFonts w:cs="Arial"/>
          <w:lang w:val="en-GB"/>
        </w:rPr>
        <w:t>revoke, amend, or vary any such instrument.</w:t>
      </w:r>
    </w:p>
    <w:p w:rsidR="001B4A7B" w:rsidRPr="006C2E1D" w:rsidRDefault="001B4A7B" w:rsidP="001B4A7B">
      <w:pPr>
        <w:rPr>
          <w:rFonts w:cs="Arial"/>
          <w:b/>
          <w:lang w:val="en-GB"/>
        </w:rPr>
      </w:pPr>
      <w:r w:rsidRPr="00197372">
        <w:rPr>
          <w:rFonts w:cs="Arial"/>
          <w:b/>
          <w:lang w:val="en-GB"/>
        </w:rPr>
        <w:t xml:space="preserve">Requirements </w:t>
      </w:r>
      <w:r w:rsidR="007A502D" w:rsidRPr="00197372">
        <w:rPr>
          <w:rFonts w:cs="Arial"/>
          <w:b/>
          <w:lang w:val="en-GB"/>
        </w:rPr>
        <w:t xml:space="preserve">of </w:t>
      </w:r>
      <w:r w:rsidRPr="00197372">
        <w:rPr>
          <w:rFonts w:cs="Arial"/>
          <w:b/>
          <w:lang w:val="en-GB"/>
        </w:rPr>
        <w:t>the safety standard</w:t>
      </w:r>
    </w:p>
    <w:p w:rsidR="00C50FC9" w:rsidRDefault="00B9628B" w:rsidP="00B9628B">
      <w:pPr>
        <w:rPr>
          <w:rFonts w:cs="Arial"/>
          <w:lang w:val="en-GB"/>
        </w:rPr>
      </w:pPr>
      <w:r w:rsidRPr="00B9628B">
        <w:rPr>
          <w:rFonts w:cs="Arial"/>
          <w:lang w:val="en-GB"/>
        </w:rPr>
        <w:t xml:space="preserve">This </w:t>
      </w:r>
      <w:r w:rsidR="00EC754B">
        <w:rPr>
          <w:rFonts w:cs="Arial"/>
          <w:lang w:val="en-GB"/>
        </w:rPr>
        <w:t xml:space="preserve">safety </w:t>
      </w:r>
      <w:r>
        <w:rPr>
          <w:rFonts w:cs="Arial"/>
          <w:lang w:val="en-GB"/>
        </w:rPr>
        <w:t>standard</w:t>
      </w:r>
      <w:r w:rsidRPr="00B9628B">
        <w:rPr>
          <w:rFonts w:cs="Arial"/>
          <w:lang w:val="en-GB"/>
        </w:rPr>
        <w:t xml:space="preserve"> applies to </w:t>
      </w:r>
      <w:r w:rsidR="00FC2348">
        <w:rPr>
          <w:rFonts w:cs="Arial"/>
          <w:lang w:val="en-GB"/>
        </w:rPr>
        <w:t>vehicle support stands</w:t>
      </w:r>
      <w:r w:rsidR="00C50FC9">
        <w:rPr>
          <w:rFonts w:cs="Arial"/>
          <w:lang w:val="en-GB"/>
        </w:rPr>
        <w:t>.</w:t>
      </w:r>
    </w:p>
    <w:p w:rsidR="00634102" w:rsidRPr="006C2E1D" w:rsidRDefault="00634102" w:rsidP="001B4A7B">
      <w:pPr>
        <w:rPr>
          <w:rFonts w:cs="Arial"/>
          <w:lang w:val="en-GB"/>
        </w:rPr>
      </w:pPr>
      <w:r w:rsidRPr="006C2E1D">
        <w:rPr>
          <w:rFonts w:cs="Arial"/>
          <w:lang w:val="en-GB"/>
        </w:rPr>
        <w:t>The safety standard includes the following definition</w:t>
      </w:r>
      <w:r w:rsidR="005D4A09">
        <w:rPr>
          <w:rFonts w:cs="Arial"/>
          <w:lang w:val="en-GB"/>
        </w:rPr>
        <w:t>s:</w:t>
      </w:r>
    </w:p>
    <w:p w:rsidR="0033341C" w:rsidRDefault="0033341C" w:rsidP="0033341C">
      <w:pPr>
        <w:pStyle w:val="Definition"/>
        <w:ind w:left="0"/>
        <w:rPr>
          <w:rFonts w:ascii="Arial" w:hAnsi="Arial" w:cs="Arial"/>
        </w:rPr>
      </w:pPr>
      <w:r>
        <w:rPr>
          <w:rFonts w:ascii="Arial" w:hAnsi="Arial" w:cs="Arial"/>
          <w:b/>
          <w:i/>
        </w:rPr>
        <w:t xml:space="preserve">Australian Standard </w:t>
      </w:r>
      <w:r w:rsidRPr="0033341C">
        <w:rPr>
          <w:rFonts w:ascii="Arial" w:hAnsi="Arial" w:cs="Arial"/>
        </w:rPr>
        <w:t>means</w:t>
      </w:r>
      <w:r>
        <w:rPr>
          <w:rFonts w:ascii="Arial" w:hAnsi="Arial" w:cs="Arial"/>
        </w:rPr>
        <w:t xml:space="preserve"> Australian Standard </w:t>
      </w:r>
      <w:r w:rsidRPr="002004E3">
        <w:rPr>
          <w:rFonts w:ascii="Arial" w:hAnsi="Arial" w:cs="Arial"/>
        </w:rPr>
        <w:t>AS 2538:2016</w:t>
      </w:r>
      <w:r w:rsidRPr="0033341C">
        <w:rPr>
          <w:rFonts w:ascii="Arial" w:hAnsi="Arial" w:cs="Arial"/>
          <w:i/>
        </w:rPr>
        <w:t xml:space="preserve"> Vehicle support stands</w:t>
      </w:r>
      <w:r>
        <w:rPr>
          <w:rFonts w:ascii="Arial" w:hAnsi="Arial" w:cs="Arial"/>
        </w:rPr>
        <w:t>.</w:t>
      </w:r>
    </w:p>
    <w:p w:rsidR="0033341C" w:rsidRDefault="0033341C" w:rsidP="0033341C">
      <w:pPr>
        <w:pStyle w:val="Definition"/>
        <w:ind w:left="0"/>
        <w:rPr>
          <w:rFonts w:ascii="Arial" w:hAnsi="Arial" w:cs="Arial"/>
        </w:rPr>
      </w:pPr>
      <w:r>
        <w:rPr>
          <w:rFonts w:ascii="Arial" w:hAnsi="Arial" w:cs="Arial"/>
          <w:b/>
          <w:i/>
        </w:rPr>
        <w:t xml:space="preserve">Vehicle support stand </w:t>
      </w:r>
      <w:r w:rsidRPr="0033341C">
        <w:rPr>
          <w:rFonts w:ascii="Arial" w:hAnsi="Arial" w:cs="Arial"/>
        </w:rPr>
        <w:t>means</w:t>
      </w:r>
      <w:r>
        <w:rPr>
          <w:rFonts w:ascii="Arial" w:hAnsi="Arial" w:cs="Arial"/>
        </w:rPr>
        <w:t xml:space="preserve"> a vehicle support stand (within the meaning of the Australian Standard) that has a nominated capacity (in accordance with that Standard) of 1,500 kilograms or less.</w:t>
      </w:r>
    </w:p>
    <w:p w:rsidR="003046B6" w:rsidRPr="003046B6" w:rsidRDefault="001B4A7B" w:rsidP="00140C59">
      <w:pPr>
        <w:pStyle w:val="Definition"/>
        <w:ind w:left="0"/>
        <w:rPr>
          <w:rFonts w:asciiTheme="minorHAnsi" w:hAnsiTheme="minorHAnsi" w:cstheme="minorHAnsi"/>
          <w:lang w:val="en-GB"/>
        </w:rPr>
      </w:pPr>
      <w:r w:rsidRPr="00140C59">
        <w:rPr>
          <w:rFonts w:asciiTheme="minorHAnsi" w:hAnsiTheme="minorHAnsi" w:cstheme="minorHAnsi"/>
          <w:lang w:val="en-GB"/>
        </w:rPr>
        <w:t xml:space="preserve">The safety standard requires </w:t>
      </w:r>
      <w:r w:rsidR="00E53F2F" w:rsidRPr="00140C59">
        <w:rPr>
          <w:rFonts w:asciiTheme="minorHAnsi" w:hAnsiTheme="minorHAnsi" w:cstheme="minorHAnsi"/>
          <w:lang w:val="en-GB"/>
        </w:rPr>
        <w:t>the supply of</w:t>
      </w:r>
      <w:r w:rsidR="007A502D" w:rsidRPr="00140C59">
        <w:rPr>
          <w:rFonts w:asciiTheme="minorHAnsi" w:hAnsiTheme="minorHAnsi" w:cstheme="minorHAnsi"/>
          <w:lang w:val="en-GB"/>
        </w:rPr>
        <w:t xml:space="preserve"> </w:t>
      </w:r>
      <w:r w:rsidR="00E91FE0" w:rsidRPr="00140C59">
        <w:rPr>
          <w:rFonts w:asciiTheme="minorHAnsi" w:hAnsiTheme="minorHAnsi" w:cstheme="minorHAnsi"/>
          <w:lang w:val="en-GB"/>
        </w:rPr>
        <w:t>vehicle support stands</w:t>
      </w:r>
      <w:r w:rsidR="00692E2E" w:rsidRPr="00140C59">
        <w:rPr>
          <w:rFonts w:asciiTheme="minorHAnsi" w:hAnsiTheme="minorHAnsi" w:cstheme="minorHAnsi"/>
          <w:lang w:val="en-GB"/>
        </w:rPr>
        <w:t xml:space="preserve"> to comply with</w:t>
      </w:r>
      <w:r w:rsidR="00140C59" w:rsidRPr="00140C59">
        <w:rPr>
          <w:rFonts w:asciiTheme="minorHAnsi" w:hAnsiTheme="minorHAnsi" w:cstheme="minorHAnsi"/>
          <w:lang w:val="en-GB"/>
        </w:rPr>
        <w:t xml:space="preserve"> the </w:t>
      </w:r>
      <w:r w:rsidR="00597A5A" w:rsidRPr="00140C59">
        <w:rPr>
          <w:rFonts w:asciiTheme="minorHAnsi" w:hAnsiTheme="minorHAnsi" w:cstheme="minorHAnsi"/>
          <w:lang w:val="en-GB"/>
        </w:rPr>
        <w:t xml:space="preserve">Australian </w:t>
      </w:r>
      <w:r w:rsidR="00597A5A" w:rsidRPr="002004E3">
        <w:rPr>
          <w:rFonts w:asciiTheme="minorHAnsi" w:hAnsiTheme="minorHAnsi" w:cstheme="minorHAnsi"/>
          <w:lang w:val="en-GB"/>
        </w:rPr>
        <w:t xml:space="preserve">standard </w:t>
      </w:r>
      <w:r w:rsidR="00A7241C" w:rsidRPr="002004E3">
        <w:rPr>
          <w:rFonts w:asciiTheme="minorHAnsi" w:hAnsiTheme="minorHAnsi" w:cstheme="minorHAnsi"/>
          <w:lang w:val="en-GB"/>
        </w:rPr>
        <w:t>AS </w:t>
      </w:r>
      <w:r w:rsidR="00140C59" w:rsidRPr="002004E3">
        <w:rPr>
          <w:rFonts w:asciiTheme="minorHAnsi" w:hAnsiTheme="minorHAnsi" w:cstheme="minorHAnsi"/>
          <w:lang w:val="en-GB"/>
        </w:rPr>
        <w:t>2538:2016</w:t>
      </w:r>
      <w:r w:rsidR="00140C59" w:rsidRPr="00140C59">
        <w:rPr>
          <w:rFonts w:asciiTheme="minorHAnsi" w:hAnsiTheme="minorHAnsi" w:cstheme="minorHAnsi"/>
          <w:i/>
          <w:lang w:val="en-GB"/>
        </w:rPr>
        <w:t xml:space="preserve"> Vehicle support stands</w:t>
      </w:r>
      <w:r w:rsidR="003046B6">
        <w:rPr>
          <w:rFonts w:asciiTheme="minorHAnsi" w:hAnsiTheme="minorHAnsi" w:cstheme="minorHAnsi"/>
          <w:i/>
          <w:lang w:val="en-GB"/>
        </w:rPr>
        <w:t xml:space="preserve"> </w:t>
      </w:r>
      <w:r w:rsidR="003046B6" w:rsidRPr="008C5FAA">
        <w:rPr>
          <w:rFonts w:asciiTheme="minorHAnsi" w:hAnsiTheme="minorHAnsi" w:cstheme="minorHAnsi"/>
          <w:lang w:val="en-GB"/>
        </w:rPr>
        <w:t>(with variations)</w:t>
      </w:r>
      <w:r w:rsidR="00140C59" w:rsidRPr="008C5FAA">
        <w:rPr>
          <w:rFonts w:asciiTheme="minorHAnsi" w:hAnsiTheme="minorHAnsi" w:cstheme="minorHAnsi"/>
          <w:lang w:val="en-GB"/>
        </w:rPr>
        <w:t>.</w:t>
      </w:r>
    </w:p>
    <w:p w:rsidR="00474CC5" w:rsidRDefault="00474CC5" w:rsidP="00474CC5">
      <w:pPr>
        <w:rPr>
          <w:rFonts w:cs="Arial"/>
          <w:b/>
          <w:lang w:val="en-GB"/>
        </w:rPr>
      </w:pPr>
      <w:r>
        <w:rPr>
          <w:rFonts w:cs="Arial"/>
          <w:b/>
          <w:lang w:val="en-GB"/>
        </w:rPr>
        <w:t>Access to Australian and international standards</w:t>
      </w:r>
    </w:p>
    <w:p w:rsidR="00474CC5" w:rsidRDefault="00474CC5" w:rsidP="00474CC5">
      <w:pPr>
        <w:rPr>
          <w:iCs/>
        </w:rPr>
      </w:pPr>
      <w:r w:rsidRPr="00BF6D5E">
        <w:rPr>
          <w:iCs/>
        </w:rPr>
        <w:t>Where practicable, product safety legislative instruments only reference extrinsic material that is readily accessible for free by the public. However, as in the current case, many product safety legislative instruments need to incorporate extrinsic technical standards over</w:t>
      </w:r>
      <w:r>
        <w:rPr>
          <w:iCs/>
        </w:rPr>
        <w:t xml:space="preserve"> which certain bodies</w:t>
      </w:r>
      <w:r w:rsidRPr="00BF6D5E">
        <w:rPr>
          <w:iCs/>
        </w:rPr>
        <w:t xml:space="preserve"> have copyright. </w:t>
      </w:r>
      <w:r w:rsidRPr="006635CB">
        <w:rPr>
          <w:iCs/>
        </w:rPr>
        <w:t>The</w:t>
      </w:r>
      <w:r w:rsidR="003A38F1">
        <w:rPr>
          <w:iCs/>
        </w:rPr>
        <w:t xml:space="preserve"> voluntary</w:t>
      </w:r>
      <w:r w:rsidRPr="006635CB">
        <w:rPr>
          <w:iCs/>
        </w:rPr>
        <w:t xml:space="preserve"> Australian </w:t>
      </w:r>
      <w:r w:rsidR="00D22586">
        <w:rPr>
          <w:iCs/>
        </w:rPr>
        <w:t>standard</w:t>
      </w:r>
      <w:r w:rsidR="00D22586" w:rsidRPr="006635CB">
        <w:rPr>
          <w:iCs/>
        </w:rPr>
        <w:t xml:space="preserve"> referenced in this instrument is</w:t>
      </w:r>
      <w:r w:rsidRPr="006635CB">
        <w:rPr>
          <w:iCs/>
        </w:rPr>
        <w:t xml:space="preserve"> available for purchase </w:t>
      </w:r>
      <w:r>
        <w:rPr>
          <w:iCs/>
        </w:rPr>
        <w:t xml:space="preserve">at </w:t>
      </w:r>
      <w:r w:rsidRPr="006635CB">
        <w:rPr>
          <w:iCs/>
        </w:rPr>
        <w:t>SAI Global’s website (</w:t>
      </w:r>
      <w:hyperlink r:id="rId10" w:history="1">
        <w:r w:rsidRPr="00035DC6">
          <w:rPr>
            <w:rStyle w:val="Hyperlink"/>
            <w:iCs/>
          </w:rPr>
          <w:t>https://www.saiglobal.com</w:t>
        </w:r>
      </w:hyperlink>
      <w:r>
        <w:rPr>
          <w:iCs/>
        </w:rPr>
        <w:t>)</w:t>
      </w:r>
      <w:r w:rsidRPr="006635CB">
        <w:rPr>
          <w:iCs/>
        </w:rPr>
        <w:t xml:space="preserve">. </w:t>
      </w:r>
    </w:p>
    <w:p w:rsidR="00474CC5" w:rsidRPr="006635CB" w:rsidRDefault="00474CC5" w:rsidP="00474CC5">
      <w:pPr>
        <w:rPr>
          <w:rFonts w:cs="Arial"/>
          <w:lang w:val="en-GB"/>
        </w:rPr>
      </w:pPr>
      <w:r w:rsidRPr="006635CB">
        <w:rPr>
          <w:iCs/>
        </w:rPr>
        <w:lastRenderedPageBreak/>
        <w:t>The Australian Comp</w:t>
      </w:r>
      <w:r w:rsidR="00FA0D56">
        <w:rPr>
          <w:iCs/>
        </w:rPr>
        <w:t>etition and Consumer Commission</w:t>
      </w:r>
      <w:r>
        <w:rPr>
          <w:iCs/>
        </w:rPr>
        <w:t xml:space="preserve"> </w:t>
      </w:r>
      <w:r w:rsidRPr="006635CB">
        <w:rPr>
          <w:iCs/>
        </w:rPr>
        <w:t xml:space="preserve">can </w:t>
      </w:r>
      <w:r w:rsidR="00D22586">
        <w:rPr>
          <w:iCs/>
        </w:rPr>
        <w:t xml:space="preserve">also </w:t>
      </w:r>
      <w:r w:rsidRPr="006635CB">
        <w:rPr>
          <w:iCs/>
        </w:rPr>
        <w:t xml:space="preserve">make a copy of the </w:t>
      </w:r>
      <w:r w:rsidR="003A38F1">
        <w:rPr>
          <w:iCs/>
        </w:rPr>
        <w:t xml:space="preserve">voluntary Australian </w:t>
      </w:r>
      <w:r w:rsidRPr="006635CB">
        <w:rPr>
          <w:iCs/>
        </w:rPr>
        <w:t>standard available for viewing at one of its offices, subject to licensing conditions.</w:t>
      </w:r>
    </w:p>
    <w:p w:rsidR="007A502D" w:rsidRPr="006C2E1D" w:rsidRDefault="007A502D" w:rsidP="007A502D">
      <w:pPr>
        <w:rPr>
          <w:rFonts w:cs="Arial"/>
          <w:b/>
          <w:lang w:val="en-GB"/>
        </w:rPr>
      </w:pPr>
      <w:r w:rsidRPr="006C2E1D">
        <w:rPr>
          <w:rFonts w:cs="Arial"/>
          <w:b/>
          <w:lang w:val="en-GB"/>
        </w:rPr>
        <w:t>Transitional arrangements</w:t>
      </w:r>
    </w:p>
    <w:p w:rsidR="00820DAD" w:rsidRDefault="00820DAD" w:rsidP="00820DAD">
      <w:pPr>
        <w:rPr>
          <w:rFonts w:cs="Arial"/>
          <w:lang w:val="en-GB"/>
        </w:rPr>
      </w:pPr>
      <w:r w:rsidRPr="00820DAD">
        <w:rPr>
          <w:rFonts w:cs="Arial"/>
          <w:lang w:val="en-GB"/>
        </w:rPr>
        <w:t>The instrument provides a transitional period of 24 months beginning on the day this instrument commences. During the transitional period</w:t>
      </w:r>
      <w:r w:rsidR="009F0946">
        <w:rPr>
          <w:rFonts w:cs="Arial"/>
          <w:lang w:val="en-GB"/>
        </w:rPr>
        <w:t>,</w:t>
      </w:r>
      <w:r w:rsidRPr="00820DAD">
        <w:rPr>
          <w:rFonts w:cs="Arial"/>
          <w:lang w:val="en-GB"/>
        </w:rPr>
        <w:t xml:space="preserve"> suppliers must meet the requirements of either:</w:t>
      </w:r>
    </w:p>
    <w:p w:rsidR="00FC590E" w:rsidRPr="00820DAD" w:rsidRDefault="00FC590E" w:rsidP="00820DAD">
      <w:pPr>
        <w:pStyle w:val="ListParagraph"/>
        <w:numPr>
          <w:ilvl w:val="0"/>
          <w:numId w:val="41"/>
        </w:numPr>
        <w:rPr>
          <w:rFonts w:cs="Arial"/>
          <w:lang w:val="en-GB"/>
        </w:rPr>
      </w:pPr>
      <w:r w:rsidRPr="00820DAD">
        <w:rPr>
          <w:rFonts w:cs="Arial"/>
          <w:lang w:val="en-GB"/>
        </w:rPr>
        <w:t xml:space="preserve">the </w:t>
      </w:r>
      <w:r w:rsidRPr="00820DAD">
        <w:rPr>
          <w:rFonts w:cs="Arial"/>
          <w:i/>
          <w:lang w:val="en-GB"/>
        </w:rPr>
        <w:t>Trade Practices Act 1974 -</w:t>
      </w:r>
      <w:r w:rsidRPr="00820DAD">
        <w:rPr>
          <w:rFonts w:cs="Arial"/>
          <w:lang w:val="en-GB"/>
        </w:rPr>
        <w:t xml:space="preserve"> Consumer Protection Notice No 1</w:t>
      </w:r>
      <w:r w:rsidR="006479A1" w:rsidRPr="00820DAD">
        <w:rPr>
          <w:rFonts w:cs="Arial"/>
          <w:lang w:val="en-GB"/>
        </w:rPr>
        <w:t>2</w:t>
      </w:r>
      <w:r w:rsidRPr="00820DAD">
        <w:rPr>
          <w:rFonts w:cs="Arial"/>
          <w:lang w:val="en-GB"/>
        </w:rPr>
        <w:t xml:space="preserve"> of 2008 – </w:t>
      </w:r>
      <w:r w:rsidR="000E1BC4" w:rsidRPr="00820DAD">
        <w:rPr>
          <w:rFonts w:cs="Arial"/>
          <w:i/>
          <w:lang w:val="en-GB"/>
        </w:rPr>
        <w:t>Consumer Product Safety Standard for Vehicle Support Stands</w:t>
      </w:r>
      <w:r w:rsidR="008E3847" w:rsidRPr="00820DAD">
        <w:rPr>
          <w:rFonts w:cs="Arial"/>
          <w:i/>
          <w:lang w:val="en-GB"/>
        </w:rPr>
        <w:t xml:space="preserve">, </w:t>
      </w:r>
      <w:r w:rsidRPr="00820DAD">
        <w:rPr>
          <w:rFonts w:cs="Arial"/>
          <w:lang w:val="en-GB"/>
        </w:rPr>
        <w:t>or</w:t>
      </w:r>
    </w:p>
    <w:p w:rsidR="00852C8E" w:rsidRPr="00DC129E" w:rsidRDefault="00DC129E" w:rsidP="008C5FAA">
      <w:pPr>
        <w:pStyle w:val="ListParagraph"/>
        <w:numPr>
          <w:ilvl w:val="0"/>
          <w:numId w:val="41"/>
        </w:numPr>
        <w:rPr>
          <w:rFonts w:cs="Arial"/>
          <w:i/>
          <w:lang w:val="en-GB"/>
        </w:rPr>
      </w:pPr>
      <w:r w:rsidRPr="007A1FD7">
        <w:rPr>
          <w:rFonts w:cs="Arial"/>
          <w:lang w:val="en-GB"/>
        </w:rPr>
        <w:t>the</w:t>
      </w:r>
      <w:r>
        <w:rPr>
          <w:rFonts w:cs="Arial"/>
          <w:i/>
          <w:lang w:val="en-GB"/>
        </w:rPr>
        <w:t xml:space="preserve"> </w:t>
      </w:r>
      <w:r w:rsidR="00FC590E" w:rsidRPr="00DC129E">
        <w:rPr>
          <w:rFonts w:cs="Arial"/>
          <w:i/>
          <w:lang w:val="en-GB"/>
        </w:rPr>
        <w:t>Consumer Goods (</w:t>
      </w:r>
      <w:r w:rsidR="0096385B" w:rsidRPr="00DC129E">
        <w:rPr>
          <w:rFonts w:cs="Arial"/>
          <w:i/>
          <w:lang w:val="en-GB"/>
        </w:rPr>
        <w:t>Vehicle S</w:t>
      </w:r>
      <w:r w:rsidR="00E91FE0" w:rsidRPr="00DC129E">
        <w:rPr>
          <w:rFonts w:cs="Arial"/>
          <w:i/>
          <w:lang w:val="en-GB"/>
        </w:rPr>
        <w:t xml:space="preserve">upport </w:t>
      </w:r>
      <w:r w:rsidR="0096385B" w:rsidRPr="00DC129E">
        <w:rPr>
          <w:rFonts w:cs="Arial"/>
          <w:i/>
          <w:lang w:val="en-GB"/>
        </w:rPr>
        <w:t>S</w:t>
      </w:r>
      <w:r w:rsidR="00E91FE0" w:rsidRPr="00DC129E">
        <w:rPr>
          <w:rFonts w:cs="Arial"/>
          <w:i/>
          <w:lang w:val="en-GB"/>
        </w:rPr>
        <w:t xml:space="preserve">tands) </w:t>
      </w:r>
      <w:r w:rsidR="00FC590E" w:rsidRPr="00DC129E">
        <w:rPr>
          <w:rFonts w:cs="Arial"/>
          <w:i/>
          <w:lang w:val="en-GB"/>
        </w:rPr>
        <w:t>Safety Standard 2017</w:t>
      </w:r>
      <w:r w:rsidR="006479A1" w:rsidRPr="00DC129E">
        <w:rPr>
          <w:rFonts w:cs="Arial"/>
          <w:i/>
          <w:lang w:val="en-GB"/>
        </w:rPr>
        <w:t>.</w:t>
      </w:r>
    </w:p>
    <w:p w:rsidR="007A502D" w:rsidRPr="00FC590E" w:rsidRDefault="00820DAD" w:rsidP="001B4A7B">
      <w:pPr>
        <w:rPr>
          <w:rFonts w:cs="Arial"/>
          <w:lang w:val="en-GB"/>
        </w:rPr>
      </w:pPr>
      <w:r>
        <w:rPr>
          <w:rFonts w:cs="Arial"/>
          <w:lang w:val="en-GB"/>
        </w:rPr>
        <w:t>After the transitional period</w:t>
      </w:r>
      <w:r w:rsidR="009F0946">
        <w:rPr>
          <w:rFonts w:cs="Arial"/>
          <w:lang w:val="en-GB"/>
        </w:rPr>
        <w:t>,</w:t>
      </w:r>
      <w:r>
        <w:rPr>
          <w:rFonts w:cs="Arial"/>
          <w:lang w:val="en-GB"/>
        </w:rPr>
        <w:t xml:space="preserve"> </w:t>
      </w:r>
      <w:r w:rsidR="002345C4" w:rsidRPr="00FC590E">
        <w:rPr>
          <w:rFonts w:cs="Arial"/>
          <w:lang w:val="en-GB"/>
        </w:rPr>
        <w:t>suppliers must</w:t>
      </w:r>
      <w:r w:rsidR="00BD7474" w:rsidRPr="00FC590E">
        <w:rPr>
          <w:rFonts w:cs="Arial"/>
          <w:lang w:val="en-GB"/>
        </w:rPr>
        <w:t xml:space="preserve"> </w:t>
      </w:r>
      <w:r w:rsidR="00FC590E">
        <w:rPr>
          <w:rFonts w:cs="Arial"/>
          <w:lang w:val="en-GB"/>
        </w:rPr>
        <w:t xml:space="preserve">meet the requirements of </w:t>
      </w:r>
      <w:r w:rsidR="00CA22ED">
        <w:rPr>
          <w:rFonts w:cs="Arial"/>
          <w:lang w:val="en-GB"/>
        </w:rPr>
        <w:t xml:space="preserve">the </w:t>
      </w:r>
      <w:r w:rsidR="00FC590E" w:rsidRPr="00FC590E">
        <w:rPr>
          <w:rFonts w:asciiTheme="minorHAnsi" w:hAnsiTheme="minorHAnsi" w:cstheme="minorHAnsi"/>
          <w:i/>
          <w:lang w:val="en-GB"/>
        </w:rPr>
        <w:t>Consumer Goods (</w:t>
      </w:r>
      <w:r w:rsidR="00E91FE0">
        <w:rPr>
          <w:rFonts w:asciiTheme="minorHAnsi" w:hAnsiTheme="minorHAnsi" w:cstheme="minorHAnsi"/>
          <w:i/>
          <w:lang w:val="en-GB"/>
        </w:rPr>
        <w:t xml:space="preserve">Vehicle </w:t>
      </w:r>
      <w:r w:rsidR="00314977">
        <w:rPr>
          <w:rFonts w:asciiTheme="minorHAnsi" w:hAnsiTheme="minorHAnsi" w:cstheme="minorHAnsi"/>
          <w:i/>
          <w:lang w:val="en-GB"/>
        </w:rPr>
        <w:t>Support Stands</w:t>
      </w:r>
      <w:r w:rsidR="00FC590E" w:rsidRPr="00FC590E">
        <w:rPr>
          <w:rFonts w:asciiTheme="minorHAnsi" w:hAnsiTheme="minorHAnsi" w:cstheme="minorHAnsi"/>
          <w:i/>
          <w:lang w:val="en-GB"/>
        </w:rPr>
        <w:t>) Safety Standard</w:t>
      </w:r>
      <w:r w:rsidR="00FC590E">
        <w:rPr>
          <w:rFonts w:asciiTheme="minorHAnsi" w:hAnsiTheme="minorHAnsi" w:cstheme="minorHAnsi"/>
          <w:i/>
          <w:lang w:val="en-GB"/>
        </w:rPr>
        <w:t xml:space="preserve"> 2017.</w:t>
      </w:r>
    </w:p>
    <w:p w:rsidR="001B4A7B" w:rsidRPr="006C2E1D" w:rsidRDefault="001B4A7B" w:rsidP="001B4A7B">
      <w:pPr>
        <w:rPr>
          <w:rFonts w:cs="Arial"/>
          <w:lang w:val="en-GB"/>
        </w:rPr>
      </w:pPr>
      <w:r w:rsidRPr="006C2E1D">
        <w:rPr>
          <w:rFonts w:cs="Arial"/>
          <w:b/>
          <w:lang w:val="en-GB"/>
        </w:rPr>
        <w:t>Consultation</w:t>
      </w:r>
    </w:p>
    <w:p w:rsidR="00D03B3C" w:rsidRPr="003A38F1" w:rsidRDefault="000F119E" w:rsidP="00D03B3C">
      <w:pPr>
        <w:rPr>
          <w:rFonts w:cs="Arial"/>
          <w:lang w:val="en-GB"/>
        </w:rPr>
      </w:pPr>
      <w:r w:rsidRPr="003A38F1">
        <w:rPr>
          <w:rFonts w:cs="Arial"/>
          <w:lang w:val="en-GB"/>
        </w:rPr>
        <w:t>The Australian Competition and Consumer Commission</w:t>
      </w:r>
      <w:r w:rsidR="001B4A7B" w:rsidRPr="003A38F1">
        <w:rPr>
          <w:rFonts w:cs="Arial"/>
          <w:lang w:val="en-GB"/>
        </w:rPr>
        <w:t xml:space="preserve"> </w:t>
      </w:r>
      <w:r w:rsidRPr="003A38F1">
        <w:rPr>
          <w:rFonts w:cs="Arial"/>
          <w:lang w:val="en-GB"/>
        </w:rPr>
        <w:t>(</w:t>
      </w:r>
      <w:r w:rsidR="001B4A7B" w:rsidRPr="003A38F1">
        <w:rPr>
          <w:rFonts w:cs="Arial"/>
          <w:lang w:val="en-GB"/>
        </w:rPr>
        <w:t>ACCC</w:t>
      </w:r>
      <w:r w:rsidRPr="003A38F1">
        <w:rPr>
          <w:rFonts w:cs="Arial"/>
          <w:lang w:val="en-GB"/>
        </w:rPr>
        <w:t>)</w:t>
      </w:r>
      <w:r w:rsidR="00D03B3C" w:rsidRPr="003A38F1">
        <w:rPr>
          <w:rFonts w:cs="Arial"/>
          <w:lang w:val="en-GB"/>
        </w:rPr>
        <w:t xml:space="preserve"> published a </w:t>
      </w:r>
      <w:r w:rsidR="00D47F69" w:rsidRPr="003A38F1">
        <w:rPr>
          <w:rFonts w:cs="Arial"/>
          <w:lang w:val="en-GB"/>
        </w:rPr>
        <w:t xml:space="preserve">combined </w:t>
      </w:r>
      <w:r w:rsidR="00D03B3C" w:rsidRPr="003A38F1">
        <w:rPr>
          <w:rFonts w:cs="Arial"/>
          <w:lang w:val="en-GB"/>
        </w:rPr>
        <w:t xml:space="preserve">consultation paper </w:t>
      </w:r>
      <w:r w:rsidR="00D47F69" w:rsidRPr="003A38F1">
        <w:rPr>
          <w:rFonts w:cs="Arial"/>
          <w:lang w:val="en-GB"/>
        </w:rPr>
        <w:t xml:space="preserve">for trolley jacks, vehicle support stands and portable ramps for vehicles </w:t>
      </w:r>
      <w:r w:rsidR="009F0946">
        <w:rPr>
          <w:rFonts w:cs="Arial"/>
          <w:lang w:val="en-GB"/>
        </w:rPr>
        <w:t>from 28 September</w:t>
      </w:r>
      <w:r w:rsidR="00D03B3C" w:rsidRPr="003A38F1">
        <w:rPr>
          <w:rFonts w:cs="Arial"/>
          <w:lang w:val="en-GB"/>
        </w:rPr>
        <w:t xml:space="preserve"> </w:t>
      </w:r>
      <w:r w:rsidR="009F0946">
        <w:rPr>
          <w:rFonts w:cs="Arial"/>
          <w:lang w:val="en-GB"/>
        </w:rPr>
        <w:t>to</w:t>
      </w:r>
      <w:r w:rsidR="00D03B3C" w:rsidRPr="003A38F1">
        <w:rPr>
          <w:rFonts w:cs="Arial"/>
          <w:lang w:val="en-GB"/>
        </w:rPr>
        <w:t xml:space="preserve"> 18 November 2016.</w:t>
      </w:r>
      <w:r w:rsidR="001B4A7B" w:rsidRPr="003A38F1">
        <w:rPr>
          <w:rFonts w:cs="Arial"/>
          <w:lang w:val="en-GB"/>
        </w:rPr>
        <w:t xml:space="preserve"> </w:t>
      </w:r>
      <w:r w:rsidR="00D03B3C" w:rsidRPr="003A38F1">
        <w:rPr>
          <w:rFonts w:cs="Arial"/>
          <w:lang w:val="en-GB"/>
        </w:rPr>
        <w:t>The paper detailed four policy options for dealing with the current mandatory safety standard</w:t>
      </w:r>
      <w:r w:rsidR="00D47F69" w:rsidRPr="003A38F1">
        <w:rPr>
          <w:rFonts w:cs="Arial"/>
          <w:lang w:val="en-GB"/>
        </w:rPr>
        <w:t>s</w:t>
      </w:r>
      <w:r w:rsidR="00D03B3C" w:rsidRPr="003A38F1">
        <w:rPr>
          <w:rFonts w:cs="Arial"/>
          <w:lang w:val="en-GB"/>
        </w:rPr>
        <w:t>:</w:t>
      </w:r>
    </w:p>
    <w:p w:rsidR="00D03B3C" w:rsidRPr="003A38F1" w:rsidRDefault="00D03B3C" w:rsidP="00D03B3C">
      <w:pPr>
        <w:rPr>
          <w:rFonts w:cs="Arial"/>
          <w:lang w:val="en-GB"/>
        </w:rPr>
      </w:pPr>
      <w:r w:rsidRPr="003A38F1">
        <w:rPr>
          <w:rFonts w:cs="Arial"/>
          <w:lang w:val="en-GB"/>
        </w:rPr>
        <w:t>Option 1 - Keep the current mandatory safety standard</w:t>
      </w:r>
      <w:r w:rsidR="00D47F69" w:rsidRPr="003A38F1">
        <w:rPr>
          <w:rFonts w:cs="Arial"/>
          <w:lang w:val="en-GB"/>
        </w:rPr>
        <w:t>s</w:t>
      </w:r>
      <w:r w:rsidR="00FA0D2F" w:rsidRPr="003A38F1">
        <w:rPr>
          <w:rFonts w:cs="Arial"/>
          <w:lang w:val="en-GB"/>
        </w:rPr>
        <w:t xml:space="preserve"> (status quo)</w:t>
      </w:r>
    </w:p>
    <w:p w:rsidR="00D03B3C" w:rsidRPr="003A38F1" w:rsidRDefault="00D03B3C" w:rsidP="00D03B3C">
      <w:pPr>
        <w:rPr>
          <w:rFonts w:cs="Arial"/>
          <w:lang w:val="en-GB"/>
        </w:rPr>
      </w:pPr>
      <w:r w:rsidRPr="003A38F1">
        <w:rPr>
          <w:rFonts w:cs="Arial"/>
          <w:lang w:val="en-GB"/>
        </w:rPr>
        <w:t xml:space="preserve">Option 2 - Accept the superseded and current </w:t>
      </w:r>
      <w:r w:rsidR="00D47F69" w:rsidRPr="003A38F1">
        <w:rPr>
          <w:rFonts w:cs="Arial"/>
          <w:lang w:val="en-GB"/>
        </w:rPr>
        <w:t>voluntary</w:t>
      </w:r>
      <w:r w:rsidR="00FA0D2F" w:rsidRPr="003A38F1">
        <w:rPr>
          <w:rFonts w:cs="Arial"/>
          <w:lang w:val="en-GB"/>
        </w:rPr>
        <w:t xml:space="preserve"> Australian standards</w:t>
      </w:r>
    </w:p>
    <w:p w:rsidR="00D03B3C" w:rsidRPr="003A38F1" w:rsidRDefault="00D03B3C" w:rsidP="00D03B3C">
      <w:pPr>
        <w:rPr>
          <w:rFonts w:cs="Arial"/>
          <w:lang w:val="en-GB"/>
        </w:rPr>
      </w:pPr>
      <w:r w:rsidRPr="003A38F1">
        <w:rPr>
          <w:rFonts w:cs="Arial"/>
          <w:lang w:val="en-GB"/>
        </w:rPr>
        <w:t>Option 3 - Ac</w:t>
      </w:r>
      <w:r w:rsidR="00FA0D2F" w:rsidRPr="003A38F1">
        <w:rPr>
          <w:rFonts w:cs="Arial"/>
          <w:lang w:val="en-GB"/>
        </w:rPr>
        <w:t>cept multiple trusted standards</w:t>
      </w:r>
    </w:p>
    <w:p w:rsidR="00D03B3C" w:rsidRPr="003A38F1" w:rsidRDefault="00D03B3C" w:rsidP="00D03B3C">
      <w:pPr>
        <w:rPr>
          <w:rFonts w:cs="Arial"/>
          <w:lang w:val="en-GB"/>
        </w:rPr>
      </w:pPr>
      <w:r w:rsidRPr="003A38F1">
        <w:rPr>
          <w:rFonts w:cs="Arial"/>
          <w:lang w:val="en-GB"/>
        </w:rPr>
        <w:t>Option 4 - Revoke the mandatory safety standard</w:t>
      </w:r>
      <w:r w:rsidR="00D47F69" w:rsidRPr="003A38F1">
        <w:rPr>
          <w:rFonts w:cs="Arial"/>
          <w:lang w:val="en-GB"/>
        </w:rPr>
        <w:t>s</w:t>
      </w:r>
    </w:p>
    <w:p w:rsidR="00565A20" w:rsidRPr="003A38F1" w:rsidRDefault="00565A20" w:rsidP="00565A20">
      <w:pPr>
        <w:rPr>
          <w:rFonts w:cs="Arial"/>
          <w:lang w:val="en-GB"/>
        </w:rPr>
      </w:pPr>
      <w:r w:rsidRPr="003A38F1">
        <w:rPr>
          <w:rFonts w:cs="Arial"/>
          <w:lang w:val="en-GB"/>
        </w:rPr>
        <w:t xml:space="preserve">The ACCC’s preliminary position outlined in the paper was to adopt multiple trusted standards (option 3) as this option would provide the greatest benefit for consumers, suppliers and regulators. Specifically, to adopt the updated voluntary Australian standard AS 2538:2016 </w:t>
      </w:r>
      <w:r w:rsidRPr="003A38F1">
        <w:rPr>
          <w:rFonts w:cs="Arial"/>
          <w:i/>
          <w:lang w:val="en-GB"/>
        </w:rPr>
        <w:t>Vehicle Support Stands</w:t>
      </w:r>
      <w:r w:rsidR="00982246" w:rsidRPr="003A38F1">
        <w:rPr>
          <w:rFonts w:cs="Arial"/>
          <w:lang w:val="en-GB"/>
        </w:rPr>
        <w:t xml:space="preserve">, </w:t>
      </w:r>
      <w:r w:rsidRPr="003A38F1">
        <w:rPr>
          <w:rFonts w:cs="Arial"/>
          <w:lang w:val="en-GB"/>
        </w:rPr>
        <w:t xml:space="preserve">the </w:t>
      </w:r>
      <w:r w:rsidR="00DC129E" w:rsidRPr="003A38F1">
        <w:rPr>
          <w:rFonts w:cs="Arial"/>
          <w:lang w:val="en-GB"/>
        </w:rPr>
        <w:t xml:space="preserve">American </w:t>
      </w:r>
      <w:r w:rsidRPr="003A38F1">
        <w:rPr>
          <w:rFonts w:cs="Arial"/>
          <w:lang w:val="en-GB"/>
        </w:rPr>
        <w:t>standard ASME PASE</w:t>
      </w:r>
      <w:r w:rsidR="00982246" w:rsidRPr="003A38F1">
        <w:rPr>
          <w:rFonts w:cs="Arial"/>
          <w:lang w:val="en-GB"/>
        </w:rPr>
        <w:t>:</w:t>
      </w:r>
      <w:r w:rsidRPr="003A38F1">
        <w:rPr>
          <w:rFonts w:cs="Arial"/>
          <w:lang w:val="en-GB"/>
        </w:rPr>
        <w:t xml:space="preserve">2014 </w:t>
      </w:r>
      <w:r w:rsidRPr="003A38F1">
        <w:rPr>
          <w:rFonts w:cs="Arial"/>
          <w:i/>
          <w:lang w:val="en-GB"/>
        </w:rPr>
        <w:t>Safety Standard for Portable Automotive Service Equipment</w:t>
      </w:r>
      <w:r w:rsidR="00982246" w:rsidRPr="003A38F1">
        <w:rPr>
          <w:rFonts w:cs="Arial"/>
          <w:lang w:val="en-GB"/>
        </w:rPr>
        <w:t xml:space="preserve"> and the British standard </w:t>
      </w:r>
      <w:r w:rsidR="00DC129E" w:rsidRPr="003A38F1">
        <w:rPr>
          <w:rFonts w:cs="Arial"/>
          <w:lang w:val="en-GB"/>
        </w:rPr>
        <w:t>BS </w:t>
      </w:r>
      <w:r w:rsidR="00982246" w:rsidRPr="003A38F1">
        <w:rPr>
          <w:rFonts w:cs="Arial"/>
          <w:lang w:val="en-GB"/>
        </w:rPr>
        <w:t>AU</w:t>
      </w:r>
      <w:r w:rsidR="00DC129E" w:rsidRPr="003A38F1">
        <w:rPr>
          <w:rFonts w:cs="Arial"/>
          <w:lang w:val="en-GB"/>
        </w:rPr>
        <w:t> </w:t>
      </w:r>
      <w:r w:rsidR="00982246" w:rsidRPr="003A38F1">
        <w:rPr>
          <w:rFonts w:cs="Arial"/>
          <w:lang w:val="en-GB"/>
        </w:rPr>
        <w:t>223a:2006</w:t>
      </w:r>
      <w:r w:rsidR="00DC129E" w:rsidRPr="003A38F1">
        <w:rPr>
          <w:rFonts w:cs="Arial"/>
          <w:lang w:val="en-GB"/>
        </w:rPr>
        <w:t xml:space="preserve"> </w:t>
      </w:r>
      <w:r w:rsidR="00DC129E" w:rsidRPr="003A38F1">
        <w:rPr>
          <w:rFonts w:cs="Arial"/>
          <w:i/>
          <w:lang w:val="en-GB"/>
        </w:rPr>
        <w:t>Design, construction performance and marking of vehicle support stands for cars and light vans – Specification</w:t>
      </w:r>
      <w:r w:rsidR="00DC129E" w:rsidRPr="003A38F1">
        <w:rPr>
          <w:rFonts w:cs="Arial"/>
          <w:lang w:val="en-GB"/>
        </w:rPr>
        <w:t>.</w:t>
      </w:r>
    </w:p>
    <w:p w:rsidR="00565A20" w:rsidRPr="003A38F1" w:rsidRDefault="00565A20" w:rsidP="00565A20">
      <w:pPr>
        <w:rPr>
          <w:rFonts w:cs="Arial"/>
          <w:lang w:val="en-GB"/>
        </w:rPr>
      </w:pPr>
      <w:r w:rsidRPr="003A38F1">
        <w:rPr>
          <w:rFonts w:cs="Arial"/>
          <w:lang w:val="en-GB"/>
        </w:rPr>
        <w:t>Eleven submissions were received from suppliers, industry associations, test laboratories and individuals. Seven stakeholders supported maintaining the repealed safety standard (i.e. not adopting the updated Australian standard or international standards). Three stakeholders supported adopting the updated Australian standard and international standards, and one stakeholder supported adopting both the repealed and updated Australian standard.</w:t>
      </w:r>
    </w:p>
    <w:p w:rsidR="00565A20" w:rsidRPr="003A38F1" w:rsidRDefault="00565A20" w:rsidP="00565A20">
      <w:pPr>
        <w:rPr>
          <w:rFonts w:cs="Arial"/>
          <w:lang w:val="en-GB"/>
        </w:rPr>
      </w:pPr>
      <w:r w:rsidRPr="003A38F1">
        <w:rPr>
          <w:rFonts w:cs="Arial"/>
          <w:lang w:val="en-GB"/>
        </w:rPr>
        <w:t xml:space="preserve">The ACCC also consulted with the relevant Standards Australia technical committee, which advised </w:t>
      </w:r>
      <w:r w:rsidR="009F0946">
        <w:rPr>
          <w:rFonts w:cs="Arial"/>
          <w:lang w:val="en-GB"/>
        </w:rPr>
        <w:t xml:space="preserve">that </w:t>
      </w:r>
      <w:r w:rsidRPr="003A38F1">
        <w:rPr>
          <w:rFonts w:cs="Arial"/>
          <w:lang w:val="en-GB"/>
        </w:rPr>
        <w:t xml:space="preserve">the performance requirements of the </w:t>
      </w:r>
      <w:r w:rsidR="00DC129E" w:rsidRPr="003A38F1">
        <w:rPr>
          <w:rFonts w:cs="Arial"/>
          <w:lang w:val="en-GB"/>
        </w:rPr>
        <w:t>international standards</w:t>
      </w:r>
      <w:r w:rsidRPr="003A38F1">
        <w:rPr>
          <w:rFonts w:cs="Arial"/>
          <w:lang w:val="en-GB"/>
        </w:rPr>
        <w:t xml:space="preserve"> were not assessed for comparison purposes as part of the review of the voluntary Australian standard.</w:t>
      </w:r>
    </w:p>
    <w:p w:rsidR="00FA0D56" w:rsidRPr="009F0946" w:rsidRDefault="00565A20" w:rsidP="001B4A7B">
      <w:pPr>
        <w:rPr>
          <w:rFonts w:cs="Arial"/>
          <w:lang w:val="en-GB"/>
        </w:rPr>
      </w:pPr>
      <w:r w:rsidRPr="003A38F1">
        <w:rPr>
          <w:rFonts w:cs="Arial"/>
          <w:lang w:val="en-GB"/>
        </w:rPr>
        <w:t>Following the submission process, further scrutiny of the international standards and additional discussion with the Standards Australia technical committee</w:t>
      </w:r>
      <w:r w:rsidR="009F0946">
        <w:rPr>
          <w:rFonts w:cs="Arial"/>
          <w:lang w:val="en-GB"/>
        </w:rPr>
        <w:t>,</w:t>
      </w:r>
      <w:r w:rsidRPr="003A38F1">
        <w:rPr>
          <w:rFonts w:cs="Arial"/>
          <w:lang w:val="en-GB"/>
        </w:rPr>
        <w:t xml:space="preserve"> the ACCC concluded that consumer safety could be adversely affected through adoption of international standards for vehicle support stands. As a result</w:t>
      </w:r>
      <w:r w:rsidR="009F0946">
        <w:rPr>
          <w:rFonts w:cs="Arial"/>
          <w:lang w:val="en-GB"/>
        </w:rPr>
        <w:t>,</w:t>
      </w:r>
      <w:r w:rsidRPr="003A38F1">
        <w:rPr>
          <w:rFonts w:cs="Arial"/>
          <w:lang w:val="en-GB"/>
        </w:rPr>
        <w:t xml:space="preserve"> the ACCC reviewed and changed its position for vehicle support stands to adopt the updated voluntary Australian standard only (option 2).</w:t>
      </w:r>
    </w:p>
    <w:p w:rsidR="001B4A7B" w:rsidRPr="006C2E1D" w:rsidRDefault="001B4A7B" w:rsidP="001B4A7B">
      <w:pPr>
        <w:rPr>
          <w:rFonts w:cs="Arial"/>
          <w:b/>
        </w:rPr>
      </w:pPr>
      <w:r w:rsidRPr="006C2E1D">
        <w:rPr>
          <w:rFonts w:cs="Arial"/>
          <w:b/>
        </w:rPr>
        <w:lastRenderedPageBreak/>
        <w:t>Disallowance</w:t>
      </w:r>
    </w:p>
    <w:p w:rsidR="00820DAD" w:rsidRDefault="00820DAD" w:rsidP="001B4A7B">
      <w:pPr>
        <w:rPr>
          <w:rFonts w:cs="Arial"/>
        </w:rPr>
      </w:pPr>
      <w:r w:rsidRPr="00820DAD">
        <w:rPr>
          <w:rFonts w:cs="Arial"/>
        </w:rPr>
        <w:t xml:space="preserve">This legislative instrument is not subject to disallowance due to </w:t>
      </w:r>
      <w:r w:rsidR="00FA0D56">
        <w:rPr>
          <w:rFonts w:cs="Arial"/>
        </w:rPr>
        <w:t>sub</w:t>
      </w:r>
      <w:r w:rsidRPr="00820DAD">
        <w:rPr>
          <w:rFonts w:cs="Arial"/>
        </w:rPr>
        <w:t>section 44</w:t>
      </w:r>
      <w:r w:rsidR="00332C56">
        <w:rPr>
          <w:rFonts w:cs="Arial"/>
        </w:rPr>
        <w:t>(1)</w:t>
      </w:r>
      <w:r w:rsidRPr="00820DAD">
        <w:rPr>
          <w:rFonts w:cs="Arial"/>
        </w:rPr>
        <w:t xml:space="preserve"> of the </w:t>
      </w:r>
      <w:r w:rsidRPr="003A38F1">
        <w:rPr>
          <w:rFonts w:cs="Arial"/>
          <w:i/>
        </w:rPr>
        <w:t>Legislation Act 2003</w:t>
      </w:r>
      <w:r w:rsidR="00CF4B39">
        <w:rPr>
          <w:rFonts w:cs="Arial"/>
        </w:rPr>
        <w:t>.</w:t>
      </w:r>
    </w:p>
    <w:p w:rsidR="001B4A7B" w:rsidRPr="006C2E1D" w:rsidRDefault="001B4A7B" w:rsidP="001B4A7B">
      <w:pPr>
        <w:rPr>
          <w:rFonts w:cs="Arial"/>
          <w:b/>
          <w:lang w:val="en-GB"/>
        </w:rPr>
      </w:pPr>
      <w:r w:rsidRPr="006C2E1D">
        <w:rPr>
          <w:rFonts w:cs="Arial"/>
          <w:b/>
          <w:lang w:val="en-GB"/>
        </w:rPr>
        <w:t xml:space="preserve">Commencement </w:t>
      </w:r>
    </w:p>
    <w:p w:rsidR="001B4A7B" w:rsidRPr="006C2E1D" w:rsidRDefault="00F960D1" w:rsidP="001B4A7B">
      <w:pPr>
        <w:rPr>
          <w:rFonts w:cs="Arial"/>
          <w:lang w:val="en-GB"/>
        </w:rPr>
      </w:pPr>
      <w:r>
        <w:rPr>
          <w:rFonts w:cs="Arial"/>
          <w:lang w:val="en-GB"/>
        </w:rPr>
        <w:t xml:space="preserve">The </w:t>
      </w:r>
      <w:r w:rsidR="001B4A7B" w:rsidRPr="006C2E1D">
        <w:rPr>
          <w:rFonts w:cs="Arial"/>
          <w:lang w:val="en-GB"/>
        </w:rPr>
        <w:t>legislative instrument commences on the day after it is registered on the Federal Register of Legislation.</w:t>
      </w:r>
    </w:p>
    <w:p w:rsidR="001B4A7B" w:rsidRPr="006C2E1D" w:rsidRDefault="001B4A7B" w:rsidP="004142D7">
      <w:pPr>
        <w:keepNext/>
        <w:rPr>
          <w:rFonts w:cs="Arial"/>
          <w:b/>
        </w:rPr>
      </w:pPr>
      <w:r w:rsidRPr="006C2E1D">
        <w:rPr>
          <w:rFonts w:cs="Arial"/>
          <w:b/>
        </w:rPr>
        <w:t>Sunsetting</w:t>
      </w:r>
    </w:p>
    <w:p w:rsidR="001B4A7B" w:rsidRDefault="00F960D1" w:rsidP="004142D7">
      <w:pPr>
        <w:keepNext/>
        <w:rPr>
          <w:rFonts w:cs="Arial"/>
          <w:i/>
        </w:rPr>
      </w:pPr>
      <w:r>
        <w:rPr>
          <w:rFonts w:cs="Arial"/>
        </w:rPr>
        <w:t>The</w:t>
      </w:r>
      <w:r w:rsidR="001B4A7B" w:rsidRPr="006C2E1D">
        <w:rPr>
          <w:rFonts w:cs="Arial"/>
        </w:rPr>
        <w:t xml:space="preserve"> legislative instrument is exempt from sunsetting. Schedule 12 of the </w:t>
      </w:r>
      <w:r w:rsidR="001B4A7B" w:rsidRPr="006C2E1D">
        <w:rPr>
          <w:rFonts w:cs="Arial"/>
          <w:i/>
        </w:rPr>
        <w:t xml:space="preserve">Legislation (Exemptions and Other Matters) Regulation 2015 </w:t>
      </w:r>
      <w:r w:rsidR="001B4A7B" w:rsidRPr="006C2E1D">
        <w:rPr>
          <w:rFonts w:cs="Arial"/>
        </w:rPr>
        <w:t xml:space="preserve">(No. 158, 2015) lists as exempt, instruments made under section 104 or 105 (safety standards) of Schedule 2 (the Australian Consumer Law) to the </w:t>
      </w:r>
      <w:r w:rsidR="001B4A7B" w:rsidRPr="006C2E1D">
        <w:rPr>
          <w:rFonts w:cs="Arial"/>
          <w:i/>
        </w:rPr>
        <w:t>Com</w:t>
      </w:r>
      <w:r w:rsidR="00FA0D2F">
        <w:rPr>
          <w:rFonts w:cs="Arial"/>
          <w:i/>
        </w:rPr>
        <w:t>petition and Consumer Act 2010.</w:t>
      </w:r>
    </w:p>
    <w:p w:rsidR="00820DAD" w:rsidRDefault="00820DAD" w:rsidP="00820DAD">
      <w:pPr>
        <w:rPr>
          <w:rFonts w:cs="Arial"/>
          <w:b/>
        </w:rPr>
      </w:pPr>
      <w:r>
        <w:rPr>
          <w:rFonts w:cs="Arial"/>
          <w:b/>
        </w:rPr>
        <w:t>Regulation impact assessment</w:t>
      </w:r>
    </w:p>
    <w:p w:rsidR="00820DAD" w:rsidRPr="007C7632" w:rsidRDefault="00820DAD" w:rsidP="00820DAD">
      <w:pPr>
        <w:rPr>
          <w:rFonts w:cs="Arial"/>
        </w:rPr>
      </w:pPr>
      <w:r>
        <w:rPr>
          <w:rFonts w:cs="Arial"/>
        </w:rPr>
        <w:t xml:space="preserve">The </w:t>
      </w:r>
      <w:r w:rsidRPr="007E1F40">
        <w:rPr>
          <w:rFonts w:cs="Arial"/>
        </w:rPr>
        <w:t>O</w:t>
      </w:r>
      <w:r>
        <w:rPr>
          <w:rFonts w:cs="Arial"/>
        </w:rPr>
        <w:t xml:space="preserve">ffice of </w:t>
      </w:r>
      <w:r w:rsidRPr="007E1F40">
        <w:rPr>
          <w:rFonts w:cs="Arial"/>
        </w:rPr>
        <w:t>B</w:t>
      </w:r>
      <w:r>
        <w:rPr>
          <w:rFonts w:cs="Arial"/>
        </w:rPr>
        <w:t xml:space="preserve">est </w:t>
      </w:r>
      <w:r w:rsidRPr="007E1F40">
        <w:rPr>
          <w:rFonts w:cs="Arial"/>
        </w:rPr>
        <w:t>P</w:t>
      </w:r>
      <w:r>
        <w:rPr>
          <w:rFonts w:cs="Arial"/>
        </w:rPr>
        <w:t xml:space="preserve">ractice </w:t>
      </w:r>
      <w:r w:rsidRPr="007E1F40">
        <w:rPr>
          <w:rFonts w:cs="Arial"/>
        </w:rPr>
        <w:t>R</w:t>
      </w:r>
      <w:r>
        <w:rPr>
          <w:rFonts w:cs="Arial"/>
        </w:rPr>
        <w:t>egulation</w:t>
      </w:r>
      <w:r w:rsidRPr="007E1F40">
        <w:rPr>
          <w:rFonts w:cs="Arial"/>
        </w:rPr>
        <w:t xml:space="preserve"> advised a Regulat</w:t>
      </w:r>
      <w:r>
        <w:rPr>
          <w:rFonts w:cs="Arial"/>
        </w:rPr>
        <w:t>ion Impact Statement was</w:t>
      </w:r>
      <w:r w:rsidRPr="007E1F40">
        <w:rPr>
          <w:rFonts w:cs="Arial"/>
        </w:rPr>
        <w:t xml:space="preserve"> not required.</w:t>
      </w:r>
    </w:p>
    <w:p w:rsidR="00820DAD" w:rsidRPr="00820DAD" w:rsidRDefault="00820DAD" w:rsidP="001B4A7B">
      <w:pPr>
        <w:rPr>
          <w:rFonts w:cs="Arial"/>
        </w:rPr>
      </w:pPr>
    </w:p>
    <w:sectPr w:rsidR="00820DAD" w:rsidRPr="00820DAD" w:rsidSect="003B6396">
      <w:footerReference w:type="first" r:id="rId11"/>
      <w:pgSz w:w="11906" w:h="16838" w:code="9"/>
      <w:pgMar w:top="1134" w:right="1559"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A7B" w:rsidRDefault="001B4A7B" w:rsidP="004B4412">
      <w:pPr>
        <w:spacing w:before="0"/>
      </w:pPr>
      <w:r>
        <w:separator/>
      </w:r>
    </w:p>
  </w:endnote>
  <w:endnote w:type="continuationSeparator" w:id="0">
    <w:p w:rsidR="001B4A7B" w:rsidRDefault="001B4A7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884594"/>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A7B" w:rsidRDefault="001B4A7B" w:rsidP="004B4412">
      <w:pPr>
        <w:spacing w:before="0"/>
      </w:pPr>
      <w:r>
        <w:separator/>
      </w:r>
    </w:p>
  </w:footnote>
  <w:footnote w:type="continuationSeparator" w:id="0">
    <w:p w:rsidR="001B4A7B" w:rsidRDefault="001B4A7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0EF16959"/>
    <w:multiLevelType w:val="hybridMultilevel"/>
    <w:tmpl w:val="2892E406"/>
    <w:lvl w:ilvl="0" w:tplc="2F065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BC551AF"/>
    <w:multiLevelType w:val="hybridMultilevel"/>
    <w:tmpl w:val="3776342C"/>
    <w:lvl w:ilvl="0" w:tplc="070A6ADE">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D886ECD"/>
    <w:multiLevelType w:val="hybridMultilevel"/>
    <w:tmpl w:val="7CCAE4A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4B534B1"/>
    <w:multiLevelType w:val="hybridMultilevel"/>
    <w:tmpl w:val="A6300AE6"/>
    <w:lvl w:ilvl="0" w:tplc="647AF29C">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6161A02"/>
    <w:multiLevelType w:val="hybridMultilevel"/>
    <w:tmpl w:val="E9CCE2E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9">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nsid w:val="386A71B3"/>
    <w:multiLevelType w:val="hybridMultilevel"/>
    <w:tmpl w:val="6046E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443204"/>
    <w:multiLevelType w:val="hybridMultilevel"/>
    <w:tmpl w:val="79007700"/>
    <w:lvl w:ilvl="0" w:tplc="AAF88CF2">
      <w:start w:val="1"/>
      <w:numFmt w:val="lowerLetter"/>
      <w:lvlText w:val="%1."/>
      <w:lvlJc w:val="left"/>
      <w:pPr>
        <w:ind w:left="748" w:hanging="360"/>
      </w:pPr>
      <w:rPr>
        <w:rFonts w:ascii="Times New Roman" w:eastAsia="Times New Roman" w:hAnsi="Times New Roman" w:cs="Times New Roman"/>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23">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nsid w:val="468A5C55"/>
    <w:multiLevelType w:val="hybridMultilevel"/>
    <w:tmpl w:val="FBF69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EC82683"/>
    <w:multiLevelType w:val="hybridMultilevel"/>
    <w:tmpl w:val="F9A24746"/>
    <w:lvl w:ilvl="0" w:tplc="44E0C3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D0F5012"/>
    <w:multiLevelType w:val="hybridMultilevel"/>
    <w:tmpl w:val="034608EA"/>
    <w:lvl w:ilvl="0" w:tplc="A440B1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2">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3">
    <w:nsid w:val="71D71BE5"/>
    <w:multiLevelType w:val="hybridMultilevel"/>
    <w:tmpl w:val="1BEEE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5">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6">
    <w:nsid w:val="773D3946"/>
    <w:multiLevelType w:val="hybridMultilevel"/>
    <w:tmpl w:val="2EC21FA2"/>
    <w:lvl w:ilvl="0" w:tplc="24BA34F6">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8"/>
  </w:num>
  <w:num w:numId="3">
    <w:abstractNumId w:val="7"/>
  </w:num>
  <w:num w:numId="4">
    <w:abstractNumId w:val="6"/>
  </w:num>
  <w:num w:numId="5">
    <w:abstractNumId w:val="5"/>
  </w:num>
  <w:num w:numId="6">
    <w:abstractNumId w:val="4"/>
  </w:num>
  <w:num w:numId="7">
    <w:abstractNumId w:val="1"/>
  </w:num>
  <w:num w:numId="8">
    <w:abstractNumId w:val="0"/>
  </w:num>
  <w:num w:numId="9">
    <w:abstractNumId w:val="31"/>
  </w:num>
  <w:num w:numId="10">
    <w:abstractNumId w:val="21"/>
  </w:num>
  <w:num w:numId="11">
    <w:abstractNumId w:val="9"/>
  </w:num>
  <w:num w:numId="12">
    <w:abstractNumId w:val="13"/>
  </w:num>
  <w:num w:numId="13">
    <w:abstractNumId w:val="19"/>
  </w:num>
  <w:num w:numId="14">
    <w:abstractNumId w:val="2"/>
  </w:num>
  <w:num w:numId="15">
    <w:abstractNumId w:val="32"/>
  </w:num>
  <w:num w:numId="16">
    <w:abstractNumId w:val="37"/>
  </w:num>
  <w:num w:numId="17">
    <w:abstractNumId w:val="35"/>
  </w:num>
  <w:num w:numId="18">
    <w:abstractNumId w:val="27"/>
  </w:num>
  <w:num w:numId="19">
    <w:abstractNumId w:val="17"/>
  </w:num>
  <w:num w:numId="20">
    <w:abstractNumId w:val="23"/>
  </w:num>
  <w:num w:numId="21">
    <w:abstractNumId w:val="34"/>
  </w:num>
  <w:num w:numId="22">
    <w:abstractNumId w:val="29"/>
  </w:num>
  <w:num w:numId="23">
    <w:abstractNumId w:val="8"/>
  </w:num>
  <w:num w:numId="24">
    <w:abstractNumId w:val="3"/>
  </w:num>
  <w:num w:numId="25">
    <w:abstractNumId w:val="25"/>
  </w:num>
  <w:num w:numId="26">
    <w:abstractNumId w:val="12"/>
  </w:num>
  <w:num w:numId="27">
    <w:abstractNumId w:val="30"/>
  </w:num>
  <w:num w:numId="28">
    <w:abstractNumId w:val="16"/>
  </w:num>
  <w:num w:numId="29">
    <w:abstractNumId w:val="28"/>
  </w:num>
  <w:num w:numId="30">
    <w:abstractNumId w:val="36"/>
  </w:num>
  <w:num w:numId="31">
    <w:abstractNumId w:val="9"/>
  </w:num>
  <w:num w:numId="32">
    <w:abstractNumId w:val="26"/>
  </w:num>
  <w:num w:numId="33">
    <w:abstractNumId w:val="22"/>
  </w:num>
  <w:num w:numId="34">
    <w:abstractNumId w:val="14"/>
  </w:num>
  <w:num w:numId="35">
    <w:abstractNumId w:val="10"/>
  </w:num>
  <w:num w:numId="36">
    <w:abstractNumId w:val="15"/>
  </w:num>
  <w:num w:numId="37">
    <w:abstractNumId w:val="33"/>
  </w:num>
  <w:num w:numId="38">
    <w:abstractNumId w:val="18"/>
  </w:num>
  <w:num w:numId="39">
    <w:abstractNumId w:val="9"/>
  </w:num>
  <w:num w:numId="40">
    <w:abstractNumId w:val="20"/>
  </w:num>
  <w:num w:numId="41">
    <w:abstractNumId w:val="24"/>
  </w:num>
  <w:num w:numId="4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920\D17 23987  CPS - SP - Trolley jacks - Explanatory statement - 2017.DOCX"/>
  </w:docVars>
  <w:rsids>
    <w:rsidRoot w:val="001B4A7B"/>
    <w:rsid w:val="0002115F"/>
    <w:rsid w:val="00021202"/>
    <w:rsid w:val="000225C4"/>
    <w:rsid w:val="0003578C"/>
    <w:rsid w:val="00044BE7"/>
    <w:rsid w:val="00045B25"/>
    <w:rsid w:val="00061003"/>
    <w:rsid w:val="00063247"/>
    <w:rsid w:val="00065A07"/>
    <w:rsid w:val="00070F9F"/>
    <w:rsid w:val="0007137B"/>
    <w:rsid w:val="00085663"/>
    <w:rsid w:val="00085EBF"/>
    <w:rsid w:val="000A02AD"/>
    <w:rsid w:val="000B779C"/>
    <w:rsid w:val="000D122C"/>
    <w:rsid w:val="000D48CE"/>
    <w:rsid w:val="000D5A29"/>
    <w:rsid w:val="000E1819"/>
    <w:rsid w:val="000E1BC4"/>
    <w:rsid w:val="000E230E"/>
    <w:rsid w:val="000E3CA1"/>
    <w:rsid w:val="000E6C72"/>
    <w:rsid w:val="000E70CC"/>
    <w:rsid w:val="000F119E"/>
    <w:rsid w:val="000F2368"/>
    <w:rsid w:val="000F7A89"/>
    <w:rsid w:val="0010399E"/>
    <w:rsid w:val="001059B1"/>
    <w:rsid w:val="00116EB2"/>
    <w:rsid w:val="00124609"/>
    <w:rsid w:val="001265CE"/>
    <w:rsid w:val="00127FD6"/>
    <w:rsid w:val="00140C59"/>
    <w:rsid w:val="001426C5"/>
    <w:rsid w:val="001573E4"/>
    <w:rsid w:val="00160756"/>
    <w:rsid w:val="00162F93"/>
    <w:rsid w:val="0017181A"/>
    <w:rsid w:val="0017232E"/>
    <w:rsid w:val="00174102"/>
    <w:rsid w:val="00175E01"/>
    <w:rsid w:val="00176BBC"/>
    <w:rsid w:val="00180157"/>
    <w:rsid w:val="00181223"/>
    <w:rsid w:val="00186F77"/>
    <w:rsid w:val="001926A4"/>
    <w:rsid w:val="00196801"/>
    <w:rsid w:val="00197372"/>
    <w:rsid w:val="001A04D9"/>
    <w:rsid w:val="001A30A4"/>
    <w:rsid w:val="001A3A19"/>
    <w:rsid w:val="001B246B"/>
    <w:rsid w:val="001B45A0"/>
    <w:rsid w:val="001B4A7B"/>
    <w:rsid w:val="001C18EE"/>
    <w:rsid w:val="001D055E"/>
    <w:rsid w:val="001D7724"/>
    <w:rsid w:val="001F492E"/>
    <w:rsid w:val="001F4C58"/>
    <w:rsid w:val="001F6DA3"/>
    <w:rsid w:val="002004E3"/>
    <w:rsid w:val="00212737"/>
    <w:rsid w:val="002128E0"/>
    <w:rsid w:val="00216111"/>
    <w:rsid w:val="00224DB9"/>
    <w:rsid w:val="002345C4"/>
    <w:rsid w:val="00235815"/>
    <w:rsid w:val="00241D74"/>
    <w:rsid w:val="00247C27"/>
    <w:rsid w:val="00251745"/>
    <w:rsid w:val="00263AC0"/>
    <w:rsid w:val="0026772D"/>
    <w:rsid w:val="00286874"/>
    <w:rsid w:val="00293F07"/>
    <w:rsid w:val="00296B65"/>
    <w:rsid w:val="002A6EF6"/>
    <w:rsid w:val="002A7DEF"/>
    <w:rsid w:val="002B14FE"/>
    <w:rsid w:val="002B17A9"/>
    <w:rsid w:val="002B24FE"/>
    <w:rsid w:val="002B60C9"/>
    <w:rsid w:val="002C7257"/>
    <w:rsid w:val="002F6062"/>
    <w:rsid w:val="002F6A17"/>
    <w:rsid w:val="002F7986"/>
    <w:rsid w:val="00303C4A"/>
    <w:rsid w:val="003046B6"/>
    <w:rsid w:val="00307F6D"/>
    <w:rsid w:val="00314977"/>
    <w:rsid w:val="003177A2"/>
    <w:rsid w:val="00320408"/>
    <w:rsid w:val="00321028"/>
    <w:rsid w:val="003271B5"/>
    <w:rsid w:val="003301BA"/>
    <w:rsid w:val="00330CA0"/>
    <w:rsid w:val="00331264"/>
    <w:rsid w:val="00332C56"/>
    <w:rsid w:val="0033341C"/>
    <w:rsid w:val="00334C8D"/>
    <w:rsid w:val="00340655"/>
    <w:rsid w:val="003459E6"/>
    <w:rsid w:val="00347964"/>
    <w:rsid w:val="003518B3"/>
    <w:rsid w:val="003636FA"/>
    <w:rsid w:val="00371641"/>
    <w:rsid w:val="00372AF2"/>
    <w:rsid w:val="00373486"/>
    <w:rsid w:val="00383C29"/>
    <w:rsid w:val="003846F1"/>
    <w:rsid w:val="00387AFB"/>
    <w:rsid w:val="003A38F1"/>
    <w:rsid w:val="003A673F"/>
    <w:rsid w:val="003B093B"/>
    <w:rsid w:val="003B0CD8"/>
    <w:rsid w:val="003B21A7"/>
    <w:rsid w:val="003B5A70"/>
    <w:rsid w:val="003B6396"/>
    <w:rsid w:val="003C1789"/>
    <w:rsid w:val="003F008A"/>
    <w:rsid w:val="003F3DCD"/>
    <w:rsid w:val="004024D9"/>
    <w:rsid w:val="004142D7"/>
    <w:rsid w:val="004219B3"/>
    <w:rsid w:val="0044351B"/>
    <w:rsid w:val="004454B6"/>
    <w:rsid w:val="00454DDE"/>
    <w:rsid w:val="00474CC5"/>
    <w:rsid w:val="00475DDE"/>
    <w:rsid w:val="00480B4B"/>
    <w:rsid w:val="00483832"/>
    <w:rsid w:val="00485DC4"/>
    <w:rsid w:val="0049090A"/>
    <w:rsid w:val="004B2959"/>
    <w:rsid w:val="004B3CD5"/>
    <w:rsid w:val="004B4412"/>
    <w:rsid w:val="004B6617"/>
    <w:rsid w:val="004C348C"/>
    <w:rsid w:val="004D506D"/>
    <w:rsid w:val="004D55BA"/>
    <w:rsid w:val="005038DB"/>
    <w:rsid w:val="005061E7"/>
    <w:rsid w:val="005215FD"/>
    <w:rsid w:val="0052379B"/>
    <w:rsid w:val="00530128"/>
    <w:rsid w:val="00532467"/>
    <w:rsid w:val="00547BA2"/>
    <w:rsid w:val="00547CCF"/>
    <w:rsid w:val="00564A4D"/>
    <w:rsid w:val="00565A20"/>
    <w:rsid w:val="00567DB7"/>
    <w:rsid w:val="00571B35"/>
    <w:rsid w:val="00571C9F"/>
    <w:rsid w:val="00577A09"/>
    <w:rsid w:val="00580B78"/>
    <w:rsid w:val="00581715"/>
    <w:rsid w:val="00584D8F"/>
    <w:rsid w:val="00596D42"/>
    <w:rsid w:val="00597A5A"/>
    <w:rsid w:val="005A404D"/>
    <w:rsid w:val="005B1E3C"/>
    <w:rsid w:val="005C24AC"/>
    <w:rsid w:val="005C26CC"/>
    <w:rsid w:val="005D4A09"/>
    <w:rsid w:val="005D6AFC"/>
    <w:rsid w:val="005E6C0E"/>
    <w:rsid w:val="00600EC0"/>
    <w:rsid w:val="0060463D"/>
    <w:rsid w:val="0060505E"/>
    <w:rsid w:val="00612ADC"/>
    <w:rsid w:val="00615C6B"/>
    <w:rsid w:val="0062508F"/>
    <w:rsid w:val="006274B3"/>
    <w:rsid w:val="00632D6D"/>
    <w:rsid w:val="00634102"/>
    <w:rsid w:val="00642C3E"/>
    <w:rsid w:val="00644E3A"/>
    <w:rsid w:val="00646025"/>
    <w:rsid w:val="006479A1"/>
    <w:rsid w:val="00663DAD"/>
    <w:rsid w:val="00676679"/>
    <w:rsid w:val="006808CA"/>
    <w:rsid w:val="00686D33"/>
    <w:rsid w:val="00691616"/>
    <w:rsid w:val="00692E2E"/>
    <w:rsid w:val="006A5E88"/>
    <w:rsid w:val="006B361C"/>
    <w:rsid w:val="006B4CF9"/>
    <w:rsid w:val="006B7AC8"/>
    <w:rsid w:val="006C2E1D"/>
    <w:rsid w:val="006D40F3"/>
    <w:rsid w:val="006D550F"/>
    <w:rsid w:val="006D75F6"/>
    <w:rsid w:val="006D77F3"/>
    <w:rsid w:val="006F615F"/>
    <w:rsid w:val="00701CAB"/>
    <w:rsid w:val="0070632B"/>
    <w:rsid w:val="00707563"/>
    <w:rsid w:val="0072348C"/>
    <w:rsid w:val="007249B6"/>
    <w:rsid w:val="00724A37"/>
    <w:rsid w:val="007303C3"/>
    <w:rsid w:val="00743223"/>
    <w:rsid w:val="00746E01"/>
    <w:rsid w:val="00763E5D"/>
    <w:rsid w:val="00767740"/>
    <w:rsid w:val="0077733B"/>
    <w:rsid w:val="00777EE6"/>
    <w:rsid w:val="00782EEA"/>
    <w:rsid w:val="007A1FD7"/>
    <w:rsid w:val="007A502D"/>
    <w:rsid w:val="007A7BE6"/>
    <w:rsid w:val="007B2C72"/>
    <w:rsid w:val="007B699F"/>
    <w:rsid w:val="007B6CB9"/>
    <w:rsid w:val="007C1C53"/>
    <w:rsid w:val="007E26A9"/>
    <w:rsid w:val="007E4904"/>
    <w:rsid w:val="007E4A75"/>
    <w:rsid w:val="007E4CB5"/>
    <w:rsid w:val="007F066B"/>
    <w:rsid w:val="008033C4"/>
    <w:rsid w:val="00806C88"/>
    <w:rsid w:val="0081034E"/>
    <w:rsid w:val="00820DAD"/>
    <w:rsid w:val="008344F6"/>
    <w:rsid w:val="0083510F"/>
    <w:rsid w:val="00844F80"/>
    <w:rsid w:val="0084628F"/>
    <w:rsid w:val="00851209"/>
    <w:rsid w:val="00852C8E"/>
    <w:rsid w:val="00853240"/>
    <w:rsid w:val="0088007E"/>
    <w:rsid w:val="008837AC"/>
    <w:rsid w:val="00884D6C"/>
    <w:rsid w:val="008852B3"/>
    <w:rsid w:val="008945B4"/>
    <w:rsid w:val="008A587D"/>
    <w:rsid w:val="008B08E6"/>
    <w:rsid w:val="008B1C1B"/>
    <w:rsid w:val="008B4EEA"/>
    <w:rsid w:val="008B726D"/>
    <w:rsid w:val="008C5486"/>
    <w:rsid w:val="008C5FAA"/>
    <w:rsid w:val="008D2431"/>
    <w:rsid w:val="008E3847"/>
    <w:rsid w:val="008E7031"/>
    <w:rsid w:val="0091775F"/>
    <w:rsid w:val="00922C95"/>
    <w:rsid w:val="009233EE"/>
    <w:rsid w:val="00923A21"/>
    <w:rsid w:val="00925D12"/>
    <w:rsid w:val="00926885"/>
    <w:rsid w:val="009514B0"/>
    <w:rsid w:val="00956584"/>
    <w:rsid w:val="0096385B"/>
    <w:rsid w:val="009661DE"/>
    <w:rsid w:val="00982246"/>
    <w:rsid w:val="009856B7"/>
    <w:rsid w:val="00985AE4"/>
    <w:rsid w:val="0098602B"/>
    <w:rsid w:val="00991B3B"/>
    <w:rsid w:val="009962BA"/>
    <w:rsid w:val="009A0FB2"/>
    <w:rsid w:val="009B74B0"/>
    <w:rsid w:val="009C7EB9"/>
    <w:rsid w:val="009D4414"/>
    <w:rsid w:val="009D6B46"/>
    <w:rsid w:val="009E304C"/>
    <w:rsid w:val="009E6D2B"/>
    <w:rsid w:val="009F0946"/>
    <w:rsid w:val="009F4940"/>
    <w:rsid w:val="00A1665B"/>
    <w:rsid w:val="00A31A03"/>
    <w:rsid w:val="00A4478A"/>
    <w:rsid w:val="00A44852"/>
    <w:rsid w:val="00A508CC"/>
    <w:rsid w:val="00A57D04"/>
    <w:rsid w:val="00A60A26"/>
    <w:rsid w:val="00A61598"/>
    <w:rsid w:val="00A624C1"/>
    <w:rsid w:val="00A64B37"/>
    <w:rsid w:val="00A71F5F"/>
    <w:rsid w:val="00A7241C"/>
    <w:rsid w:val="00A74ECB"/>
    <w:rsid w:val="00A7581D"/>
    <w:rsid w:val="00A75A7D"/>
    <w:rsid w:val="00A84F46"/>
    <w:rsid w:val="00A86D26"/>
    <w:rsid w:val="00A871F4"/>
    <w:rsid w:val="00AB36CB"/>
    <w:rsid w:val="00AC1B2C"/>
    <w:rsid w:val="00AC3264"/>
    <w:rsid w:val="00AC51F5"/>
    <w:rsid w:val="00AC6AE0"/>
    <w:rsid w:val="00AC6F01"/>
    <w:rsid w:val="00AD050D"/>
    <w:rsid w:val="00AD26AA"/>
    <w:rsid w:val="00AE0FE2"/>
    <w:rsid w:val="00AE1694"/>
    <w:rsid w:val="00AE1BF1"/>
    <w:rsid w:val="00AE4373"/>
    <w:rsid w:val="00AF0DD2"/>
    <w:rsid w:val="00B10314"/>
    <w:rsid w:val="00B13048"/>
    <w:rsid w:val="00B15998"/>
    <w:rsid w:val="00B1716D"/>
    <w:rsid w:val="00B17482"/>
    <w:rsid w:val="00B17A1D"/>
    <w:rsid w:val="00B207A0"/>
    <w:rsid w:val="00B44060"/>
    <w:rsid w:val="00B47C2D"/>
    <w:rsid w:val="00B50BAE"/>
    <w:rsid w:val="00B56E03"/>
    <w:rsid w:val="00B60F5D"/>
    <w:rsid w:val="00B61E83"/>
    <w:rsid w:val="00B67E91"/>
    <w:rsid w:val="00B8080B"/>
    <w:rsid w:val="00B87C39"/>
    <w:rsid w:val="00B9628B"/>
    <w:rsid w:val="00BA4665"/>
    <w:rsid w:val="00BB2FB2"/>
    <w:rsid w:val="00BB3304"/>
    <w:rsid w:val="00BD3446"/>
    <w:rsid w:val="00BD7474"/>
    <w:rsid w:val="00BE1F1B"/>
    <w:rsid w:val="00BE47B5"/>
    <w:rsid w:val="00BE4C99"/>
    <w:rsid w:val="00C058AB"/>
    <w:rsid w:val="00C06739"/>
    <w:rsid w:val="00C12FCF"/>
    <w:rsid w:val="00C257F1"/>
    <w:rsid w:val="00C35F47"/>
    <w:rsid w:val="00C50BD2"/>
    <w:rsid w:val="00C50FC9"/>
    <w:rsid w:val="00C538A9"/>
    <w:rsid w:val="00C53B5A"/>
    <w:rsid w:val="00C54F5A"/>
    <w:rsid w:val="00C64DB3"/>
    <w:rsid w:val="00C64FC8"/>
    <w:rsid w:val="00C755AD"/>
    <w:rsid w:val="00C86679"/>
    <w:rsid w:val="00C920FF"/>
    <w:rsid w:val="00CA22ED"/>
    <w:rsid w:val="00CB666B"/>
    <w:rsid w:val="00CC3175"/>
    <w:rsid w:val="00CD3F48"/>
    <w:rsid w:val="00CD5755"/>
    <w:rsid w:val="00CF0530"/>
    <w:rsid w:val="00CF4B39"/>
    <w:rsid w:val="00CF799E"/>
    <w:rsid w:val="00D01CF0"/>
    <w:rsid w:val="00D03B3C"/>
    <w:rsid w:val="00D0442A"/>
    <w:rsid w:val="00D203E1"/>
    <w:rsid w:val="00D22586"/>
    <w:rsid w:val="00D241D2"/>
    <w:rsid w:val="00D308CC"/>
    <w:rsid w:val="00D47F69"/>
    <w:rsid w:val="00D544B8"/>
    <w:rsid w:val="00D61388"/>
    <w:rsid w:val="00D61A54"/>
    <w:rsid w:val="00D62CFD"/>
    <w:rsid w:val="00D64DEA"/>
    <w:rsid w:val="00D73912"/>
    <w:rsid w:val="00D80893"/>
    <w:rsid w:val="00D87C84"/>
    <w:rsid w:val="00D92CF1"/>
    <w:rsid w:val="00D92D38"/>
    <w:rsid w:val="00D950F5"/>
    <w:rsid w:val="00DB0F93"/>
    <w:rsid w:val="00DC079C"/>
    <w:rsid w:val="00DC129E"/>
    <w:rsid w:val="00DC4EDE"/>
    <w:rsid w:val="00DC542F"/>
    <w:rsid w:val="00DC7981"/>
    <w:rsid w:val="00DE1007"/>
    <w:rsid w:val="00DE4EFA"/>
    <w:rsid w:val="00DE5520"/>
    <w:rsid w:val="00E04818"/>
    <w:rsid w:val="00E0502D"/>
    <w:rsid w:val="00E06442"/>
    <w:rsid w:val="00E1358F"/>
    <w:rsid w:val="00E23993"/>
    <w:rsid w:val="00E25B8C"/>
    <w:rsid w:val="00E27BF7"/>
    <w:rsid w:val="00E36DC2"/>
    <w:rsid w:val="00E426EE"/>
    <w:rsid w:val="00E444C4"/>
    <w:rsid w:val="00E4674F"/>
    <w:rsid w:val="00E53F2F"/>
    <w:rsid w:val="00E6426C"/>
    <w:rsid w:val="00E65C85"/>
    <w:rsid w:val="00E66199"/>
    <w:rsid w:val="00E7033E"/>
    <w:rsid w:val="00E755EC"/>
    <w:rsid w:val="00E7624D"/>
    <w:rsid w:val="00E766EE"/>
    <w:rsid w:val="00E87D83"/>
    <w:rsid w:val="00E91FE0"/>
    <w:rsid w:val="00E93DCE"/>
    <w:rsid w:val="00E97A3E"/>
    <w:rsid w:val="00EA3D42"/>
    <w:rsid w:val="00EA6B1B"/>
    <w:rsid w:val="00EC754B"/>
    <w:rsid w:val="00ED46F2"/>
    <w:rsid w:val="00EE24AB"/>
    <w:rsid w:val="00EE28F3"/>
    <w:rsid w:val="00EE620E"/>
    <w:rsid w:val="00EF5110"/>
    <w:rsid w:val="00F15882"/>
    <w:rsid w:val="00F20BD3"/>
    <w:rsid w:val="00F24562"/>
    <w:rsid w:val="00F32C0D"/>
    <w:rsid w:val="00F373A5"/>
    <w:rsid w:val="00F461D6"/>
    <w:rsid w:val="00F47559"/>
    <w:rsid w:val="00F5752F"/>
    <w:rsid w:val="00F60BE4"/>
    <w:rsid w:val="00F61B84"/>
    <w:rsid w:val="00F64C7B"/>
    <w:rsid w:val="00F676DD"/>
    <w:rsid w:val="00F75A26"/>
    <w:rsid w:val="00F76FA1"/>
    <w:rsid w:val="00F778EE"/>
    <w:rsid w:val="00F83FAD"/>
    <w:rsid w:val="00F904CD"/>
    <w:rsid w:val="00F91102"/>
    <w:rsid w:val="00F91DC6"/>
    <w:rsid w:val="00F952A0"/>
    <w:rsid w:val="00F960D1"/>
    <w:rsid w:val="00FA0D2F"/>
    <w:rsid w:val="00FA0D56"/>
    <w:rsid w:val="00FA3C7F"/>
    <w:rsid w:val="00FA42AD"/>
    <w:rsid w:val="00FA64A4"/>
    <w:rsid w:val="00FB27DA"/>
    <w:rsid w:val="00FB52D7"/>
    <w:rsid w:val="00FB74E2"/>
    <w:rsid w:val="00FC2348"/>
    <w:rsid w:val="00FC590E"/>
    <w:rsid w:val="00FD5614"/>
    <w:rsid w:val="00FE0BE1"/>
    <w:rsid w:val="00FE1DE9"/>
    <w:rsid w:val="00FE39C2"/>
    <w:rsid w:val="00FE64AE"/>
    <w:rsid w:val="00FF4C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CommentText">
    <w:name w:val="annotation text"/>
    <w:basedOn w:val="Normal"/>
    <w:link w:val="CommentTextChar"/>
    <w:uiPriority w:val="99"/>
    <w:unhideWhenUsed/>
    <w:rsid w:val="001B4A7B"/>
    <w:pPr>
      <w:spacing w:before="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1B4A7B"/>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1B4A7B"/>
    <w:rPr>
      <w:sz w:val="16"/>
      <w:szCs w:val="16"/>
    </w:rPr>
  </w:style>
  <w:style w:type="paragraph" w:customStyle="1" w:styleId="R2">
    <w:name w:val="R2"/>
    <w:aliases w:val="(2)"/>
    <w:basedOn w:val="Normal"/>
    <w:rsid w:val="00CC3175"/>
    <w:pPr>
      <w:tabs>
        <w:tab w:val="right" w:pos="794"/>
      </w:tabs>
      <w:spacing w:before="180" w:line="260" w:lineRule="exact"/>
      <w:ind w:left="964" w:hanging="964"/>
      <w:jc w:val="both"/>
    </w:pPr>
    <w:rPr>
      <w:rFonts w:ascii="Times New Roman" w:eastAsia="Times New Roman" w:hAnsi="Times New Roman" w:cs="Times New Roman"/>
      <w:sz w:val="24"/>
      <w:szCs w:val="24"/>
    </w:rPr>
  </w:style>
  <w:style w:type="paragraph" w:customStyle="1" w:styleId="HSR">
    <w:name w:val="HSR"/>
    <w:aliases w:val="Subregulation Heading"/>
    <w:basedOn w:val="Normal"/>
    <w:next w:val="R2"/>
    <w:rsid w:val="00CC3175"/>
    <w:pPr>
      <w:keepNext/>
      <w:spacing w:before="300"/>
      <w:ind w:left="964"/>
    </w:pPr>
    <w:rPr>
      <w:rFonts w:eastAsia="Times New Roman" w:cs="Times New Roman"/>
      <w:i/>
      <w:sz w:val="24"/>
      <w:szCs w:val="24"/>
    </w:rPr>
  </w:style>
  <w:style w:type="paragraph" w:customStyle="1" w:styleId="P1">
    <w:name w:val="P1"/>
    <w:aliases w:val="(a)"/>
    <w:basedOn w:val="Normal"/>
    <w:rsid w:val="00CC3175"/>
    <w:pPr>
      <w:tabs>
        <w:tab w:val="right" w:pos="1191"/>
      </w:tabs>
      <w:spacing w:before="60" w:line="260" w:lineRule="exact"/>
      <w:ind w:left="1418" w:hanging="1418"/>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34102"/>
    <w:pPr>
      <w:spacing w:before="20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634102"/>
    <w:rPr>
      <w:rFonts w:ascii="Arial" w:eastAsia="Times New Roman" w:hAnsi="Arial" w:cs="Times New Roman"/>
      <w:b/>
      <w:bCs/>
      <w:sz w:val="20"/>
      <w:szCs w:val="20"/>
      <w:lang w:eastAsia="en-AU"/>
    </w:rPr>
  </w:style>
  <w:style w:type="paragraph" w:customStyle="1" w:styleId="Definition">
    <w:name w:val="Definition"/>
    <w:aliases w:val="dd"/>
    <w:basedOn w:val="Normal"/>
    <w:rsid w:val="00567DB7"/>
    <w:pPr>
      <w:spacing w:before="180"/>
      <w:ind w:left="1134"/>
    </w:pPr>
    <w:rPr>
      <w:rFonts w:ascii="Times New Roman" w:eastAsia="Times New Roman" w:hAnsi="Times New Roman" w:cs="Times New Roman"/>
      <w:szCs w:val="20"/>
      <w:lang w:eastAsia="en-AU"/>
    </w:rPr>
  </w:style>
  <w:style w:type="character" w:customStyle="1" w:styleId="legsubtitle1">
    <w:name w:val="legsubtitle1"/>
    <w:basedOn w:val="DefaultParagraphFont"/>
    <w:rsid w:val="000F7A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styleId="CommentText">
    <w:name w:val="annotation text"/>
    <w:basedOn w:val="Normal"/>
    <w:link w:val="CommentTextChar"/>
    <w:uiPriority w:val="99"/>
    <w:unhideWhenUsed/>
    <w:rsid w:val="001B4A7B"/>
    <w:pPr>
      <w:spacing w:before="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1B4A7B"/>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1B4A7B"/>
    <w:rPr>
      <w:sz w:val="16"/>
      <w:szCs w:val="16"/>
    </w:rPr>
  </w:style>
  <w:style w:type="paragraph" w:customStyle="1" w:styleId="R2">
    <w:name w:val="R2"/>
    <w:aliases w:val="(2)"/>
    <w:basedOn w:val="Normal"/>
    <w:rsid w:val="00CC3175"/>
    <w:pPr>
      <w:tabs>
        <w:tab w:val="right" w:pos="794"/>
      </w:tabs>
      <w:spacing w:before="180" w:line="260" w:lineRule="exact"/>
      <w:ind w:left="964" w:hanging="964"/>
      <w:jc w:val="both"/>
    </w:pPr>
    <w:rPr>
      <w:rFonts w:ascii="Times New Roman" w:eastAsia="Times New Roman" w:hAnsi="Times New Roman" w:cs="Times New Roman"/>
      <w:sz w:val="24"/>
      <w:szCs w:val="24"/>
    </w:rPr>
  </w:style>
  <w:style w:type="paragraph" w:customStyle="1" w:styleId="HSR">
    <w:name w:val="HSR"/>
    <w:aliases w:val="Subregulation Heading"/>
    <w:basedOn w:val="Normal"/>
    <w:next w:val="R2"/>
    <w:rsid w:val="00CC3175"/>
    <w:pPr>
      <w:keepNext/>
      <w:spacing w:before="300"/>
      <w:ind w:left="964"/>
    </w:pPr>
    <w:rPr>
      <w:rFonts w:eastAsia="Times New Roman" w:cs="Times New Roman"/>
      <w:i/>
      <w:sz w:val="24"/>
      <w:szCs w:val="24"/>
    </w:rPr>
  </w:style>
  <w:style w:type="paragraph" w:customStyle="1" w:styleId="P1">
    <w:name w:val="P1"/>
    <w:aliases w:val="(a)"/>
    <w:basedOn w:val="Normal"/>
    <w:rsid w:val="00CC3175"/>
    <w:pPr>
      <w:tabs>
        <w:tab w:val="right" w:pos="1191"/>
      </w:tabs>
      <w:spacing w:before="60" w:line="260" w:lineRule="exact"/>
      <w:ind w:left="1418" w:hanging="1418"/>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34102"/>
    <w:pPr>
      <w:spacing w:before="20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634102"/>
    <w:rPr>
      <w:rFonts w:ascii="Arial" w:eastAsia="Times New Roman" w:hAnsi="Arial" w:cs="Times New Roman"/>
      <w:b/>
      <w:bCs/>
      <w:sz w:val="20"/>
      <w:szCs w:val="20"/>
      <w:lang w:eastAsia="en-AU"/>
    </w:rPr>
  </w:style>
  <w:style w:type="paragraph" w:customStyle="1" w:styleId="Definition">
    <w:name w:val="Definition"/>
    <w:aliases w:val="dd"/>
    <w:basedOn w:val="Normal"/>
    <w:rsid w:val="00567DB7"/>
    <w:pPr>
      <w:spacing w:before="180"/>
      <w:ind w:left="1134"/>
    </w:pPr>
    <w:rPr>
      <w:rFonts w:ascii="Times New Roman" w:eastAsia="Times New Roman" w:hAnsi="Times New Roman" w:cs="Times New Roman"/>
      <w:szCs w:val="20"/>
      <w:lang w:eastAsia="en-AU"/>
    </w:rPr>
  </w:style>
  <w:style w:type="character" w:customStyle="1" w:styleId="legsubtitle1">
    <w:name w:val="legsubtitle1"/>
    <w:basedOn w:val="DefaultParagraphFont"/>
    <w:rsid w:val="000F7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28998188">
      <w:bodyDiv w:val="1"/>
      <w:marLeft w:val="0"/>
      <w:marRight w:val="0"/>
      <w:marTop w:val="0"/>
      <w:marBottom w:val="0"/>
      <w:divBdr>
        <w:top w:val="none" w:sz="0" w:space="0" w:color="auto"/>
        <w:left w:val="none" w:sz="0" w:space="0" w:color="auto"/>
        <w:bottom w:val="none" w:sz="0" w:space="0" w:color="auto"/>
        <w:right w:val="none" w:sz="0" w:space="0" w:color="auto"/>
      </w:divBdr>
      <w:divsChild>
        <w:div w:id="1436636625">
          <w:marLeft w:val="0"/>
          <w:marRight w:val="0"/>
          <w:marTop w:val="0"/>
          <w:marBottom w:val="0"/>
          <w:divBdr>
            <w:top w:val="none" w:sz="0" w:space="0" w:color="auto"/>
            <w:left w:val="none" w:sz="0" w:space="0" w:color="auto"/>
            <w:bottom w:val="none" w:sz="0" w:space="0" w:color="auto"/>
            <w:right w:val="none" w:sz="0" w:space="0" w:color="auto"/>
          </w:divBdr>
          <w:divsChild>
            <w:div w:id="418333503">
              <w:marLeft w:val="0"/>
              <w:marRight w:val="0"/>
              <w:marTop w:val="0"/>
              <w:marBottom w:val="0"/>
              <w:divBdr>
                <w:top w:val="none" w:sz="0" w:space="0" w:color="auto"/>
                <w:left w:val="none" w:sz="0" w:space="0" w:color="auto"/>
                <w:bottom w:val="none" w:sz="0" w:space="0" w:color="auto"/>
                <w:right w:val="none" w:sz="0" w:space="0" w:color="auto"/>
              </w:divBdr>
              <w:divsChild>
                <w:div w:id="779836960">
                  <w:marLeft w:val="0"/>
                  <w:marRight w:val="0"/>
                  <w:marTop w:val="0"/>
                  <w:marBottom w:val="0"/>
                  <w:divBdr>
                    <w:top w:val="none" w:sz="0" w:space="0" w:color="auto"/>
                    <w:left w:val="none" w:sz="0" w:space="0" w:color="auto"/>
                    <w:bottom w:val="none" w:sz="0" w:space="0" w:color="auto"/>
                    <w:right w:val="none" w:sz="0" w:space="0" w:color="auto"/>
                  </w:divBdr>
                  <w:divsChild>
                    <w:div w:id="1120685753">
                      <w:marLeft w:val="0"/>
                      <w:marRight w:val="0"/>
                      <w:marTop w:val="0"/>
                      <w:marBottom w:val="0"/>
                      <w:divBdr>
                        <w:top w:val="none" w:sz="0" w:space="0" w:color="auto"/>
                        <w:left w:val="none" w:sz="0" w:space="0" w:color="auto"/>
                        <w:bottom w:val="none" w:sz="0" w:space="0" w:color="auto"/>
                        <w:right w:val="none" w:sz="0" w:space="0" w:color="auto"/>
                      </w:divBdr>
                      <w:divsChild>
                        <w:div w:id="494301247">
                          <w:marLeft w:val="0"/>
                          <w:marRight w:val="0"/>
                          <w:marTop w:val="0"/>
                          <w:marBottom w:val="0"/>
                          <w:divBdr>
                            <w:top w:val="none" w:sz="0" w:space="0" w:color="auto"/>
                            <w:left w:val="none" w:sz="0" w:space="0" w:color="auto"/>
                            <w:bottom w:val="none" w:sz="0" w:space="0" w:color="auto"/>
                            <w:right w:val="none" w:sz="0" w:space="0" w:color="auto"/>
                          </w:divBdr>
                          <w:divsChild>
                            <w:div w:id="1390615818">
                              <w:marLeft w:val="0"/>
                              <w:marRight w:val="0"/>
                              <w:marTop w:val="0"/>
                              <w:marBottom w:val="0"/>
                              <w:divBdr>
                                <w:top w:val="none" w:sz="0" w:space="0" w:color="auto"/>
                                <w:left w:val="none" w:sz="0" w:space="0" w:color="auto"/>
                                <w:bottom w:val="none" w:sz="0" w:space="0" w:color="auto"/>
                                <w:right w:val="none" w:sz="0" w:space="0" w:color="auto"/>
                              </w:divBdr>
                              <w:divsChild>
                                <w:div w:id="1693847802">
                                  <w:marLeft w:val="-225"/>
                                  <w:marRight w:val="-225"/>
                                  <w:marTop w:val="0"/>
                                  <w:marBottom w:val="0"/>
                                  <w:divBdr>
                                    <w:top w:val="none" w:sz="0" w:space="0" w:color="auto"/>
                                    <w:left w:val="none" w:sz="0" w:space="0" w:color="auto"/>
                                    <w:bottom w:val="none" w:sz="0" w:space="0" w:color="auto"/>
                                    <w:right w:val="none" w:sz="0" w:space="0" w:color="auto"/>
                                  </w:divBdr>
                                  <w:divsChild>
                                    <w:div w:id="1679115882">
                                      <w:marLeft w:val="0"/>
                                      <w:marRight w:val="0"/>
                                      <w:marTop w:val="0"/>
                                      <w:marBottom w:val="0"/>
                                      <w:divBdr>
                                        <w:top w:val="none" w:sz="0" w:space="0" w:color="auto"/>
                                        <w:left w:val="none" w:sz="0" w:space="0" w:color="auto"/>
                                        <w:bottom w:val="none" w:sz="0" w:space="0" w:color="auto"/>
                                        <w:right w:val="none" w:sz="0" w:space="0" w:color="auto"/>
                                      </w:divBdr>
                                      <w:divsChild>
                                        <w:div w:id="745230508">
                                          <w:marLeft w:val="0"/>
                                          <w:marRight w:val="0"/>
                                          <w:marTop w:val="0"/>
                                          <w:marBottom w:val="0"/>
                                          <w:divBdr>
                                            <w:top w:val="none" w:sz="0" w:space="0" w:color="auto"/>
                                            <w:left w:val="none" w:sz="0" w:space="0" w:color="auto"/>
                                            <w:bottom w:val="none" w:sz="0" w:space="0" w:color="auto"/>
                                            <w:right w:val="none" w:sz="0" w:space="0" w:color="auto"/>
                                          </w:divBdr>
                                          <w:divsChild>
                                            <w:div w:id="17235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www.saiglobal.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94AB63-A50A-4226-BE49-12A3DC20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B20EFBE6</Template>
  <TotalTime>0</TotalTime>
  <Pages>3</Pages>
  <Words>1020</Words>
  <Characters>5816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Charlotte Marshall</dc:creator>
  <cp:lastModifiedBy>Loiacono, Elizabeth</cp:lastModifiedBy>
  <cp:revision>2</cp:revision>
  <cp:lastPrinted>2017-05-24T01:33:00Z</cp:lastPrinted>
  <dcterms:created xsi:type="dcterms:W3CDTF">2017-12-01T00:23:00Z</dcterms:created>
  <dcterms:modified xsi:type="dcterms:W3CDTF">2017-12-01T00:23:00Z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8898559</vt:lpwstr>
  </property>
  <property fmtid="{D5CDD505-2E9C-101B-9397-08002B2CF9AE}" pid="3" name="currfile">
    <vt:lpwstr>\\cdchnas-evs02\home$\towen\cps - sp - stands - explanatory statement - 2017 (D2017-00066475).docx</vt:lpwstr>
  </property>
</Properties>
</file>