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7B" w:rsidRPr="006C2E1D" w:rsidRDefault="001B4A7B" w:rsidP="001B4A7B">
      <w:pPr>
        <w:jc w:val="center"/>
        <w:rPr>
          <w:rFonts w:asciiTheme="minorHAnsi" w:hAnsiTheme="minorHAnsi" w:cstheme="minorHAnsi"/>
          <w:b/>
          <w:lang w:val="en-GB"/>
        </w:rPr>
      </w:pPr>
      <w:bookmarkStart w:id="0" w:name="_GoBack"/>
      <w:bookmarkEnd w:id="0"/>
      <w:r w:rsidRPr="006C2E1D">
        <w:rPr>
          <w:rFonts w:asciiTheme="minorHAnsi" w:hAnsiTheme="minorHAnsi" w:cstheme="minorHAnsi"/>
          <w:b/>
          <w:lang w:val="en-GB"/>
        </w:rPr>
        <w:t>EXPLANATORY STATEMENT</w:t>
      </w:r>
    </w:p>
    <w:p w:rsidR="001B4A7B" w:rsidRPr="006C2E1D" w:rsidRDefault="001B4A7B" w:rsidP="001B4A7B">
      <w:pPr>
        <w:jc w:val="center"/>
        <w:rPr>
          <w:rFonts w:asciiTheme="minorHAnsi" w:hAnsiTheme="minorHAnsi" w:cstheme="minorHAnsi"/>
          <w:i/>
          <w:lang w:val="en-GB"/>
        </w:rPr>
      </w:pPr>
      <w:r w:rsidRPr="006C2E1D">
        <w:rPr>
          <w:rFonts w:asciiTheme="minorHAnsi" w:hAnsiTheme="minorHAnsi" w:cstheme="minorHAnsi"/>
          <w:i/>
          <w:lang w:val="en-GB"/>
        </w:rPr>
        <w:t>Consumer Goods (</w:t>
      </w:r>
      <w:r w:rsidR="000B46E2">
        <w:rPr>
          <w:rFonts w:asciiTheme="minorHAnsi" w:hAnsiTheme="minorHAnsi" w:cstheme="minorHAnsi"/>
          <w:i/>
          <w:lang w:val="en-GB"/>
        </w:rPr>
        <w:t>Motor Vehicle recovery Straps</w:t>
      </w:r>
      <w:r w:rsidRPr="006C2E1D">
        <w:rPr>
          <w:rFonts w:asciiTheme="minorHAnsi" w:hAnsiTheme="minorHAnsi" w:cstheme="minorHAnsi"/>
          <w:i/>
          <w:lang w:val="en-GB"/>
        </w:rPr>
        <w:t>) Safety Standard 201</w:t>
      </w:r>
      <w:r w:rsidR="007A502D" w:rsidRPr="006C2E1D">
        <w:rPr>
          <w:rFonts w:asciiTheme="minorHAnsi" w:hAnsiTheme="minorHAnsi" w:cstheme="minorHAnsi"/>
          <w:i/>
          <w:lang w:val="en-GB"/>
        </w:rPr>
        <w:t>7</w:t>
      </w:r>
    </w:p>
    <w:p w:rsidR="001B4A7B" w:rsidRPr="006C2E1D" w:rsidRDefault="001B4A7B" w:rsidP="001B4A7B">
      <w:pPr>
        <w:rPr>
          <w:rFonts w:cs="Arial"/>
          <w:b/>
          <w:lang w:val="en-GB"/>
        </w:rPr>
      </w:pPr>
      <w:r w:rsidRPr="006C2E1D">
        <w:rPr>
          <w:rFonts w:cs="Arial"/>
          <w:b/>
          <w:lang w:val="en-GB"/>
        </w:rPr>
        <w:t>Overview</w:t>
      </w:r>
    </w:p>
    <w:p w:rsidR="000B779C" w:rsidRDefault="00644E3A" w:rsidP="001B4A7B">
      <w:pPr>
        <w:rPr>
          <w:rFonts w:cs="Arial"/>
          <w:highlight w:val="yellow"/>
          <w:lang w:val="en-GB"/>
        </w:rPr>
      </w:pPr>
      <w:r w:rsidRPr="006C2E1D">
        <w:rPr>
          <w:rFonts w:cs="Arial"/>
          <w:lang w:val="en-GB"/>
        </w:rPr>
        <w:t xml:space="preserve">The Commonwealth Minister for Small Business (the Minister) has made a safety standard for </w:t>
      </w:r>
      <w:r w:rsidR="000B46E2">
        <w:rPr>
          <w:rFonts w:cs="Arial"/>
          <w:lang w:val="en-GB"/>
        </w:rPr>
        <w:t xml:space="preserve">motor vehicle recovery straps </w:t>
      </w:r>
      <w:r w:rsidRPr="006C2E1D">
        <w:rPr>
          <w:rFonts w:cs="Arial"/>
          <w:lang w:val="en-GB"/>
        </w:rPr>
        <w:t>pursuant to section 104 of t</w:t>
      </w:r>
      <w:r w:rsidR="003A46FA">
        <w:rPr>
          <w:rFonts w:cs="Arial"/>
          <w:lang w:val="en-GB"/>
        </w:rPr>
        <w:t>he Australian Consumer Law</w:t>
      </w:r>
      <w:r w:rsidRPr="006C2E1D">
        <w:rPr>
          <w:rFonts w:cs="Arial"/>
          <w:lang w:val="en-GB"/>
        </w:rPr>
        <w:t xml:space="preserve">, which is Schedule 2 of the </w:t>
      </w:r>
      <w:r w:rsidRPr="006C2E1D">
        <w:rPr>
          <w:rFonts w:cs="Arial"/>
          <w:i/>
          <w:lang w:val="en-GB"/>
        </w:rPr>
        <w:t>Competition and Consumer Act 2010 (Cth)</w:t>
      </w:r>
      <w:r w:rsidRPr="006C2E1D">
        <w:rPr>
          <w:rFonts w:cs="Arial"/>
          <w:lang w:val="en-GB"/>
        </w:rPr>
        <w:t>.</w:t>
      </w:r>
    </w:p>
    <w:p w:rsidR="00691CF4" w:rsidRPr="006C2E1D" w:rsidRDefault="00691CF4" w:rsidP="00691CF4">
      <w:pPr>
        <w:rPr>
          <w:rFonts w:cs="Arial"/>
          <w:lang w:val="en-GB"/>
        </w:rPr>
      </w:pPr>
      <w:r w:rsidRPr="000F7A89">
        <w:rPr>
          <w:rFonts w:cs="Arial"/>
          <w:lang w:val="en-GB"/>
        </w:rPr>
        <w:t xml:space="preserve">The safety standard comes into effect on the day after it is registered on the Federal Register of Legislation. </w:t>
      </w:r>
      <w:r>
        <w:rPr>
          <w:rFonts w:cs="Arial"/>
          <w:lang w:val="en-GB"/>
        </w:rPr>
        <w:t>A transitional period of 24 months will apply during which s</w:t>
      </w:r>
      <w:r w:rsidRPr="000F7A89">
        <w:rPr>
          <w:rFonts w:cs="Arial"/>
          <w:lang w:val="en-GB"/>
        </w:rPr>
        <w:t xml:space="preserve">uppliers </w:t>
      </w:r>
      <w:r>
        <w:rPr>
          <w:rFonts w:cs="Arial"/>
          <w:lang w:val="en-GB"/>
        </w:rPr>
        <w:t>may</w:t>
      </w:r>
      <w:r w:rsidRPr="000F7A89">
        <w:rPr>
          <w:rFonts w:cs="Arial"/>
          <w:lang w:val="en-GB"/>
        </w:rPr>
        <w:t xml:space="preserve"> supply </w:t>
      </w:r>
      <w:r w:rsidR="000B46E2">
        <w:rPr>
          <w:rFonts w:cs="Arial"/>
          <w:lang w:val="en-GB"/>
        </w:rPr>
        <w:t xml:space="preserve">motor vehicle recovery straps </w:t>
      </w:r>
      <w:r>
        <w:rPr>
          <w:rFonts w:cs="Arial"/>
          <w:lang w:val="en-GB"/>
        </w:rPr>
        <w:t>that</w:t>
      </w:r>
      <w:r w:rsidRPr="000F7A89">
        <w:rPr>
          <w:rFonts w:cs="Arial"/>
          <w:lang w:val="en-GB"/>
        </w:rPr>
        <w:t xml:space="preserve"> meet either the previous safety standard or </w:t>
      </w:r>
      <w:r>
        <w:rPr>
          <w:rFonts w:cs="Arial"/>
          <w:lang w:val="en-GB"/>
        </w:rPr>
        <w:t xml:space="preserve">the </w:t>
      </w:r>
      <w:r w:rsidRPr="000F7A89">
        <w:rPr>
          <w:rFonts w:cs="Arial"/>
          <w:lang w:val="en-GB"/>
        </w:rPr>
        <w:t>new safety standard</w:t>
      </w:r>
      <w:r>
        <w:rPr>
          <w:rFonts w:cs="Arial"/>
          <w:lang w:val="en-GB"/>
        </w:rPr>
        <w:t xml:space="preserve">. At the end of the 24 month transitional period </w:t>
      </w:r>
      <w:r w:rsidRPr="006C2E1D">
        <w:rPr>
          <w:rFonts w:cs="Arial"/>
          <w:lang w:val="en-GB"/>
        </w:rPr>
        <w:t xml:space="preserve">suppliers will need to ensure they comply with the new </w:t>
      </w:r>
      <w:r>
        <w:rPr>
          <w:rFonts w:cs="Arial"/>
          <w:lang w:val="en-GB"/>
        </w:rPr>
        <w:t>safety standard.</w:t>
      </w:r>
    </w:p>
    <w:p w:rsidR="00E97A3E" w:rsidRPr="008852B3" w:rsidRDefault="001B4A7B" w:rsidP="00884D6C">
      <w:pPr>
        <w:rPr>
          <w:rFonts w:eastAsia="Arial" w:cs="Arial"/>
        </w:rPr>
      </w:pPr>
      <w:r w:rsidRPr="00E97A3E">
        <w:rPr>
          <w:rFonts w:eastAsia="Arial" w:cs="Arial"/>
        </w:rPr>
        <w:t xml:space="preserve">The </w:t>
      </w:r>
      <w:r w:rsidR="0091775F" w:rsidRPr="00E97A3E">
        <w:rPr>
          <w:rFonts w:eastAsia="Arial" w:cs="Arial"/>
        </w:rPr>
        <w:t xml:space="preserve">purpose of the </w:t>
      </w:r>
      <w:r w:rsidR="001F4C58" w:rsidRPr="00E97A3E">
        <w:rPr>
          <w:rFonts w:eastAsia="Arial" w:cs="Arial"/>
        </w:rPr>
        <w:t xml:space="preserve">safety </w:t>
      </w:r>
      <w:r w:rsidR="0091775F" w:rsidRPr="00E97A3E">
        <w:rPr>
          <w:rFonts w:eastAsia="Arial" w:cs="Arial"/>
        </w:rPr>
        <w:t>standard is to</w:t>
      </w:r>
      <w:r w:rsidRPr="00E97A3E">
        <w:rPr>
          <w:rFonts w:eastAsia="Arial" w:cs="Arial"/>
        </w:rPr>
        <w:t xml:space="preserve"> reduce the risk of </w:t>
      </w:r>
      <w:r w:rsidR="00A71F5F" w:rsidRPr="00E97A3E">
        <w:rPr>
          <w:rFonts w:eastAsia="Arial" w:cs="Arial"/>
        </w:rPr>
        <w:t xml:space="preserve">death and serious injuries </w:t>
      </w:r>
      <w:r w:rsidR="00127FD6" w:rsidRPr="00E97A3E">
        <w:rPr>
          <w:rFonts w:eastAsia="Arial" w:cs="Arial"/>
        </w:rPr>
        <w:t>resulting from</w:t>
      </w:r>
      <w:r w:rsidR="00A71F5F" w:rsidRPr="00E97A3E">
        <w:rPr>
          <w:rFonts w:eastAsia="Arial" w:cs="Arial"/>
        </w:rPr>
        <w:t xml:space="preserve"> </w:t>
      </w:r>
      <w:r w:rsidR="00E97A3E" w:rsidRPr="00E97A3E">
        <w:rPr>
          <w:rFonts w:eastAsia="Arial" w:cs="Arial"/>
        </w:rPr>
        <w:t xml:space="preserve">the use of </w:t>
      </w:r>
      <w:r w:rsidR="000B46E2">
        <w:rPr>
          <w:rFonts w:eastAsia="Arial" w:cs="Arial"/>
        </w:rPr>
        <w:t>motor vehicle recovery straps</w:t>
      </w:r>
      <w:r w:rsidR="00E97A3E" w:rsidRPr="00E97A3E">
        <w:rPr>
          <w:rFonts w:eastAsia="Arial" w:cs="Arial"/>
        </w:rPr>
        <w:t xml:space="preserve">. </w:t>
      </w:r>
      <w:r w:rsidR="00B9628B" w:rsidRPr="00E97A3E">
        <w:rPr>
          <w:rFonts w:eastAsia="Arial" w:cs="Arial"/>
        </w:rPr>
        <w:t>The previous</w:t>
      </w:r>
      <w:r w:rsidRPr="00E97A3E">
        <w:rPr>
          <w:rFonts w:eastAsia="Arial" w:cs="Arial"/>
        </w:rPr>
        <w:t xml:space="preserve"> standard was introduced in</w:t>
      </w:r>
      <w:r w:rsidR="00D73912" w:rsidRPr="00E97A3E">
        <w:rPr>
          <w:rFonts w:eastAsia="Arial" w:cs="Arial"/>
        </w:rPr>
        <w:t xml:space="preserve"> </w:t>
      </w:r>
      <w:r w:rsidR="000B46E2">
        <w:rPr>
          <w:rFonts w:eastAsia="Arial" w:cs="Arial"/>
        </w:rPr>
        <w:t>2010</w:t>
      </w:r>
      <w:r w:rsidR="00E97A3E" w:rsidRPr="00E97A3E">
        <w:rPr>
          <w:rFonts w:eastAsia="Arial" w:cs="Arial"/>
        </w:rPr>
        <w:t xml:space="preserve"> due to </w:t>
      </w:r>
      <w:r w:rsidR="0052118C">
        <w:rPr>
          <w:rFonts w:eastAsia="Arial" w:cs="Arial"/>
        </w:rPr>
        <w:t>concerns about the safety</w:t>
      </w:r>
      <w:r w:rsidR="00E97A3E" w:rsidRPr="008852B3">
        <w:rPr>
          <w:rFonts w:eastAsia="Arial" w:cs="Arial"/>
        </w:rPr>
        <w:t xml:space="preserve"> of these products.</w:t>
      </w:r>
    </w:p>
    <w:p w:rsidR="000B46E2" w:rsidRDefault="000B46E2" w:rsidP="00F5752F">
      <w:pPr>
        <w:rPr>
          <w:rFonts w:eastAsia="Arial" w:cs="Arial"/>
        </w:rPr>
      </w:pPr>
      <w:r>
        <w:rPr>
          <w:rFonts w:eastAsia="Arial" w:cs="Arial"/>
        </w:rPr>
        <w:t>Since 2003</w:t>
      </w:r>
      <w:r w:rsidR="00E35829" w:rsidRPr="00E35829">
        <w:rPr>
          <w:rFonts w:eastAsia="Arial" w:cs="Arial"/>
        </w:rPr>
        <w:t xml:space="preserve">, </w:t>
      </w:r>
      <w:r>
        <w:rPr>
          <w:rFonts w:eastAsia="Arial" w:cs="Arial"/>
        </w:rPr>
        <w:t>six</w:t>
      </w:r>
      <w:r w:rsidR="00E35829" w:rsidRPr="00E35829">
        <w:rPr>
          <w:rFonts w:eastAsia="Arial" w:cs="Arial"/>
        </w:rPr>
        <w:t xml:space="preserve"> Australians</w:t>
      </w:r>
      <w:r>
        <w:rPr>
          <w:rFonts w:eastAsia="Arial" w:cs="Arial"/>
        </w:rPr>
        <w:t xml:space="preserve"> have </w:t>
      </w:r>
      <w:r w:rsidR="00E35829" w:rsidRPr="00E35829">
        <w:rPr>
          <w:rFonts w:eastAsia="Arial" w:cs="Arial"/>
        </w:rPr>
        <w:t xml:space="preserve">been killed </w:t>
      </w:r>
      <w:r>
        <w:rPr>
          <w:rFonts w:eastAsia="Arial" w:cs="Arial"/>
        </w:rPr>
        <w:t>when motor vehicle recovery straps have been used to recover a bogged vehicle. These deaths have occurred when</w:t>
      </w:r>
      <w:r w:rsidR="00764757">
        <w:rPr>
          <w:rFonts w:eastAsia="Arial" w:cs="Arial"/>
        </w:rPr>
        <w:t xml:space="preserve"> a person has incorrectly attached</w:t>
      </w:r>
      <w:r>
        <w:rPr>
          <w:rFonts w:eastAsia="Arial" w:cs="Arial"/>
        </w:rPr>
        <w:t xml:space="preserve"> the motor vehicle recovery str</w:t>
      </w:r>
      <w:r w:rsidR="00764757">
        <w:rPr>
          <w:rFonts w:eastAsia="Arial" w:cs="Arial"/>
        </w:rPr>
        <w:t>ap to a non-prescribed part of a vehicle. As a result</w:t>
      </w:r>
      <w:r w:rsidR="00283808">
        <w:rPr>
          <w:rFonts w:eastAsia="Arial" w:cs="Arial"/>
        </w:rPr>
        <w:t xml:space="preserve"> incorrect attachment points </w:t>
      </w:r>
      <w:r w:rsidR="00764757">
        <w:rPr>
          <w:rFonts w:eastAsia="Arial" w:cs="Arial"/>
        </w:rPr>
        <w:t>(such as a tow bar) have sheared from</w:t>
      </w:r>
      <w:r w:rsidR="00283808">
        <w:rPr>
          <w:rFonts w:eastAsia="Arial" w:cs="Arial"/>
        </w:rPr>
        <w:t xml:space="preserve"> </w:t>
      </w:r>
      <w:r w:rsidR="00764757">
        <w:rPr>
          <w:rFonts w:eastAsia="Arial" w:cs="Arial"/>
        </w:rPr>
        <w:t xml:space="preserve">the vehicle and lethally struck either a vehicle occupant or bystander. </w:t>
      </w:r>
    </w:p>
    <w:p w:rsidR="00F5752F" w:rsidRPr="006C2E1D" w:rsidRDefault="00F5752F" w:rsidP="00F5752F">
      <w:pPr>
        <w:rPr>
          <w:rFonts w:cs="Arial"/>
          <w:b/>
          <w:lang w:val="en-GB"/>
        </w:rPr>
      </w:pPr>
      <w:r w:rsidRPr="006C2E1D">
        <w:rPr>
          <w:rFonts w:cs="Arial"/>
          <w:b/>
          <w:lang w:val="en-GB"/>
        </w:rPr>
        <w:t>Repealed Standard</w:t>
      </w:r>
    </w:p>
    <w:p w:rsidR="002B60C9" w:rsidRPr="00AA4E92" w:rsidRDefault="002B60C9" w:rsidP="001B4A7B">
      <w:pPr>
        <w:rPr>
          <w:rFonts w:cs="Arial"/>
          <w:lang w:val="en-GB"/>
        </w:rPr>
      </w:pPr>
      <w:r w:rsidRPr="00AA4E92">
        <w:rPr>
          <w:rFonts w:cs="Arial"/>
          <w:lang w:val="en-GB"/>
        </w:rPr>
        <w:t xml:space="preserve">The </w:t>
      </w:r>
      <w:r w:rsidR="00A624C1" w:rsidRPr="00AA4E92">
        <w:rPr>
          <w:rFonts w:cs="Arial"/>
          <w:lang w:val="en-GB"/>
        </w:rPr>
        <w:t xml:space="preserve">previous safety </w:t>
      </w:r>
      <w:r w:rsidRPr="00AA4E92">
        <w:rPr>
          <w:rFonts w:cs="Arial"/>
          <w:lang w:val="en-GB"/>
        </w:rPr>
        <w:t xml:space="preserve">standard </w:t>
      </w:r>
      <w:r w:rsidR="00F5752F" w:rsidRPr="00AA4E92">
        <w:rPr>
          <w:rFonts w:cs="Arial"/>
          <w:lang w:val="en-GB"/>
        </w:rPr>
        <w:t xml:space="preserve">for </w:t>
      </w:r>
      <w:r w:rsidR="00884844" w:rsidRPr="00AA4E92">
        <w:rPr>
          <w:rFonts w:cs="Arial"/>
          <w:lang w:val="en-GB"/>
        </w:rPr>
        <w:t>motor vehicle recovery straps</w:t>
      </w:r>
      <w:r w:rsidR="00046E52" w:rsidRPr="00AA4E92">
        <w:rPr>
          <w:rFonts w:cs="Arial"/>
          <w:lang w:val="en-GB"/>
        </w:rPr>
        <w:t xml:space="preserve"> </w:t>
      </w:r>
      <w:r w:rsidRPr="00AA4E92">
        <w:rPr>
          <w:rFonts w:cs="Arial"/>
          <w:lang w:val="en-GB"/>
        </w:rPr>
        <w:t>was</w:t>
      </w:r>
      <w:r w:rsidR="005D6AFC" w:rsidRPr="00AA4E92">
        <w:rPr>
          <w:rFonts w:cs="Arial"/>
          <w:lang w:val="en-GB"/>
        </w:rPr>
        <w:t xml:space="preserve"> the </w:t>
      </w:r>
      <w:r w:rsidR="005D6AFC" w:rsidRPr="00AA4E92">
        <w:rPr>
          <w:rFonts w:cs="Arial"/>
          <w:i/>
          <w:lang w:val="en-GB"/>
        </w:rPr>
        <w:t xml:space="preserve">Trade Practices </w:t>
      </w:r>
      <w:r w:rsidR="00AA4E92">
        <w:rPr>
          <w:rFonts w:cs="Arial"/>
          <w:i/>
          <w:lang w:val="en-GB"/>
        </w:rPr>
        <w:t>(C</w:t>
      </w:r>
      <w:r w:rsidR="00AA4E92" w:rsidRPr="00AA4E92">
        <w:rPr>
          <w:rFonts w:cs="Arial"/>
          <w:i/>
          <w:lang w:val="en-GB"/>
        </w:rPr>
        <w:t>onsumer Product Safety Standard)</w:t>
      </w:r>
      <w:r w:rsidR="00775849">
        <w:rPr>
          <w:rFonts w:cs="Arial"/>
          <w:i/>
          <w:lang w:val="en-GB"/>
        </w:rPr>
        <w:t xml:space="preserve"> </w:t>
      </w:r>
      <w:r w:rsidR="00AA4E92" w:rsidRPr="00AA4E92">
        <w:rPr>
          <w:rFonts w:cs="Arial"/>
          <w:i/>
          <w:lang w:val="en-GB"/>
        </w:rPr>
        <w:t>(Motor Vehicle Recovery Straps) Regulations 2010.</w:t>
      </w:r>
    </w:p>
    <w:p w:rsidR="008C2D7D" w:rsidRPr="008B62BE" w:rsidRDefault="00CA52CD" w:rsidP="00CA52CD">
      <w:pPr>
        <w:rPr>
          <w:rFonts w:cs="Arial"/>
          <w:lang w:val="en-GB"/>
        </w:rPr>
      </w:pPr>
      <w:r w:rsidRPr="00EE6BA8">
        <w:rPr>
          <w:rFonts w:cs="Arial"/>
          <w:lang w:val="en-GB"/>
        </w:rPr>
        <w:t xml:space="preserve">Under subsection 33(3) of the </w:t>
      </w:r>
      <w:r w:rsidRPr="00EE6BA8">
        <w:rPr>
          <w:rFonts w:cs="Arial"/>
          <w:i/>
          <w:lang w:val="en-GB"/>
        </w:rPr>
        <w:t>Acts Interpretation Act 1901</w:t>
      </w:r>
      <w:r>
        <w:rPr>
          <w:rFonts w:cs="Arial"/>
          <w:lang w:val="en-GB"/>
        </w:rPr>
        <w:t xml:space="preserve">, where an Act </w:t>
      </w:r>
      <w:r w:rsidRPr="00EE6BA8">
        <w:rPr>
          <w:rFonts w:cs="Arial"/>
          <w:lang w:val="en-GB"/>
        </w:rPr>
        <w:t>confers a power to make, grant or issue any instrument of a legislative or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administrative character (including rules, regulations or by-laws),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the power shall be construed as including a power exercisable in the like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manner and subject to the like conditions (if any) to repeal, rescind,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revoke, amend, or vary any such instrument.</w:t>
      </w:r>
    </w:p>
    <w:p w:rsidR="001B4A7B" w:rsidRPr="006C2E1D" w:rsidRDefault="001B4A7B" w:rsidP="001B4A7B">
      <w:pPr>
        <w:rPr>
          <w:rFonts w:cs="Arial"/>
          <w:b/>
          <w:lang w:val="en-GB"/>
        </w:rPr>
      </w:pPr>
      <w:r w:rsidRPr="006C2E1D">
        <w:rPr>
          <w:rFonts w:cs="Arial"/>
          <w:b/>
          <w:lang w:val="en-GB"/>
        </w:rPr>
        <w:t xml:space="preserve">Requirements </w:t>
      </w:r>
      <w:r w:rsidR="007A502D" w:rsidRPr="006C2E1D">
        <w:rPr>
          <w:rFonts w:cs="Arial"/>
          <w:b/>
          <w:lang w:val="en-GB"/>
        </w:rPr>
        <w:t xml:space="preserve">of </w:t>
      </w:r>
      <w:r w:rsidRPr="006C2E1D">
        <w:rPr>
          <w:rFonts w:cs="Arial"/>
          <w:b/>
          <w:lang w:val="en-GB"/>
        </w:rPr>
        <w:t>the safety standard</w:t>
      </w:r>
    </w:p>
    <w:p w:rsidR="00C50FC9" w:rsidRDefault="00B9628B" w:rsidP="00B9628B">
      <w:pPr>
        <w:rPr>
          <w:rFonts w:cs="Arial"/>
          <w:lang w:val="en-GB"/>
        </w:rPr>
      </w:pPr>
      <w:r w:rsidRPr="00B9628B">
        <w:rPr>
          <w:rFonts w:cs="Arial"/>
          <w:lang w:val="en-GB"/>
        </w:rPr>
        <w:t xml:space="preserve">This </w:t>
      </w:r>
      <w:r w:rsidR="00EC754B">
        <w:rPr>
          <w:rFonts w:cs="Arial"/>
          <w:lang w:val="en-GB"/>
        </w:rPr>
        <w:t xml:space="preserve">safety </w:t>
      </w:r>
      <w:r>
        <w:rPr>
          <w:rFonts w:cs="Arial"/>
          <w:lang w:val="en-GB"/>
        </w:rPr>
        <w:t>standard</w:t>
      </w:r>
      <w:r w:rsidRPr="00B9628B">
        <w:rPr>
          <w:rFonts w:cs="Arial"/>
          <w:lang w:val="en-GB"/>
        </w:rPr>
        <w:t xml:space="preserve"> applies to </w:t>
      </w:r>
      <w:r w:rsidR="00884844">
        <w:rPr>
          <w:rFonts w:cs="Arial"/>
          <w:lang w:val="en-GB"/>
        </w:rPr>
        <w:t>motor vehicle recovery straps</w:t>
      </w:r>
      <w:r w:rsidR="00C50FC9">
        <w:rPr>
          <w:rFonts w:cs="Arial"/>
          <w:lang w:val="en-GB"/>
        </w:rPr>
        <w:t>.</w:t>
      </w:r>
    </w:p>
    <w:p w:rsidR="00BF37C6" w:rsidRDefault="00BF37C6" w:rsidP="00B9628B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The safety standard has been </w:t>
      </w:r>
      <w:r w:rsidR="004448B8">
        <w:rPr>
          <w:rFonts w:cs="Arial"/>
          <w:lang w:val="en-GB"/>
        </w:rPr>
        <w:t xml:space="preserve">updated to </w:t>
      </w:r>
      <w:r>
        <w:rPr>
          <w:rFonts w:cs="Arial"/>
          <w:lang w:val="en-GB"/>
        </w:rPr>
        <w:t>amend</w:t>
      </w:r>
      <w:r w:rsidR="004448B8">
        <w:rPr>
          <w:rFonts w:cs="Arial"/>
          <w:lang w:val="en-GB"/>
        </w:rPr>
        <w:t xml:space="preserve"> the warning </w:t>
      </w:r>
      <w:r w:rsidR="00BC345E">
        <w:rPr>
          <w:rFonts w:cs="Arial"/>
          <w:lang w:val="en-GB"/>
        </w:rPr>
        <w:t xml:space="preserve">label and user instructions to </w:t>
      </w:r>
      <w:r w:rsidR="00764757">
        <w:rPr>
          <w:rFonts w:cs="Arial"/>
          <w:lang w:val="en-GB"/>
        </w:rPr>
        <w:t>include pictograms, instructions for correct use and clearer statements about</w:t>
      </w:r>
      <w:r w:rsidR="004448B8">
        <w:rPr>
          <w:rFonts w:cs="Arial"/>
          <w:lang w:val="en-GB"/>
        </w:rPr>
        <w:t xml:space="preserve"> the hazards associated with incorrect use.</w:t>
      </w:r>
    </w:p>
    <w:p w:rsidR="00046E52" w:rsidRPr="00123837" w:rsidRDefault="00634102" w:rsidP="001B4A7B">
      <w:pPr>
        <w:rPr>
          <w:rFonts w:cs="Arial"/>
          <w:lang w:val="en-GB"/>
        </w:rPr>
      </w:pPr>
      <w:r w:rsidRPr="00123837">
        <w:rPr>
          <w:rFonts w:cs="Arial"/>
          <w:lang w:val="en-GB"/>
        </w:rPr>
        <w:t>The safety standard includes the following definition</w:t>
      </w:r>
      <w:r w:rsidR="00046E52" w:rsidRPr="00123837">
        <w:rPr>
          <w:rFonts w:cs="Arial"/>
          <w:lang w:val="en-GB"/>
        </w:rPr>
        <w:t>s:</w:t>
      </w:r>
    </w:p>
    <w:p w:rsidR="00596E8B" w:rsidRDefault="00596E8B" w:rsidP="00046E52">
      <w:pPr>
        <w:pStyle w:val="Definition"/>
        <w:ind w:left="0"/>
        <w:rPr>
          <w:rFonts w:ascii="Arial" w:hAnsi="Arial" w:cs="Arial"/>
        </w:rPr>
      </w:pPr>
      <w:r w:rsidRPr="00596E8B">
        <w:rPr>
          <w:rFonts w:ascii="Arial" w:hAnsi="Arial" w:cs="Arial"/>
          <w:b/>
          <w:i/>
        </w:rPr>
        <w:t xml:space="preserve">gross </w:t>
      </w:r>
      <w:r>
        <w:rPr>
          <w:rFonts w:ascii="Arial" w:hAnsi="Arial" w:cs="Arial"/>
          <w:b/>
          <w:i/>
        </w:rPr>
        <w:t>vehicle mass,</w:t>
      </w:r>
      <w:r>
        <w:rPr>
          <w:rFonts w:ascii="Arial" w:hAnsi="Arial" w:cs="Arial"/>
        </w:rPr>
        <w:t xml:space="preserve"> for a motor vehicle, means the maximum loaded mass of the vehicle as stated:</w:t>
      </w:r>
    </w:p>
    <w:p w:rsidR="00596E8B" w:rsidRDefault="00596E8B" w:rsidP="00596E8B">
      <w:pPr>
        <w:pStyle w:val="Definition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on the compliance plate, registration certificate or build plate for the vehicle; or</w:t>
      </w:r>
    </w:p>
    <w:p w:rsidR="00596E8B" w:rsidRDefault="00596E8B" w:rsidP="00596E8B">
      <w:pPr>
        <w:pStyle w:val="Definition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in the handbook for the vehicle; or</w:t>
      </w:r>
    </w:p>
    <w:p w:rsidR="00596E8B" w:rsidRPr="00596E8B" w:rsidRDefault="00596E8B" w:rsidP="00596E8B">
      <w:pPr>
        <w:pStyle w:val="Definition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in documentation for the vehicle available from the vehicle’s manufacturer.</w:t>
      </w:r>
    </w:p>
    <w:p w:rsidR="00596E8B" w:rsidRPr="00596E8B" w:rsidRDefault="00596E8B" w:rsidP="006A5E88">
      <w:pPr>
        <w:pStyle w:val="Definition"/>
        <w:ind w:left="0"/>
        <w:rPr>
          <w:rFonts w:ascii="Arial" w:hAnsi="Arial" w:cs="Arial"/>
          <w:b/>
          <w:i/>
        </w:rPr>
      </w:pPr>
      <w:r w:rsidRPr="00596E8B">
        <w:rPr>
          <w:rFonts w:ascii="Arial" w:hAnsi="Arial" w:cs="Arial"/>
          <w:b/>
          <w:i/>
        </w:rPr>
        <w:t>minimum breaking strength</w:t>
      </w:r>
      <w:r w:rsidRPr="00596E8B">
        <w:rPr>
          <w:rFonts w:ascii="Arial" w:hAnsi="Arial" w:cs="Arial"/>
        </w:rPr>
        <w:t>, for a motor vehicle recovery strap, means the minimum load necessary to cause the strap to fail.</w:t>
      </w:r>
    </w:p>
    <w:p w:rsidR="00596E8B" w:rsidRPr="00596E8B" w:rsidRDefault="00596E8B" w:rsidP="006A5E88">
      <w:pPr>
        <w:pStyle w:val="Definition"/>
        <w:ind w:left="0"/>
        <w:rPr>
          <w:rFonts w:ascii="Arial" w:hAnsi="Arial" w:cs="Arial"/>
          <w:b/>
          <w:i/>
        </w:rPr>
      </w:pPr>
      <w:r w:rsidRPr="00596E8B">
        <w:rPr>
          <w:rFonts w:ascii="Arial" w:hAnsi="Arial" w:cs="Arial"/>
          <w:b/>
          <w:i/>
        </w:rPr>
        <w:lastRenderedPageBreak/>
        <w:t xml:space="preserve">motor vehicle recovery strap </w:t>
      </w:r>
      <w:r w:rsidRPr="00596E8B">
        <w:rPr>
          <w:rFonts w:ascii="Arial" w:hAnsi="Arial" w:cs="Arial"/>
        </w:rPr>
        <w:t>means a strap, commonly called a snatch strap, for attaching to a bogged vehicle to tow it clear of the bogged situation.</w:t>
      </w:r>
    </w:p>
    <w:p w:rsidR="00596E8B" w:rsidRPr="00596E8B" w:rsidRDefault="00596E8B" w:rsidP="006A5E88">
      <w:pPr>
        <w:pStyle w:val="Definition"/>
        <w:ind w:left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transitional period </w:t>
      </w:r>
      <w:r>
        <w:rPr>
          <w:rFonts w:ascii="Arial" w:hAnsi="Arial" w:cs="Arial"/>
        </w:rPr>
        <w:t>means the period of 24 months beginning on the day this instrument commences.</w:t>
      </w:r>
    </w:p>
    <w:p w:rsidR="00E52B24" w:rsidRPr="006C2E1D" w:rsidRDefault="00E52B24" w:rsidP="00E52B24">
      <w:pPr>
        <w:rPr>
          <w:rFonts w:cs="Arial"/>
          <w:b/>
          <w:lang w:val="en-GB"/>
        </w:rPr>
      </w:pPr>
      <w:r w:rsidRPr="006C2E1D">
        <w:rPr>
          <w:rFonts w:cs="Arial"/>
          <w:b/>
          <w:lang w:val="en-GB"/>
        </w:rPr>
        <w:t>Transitional arrangements</w:t>
      </w:r>
    </w:p>
    <w:p w:rsidR="00E52B24" w:rsidRDefault="00E52B24" w:rsidP="00E52B24">
      <w:pPr>
        <w:rPr>
          <w:rFonts w:cs="Arial"/>
          <w:lang w:val="en-GB"/>
        </w:rPr>
      </w:pPr>
      <w:r w:rsidRPr="008B62BE">
        <w:rPr>
          <w:rFonts w:cs="Arial"/>
          <w:lang w:val="en-GB"/>
        </w:rPr>
        <w:t>The instrument prov</w:t>
      </w:r>
      <w:r>
        <w:rPr>
          <w:rFonts w:cs="Arial"/>
          <w:lang w:val="en-GB"/>
        </w:rPr>
        <w:t>ides a transitional period of 24</w:t>
      </w:r>
      <w:r w:rsidRPr="008B62BE">
        <w:rPr>
          <w:rFonts w:cs="Arial"/>
          <w:lang w:val="en-GB"/>
        </w:rPr>
        <w:t xml:space="preserve"> months beginning on the day this instrument commences. </w:t>
      </w:r>
      <w:r>
        <w:rPr>
          <w:rFonts w:cs="Arial"/>
          <w:lang w:val="en-GB"/>
        </w:rPr>
        <w:t xml:space="preserve">During the transitional period </w:t>
      </w:r>
      <w:r w:rsidRPr="001059B1">
        <w:rPr>
          <w:rFonts w:cs="Arial"/>
          <w:lang w:val="en-GB"/>
        </w:rPr>
        <w:t xml:space="preserve">suppliers </w:t>
      </w:r>
      <w:r>
        <w:rPr>
          <w:rFonts w:cs="Arial"/>
          <w:lang w:val="en-GB"/>
        </w:rPr>
        <w:t>must meet the requirements of</w:t>
      </w:r>
      <w:r w:rsidRPr="001059B1">
        <w:rPr>
          <w:rFonts w:cs="Arial"/>
          <w:lang w:val="en-GB"/>
        </w:rPr>
        <w:t xml:space="preserve"> either</w:t>
      </w:r>
      <w:r>
        <w:rPr>
          <w:rFonts w:cs="Arial"/>
          <w:lang w:val="en-GB"/>
        </w:rPr>
        <w:t>:</w:t>
      </w:r>
    </w:p>
    <w:p w:rsidR="00775849" w:rsidRPr="00775849" w:rsidRDefault="00E52B24" w:rsidP="00E52B24">
      <w:pPr>
        <w:pStyle w:val="ListParagraph"/>
        <w:numPr>
          <w:ilvl w:val="0"/>
          <w:numId w:val="38"/>
        </w:numPr>
        <w:rPr>
          <w:rFonts w:cs="Arial"/>
          <w:lang w:val="en-GB"/>
        </w:rPr>
      </w:pPr>
      <w:r w:rsidRPr="00775849">
        <w:rPr>
          <w:rFonts w:cs="Arial"/>
          <w:lang w:val="en-GB"/>
        </w:rPr>
        <w:t xml:space="preserve">the </w:t>
      </w:r>
      <w:r w:rsidR="00775849" w:rsidRPr="00775849">
        <w:rPr>
          <w:rFonts w:cs="Arial"/>
          <w:i/>
          <w:lang w:val="en-GB"/>
        </w:rPr>
        <w:t>Trade Practices (Consumer Product Safety Standard) (Motor Vehicle Recovery Straps) Regulations 2010,</w:t>
      </w:r>
      <w:r w:rsidR="00775849" w:rsidRPr="00775849">
        <w:rPr>
          <w:rFonts w:cs="Arial"/>
          <w:lang w:val="en-GB"/>
        </w:rPr>
        <w:t xml:space="preserve"> or</w:t>
      </w:r>
    </w:p>
    <w:p w:rsidR="00E52B24" w:rsidRPr="008424E9" w:rsidRDefault="00E52B24" w:rsidP="00E52B24">
      <w:pPr>
        <w:pStyle w:val="ListParagraph"/>
        <w:numPr>
          <w:ilvl w:val="0"/>
          <w:numId w:val="38"/>
        </w:numPr>
        <w:rPr>
          <w:rFonts w:cs="Arial"/>
          <w:lang w:val="en-GB"/>
        </w:rPr>
      </w:pPr>
      <w:r w:rsidRPr="00DE6DDF">
        <w:rPr>
          <w:rFonts w:asciiTheme="minorHAnsi" w:hAnsiTheme="minorHAnsi" w:cstheme="minorHAnsi"/>
          <w:lang w:val="en-GB"/>
        </w:rPr>
        <w:t>the</w:t>
      </w:r>
      <w:r>
        <w:rPr>
          <w:rFonts w:asciiTheme="minorHAnsi" w:hAnsiTheme="minorHAnsi" w:cstheme="minorHAnsi"/>
          <w:i/>
          <w:lang w:val="en-GB"/>
        </w:rPr>
        <w:t xml:space="preserve"> </w:t>
      </w:r>
      <w:r w:rsidRPr="008424E9">
        <w:rPr>
          <w:rFonts w:asciiTheme="minorHAnsi" w:hAnsiTheme="minorHAnsi" w:cstheme="minorHAnsi"/>
          <w:i/>
          <w:lang w:val="en-GB"/>
        </w:rPr>
        <w:t>Consumer Goods (</w:t>
      </w:r>
      <w:r w:rsidR="00884844">
        <w:rPr>
          <w:rFonts w:asciiTheme="minorHAnsi" w:hAnsiTheme="minorHAnsi" w:cstheme="minorHAnsi"/>
          <w:i/>
          <w:lang w:val="en-GB"/>
        </w:rPr>
        <w:t>Motor Vehicle Recovery Straps</w:t>
      </w:r>
      <w:r w:rsidRPr="008424E9">
        <w:rPr>
          <w:rFonts w:asciiTheme="minorHAnsi" w:hAnsiTheme="minorHAnsi" w:cstheme="minorHAnsi"/>
          <w:i/>
          <w:lang w:val="en-GB"/>
        </w:rPr>
        <w:t>) Safety Standard 2017</w:t>
      </w:r>
      <w:r>
        <w:rPr>
          <w:rFonts w:asciiTheme="minorHAnsi" w:hAnsiTheme="minorHAnsi" w:cstheme="minorHAnsi"/>
          <w:i/>
          <w:lang w:val="en-GB"/>
        </w:rPr>
        <w:t>.</w:t>
      </w:r>
    </w:p>
    <w:p w:rsidR="00E52B24" w:rsidRPr="0052118C" w:rsidRDefault="00E52B24" w:rsidP="0052118C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After the transitional period </w:t>
      </w:r>
      <w:r w:rsidRPr="008424E9">
        <w:rPr>
          <w:rFonts w:cs="Arial"/>
          <w:lang w:val="en-GB"/>
        </w:rPr>
        <w:t>suppliers must meet the requirements of</w:t>
      </w:r>
      <w:r w:rsidR="0052118C">
        <w:rPr>
          <w:rFonts w:cs="Arial"/>
          <w:lang w:val="en-GB"/>
        </w:rPr>
        <w:t xml:space="preserve"> </w:t>
      </w:r>
      <w:r w:rsidRPr="0052118C">
        <w:rPr>
          <w:rFonts w:asciiTheme="minorHAnsi" w:hAnsiTheme="minorHAnsi" w:cstheme="minorHAnsi"/>
          <w:lang w:val="en-GB"/>
        </w:rPr>
        <w:t>the</w:t>
      </w:r>
      <w:r w:rsidRPr="0052118C">
        <w:rPr>
          <w:rFonts w:asciiTheme="minorHAnsi" w:hAnsiTheme="minorHAnsi" w:cstheme="minorHAnsi"/>
          <w:i/>
          <w:lang w:val="en-GB"/>
        </w:rPr>
        <w:t xml:space="preserve"> Consumer Goods (</w:t>
      </w:r>
      <w:r w:rsidR="00884844">
        <w:rPr>
          <w:rFonts w:asciiTheme="minorHAnsi" w:hAnsiTheme="minorHAnsi" w:cstheme="minorHAnsi"/>
          <w:i/>
          <w:lang w:val="en-GB"/>
        </w:rPr>
        <w:t>Motor Vehicle Recovery Straps</w:t>
      </w:r>
      <w:r w:rsidRPr="0052118C">
        <w:rPr>
          <w:rFonts w:asciiTheme="minorHAnsi" w:hAnsiTheme="minorHAnsi" w:cstheme="minorHAnsi"/>
          <w:i/>
          <w:lang w:val="en-GB"/>
        </w:rPr>
        <w:t>) Safety Standard 2017.</w:t>
      </w:r>
    </w:p>
    <w:p w:rsidR="001B4A7B" w:rsidRPr="006C2E1D" w:rsidRDefault="001B4A7B" w:rsidP="001B4A7B">
      <w:pPr>
        <w:rPr>
          <w:rFonts w:cs="Arial"/>
          <w:lang w:val="en-GB"/>
        </w:rPr>
      </w:pPr>
      <w:r w:rsidRPr="006C2E1D">
        <w:rPr>
          <w:rFonts w:cs="Arial"/>
          <w:b/>
          <w:lang w:val="en-GB"/>
        </w:rPr>
        <w:t>Consultation</w:t>
      </w:r>
    </w:p>
    <w:p w:rsidR="00CD0CF5" w:rsidRPr="00775849" w:rsidRDefault="00CD0CF5" w:rsidP="00CD0CF5">
      <w:pPr>
        <w:rPr>
          <w:rFonts w:cs="Arial"/>
          <w:lang w:val="en-GB"/>
        </w:rPr>
      </w:pPr>
      <w:r w:rsidRPr="00775849">
        <w:rPr>
          <w:rFonts w:cs="Arial"/>
          <w:lang w:val="en-GB"/>
        </w:rPr>
        <w:t xml:space="preserve">The Australian Competition and Consumer Commission (ACCC) published a consultation paper for </w:t>
      </w:r>
      <w:r w:rsidR="00EF16EB" w:rsidRPr="00775849">
        <w:rPr>
          <w:rFonts w:asciiTheme="minorHAnsi" w:hAnsiTheme="minorHAnsi" w:cstheme="minorHAnsi"/>
          <w:lang w:val="en-GB"/>
        </w:rPr>
        <w:t>motor vehicle recovery straps</w:t>
      </w:r>
      <w:r w:rsidR="00EF16EB" w:rsidRPr="00775849">
        <w:rPr>
          <w:rFonts w:cs="Arial"/>
          <w:lang w:val="en-GB"/>
        </w:rPr>
        <w:t xml:space="preserve"> </w:t>
      </w:r>
      <w:r w:rsidRPr="00775849">
        <w:rPr>
          <w:rFonts w:cs="Arial"/>
          <w:lang w:val="en-GB"/>
        </w:rPr>
        <w:t>on 2</w:t>
      </w:r>
      <w:r w:rsidR="00775849" w:rsidRPr="00775849">
        <w:rPr>
          <w:rFonts w:cs="Arial"/>
          <w:lang w:val="en-GB"/>
        </w:rPr>
        <w:t xml:space="preserve">3 October 2016 </w:t>
      </w:r>
      <w:r w:rsidRPr="00775849">
        <w:rPr>
          <w:rFonts w:cs="Arial"/>
          <w:lang w:val="en-GB"/>
        </w:rPr>
        <w:t xml:space="preserve">closing on </w:t>
      </w:r>
      <w:r w:rsidR="00775849" w:rsidRPr="00775849">
        <w:rPr>
          <w:rFonts w:cs="Arial"/>
          <w:lang w:val="en-GB"/>
        </w:rPr>
        <w:t>26</w:t>
      </w:r>
      <w:r w:rsidRPr="00775849">
        <w:rPr>
          <w:rFonts w:cs="Arial"/>
          <w:lang w:val="en-GB"/>
        </w:rPr>
        <w:t xml:space="preserve"> November 2016. The paper detailed </w:t>
      </w:r>
      <w:r w:rsidR="00775849" w:rsidRPr="00775849">
        <w:rPr>
          <w:rFonts w:cs="Arial"/>
          <w:lang w:val="en-GB"/>
        </w:rPr>
        <w:t>three</w:t>
      </w:r>
      <w:r w:rsidRPr="00775849">
        <w:rPr>
          <w:rFonts w:cs="Arial"/>
          <w:lang w:val="en-GB"/>
        </w:rPr>
        <w:t xml:space="preserve"> policy options for dealing with the cu</w:t>
      </w:r>
      <w:r w:rsidR="00775849" w:rsidRPr="00775849">
        <w:rPr>
          <w:rFonts w:cs="Arial"/>
          <w:lang w:val="en-GB"/>
        </w:rPr>
        <w:t>rrent mandatory safety standard</w:t>
      </w:r>
      <w:r w:rsidRPr="00775849">
        <w:rPr>
          <w:rFonts w:cs="Arial"/>
          <w:lang w:val="en-GB"/>
        </w:rPr>
        <w:t>:</w:t>
      </w:r>
    </w:p>
    <w:p w:rsidR="00D03B3C" w:rsidRPr="00240ECA" w:rsidRDefault="00D03B3C" w:rsidP="00D03B3C">
      <w:pPr>
        <w:rPr>
          <w:rFonts w:cs="Arial"/>
          <w:lang w:val="en-GB"/>
        </w:rPr>
      </w:pPr>
      <w:r w:rsidRPr="00240ECA">
        <w:rPr>
          <w:rFonts w:cs="Arial"/>
          <w:lang w:val="en-GB"/>
        </w:rPr>
        <w:t>Option 1 - Keep the current safety standard</w:t>
      </w:r>
      <w:r w:rsidR="009A65D5" w:rsidRPr="00240ECA">
        <w:rPr>
          <w:rFonts w:cs="Arial"/>
          <w:lang w:val="en-GB"/>
        </w:rPr>
        <w:t xml:space="preserve"> (status quo)</w:t>
      </w:r>
    </w:p>
    <w:p w:rsidR="00D03B3C" w:rsidRPr="00240ECA" w:rsidRDefault="00D03B3C" w:rsidP="00D03B3C">
      <w:pPr>
        <w:rPr>
          <w:rFonts w:cs="Arial"/>
          <w:lang w:val="en-GB"/>
        </w:rPr>
      </w:pPr>
      <w:r w:rsidRPr="00240ECA">
        <w:rPr>
          <w:rFonts w:cs="Arial"/>
          <w:lang w:val="en-GB"/>
        </w:rPr>
        <w:t xml:space="preserve">Option 2 </w:t>
      </w:r>
      <w:r w:rsidR="00240ECA" w:rsidRPr="00240ECA">
        <w:rPr>
          <w:rFonts w:cs="Arial"/>
          <w:lang w:val="en-GB"/>
        </w:rPr>
        <w:t>- Remake the safety standard with improved safety warnings and instructions</w:t>
      </w:r>
    </w:p>
    <w:p w:rsidR="00D03B3C" w:rsidRPr="00240ECA" w:rsidRDefault="00D03B3C" w:rsidP="00D03B3C">
      <w:pPr>
        <w:rPr>
          <w:rFonts w:cs="Arial"/>
          <w:lang w:val="en-GB"/>
        </w:rPr>
      </w:pPr>
      <w:r w:rsidRPr="00240ECA">
        <w:rPr>
          <w:rFonts w:cs="Arial"/>
          <w:lang w:val="en-GB"/>
        </w:rPr>
        <w:t xml:space="preserve">Option 3 </w:t>
      </w:r>
      <w:r w:rsidR="003B7C56" w:rsidRPr="00240ECA">
        <w:rPr>
          <w:rFonts w:cs="Arial"/>
          <w:lang w:val="en-GB"/>
        </w:rPr>
        <w:t xml:space="preserve">- </w:t>
      </w:r>
      <w:r w:rsidR="00240ECA" w:rsidRPr="00240ECA">
        <w:rPr>
          <w:rFonts w:cs="Arial"/>
          <w:lang w:val="en-GB"/>
        </w:rPr>
        <w:t xml:space="preserve">Revoke </w:t>
      </w:r>
      <w:r w:rsidR="003B7C56">
        <w:rPr>
          <w:rFonts w:cs="Arial"/>
          <w:lang w:val="en-GB"/>
        </w:rPr>
        <w:t>the safety standard.</w:t>
      </w:r>
    </w:p>
    <w:p w:rsidR="003B7C56" w:rsidRPr="003B7C56" w:rsidRDefault="00240ECA" w:rsidP="00240ECA">
      <w:pPr>
        <w:rPr>
          <w:rFonts w:cs="Arial"/>
          <w:lang w:val="en-GB"/>
        </w:rPr>
      </w:pPr>
      <w:r w:rsidRPr="003B7C56">
        <w:rPr>
          <w:rFonts w:cs="Arial"/>
          <w:lang w:val="en-GB"/>
        </w:rPr>
        <w:t xml:space="preserve">Eight submissions were received from a range of stakeholders, including an industry association, </w:t>
      </w:r>
      <w:r w:rsidR="003B7C56" w:rsidRPr="003B7C56">
        <w:rPr>
          <w:rFonts w:cs="Arial"/>
          <w:lang w:val="en-GB"/>
        </w:rPr>
        <w:t>a motoring association, retailers and suppliers.</w:t>
      </w:r>
    </w:p>
    <w:p w:rsidR="003B7C56" w:rsidRPr="003B7C56" w:rsidRDefault="003B7C56" w:rsidP="00240ECA">
      <w:pPr>
        <w:rPr>
          <w:rFonts w:cs="Arial"/>
          <w:lang w:val="en-GB"/>
        </w:rPr>
      </w:pPr>
      <w:r w:rsidRPr="003B7C56">
        <w:rPr>
          <w:rFonts w:cs="Arial"/>
          <w:lang w:val="en-GB"/>
        </w:rPr>
        <w:t>All eight stakeholders were in favour of option 2 – to remake the safety standard with improved warnings and instructions.</w:t>
      </w:r>
    </w:p>
    <w:p w:rsidR="003B7C56" w:rsidRDefault="003B7C56" w:rsidP="00240ECA">
      <w:pPr>
        <w:rPr>
          <w:rFonts w:cs="Arial"/>
          <w:lang w:val="en-GB"/>
        </w:rPr>
      </w:pPr>
      <w:r w:rsidRPr="003B7C56">
        <w:rPr>
          <w:rFonts w:cs="Arial"/>
          <w:lang w:val="en-GB"/>
        </w:rPr>
        <w:t>Stakeholders indicated that including pictograms in the warning label could be achieved at minimal cost</w:t>
      </w:r>
      <w:r>
        <w:rPr>
          <w:rFonts w:cs="Arial"/>
          <w:lang w:val="en-GB"/>
        </w:rPr>
        <w:t xml:space="preserve"> provided an adequate transition period was provided.</w:t>
      </w:r>
    </w:p>
    <w:p w:rsidR="001B4A7B" w:rsidRPr="006C2E1D" w:rsidRDefault="001B4A7B" w:rsidP="001B4A7B">
      <w:pPr>
        <w:rPr>
          <w:rFonts w:cs="Arial"/>
          <w:b/>
        </w:rPr>
      </w:pPr>
      <w:r w:rsidRPr="006C2E1D">
        <w:rPr>
          <w:rFonts w:cs="Arial"/>
          <w:b/>
        </w:rPr>
        <w:t>Disallowance</w:t>
      </w:r>
    </w:p>
    <w:p w:rsidR="00485325" w:rsidRDefault="00485325" w:rsidP="00485325">
      <w:pPr>
        <w:rPr>
          <w:rFonts w:cs="Arial"/>
        </w:rPr>
      </w:pPr>
      <w:r w:rsidRPr="007C7632">
        <w:rPr>
          <w:rFonts w:cs="Arial"/>
        </w:rPr>
        <w:t xml:space="preserve">This legislative instrument is not subject to disallowance due to </w:t>
      </w:r>
      <w:r>
        <w:rPr>
          <w:rFonts w:cs="Arial"/>
        </w:rPr>
        <w:t>sub</w:t>
      </w:r>
      <w:r w:rsidRPr="007C7632">
        <w:rPr>
          <w:rFonts w:cs="Arial"/>
        </w:rPr>
        <w:t>section 44</w:t>
      </w:r>
      <w:r>
        <w:rPr>
          <w:rFonts w:cs="Arial"/>
        </w:rPr>
        <w:t>(1)</w:t>
      </w:r>
      <w:r w:rsidRPr="007C7632">
        <w:rPr>
          <w:rFonts w:cs="Arial"/>
        </w:rPr>
        <w:t xml:space="preserve"> of the </w:t>
      </w:r>
      <w:r w:rsidRPr="0052118C">
        <w:rPr>
          <w:rFonts w:cs="Arial"/>
          <w:i/>
        </w:rPr>
        <w:t>Legislation Act 2003</w:t>
      </w:r>
      <w:r w:rsidRPr="005E0308">
        <w:rPr>
          <w:rFonts w:cs="Arial"/>
          <w:i/>
        </w:rPr>
        <w:t>.</w:t>
      </w:r>
    </w:p>
    <w:p w:rsidR="001B4A7B" w:rsidRPr="006C2E1D" w:rsidRDefault="001B4A7B" w:rsidP="001B4A7B">
      <w:pPr>
        <w:rPr>
          <w:rFonts w:cs="Arial"/>
          <w:b/>
          <w:lang w:val="en-GB"/>
        </w:rPr>
      </w:pPr>
      <w:r w:rsidRPr="006C2E1D">
        <w:rPr>
          <w:rFonts w:cs="Arial"/>
          <w:b/>
          <w:lang w:val="en-GB"/>
        </w:rPr>
        <w:t xml:space="preserve">Commencement </w:t>
      </w:r>
    </w:p>
    <w:p w:rsidR="001B4A7B" w:rsidRPr="006C2E1D" w:rsidRDefault="00494254" w:rsidP="001B4A7B">
      <w:pPr>
        <w:rPr>
          <w:rFonts w:cs="Arial"/>
          <w:lang w:val="en-GB"/>
        </w:rPr>
      </w:pPr>
      <w:r>
        <w:rPr>
          <w:rFonts w:cs="Arial"/>
          <w:lang w:val="en-GB"/>
        </w:rPr>
        <w:t>This</w:t>
      </w:r>
      <w:r w:rsidR="00F960D1">
        <w:rPr>
          <w:rFonts w:cs="Arial"/>
          <w:lang w:val="en-GB"/>
        </w:rPr>
        <w:t xml:space="preserve"> </w:t>
      </w:r>
      <w:r w:rsidR="001B4A7B" w:rsidRPr="006C2E1D">
        <w:rPr>
          <w:rFonts w:cs="Arial"/>
          <w:lang w:val="en-GB"/>
        </w:rPr>
        <w:t>legislative instrument commences on the day after it is registered on the Federal Register of Legislation.</w:t>
      </w:r>
    </w:p>
    <w:p w:rsidR="001B4A7B" w:rsidRPr="006C2E1D" w:rsidRDefault="001B4A7B" w:rsidP="001B4A7B">
      <w:pPr>
        <w:rPr>
          <w:rFonts w:cs="Arial"/>
          <w:b/>
        </w:rPr>
      </w:pPr>
      <w:r w:rsidRPr="006C2E1D">
        <w:rPr>
          <w:rFonts w:cs="Arial"/>
          <w:b/>
        </w:rPr>
        <w:t>Sunsetting</w:t>
      </w:r>
    </w:p>
    <w:p w:rsidR="001B4A7B" w:rsidRPr="006C2E1D" w:rsidRDefault="00494254" w:rsidP="001B4A7B">
      <w:pPr>
        <w:rPr>
          <w:rFonts w:cs="Arial"/>
          <w:i/>
        </w:rPr>
      </w:pPr>
      <w:r>
        <w:rPr>
          <w:rFonts w:cs="Arial"/>
        </w:rPr>
        <w:t>This</w:t>
      </w:r>
      <w:r w:rsidR="001B4A7B" w:rsidRPr="006C2E1D">
        <w:rPr>
          <w:rFonts w:cs="Arial"/>
        </w:rPr>
        <w:t xml:space="preserve"> legislative instrument is exempt from sunsetting. Schedule 12 of the </w:t>
      </w:r>
      <w:r w:rsidR="001B4A7B" w:rsidRPr="006C2E1D">
        <w:rPr>
          <w:rFonts w:cs="Arial"/>
          <w:i/>
        </w:rPr>
        <w:t xml:space="preserve">Legislation (Exemptions and Other Matters) Regulation 2015 </w:t>
      </w:r>
      <w:r w:rsidR="001B4A7B" w:rsidRPr="006C2E1D">
        <w:rPr>
          <w:rFonts w:cs="Arial"/>
        </w:rPr>
        <w:t xml:space="preserve">(No. 158, 2015) lists as exempt, instruments made under section 104 or 105 (safety standards) of Schedule 2 (the Australian Consumer Law) to the </w:t>
      </w:r>
      <w:r w:rsidR="001B4A7B" w:rsidRPr="006C2E1D">
        <w:rPr>
          <w:rFonts w:cs="Arial"/>
          <w:i/>
        </w:rPr>
        <w:t>Com</w:t>
      </w:r>
      <w:r w:rsidR="009A65D5">
        <w:rPr>
          <w:rFonts w:cs="Arial"/>
          <w:i/>
        </w:rPr>
        <w:t>petition and Consumer Act 2010.</w:t>
      </w:r>
    </w:p>
    <w:p w:rsidR="00C41018" w:rsidRDefault="00C41018" w:rsidP="00C41018">
      <w:pPr>
        <w:keepNext/>
        <w:rPr>
          <w:rFonts w:cs="Arial"/>
          <w:b/>
        </w:rPr>
      </w:pPr>
      <w:r>
        <w:rPr>
          <w:rFonts w:cs="Arial"/>
          <w:b/>
        </w:rPr>
        <w:lastRenderedPageBreak/>
        <w:t>Regulation impact assessment</w:t>
      </w:r>
    </w:p>
    <w:p w:rsidR="001B4A7B" w:rsidRPr="00C41018" w:rsidRDefault="00C41018" w:rsidP="00C41018">
      <w:pPr>
        <w:keepNext/>
        <w:rPr>
          <w:rFonts w:cs="Arial"/>
        </w:rPr>
      </w:pPr>
      <w:r>
        <w:rPr>
          <w:rFonts w:cs="Arial"/>
        </w:rPr>
        <w:t xml:space="preserve">The </w:t>
      </w:r>
      <w:r w:rsidRPr="007E1F40">
        <w:rPr>
          <w:rFonts w:cs="Arial"/>
        </w:rPr>
        <w:t>O</w:t>
      </w:r>
      <w:r>
        <w:rPr>
          <w:rFonts w:cs="Arial"/>
        </w:rPr>
        <w:t xml:space="preserve">ffice of </w:t>
      </w:r>
      <w:r w:rsidRPr="007E1F40">
        <w:rPr>
          <w:rFonts w:cs="Arial"/>
        </w:rPr>
        <w:t>B</w:t>
      </w:r>
      <w:r>
        <w:rPr>
          <w:rFonts w:cs="Arial"/>
        </w:rPr>
        <w:t xml:space="preserve">est </w:t>
      </w:r>
      <w:r w:rsidRPr="007E1F40">
        <w:rPr>
          <w:rFonts w:cs="Arial"/>
        </w:rPr>
        <w:t>P</w:t>
      </w:r>
      <w:r>
        <w:rPr>
          <w:rFonts w:cs="Arial"/>
        </w:rPr>
        <w:t xml:space="preserve">ractice </w:t>
      </w:r>
      <w:r w:rsidRPr="007E1F40">
        <w:rPr>
          <w:rFonts w:cs="Arial"/>
        </w:rPr>
        <w:t>R</w:t>
      </w:r>
      <w:r>
        <w:rPr>
          <w:rFonts w:cs="Arial"/>
        </w:rPr>
        <w:t>egulation</w:t>
      </w:r>
      <w:r w:rsidRPr="007E1F40">
        <w:rPr>
          <w:rFonts w:cs="Arial"/>
        </w:rPr>
        <w:t xml:space="preserve"> advised a Regulat</w:t>
      </w:r>
      <w:r>
        <w:rPr>
          <w:rFonts w:cs="Arial"/>
        </w:rPr>
        <w:t>ion Impact Statement was</w:t>
      </w:r>
      <w:r w:rsidRPr="007E1F40">
        <w:rPr>
          <w:rFonts w:cs="Arial"/>
        </w:rPr>
        <w:t xml:space="preserve"> not required.</w:t>
      </w:r>
    </w:p>
    <w:sectPr w:rsidR="001B4A7B" w:rsidRPr="00C41018" w:rsidSect="003B6396">
      <w:footerReference w:type="first" r:id="rId10"/>
      <w:pgSz w:w="11906" w:h="16838" w:code="9"/>
      <w:pgMar w:top="1134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7B" w:rsidRDefault="001B4A7B" w:rsidP="004B4412">
      <w:pPr>
        <w:spacing w:before="0"/>
      </w:pPr>
      <w:r>
        <w:separator/>
      </w:r>
    </w:p>
  </w:endnote>
  <w:endnote w:type="continuationSeparator" w:id="0">
    <w:p w:rsidR="001B4A7B" w:rsidRDefault="001B4A7B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884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616" w:rsidRDefault="006916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7B" w:rsidRDefault="001B4A7B" w:rsidP="004B4412">
      <w:pPr>
        <w:spacing w:before="0"/>
      </w:pPr>
      <w:r>
        <w:separator/>
      </w:r>
    </w:p>
  </w:footnote>
  <w:footnote w:type="continuationSeparator" w:id="0">
    <w:p w:rsidR="001B4A7B" w:rsidRDefault="001B4A7B" w:rsidP="004B441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F16959"/>
    <w:multiLevelType w:val="hybridMultilevel"/>
    <w:tmpl w:val="2892E406"/>
    <w:lvl w:ilvl="0" w:tplc="2F065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4">
    <w:nsid w:val="22E55C2F"/>
    <w:multiLevelType w:val="hybridMultilevel"/>
    <w:tmpl w:val="7A103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551AF"/>
    <w:multiLevelType w:val="hybridMultilevel"/>
    <w:tmpl w:val="3776342C"/>
    <w:lvl w:ilvl="0" w:tplc="070A6AD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86ECD"/>
    <w:multiLevelType w:val="hybridMultilevel"/>
    <w:tmpl w:val="7CCAE4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B534B1"/>
    <w:multiLevelType w:val="hybridMultilevel"/>
    <w:tmpl w:val="A6300AE6"/>
    <w:lvl w:ilvl="0" w:tplc="647AF29C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36161A02"/>
    <w:multiLevelType w:val="hybridMultilevel"/>
    <w:tmpl w:val="E9CCE2E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43204"/>
    <w:multiLevelType w:val="hybridMultilevel"/>
    <w:tmpl w:val="79007700"/>
    <w:lvl w:ilvl="0" w:tplc="AAF88CF2">
      <w:start w:val="1"/>
      <w:numFmt w:val="lowerLetter"/>
      <w:lvlText w:val="%1."/>
      <w:lvlJc w:val="left"/>
      <w:pPr>
        <w:ind w:left="748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4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82683"/>
    <w:multiLevelType w:val="hybridMultilevel"/>
    <w:tmpl w:val="F9A24746"/>
    <w:lvl w:ilvl="0" w:tplc="44E0C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45F02"/>
    <w:multiLevelType w:val="hybridMultilevel"/>
    <w:tmpl w:val="1D3017DC"/>
    <w:lvl w:ilvl="0" w:tplc="24BA34F6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28">
    <w:nsid w:val="5D0F5012"/>
    <w:multiLevelType w:val="hybridMultilevel"/>
    <w:tmpl w:val="034608EA"/>
    <w:lvl w:ilvl="0" w:tplc="A440B1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>
    <w:nsid w:val="71D71BE5"/>
    <w:multiLevelType w:val="hybridMultilevel"/>
    <w:tmpl w:val="1BEEE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5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6">
    <w:nsid w:val="773D3946"/>
    <w:multiLevelType w:val="hybridMultilevel"/>
    <w:tmpl w:val="2EC21FA2"/>
    <w:lvl w:ilvl="0" w:tplc="24BA34F6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1"/>
  </w:num>
  <w:num w:numId="10">
    <w:abstractNumId w:val="21"/>
  </w:num>
  <w:num w:numId="11">
    <w:abstractNumId w:val="9"/>
  </w:num>
  <w:num w:numId="12">
    <w:abstractNumId w:val="13"/>
  </w:num>
  <w:num w:numId="13">
    <w:abstractNumId w:val="20"/>
  </w:num>
  <w:num w:numId="14">
    <w:abstractNumId w:val="2"/>
  </w:num>
  <w:num w:numId="15">
    <w:abstractNumId w:val="32"/>
  </w:num>
  <w:num w:numId="16">
    <w:abstractNumId w:val="37"/>
  </w:num>
  <w:num w:numId="17">
    <w:abstractNumId w:val="35"/>
  </w:num>
  <w:num w:numId="18">
    <w:abstractNumId w:val="27"/>
  </w:num>
  <w:num w:numId="19">
    <w:abstractNumId w:val="18"/>
  </w:num>
  <w:num w:numId="20">
    <w:abstractNumId w:val="23"/>
  </w:num>
  <w:num w:numId="21">
    <w:abstractNumId w:val="34"/>
  </w:num>
  <w:num w:numId="22">
    <w:abstractNumId w:val="29"/>
  </w:num>
  <w:num w:numId="23">
    <w:abstractNumId w:val="8"/>
  </w:num>
  <w:num w:numId="24">
    <w:abstractNumId w:val="3"/>
  </w:num>
  <w:num w:numId="25">
    <w:abstractNumId w:val="24"/>
  </w:num>
  <w:num w:numId="26">
    <w:abstractNumId w:val="12"/>
  </w:num>
  <w:num w:numId="27">
    <w:abstractNumId w:val="30"/>
  </w:num>
  <w:num w:numId="28">
    <w:abstractNumId w:val="17"/>
  </w:num>
  <w:num w:numId="29">
    <w:abstractNumId w:val="28"/>
  </w:num>
  <w:num w:numId="30">
    <w:abstractNumId w:val="36"/>
  </w:num>
  <w:num w:numId="31">
    <w:abstractNumId w:val="9"/>
  </w:num>
  <w:num w:numId="32">
    <w:abstractNumId w:val="25"/>
  </w:num>
  <w:num w:numId="33">
    <w:abstractNumId w:val="22"/>
  </w:num>
  <w:num w:numId="34">
    <w:abstractNumId w:val="15"/>
  </w:num>
  <w:num w:numId="35">
    <w:abstractNumId w:val="10"/>
  </w:num>
  <w:num w:numId="36">
    <w:abstractNumId w:val="16"/>
  </w:num>
  <w:num w:numId="37">
    <w:abstractNumId w:val="33"/>
  </w:num>
  <w:num w:numId="38">
    <w:abstractNumId w:val="19"/>
  </w:num>
  <w:num w:numId="39">
    <w:abstractNumId w:val="9"/>
  </w:num>
  <w:num w:numId="40">
    <w:abstractNumId w:val="14"/>
  </w:num>
  <w:num w:numId="41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H:\trimdata\TRIM\TEMP\HPTRIM.972\D17 66446  CPS - SP - Ramps - Explanatory statement - 2017.DOCX"/>
  </w:docVars>
  <w:rsids>
    <w:rsidRoot w:val="001B4A7B"/>
    <w:rsid w:val="000004E3"/>
    <w:rsid w:val="0002115F"/>
    <w:rsid w:val="00021202"/>
    <w:rsid w:val="000225C4"/>
    <w:rsid w:val="0003578C"/>
    <w:rsid w:val="00044BE7"/>
    <w:rsid w:val="00045B25"/>
    <w:rsid w:val="00046E52"/>
    <w:rsid w:val="00061003"/>
    <w:rsid w:val="00063247"/>
    <w:rsid w:val="00070F9F"/>
    <w:rsid w:val="0007137B"/>
    <w:rsid w:val="00085663"/>
    <w:rsid w:val="00085EBF"/>
    <w:rsid w:val="000A02AD"/>
    <w:rsid w:val="000B46E2"/>
    <w:rsid w:val="000B779C"/>
    <w:rsid w:val="000D122C"/>
    <w:rsid w:val="000D48CE"/>
    <w:rsid w:val="000E1819"/>
    <w:rsid w:val="000E230E"/>
    <w:rsid w:val="000E2BCF"/>
    <w:rsid w:val="000E3CA1"/>
    <w:rsid w:val="000E6C72"/>
    <w:rsid w:val="000F119E"/>
    <w:rsid w:val="000F2368"/>
    <w:rsid w:val="000F7A89"/>
    <w:rsid w:val="0010198D"/>
    <w:rsid w:val="001059B1"/>
    <w:rsid w:val="00111E0A"/>
    <w:rsid w:val="00116EB2"/>
    <w:rsid w:val="00123837"/>
    <w:rsid w:val="00124609"/>
    <w:rsid w:val="001265CE"/>
    <w:rsid w:val="00127FD6"/>
    <w:rsid w:val="001426C5"/>
    <w:rsid w:val="001502C6"/>
    <w:rsid w:val="001534C4"/>
    <w:rsid w:val="001573E4"/>
    <w:rsid w:val="00160756"/>
    <w:rsid w:val="00162F93"/>
    <w:rsid w:val="0017181A"/>
    <w:rsid w:val="0017232E"/>
    <w:rsid w:val="00174102"/>
    <w:rsid w:val="00176BBC"/>
    <w:rsid w:val="00180157"/>
    <w:rsid w:val="00181223"/>
    <w:rsid w:val="00186F77"/>
    <w:rsid w:val="001926A4"/>
    <w:rsid w:val="00196801"/>
    <w:rsid w:val="001A04D9"/>
    <w:rsid w:val="001A3A19"/>
    <w:rsid w:val="001B246B"/>
    <w:rsid w:val="001B45A0"/>
    <w:rsid w:val="001B4A7B"/>
    <w:rsid w:val="001C18EE"/>
    <w:rsid w:val="001D055E"/>
    <w:rsid w:val="001D2F6D"/>
    <w:rsid w:val="001D7724"/>
    <w:rsid w:val="001F492E"/>
    <w:rsid w:val="001F4C58"/>
    <w:rsid w:val="001F6DA3"/>
    <w:rsid w:val="00212737"/>
    <w:rsid w:val="002128E0"/>
    <w:rsid w:val="00216111"/>
    <w:rsid w:val="002248AD"/>
    <w:rsid w:val="00224DB9"/>
    <w:rsid w:val="002345C4"/>
    <w:rsid w:val="00240ECA"/>
    <w:rsid w:val="00241D74"/>
    <w:rsid w:val="00247C27"/>
    <w:rsid w:val="00251745"/>
    <w:rsid w:val="00263AC0"/>
    <w:rsid w:val="0026772D"/>
    <w:rsid w:val="00273B7C"/>
    <w:rsid w:val="00283808"/>
    <w:rsid w:val="00286874"/>
    <w:rsid w:val="00290882"/>
    <w:rsid w:val="00296B65"/>
    <w:rsid w:val="002A6EF6"/>
    <w:rsid w:val="002A7DEF"/>
    <w:rsid w:val="002B14FE"/>
    <w:rsid w:val="002B17A9"/>
    <w:rsid w:val="002B24FE"/>
    <w:rsid w:val="002B60C9"/>
    <w:rsid w:val="002F6062"/>
    <w:rsid w:val="002F7986"/>
    <w:rsid w:val="00303C4A"/>
    <w:rsid w:val="00307F6D"/>
    <w:rsid w:val="00311C7B"/>
    <w:rsid w:val="003177A2"/>
    <w:rsid w:val="00320408"/>
    <w:rsid w:val="00321028"/>
    <w:rsid w:val="003271B5"/>
    <w:rsid w:val="003301BA"/>
    <w:rsid w:val="00330CA0"/>
    <w:rsid w:val="00331264"/>
    <w:rsid w:val="00333EF1"/>
    <w:rsid w:val="00334C8D"/>
    <w:rsid w:val="00340655"/>
    <w:rsid w:val="003459E6"/>
    <w:rsid w:val="00347964"/>
    <w:rsid w:val="003518B3"/>
    <w:rsid w:val="00352A65"/>
    <w:rsid w:val="003636FA"/>
    <w:rsid w:val="00371641"/>
    <w:rsid w:val="00372AF2"/>
    <w:rsid w:val="00373486"/>
    <w:rsid w:val="00376CD1"/>
    <w:rsid w:val="003846F1"/>
    <w:rsid w:val="00387AFB"/>
    <w:rsid w:val="003A46FA"/>
    <w:rsid w:val="003A673F"/>
    <w:rsid w:val="003B093B"/>
    <w:rsid w:val="003B0CD8"/>
    <w:rsid w:val="003B21A7"/>
    <w:rsid w:val="003B5A70"/>
    <w:rsid w:val="003B6396"/>
    <w:rsid w:val="003B7C56"/>
    <w:rsid w:val="003C40B6"/>
    <w:rsid w:val="003F008A"/>
    <w:rsid w:val="003F3DCD"/>
    <w:rsid w:val="004219B3"/>
    <w:rsid w:val="0044351B"/>
    <w:rsid w:val="004448B8"/>
    <w:rsid w:val="004454B6"/>
    <w:rsid w:val="00454DDE"/>
    <w:rsid w:val="00456186"/>
    <w:rsid w:val="00462625"/>
    <w:rsid w:val="00464C56"/>
    <w:rsid w:val="00475DDE"/>
    <w:rsid w:val="00480B4B"/>
    <w:rsid w:val="00483832"/>
    <w:rsid w:val="00485325"/>
    <w:rsid w:val="00485DC4"/>
    <w:rsid w:val="00494254"/>
    <w:rsid w:val="004B2959"/>
    <w:rsid w:val="004B3CD5"/>
    <w:rsid w:val="004B4412"/>
    <w:rsid w:val="004B6617"/>
    <w:rsid w:val="004C348C"/>
    <w:rsid w:val="004C3B10"/>
    <w:rsid w:val="004D506D"/>
    <w:rsid w:val="004D55BA"/>
    <w:rsid w:val="005038DB"/>
    <w:rsid w:val="005061E7"/>
    <w:rsid w:val="0052118C"/>
    <w:rsid w:val="005215FD"/>
    <w:rsid w:val="0052379B"/>
    <w:rsid w:val="00530128"/>
    <w:rsid w:val="00532467"/>
    <w:rsid w:val="00547BA2"/>
    <w:rsid w:val="00547CCF"/>
    <w:rsid w:val="00555E93"/>
    <w:rsid w:val="00564A4D"/>
    <w:rsid w:val="00567DB7"/>
    <w:rsid w:val="00571B35"/>
    <w:rsid w:val="00571C9F"/>
    <w:rsid w:val="00577A09"/>
    <w:rsid w:val="00580B78"/>
    <w:rsid w:val="00581715"/>
    <w:rsid w:val="00584D8F"/>
    <w:rsid w:val="00596D42"/>
    <w:rsid w:val="00596E8B"/>
    <w:rsid w:val="00597A5A"/>
    <w:rsid w:val="005A404D"/>
    <w:rsid w:val="005A67D6"/>
    <w:rsid w:val="005B1E3C"/>
    <w:rsid w:val="005C24AC"/>
    <w:rsid w:val="005C26CC"/>
    <w:rsid w:val="005D6AFC"/>
    <w:rsid w:val="005E0308"/>
    <w:rsid w:val="005E6C0E"/>
    <w:rsid w:val="00600EC0"/>
    <w:rsid w:val="0060463D"/>
    <w:rsid w:val="0060505E"/>
    <w:rsid w:val="00612ADC"/>
    <w:rsid w:val="00615C6B"/>
    <w:rsid w:val="006232B7"/>
    <w:rsid w:val="0062508F"/>
    <w:rsid w:val="006274B3"/>
    <w:rsid w:val="00631C63"/>
    <w:rsid w:val="00632D6D"/>
    <w:rsid w:val="00634102"/>
    <w:rsid w:val="00642C3E"/>
    <w:rsid w:val="00644E3A"/>
    <w:rsid w:val="00646025"/>
    <w:rsid w:val="00657245"/>
    <w:rsid w:val="00663DAD"/>
    <w:rsid w:val="00676679"/>
    <w:rsid w:val="006808CA"/>
    <w:rsid w:val="006875DF"/>
    <w:rsid w:val="00691616"/>
    <w:rsid w:val="00691CF4"/>
    <w:rsid w:val="00692E2E"/>
    <w:rsid w:val="006A5E88"/>
    <w:rsid w:val="006B361C"/>
    <w:rsid w:val="006B4CF9"/>
    <w:rsid w:val="006B7AC8"/>
    <w:rsid w:val="006C2E1D"/>
    <w:rsid w:val="006D40F3"/>
    <w:rsid w:val="006D550F"/>
    <w:rsid w:val="006D75F6"/>
    <w:rsid w:val="006D77F3"/>
    <w:rsid w:val="006F615F"/>
    <w:rsid w:val="00701CAB"/>
    <w:rsid w:val="0070632B"/>
    <w:rsid w:val="00707563"/>
    <w:rsid w:val="0072348C"/>
    <w:rsid w:val="007249B6"/>
    <w:rsid w:val="00724A37"/>
    <w:rsid w:val="007303C3"/>
    <w:rsid w:val="00743223"/>
    <w:rsid w:val="00746E01"/>
    <w:rsid w:val="00763E5D"/>
    <w:rsid w:val="00764757"/>
    <w:rsid w:val="00767740"/>
    <w:rsid w:val="00775849"/>
    <w:rsid w:val="0077733B"/>
    <w:rsid w:val="00777EE6"/>
    <w:rsid w:val="00782EEA"/>
    <w:rsid w:val="007A502D"/>
    <w:rsid w:val="007A7BE6"/>
    <w:rsid w:val="007B2C72"/>
    <w:rsid w:val="007B42DB"/>
    <w:rsid w:val="007B6CB9"/>
    <w:rsid w:val="007C1C53"/>
    <w:rsid w:val="007D1A4A"/>
    <w:rsid w:val="007E26A9"/>
    <w:rsid w:val="007E4904"/>
    <w:rsid w:val="007E4CB5"/>
    <w:rsid w:val="007E6D3B"/>
    <w:rsid w:val="007F066B"/>
    <w:rsid w:val="008033C4"/>
    <w:rsid w:val="00806C88"/>
    <w:rsid w:val="0081034E"/>
    <w:rsid w:val="00820225"/>
    <w:rsid w:val="008344F6"/>
    <w:rsid w:val="0083510F"/>
    <w:rsid w:val="0084628F"/>
    <w:rsid w:val="008474B1"/>
    <w:rsid w:val="00851209"/>
    <w:rsid w:val="00853240"/>
    <w:rsid w:val="0088007E"/>
    <w:rsid w:val="008837AC"/>
    <w:rsid w:val="00884844"/>
    <w:rsid w:val="00884D6C"/>
    <w:rsid w:val="008852B3"/>
    <w:rsid w:val="008945B4"/>
    <w:rsid w:val="008A587D"/>
    <w:rsid w:val="008B08E6"/>
    <w:rsid w:val="008B1C1B"/>
    <w:rsid w:val="008B4EEA"/>
    <w:rsid w:val="008B726D"/>
    <w:rsid w:val="008C2D7D"/>
    <w:rsid w:val="008C5486"/>
    <w:rsid w:val="008D2431"/>
    <w:rsid w:val="008E61D1"/>
    <w:rsid w:val="008E7031"/>
    <w:rsid w:val="0091775F"/>
    <w:rsid w:val="00921C96"/>
    <w:rsid w:val="00922C95"/>
    <w:rsid w:val="009233EE"/>
    <w:rsid w:val="00923A21"/>
    <w:rsid w:val="009514B0"/>
    <w:rsid w:val="009661DE"/>
    <w:rsid w:val="00977054"/>
    <w:rsid w:val="009856B7"/>
    <w:rsid w:val="00985AE4"/>
    <w:rsid w:val="0098602B"/>
    <w:rsid w:val="009864DD"/>
    <w:rsid w:val="00991B3B"/>
    <w:rsid w:val="009962BA"/>
    <w:rsid w:val="009A0FB2"/>
    <w:rsid w:val="009A65D5"/>
    <w:rsid w:val="009B4400"/>
    <w:rsid w:val="009B74B0"/>
    <w:rsid w:val="009C7EB9"/>
    <w:rsid w:val="009D4414"/>
    <w:rsid w:val="009D6B46"/>
    <w:rsid w:val="009E304C"/>
    <w:rsid w:val="009E6D2B"/>
    <w:rsid w:val="009F4940"/>
    <w:rsid w:val="00A1665B"/>
    <w:rsid w:val="00A245FA"/>
    <w:rsid w:val="00A31A03"/>
    <w:rsid w:val="00A4478A"/>
    <w:rsid w:val="00A44852"/>
    <w:rsid w:val="00A508CC"/>
    <w:rsid w:val="00A57D04"/>
    <w:rsid w:val="00A60A26"/>
    <w:rsid w:val="00A60BA3"/>
    <w:rsid w:val="00A61598"/>
    <w:rsid w:val="00A624C1"/>
    <w:rsid w:val="00A64B37"/>
    <w:rsid w:val="00A71F5F"/>
    <w:rsid w:val="00A7241C"/>
    <w:rsid w:val="00A74ECB"/>
    <w:rsid w:val="00A75A7D"/>
    <w:rsid w:val="00A84F46"/>
    <w:rsid w:val="00A86D26"/>
    <w:rsid w:val="00A871F4"/>
    <w:rsid w:val="00AA4E92"/>
    <w:rsid w:val="00AC1B2C"/>
    <w:rsid w:val="00AC3264"/>
    <w:rsid w:val="00AC51F5"/>
    <w:rsid w:val="00AC6AE0"/>
    <w:rsid w:val="00AC6F01"/>
    <w:rsid w:val="00AD050D"/>
    <w:rsid w:val="00AE0FE2"/>
    <w:rsid w:val="00AE1694"/>
    <w:rsid w:val="00AE1BF1"/>
    <w:rsid w:val="00AE4373"/>
    <w:rsid w:val="00AF0DD2"/>
    <w:rsid w:val="00B07236"/>
    <w:rsid w:val="00B10314"/>
    <w:rsid w:val="00B13048"/>
    <w:rsid w:val="00B15998"/>
    <w:rsid w:val="00B1716D"/>
    <w:rsid w:val="00B17A1D"/>
    <w:rsid w:val="00B207A0"/>
    <w:rsid w:val="00B44060"/>
    <w:rsid w:val="00B456E4"/>
    <w:rsid w:val="00B47C2D"/>
    <w:rsid w:val="00B50BAE"/>
    <w:rsid w:val="00B56E03"/>
    <w:rsid w:val="00B60F5D"/>
    <w:rsid w:val="00B61E83"/>
    <w:rsid w:val="00B67E91"/>
    <w:rsid w:val="00B8080B"/>
    <w:rsid w:val="00B87C39"/>
    <w:rsid w:val="00B9628B"/>
    <w:rsid w:val="00BA4665"/>
    <w:rsid w:val="00BB2FB2"/>
    <w:rsid w:val="00BB3304"/>
    <w:rsid w:val="00BC345E"/>
    <w:rsid w:val="00BD3446"/>
    <w:rsid w:val="00BD7474"/>
    <w:rsid w:val="00BE03C9"/>
    <w:rsid w:val="00BE1F1B"/>
    <w:rsid w:val="00BE47B5"/>
    <w:rsid w:val="00BE4C99"/>
    <w:rsid w:val="00BF37C6"/>
    <w:rsid w:val="00C058AB"/>
    <w:rsid w:val="00C06739"/>
    <w:rsid w:val="00C12FCF"/>
    <w:rsid w:val="00C257F1"/>
    <w:rsid w:val="00C35F47"/>
    <w:rsid w:val="00C41018"/>
    <w:rsid w:val="00C50BD2"/>
    <w:rsid w:val="00C50FC9"/>
    <w:rsid w:val="00C538A9"/>
    <w:rsid w:val="00C53B5A"/>
    <w:rsid w:val="00C54F5A"/>
    <w:rsid w:val="00C64DB3"/>
    <w:rsid w:val="00C64FC8"/>
    <w:rsid w:val="00C755AD"/>
    <w:rsid w:val="00C86679"/>
    <w:rsid w:val="00CA52CD"/>
    <w:rsid w:val="00CB666B"/>
    <w:rsid w:val="00CC3175"/>
    <w:rsid w:val="00CD0CF5"/>
    <w:rsid w:val="00CD3F48"/>
    <w:rsid w:val="00CD5755"/>
    <w:rsid w:val="00CF0530"/>
    <w:rsid w:val="00CF799E"/>
    <w:rsid w:val="00D01CF0"/>
    <w:rsid w:val="00D03B3C"/>
    <w:rsid w:val="00D0442A"/>
    <w:rsid w:val="00D203E1"/>
    <w:rsid w:val="00D241D2"/>
    <w:rsid w:val="00D308CC"/>
    <w:rsid w:val="00D544B8"/>
    <w:rsid w:val="00D61388"/>
    <w:rsid w:val="00D61A54"/>
    <w:rsid w:val="00D62CFD"/>
    <w:rsid w:val="00D64DEA"/>
    <w:rsid w:val="00D73912"/>
    <w:rsid w:val="00D80893"/>
    <w:rsid w:val="00D87C84"/>
    <w:rsid w:val="00D92CF1"/>
    <w:rsid w:val="00D92D38"/>
    <w:rsid w:val="00D950F5"/>
    <w:rsid w:val="00DB0F93"/>
    <w:rsid w:val="00DC079C"/>
    <w:rsid w:val="00DC4EDE"/>
    <w:rsid w:val="00DC542F"/>
    <w:rsid w:val="00DC7981"/>
    <w:rsid w:val="00DE1007"/>
    <w:rsid w:val="00DE4EFA"/>
    <w:rsid w:val="00DE5520"/>
    <w:rsid w:val="00DF5426"/>
    <w:rsid w:val="00E04818"/>
    <w:rsid w:val="00E06442"/>
    <w:rsid w:val="00E1358F"/>
    <w:rsid w:val="00E215E5"/>
    <w:rsid w:val="00E23993"/>
    <w:rsid w:val="00E25B8C"/>
    <w:rsid w:val="00E35829"/>
    <w:rsid w:val="00E36DC2"/>
    <w:rsid w:val="00E426EE"/>
    <w:rsid w:val="00E444C4"/>
    <w:rsid w:val="00E4674F"/>
    <w:rsid w:val="00E52B24"/>
    <w:rsid w:val="00E53F2F"/>
    <w:rsid w:val="00E6426C"/>
    <w:rsid w:val="00E65C85"/>
    <w:rsid w:val="00E66199"/>
    <w:rsid w:val="00E7033E"/>
    <w:rsid w:val="00E755EC"/>
    <w:rsid w:val="00E7624D"/>
    <w:rsid w:val="00E766EE"/>
    <w:rsid w:val="00E81F1A"/>
    <w:rsid w:val="00E87D83"/>
    <w:rsid w:val="00E97A3E"/>
    <w:rsid w:val="00EA3D42"/>
    <w:rsid w:val="00EA6B1B"/>
    <w:rsid w:val="00EC64B8"/>
    <w:rsid w:val="00EC754B"/>
    <w:rsid w:val="00ED46F2"/>
    <w:rsid w:val="00EE28F3"/>
    <w:rsid w:val="00EE620E"/>
    <w:rsid w:val="00EF16EB"/>
    <w:rsid w:val="00EF5110"/>
    <w:rsid w:val="00F15882"/>
    <w:rsid w:val="00F20BD3"/>
    <w:rsid w:val="00F32C0D"/>
    <w:rsid w:val="00F373A5"/>
    <w:rsid w:val="00F461D6"/>
    <w:rsid w:val="00F47559"/>
    <w:rsid w:val="00F5752F"/>
    <w:rsid w:val="00F60BE4"/>
    <w:rsid w:val="00F61B84"/>
    <w:rsid w:val="00F64C7B"/>
    <w:rsid w:val="00F676DD"/>
    <w:rsid w:val="00F75A26"/>
    <w:rsid w:val="00F76FA1"/>
    <w:rsid w:val="00F778EE"/>
    <w:rsid w:val="00F83FAD"/>
    <w:rsid w:val="00F904CD"/>
    <w:rsid w:val="00F91102"/>
    <w:rsid w:val="00F91DC6"/>
    <w:rsid w:val="00F952A0"/>
    <w:rsid w:val="00F960D1"/>
    <w:rsid w:val="00FA3C7F"/>
    <w:rsid w:val="00FA42AD"/>
    <w:rsid w:val="00FB27DA"/>
    <w:rsid w:val="00FB52D7"/>
    <w:rsid w:val="00FB74E2"/>
    <w:rsid w:val="00FC590E"/>
    <w:rsid w:val="00FD5614"/>
    <w:rsid w:val="00FE0BE1"/>
    <w:rsid w:val="00FE1DE9"/>
    <w:rsid w:val="00FE39C2"/>
    <w:rsid w:val="00FE64AE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1B4A7B"/>
    <w:pPr>
      <w:spacing w:before="0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A7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B4A7B"/>
    <w:rPr>
      <w:sz w:val="16"/>
      <w:szCs w:val="16"/>
    </w:rPr>
  </w:style>
  <w:style w:type="paragraph" w:customStyle="1" w:styleId="R2">
    <w:name w:val="R2"/>
    <w:aliases w:val="(2)"/>
    <w:basedOn w:val="Normal"/>
    <w:rsid w:val="00CC3175"/>
    <w:pPr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SR">
    <w:name w:val="HSR"/>
    <w:aliases w:val="Subregulation Heading"/>
    <w:basedOn w:val="Normal"/>
    <w:next w:val="R2"/>
    <w:rsid w:val="00CC3175"/>
    <w:pPr>
      <w:keepNext/>
      <w:spacing w:before="300"/>
      <w:ind w:left="964"/>
    </w:pPr>
    <w:rPr>
      <w:rFonts w:eastAsia="Times New Roman" w:cs="Times New Roman"/>
      <w:i/>
      <w:sz w:val="24"/>
      <w:szCs w:val="24"/>
    </w:rPr>
  </w:style>
  <w:style w:type="paragraph" w:customStyle="1" w:styleId="P1">
    <w:name w:val="P1"/>
    <w:aliases w:val="(a)"/>
    <w:basedOn w:val="Normal"/>
    <w:rsid w:val="00CC3175"/>
    <w:pPr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102"/>
    <w:pPr>
      <w:spacing w:before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102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Definition">
    <w:name w:val="Definition"/>
    <w:aliases w:val="dd"/>
    <w:basedOn w:val="Normal"/>
    <w:rsid w:val="00567DB7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egsubtitle1">
    <w:name w:val="legsubtitle1"/>
    <w:basedOn w:val="DefaultParagraphFont"/>
    <w:rsid w:val="000F7A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1B4A7B"/>
    <w:pPr>
      <w:spacing w:before="0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A7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B4A7B"/>
    <w:rPr>
      <w:sz w:val="16"/>
      <w:szCs w:val="16"/>
    </w:rPr>
  </w:style>
  <w:style w:type="paragraph" w:customStyle="1" w:styleId="R2">
    <w:name w:val="R2"/>
    <w:aliases w:val="(2)"/>
    <w:basedOn w:val="Normal"/>
    <w:rsid w:val="00CC3175"/>
    <w:pPr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SR">
    <w:name w:val="HSR"/>
    <w:aliases w:val="Subregulation Heading"/>
    <w:basedOn w:val="Normal"/>
    <w:next w:val="R2"/>
    <w:rsid w:val="00CC3175"/>
    <w:pPr>
      <w:keepNext/>
      <w:spacing w:before="300"/>
      <w:ind w:left="964"/>
    </w:pPr>
    <w:rPr>
      <w:rFonts w:eastAsia="Times New Roman" w:cs="Times New Roman"/>
      <w:i/>
      <w:sz w:val="24"/>
      <w:szCs w:val="24"/>
    </w:rPr>
  </w:style>
  <w:style w:type="paragraph" w:customStyle="1" w:styleId="P1">
    <w:name w:val="P1"/>
    <w:aliases w:val="(a)"/>
    <w:basedOn w:val="Normal"/>
    <w:rsid w:val="00CC3175"/>
    <w:pPr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102"/>
    <w:pPr>
      <w:spacing w:before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102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Definition">
    <w:name w:val="Definition"/>
    <w:aliases w:val="dd"/>
    <w:basedOn w:val="Normal"/>
    <w:rsid w:val="00567DB7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egsubtitle1">
    <w:name w:val="legsubtitle1"/>
    <w:basedOn w:val="DefaultParagraphFont"/>
    <w:rsid w:val="000F7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7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235AED-9ADD-4CF4-9EBF-33D5E2AA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4E69462C</Template>
  <TotalTime>0</TotalTime>
  <Pages>3</Pages>
  <Words>770</Words>
  <Characters>4392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Charlotte Marshall</dc:creator>
  <cp:lastModifiedBy>Loiacono, Elizabeth</cp:lastModifiedBy>
  <cp:revision>2</cp:revision>
  <cp:lastPrinted>2017-05-24T01:37:00Z</cp:lastPrinted>
  <dcterms:created xsi:type="dcterms:W3CDTF">2017-12-01T00:46:00Z</dcterms:created>
  <dcterms:modified xsi:type="dcterms:W3CDTF">2017-12-01T00:46:00Z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I">
    <vt:lpwstr>8952256</vt:lpwstr>
  </property>
  <property fmtid="{D5CDD505-2E9C-101B-9397-08002B2CF9AE}" pid="3" name="currfile">
    <vt:lpwstr>\\cdchnas-evs02\home$\towen\cps - sp - motor vehicle recovery straps - explanatory statement - not ready yet (D2017-00113882).docx</vt:lpwstr>
  </property>
</Properties>
</file>