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8D4FE2" w14:textId="77777777" w:rsidR="00E24895" w:rsidRDefault="00E24895" w:rsidP="00E24895">
      <w:pPr>
        <w:jc w:val="center"/>
        <w:rPr>
          <w:b/>
          <w:u w:val="single"/>
        </w:rPr>
      </w:pPr>
      <w:r>
        <w:rPr>
          <w:b/>
          <w:u w:val="single"/>
        </w:rPr>
        <w:t>EXPLANATORY STATEMENT</w:t>
      </w:r>
    </w:p>
    <w:p w14:paraId="308D4FE3" w14:textId="77777777" w:rsidR="00E24895" w:rsidRDefault="00E24895" w:rsidP="00E24895"/>
    <w:p w14:paraId="308D4FE4" w14:textId="77777777" w:rsidR="00E24895" w:rsidRPr="00765F2C" w:rsidRDefault="00E24895" w:rsidP="00E24895">
      <w:pPr>
        <w:pStyle w:val="Heading3"/>
        <w:rPr>
          <w:rFonts w:ascii="Times New Roman" w:hAnsi="Times New Roman" w:cs="Times New Roman"/>
        </w:rPr>
      </w:pPr>
      <w:bookmarkStart w:id="0" w:name="_Health_Insurance_Act"/>
      <w:bookmarkEnd w:id="0"/>
      <w:r w:rsidRPr="00765F2C">
        <w:rPr>
          <w:rFonts w:ascii="Times New Roman" w:hAnsi="Times New Roman" w:cs="Times New Roman"/>
        </w:rPr>
        <w:t>Health Insurance Act 1973</w:t>
      </w:r>
    </w:p>
    <w:p w14:paraId="308D4FE5" w14:textId="77777777" w:rsidR="00E24895" w:rsidRPr="00B37210" w:rsidRDefault="00E24895" w:rsidP="00E24895">
      <w:pPr>
        <w:jc w:val="center"/>
        <w:rPr>
          <w:i/>
        </w:rPr>
      </w:pPr>
      <w:r w:rsidRPr="00B37210">
        <w:rPr>
          <w:i/>
        </w:rPr>
        <w:t>He</w:t>
      </w:r>
      <w:bookmarkStart w:id="1" w:name="_GoBack"/>
      <w:bookmarkEnd w:id="1"/>
      <w:r w:rsidRPr="00B37210">
        <w:rPr>
          <w:i/>
        </w:rPr>
        <w:t xml:space="preserve">alth Insurance (Section 19AB </w:t>
      </w:r>
      <w:r>
        <w:rPr>
          <w:i/>
        </w:rPr>
        <w:t>E</w:t>
      </w:r>
      <w:r w:rsidRPr="00B37210">
        <w:rPr>
          <w:i/>
        </w:rPr>
        <w:t xml:space="preserve">xemptions) Guidelines </w:t>
      </w:r>
      <w:r>
        <w:rPr>
          <w:i/>
        </w:rPr>
        <w:t>2017</w:t>
      </w:r>
    </w:p>
    <w:p w14:paraId="308D4FE6" w14:textId="77777777" w:rsidR="00E24895" w:rsidRDefault="00E24895" w:rsidP="00E24895"/>
    <w:p w14:paraId="308D4FE7" w14:textId="77777777" w:rsidR="00E24895" w:rsidRPr="00A535F7" w:rsidRDefault="00E24895" w:rsidP="00E24895">
      <w:pPr>
        <w:rPr>
          <w:b/>
        </w:rPr>
      </w:pPr>
      <w:r w:rsidRPr="00A535F7">
        <w:rPr>
          <w:b/>
        </w:rPr>
        <w:t>Authority</w:t>
      </w:r>
    </w:p>
    <w:p w14:paraId="308D4FE8" w14:textId="77777777" w:rsidR="00E24895" w:rsidRDefault="00E24895" w:rsidP="00E24895"/>
    <w:p w14:paraId="308D4FE9" w14:textId="77777777" w:rsidR="00E24895" w:rsidRDefault="00E24895" w:rsidP="00E24895">
      <w:r>
        <w:t xml:space="preserve">Subsections 19AB(1) and 19AB(2) of the </w:t>
      </w:r>
      <w:r w:rsidRPr="00EA69D6">
        <w:rPr>
          <w:i/>
        </w:rPr>
        <w:t>Health Insurance Act 1973</w:t>
      </w:r>
      <w:r>
        <w:t xml:space="preserve"> (the HIA) prevent the payment of Medicare benefits for services provided by, or on behalf of, an overseas trained doctor (OTD) or foreign graduate of an accredited medical school (FGAMS), except where:</w:t>
      </w:r>
    </w:p>
    <w:p w14:paraId="308D4FEA" w14:textId="77777777" w:rsidR="00E24895" w:rsidRDefault="00E24895" w:rsidP="001614E3">
      <w:pPr>
        <w:numPr>
          <w:ilvl w:val="0"/>
          <w:numId w:val="3"/>
        </w:numPr>
        <w:tabs>
          <w:tab w:val="clear" w:pos="1134"/>
        </w:tabs>
        <w:spacing w:before="120"/>
        <w:ind w:left="567"/>
      </w:pPr>
      <w:r>
        <w:t xml:space="preserve">the person was first recognised as a medical practitioner in Australia before 1997; </w:t>
      </w:r>
    </w:p>
    <w:p w14:paraId="308D4FEB" w14:textId="77777777" w:rsidR="00E24895" w:rsidRDefault="00E24895" w:rsidP="001614E3">
      <w:pPr>
        <w:numPr>
          <w:ilvl w:val="0"/>
          <w:numId w:val="3"/>
        </w:numPr>
        <w:tabs>
          <w:tab w:val="clear" w:pos="1134"/>
        </w:tabs>
        <w:spacing w:before="120"/>
        <w:ind w:left="567"/>
      </w:pPr>
      <w:r>
        <w:t>the person was an OTD prior to 1 January 1997, and before that date had applied to undertake examinations to become a medical practitioner; or</w:t>
      </w:r>
    </w:p>
    <w:p w14:paraId="308D4FEC" w14:textId="77777777" w:rsidR="00E24895" w:rsidRDefault="00E24895" w:rsidP="001614E3">
      <w:pPr>
        <w:numPr>
          <w:ilvl w:val="0"/>
          <w:numId w:val="3"/>
        </w:numPr>
        <w:tabs>
          <w:tab w:val="clear" w:pos="1134"/>
        </w:tabs>
        <w:spacing w:before="120"/>
        <w:ind w:left="567"/>
      </w:pPr>
      <w:proofErr w:type="gramStart"/>
      <w:r>
        <w:t>the</w:t>
      </w:r>
      <w:proofErr w:type="gramEnd"/>
      <w:r>
        <w:t xml:space="preserve"> relevant medical service is provided more than 10 years after the person first became a medical practitioner, and the person either first became a medical practitioner before 18 October 2001, was a permanent Australian at the time of becoming a medical practitioner, or became a permanent Australian after first becoming a medical practitioner.</w:t>
      </w:r>
    </w:p>
    <w:p w14:paraId="308D4FED" w14:textId="77777777" w:rsidR="00E24895" w:rsidRDefault="00E24895" w:rsidP="00E24895"/>
    <w:p w14:paraId="308D4FEE" w14:textId="77777777" w:rsidR="00E24895" w:rsidRPr="00943601" w:rsidRDefault="00E24895" w:rsidP="00E24895">
      <w:pPr>
        <w:rPr>
          <w:szCs w:val="24"/>
        </w:rPr>
      </w:pPr>
      <w:r>
        <w:rPr>
          <w:szCs w:val="24"/>
        </w:rPr>
        <w:t xml:space="preserve">Subsection </w:t>
      </w:r>
      <w:proofErr w:type="gramStart"/>
      <w:r>
        <w:rPr>
          <w:szCs w:val="24"/>
        </w:rPr>
        <w:t>19AB(</w:t>
      </w:r>
      <w:proofErr w:type="gramEnd"/>
      <w:r>
        <w:rPr>
          <w:szCs w:val="24"/>
        </w:rPr>
        <w:t>7) of the Act provides that f</w:t>
      </w:r>
      <w:r w:rsidRPr="00943601">
        <w:rPr>
          <w:szCs w:val="24"/>
        </w:rPr>
        <w:t xml:space="preserve">or the purpose of </w:t>
      </w:r>
      <w:r>
        <w:rPr>
          <w:szCs w:val="24"/>
        </w:rPr>
        <w:t xml:space="preserve">subsections </w:t>
      </w:r>
      <w:r w:rsidRPr="00943601">
        <w:rPr>
          <w:szCs w:val="24"/>
        </w:rPr>
        <w:t>19AB(1) and</w:t>
      </w:r>
      <w:r>
        <w:rPr>
          <w:szCs w:val="24"/>
        </w:rPr>
        <w:t xml:space="preserve"> </w:t>
      </w:r>
      <w:r w:rsidRPr="00943601">
        <w:rPr>
          <w:szCs w:val="24"/>
        </w:rPr>
        <w:t>19AB(2):</w:t>
      </w:r>
    </w:p>
    <w:p w14:paraId="308D4FEF" w14:textId="77777777" w:rsidR="00E24895" w:rsidRPr="002E410E" w:rsidRDefault="00E24895" w:rsidP="001614E3">
      <w:pPr>
        <w:pStyle w:val="definition"/>
        <w:numPr>
          <w:ilvl w:val="0"/>
          <w:numId w:val="7"/>
        </w:numPr>
        <w:shd w:val="clear" w:color="auto" w:fill="FFFFFF"/>
        <w:tabs>
          <w:tab w:val="left" w:pos="426"/>
        </w:tabs>
        <w:spacing w:before="40" w:beforeAutospacing="0" w:after="0" w:afterAutospacing="0"/>
        <w:ind w:left="425" w:hanging="425"/>
      </w:pPr>
      <w:r w:rsidRPr="002E410E">
        <w:t xml:space="preserve">an OTD is a person whose primary medical qualification was not obtained from an accredited medical school, being </w:t>
      </w:r>
      <w:r w:rsidRPr="00943601">
        <w:t xml:space="preserve">a medical school </w:t>
      </w:r>
      <w:r w:rsidRPr="002E410E">
        <w:t>accredited by the Australian Medical Council and located in Australia or New Zealand; and</w:t>
      </w:r>
    </w:p>
    <w:p w14:paraId="308D4FF0" w14:textId="77777777" w:rsidR="00E24895" w:rsidRDefault="00E24895" w:rsidP="001614E3">
      <w:pPr>
        <w:pStyle w:val="definition"/>
        <w:numPr>
          <w:ilvl w:val="0"/>
          <w:numId w:val="7"/>
        </w:numPr>
        <w:shd w:val="clear" w:color="auto" w:fill="FFFFFF"/>
        <w:tabs>
          <w:tab w:val="left" w:pos="426"/>
        </w:tabs>
        <w:spacing w:before="40" w:beforeAutospacing="0" w:after="0" w:afterAutospacing="0"/>
        <w:ind w:left="425" w:hanging="425"/>
        <w:rPr>
          <w:color w:val="000000"/>
        </w:rPr>
      </w:pPr>
      <w:proofErr w:type="gramStart"/>
      <w:r>
        <w:t>a</w:t>
      </w:r>
      <w:proofErr w:type="gramEnd"/>
      <w:r>
        <w:t xml:space="preserve"> </w:t>
      </w:r>
      <w:r w:rsidRPr="00A0166D">
        <w:rPr>
          <w:bCs/>
          <w:iCs/>
          <w:color w:val="000000"/>
        </w:rPr>
        <w:t>FGAMS</w:t>
      </w:r>
      <w:r>
        <w:rPr>
          <w:rStyle w:val="apple-converted-space"/>
          <w:b/>
          <w:bCs/>
          <w:i/>
          <w:iCs/>
          <w:color w:val="000000"/>
        </w:rPr>
        <w:t xml:space="preserve"> </w:t>
      </w:r>
      <w:r>
        <w:rPr>
          <w:rStyle w:val="apple-converted-space"/>
          <w:bCs/>
          <w:iCs/>
          <w:color w:val="000000"/>
        </w:rPr>
        <w:t>i</w:t>
      </w:r>
      <w:r w:rsidRPr="0017715D">
        <w:rPr>
          <w:color w:val="000000"/>
        </w:rPr>
        <w:t>s a person whose primary medical qualification was obtained from an accredited medical school and</w:t>
      </w:r>
      <w:r>
        <w:rPr>
          <w:color w:val="000000"/>
        </w:rPr>
        <w:t xml:space="preserve"> who was not a permanent Australian, or a New Zealand citizen or permanent resident, </w:t>
      </w:r>
      <w:r w:rsidRPr="00943601">
        <w:rPr>
          <w:color w:val="000000"/>
        </w:rPr>
        <w:t>when he or she first enrolled at an accredited medical school</w:t>
      </w:r>
      <w:r>
        <w:rPr>
          <w:color w:val="000000"/>
        </w:rPr>
        <w:t>.</w:t>
      </w:r>
    </w:p>
    <w:p w14:paraId="308D4FF1" w14:textId="77777777" w:rsidR="00E24895" w:rsidRDefault="00E24895" w:rsidP="00E24895"/>
    <w:p w14:paraId="308D4FF2" w14:textId="77777777" w:rsidR="00E24895" w:rsidRDefault="00E24895" w:rsidP="00E24895">
      <w:r>
        <w:t xml:space="preserve">Under subsection </w:t>
      </w:r>
      <w:proofErr w:type="gramStart"/>
      <w:r>
        <w:t>19AB(</w:t>
      </w:r>
      <w:proofErr w:type="gramEnd"/>
      <w:r>
        <w:t xml:space="preserve">3) of the HIA, the Minister for Health has the power to grant an exemption from the restrictions in subsections 19AB(1) and 19AB(2) of the HIA (an exemption).  An exemption may be granted in respect of one person or a class of persons.  The Minister also has the power under subsection </w:t>
      </w:r>
      <w:proofErr w:type="gramStart"/>
      <w:r>
        <w:t>19AB(</w:t>
      </w:r>
      <w:proofErr w:type="gramEnd"/>
      <w:r>
        <w:t xml:space="preserve">4) of the HIA to make exemptions subject to any conditions he or she considers fit.  </w:t>
      </w:r>
    </w:p>
    <w:p w14:paraId="308D4FF3" w14:textId="77777777" w:rsidR="00E24895" w:rsidRDefault="00E24895" w:rsidP="00E24895"/>
    <w:p w14:paraId="308D4FF4" w14:textId="77777777" w:rsidR="00E24895" w:rsidRDefault="00E24895" w:rsidP="00E24895">
      <w:r>
        <w:t xml:space="preserve">Subsection </w:t>
      </w:r>
      <w:proofErr w:type="gramStart"/>
      <w:r>
        <w:t>19AB(</w:t>
      </w:r>
      <w:proofErr w:type="gramEnd"/>
      <w:r>
        <w:t xml:space="preserve">4B) of the HIA provides that the Minister must, in writing, determine guidelines that apply to the granting of exemptions and the imposition of conditions on such exemptions. Subsection </w:t>
      </w:r>
      <w:proofErr w:type="gramStart"/>
      <w:r>
        <w:t>19AB(</w:t>
      </w:r>
      <w:proofErr w:type="gramEnd"/>
      <w:r>
        <w:t xml:space="preserve">4A) provides that the Minister must comply with such guidelines in exercising the power to grant an exemption under subsection 19AB(3) and the power to make an exemption subject to conditions under subsection 19AB(4). </w:t>
      </w:r>
    </w:p>
    <w:p w14:paraId="308D4FF5" w14:textId="77777777" w:rsidR="00E24895" w:rsidRDefault="00E24895" w:rsidP="00E24895"/>
    <w:p w14:paraId="308D4FF6" w14:textId="77777777" w:rsidR="00E24895" w:rsidRPr="007C7F99" w:rsidRDefault="00E24895" w:rsidP="00E24895">
      <w:pPr>
        <w:rPr>
          <w:b/>
        </w:rPr>
      </w:pPr>
      <w:r w:rsidRPr="008455CE">
        <w:rPr>
          <w:b/>
        </w:rPr>
        <w:t>Purpose</w:t>
      </w:r>
    </w:p>
    <w:p w14:paraId="308D4FF7" w14:textId="77777777" w:rsidR="00E24895" w:rsidRDefault="00E24895" w:rsidP="00E24895">
      <w:pPr>
        <w:widowControl w:val="0"/>
        <w:tabs>
          <w:tab w:val="num" w:pos="426"/>
        </w:tabs>
      </w:pPr>
    </w:p>
    <w:p w14:paraId="308D4FF8" w14:textId="77777777" w:rsidR="00E24895" w:rsidRDefault="00E24895" w:rsidP="00E24895">
      <w:pPr>
        <w:widowControl w:val="0"/>
        <w:tabs>
          <w:tab w:val="num" w:pos="426"/>
        </w:tabs>
      </w:pPr>
      <w:r>
        <w:t xml:space="preserve">The </w:t>
      </w:r>
      <w:r w:rsidRPr="00311D04">
        <w:rPr>
          <w:i/>
        </w:rPr>
        <w:t xml:space="preserve">Health Insurance (Section 19AB Exemptions) Guidelines </w:t>
      </w:r>
      <w:r>
        <w:rPr>
          <w:i/>
        </w:rPr>
        <w:t xml:space="preserve">2017 </w:t>
      </w:r>
      <w:r>
        <w:t xml:space="preserve">(the Guidelines) revoke and replace the </w:t>
      </w:r>
      <w:r w:rsidRPr="00311D04">
        <w:rPr>
          <w:i/>
        </w:rPr>
        <w:t xml:space="preserve">Health Insurance (Section 19AB Exemptions) Guidelines </w:t>
      </w:r>
      <w:r>
        <w:rPr>
          <w:i/>
        </w:rPr>
        <w:t xml:space="preserve">2016 </w:t>
      </w:r>
      <w:r>
        <w:t xml:space="preserve">(the Previous Guidelines) made for subsection </w:t>
      </w:r>
      <w:proofErr w:type="gramStart"/>
      <w:r>
        <w:t>19AB(</w:t>
      </w:r>
      <w:proofErr w:type="gramEnd"/>
      <w:r>
        <w:t xml:space="preserve">4B).  </w:t>
      </w:r>
    </w:p>
    <w:p w14:paraId="308D4FF9" w14:textId="77777777" w:rsidR="00E24895" w:rsidRDefault="00E24895" w:rsidP="00E24895">
      <w:pPr>
        <w:widowControl w:val="0"/>
        <w:tabs>
          <w:tab w:val="num" w:pos="426"/>
        </w:tabs>
      </w:pPr>
    </w:p>
    <w:p w14:paraId="308D4FFA" w14:textId="0541EC1D" w:rsidR="00E24895" w:rsidRPr="00273C3D" w:rsidRDefault="00E24895" w:rsidP="00273C3D">
      <w:pPr>
        <w:rPr>
          <w:color w:val="000000" w:themeColor="text1"/>
          <w:szCs w:val="24"/>
        </w:rPr>
      </w:pPr>
      <w:r>
        <w:lastRenderedPageBreak/>
        <w:t>The Guidelines have been updated to remove the ability of the Minister to delegate his or her functions or powers under these Guidelines.</w:t>
      </w:r>
      <w:r w:rsidR="00273C3D">
        <w:t xml:space="preserve"> These </w:t>
      </w:r>
      <w:r w:rsidR="00D52864">
        <w:t xml:space="preserve">delegations </w:t>
      </w:r>
      <w:r w:rsidR="00273C3D">
        <w:t>are provided within s131 of the HIA.</w:t>
      </w:r>
    </w:p>
    <w:p w14:paraId="308D4FFB" w14:textId="77777777" w:rsidR="00E24895" w:rsidRDefault="00E24895" w:rsidP="00E24895"/>
    <w:p w14:paraId="308D4FFC" w14:textId="77777777" w:rsidR="00E24895" w:rsidRDefault="00E24895" w:rsidP="00E24895"/>
    <w:p w14:paraId="308D4FFD" w14:textId="77777777" w:rsidR="00E24895" w:rsidRPr="00CA0EA5" w:rsidRDefault="00E24895" w:rsidP="00E24895">
      <w:pPr>
        <w:widowControl w:val="0"/>
        <w:tabs>
          <w:tab w:val="num" w:pos="426"/>
        </w:tabs>
        <w:rPr>
          <w:b/>
        </w:rPr>
      </w:pPr>
      <w:r w:rsidRPr="00CA0EA5">
        <w:rPr>
          <w:b/>
        </w:rPr>
        <w:t xml:space="preserve">Background </w:t>
      </w:r>
    </w:p>
    <w:p w14:paraId="308D4FFE" w14:textId="77777777" w:rsidR="00E24895" w:rsidRDefault="00E24895" w:rsidP="00E24895"/>
    <w:p w14:paraId="308D4FFF" w14:textId="77777777" w:rsidR="00E24895" w:rsidRPr="008531CB" w:rsidRDefault="00E24895" w:rsidP="00E24895">
      <w:pPr>
        <w:rPr>
          <w:u w:val="single"/>
        </w:rPr>
      </w:pPr>
      <w:r w:rsidRPr="008531CB">
        <w:rPr>
          <w:u w:val="single"/>
        </w:rPr>
        <w:t>Districts of workforce shortage</w:t>
      </w:r>
      <w:r>
        <w:rPr>
          <w:u w:val="single"/>
        </w:rPr>
        <w:t xml:space="preserve"> (DWS)</w:t>
      </w:r>
    </w:p>
    <w:p w14:paraId="308D5000" w14:textId="77777777" w:rsidR="00E24895" w:rsidRDefault="00E24895" w:rsidP="00E24895"/>
    <w:p w14:paraId="308D5001" w14:textId="77777777" w:rsidR="00E24895" w:rsidRDefault="00E24895" w:rsidP="00E24895">
      <w:r>
        <w:t xml:space="preserve">The Guidelines provide a framework for considering applications for exemptions under subsection </w:t>
      </w:r>
      <w:proofErr w:type="gramStart"/>
      <w:r>
        <w:t>19AB(</w:t>
      </w:r>
      <w:proofErr w:type="gramEnd"/>
      <w:r>
        <w:t xml:space="preserve">3) of the HIA and applying conditions to exemptions.  An exemption enables a doctor who is an OTD or FGAMS and who would otherwise be prevented from providing Medicare-eligible services by the operation of subsections </w:t>
      </w:r>
      <w:proofErr w:type="gramStart"/>
      <w:r>
        <w:t>19AB(</w:t>
      </w:r>
      <w:proofErr w:type="gramEnd"/>
      <w:r>
        <w:t xml:space="preserve">1) and 19AB(2) to provide such services.  </w:t>
      </w:r>
    </w:p>
    <w:p w14:paraId="308D5002" w14:textId="77777777" w:rsidR="00E24895" w:rsidRDefault="00E24895" w:rsidP="00E24895"/>
    <w:p w14:paraId="308D5003" w14:textId="41597B6A" w:rsidR="00E24895" w:rsidRDefault="00E24895" w:rsidP="00E24895">
      <w:r>
        <w:t>The Guidelines provide that the key consideration when assessing most exemption applications is whether the location to which the application relates is in a district of workforce shortage (DWS) for the applicant’s field of medical practi</w:t>
      </w:r>
      <w:r w:rsidR="001614E3">
        <w:t>s</w:t>
      </w:r>
      <w:r>
        <w:t xml:space="preserve">e.  For example, where the applicant is a specialist cardiologist, the primary consideration for granting an exemption will generally be whether the service location to which the application relates and at which the applicant is seeking to practise privately falls within a DWS for the specialty of cardiology.  Where the applicant is a general practitioner (GP) or other non-specialist for Medicare purposes, the primary consideration will generally be whether the applicant is seeking to practise in a DWS area for general practice. </w:t>
      </w:r>
    </w:p>
    <w:p w14:paraId="308D5004" w14:textId="77777777" w:rsidR="00E24895" w:rsidRDefault="00E24895" w:rsidP="00E24895"/>
    <w:p w14:paraId="308D5005" w14:textId="77777777" w:rsidR="00E24895" w:rsidRDefault="00E24895" w:rsidP="00E24895">
      <w:r>
        <w:t xml:space="preserve">The requirement that DWS status should serve as the primary consideration for most exemption decisions is intended to effect a more equitable distribution of the private medical workforce across Australia.  This requirement aims to alleviate medical workforce shortages in recognised DWS areas, particularly in regional and remote communities that experience difficulties in accessing medical services due to their distance from the capital cities.  </w:t>
      </w:r>
    </w:p>
    <w:p w14:paraId="308D5006" w14:textId="77777777" w:rsidR="00E24895" w:rsidRDefault="00E24895" w:rsidP="00E24895"/>
    <w:p w14:paraId="308D5007" w14:textId="77777777" w:rsidR="00E24895" w:rsidRDefault="00E24895" w:rsidP="00E24895">
      <w:r>
        <w:t xml:space="preserve">DWS areas are identified for each of the medical specialties by using the latest Medicare fee billing statistics and Australian Bureau of Statistics (ABS) estimated residential population data to determine the level of Medicare-subsidised medical service provision for each medical specialty in each geographical area of Australia.  </w:t>
      </w:r>
    </w:p>
    <w:p w14:paraId="308D5008" w14:textId="77777777" w:rsidR="00E24895" w:rsidRDefault="00E24895" w:rsidP="00E24895"/>
    <w:p w14:paraId="308D5009" w14:textId="77777777" w:rsidR="00E24895" w:rsidRDefault="00E24895" w:rsidP="00E24895">
      <w:r>
        <w:t xml:space="preserve">A map showing the DWS status of every Australian street address for GPs and other non-specialists, specialists and consultant physicians is provided on the DoctorConnect website: </w:t>
      </w:r>
      <w:hyperlink r:id="rId9" w:history="1">
        <w:r w:rsidRPr="00943601">
          <w:rPr>
            <w:rStyle w:val="Hyperlink"/>
          </w:rPr>
          <w:t>www.doctorconnect.gov.au</w:t>
        </w:r>
        <w:r w:rsidRPr="00C54AD1">
          <w:rPr>
            <w:rStyle w:val="Hyperlink"/>
          </w:rPr>
          <w:t>/</w:t>
        </w:r>
      </w:hyperlink>
      <w:r>
        <w:t xml:space="preserve"> </w:t>
      </w:r>
    </w:p>
    <w:p w14:paraId="308D500A" w14:textId="77777777" w:rsidR="00E24895" w:rsidRDefault="00E24895" w:rsidP="00E24895"/>
    <w:p w14:paraId="308D500B" w14:textId="77777777" w:rsidR="00E24895" w:rsidRDefault="00E24895" w:rsidP="00E24895">
      <w:r>
        <w:t>T</w:t>
      </w:r>
      <w:r w:rsidRPr="00470C73">
        <w:t>h</w:t>
      </w:r>
      <w:r>
        <w:t xml:space="preserve">e Guidelines also provide for circumstances where DWS status will not be the primary consideration; for example, where the applicant will be providing short term locum services or providing services at an Aboriginal and Torres Strait Islander primary health care service in respect of which a direction under subsection 19(2) of the HIA is in force.  </w:t>
      </w:r>
    </w:p>
    <w:p w14:paraId="308D500C" w14:textId="77777777" w:rsidR="00E24895" w:rsidRDefault="00E24895" w:rsidP="00E24895">
      <w:pPr>
        <w:widowControl w:val="0"/>
        <w:tabs>
          <w:tab w:val="num" w:pos="426"/>
        </w:tabs>
      </w:pPr>
    </w:p>
    <w:p w14:paraId="308D500D" w14:textId="77777777" w:rsidR="00E24895" w:rsidRPr="005C4EDA" w:rsidRDefault="00E24895" w:rsidP="00E24895">
      <w:pPr>
        <w:widowControl w:val="0"/>
        <w:tabs>
          <w:tab w:val="num" w:pos="426"/>
        </w:tabs>
        <w:rPr>
          <w:u w:val="single"/>
        </w:rPr>
      </w:pPr>
      <w:r w:rsidRPr="005C4EDA">
        <w:rPr>
          <w:u w:val="single"/>
        </w:rPr>
        <w:t>The Modified Monash Model</w:t>
      </w:r>
      <w:r>
        <w:rPr>
          <w:u w:val="single"/>
        </w:rPr>
        <w:t xml:space="preserve"> (MMM)</w:t>
      </w:r>
    </w:p>
    <w:p w14:paraId="308D500E" w14:textId="77777777" w:rsidR="00E24895" w:rsidRDefault="00E24895" w:rsidP="00E24895">
      <w:pPr>
        <w:widowControl w:val="0"/>
        <w:tabs>
          <w:tab w:val="num" w:pos="426"/>
        </w:tabs>
      </w:pPr>
    </w:p>
    <w:p w14:paraId="308D500F" w14:textId="77777777" w:rsidR="00E24895" w:rsidRPr="005C4EDA" w:rsidRDefault="00E24895" w:rsidP="00E24895">
      <w:pPr>
        <w:spacing w:after="200"/>
        <w:rPr>
          <w:rFonts w:eastAsia="Calibri"/>
          <w:color w:val="000000"/>
          <w:szCs w:val="24"/>
          <w:shd w:val="clear" w:color="auto" w:fill="FFFFFF"/>
        </w:rPr>
      </w:pPr>
      <w:r w:rsidRPr="005C4EDA">
        <w:rPr>
          <w:rFonts w:eastAsia="Calibri"/>
          <w:color w:val="000000"/>
          <w:szCs w:val="24"/>
          <w:shd w:val="clear" w:color="auto" w:fill="FFFFFF"/>
        </w:rPr>
        <w:t xml:space="preserve">The </w:t>
      </w:r>
      <w:r w:rsidRPr="00470C73">
        <w:rPr>
          <w:rFonts w:eastAsia="Calibri"/>
          <w:color w:val="000000"/>
          <w:szCs w:val="24"/>
          <w:shd w:val="clear" w:color="auto" w:fill="FFFFFF"/>
        </w:rPr>
        <w:t>MMM</w:t>
      </w:r>
      <w:r w:rsidRPr="005C4EDA">
        <w:rPr>
          <w:rFonts w:eastAsia="Calibri"/>
          <w:color w:val="000000"/>
          <w:szCs w:val="24"/>
          <w:shd w:val="clear" w:color="auto" w:fill="FFFFFF"/>
        </w:rPr>
        <w:t xml:space="preserve"> remoteness area classification system</w:t>
      </w:r>
      <w:r>
        <w:rPr>
          <w:rFonts w:eastAsia="Calibri"/>
          <w:color w:val="000000"/>
          <w:szCs w:val="24"/>
          <w:shd w:val="clear" w:color="auto" w:fill="FFFFFF"/>
        </w:rPr>
        <w:t xml:space="preserve"> was announced in May 2015 by the Australian Government to</w:t>
      </w:r>
      <w:r w:rsidRPr="00470C73">
        <w:rPr>
          <w:rFonts w:eastAsia="Calibri"/>
          <w:color w:val="000000"/>
          <w:szCs w:val="24"/>
          <w:shd w:val="clear" w:color="auto" w:fill="FFFFFF"/>
        </w:rPr>
        <w:t xml:space="preserve"> </w:t>
      </w:r>
      <w:r w:rsidRPr="005C4EDA">
        <w:rPr>
          <w:rFonts w:eastAsia="Calibri"/>
          <w:color w:val="000000"/>
          <w:szCs w:val="24"/>
          <w:shd w:val="clear" w:color="auto" w:fill="FFFFFF"/>
        </w:rPr>
        <w:t>categorise</w:t>
      </w:r>
      <w:r>
        <w:rPr>
          <w:rFonts w:eastAsia="Calibri"/>
          <w:color w:val="000000"/>
          <w:szCs w:val="24"/>
          <w:shd w:val="clear" w:color="auto" w:fill="FFFFFF"/>
        </w:rPr>
        <w:t xml:space="preserve"> </w:t>
      </w:r>
      <w:r w:rsidRPr="005C4EDA">
        <w:rPr>
          <w:rFonts w:eastAsia="Calibri"/>
          <w:color w:val="000000"/>
          <w:szCs w:val="24"/>
          <w:shd w:val="clear" w:color="auto" w:fill="FFFFFF"/>
        </w:rPr>
        <w:t xml:space="preserve">metropolitan, regional, rural and remote areas according </w:t>
      </w:r>
      <w:r w:rsidRPr="005C4EDA">
        <w:rPr>
          <w:rFonts w:eastAsia="Calibri"/>
          <w:color w:val="000000"/>
          <w:szCs w:val="24"/>
          <w:shd w:val="clear" w:color="auto" w:fill="FFFFFF"/>
        </w:rPr>
        <w:lastRenderedPageBreak/>
        <w:t xml:space="preserve">to both geographical remoteness and population size. </w:t>
      </w:r>
      <w:r>
        <w:rPr>
          <w:rFonts w:eastAsia="Calibri"/>
          <w:color w:val="000000"/>
          <w:szCs w:val="24"/>
          <w:shd w:val="clear" w:color="auto" w:fill="FFFFFF"/>
        </w:rPr>
        <w:t xml:space="preserve"> </w:t>
      </w:r>
      <w:r w:rsidRPr="005C4EDA">
        <w:rPr>
          <w:rFonts w:eastAsia="Calibri"/>
          <w:color w:val="000000"/>
          <w:szCs w:val="24"/>
          <w:shd w:val="clear" w:color="auto" w:fill="FFFFFF"/>
        </w:rPr>
        <w:t xml:space="preserve">The system was developed to recognise the challenges in attracting health workers to </w:t>
      </w:r>
      <w:r>
        <w:rPr>
          <w:rFonts w:eastAsia="Calibri"/>
          <w:color w:val="000000"/>
          <w:szCs w:val="24"/>
          <w:shd w:val="clear" w:color="auto" w:fill="FFFFFF"/>
        </w:rPr>
        <w:t>smaller regional communities</w:t>
      </w:r>
      <w:r w:rsidRPr="005C4EDA">
        <w:rPr>
          <w:rFonts w:eastAsia="Calibri"/>
          <w:color w:val="000000"/>
          <w:szCs w:val="24"/>
          <w:shd w:val="clear" w:color="auto" w:fill="FFFFFF"/>
        </w:rPr>
        <w:t xml:space="preserve">.  </w:t>
      </w:r>
    </w:p>
    <w:p w14:paraId="308D5010" w14:textId="77777777" w:rsidR="00E24895" w:rsidRDefault="00E24895" w:rsidP="00E24895">
      <w:pPr>
        <w:spacing w:after="200"/>
        <w:rPr>
          <w:rFonts w:eastAsia="Calibri"/>
          <w:color w:val="000000"/>
          <w:szCs w:val="24"/>
          <w:shd w:val="clear" w:color="auto" w:fill="FFFFFF"/>
        </w:rPr>
      </w:pPr>
      <w:r w:rsidRPr="005C4EDA">
        <w:rPr>
          <w:rFonts w:eastAsia="Calibri"/>
          <w:color w:val="000000"/>
          <w:szCs w:val="24"/>
          <w:shd w:val="clear" w:color="auto" w:fill="FFFFFF"/>
        </w:rPr>
        <w:t>The MMM overlays the Australian Statistical Geography Standard Remoteness Area (ASGS-RA) classification system</w:t>
      </w:r>
      <w:r>
        <w:rPr>
          <w:rFonts w:eastAsia="Calibri"/>
          <w:color w:val="000000"/>
          <w:szCs w:val="24"/>
          <w:shd w:val="clear" w:color="auto" w:fill="FFFFFF"/>
        </w:rPr>
        <w:t>,</w:t>
      </w:r>
      <w:r w:rsidRPr="005C4EDA">
        <w:rPr>
          <w:rFonts w:eastAsia="Calibri"/>
          <w:color w:val="000000"/>
          <w:szCs w:val="24"/>
          <w:shd w:val="clear" w:color="auto" w:fill="FFFFFF"/>
        </w:rPr>
        <w:t xml:space="preserve"> created by the Australian Bureau of Statistics </w:t>
      </w:r>
      <w:r>
        <w:rPr>
          <w:rFonts w:eastAsia="Calibri"/>
          <w:color w:val="000000"/>
          <w:szCs w:val="24"/>
          <w:shd w:val="clear" w:color="auto" w:fill="FFFFFF"/>
        </w:rPr>
        <w:t xml:space="preserve">(ABS) </w:t>
      </w:r>
      <w:r w:rsidRPr="005C4EDA">
        <w:rPr>
          <w:rFonts w:eastAsia="Calibri"/>
          <w:color w:val="000000"/>
          <w:szCs w:val="24"/>
          <w:shd w:val="clear" w:color="auto" w:fill="FFFFFF"/>
        </w:rPr>
        <w:t xml:space="preserve">on the basis of the latest residential population data.  </w:t>
      </w:r>
    </w:p>
    <w:p w14:paraId="308D5011" w14:textId="77777777" w:rsidR="00E24895" w:rsidRPr="00971994" w:rsidRDefault="00E24895" w:rsidP="00E24895">
      <w:pPr>
        <w:spacing w:after="200"/>
        <w:rPr>
          <w:rFonts w:eastAsia="Calibri"/>
          <w:color w:val="000000"/>
          <w:szCs w:val="24"/>
          <w:shd w:val="clear" w:color="auto" w:fill="FFFFFF"/>
        </w:rPr>
      </w:pPr>
      <w:r w:rsidRPr="005C4EDA">
        <w:rPr>
          <w:rFonts w:eastAsia="Calibri"/>
          <w:color w:val="000000"/>
          <w:szCs w:val="24"/>
          <w:shd w:val="clear" w:color="auto" w:fill="FFFFFF"/>
        </w:rPr>
        <w:t xml:space="preserve">The MMM </w:t>
      </w:r>
      <w:r>
        <w:rPr>
          <w:rFonts w:eastAsia="Calibri"/>
          <w:color w:val="000000"/>
          <w:szCs w:val="24"/>
          <w:shd w:val="clear" w:color="auto" w:fill="FFFFFF"/>
        </w:rPr>
        <w:t xml:space="preserve">establishes </w:t>
      </w:r>
      <w:r w:rsidRPr="005C4EDA">
        <w:rPr>
          <w:rFonts w:eastAsia="Calibri"/>
          <w:color w:val="000000"/>
          <w:szCs w:val="24"/>
          <w:shd w:val="clear" w:color="auto" w:fill="FFFFFF"/>
        </w:rPr>
        <w:t>7 remoteness c</w:t>
      </w:r>
      <w:r>
        <w:rPr>
          <w:rFonts w:eastAsia="Calibri"/>
          <w:color w:val="000000"/>
          <w:szCs w:val="24"/>
          <w:shd w:val="clear" w:color="auto" w:fill="FFFFFF"/>
        </w:rPr>
        <w:t>ategories</w:t>
      </w:r>
      <w:r w:rsidRPr="005C4EDA">
        <w:rPr>
          <w:rFonts w:eastAsia="Calibri"/>
          <w:color w:val="000000"/>
          <w:szCs w:val="24"/>
          <w:shd w:val="clear" w:color="auto" w:fill="FFFFFF"/>
        </w:rPr>
        <w:t xml:space="preserve"> that are based on </w:t>
      </w:r>
      <w:r>
        <w:rPr>
          <w:rFonts w:eastAsia="Calibri"/>
          <w:color w:val="000000"/>
          <w:szCs w:val="24"/>
          <w:shd w:val="clear" w:color="auto" w:fill="FFFFFF"/>
        </w:rPr>
        <w:t xml:space="preserve">remoteness area classifications adapted from </w:t>
      </w:r>
      <w:r w:rsidRPr="005C4EDA">
        <w:rPr>
          <w:rFonts w:eastAsia="Calibri"/>
          <w:color w:val="000000"/>
          <w:szCs w:val="24"/>
          <w:shd w:val="clear" w:color="auto" w:fill="FFFFFF"/>
        </w:rPr>
        <w:t xml:space="preserve">the </w:t>
      </w:r>
      <w:r>
        <w:rPr>
          <w:rFonts w:eastAsia="Calibri"/>
          <w:color w:val="000000"/>
          <w:szCs w:val="24"/>
          <w:shd w:val="clear" w:color="auto" w:fill="FFFFFF"/>
        </w:rPr>
        <w:t xml:space="preserve">ABS’s </w:t>
      </w:r>
      <w:r w:rsidRPr="005C4EDA">
        <w:rPr>
          <w:rFonts w:eastAsia="Calibri"/>
          <w:color w:val="000000"/>
          <w:szCs w:val="24"/>
          <w:shd w:val="clear" w:color="auto" w:fill="FFFFFF"/>
        </w:rPr>
        <w:t>ASGS</w:t>
      </w:r>
      <w:r>
        <w:rPr>
          <w:rFonts w:eastAsia="Calibri"/>
          <w:color w:val="000000"/>
          <w:szCs w:val="24"/>
          <w:shd w:val="clear" w:color="auto" w:fill="FFFFFF"/>
        </w:rPr>
        <w:t>-RA</w:t>
      </w:r>
      <w:r w:rsidRPr="005C4EDA">
        <w:rPr>
          <w:rFonts w:eastAsia="Calibri"/>
          <w:color w:val="000000"/>
          <w:szCs w:val="24"/>
          <w:shd w:val="clear" w:color="auto" w:fill="FFFFFF"/>
        </w:rPr>
        <w:t xml:space="preserve"> classifications</w:t>
      </w:r>
      <w:r w:rsidRPr="00921D29">
        <w:rPr>
          <w:rFonts w:eastAsia="Calibri"/>
          <w:color w:val="000000"/>
          <w:szCs w:val="24"/>
          <w:shd w:val="clear" w:color="auto" w:fill="FFFFFF"/>
        </w:rPr>
        <w:t xml:space="preserve"> </w:t>
      </w:r>
      <w:r>
        <w:rPr>
          <w:rFonts w:eastAsia="Calibri"/>
          <w:color w:val="000000"/>
          <w:szCs w:val="24"/>
          <w:shd w:val="clear" w:color="auto" w:fill="FFFFFF"/>
        </w:rPr>
        <w:t>as specified in the Australian Statistical Geography Standard (July 2011 edition)</w:t>
      </w:r>
      <w:r w:rsidRPr="005C4EDA">
        <w:rPr>
          <w:rFonts w:eastAsia="Calibri"/>
          <w:color w:val="000000"/>
          <w:szCs w:val="24"/>
          <w:shd w:val="clear" w:color="auto" w:fill="FFFFFF"/>
        </w:rPr>
        <w:t xml:space="preserve">, and better differentiates inner and outer regional areas based on the size of their residential populations.  </w:t>
      </w:r>
      <w:r w:rsidRPr="005506D7">
        <w:rPr>
          <w:rFonts w:eastAsia="Calibri"/>
          <w:color w:val="000000"/>
          <w:szCs w:val="24"/>
          <w:shd w:val="clear" w:color="auto" w:fill="FFFFFF"/>
        </w:rPr>
        <w:t xml:space="preserve">The MMM categories </w:t>
      </w:r>
      <w:r w:rsidRPr="00971994">
        <w:rPr>
          <w:rFonts w:eastAsia="Calibri"/>
          <w:color w:val="000000"/>
          <w:szCs w:val="24"/>
          <w:shd w:val="clear" w:color="auto" w:fill="FFFFFF"/>
        </w:rPr>
        <w:t>can be summarised as follows:</w:t>
      </w:r>
    </w:p>
    <w:tbl>
      <w:tblPr>
        <w:tblW w:w="9072" w:type="dxa"/>
        <w:tblInd w:w="392" w:type="dxa"/>
        <w:tblLook w:val="04A0" w:firstRow="1" w:lastRow="0" w:firstColumn="1" w:lastColumn="0" w:noHBand="0" w:noVBand="1"/>
      </w:tblPr>
      <w:tblGrid>
        <w:gridCol w:w="1276"/>
        <w:gridCol w:w="7796"/>
      </w:tblGrid>
      <w:tr w:rsidR="00E24895" w:rsidRPr="00621471" w14:paraId="308D5014" w14:textId="77777777" w:rsidTr="0074249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8D5012" w14:textId="77777777" w:rsidR="00E24895" w:rsidRPr="00971994" w:rsidRDefault="00E24895" w:rsidP="0074249C">
            <w:pPr>
              <w:jc w:val="center"/>
              <w:rPr>
                <w:rFonts w:eastAsia="Calibri"/>
                <w:b/>
                <w:color w:val="000000"/>
                <w:szCs w:val="24"/>
              </w:rPr>
            </w:pPr>
            <w:r w:rsidRPr="00971994">
              <w:rPr>
                <w:rFonts w:eastAsia="Calibri"/>
                <w:b/>
                <w:color w:val="000000"/>
                <w:szCs w:val="24"/>
              </w:rPr>
              <w:t>MMM category</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308D5013" w14:textId="77777777" w:rsidR="00E24895" w:rsidRPr="00971994" w:rsidRDefault="00E24895" w:rsidP="0074249C">
            <w:pPr>
              <w:jc w:val="center"/>
              <w:rPr>
                <w:rFonts w:eastAsia="Calibri"/>
                <w:b/>
                <w:color w:val="000000"/>
                <w:szCs w:val="24"/>
              </w:rPr>
            </w:pPr>
            <w:r w:rsidRPr="00971994">
              <w:rPr>
                <w:rFonts w:eastAsia="Calibri"/>
                <w:b/>
                <w:color w:val="000000"/>
                <w:szCs w:val="24"/>
              </w:rPr>
              <w:t>Description</w:t>
            </w:r>
          </w:p>
        </w:tc>
      </w:tr>
      <w:tr w:rsidR="00E24895" w:rsidRPr="00621471" w14:paraId="308D5017" w14:textId="77777777" w:rsidTr="0074249C">
        <w:tc>
          <w:tcPr>
            <w:tcW w:w="1276" w:type="dxa"/>
            <w:tcBorders>
              <w:top w:val="single" w:sz="4" w:space="0" w:color="auto"/>
              <w:left w:val="single" w:sz="4" w:space="0" w:color="auto"/>
              <w:bottom w:val="single" w:sz="4" w:space="0" w:color="auto"/>
              <w:right w:val="single" w:sz="4" w:space="0" w:color="auto"/>
            </w:tcBorders>
            <w:shd w:val="clear" w:color="auto" w:fill="auto"/>
          </w:tcPr>
          <w:p w14:paraId="308D5015" w14:textId="77777777" w:rsidR="00E24895" w:rsidRPr="00AD2A2A" w:rsidRDefault="00E24895" w:rsidP="0074249C">
            <w:pPr>
              <w:jc w:val="center"/>
              <w:rPr>
                <w:rFonts w:eastAsia="Calibri"/>
                <w:color w:val="000000"/>
                <w:szCs w:val="24"/>
              </w:rPr>
            </w:pPr>
            <w:r w:rsidRPr="00AD2A2A">
              <w:rPr>
                <w:rFonts w:eastAsia="Calibri"/>
                <w:color w:val="000000"/>
                <w:szCs w:val="24"/>
              </w:rPr>
              <w:t>1</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308D5016" w14:textId="77777777" w:rsidR="00E24895" w:rsidRPr="00AD2A2A" w:rsidRDefault="00E24895" w:rsidP="0074249C">
            <w:pPr>
              <w:rPr>
                <w:rFonts w:eastAsia="Calibri"/>
                <w:color w:val="000000"/>
                <w:szCs w:val="24"/>
              </w:rPr>
            </w:pPr>
            <w:r w:rsidRPr="00AD2A2A">
              <w:rPr>
                <w:rFonts w:eastAsia="Calibri"/>
                <w:color w:val="000000"/>
                <w:szCs w:val="24"/>
              </w:rPr>
              <w:t>Areas categorised RA 1</w:t>
            </w:r>
            <w:r>
              <w:rPr>
                <w:rFonts w:eastAsia="Calibri"/>
                <w:color w:val="000000"/>
                <w:szCs w:val="24"/>
              </w:rPr>
              <w:t xml:space="preserve"> (Major Cities)</w:t>
            </w:r>
          </w:p>
        </w:tc>
      </w:tr>
      <w:tr w:rsidR="00E24895" w:rsidRPr="00621471" w14:paraId="308D501A" w14:textId="77777777" w:rsidTr="007424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tcBorders>
              <w:top w:val="single" w:sz="4" w:space="0" w:color="auto"/>
            </w:tcBorders>
            <w:shd w:val="clear" w:color="auto" w:fill="auto"/>
          </w:tcPr>
          <w:p w14:paraId="308D5018" w14:textId="77777777" w:rsidR="00E24895" w:rsidRPr="00621471" w:rsidRDefault="00E24895" w:rsidP="0074249C">
            <w:pPr>
              <w:spacing w:before="120"/>
              <w:jc w:val="center"/>
              <w:rPr>
                <w:rFonts w:eastAsia="Calibri"/>
                <w:color w:val="000000"/>
                <w:szCs w:val="24"/>
              </w:rPr>
            </w:pPr>
            <w:r w:rsidRPr="00621471">
              <w:rPr>
                <w:rFonts w:eastAsia="Calibri"/>
                <w:color w:val="000000"/>
                <w:szCs w:val="24"/>
              </w:rPr>
              <w:t>2</w:t>
            </w:r>
          </w:p>
        </w:tc>
        <w:tc>
          <w:tcPr>
            <w:tcW w:w="7796" w:type="dxa"/>
            <w:tcBorders>
              <w:top w:val="single" w:sz="4" w:space="0" w:color="auto"/>
            </w:tcBorders>
            <w:shd w:val="clear" w:color="auto" w:fill="auto"/>
          </w:tcPr>
          <w:p w14:paraId="308D5019" w14:textId="77777777" w:rsidR="00E24895" w:rsidRPr="00505E44" w:rsidRDefault="00E24895" w:rsidP="0074249C">
            <w:pPr>
              <w:spacing w:before="120"/>
              <w:rPr>
                <w:rFonts w:eastAsia="Calibri"/>
                <w:color w:val="000000"/>
                <w:szCs w:val="24"/>
              </w:rPr>
            </w:pPr>
            <w:r w:rsidRPr="00505E44">
              <w:rPr>
                <w:rFonts w:eastAsia="Calibri"/>
                <w:szCs w:val="24"/>
                <w:lang w:eastAsia="en-AU"/>
              </w:rPr>
              <w:t>Areas categorised RA 2 (</w:t>
            </w:r>
            <w:r w:rsidRPr="00676EE2">
              <w:rPr>
                <w:rFonts w:eastAsia="Calibri"/>
                <w:szCs w:val="24"/>
                <w:lang w:eastAsia="en-AU"/>
              </w:rPr>
              <w:t xml:space="preserve">Inner Regional Australia) </w:t>
            </w:r>
            <w:r w:rsidRPr="00621471">
              <w:rPr>
                <w:rFonts w:eastAsia="Calibri"/>
                <w:szCs w:val="24"/>
                <w:lang w:eastAsia="en-AU"/>
              </w:rPr>
              <w:t xml:space="preserve">as determined by Health using ABS ASGS-RA classifications </w:t>
            </w:r>
            <w:r w:rsidRPr="005506D7">
              <w:rPr>
                <w:rFonts w:eastAsia="Calibri"/>
                <w:szCs w:val="24"/>
                <w:lang w:eastAsia="en-AU"/>
              </w:rPr>
              <w:t xml:space="preserve">and </w:t>
            </w:r>
            <w:r w:rsidRPr="00505E44">
              <w:rPr>
                <w:rFonts w:eastAsia="Calibri"/>
                <w:szCs w:val="24"/>
                <w:lang w:eastAsia="en-AU"/>
              </w:rPr>
              <w:t>RA 3 (</w:t>
            </w:r>
            <w:r w:rsidRPr="00676EE2">
              <w:rPr>
                <w:rFonts w:eastAsia="Calibri"/>
                <w:szCs w:val="24"/>
                <w:lang w:eastAsia="en-AU"/>
              </w:rPr>
              <w:t>Outer Regional Australia)</w:t>
            </w:r>
            <w:r w:rsidRPr="00621471">
              <w:rPr>
                <w:rFonts w:eastAsia="Calibri"/>
                <w:szCs w:val="24"/>
                <w:lang w:eastAsia="en-AU"/>
              </w:rPr>
              <w:t xml:space="preserve"> as determined by Health using ABS ASGS-RA classifications</w:t>
            </w:r>
            <w:r w:rsidRPr="005506D7">
              <w:rPr>
                <w:rFonts w:eastAsia="Calibri"/>
                <w:szCs w:val="24"/>
                <w:lang w:eastAsia="en-AU"/>
              </w:rPr>
              <w:t xml:space="preserve"> </w:t>
            </w:r>
            <w:r w:rsidRPr="00505E44">
              <w:rPr>
                <w:rFonts w:eastAsia="Calibri"/>
                <w:szCs w:val="24"/>
                <w:lang w:eastAsia="en-AU"/>
              </w:rPr>
              <w:t>that are in, or within 20km road distance, of a town with population &gt;50,000.</w:t>
            </w:r>
          </w:p>
        </w:tc>
      </w:tr>
      <w:tr w:rsidR="00E24895" w:rsidRPr="00621471" w14:paraId="308D501D" w14:textId="77777777" w:rsidTr="007424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shd w:val="clear" w:color="auto" w:fill="auto"/>
          </w:tcPr>
          <w:p w14:paraId="308D501B" w14:textId="77777777" w:rsidR="00E24895" w:rsidRPr="00621471" w:rsidRDefault="00E24895" w:rsidP="0074249C">
            <w:pPr>
              <w:spacing w:before="120"/>
              <w:jc w:val="center"/>
              <w:rPr>
                <w:rFonts w:eastAsia="Calibri"/>
                <w:color w:val="000000"/>
                <w:szCs w:val="24"/>
              </w:rPr>
            </w:pPr>
            <w:r w:rsidRPr="00621471">
              <w:rPr>
                <w:rFonts w:eastAsia="Calibri"/>
                <w:color w:val="000000"/>
                <w:szCs w:val="24"/>
              </w:rPr>
              <w:t>3</w:t>
            </w:r>
          </w:p>
        </w:tc>
        <w:tc>
          <w:tcPr>
            <w:tcW w:w="7796" w:type="dxa"/>
            <w:shd w:val="clear" w:color="auto" w:fill="auto"/>
          </w:tcPr>
          <w:p w14:paraId="308D501C" w14:textId="77777777" w:rsidR="00E24895" w:rsidRPr="00676EE2" w:rsidRDefault="00E24895" w:rsidP="0074249C">
            <w:pPr>
              <w:spacing w:before="120"/>
              <w:rPr>
                <w:rFonts w:eastAsia="Calibri"/>
                <w:color w:val="000000"/>
                <w:szCs w:val="24"/>
              </w:rPr>
            </w:pPr>
            <w:r w:rsidRPr="00621471">
              <w:rPr>
                <w:rFonts w:eastAsia="Calibri"/>
                <w:szCs w:val="24"/>
                <w:lang w:eastAsia="en-AU"/>
              </w:rPr>
              <w:t>Areas categorised RA 2 and RA 3 that are not in MM 2 and are in, or within 15km road distance, of a town with population between 15,001</w:t>
            </w:r>
            <w:r w:rsidRPr="00505E44">
              <w:rPr>
                <w:rFonts w:eastAsia="Calibri"/>
                <w:szCs w:val="24"/>
                <w:lang w:eastAsia="en-AU"/>
              </w:rPr>
              <w:t xml:space="preserve"> and 50,000.</w:t>
            </w:r>
          </w:p>
        </w:tc>
      </w:tr>
      <w:tr w:rsidR="00E24895" w:rsidRPr="00621471" w14:paraId="308D5020" w14:textId="77777777" w:rsidTr="007424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shd w:val="clear" w:color="auto" w:fill="auto"/>
          </w:tcPr>
          <w:p w14:paraId="308D501E" w14:textId="77777777" w:rsidR="00E24895" w:rsidRPr="00621471" w:rsidRDefault="00E24895" w:rsidP="0074249C">
            <w:pPr>
              <w:spacing w:before="120"/>
              <w:jc w:val="center"/>
              <w:rPr>
                <w:rFonts w:eastAsia="Calibri"/>
                <w:color w:val="000000"/>
                <w:szCs w:val="24"/>
              </w:rPr>
            </w:pPr>
            <w:r w:rsidRPr="00621471">
              <w:rPr>
                <w:rFonts w:eastAsia="Calibri"/>
                <w:color w:val="000000"/>
                <w:szCs w:val="24"/>
              </w:rPr>
              <w:t>4</w:t>
            </w:r>
          </w:p>
        </w:tc>
        <w:tc>
          <w:tcPr>
            <w:tcW w:w="7796" w:type="dxa"/>
            <w:shd w:val="clear" w:color="auto" w:fill="auto"/>
          </w:tcPr>
          <w:p w14:paraId="308D501F" w14:textId="77777777" w:rsidR="00E24895" w:rsidRPr="00621471" w:rsidRDefault="00E24895" w:rsidP="0074249C">
            <w:pPr>
              <w:spacing w:before="120"/>
              <w:rPr>
                <w:rFonts w:eastAsia="Calibri"/>
                <w:color w:val="000000"/>
                <w:szCs w:val="24"/>
              </w:rPr>
            </w:pPr>
            <w:r w:rsidRPr="00621471">
              <w:rPr>
                <w:rFonts w:eastAsia="Calibri"/>
                <w:szCs w:val="24"/>
                <w:lang w:eastAsia="en-AU"/>
              </w:rPr>
              <w:t>Areas categorised RA 2 and RA 3 that are not in MM 2 or MM 3, and are in, or within 10km road distance, of a town with population between 5,000 and 15,000.</w:t>
            </w:r>
          </w:p>
        </w:tc>
      </w:tr>
      <w:tr w:rsidR="00E24895" w:rsidRPr="00621471" w14:paraId="308D5023" w14:textId="77777777" w:rsidTr="007424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shd w:val="clear" w:color="auto" w:fill="auto"/>
          </w:tcPr>
          <w:p w14:paraId="308D5021" w14:textId="77777777" w:rsidR="00E24895" w:rsidRPr="00621471" w:rsidRDefault="00E24895" w:rsidP="0074249C">
            <w:pPr>
              <w:spacing w:before="120"/>
              <w:jc w:val="center"/>
              <w:rPr>
                <w:rFonts w:eastAsia="Calibri"/>
                <w:color w:val="000000"/>
                <w:szCs w:val="24"/>
              </w:rPr>
            </w:pPr>
            <w:r w:rsidRPr="00621471">
              <w:rPr>
                <w:rFonts w:eastAsia="Calibri"/>
                <w:color w:val="000000"/>
                <w:szCs w:val="24"/>
              </w:rPr>
              <w:t>5</w:t>
            </w:r>
          </w:p>
        </w:tc>
        <w:tc>
          <w:tcPr>
            <w:tcW w:w="7796" w:type="dxa"/>
            <w:shd w:val="clear" w:color="auto" w:fill="auto"/>
          </w:tcPr>
          <w:p w14:paraId="308D5022" w14:textId="77777777" w:rsidR="00E24895" w:rsidRPr="00621471" w:rsidRDefault="00E24895" w:rsidP="0074249C">
            <w:pPr>
              <w:spacing w:before="120"/>
              <w:rPr>
                <w:rFonts w:eastAsia="Calibri"/>
                <w:color w:val="000000"/>
                <w:szCs w:val="24"/>
              </w:rPr>
            </w:pPr>
            <w:r w:rsidRPr="00621471">
              <w:rPr>
                <w:rFonts w:eastAsia="Calibri"/>
                <w:szCs w:val="24"/>
                <w:lang w:eastAsia="en-AU"/>
              </w:rPr>
              <w:t>All other areas in RA 2 and 3.</w:t>
            </w:r>
          </w:p>
        </w:tc>
      </w:tr>
      <w:tr w:rsidR="00E24895" w:rsidRPr="00621471" w14:paraId="308D5026" w14:textId="77777777" w:rsidTr="007424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shd w:val="clear" w:color="auto" w:fill="auto"/>
          </w:tcPr>
          <w:p w14:paraId="308D5024" w14:textId="77777777" w:rsidR="00E24895" w:rsidRPr="00621471" w:rsidRDefault="00E24895" w:rsidP="0074249C">
            <w:pPr>
              <w:spacing w:before="120"/>
              <w:jc w:val="center"/>
              <w:rPr>
                <w:rFonts w:eastAsia="Calibri"/>
                <w:color w:val="000000"/>
                <w:szCs w:val="24"/>
              </w:rPr>
            </w:pPr>
            <w:r w:rsidRPr="00621471">
              <w:rPr>
                <w:rFonts w:eastAsia="Calibri"/>
                <w:color w:val="000000"/>
                <w:szCs w:val="24"/>
              </w:rPr>
              <w:t>6</w:t>
            </w:r>
          </w:p>
        </w:tc>
        <w:tc>
          <w:tcPr>
            <w:tcW w:w="7796" w:type="dxa"/>
            <w:shd w:val="clear" w:color="auto" w:fill="auto"/>
          </w:tcPr>
          <w:p w14:paraId="308D5025" w14:textId="77777777" w:rsidR="00E24895" w:rsidRPr="00505E44" w:rsidRDefault="00E24895" w:rsidP="0074249C">
            <w:pPr>
              <w:spacing w:before="120"/>
              <w:rPr>
                <w:rFonts w:eastAsia="Calibri"/>
                <w:color w:val="000000"/>
                <w:szCs w:val="24"/>
              </w:rPr>
            </w:pPr>
            <w:r w:rsidRPr="00621471">
              <w:rPr>
                <w:rFonts w:eastAsia="Calibri"/>
                <w:szCs w:val="24"/>
                <w:lang w:eastAsia="en-AU"/>
              </w:rPr>
              <w:t xml:space="preserve">All areas categorised RA 4 (Remote Australia) as determined by Health using ABS ASGS-RA classifications </w:t>
            </w:r>
            <w:r w:rsidRPr="005506D7">
              <w:rPr>
                <w:rFonts w:eastAsia="Calibri"/>
                <w:szCs w:val="24"/>
                <w:lang w:eastAsia="en-AU"/>
              </w:rPr>
              <w:t>that are not on a populated isl</w:t>
            </w:r>
            <w:r w:rsidRPr="00505E44">
              <w:rPr>
                <w:rFonts w:eastAsia="Calibri"/>
                <w:szCs w:val="24"/>
                <w:lang w:eastAsia="en-AU"/>
              </w:rPr>
              <w:t>and that is separated from the mainland in the ABS geography and is more than 5km offshore.</w:t>
            </w:r>
          </w:p>
        </w:tc>
      </w:tr>
      <w:tr w:rsidR="00E24895" w:rsidRPr="005C4EDA" w14:paraId="308D5029" w14:textId="77777777" w:rsidTr="007424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shd w:val="clear" w:color="auto" w:fill="auto"/>
          </w:tcPr>
          <w:p w14:paraId="308D5027" w14:textId="77777777" w:rsidR="00E24895" w:rsidRPr="00621471" w:rsidRDefault="00E24895" w:rsidP="0074249C">
            <w:pPr>
              <w:spacing w:before="120"/>
              <w:jc w:val="center"/>
              <w:rPr>
                <w:rFonts w:eastAsia="Calibri"/>
                <w:color w:val="000000"/>
                <w:szCs w:val="24"/>
              </w:rPr>
            </w:pPr>
            <w:r w:rsidRPr="00621471">
              <w:rPr>
                <w:rFonts w:eastAsia="Calibri"/>
                <w:color w:val="000000"/>
                <w:szCs w:val="24"/>
              </w:rPr>
              <w:t>7</w:t>
            </w:r>
          </w:p>
        </w:tc>
        <w:tc>
          <w:tcPr>
            <w:tcW w:w="7796" w:type="dxa"/>
            <w:shd w:val="clear" w:color="auto" w:fill="auto"/>
          </w:tcPr>
          <w:p w14:paraId="308D5028" w14:textId="77777777" w:rsidR="00E24895" w:rsidRPr="005C4EDA" w:rsidRDefault="00E24895" w:rsidP="0074249C">
            <w:pPr>
              <w:spacing w:before="120"/>
              <w:rPr>
                <w:rFonts w:eastAsia="Calibri"/>
                <w:color w:val="000000"/>
                <w:szCs w:val="24"/>
              </w:rPr>
            </w:pPr>
            <w:r w:rsidRPr="00621471">
              <w:rPr>
                <w:rFonts w:eastAsia="Calibri"/>
                <w:szCs w:val="24"/>
                <w:lang w:eastAsia="en-AU"/>
              </w:rPr>
              <w:t xml:space="preserve">All other areas – that being RA 5 (Very Remote Australia) as determined by Health using ABS ASGS-RA classifications </w:t>
            </w:r>
            <w:r w:rsidRPr="005506D7">
              <w:rPr>
                <w:rFonts w:eastAsia="Calibri"/>
                <w:szCs w:val="24"/>
                <w:lang w:eastAsia="en-AU"/>
              </w:rPr>
              <w:t xml:space="preserve">and areas on a populated island that is </w:t>
            </w:r>
            <w:r w:rsidRPr="00505E44">
              <w:rPr>
                <w:rFonts w:eastAsia="Calibri"/>
                <w:szCs w:val="24"/>
                <w:lang w:eastAsia="en-AU"/>
              </w:rPr>
              <w:t>separated from the mainland in the ABS geography and is more than 5km offshore.</w:t>
            </w:r>
          </w:p>
        </w:tc>
      </w:tr>
    </w:tbl>
    <w:p w14:paraId="308D502A" w14:textId="77777777" w:rsidR="00E24895" w:rsidRDefault="00E24895" w:rsidP="00E24895">
      <w:pPr>
        <w:widowControl w:val="0"/>
        <w:tabs>
          <w:tab w:val="num" w:pos="426"/>
        </w:tabs>
      </w:pPr>
    </w:p>
    <w:p w14:paraId="308D502B" w14:textId="77777777" w:rsidR="00E24895" w:rsidRDefault="00E24895" w:rsidP="00E24895">
      <w:r>
        <w:t xml:space="preserve">A map showing the MMM status of every Australian street address is provided on the DoctorConnect website: </w:t>
      </w:r>
      <w:hyperlink r:id="rId10" w:history="1">
        <w:r w:rsidRPr="00943601">
          <w:rPr>
            <w:rStyle w:val="Hyperlink"/>
          </w:rPr>
          <w:t>www.doctorconnect.gov.au</w:t>
        </w:r>
        <w:r w:rsidRPr="00C54AD1">
          <w:rPr>
            <w:rStyle w:val="Hyperlink"/>
          </w:rPr>
          <w:t>/</w:t>
        </w:r>
      </w:hyperlink>
      <w:r>
        <w:t xml:space="preserve"> </w:t>
      </w:r>
    </w:p>
    <w:p w14:paraId="308D502C" w14:textId="77777777" w:rsidR="00E24895" w:rsidRDefault="00E24895" w:rsidP="00E24895">
      <w:pPr>
        <w:widowControl w:val="0"/>
        <w:tabs>
          <w:tab w:val="num" w:pos="426"/>
        </w:tabs>
        <w:rPr>
          <w:u w:val="single"/>
        </w:rPr>
      </w:pPr>
    </w:p>
    <w:p w14:paraId="308D502D" w14:textId="77777777" w:rsidR="00E24895" w:rsidRPr="005C4EDA" w:rsidRDefault="00E24895" w:rsidP="00E24895">
      <w:pPr>
        <w:widowControl w:val="0"/>
        <w:tabs>
          <w:tab w:val="num" w:pos="426"/>
        </w:tabs>
        <w:rPr>
          <w:u w:val="single"/>
        </w:rPr>
      </w:pPr>
      <w:r w:rsidRPr="005C4EDA">
        <w:rPr>
          <w:u w:val="single"/>
        </w:rPr>
        <w:t xml:space="preserve">Full-time Service Equivalent </w:t>
      </w:r>
      <w:r>
        <w:rPr>
          <w:u w:val="single"/>
        </w:rPr>
        <w:t>(FSE)</w:t>
      </w:r>
    </w:p>
    <w:p w14:paraId="308D502E" w14:textId="77777777" w:rsidR="00E24895" w:rsidRDefault="00E24895" w:rsidP="00E24895">
      <w:pPr>
        <w:widowControl w:val="0"/>
        <w:tabs>
          <w:tab w:val="num" w:pos="426"/>
        </w:tabs>
      </w:pPr>
    </w:p>
    <w:p w14:paraId="308D502F" w14:textId="77777777" w:rsidR="00E24895" w:rsidRDefault="00E24895" w:rsidP="00E24895">
      <w:pPr>
        <w:spacing w:after="240"/>
        <w:rPr>
          <w:rFonts w:eastAsia="Calibri"/>
          <w:szCs w:val="24"/>
        </w:rPr>
      </w:pPr>
      <w:r w:rsidRPr="00621471">
        <w:rPr>
          <w:rFonts w:eastAsia="Calibri"/>
          <w:iCs/>
          <w:szCs w:val="24"/>
        </w:rPr>
        <w:t xml:space="preserve">FSE is an estimated measure of the workload performed by medical practitioners based on Medicare billing data. The FSE methodology models total hours worked for each practitioner based on the number of days worked, volume of services and </w:t>
      </w:r>
      <w:r>
        <w:rPr>
          <w:rFonts w:eastAsia="Calibri"/>
          <w:iCs/>
          <w:szCs w:val="24"/>
        </w:rPr>
        <w:t>Medicare S</w:t>
      </w:r>
      <w:r w:rsidRPr="00621471">
        <w:rPr>
          <w:rFonts w:eastAsia="Calibri"/>
          <w:iCs/>
          <w:szCs w:val="24"/>
        </w:rPr>
        <w:t xml:space="preserve">chedule fees. </w:t>
      </w:r>
    </w:p>
    <w:p w14:paraId="308D5030" w14:textId="77777777" w:rsidR="00E24895" w:rsidRPr="00621471" w:rsidRDefault="00E24895" w:rsidP="00E24895">
      <w:pPr>
        <w:rPr>
          <w:color w:val="000000"/>
          <w:szCs w:val="24"/>
          <w:lang w:val="en-US" w:eastAsia="en-AU"/>
        </w:rPr>
      </w:pPr>
      <w:r w:rsidRPr="00621471">
        <w:rPr>
          <w:color w:val="000000"/>
          <w:szCs w:val="24"/>
          <w:lang w:val="en-US" w:eastAsia="en-AU"/>
        </w:rPr>
        <w:t>A medical practitioner’s FSE is calculated using the following formula:</w:t>
      </w:r>
    </w:p>
    <w:p w14:paraId="308D5031" w14:textId="77777777" w:rsidR="00E24895" w:rsidRPr="000403CE" w:rsidRDefault="00E24895" w:rsidP="00E24895">
      <w:pPr>
        <w:rPr>
          <w:color w:val="1F497D"/>
          <w:szCs w:val="24"/>
          <w:lang w:val="en-US" w:eastAsia="en-AU"/>
        </w:rPr>
      </w:pPr>
    </w:p>
    <w:tbl>
      <w:tblPr>
        <w:tblW w:w="0" w:type="auto"/>
        <w:tblBorders>
          <w:insideH w:val="single" w:sz="4" w:space="0" w:color="auto"/>
          <w:insideV w:val="single" w:sz="4" w:space="0" w:color="auto"/>
        </w:tblBorders>
        <w:tblLook w:val="04A0" w:firstRow="1" w:lastRow="0" w:firstColumn="1" w:lastColumn="0" w:noHBand="0" w:noVBand="1"/>
      </w:tblPr>
      <w:tblGrid>
        <w:gridCol w:w="8522"/>
      </w:tblGrid>
      <w:tr w:rsidR="00E24895" w:rsidRPr="00476181" w14:paraId="308D5033" w14:textId="77777777" w:rsidTr="0074249C">
        <w:tc>
          <w:tcPr>
            <w:tcW w:w="8522" w:type="dxa"/>
            <w:shd w:val="clear" w:color="auto" w:fill="auto"/>
          </w:tcPr>
          <w:p w14:paraId="308D5032" w14:textId="77777777" w:rsidR="00E24895" w:rsidRPr="00476181" w:rsidRDefault="00E24895" w:rsidP="0074249C">
            <w:pPr>
              <w:widowControl w:val="0"/>
              <w:jc w:val="center"/>
              <w:rPr>
                <w:color w:val="000000"/>
                <w:szCs w:val="24"/>
                <w:lang w:val="en-US" w:eastAsia="en-AU"/>
              </w:rPr>
            </w:pPr>
            <w:r w:rsidRPr="00476181">
              <w:rPr>
                <w:color w:val="000000"/>
                <w:szCs w:val="24"/>
                <w:lang w:val="en-US" w:eastAsia="en-AU"/>
              </w:rPr>
              <w:t xml:space="preserve">total days worked x average working hours </w:t>
            </w:r>
            <w:r>
              <w:rPr>
                <w:color w:val="000000"/>
                <w:szCs w:val="24"/>
                <w:lang w:val="en-US" w:eastAsia="en-AU"/>
              </w:rPr>
              <w:t>per day</w:t>
            </w:r>
          </w:p>
        </w:tc>
      </w:tr>
      <w:tr w:rsidR="00E24895" w:rsidRPr="00476181" w14:paraId="308D5035" w14:textId="77777777" w:rsidTr="0074249C">
        <w:tc>
          <w:tcPr>
            <w:tcW w:w="8522" w:type="dxa"/>
            <w:shd w:val="clear" w:color="auto" w:fill="auto"/>
          </w:tcPr>
          <w:p w14:paraId="308D5034" w14:textId="77777777" w:rsidR="00E24895" w:rsidRPr="00476181" w:rsidRDefault="00E24895" w:rsidP="0074249C">
            <w:pPr>
              <w:widowControl w:val="0"/>
              <w:jc w:val="center"/>
              <w:rPr>
                <w:color w:val="000000"/>
                <w:szCs w:val="24"/>
                <w:lang w:val="en-US" w:eastAsia="en-AU"/>
              </w:rPr>
            </w:pPr>
            <w:r w:rsidRPr="00F440FA">
              <w:rPr>
                <w:color w:val="000000"/>
                <w:szCs w:val="24"/>
                <w:lang w:val="en-US" w:eastAsia="en-AU"/>
              </w:rPr>
              <w:t>full-time benchmark</w:t>
            </w:r>
            <w:r w:rsidRPr="00476181">
              <w:rPr>
                <w:color w:val="000000"/>
                <w:szCs w:val="24"/>
                <w:lang w:val="en-US" w:eastAsia="en-AU"/>
              </w:rPr>
              <w:t xml:space="preserve"> </w:t>
            </w:r>
          </w:p>
        </w:tc>
      </w:tr>
    </w:tbl>
    <w:p w14:paraId="308D5036" w14:textId="77777777" w:rsidR="00E24895" w:rsidRPr="000403CE" w:rsidRDefault="00E24895" w:rsidP="00E24895">
      <w:pPr>
        <w:rPr>
          <w:rFonts w:ascii="Calibri" w:hAnsi="Calibri"/>
          <w:color w:val="1F497D"/>
          <w:szCs w:val="24"/>
        </w:rPr>
      </w:pPr>
    </w:p>
    <w:p w14:paraId="308D5037" w14:textId="77777777" w:rsidR="00E24895" w:rsidRPr="000403CE" w:rsidRDefault="00E24895" w:rsidP="00E24895">
      <w:pPr>
        <w:rPr>
          <w:color w:val="1F497D"/>
          <w:szCs w:val="24"/>
        </w:rPr>
      </w:pPr>
      <w:r>
        <w:rPr>
          <w:rFonts w:eastAsia="Calibri"/>
          <w:szCs w:val="24"/>
        </w:rPr>
        <w:t>The definition also provides a benchmark - o</w:t>
      </w:r>
      <w:r w:rsidRPr="009758A1">
        <w:rPr>
          <w:rFonts w:eastAsia="Calibri"/>
          <w:szCs w:val="24"/>
        </w:rPr>
        <w:t>ne FSE is the statistical equivalent of a workload of 7.5 hours per day, five days per week</w:t>
      </w:r>
      <w:r>
        <w:rPr>
          <w:rFonts w:eastAsia="Calibri"/>
          <w:szCs w:val="24"/>
        </w:rPr>
        <w:t xml:space="preserve">, </w:t>
      </w:r>
      <w:proofErr w:type="gramStart"/>
      <w:r>
        <w:rPr>
          <w:rFonts w:eastAsia="Calibri"/>
          <w:szCs w:val="24"/>
        </w:rPr>
        <w:t>48</w:t>
      </w:r>
      <w:proofErr w:type="gramEnd"/>
      <w:r>
        <w:rPr>
          <w:rFonts w:eastAsia="Calibri"/>
          <w:szCs w:val="24"/>
        </w:rPr>
        <w:t xml:space="preserve"> weeks per year. </w:t>
      </w:r>
    </w:p>
    <w:p w14:paraId="308D5038" w14:textId="77777777" w:rsidR="00E24895" w:rsidRPr="005C4EDA" w:rsidRDefault="00E24895" w:rsidP="00E24895">
      <w:pPr>
        <w:rPr>
          <w:rFonts w:eastAsia="Calibri"/>
          <w:iCs/>
          <w:szCs w:val="24"/>
        </w:rPr>
      </w:pPr>
    </w:p>
    <w:p w14:paraId="308D5039" w14:textId="77777777" w:rsidR="00E24895" w:rsidRPr="00CA0EA5" w:rsidRDefault="00E24895" w:rsidP="00E24895">
      <w:pPr>
        <w:widowControl w:val="0"/>
        <w:tabs>
          <w:tab w:val="num" w:pos="426"/>
        </w:tabs>
        <w:rPr>
          <w:b/>
        </w:rPr>
      </w:pPr>
      <w:r w:rsidRPr="00CA0EA5">
        <w:rPr>
          <w:b/>
        </w:rPr>
        <w:t>Commencement</w:t>
      </w:r>
    </w:p>
    <w:p w14:paraId="308D503A" w14:textId="77777777" w:rsidR="00E24895" w:rsidRDefault="00E24895" w:rsidP="00E24895">
      <w:pPr>
        <w:widowControl w:val="0"/>
        <w:tabs>
          <w:tab w:val="num" w:pos="426"/>
        </w:tabs>
      </w:pPr>
    </w:p>
    <w:p w14:paraId="308D503B" w14:textId="77777777" w:rsidR="00E24895" w:rsidRDefault="00E24895" w:rsidP="00E24895">
      <w:pPr>
        <w:widowControl w:val="0"/>
        <w:tabs>
          <w:tab w:val="num" w:pos="426"/>
        </w:tabs>
      </w:pPr>
      <w:r>
        <w:t xml:space="preserve">The Guidelines commence on the day after they are registered.  </w:t>
      </w:r>
    </w:p>
    <w:p w14:paraId="308D503C" w14:textId="77777777" w:rsidR="00E24895" w:rsidRDefault="00E24895" w:rsidP="00E24895"/>
    <w:p w14:paraId="308D503D" w14:textId="77777777" w:rsidR="00E24895" w:rsidRPr="008531CB" w:rsidRDefault="00E24895" w:rsidP="00E24895">
      <w:pPr>
        <w:rPr>
          <w:b/>
        </w:rPr>
      </w:pPr>
      <w:r w:rsidRPr="008531CB">
        <w:rPr>
          <w:b/>
        </w:rPr>
        <w:t>Documents Incorporated by Reference</w:t>
      </w:r>
    </w:p>
    <w:p w14:paraId="308D503E" w14:textId="77777777" w:rsidR="00E24895" w:rsidRDefault="00E24895" w:rsidP="00E24895"/>
    <w:p w14:paraId="308D503F" w14:textId="77777777" w:rsidR="00E24895" w:rsidRPr="002D146B" w:rsidRDefault="00E24895" w:rsidP="00E24895">
      <w:r w:rsidRPr="002D146B">
        <w:t>The following documents are incorporated within the Guidelines by reference:</w:t>
      </w:r>
    </w:p>
    <w:p w14:paraId="308D5040" w14:textId="77777777" w:rsidR="00E24895" w:rsidRPr="002D146B" w:rsidRDefault="00E24895" w:rsidP="001614E3">
      <w:pPr>
        <w:numPr>
          <w:ilvl w:val="0"/>
          <w:numId w:val="8"/>
        </w:numPr>
      </w:pPr>
      <w:r w:rsidRPr="002D146B">
        <w:rPr>
          <w:i/>
        </w:rPr>
        <w:t>Acts Interpretation Act 1901</w:t>
      </w:r>
      <w:r w:rsidRPr="002D146B">
        <w:t>;</w:t>
      </w:r>
    </w:p>
    <w:p w14:paraId="308D5041" w14:textId="77777777" w:rsidR="00E24895" w:rsidRPr="002D146B" w:rsidRDefault="00E24895" w:rsidP="001614E3">
      <w:pPr>
        <w:numPr>
          <w:ilvl w:val="0"/>
          <w:numId w:val="2"/>
        </w:numPr>
      </w:pPr>
      <w:r w:rsidRPr="002D146B">
        <w:rPr>
          <w:i/>
        </w:rPr>
        <w:t xml:space="preserve">Australian Statistical Geography Standard, July 2011 edition, </w:t>
      </w:r>
      <w:r w:rsidRPr="002D146B">
        <w:t>published by the Australian Bureau of Statistics;</w:t>
      </w:r>
    </w:p>
    <w:p w14:paraId="308D5042" w14:textId="77777777" w:rsidR="00E24895" w:rsidRPr="002D146B" w:rsidRDefault="00E24895" w:rsidP="001614E3">
      <w:pPr>
        <w:numPr>
          <w:ilvl w:val="0"/>
          <w:numId w:val="2"/>
        </w:numPr>
      </w:pPr>
      <w:r w:rsidRPr="002D146B">
        <w:rPr>
          <w:i/>
        </w:rPr>
        <w:t>Health Insurance Regulations 1975</w:t>
      </w:r>
      <w:r w:rsidRPr="002D146B">
        <w:t>; and</w:t>
      </w:r>
    </w:p>
    <w:p w14:paraId="308D5043" w14:textId="77777777" w:rsidR="00E24895" w:rsidRPr="002D146B" w:rsidRDefault="00E24895" w:rsidP="001614E3">
      <w:pPr>
        <w:numPr>
          <w:ilvl w:val="0"/>
          <w:numId w:val="2"/>
        </w:numPr>
        <w:rPr>
          <w:i/>
        </w:rPr>
      </w:pPr>
      <w:r w:rsidRPr="002D146B">
        <w:rPr>
          <w:i/>
        </w:rPr>
        <w:t>Migration Regulations 1994</w:t>
      </w:r>
      <w:r w:rsidRPr="002D146B">
        <w:t>.</w:t>
      </w:r>
    </w:p>
    <w:p w14:paraId="308D5044" w14:textId="77777777" w:rsidR="00E24895" w:rsidRDefault="00E24895" w:rsidP="00E24895"/>
    <w:p w14:paraId="308D5045" w14:textId="77777777" w:rsidR="00E24895" w:rsidRPr="008531CB" w:rsidRDefault="00E24895" w:rsidP="00E24895">
      <w:pPr>
        <w:rPr>
          <w:b/>
        </w:rPr>
      </w:pPr>
      <w:r w:rsidRPr="008531CB">
        <w:rPr>
          <w:b/>
        </w:rPr>
        <w:t>Consultation</w:t>
      </w:r>
    </w:p>
    <w:p w14:paraId="308D5046" w14:textId="77777777" w:rsidR="00E24895" w:rsidRDefault="00E24895" w:rsidP="00E24895"/>
    <w:p w14:paraId="308D5047" w14:textId="77777777" w:rsidR="00E24895" w:rsidRDefault="00E24895" w:rsidP="00E24895">
      <w:r>
        <w:t xml:space="preserve">Health has not formally consulted external stakeholders during the process of revising the Guidelines, as the amendments to the Guidelines will not result in any changes in how they are applied.  </w:t>
      </w:r>
    </w:p>
    <w:p w14:paraId="308D5048" w14:textId="77777777" w:rsidR="00E24895" w:rsidRDefault="00E24895" w:rsidP="00E24895"/>
    <w:p w14:paraId="308D5049" w14:textId="77777777" w:rsidR="00E24895" w:rsidRDefault="00E24895" w:rsidP="00E24895"/>
    <w:p w14:paraId="308D504A" w14:textId="77777777" w:rsidR="00E24895" w:rsidRDefault="00E24895" w:rsidP="00E24895">
      <w:pPr>
        <w:widowControl w:val="0"/>
        <w:tabs>
          <w:tab w:val="num" w:pos="426"/>
        </w:tabs>
      </w:pPr>
      <w:r>
        <w:t xml:space="preserve">The Guidelines are a legislative instrument for the purposes of the </w:t>
      </w:r>
      <w:r w:rsidRPr="005E643D">
        <w:rPr>
          <w:i/>
        </w:rPr>
        <w:t>Legislative Instruments Act 2003</w:t>
      </w:r>
      <w:r>
        <w:t>. Details of this instrument are set out in Attachment A.</w:t>
      </w:r>
    </w:p>
    <w:p w14:paraId="308D504B" w14:textId="77777777" w:rsidR="00E24895" w:rsidRDefault="00E24895" w:rsidP="00E24895">
      <w:pPr>
        <w:widowControl w:val="0"/>
        <w:tabs>
          <w:tab w:val="num" w:pos="426"/>
        </w:tabs>
      </w:pPr>
    </w:p>
    <w:p w14:paraId="308D504C" w14:textId="77777777" w:rsidR="00E24895" w:rsidRDefault="00E24895" w:rsidP="00E24895"/>
    <w:p w14:paraId="308D504D" w14:textId="77777777" w:rsidR="00E24895" w:rsidRPr="007C3AF8" w:rsidRDefault="00E24895" w:rsidP="00E24895">
      <w:pPr>
        <w:rPr>
          <w:b/>
        </w:rPr>
      </w:pPr>
      <w:r>
        <w:br w:type="page"/>
      </w:r>
      <w:r>
        <w:lastRenderedPageBreak/>
        <w:tab/>
      </w:r>
      <w:r>
        <w:tab/>
      </w:r>
      <w:r>
        <w:tab/>
      </w:r>
      <w:r>
        <w:tab/>
      </w:r>
      <w:r>
        <w:tab/>
      </w:r>
      <w:r>
        <w:tab/>
      </w:r>
      <w:r>
        <w:tab/>
      </w:r>
      <w:r>
        <w:tab/>
      </w:r>
      <w:r>
        <w:tab/>
      </w:r>
      <w:r>
        <w:tab/>
      </w:r>
      <w:r>
        <w:tab/>
      </w:r>
      <w:r>
        <w:tab/>
      </w:r>
      <w:r w:rsidRPr="007C3AF8">
        <w:rPr>
          <w:b/>
        </w:rPr>
        <w:t>ATTACHMENT</w:t>
      </w:r>
      <w:r>
        <w:rPr>
          <w:b/>
        </w:rPr>
        <w:t xml:space="preserve"> A</w:t>
      </w:r>
    </w:p>
    <w:p w14:paraId="308D504E" w14:textId="77777777" w:rsidR="00E24895" w:rsidRDefault="00E24895" w:rsidP="00E24895">
      <w:pPr>
        <w:rPr>
          <w:i/>
        </w:rPr>
      </w:pPr>
    </w:p>
    <w:p w14:paraId="308D504F" w14:textId="77777777" w:rsidR="00E24895" w:rsidRPr="005C4EDA" w:rsidRDefault="00E24895" w:rsidP="00E24895">
      <w:pPr>
        <w:rPr>
          <w:b/>
          <w:i/>
        </w:rPr>
      </w:pPr>
      <w:r w:rsidRPr="005C4EDA">
        <w:rPr>
          <w:b/>
          <w:i/>
        </w:rPr>
        <w:t xml:space="preserve">Health Insurance (Section 19AB Exemptions) Guidelines </w:t>
      </w:r>
      <w:r>
        <w:rPr>
          <w:b/>
          <w:i/>
        </w:rPr>
        <w:t>2017</w:t>
      </w:r>
    </w:p>
    <w:p w14:paraId="308D5050" w14:textId="77777777" w:rsidR="00E24895" w:rsidRDefault="00E24895" w:rsidP="00E24895">
      <w:pPr>
        <w:rPr>
          <w:b/>
        </w:rPr>
      </w:pPr>
    </w:p>
    <w:p w14:paraId="308D5051" w14:textId="77777777" w:rsidR="00E24895" w:rsidRDefault="00E24895" w:rsidP="00E24895">
      <w:pPr>
        <w:rPr>
          <w:b/>
        </w:rPr>
      </w:pPr>
      <w:r>
        <w:rPr>
          <w:b/>
        </w:rPr>
        <w:t>Part 1</w:t>
      </w:r>
      <w:r>
        <w:rPr>
          <w:b/>
        </w:rPr>
        <w:tab/>
        <w:t>Preliminary</w:t>
      </w:r>
    </w:p>
    <w:p w14:paraId="308D5052" w14:textId="77777777" w:rsidR="00E24895" w:rsidRDefault="00E24895" w:rsidP="00E24895">
      <w:pPr>
        <w:rPr>
          <w:b/>
        </w:rPr>
      </w:pPr>
    </w:p>
    <w:p w14:paraId="308D5053" w14:textId="77777777" w:rsidR="00E24895" w:rsidRDefault="00E24895" w:rsidP="00E24895">
      <w:pPr>
        <w:rPr>
          <w:b/>
        </w:rPr>
      </w:pPr>
      <w:r>
        <w:rPr>
          <w:b/>
        </w:rPr>
        <w:t xml:space="preserve">Section 1 </w:t>
      </w:r>
      <w:r>
        <w:rPr>
          <w:b/>
        </w:rPr>
        <w:tab/>
        <w:t>Name of Guidelines</w:t>
      </w:r>
    </w:p>
    <w:p w14:paraId="308D5054" w14:textId="77777777" w:rsidR="00E24895" w:rsidRDefault="00E24895" w:rsidP="00E24895">
      <w:pPr>
        <w:rPr>
          <w:b/>
        </w:rPr>
      </w:pPr>
    </w:p>
    <w:p w14:paraId="308D5055" w14:textId="77777777" w:rsidR="00E24895" w:rsidRDefault="00E24895" w:rsidP="00E24895">
      <w:r>
        <w:t xml:space="preserve">Section 1 provides that the name of the instrument is the </w:t>
      </w:r>
      <w:r w:rsidRPr="00924CFA">
        <w:rPr>
          <w:i/>
        </w:rPr>
        <w:t xml:space="preserve">Health Insurance (Section 19AB Exemptions) Guidelines </w:t>
      </w:r>
      <w:r>
        <w:rPr>
          <w:i/>
        </w:rPr>
        <w:t xml:space="preserve">2017 </w:t>
      </w:r>
      <w:r>
        <w:t xml:space="preserve">(the Guidelines). </w:t>
      </w:r>
    </w:p>
    <w:p w14:paraId="308D5056" w14:textId="77777777" w:rsidR="00E24895" w:rsidRDefault="00E24895" w:rsidP="00E24895"/>
    <w:p w14:paraId="308D5057" w14:textId="77777777" w:rsidR="00E24895" w:rsidRPr="005E643D" w:rsidRDefault="00E24895" w:rsidP="00E24895">
      <w:pPr>
        <w:rPr>
          <w:b/>
        </w:rPr>
      </w:pPr>
      <w:r w:rsidRPr="005E643D">
        <w:rPr>
          <w:b/>
        </w:rPr>
        <w:t>Section 2</w:t>
      </w:r>
      <w:r w:rsidRPr="005E643D">
        <w:rPr>
          <w:b/>
        </w:rPr>
        <w:tab/>
        <w:t>Commencement</w:t>
      </w:r>
    </w:p>
    <w:p w14:paraId="308D5058" w14:textId="77777777" w:rsidR="00E24895" w:rsidRDefault="00E24895" w:rsidP="00E24895"/>
    <w:p w14:paraId="308D5059" w14:textId="77777777" w:rsidR="00E24895" w:rsidRDefault="00E24895" w:rsidP="00E24895">
      <w:r>
        <w:t xml:space="preserve">Section 2 provides that the Guidelines commence on </w:t>
      </w:r>
      <w:r w:rsidRPr="00621471">
        <w:t>the day after registration.</w:t>
      </w:r>
    </w:p>
    <w:p w14:paraId="308D505A" w14:textId="77777777" w:rsidR="00E24895" w:rsidRDefault="00E24895" w:rsidP="00E24895"/>
    <w:p w14:paraId="308D505B" w14:textId="77777777" w:rsidR="00E24895" w:rsidRDefault="00E24895" w:rsidP="00E24895">
      <w:pPr>
        <w:rPr>
          <w:b/>
        </w:rPr>
      </w:pPr>
      <w:r>
        <w:rPr>
          <w:b/>
        </w:rPr>
        <w:t>Section 3</w:t>
      </w:r>
      <w:r>
        <w:rPr>
          <w:b/>
        </w:rPr>
        <w:tab/>
        <w:t>Authority</w:t>
      </w:r>
    </w:p>
    <w:p w14:paraId="308D505C" w14:textId="77777777" w:rsidR="00E24895" w:rsidRDefault="00E24895" w:rsidP="00E24895">
      <w:pPr>
        <w:rPr>
          <w:b/>
        </w:rPr>
      </w:pPr>
    </w:p>
    <w:p w14:paraId="308D505D" w14:textId="77777777" w:rsidR="00E24895" w:rsidRPr="00867A50" w:rsidRDefault="00E24895" w:rsidP="00E24895">
      <w:r>
        <w:t xml:space="preserve">Section 3 provides that the Guidelines are made under subsection </w:t>
      </w:r>
      <w:proofErr w:type="gramStart"/>
      <w:r>
        <w:t>19AB(</w:t>
      </w:r>
      <w:proofErr w:type="gramEnd"/>
      <w:r>
        <w:t xml:space="preserve">4B) of the </w:t>
      </w:r>
      <w:r>
        <w:rPr>
          <w:i/>
        </w:rPr>
        <w:t>Health Insurance Act 1973</w:t>
      </w:r>
      <w:r>
        <w:t xml:space="preserve">.  </w:t>
      </w:r>
    </w:p>
    <w:p w14:paraId="308D505E" w14:textId="77777777" w:rsidR="00E24895" w:rsidRDefault="00E24895" w:rsidP="00E24895">
      <w:pPr>
        <w:rPr>
          <w:b/>
        </w:rPr>
      </w:pPr>
    </w:p>
    <w:p w14:paraId="308D505F" w14:textId="77777777" w:rsidR="00E24895" w:rsidRDefault="00E24895" w:rsidP="00E24895">
      <w:pPr>
        <w:rPr>
          <w:b/>
        </w:rPr>
      </w:pPr>
      <w:r>
        <w:rPr>
          <w:b/>
        </w:rPr>
        <w:t>Section 4</w:t>
      </w:r>
      <w:r>
        <w:rPr>
          <w:b/>
        </w:rPr>
        <w:tab/>
        <w:t>Object</w:t>
      </w:r>
    </w:p>
    <w:p w14:paraId="308D5060" w14:textId="77777777" w:rsidR="00E24895" w:rsidRDefault="00E24895" w:rsidP="00E24895">
      <w:pPr>
        <w:rPr>
          <w:b/>
        </w:rPr>
      </w:pPr>
    </w:p>
    <w:p w14:paraId="308D5061" w14:textId="77777777" w:rsidR="00E24895" w:rsidRPr="00867A50" w:rsidRDefault="00E24895" w:rsidP="00E24895">
      <w:r>
        <w:t xml:space="preserve">Section 4 provides that the objective of the Guidelines is to provide a more equitable distribution of medical services in Australia by increasing the supply of medical practitioners in areas of most need, specifically regional and remote areas.  </w:t>
      </w:r>
    </w:p>
    <w:p w14:paraId="308D5062" w14:textId="77777777" w:rsidR="00E24895" w:rsidRDefault="00E24895" w:rsidP="00E24895">
      <w:pPr>
        <w:rPr>
          <w:b/>
        </w:rPr>
      </w:pPr>
    </w:p>
    <w:p w14:paraId="308D5063" w14:textId="77777777" w:rsidR="00E24895" w:rsidRPr="005E643D" w:rsidRDefault="00E24895" w:rsidP="00E24895">
      <w:pPr>
        <w:rPr>
          <w:b/>
        </w:rPr>
      </w:pPr>
      <w:r>
        <w:rPr>
          <w:b/>
        </w:rPr>
        <w:t>Section 5</w:t>
      </w:r>
      <w:r>
        <w:rPr>
          <w:b/>
        </w:rPr>
        <w:tab/>
        <w:t xml:space="preserve">Revocation </w:t>
      </w:r>
    </w:p>
    <w:p w14:paraId="308D5064" w14:textId="77777777" w:rsidR="00E24895" w:rsidRDefault="00E24895" w:rsidP="00E24895"/>
    <w:p w14:paraId="308D5065" w14:textId="77777777" w:rsidR="00E24895" w:rsidRDefault="00E24895" w:rsidP="00E24895">
      <w:r>
        <w:t xml:space="preserve">Section 5 provides that the </w:t>
      </w:r>
      <w:r>
        <w:rPr>
          <w:i/>
        </w:rPr>
        <w:t xml:space="preserve">Health Insurance (Section 19AB Exemptions) Guidelines 2016 </w:t>
      </w:r>
      <w:r>
        <w:t xml:space="preserve">are revoked.  </w:t>
      </w:r>
    </w:p>
    <w:p w14:paraId="308D5066" w14:textId="77777777" w:rsidR="00E24895" w:rsidRDefault="00E24895" w:rsidP="00E24895"/>
    <w:p w14:paraId="308D5067" w14:textId="77777777" w:rsidR="00E24895" w:rsidRDefault="00E24895" w:rsidP="00E24895">
      <w:pPr>
        <w:rPr>
          <w:b/>
        </w:rPr>
      </w:pPr>
      <w:r w:rsidRPr="005E643D">
        <w:rPr>
          <w:b/>
        </w:rPr>
        <w:t>Se</w:t>
      </w:r>
      <w:r>
        <w:rPr>
          <w:b/>
        </w:rPr>
        <w:t>ction 6</w:t>
      </w:r>
      <w:r>
        <w:rPr>
          <w:b/>
        </w:rPr>
        <w:tab/>
        <w:t>Definitions and interpretation</w:t>
      </w:r>
    </w:p>
    <w:p w14:paraId="308D5068" w14:textId="77777777" w:rsidR="00E24895" w:rsidRDefault="00E24895" w:rsidP="00E24895">
      <w:pPr>
        <w:rPr>
          <w:b/>
        </w:rPr>
      </w:pPr>
    </w:p>
    <w:p w14:paraId="308D5069" w14:textId="77777777" w:rsidR="00E24895" w:rsidRDefault="00E24895" w:rsidP="00E24895">
      <w:r>
        <w:t xml:space="preserve">Subsection 6(1) defines terms used in the Guidelines.  </w:t>
      </w:r>
    </w:p>
    <w:p w14:paraId="308D506A" w14:textId="77777777" w:rsidR="00E24895" w:rsidRDefault="00E24895" w:rsidP="00E24895"/>
    <w:p w14:paraId="308D506B" w14:textId="77777777" w:rsidR="00E24895" w:rsidRDefault="00E24895" w:rsidP="00E24895">
      <w:r>
        <w:t xml:space="preserve">There are separate methods for determining a DWS in respect of general practitioners (GPs) and other non-specialists for Medicare purposes (non-specialists) and for specialists (which is taken to include consultant physicians) in a particular specialty.  For the purposes of the </w:t>
      </w:r>
      <w:r w:rsidRPr="00621471">
        <w:rPr>
          <w:i/>
        </w:rPr>
        <w:t>Health Insurance Act 1973</w:t>
      </w:r>
      <w:r>
        <w:t xml:space="preserve"> (the HIA) and accordingly these Guidelines, medical practitioners who are recognised by the Medical Board of Australia as specialists in the specialty of general practice are not classed as ‘specialists’.  </w:t>
      </w:r>
    </w:p>
    <w:p w14:paraId="308D506C" w14:textId="77777777" w:rsidR="00E24895" w:rsidRDefault="00E24895" w:rsidP="00E24895"/>
    <w:p w14:paraId="308D506D" w14:textId="77777777" w:rsidR="00E24895" w:rsidRPr="00621471" w:rsidRDefault="00E24895" w:rsidP="00E24895">
      <w:pPr>
        <w:rPr>
          <w:u w:val="single"/>
        </w:rPr>
      </w:pPr>
      <w:r w:rsidRPr="00621471">
        <w:rPr>
          <w:u w:val="single"/>
        </w:rPr>
        <w:t>Districts of Workforce Shortage for specialists</w:t>
      </w:r>
    </w:p>
    <w:p w14:paraId="308D506E" w14:textId="77777777" w:rsidR="00E24895" w:rsidRDefault="00E24895" w:rsidP="00E24895"/>
    <w:p w14:paraId="308D506F" w14:textId="77777777" w:rsidR="00E24895" w:rsidRDefault="00E24895" w:rsidP="00E24895">
      <w:r w:rsidRPr="00943601">
        <w:t xml:space="preserve">For medical practitioners who are specialists in a particular specialty, </w:t>
      </w:r>
      <w:r>
        <w:t xml:space="preserve">a </w:t>
      </w:r>
      <w:r w:rsidRPr="00943601">
        <w:t xml:space="preserve">DWS </w:t>
      </w:r>
      <w:r>
        <w:t>includes</w:t>
      </w:r>
      <w:r w:rsidRPr="00943601">
        <w:t xml:space="preserve"> a geographical area in which the number of </w:t>
      </w:r>
      <w:r>
        <w:t>FSE</w:t>
      </w:r>
      <w:r w:rsidRPr="00943601">
        <w:t xml:space="preserve"> specialists in that specialty</w:t>
      </w:r>
      <w:r>
        <w:t>, per person in the area,</w:t>
      </w:r>
      <w:r w:rsidRPr="00943601">
        <w:t xml:space="preserve"> is less than the national average</w:t>
      </w:r>
      <w:r>
        <w:t xml:space="preserve">.  </w:t>
      </w:r>
    </w:p>
    <w:p w14:paraId="308D5070" w14:textId="77777777" w:rsidR="00E24895" w:rsidRDefault="00E24895" w:rsidP="00E24895"/>
    <w:p w14:paraId="308D5071" w14:textId="77777777" w:rsidR="00E24895" w:rsidRDefault="00E24895" w:rsidP="00E24895"/>
    <w:p w14:paraId="308D5072" w14:textId="77777777" w:rsidR="00E24895" w:rsidRDefault="00E24895" w:rsidP="00E24895">
      <w:r>
        <w:lastRenderedPageBreak/>
        <w:t>Subsection 6(2) clarifies that a service location is in a DWS for a particular type of practitioner if:</w:t>
      </w:r>
    </w:p>
    <w:p w14:paraId="308D5073" w14:textId="77777777" w:rsidR="00E24895" w:rsidRDefault="00E24895" w:rsidP="001614E3">
      <w:pPr>
        <w:numPr>
          <w:ilvl w:val="0"/>
          <w:numId w:val="4"/>
        </w:numPr>
      </w:pPr>
      <w:r>
        <w:t>for a GP or other non-specialist, the location is in a DWS for GPs and other non-specialists; and</w:t>
      </w:r>
    </w:p>
    <w:p w14:paraId="308D5074" w14:textId="77777777" w:rsidR="00E24895" w:rsidRDefault="00E24895" w:rsidP="001614E3">
      <w:pPr>
        <w:numPr>
          <w:ilvl w:val="0"/>
          <w:numId w:val="4"/>
        </w:numPr>
      </w:pPr>
      <w:proofErr w:type="gramStart"/>
      <w:r>
        <w:t>for</w:t>
      </w:r>
      <w:proofErr w:type="gramEnd"/>
      <w:r>
        <w:t xml:space="preserve"> a specialist in a particular specialty, the location is in a DWS for specialists in that specialty.</w:t>
      </w:r>
    </w:p>
    <w:p w14:paraId="308D5075" w14:textId="77777777" w:rsidR="00E24895" w:rsidRDefault="00E24895" w:rsidP="00E24895"/>
    <w:p w14:paraId="308D5076" w14:textId="77777777" w:rsidR="00E24895" w:rsidRDefault="00E24895" w:rsidP="00E24895">
      <w:r>
        <w:t xml:space="preserve">Subsection 6(3) provides that a reference throughout the Guidelines to a specialist includes a reference to a consultant physician.  This is to increase readability of the Guidelines. </w:t>
      </w:r>
    </w:p>
    <w:p w14:paraId="308D5077" w14:textId="77777777" w:rsidR="00E24895" w:rsidRDefault="00E24895" w:rsidP="00E24895">
      <w:pPr>
        <w:ind w:left="360"/>
      </w:pPr>
    </w:p>
    <w:p w14:paraId="308D5078" w14:textId="77777777" w:rsidR="00E24895" w:rsidRDefault="00E24895" w:rsidP="00E24895">
      <w:r>
        <w:t xml:space="preserve">Subsection 6(4) provides references throughout the Guidelines to ‘the type of medical practitioner to which an application relates’ means a reference to either specialists in a particular specialty, or to GPs and other non-specialists. </w:t>
      </w:r>
    </w:p>
    <w:p w14:paraId="308D5079" w14:textId="77777777" w:rsidR="00E24895" w:rsidRDefault="00E24895" w:rsidP="00E24895"/>
    <w:p w14:paraId="308D507A" w14:textId="77777777" w:rsidR="00E24895" w:rsidRPr="00835BE1" w:rsidRDefault="00E24895" w:rsidP="00E24895">
      <w:r>
        <w:t xml:space="preserve">Subsection 6(5) provides that references to provisions in the </w:t>
      </w:r>
      <w:r>
        <w:rPr>
          <w:i/>
        </w:rPr>
        <w:t xml:space="preserve">Migration Regulations 1994 </w:t>
      </w:r>
      <w:r>
        <w:t>are to the provisions in force and applied to the person at the time the person migrated to Australia.</w:t>
      </w:r>
    </w:p>
    <w:p w14:paraId="308D507B" w14:textId="77777777" w:rsidR="00E24895" w:rsidRDefault="00E24895" w:rsidP="00E24895"/>
    <w:p w14:paraId="308D507C" w14:textId="77777777" w:rsidR="00E24895" w:rsidRPr="004B4A8A" w:rsidRDefault="00E24895" w:rsidP="00E24895">
      <w:pPr>
        <w:rPr>
          <w:b/>
        </w:rPr>
      </w:pPr>
      <w:r>
        <w:rPr>
          <w:b/>
        </w:rPr>
        <w:t>Part 2</w:t>
      </w:r>
      <w:r>
        <w:rPr>
          <w:b/>
        </w:rPr>
        <w:tab/>
        <w:t>Exemptions</w:t>
      </w:r>
    </w:p>
    <w:p w14:paraId="308D507D" w14:textId="77777777" w:rsidR="00E24895" w:rsidRDefault="00E24895" w:rsidP="00E24895"/>
    <w:p w14:paraId="308D507E" w14:textId="77777777" w:rsidR="00E24895" w:rsidRDefault="00E24895" w:rsidP="00E24895">
      <w:pPr>
        <w:rPr>
          <w:b/>
        </w:rPr>
      </w:pPr>
      <w:r>
        <w:rPr>
          <w:b/>
        </w:rPr>
        <w:t>Section 7</w:t>
      </w:r>
      <w:r>
        <w:rPr>
          <w:b/>
        </w:rPr>
        <w:tab/>
        <w:t>Considerations for exemptions – general</w:t>
      </w:r>
    </w:p>
    <w:p w14:paraId="308D507F" w14:textId="77777777" w:rsidR="00E24895" w:rsidRDefault="00E24895" w:rsidP="00E24895">
      <w:pPr>
        <w:rPr>
          <w:b/>
        </w:rPr>
      </w:pPr>
    </w:p>
    <w:p w14:paraId="308D5080" w14:textId="77777777" w:rsidR="00E24895" w:rsidRDefault="00E24895" w:rsidP="00E24895">
      <w:r>
        <w:t xml:space="preserve">Section 7 sets out the matters the Minister for Health is to take into consideration when deciding on most applications for exemption.   </w:t>
      </w:r>
    </w:p>
    <w:p w14:paraId="308D5081" w14:textId="77777777" w:rsidR="00E24895" w:rsidRDefault="00E24895" w:rsidP="00E24895"/>
    <w:p w14:paraId="308D5082" w14:textId="77777777" w:rsidR="00E24895" w:rsidRDefault="00E24895" w:rsidP="00E24895">
      <w:r>
        <w:t>Subsection 7(1) provides that the section is subject to sections 8</w:t>
      </w:r>
      <w:r w:rsidRPr="00435381">
        <w:t xml:space="preserve"> – 1</w:t>
      </w:r>
      <w:r>
        <w:t xml:space="preserve">1 of the Guidelines.  Those sections set out considerations that are to apply in particular circumstances, for example where the applicant will be providing short-term locum services or will be providing services at an Aboriginal and Torres Strait Islander specific primary health care service. </w:t>
      </w:r>
    </w:p>
    <w:p w14:paraId="308D5083" w14:textId="77777777" w:rsidR="00E24895" w:rsidRDefault="00E24895" w:rsidP="00E24895"/>
    <w:p w14:paraId="308D5084" w14:textId="77777777" w:rsidR="00E24895" w:rsidRDefault="00E24895" w:rsidP="00E24895">
      <w:r>
        <w:t xml:space="preserve">Subsection 7(2) provides that the primary consideration for making decisions on applications for exemptions is whether the location for which the exemption is sought is in a DWS for the type of medical practitioner applying for the exemption (namely a specialist in a particular specialty, or a GP or other non-specialist). </w:t>
      </w:r>
    </w:p>
    <w:p w14:paraId="308D5085" w14:textId="77777777" w:rsidR="00E24895" w:rsidRDefault="00E24895" w:rsidP="00E24895"/>
    <w:p w14:paraId="308D5086" w14:textId="77777777" w:rsidR="00E24895" w:rsidRDefault="00E24895" w:rsidP="00E24895">
      <w:r>
        <w:t>Subsection 7(3) provides that the following may also be considered when assessing an application for an exemption under this section:</w:t>
      </w:r>
    </w:p>
    <w:p w14:paraId="308D5087" w14:textId="77777777" w:rsidR="00E24895" w:rsidRDefault="00E24895" w:rsidP="001614E3">
      <w:pPr>
        <w:numPr>
          <w:ilvl w:val="0"/>
          <w:numId w:val="1"/>
        </w:numPr>
      </w:pPr>
      <w:r>
        <w:t>whether the applicant’s registration or licence as a medical practitioner is subject to any conditions (paragraph 7(3)(a));</w:t>
      </w:r>
    </w:p>
    <w:p w14:paraId="308D5088" w14:textId="77777777" w:rsidR="00E24895" w:rsidRDefault="00E24895" w:rsidP="001614E3">
      <w:pPr>
        <w:numPr>
          <w:ilvl w:val="0"/>
          <w:numId w:val="1"/>
        </w:numPr>
      </w:pPr>
      <w:r>
        <w:t>whether the applicant’s visa, if they hold one, allows them to practise medicine or undertake clinical training in medicine (paragraph 7(3)(b));</w:t>
      </w:r>
    </w:p>
    <w:p w14:paraId="308D5089" w14:textId="77777777" w:rsidR="00E24895" w:rsidRDefault="00E24895" w:rsidP="001614E3">
      <w:pPr>
        <w:numPr>
          <w:ilvl w:val="0"/>
          <w:numId w:val="1"/>
        </w:numPr>
      </w:pPr>
      <w:r>
        <w:t xml:space="preserve">whether the applicant has entered into, or commenced negotiations to enter into, an agreement to provide professional services at the relevant service location (paragraph 7(3)(c)); </w:t>
      </w:r>
    </w:p>
    <w:p w14:paraId="308D508A" w14:textId="77777777" w:rsidR="00E24895" w:rsidRDefault="00E24895" w:rsidP="001614E3">
      <w:pPr>
        <w:numPr>
          <w:ilvl w:val="0"/>
          <w:numId w:val="1"/>
        </w:numPr>
      </w:pPr>
      <w:proofErr w:type="gramStart"/>
      <w:r>
        <w:t>whether</w:t>
      </w:r>
      <w:proofErr w:type="gramEnd"/>
      <w:r>
        <w:t xml:space="preserve"> the applicant is seeking to replace another OTD or FGAMS who practised privately at the location and held an exemption for the location, and whose Medicare provider number for the location has been cancelled.  The other OTD or FGAMS must have provided services at the location within the last 12 months (paragraph 7(3)(d)); </w:t>
      </w:r>
    </w:p>
    <w:p w14:paraId="308D508B" w14:textId="77777777" w:rsidR="00E24895" w:rsidRDefault="00E24895" w:rsidP="001614E3">
      <w:pPr>
        <w:numPr>
          <w:ilvl w:val="0"/>
          <w:numId w:val="1"/>
        </w:numPr>
      </w:pPr>
      <w:r>
        <w:t>whether the applicant is seeking to provide private medical services at a location during the after-hours period (paragraph 7(3)(e));</w:t>
      </w:r>
    </w:p>
    <w:p w14:paraId="308D508C" w14:textId="77777777" w:rsidR="00E24895" w:rsidRDefault="00E24895" w:rsidP="001614E3">
      <w:pPr>
        <w:numPr>
          <w:ilvl w:val="0"/>
          <w:numId w:val="1"/>
        </w:numPr>
      </w:pPr>
      <w:r>
        <w:lastRenderedPageBreak/>
        <w:t>if the location to which the application relates is not in a DWS in respect of the type of practitioner applying for an exemption, whether the applicant commenced negotiations to provide services at the practice location while the location was considered to be a DWS (paragraph 7(3)(f); and</w:t>
      </w:r>
    </w:p>
    <w:p w14:paraId="308D508D" w14:textId="77777777" w:rsidR="00E24895" w:rsidRDefault="00E24895" w:rsidP="001614E3">
      <w:pPr>
        <w:numPr>
          <w:ilvl w:val="0"/>
          <w:numId w:val="1"/>
        </w:numPr>
      </w:pPr>
      <w:proofErr w:type="gramStart"/>
      <w:r>
        <w:t>any</w:t>
      </w:r>
      <w:proofErr w:type="gramEnd"/>
      <w:r>
        <w:t xml:space="preserve"> other matters the Minister considers relevant (paragraph 7(3)(g)).</w:t>
      </w:r>
    </w:p>
    <w:p w14:paraId="308D508E" w14:textId="77777777" w:rsidR="00E24895" w:rsidRDefault="00E24895" w:rsidP="00E24895"/>
    <w:p w14:paraId="308D508F" w14:textId="77777777" w:rsidR="00E24895" w:rsidRDefault="00E24895" w:rsidP="00E24895">
      <w:r>
        <w:t xml:space="preserve">Subsection 7(4) provides that in section 6 a reference to a person who was subject to an exemption for the location includes a reference to a person to whom a class exemption applied.  This is included for the avoidance of doubt. </w:t>
      </w:r>
    </w:p>
    <w:p w14:paraId="308D5090" w14:textId="77777777" w:rsidR="00E24895" w:rsidRDefault="00E24895" w:rsidP="00E24895"/>
    <w:p w14:paraId="308D5091" w14:textId="77777777" w:rsidR="00E24895" w:rsidRPr="00C5117D" w:rsidRDefault="00E24895" w:rsidP="00E24895">
      <w:pPr>
        <w:rPr>
          <w:b/>
        </w:rPr>
      </w:pPr>
      <w:r w:rsidRPr="0006037D">
        <w:rPr>
          <w:b/>
        </w:rPr>
        <w:t xml:space="preserve">Section </w:t>
      </w:r>
      <w:r>
        <w:rPr>
          <w:b/>
        </w:rPr>
        <w:t>8</w:t>
      </w:r>
      <w:r w:rsidRPr="0006037D">
        <w:rPr>
          <w:b/>
        </w:rPr>
        <w:t xml:space="preserve"> – Considerations for exemption – provision of services at Commonwealth funded Aboriginal and Torres Strait Islander primary health care service</w:t>
      </w:r>
    </w:p>
    <w:p w14:paraId="308D5092" w14:textId="77777777" w:rsidR="00E24895" w:rsidRDefault="00E24895" w:rsidP="00E24895"/>
    <w:p w14:paraId="308D5093" w14:textId="77777777" w:rsidR="00E24895" w:rsidRDefault="00E24895" w:rsidP="00E24895">
      <w:r>
        <w:t xml:space="preserve">Subsection 8(1) provides that this section applies where the applicant for an exemption will be providing, or has commenced negotiations to provide, services at an Aboriginal and Torres Strait Islander specific primary health care service.  These are primary health care organisations that predominantly service Aboriginal and Torres Strait Islander clients.  A direction under subsection 19(2) of the HIA must be in force in respect of the organisation (see subsection 6(1) of the Guidelines). </w:t>
      </w:r>
    </w:p>
    <w:p w14:paraId="308D5094" w14:textId="77777777" w:rsidR="00E24895" w:rsidRDefault="00E24895" w:rsidP="00E24895"/>
    <w:p w14:paraId="308D5095" w14:textId="77777777" w:rsidR="00E24895" w:rsidRDefault="00E24895" w:rsidP="00E24895">
      <w:r>
        <w:t>Where section 8 applies, subsection 8(2) provides that decisions about whether to grant an exemption must not take into account to whether service location is in a DWS for the type of medical practitioner seeking the exemption.  Subsection 8(2) also provides that the Minister may take into account those matters set out in paragraphs 7(3</w:t>
      </w:r>
      <w:proofErr w:type="gramStart"/>
      <w:r>
        <w:t>)(</w:t>
      </w:r>
      <w:proofErr w:type="gramEnd"/>
      <w:r>
        <w:t>a)-(e) of the Guidelines and any other matters he or she considers relevant.</w:t>
      </w:r>
    </w:p>
    <w:p w14:paraId="308D5096" w14:textId="77777777" w:rsidR="00E24895" w:rsidRDefault="00E24895" w:rsidP="00E24895"/>
    <w:p w14:paraId="308D5097" w14:textId="77777777" w:rsidR="00E24895" w:rsidRDefault="00E24895" w:rsidP="00E24895">
      <w:r>
        <w:t xml:space="preserve">Section 8 of the Guidelines aims to increase the number of medical practitioners providing private services to Aboriginal and Torres Strait Islander populations, even where those populations are located in major cities or are not otherwise located in areas of medical workforce shortage. </w:t>
      </w:r>
    </w:p>
    <w:p w14:paraId="308D5098" w14:textId="77777777" w:rsidR="00E24895" w:rsidRDefault="00E24895" w:rsidP="00E24895"/>
    <w:p w14:paraId="308D5099" w14:textId="77777777" w:rsidR="00E24895" w:rsidRPr="00B64E5A" w:rsidRDefault="00E24895" w:rsidP="00E24895">
      <w:pPr>
        <w:rPr>
          <w:b/>
        </w:rPr>
      </w:pPr>
      <w:r w:rsidRPr="00B64E5A">
        <w:rPr>
          <w:b/>
        </w:rPr>
        <w:t xml:space="preserve">Section </w:t>
      </w:r>
      <w:r>
        <w:rPr>
          <w:b/>
        </w:rPr>
        <w:t>9</w:t>
      </w:r>
      <w:r w:rsidRPr="00B64E5A">
        <w:rPr>
          <w:b/>
        </w:rPr>
        <w:t xml:space="preserve"> – </w:t>
      </w:r>
      <w:r w:rsidRPr="0006037D">
        <w:rPr>
          <w:b/>
        </w:rPr>
        <w:t>Considerations for exemption – spouses</w:t>
      </w:r>
    </w:p>
    <w:p w14:paraId="308D509A" w14:textId="77777777" w:rsidR="00E24895" w:rsidRDefault="00E24895" w:rsidP="00E24895"/>
    <w:p w14:paraId="308D509B" w14:textId="77777777" w:rsidR="00E24895" w:rsidRDefault="00E24895" w:rsidP="00E24895">
      <w:r>
        <w:t>Subsection 9(1) provides that section applies where the applicant is the spouse of:</w:t>
      </w:r>
    </w:p>
    <w:p w14:paraId="308D509C" w14:textId="77777777" w:rsidR="00E24895" w:rsidRDefault="00E24895" w:rsidP="001614E3">
      <w:pPr>
        <w:numPr>
          <w:ilvl w:val="0"/>
          <w:numId w:val="5"/>
        </w:numPr>
      </w:pPr>
      <w:r>
        <w:t>a medical practitioner who is not prevented by section 19AB of the HIA from providing, or having rendered on their behalf, Medicare-eligible services – in other words a medical practitioner who is not an OTD or FGAMS, or who is an OTD or FGAMS who has a current section 19AB exemption or who falls into one of the classes to which the prohibition on payment of benefit for services provided by OTDs and FGAMS does not apply, for example OTDs or FGAMS who first became medical practitioners before 1 January 1997; or</w:t>
      </w:r>
    </w:p>
    <w:p w14:paraId="308D509D" w14:textId="77777777" w:rsidR="00E24895" w:rsidRDefault="00E24895" w:rsidP="001614E3">
      <w:pPr>
        <w:numPr>
          <w:ilvl w:val="0"/>
          <w:numId w:val="5"/>
        </w:numPr>
      </w:pPr>
      <w:r>
        <w:t>a person who:</w:t>
      </w:r>
    </w:p>
    <w:p w14:paraId="308D509E" w14:textId="77777777" w:rsidR="00E24895" w:rsidRDefault="00E24895" w:rsidP="001614E3">
      <w:pPr>
        <w:numPr>
          <w:ilvl w:val="0"/>
          <w:numId w:val="6"/>
        </w:numPr>
      </w:pPr>
      <w:r>
        <w:t xml:space="preserve">holds a General Skilled Migration visa following assessment by a relevant assessing authority as having a skilled occupation or a migration occupation in demand (at the relevant time);  </w:t>
      </w:r>
    </w:p>
    <w:p w14:paraId="308D509F" w14:textId="77777777" w:rsidR="00E24895" w:rsidRDefault="00E24895" w:rsidP="001614E3">
      <w:pPr>
        <w:numPr>
          <w:ilvl w:val="0"/>
          <w:numId w:val="6"/>
        </w:numPr>
      </w:pPr>
      <w:r>
        <w:t xml:space="preserve">migrated to Australia within the last 10 years with the intention of working in that occupation; and </w:t>
      </w:r>
    </w:p>
    <w:p w14:paraId="308D50A0" w14:textId="77777777" w:rsidR="00E24895" w:rsidRDefault="00E24895" w:rsidP="001614E3">
      <w:pPr>
        <w:numPr>
          <w:ilvl w:val="0"/>
          <w:numId w:val="6"/>
        </w:numPr>
      </w:pPr>
      <w:proofErr w:type="gramStart"/>
      <w:r>
        <w:t>is</w:t>
      </w:r>
      <w:proofErr w:type="gramEnd"/>
      <w:r>
        <w:t xml:space="preserve"> currently employed in, volunteers in or is undertaking a training placement in that occupation. </w:t>
      </w:r>
    </w:p>
    <w:p w14:paraId="308D50A1" w14:textId="77777777" w:rsidR="00E24895" w:rsidRDefault="00E24895" w:rsidP="00E24895"/>
    <w:p w14:paraId="308D50A2" w14:textId="77777777" w:rsidR="00E24895" w:rsidRDefault="00E24895" w:rsidP="00E24895">
      <w:r w:rsidRPr="008531CB">
        <w:lastRenderedPageBreak/>
        <w:t xml:space="preserve">In all cases the spouse of the applicant must ordinarily reside in </w:t>
      </w:r>
      <w:smartTag w:uri="urn:schemas-microsoft-com:office:smarttags" w:element="country-region">
        <w:smartTag w:uri="urn:schemas-microsoft-com:office:smarttags" w:element="place">
          <w:r w:rsidRPr="008531CB">
            <w:t>Australia</w:t>
          </w:r>
        </w:smartTag>
      </w:smartTag>
      <w:r w:rsidRPr="008531CB">
        <w:t>.</w:t>
      </w:r>
      <w:r>
        <w:t xml:space="preserve"> </w:t>
      </w:r>
    </w:p>
    <w:p w14:paraId="308D50A3" w14:textId="77777777" w:rsidR="00E24895" w:rsidRDefault="00E24895" w:rsidP="00E24895"/>
    <w:p w14:paraId="308D50A4" w14:textId="77777777" w:rsidR="00E24895" w:rsidRDefault="00E24895" w:rsidP="00E24895">
      <w:r>
        <w:t>Where these provisions apply, subsection 9(2) provides that when deciding whether to grant an exemption, whether the location to which the application relates is in a DWS for the relevant type of medical practitioner is not to be taken into account.   The Minister may take into account the matters set out in paragraphs 6(3</w:t>
      </w:r>
      <w:proofErr w:type="gramStart"/>
      <w:r>
        <w:t>)(</w:t>
      </w:r>
      <w:proofErr w:type="gramEnd"/>
      <w:r>
        <w:t xml:space="preserve">a) - (e) of the Guidelines and any other matters he or she considers relevant. </w:t>
      </w:r>
    </w:p>
    <w:p w14:paraId="308D50A5" w14:textId="77777777" w:rsidR="00E24895" w:rsidRDefault="00E24895" w:rsidP="00E24895"/>
    <w:p w14:paraId="308D50A6" w14:textId="77777777" w:rsidR="00E24895" w:rsidRPr="00ED18AB" w:rsidRDefault="00E24895" w:rsidP="00E24895">
      <w:pPr>
        <w:rPr>
          <w:b/>
        </w:rPr>
      </w:pPr>
      <w:r w:rsidRPr="0006037D">
        <w:rPr>
          <w:b/>
        </w:rPr>
        <w:t xml:space="preserve">Section </w:t>
      </w:r>
      <w:r>
        <w:rPr>
          <w:b/>
        </w:rPr>
        <w:t>10</w:t>
      </w:r>
      <w:r w:rsidRPr="0006037D">
        <w:rPr>
          <w:b/>
        </w:rPr>
        <w:t xml:space="preserve"> – Considerations for exemption – provision of locum services</w:t>
      </w:r>
    </w:p>
    <w:p w14:paraId="308D50A7" w14:textId="77777777" w:rsidR="00E24895" w:rsidRDefault="00E24895" w:rsidP="00E24895"/>
    <w:p w14:paraId="308D50A8" w14:textId="77777777" w:rsidR="00E24895" w:rsidRDefault="00E24895" w:rsidP="00E24895">
      <w:r>
        <w:t>Subsection 10(1) provides that the section applies where the applicant for an exemption has entered into, or has started negotiations to enter into, an agreement to provide locum services at a particular location for a maximum period of six months and the applicant has not previously provided locum services at the same practice under a subsection </w:t>
      </w:r>
      <w:proofErr w:type="gramStart"/>
      <w:r>
        <w:t>19AB(</w:t>
      </w:r>
      <w:proofErr w:type="gramEnd"/>
      <w:r>
        <w:t>3) exemption related to the provision of locum services.</w:t>
      </w:r>
    </w:p>
    <w:p w14:paraId="308D50A9" w14:textId="77777777" w:rsidR="00E24895" w:rsidRDefault="00E24895" w:rsidP="00E24895"/>
    <w:p w14:paraId="308D50AA" w14:textId="77777777" w:rsidR="00E24895" w:rsidRPr="00A91409" w:rsidRDefault="00E24895" w:rsidP="00E24895">
      <w:pPr>
        <w:rPr>
          <w:b/>
          <w:i/>
        </w:rPr>
      </w:pPr>
      <w:r>
        <w:t>Paragraph 10(1</w:t>
      </w:r>
      <w:proofErr w:type="gramStart"/>
      <w:r>
        <w:t>)(</w:t>
      </w:r>
      <w:proofErr w:type="gramEnd"/>
      <w:r>
        <w:t xml:space="preserve">c) clarifies that a doctor may not have multiple locum placements at any one practice. </w:t>
      </w:r>
    </w:p>
    <w:p w14:paraId="308D50AB" w14:textId="77777777" w:rsidR="00E24895" w:rsidRDefault="00E24895" w:rsidP="00E24895"/>
    <w:p w14:paraId="308D50AC" w14:textId="77777777" w:rsidR="00E24895" w:rsidRDefault="00E24895" w:rsidP="00E24895">
      <w:r>
        <w:t>Where section 10 applies, subsection 10(2) provides that, in deciding whether to grant an exemption, the Minister will not take into account whether the location is in a DWS for the relevant type of medical practitioner.</w:t>
      </w:r>
    </w:p>
    <w:p w14:paraId="308D50AD" w14:textId="77777777" w:rsidR="00E24895" w:rsidRDefault="00E24895" w:rsidP="00E24895"/>
    <w:p w14:paraId="308D50AE" w14:textId="77777777" w:rsidR="00E24895" w:rsidRDefault="00E24895" w:rsidP="00E24895">
      <w:r>
        <w:t>Subsection 10(2) also provides that the Minister may take into account the matters set out in paragraphs 7(3</w:t>
      </w:r>
      <w:proofErr w:type="gramStart"/>
      <w:r>
        <w:t>)(</w:t>
      </w:r>
      <w:proofErr w:type="gramEnd"/>
      <w:r>
        <w:t xml:space="preserve">a) – (e) of the Guidelines and any other matters the Minister considers relevant. </w:t>
      </w:r>
    </w:p>
    <w:p w14:paraId="308D50AF" w14:textId="77777777" w:rsidR="00E24895" w:rsidRDefault="00E24895" w:rsidP="00E24895"/>
    <w:p w14:paraId="308D50B0" w14:textId="77777777" w:rsidR="00E24895" w:rsidRDefault="00E24895" w:rsidP="00E24895">
      <w:r>
        <w:t>Where a locum arrangement or proposed locum arrangement would be for more than six months and section 10 does not apply, the general considerations at section 7 of the Guidelines apply unless one of the other ‘exceptions’ to section 7 applies, for example that the application is to provide services at an Aboriginal and Torres Strait Islander primary health care service.</w:t>
      </w:r>
    </w:p>
    <w:p w14:paraId="308D50B1" w14:textId="77777777" w:rsidR="00E24895" w:rsidRDefault="00E24895" w:rsidP="00E24895"/>
    <w:p w14:paraId="308D50B2" w14:textId="77777777" w:rsidR="00E24895" w:rsidRPr="00ED18AB" w:rsidRDefault="00E24895" w:rsidP="00E24895">
      <w:pPr>
        <w:rPr>
          <w:b/>
        </w:rPr>
      </w:pPr>
      <w:r w:rsidRPr="0006037D">
        <w:rPr>
          <w:b/>
        </w:rPr>
        <w:t>Section 1</w:t>
      </w:r>
      <w:r>
        <w:rPr>
          <w:b/>
        </w:rPr>
        <w:t>1</w:t>
      </w:r>
      <w:r w:rsidRPr="0006037D">
        <w:rPr>
          <w:b/>
        </w:rPr>
        <w:t xml:space="preserve"> – Considerations for class exemptions</w:t>
      </w:r>
    </w:p>
    <w:p w14:paraId="308D50B3" w14:textId="77777777" w:rsidR="00E24895" w:rsidRDefault="00E24895" w:rsidP="00E24895"/>
    <w:p w14:paraId="308D50B4" w14:textId="77777777" w:rsidR="00E24895" w:rsidRDefault="00E24895" w:rsidP="00E24895">
      <w:r>
        <w:t>Subsection </w:t>
      </w:r>
      <w:proofErr w:type="gramStart"/>
      <w:r>
        <w:t>19AB(</w:t>
      </w:r>
      <w:proofErr w:type="gramEnd"/>
      <w:r>
        <w:t xml:space="preserve">3) of the HIA provides that an exemption may be granted in respect of a class of persons. </w:t>
      </w:r>
    </w:p>
    <w:p w14:paraId="308D50B5" w14:textId="77777777" w:rsidR="00E24895" w:rsidRDefault="00E24895" w:rsidP="00E24895"/>
    <w:p w14:paraId="308D50B6" w14:textId="77777777" w:rsidR="00E24895" w:rsidRDefault="00E24895" w:rsidP="00E24895">
      <w:r>
        <w:t xml:space="preserve">Subsection 11(1) of the Guidelines provides that the section applies to decisions in respect of exemptions for a class of persons.  Where section 11 applies, subsection 11(2) provides that the Minister is not required to consider whether members of the class will be providing services within a DWS, and can take into account any matters he or she considers relevant. </w:t>
      </w:r>
    </w:p>
    <w:p w14:paraId="308D50B7" w14:textId="77777777" w:rsidR="00E24895" w:rsidRDefault="00E24895" w:rsidP="00E24895"/>
    <w:p w14:paraId="308D50B8" w14:textId="77777777" w:rsidR="00E24895" w:rsidRPr="00E153D7" w:rsidRDefault="00E24895" w:rsidP="00E24895">
      <w:pPr>
        <w:rPr>
          <w:b/>
        </w:rPr>
      </w:pPr>
      <w:r w:rsidRPr="0006037D">
        <w:rPr>
          <w:b/>
        </w:rPr>
        <w:t>Section 1</w:t>
      </w:r>
      <w:r>
        <w:rPr>
          <w:b/>
        </w:rPr>
        <w:t>2</w:t>
      </w:r>
      <w:r w:rsidRPr="0006037D">
        <w:rPr>
          <w:b/>
        </w:rPr>
        <w:t xml:space="preserve"> – Conditions</w:t>
      </w:r>
    </w:p>
    <w:p w14:paraId="308D50B9" w14:textId="77777777" w:rsidR="00E24895" w:rsidRDefault="00E24895" w:rsidP="00E24895"/>
    <w:p w14:paraId="308D50BA" w14:textId="77777777" w:rsidR="00E24895" w:rsidRDefault="00E24895" w:rsidP="00E24895">
      <w:r>
        <w:t>Subsection </w:t>
      </w:r>
      <w:proofErr w:type="gramStart"/>
      <w:r>
        <w:t>19AB(</w:t>
      </w:r>
      <w:proofErr w:type="gramEnd"/>
      <w:r>
        <w:t xml:space="preserve">4) of the HIA provides that the Minister may make exemptions subject to any conditions he or she thinks fit. </w:t>
      </w:r>
    </w:p>
    <w:p w14:paraId="308D50BB" w14:textId="77777777" w:rsidR="00E24895" w:rsidRDefault="00E24895" w:rsidP="00E24895"/>
    <w:p w14:paraId="308D50BC" w14:textId="77777777" w:rsidR="00E24895" w:rsidRDefault="00E24895" w:rsidP="00E24895">
      <w:r>
        <w:t xml:space="preserve">Subsection 12(1) provides that except in special circumstances, all exemptions must be subject to the condition that they will only be applicable to a particular practice location, for </w:t>
      </w:r>
      <w:r>
        <w:lastRenderedPageBreak/>
        <w:t xml:space="preserve">example a particular medical practice, health centre or hospital.  However, subsection 11(2) provides that this does not apply to exemptions made in respect of a class of practitioners. </w:t>
      </w:r>
    </w:p>
    <w:p w14:paraId="308D50BD" w14:textId="77777777" w:rsidR="00E24895" w:rsidRDefault="00E24895" w:rsidP="00E24895"/>
    <w:p w14:paraId="308D50BE" w14:textId="77777777" w:rsidR="00E24895" w:rsidRDefault="00E24895" w:rsidP="00E24895">
      <w:r>
        <w:t>Subsection 12(3) provides that an exemption may be made subject to the condition that it only applies after hours.  ‘After hours’ is defined in subsection 5(1) of the Guidelines as all day Saturday, Sunday or public holidays and before 8:00 a.m. and after 6:00 p.m. on any other day.</w:t>
      </w:r>
    </w:p>
    <w:p w14:paraId="308D50BF" w14:textId="77777777" w:rsidR="00E24895" w:rsidRDefault="00E24895" w:rsidP="00E24895"/>
    <w:p w14:paraId="308D50C0" w14:textId="77777777" w:rsidR="00E24895" w:rsidRDefault="00E24895" w:rsidP="00E24895">
      <w:r>
        <w:t>Subsections 12(4) and 12(5) provide that the Minister is not limited in the conditions that he or she may place on an exemption by subsections 12(1) or 12(3), and that in making decisions about imposing conditions on an exemption the Minister may take into account any matters he or she considers relevant.</w:t>
      </w:r>
    </w:p>
    <w:p w14:paraId="308D50C1" w14:textId="77777777" w:rsidR="00E24895" w:rsidRDefault="00E24895" w:rsidP="00E24895"/>
    <w:p w14:paraId="308D50C2" w14:textId="77777777" w:rsidR="00E24895" w:rsidRPr="00E153D7" w:rsidRDefault="00E24895" w:rsidP="00E24895">
      <w:pPr>
        <w:rPr>
          <w:b/>
        </w:rPr>
      </w:pPr>
      <w:r w:rsidRPr="0006037D">
        <w:rPr>
          <w:b/>
        </w:rPr>
        <w:t>Section 1</w:t>
      </w:r>
      <w:r>
        <w:rPr>
          <w:b/>
        </w:rPr>
        <w:t>3</w:t>
      </w:r>
      <w:r w:rsidRPr="0006037D">
        <w:rPr>
          <w:b/>
        </w:rPr>
        <w:t xml:space="preserve"> – Period of Exemption</w:t>
      </w:r>
    </w:p>
    <w:p w14:paraId="308D50C3" w14:textId="77777777" w:rsidR="00E24895" w:rsidRDefault="00E24895" w:rsidP="00E24895"/>
    <w:p w14:paraId="308D50C4" w14:textId="77777777" w:rsidR="00E24895" w:rsidRDefault="00E24895" w:rsidP="00E24895">
      <w:r>
        <w:t xml:space="preserve">Subsection 13(1) provides that an exemption cannot be backdated and may be time limited to cease on a date specified in the exemption instrument.  </w:t>
      </w:r>
    </w:p>
    <w:p w14:paraId="308D50C5" w14:textId="77777777" w:rsidR="00E24895" w:rsidRDefault="00E24895" w:rsidP="00E24895"/>
    <w:p w14:paraId="308D50C6" w14:textId="77777777" w:rsidR="00E24895" w:rsidRDefault="00E24895" w:rsidP="00E24895">
      <w:r>
        <w:t>Subsection 13(2) provides that where an exemption is granted to a person to provide locum services, the exemption must be specified to cease on a day no later than six months from the date of commencement of the exemption.</w:t>
      </w:r>
    </w:p>
    <w:p w14:paraId="308D50C7" w14:textId="77777777" w:rsidR="00E24895" w:rsidRDefault="00E24895" w:rsidP="00E24895"/>
    <w:p w14:paraId="308D50C8" w14:textId="77777777" w:rsidR="00E24895" w:rsidRPr="00D664E6" w:rsidRDefault="00E24895" w:rsidP="00E24895">
      <w:pPr>
        <w:spacing w:before="360" w:after="120"/>
        <w:jc w:val="center"/>
        <w:rPr>
          <w:b/>
          <w:sz w:val="28"/>
          <w:szCs w:val="28"/>
        </w:rPr>
      </w:pPr>
      <w:r>
        <w:rPr>
          <w:b/>
          <w:sz w:val="28"/>
          <w:szCs w:val="28"/>
        </w:rPr>
        <w:br w:type="page"/>
      </w:r>
      <w:r w:rsidRPr="00D664E6">
        <w:rPr>
          <w:b/>
          <w:sz w:val="28"/>
          <w:szCs w:val="28"/>
        </w:rPr>
        <w:lastRenderedPageBreak/>
        <w:t>Statement of Compatibility with Human Rights</w:t>
      </w:r>
    </w:p>
    <w:p w14:paraId="308D50C9" w14:textId="77777777" w:rsidR="00E24895" w:rsidRPr="00D664E6" w:rsidRDefault="00E24895" w:rsidP="00E24895">
      <w:pPr>
        <w:spacing w:before="120" w:after="120"/>
        <w:jc w:val="center"/>
        <w:rPr>
          <w:szCs w:val="24"/>
        </w:rPr>
      </w:pPr>
      <w:r w:rsidRPr="00D664E6">
        <w:rPr>
          <w:i/>
          <w:szCs w:val="24"/>
        </w:rPr>
        <w:t>Prepared in accordance with Part 3 of the Human Rights (Parliamentary Scrutiny) Act 2011</w:t>
      </w:r>
    </w:p>
    <w:p w14:paraId="308D50CA" w14:textId="77777777" w:rsidR="00E24895" w:rsidRPr="00B413F3" w:rsidRDefault="00E24895" w:rsidP="00E24895">
      <w:pPr>
        <w:spacing w:before="120" w:after="120"/>
        <w:jc w:val="center"/>
        <w:rPr>
          <w:b/>
          <w:i/>
          <w:szCs w:val="24"/>
        </w:rPr>
      </w:pPr>
      <w:r w:rsidRPr="00B413F3">
        <w:rPr>
          <w:b/>
          <w:i/>
          <w:szCs w:val="24"/>
        </w:rPr>
        <w:t xml:space="preserve">Health Insurance (Section 19AB Exemptions) Guidelines </w:t>
      </w:r>
      <w:r>
        <w:rPr>
          <w:b/>
          <w:i/>
          <w:szCs w:val="24"/>
        </w:rPr>
        <w:t>2017</w:t>
      </w:r>
    </w:p>
    <w:p w14:paraId="308D50CB" w14:textId="77777777" w:rsidR="00E24895" w:rsidRPr="00D664E6" w:rsidRDefault="00E24895" w:rsidP="00E24895">
      <w:pPr>
        <w:spacing w:before="120" w:after="120"/>
        <w:jc w:val="center"/>
        <w:rPr>
          <w:szCs w:val="24"/>
        </w:rPr>
      </w:pPr>
      <w:r w:rsidRPr="00D664E6">
        <w:rPr>
          <w:szCs w:val="24"/>
        </w:rPr>
        <w:t>This Legislative Instrument is compatible with the human rights and freedoms recognised or declared in the international instruments listed in s</w:t>
      </w:r>
      <w:r>
        <w:rPr>
          <w:szCs w:val="24"/>
        </w:rPr>
        <w:t xml:space="preserve">ection </w:t>
      </w:r>
      <w:r w:rsidRPr="00D664E6">
        <w:rPr>
          <w:szCs w:val="24"/>
        </w:rPr>
        <w:t xml:space="preserve">3 of the </w:t>
      </w:r>
      <w:r w:rsidRPr="00D664E6">
        <w:rPr>
          <w:i/>
          <w:szCs w:val="24"/>
        </w:rPr>
        <w:t>Human Rights (Parliamentary Scrutiny) Act 2011</w:t>
      </w:r>
      <w:r w:rsidRPr="00D664E6">
        <w:rPr>
          <w:szCs w:val="24"/>
        </w:rPr>
        <w:t>.</w:t>
      </w:r>
    </w:p>
    <w:p w14:paraId="308D50CC" w14:textId="77777777" w:rsidR="00E24895" w:rsidRPr="00470C73" w:rsidRDefault="00E24895" w:rsidP="00E24895">
      <w:pPr>
        <w:spacing w:before="120" w:after="120"/>
        <w:rPr>
          <w:b/>
          <w:i/>
          <w:szCs w:val="24"/>
        </w:rPr>
      </w:pPr>
      <w:r w:rsidRPr="00783724">
        <w:rPr>
          <w:b/>
          <w:szCs w:val="24"/>
        </w:rPr>
        <w:t xml:space="preserve">Overview of the </w:t>
      </w:r>
      <w:r w:rsidRPr="005C4EDA">
        <w:rPr>
          <w:b/>
          <w:i/>
          <w:szCs w:val="24"/>
        </w:rPr>
        <w:t xml:space="preserve">Health Insurance (Section 19AB Exemptions) Guidelines </w:t>
      </w:r>
      <w:r>
        <w:rPr>
          <w:b/>
          <w:i/>
          <w:szCs w:val="24"/>
        </w:rPr>
        <w:t>2017</w:t>
      </w:r>
    </w:p>
    <w:p w14:paraId="308D50CD" w14:textId="77777777" w:rsidR="00E24895" w:rsidRPr="00783724" w:rsidRDefault="00E24895" w:rsidP="00E24895">
      <w:pPr>
        <w:autoSpaceDE w:val="0"/>
        <w:autoSpaceDN w:val="0"/>
        <w:adjustRightInd w:val="0"/>
        <w:rPr>
          <w:color w:val="000000"/>
          <w:szCs w:val="24"/>
        </w:rPr>
      </w:pPr>
      <w:r w:rsidRPr="00783724">
        <w:rPr>
          <w:szCs w:val="24"/>
        </w:rPr>
        <w:t xml:space="preserve">The </w:t>
      </w:r>
      <w:r w:rsidRPr="00783724">
        <w:rPr>
          <w:i/>
          <w:szCs w:val="24"/>
        </w:rPr>
        <w:t>Health Insurance Act 1973</w:t>
      </w:r>
      <w:r w:rsidRPr="00783724">
        <w:rPr>
          <w:szCs w:val="24"/>
        </w:rPr>
        <w:t xml:space="preserve"> (the </w:t>
      </w:r>
      <w:r>
        <w:rPr>
          <w:szCs w:val="24"/>
        </w:rPr>
        <w:t>HIA</w:t>
      </w:r>
      <w:r w:rsidRPr="00783724">
        <w:rPr>
          <w:szCs w:val="24"/>
        </w:rPr>
        <w:t xml:space="preserve">) provides the conditions </w:t>
      </w:r>
      <w:r>
        <w:rPr>
          <w:szCs w:val="24"/>
        </w:rPr>
        <w:t xml:space="preserve">for </w:t>
      </w:r>
      <w:r w:rsidRPr="00783724">
        <w:rPr>
          <w:szCs w:val="24"/>
        </w:rPr>
        <w:t xml:space="preserve">medical practitioners </w:t>
      </w:r>
      <w:r>
        <w:rPr>
          <w:szCs w:val="24"/>
        </w:rPr>
        <w:t>to</w:t>
      </w:r>
      <w:r w:rsidRPr="00783724">
        <w:rPr>
          <w:szCs w:val="24"/>
        </w:rPr>
        <w:t xml:space="preserve"> </w:t>
      </w:r>
      <w:r w:rsidRPr="00783724">
        <w:rPr>
          <w:color w:val="000000"/>
          <w:szCs w:val="24"/>
        </w:rPr>
        <w:t xml:space="preserve">provide medical services that are subsidised by Medicare </w:t>
      </w:r>
      <w:r>
        <w:rPr>
          <w:color w:val="000000"/>
          <w:szCs w:val="24"/>
        </w:rPr>
        <w:t>rebates</w:t>
      </w:r>
      <w:r w:rsidRPr="00783724">
        <w:rPr>
          <w:color w:val="000000"/>
          <w:szCs w:val="24"/>
        </w:rPr>
        <w:t>. S</w:t>
      </w:r>
      <w:r>
        <w:rPr>
          <w:color w:val="000000"/>
          <w:szCs w:val="24"/>
        </w:rPr>
        <w:t>ubsections </w:t>
      </w:r>
      <w:proofErr w:type="gramStart"/>
      <w:r w:rsidRPr="00783724">
        <w:rPr>
          <w:color w:val="000000"/>
          <w:szCs w:val="24"/>
        </w:rPr>
        <w:t>19AB</w:t>
      </w:r>
      <w:r>
        <w:rPr>
          <w:color w:val="000000"/>
          <w:szCs w:val="24"/>
        </w:rPr>
        <w:t>(</w:t>
      </w:r>
      <w:proofErr w:type="gramEnd"/>
      <w:r>
        <w:rPr>
          <w:color w:val="000000"/>
          <w:szCs w:val="24"/>
        </w:rPr>
        <w:t>1)</w:t>
      </w:r>
      <w:r w:rsidRPr="00783724">
        <w:rPr>
          <w:color w:val="000000"/>
          <w:szCs w:val="24"/>
        </w:rPr>
        <w:t xml:space="preserve"> </w:t>
      </w:r>
      <w:r>
        <w:rPr>
          <w:color w:val="000000"/>
          <w:szCs w:val="24"/>
        </w:rPr>
        <w:t xml:space="preserve">and 19AB(2) </w:t>
      </w:r>
      <w:r w:rsidRPr="00783724">
        <w:rPr>
          <w:color w:val="000000"/>
          <w:szCs w:val="24"/>
        </w:rPr>
        <w:t xml:space="preserve">of the </w:t>
      </w:r>
      <w:r>
        <w:rPr>
          <w:color w:val="000000"/>
          <w:szCs w:val="24"/>
        </w:rPr>
        <w:t>HIA</w:t>
      </w:r>
      <w:r w:rsidRPr="00783724">
        <w:rPr>
          <w:color w:val="000000"/>
          <w:szCs w:val="24"/>
        </w:rPr>
        <w:t xml:space="preserve"> </w:t>
      </w:r>
      <w:r>
        <w:rPr>
          <w:color w:val="000000"/>
          <w:szCs w:val="24"/>
        </w:rPr>
        <w:t xml:space="preserve">prevent </w:t>
      </w:r>
      <w:r w:rsidRPr="00783724">
        <w:rPr>
          <w:color w:val="000000"/>
          <w:szCs w:val="24"/>
        </w:rPr>
        <w:t xml:space="preserve">two cohorts of medical practitioners who </w:t>
      </w:r>
      <w:r>
        <w:rPr>
          <w:color w:val="000000"/>
          <w:szCs w:val="24"/>
        </w:rPr>
        <w:t xml:space="preserve">were </w:t>
      </w:r>
      <w:r w:rsidRPr="00783724">
        <w:rPr>
          <w:color w:val="000000"/>
          <w:szCs w:val="24"/>
        </w:rPr>
        <w:t xml:space="preserve">registered </w:t>
      </w:r>
      <w:r>
        <w:rPr>
          <w:color w:val="000000"/>
          <w:szCs w:val="24"/>
        </w:rPr>
        <w:t xml:space="preserve">in Australia </w:t>
      </w:r>
      <w:r w:rsidRPr="00783724">
        <w:rPr>
          <w:color w:val="000000"/>
          <w:szCs w:val="24"/>
        </w:rPr>
        <w:t xml:space="preserve">after 1 January 1997 </w:t>
      </w:r>
      <w:r>
        <w:rPr>
          <w:color w:val="000000"/>
          <w:szCs w:val="24"/>
        </w:rPr>
        <w:t xml:space="preserve">from providing, or having provided on their behalf, services for which </w:t>
      </w:r>
      <w:r w:rsidRPr="00783724">
        <w:rPr>
          <w:color w:val="000000"/>
          <w:szCs w:val="24"/>
        </w:rPr>
        <w:t xml:space="preserve">Medicare rebates </w:t>
      </w:r>
      <w:r>
        <w:rPr>
          <w:color w:val="000000"/>
          <w:szCs w:val="24"/>
        </w:rPr>
        <w:t>may be paid. These cohorts</w:t>
      </w:r>
      <w:r w:rsidRPr="00783724">
        <w:rPr>
          <w:color w:val="000000"/>
          <w:szCs w:val="24"/>
        </w:rPr>
        <w:t xml:space="preserve"> are:</w:t>
      </w:r>
    </w:p>
    <w:p w14:paraId="308D50CE" w14:textId="77777777" w:rsidR="00E24895" w:rsidRPr="00783724" w:rsidRDefault="00E24895" w:rsidP="00E24895">
      <w:pPr>
        <w:autoSpaceDE w:val="0"/>
        <w:autoSpaceDN w:val="0"/>
        <w:adjustRightInd w:val="0"/>
        <w:rPr>
          <w:color w:val="000000"/>
          <w:szCs w:val="24"/>
        </w:rPr>
      </w:pPr>
    </w:p>
    <w:p w14:paraId="308D50CF" w14:textId="77777777" w:rsidR="00E24895" w:rsidRPr="00783724" w:rsidRDefault="00E24895" w:rsidP="001614E3">
      <w:pPr>
        <w:numPr>
          <w:ilvl w:val="0"/>
          <w:numId w:val="9"/>
        </w:numPr>
        <w:autoSpaceDE w:val="0"/>
        <w:autoSpaceDN w:val="0"/>
        <w:adjustRightInd w:val="0"/>
        <w:rPr>
          <w:color w:val="000000"/>
          <w:szCs w:val="24"/>
        </w:rPr>
      </w:pPr>
      <w:r>
        <w:rPr>
          <w:color w:val="000000"/>
          <w:szCs w:val="24"/>
        </w:rPr>
        <w:t>o</w:t>
      </w:r>
      <w:r w:rsidRPr="00783724">
        <w:rPr>
          <w:color w:val="000000"/>
          <w:szCs w:val="24"/>
        </w:rPr>
        <w:t xml:space="preserve">verseas trained doctors (OTDs) – medical practitioners who did not obtain their primary medical </w:t>
      </w:r>
      <w:r>
        <w:rPr>
          <w:color w:val="000000"/>
          <w:szCs w:val="24"/>
        </w:rPr>
        <w:t>degree (Bachelor of Surgery/Bachelor of Medicine or equivalent)</w:t>
      </w:r>
      <w:r w:rsidRPr="00783724">
        <w:rPr>
          <w:color w:val="000000"/>
          <w:szCs w:val="24"/>
        </w:rPr>
        <w:t xml:space="preserve"> at an Australian Medical Council (AMC) accredited medical school</w:t>
      </w:r>
      <w:r>
        <w:rPr>
          <w:color w:val="000000"/>
          <w:szCs w:val="24"/>
        </w:rPr>
        <w:t xml:space="preserve"> located</w:t>
      </w:r>
      <w:r w:rsidRPr="00783724">
        <w:rPr>
          <w:color w:val="000000"/>
          <w:szCs w:val="24"/>
        </w:rPr>
        <w:t xml:space="preserve"> in Australia or New Zealand; and</w:t>
      </w:r>
    </w:p>
    <w:p w14:paraId="308D50D0" w14:textId="77777777" w:rsidR="00E24895" w:rsidRPr="00783724" w:rsidRDefault="00E24895" w:rsidP="001614E3">
      <w:pPr>
        <w:numPr>
          <w:ilvl w:val="0"/>
          <w:numId w:val="9"/>
        </w:numPr>
        <w:autoSpaceDE w:val="0"/>
        <w:autoSpaceDN w:val="0"/>
        <w:adjustRightInd w:val="0"/>
        <w:rPr>
          <w:color w:val="000000"/>
          <w:szCs w:val="24"/>
        </w:rPr>
      </w:pPr>
      <w:r>
        <w:rPr>
          <w:color w:val="000000"/>
          <w:szCs w:val="24"/>
        </w:rPr>
        <w:t>f</w:t>
      </w:r>
      <w:r w:rsidRPr="00783724">
        <w:rPr>
          <w:color w:val="000000"/>
          <w:szCs w:val="24"/>
        </w:rPr>
        <w:t xml:space="preserve">oreign graduates of an accredited medical school (FGAMS) – medical practitioners who </w:t>
      </w:r>
      <w:r>
        <w:rPr>
          <w:color w:val="000000"/>
          <w:szCs w:val="24"/>
        </w:rPr>
        <w:t xml:space="preserve">obtained </w:t>
      </w:r>
      <w:r w:rsidRPr="00783724">
        <w:rPr>
          <w:color w:val="000000"/>
          <w:szCs w:val="24"/>
        </w:rPr>
        <w:t>their primary medical</w:t>
      </w:r>
      <w:r>
        <w:rPr>
          <w:color w:val="000000"/>
          <w:szCs w:val="24"/>
        </w:rPr>
        <w:t xml:space="preserve"> degree</w:t>
      </w:r>
      <w:r w:rsidRPr="00783724">
        <w:rPr>
          <w:color w:val="000000"/>
          <w:szCs w:val="24"/>
        </w:rPr>
        <w:t xml:space="preserve"> at an AMC accredited medical school</w:t>
      </w:r>
      <w:r>
        <w:rPr>
          <w:color w:val="000000"/>
          <w:szCs w:val="24"/>
        </w:rPr>
        <w:t xml:space="preserve"> in Australia or New Zealand</w:t>
      </w:r>
      <w:r w:rsidRPr="00783724">
        <w:rPr>
          <w:color w:val="000000"/>
          <w:szCs w:val="24"/>
        </w:rPr>
        <w:t xml:space="preserve"> </w:t>
      </w:r>
      <w:r>
        <w:rPr>
          <w:color w:val="000000"/>
          <w:szCs w:val="24"/>
        </w:rPr>
        <w:t>but</w:t>
      </w:r>
      <w:r w:rsidRPr="00783724">
        <w:rPr>
          <w:color w:val="000000"/>
          <w:szCs w:val="24"/>
        </w:rPr>
        <w:t xml:space="preserve"> who were not permanent residents or citizen</w:t>
      </w:r>
      <w:r>
        <w:rPr>
          <w:color w:val="000000"/>
          <w:szCs w:val="24"/>
        </w:rPr>
        <w:t>s of either country</w:t>
      </w:r>
      <w:r w:rsidRPr="00783724">
        <w:rPr>
          <w:color w:val="000000"/>
          <w:szCs w:val="24"/>
        </w:rPr>
        <w:t xml:space="preserve"> </w:t>
      </w:r>
      <w:r>
        <w:rPr>
          <w:color w:val="000000"/>
          <w:szCs w:val="24"/>
        </w:rPr>
        <w:t>on the day they enrolled</w:t>
      </w:r>
      <w:r w:rsidRPr="00783724">
        <w:rPr>
          <w:color w:val="000000"/>
          <w:szCs w:val="24"/>
        </w:rPr>
        <w:t xml:space="preserve"> </w:t>
      </w:r>
      <w:r>
        <w:rPr>
          <w:color w:val="000000"/>
          <w:szCs w:val="24"/>
        </w:rPr>
        <w:t>in their degree</w:t>
      </w:r>
      <w:r w:rsidRPr="00783724">
        <w:rPr>
          <w:color w:val="000000"/>
          <w:szCs w:val="24"/>
        </w:rPr>
        <w:t>.</w:t>
      </w:r>
    </w:p>
    <w:p w14:paraId="308D50D1" w14:textId="77777777" w:rsidR="00E24895" w:rsidRDefault="00E24895" w:rsidP="00E24895">
      <w:pPr>
        <w:rPr>
          <w:color w:val="000000"/>
          <w:szCs w:val="24"/>
        </w:rPr>
      </w:pPr>
    </w:p>
    <w:p w14:paraId="308D50D2" w14:textId="77777777" w:rsidR="00E24895" w:rsidRPr="00783724" w:rsidRDefault="00E24895" w:rsidP="00E24895">
      <w:pPr>
        <w:rPr>
          <w:color w:val="000000"/>
          <w:szCs w:val="24"/>
        </w:rPr>
      </w:pPr>
      <w:r w:rsidRPr="00783724">
        <w:rPr>
          <w:color w:val="000000"/>
          <w:szCs w:val="24"/>
        </w:rPr>
        <w:t xml:space="preserve">The restrictions that </w:t>
      </w:r>
      <w:r>
        <w:rPr>
          <w:color w:val="000000"/>
          <w:szCs w:val="24"/>
        </w:rPr>
        <w:t>apply</w:t>
      </w:r>
      <w:r w:rsidRPr="00783724">
        <w:rPr>
          <w:color w:val="000000"/>
          <w:szCs w:val="24"/>
        </w:rPr>
        <w:t xml:space="preserve"> </w:t>
      </w:r>
      <w:r>
        <w:rPr>
          <w:color w:val="000000"/>
          <w:szCs w:val="24"/>
        </w:rPr>
        <w:t xml:space="preserve">under subsections 19AB(1) and 19AB(2) </w:t>
      </w:r>
      <w:r w:rsidRPr="00783724">
        <w:rPr>
          <w:color w:val="000000"/>
          <w:szCs w:val="24"/>
        </w:rPr>
        <w:t>remain in effect for a</w:t>
      </w:r>
      <w:r>
        <w:rPr>
          <w:color w:val="000000"/>
          <w:szCs w:val="24"/>
        </w:rPr>
        <w:t xml:space="preserve"> minimum</w:t>
      </w:r>
      <w:r w:rsidRPr="00783724">
        <w:rPr>
          <w:color w:val="000000"/>
          <w:szCs w:val="24"/>
        </w:rPr>
        <w:t xml:space="preserve"> period of ten years </w:t>
      </w:r>
      <w:r>
        <w:rPr>
          <w:color w:val="000000"/>
          <w:szCs w:val="24"/>
        </w:rPr>
        <w:t>commencing on</w:t>
      </w:r>
      <w:r w:rsidRPr="00783724">
        <w:rPr>
          <w:color w:val="000000"/>
          <w:szCs w:val="24"/>
        </w:rPr>
        <w:t xml:space="preserve"> the date </w:t>
      </w:r>
      <w:r>
        <w:rPr>
          <w:color w:val="000000"/>
          <w:szCs w:val="24"/>
        </w:rPr>
        <w:t>the OTD or FGAMS</w:t>
      </w:r>
      <w:r w:rsidRPr="00783724">
        <w:rPr>
          <w:color w:val="000000"/>
          <w:szCs w:val="24"/>
        </w:rPr>
        <w:t xml:space="preserve"> </w:t>
      </w:r>
      <w:r>
        <w:rPr>
          <w:color w:val="000000"/>
          <w:szCs w:val="24"/>
        </w:rPr>
        <w:t xml:space="preserve">is </w:t>
      </w:r>
      <w:r w:rsidRPr="00783724">
        <w:rPr>
          <w:color w:val="000000"/>
          <w:szCs w:val="24"/>
        </w:rPr>
        <w:t xml:space="preserve">first </w:t>
      </w:r>
      <w:r>
        <w:rPr>
          <w:color w:val="000000"/>
          <w:szCs w:val="24"/>
        </w:rPr>
        <w:t>registered as a</w:t>
      </w:r>
      <w:r w:rsidRPr="00783724">
        <w:rPr>
          <w:color w:val="000000"/>
          <w:szCs w:val="24"/>
        </w:rPr>
        <w:t xml:space="preserve"> medical </w:t>
      </w:r>
      <w:r>
        <w:rPr>
          <w:color w:val="000000"/>
          <w:szCs w:val="24"/>
        </w:rPr>
        <w:t xml:space="preserve">practitioner in Australia. These restrictions </w:t>
      </w:r>
      <w:r w:rsidRPr="00783724">
        <w:rPr>
          <w:color w:val="000000"/>
          <w:szCs w:val="24"/>
        </w:rPr>
        <w:t>are referred to as the ‘ten year moratorium requirement’.</w:t>
      </w:r>
    </w:p>
    <w:p w14:paraId="308D50D3" w14:textId="77777777" w:rsidR="00E24895" w:rsidRPr="00783724" w:rsidRDefault="00E24895" w:rsidP="00E24895">
      <w:pPr>
        <w:rPr>
          <w:color w:val="000000"/>
          <w:szCs w:val="24"/>
        </w:rPr>
      </w:pPr>
    </w:p>
    <w:p w14:paraId="308D50D4" w14:textId="77777777" w:rsidR="00E24895" w:rsidRPr="00783724" w:rsidRDefault="00E24895" w:rsidP="00E24895">
      <w:pPr>
        <w:rPr>
          <w:color w:val="000000"/>
          <w:szCs w:val="24"/>
        </w:rPr>
      </w:pPr>
      <w:r w:rsidRPr="00783724">
        <w:rPr>
          <w:color w:val="000000"/>
          <w:szCs w:val="24"/>
        </w:rPr>
        <w:t>S</w:t>
      </w:r>
      <w:r>
        <w:rPr>
          <w:color w:val="000000"/>
          <w:szCs w:val="24"/>
        </w:rPr>
        <w:t xml:space="preserve">ubsection </w:t>
      </w:r>
      <w:proofErr w:type="gramStart"/>
      <w:r w:rsidRPr="00783724">
        <w:rPr>
          <w:color w:val="000000"/>
          <w:szCs w:val="24"/>
        </w:rPr>
        <w:t>19AB(</w:t>
      </w:r>
      <w:proofErr w:type="gramEnd"/>
      <w:r w:rsidRPr="00783724">
        <w:rPr>
          <w:color w:val="000000"/>
          <w:szCs w:val="24"/>
        </w:rPr>
        <w:t xml:space="preserve">3) of the </w:t>
      </w:r>
      <w:r>
        <w:rPr>
          <w:color w:val="000000"/>
          <w:szCs w:val="24"/>
        </w:rPr>
        <w:t>HIA</w:t>
      </w:r>
      <w:r w:rsidRPr="00783724">
        <w:rPr>
          <w:color w:val="000000"/>
          <w:szCs w:val="24"/>
        </w:rPr>
        <w:t xml:space="preserve"> provides that the Minister for Health may grant an exemption </w:t>
      </w:r>
      <w:r>
        <w:rPr>
          <w:color w:val="000000"/>
          <w:szCs w:val="24"/>
        </w:rPr>
        <w:t>from the operation of subsections 19AB(1) and 19AB(2).  Where an exemption is granted, the OTD or FGAMS may</w:t>
      </w:r>
      <w:r w:rsidRPr="00783724">
        <w:rPr>
          <w:color w:val="000000"/>
          <w:szCs w:val="24"/>
        </w:rPr>
        <w:t xml:space="preserve"> provide services that </w:t>
      </w:r>
      <w:r>
        <w:rPr>
          <w:color w:val="000000"/>
          <w:szCs w:val="24"/>
        </w:rPr>
        <w:t xml:space="preserve">attract Medicare rebates before their </w:t>
      </w:r>
      <w:r w:rsidRPr="00783724">
        <w:rPr>
          <w:color w:val="000000"/>
          <w:szCs w:val="24"/>
        </w:rPr>
        <w:t xml:space="preserve">ten year moratorium </w:t>
      </w:r>
      <w:r>
        <w:rPr>
          <w:color w:val="000000"/>
          <w:szCs w:val="24"/>
        </w:rPr>
        <w:t>has expired</w:t>
      </w:r>
      <w:r w:rsidRPr="00783724">
        <w:rPr>
          <w:color w:val="000000"/>
          <w:szCs w:val="24"/>
        </w:rPr>
        <w:t>.</w:t>
      </w:r>
      <w:r>
        <w:rPr>
          <w:color w:val="000000"/>
          <w:szCs w:val="24"/>
        </w:rPr>
        <w:t xml:space="preserve">  These exemptions are referred to as section 19AB(3) exemptions and, once granted, allow the Department of Human Services to issue a Medicare provider number to an OTD or FGAMS and pay Medicare rebates for the services they provide. </w:t>
      </w:r>
      <w:r w:rsidRPr="00783724">
        <w:rPr>
          <w:color w:val="000000"/>
          <w:szCs w:val="24"/>
        </w:rPr>
        <w:t xml:space="preserve"> </w:t>
      </w:r>
    </w:p>
    <w:p w14:paraId="308D50D5" w14:textId="77777777" w:rsidR="00E24895" w:rsidRDefault="00E24895" w:rsidP="00E24895">
      <w:pPr>
        <w:rPr>
          <w:color w:val="000000"/>
          <w:szCs w:val="24"/>
        </w:rPr>
      </w:pPr>
    </w:p>
    <w:p w14:paraId="308D50D6" w14:textId="77777777" w:rsidR="00E24895" w:rsidRDefault="00E24895" w:rsidP="00E24895">
      <w:pPr>
        <w:rPr>
          <w:color w:val="000000"/>
          <w:szCs w:val="24"/>
        </w:rPr>
      </w:pPr>
      <w:r w:rsidRPr="007F52F7">
        <w:rPr>
          <w:color w:val="000000"/>
          <w:szCs w:val="24"/>
        </w:rPr>
        <w:t>S</w:t>
      </w:r>
      <w:r>
        <w:rPr>
          <w:color w:val="000000"/>
          <w:szCs w:val="24"/>
        </w:rPr>
        <w:t>ubsection </w:t>
      </w:r>
      <w:proofErr w:type="gramStart"/>
      <w:r w:rsidRPr="007F52F7">
        <w:rPr>
          <w:color w:val="000000"/>
          <w:szCs w:val="24"/>
        </w:rPr>
        <w:t>19AB(</w:t>
      </w:r>
      <w:proofErr w:type="gramEnd"/>
      <w:r w:rsidRPr="007F52F7">
        <w:rPr>
          <w:color w:val="000000"/>
          <w:szCs w:val="24"/>
        </w:rPr>
        <w:t xml:space="preserve">4B) provides that the Minister for Health must </w:t>
      </w:r>
      <w:r>
        <w:rPr>
          <w:color w:val="000000"/>
          <w:szCs w:val="24"/>
        </w:rPr>
        <w:t>make</w:t>
      </w:r>
      <w:r w:rsidRPr="007F52F7">
        <w:rPr>
          <w:color w:val="000000"/>
          <w:szCs w:val="24"/>
        </w:rPr>
        <w:t xml:space="preserve"> written guidelines th</w:t>
      </w:r>
      <w:r>
        <w:rPr>
          <w:color w:val="000000"/>
          <w:szCs w:val="24"/>
        </w:rPr>
        <w:t xml:space="preserve">at </w:t>
      </w:r>
      <w:r w:rsidRPr="00B224E5">
        <w:rPr>
          <w:color w:val="000000"/>
          <w:szCs w:val="24"/>
        </w:rPr>
        <w:t xml:space="preserve">apply to </w:t>
      </w:r>
      <w:r>
        <w:rPr>
          <w:color w:val="000000"/>
          <w:szCs w:val="24"/>
        </w:rPr>
        <w:t>granting exemptions under</w:t>
      </w:r>
      <w:r w:rsidRPr="00B224E5">
        <w:rPr>
          <w:color w:val="000000"/>
          <w:szCs w:val="24"/>
        </w:rPr>
        <w:t xml:space="preserve"> section 19AB(3) and to the imposing of conditions on exemptions.   </w:t>
      </w:r>
    </w:p>
    <w:p w14:paraId="308D50D7" w14:textId="77777777" w:rsidR="00E24895" w:rsidRDefault="00E24895" w:rsidP="00E24895">
      <w:pPr>
        <w:contextualSpacing/>
        <w:rPr>
          <w:color w:val="000000"/>
          <w:szCs w:val="24"/>
        </w:rPr>
      </w:pPr>
    </w:p>
    <w:p w14:paraId="308D50D8" w14:textId="77777777" w:rsidR="00E24895" w:rsidRPr="00B224E5" w:rsidRDefault="00E24895" w:rsidP="00E24895">
      <w:pPr>
        <w:contextualSpacing/>
        <w:rPr>
          <w:color w:val="000000"/>
          <w:szCs w:val="24"/>
        </w:rPr>
      </w:pPr>
      <w:r w:rsidRPr="00B224E5">
        <w:rPr>
          <w:color w:val="000000"/>
          <w:szCs w:val="24"/>
        </w:rPr>
        <w:t xml:space="preserve">The </w:t>
      </w:r>
      <w:r w:rsidRPr="00967D2D">
        <w:rPr>
          <w:i/>
          <w:color w:val="000000"/>
          <w:szCs w:val="24"/>
        </w:rPr>
        <w:t>Health Insurance</w:t>
      </w:r>
      <w:r w:rsidRPr="00B224E5">
        <w:rPr>
          <w:color w:val="000000"/>
          <w:szCs w:val="24"/>
        </w:rPr>
        <w:t xml:space="preserve"> (</w:t>
      </w:r>
      <w:r w:rsidRPr="00967D2D">
        <w:rPr>
          <w:i/>
          <w:szCs w:val="24"/>
        </w:rPr>
        <w:t xml:space="preserve">Section 19AB Exemptions) Guidelines </w:t>
      </w:r>
      <w:r>
        <w:rPr>
          <w:i/>
          <w:szCs w:val="24"/>
        </w:rPr>
        <w:t>2017</w:t>
      </w:r>
      <w:r w:rsidRPr="00B224E5">
        <w:rPr>
          <w:i/>
          <w:szCs w:val="24"/>
        </w:rPr>
        <w:t xml:space="preserve"> </w:t>
      </w:r>
      <w:r w:rsidRPr="00B224E5">
        <w:rPr>
          <w:szCs w:val="24"/>
        </w:rPr>
        <w:t xml:space="preserve">(the Guidelines) revoke and replace the </w:t>
      </w:r>
      <w:r w:rsidRPr="00967D2D">
        <w:rPr>
          <w:i/>
          <w:color w:val="000000"/>
          <w:szCs w:val="24"/>
        </w:rPr>
        <w:t>Health Insurance</w:t>
      </w:r>
      <w:r w:rsidRPr="00B224E5">
        <w:rPr>
          <w:color w:val="000000"/>
          <w:szCs w:val="24"/>
        </w:rPr>
        <w:t xml:space="preserve"> (</w:t>
      </w:r>
      <w:r w:rsidRPr="00967D2D">
        <w:rPr>
          <w:i/>
          <w:szCs w:val="24"/>
        </w:rPr>
        <w:t xml:space="preserve">Section 19AB Exemptions) Guidelines </w:t>
      </w:r>
      <w:r>
        <w:rPr>
          <w:i/>
          <w:szCs w:val="24"/>
        </w:rPr>
        <w:t xml:space="preserve">2016 </w:t>
      </w:r>
      <w:r w:rsidRPr="00967D2D">
        <w:rPr>
          <w:szCs w:val="24"/>
        </w:rPr>
        <w:t>(the P</w:t>
      </w:r>
      <w:r w:rsidRPr="00014484">
        <w:rPr>
          <w:szCs w:val="24"/>
        </w:rPr>
        <w:t>r</w:t>
      </w:r>
      <w:r w:rsidRPr="00B224E5">
        <w:rPr>
          <w:szCs w:val="24"/>
        </w:rPr>
        <w:t xml:space="preserve">evious </w:t>
      </w:r>
      <w:r>
        <w:rPr>
          <w:szCs w:val="24"/>
        </w:rPr>
        <w:t>G</w:t>
      </w:r>
      <w:r w:rsidRPr="00B224E5">
        <w:rPr>
          <w:szCs w:val="24"/>
        </w:rPr>
        <w:t>uidelines</w:t>
      </w:r>
      <w:r>
        <w:rPr>
          <w:szCs w:val="24"/>
        </w:rPr>
        <w:t>)</w:t>
      </w:r>
      <w:r w:rsidRPr="00B224E5">
        <w:rPr>
          <w:szCs w:val="24"/>
        </w:rPr>
        <w:t xml:space="preserve">.   </w:t>
      </w:r>
    </w:p>
    <w:p w14:paraId="308D50D9" w14:textId="77777777" w:rsidR="00E24895" w:rsidRPr="00B224E5" w:rsidRDefault="00E24895" w:rsidP="00E24895">
      <w:pPr>
        <w:contextualSpacing/>
        <w:rPr>
          <w:color w:val="000000"/>
          <w:szCs w:val="24"/>
        </w:rPr>
      </w:pPr>
    </w:p>
    <w:p w14:paraId="308D50DA" w14:textId="77777777" w:rsidR="00E24895" w:rsidRDefault="00E24895" w:rsidP="00E24895">
      <w:pPr>
        <w:contextualSpacing/>
        <w:rPr>
          <w:color w:val="000000"/>
          <w:szCs w:val="24"/>
        </w:rPr>
      </w:pPr>
    </w:p>
    <w:p w14:paraId="308D50DB" w14:textId="77777777" w:rsidR="00E24895" w:rsidRDefault="00E24895" w:rsidP="00E24895">
      <w:pPr>
        <w:contextualSpacing/>
        <w:rPr>
          <w:color w:val="000000"/>
          <w:szCs w:val="24"/>
        </w:rPr>
      </w:pPr>
    </w:p>
    <w:p w14:paraId="308D50DC" w14:textId="77777777" w:rsidR="00E24895" w:rsidRPr="00B224E5" w:rsidRDefault="00E24895" w:rsidP="00E24895">
      <w:pPr>
        <w:contextualSpacing/>
        <w:rPr>
          <w:color w:val="000000"/>
          <w:szCs w:val="24"/>
        </w:rPr>
      </w:pPr>
      <w:r w:rsidRPr="00B224E5">
        <w:rPr>
          <w:color w:val="000000"/>
          <w:szCs w:val="24"/>
        </w:rPr>
        <w:t>Like the</w:t>
      </w:r>
      <w:r>
        <w:rPr>
          <w:color w:val="000000"/>
          <w:szCs w:val="24"/>
        </w:rPr>
        <w:t xml:space="preserve"> Previous</w:t>
      </w:r>
      <w:r w:rsidRPr="00B224E5">
        <w:rPr>
          <w:color w:val="000000"/>
          <w:szCs w:val="24"/>
        </w:rPr>
        <w:t xml:space="preserve"> </w:t>
      </w:r>
      <w:r>
        <w:rPr>
          <w:color w:val="000000"/>
          <w:szCs w:val="24"/>
        </w:rPr>
        <w:t>Guidelines</w:t>
      </w:r>
      <w:r w:rsidRPr="00B224E5">
        <w:rPr>
          <w:color w:val="000000"/>
          <w:szCs w:val="24"/>
        </w:rPr>
        <w:t>, the Guidelines provide that the primary consideration for the Minister for Health when assessing most applications for a s</w:t>
      </w:r>
      <w:r>
        <w:rPr>
          <w:color w:val="000000"/>
          <w:szCs w:val="24"/>
        </w:rPr>
        <w:t>ubs</w:t>
      </w:r>
      <w:r w:rsidRPr="00B224E5">
        <w:rPr>
          <w:color w:val="000000"/>
          <w:szCs w:val="24"/>
        </w:rPr>
        <w:t xml:space="preserve">ection 19AB(3) exemption is </w:t>
      </w:r>
      <w:r w:rsidRPr="00B224E5">
        <w:rPr>
          <w:color w:val="000000"/>
          <w:szCs w:val="24"/>
        </w:rPr>
        <w:lastRenderedPageBreak/>
        <w:t>whether the applicant medical practitioner is seeking to practise in a district of workforce shortage (DWS) for their medical specialty</w:t>
      </w:r>
      <w:r>
        <w:rPr>
          <w:color w:val="000000"/>
          <w:szCs w:val="24"/>
        </w:rPr>
        <w:t xml:space="preserve"> (see subsection 6(2) of the Guidelines)</w:t>
      </w:r>
      <w:r w:rsidRPr="00B224E5">
        <w:rPr>
          <w:color w:val="000000"/>
          <w:szCs w:val="24"/>
        </w:rPr>
        <w:t xml:space="preserve">.  </w:t>
      </w:r>
    </w:p>
    <w:p w14:paraId="308D50DD" w14:textId="77777777" w:rsidR="00E24895" w:rsidRPr="00B224E5" w:rsidRDefault="00E24895" w:rsidP="00E24895">
      <w:pPr>
        <w:contextualSpacing/>
        <w:rPr>
          <w:color w:val="000000"/>
          <w:szCs w:val="24"/>
        </w:rPr>
      </w:pPr>
    </w:p>
    <w:p w14:paraId="308D50DE" w14:textId="77777777" w:rsidR="00E24895" w:rsidRPr="00B224E5" w:rsidRDefault="00E24895" w:rsidP="00E24895">
      <w:pPr>
        <w:contextualSpacing/>
        <w:rPr>
          <w:color w:val="000000"/>
          <w:szCs w:val="24"/>
        </w:rPr>
      </w:pPr>
      <w:r>
        <w:rPr>
          <w:color w:val="000000"/>
          <w:szCs w:val="24"/>
        </w:rPr>
        <w:t>A</w:t>
      </w:r>
      <w:r w:rsidRPr="00B224E5">
        <w:rPr>
          <w:color w:val="000000"/>
          <w:szCs w:val="24"/>
        </w:rPr>
        <w:t xml:space="preserve"> DWS is </w:t>
      </w:r>
      <w:r>
        <w:rPr>
          <w:color w:val="000000"/>
          <w:szCs w:val="24"/>
        </w:rPr>
        <w:t>a</w:t>
      </w:r>
      <w:r w:rsidRPr="00B224E5">
        <w:rPr>
          <w:color w:val="000000"/>
          <w:szCs w:val="24"/>
        </w:rPr>
        <w:t xml:space="preserve"> geographical area that ha</w:t>
      </w:r>
      <w:r>
        <w:rPr>
          <w:color w:val="000000"/>
          <w:szCs w:val="24"/>
        </w:rPr>
        <w:t>s</w:t>
      </w:r>
      <w:r w:rsidRPr="00B224E5">
        <w:rPr>
          <w:color w:val="000000"/>
          <w:szCs w:val="24"/>
        </w:rPr>
        <w:t xml:space="preserve"> less access to Medicare-subsidised medical services than the national average with reference to the latest Medicare fee billing statistics.  A lack of access to </w:t>
      </w:r>
      <w:r>
        <w:rPr>
          <w:color w:val="000000"/>
          <w:szCs w:val="24"/>
        </w:rPr>
        <w:t xml:space="preserve">Medicare-eligible </w:t>
      </w:r>
      <w:r w:rsidRPr="00B224E5">
        <w:rPr>
          <w:color w:val="000000"/>
          <w:szCs w:val="24"/>
        </w:rPr>
        <w:t>services is indicative of unmet local needs for medical services.</w:t>
      </w:r>
    </w:p>
    <w:p w14:paraId="308D50DF" w14:textId="77777777" w:rsidR="00E24895" w:rsidRPr="00B224E5" w:rsidRDefault="00E24895" w:rsidP="00E24895">
      <w:pPr>
        <w:ind w:left="360"/>
        <w:contextualSpacing/>
        <w:rPr>
          <w:szCs w:val="24"/>
        </w:rPr>
      </w:pPr>
    </w:p>
    <w:p w14:paraId="308D50E0" w14:textId="77777777" w:rsidR="00E24895" w:rsidRDefault="00E24895" w:rsidP="00E24895">
      <w:pPr>
        <w:contextualSpacing/>
        <w:rPr>
          <w:color w:val="000000"/>
          <w:szCs w:val="24"/>
        </w:rPr>
      </w:pPr>
      <w:r>
        <w:rPr>
          <w:szCs w:val="24"/>
        </w:rPr>
        <w:t xml:space="preserve">These </w:t>
      </w:r>
      <w:r w:rsidRPr="00B224E5">
        <w:rPr>
          <w:szCs w:val="24"/>
        </w:rPr>
        <w:t xml:space="preserve">Guidelines continue to function as an important mechanism for the Australian Government to achieve a targeted increase in the availability of Government subsidised medical services in geographic areas that experience the greatest need.  By providing a mechanism for </w:t>
      </w:r>
      <w:r w:rsidRPr="00B224E5">
        <w:rPr>
          <w:color w:val="000000"/>
          <w:szCs w:val="24"/>
        </w:rPr>
        <w:t xml:space="preserve">encouraging doctors to practise in DWS areas, the </w:t>
      </w:r>
      <w:r w:rsidRPr="00D94B7D">
        <w:rPr>
          <w:color w:val="000000"/>
          <w:szCs w:val="24"/>
        </w:rPr>
        <w:t>Guidelines</w:t>
      </w:r>
      <w:r w:rsidRPr="00B224E5">
        <w:rPr>
          <w:i/>
          <w:color w:val="000000"/>
          <w:szCs w:val="24"/>
        </w:rPr>
        <w:t xml:space="preserve"> </w:t>
      </w:r>
      <w:r w:rsidRPr="00B224E5">
        <w:rPr>
          <w:color w:val="000000"/>
          <w:szCs w:val="24"/>
        </w:rPr>
        <w:t xml:space="preserve">are of particular benefit to Australians who reside in regional and remote areas and who face difficulties with accessing appropriate medical services because of their distance from the capital cities. </w:t>
      </w:r>
    </w:p>
    <w:p w14:paraId="308D50E1" w14:textId="77777777" w:rsidR="00E24895" w:rsidRDefault="00E24895" w:rsidP="00E24895">
      <w:pPr>
        <w:contextualSpacing/>
        <w:rPr>
          <w:color w:val="000000"/>
          <w:szCs w:val="24"/>
        </w:rPr>
      </w:pPr>
    </w:p>
    <w:p w14:paraId="308D50E2" w14:textId="77777777" w:rsidR="00E24895" w:rsidRPr="00B224E5" w:rsidRDefault="00E24895" w:rsidP="00E24895">
      <w:pPr>
        <w:contextualSpacing/>
        <w:rPr>
          <w:color w:val="000000"/>
          <w:szCs w:val="24"/>
        </w:rPr>
      </w:pPr>
      <w:r w:rsidRPr="00B224E5">
        <w:rPr>
          <w:color w:val="000000"/>
          <w:szCs w:val="24"/>
        </w:rPr>
        <w:t>Although the DWS status of the location to which the application relates is required by the Guidelines to be the primary consideration in deciding most applications for an exemption,</w:t>
      </w:r>
      <w:r>
        <w:rPr>
          <w:color w:val="000000"/>
          <w:szCs w:val="24"/>
        </w:rPr>
        <w:t xml:space="preserve"> subsection 6(3) of </w:t>
      </w:r>
      <w:r w:rsidRPr="00B224E5">
        <w:rPr>
          <w:color w:val="000000"/>
          <w:szCs w:val="24"/>
        </w:rPr>
        <w:t>the Guidelines continue</w:t>
      </w:r>
      <w:r>
        <w:rPr>
          <w:color w:val="000000"/>
          <w:szCs w:val="24"/>
        </w:rPr>
        <w:t>s</w:t>
      </w:r>
      <w:r w:rsidRPr="00B224E5">
        <w:rPr>
          <w:color w:val="000000"/>
          <w:szCs w:val="24"/>
        </w:rPr>
        <w:t xml:space="preserve"> to specify a range of other </w:t>
      </w:r>
      <w:r>
        <w:rPr>
          <w:color w:val="000000"/>
          <w:szCs w:val="24"/>
        </w:rPr>
        <w:t>matters</w:t>
      </w:r>
      <w:r w:rsidRPr="00B224E5">
        <w:rPr>
          <w:color w:val="000000"/>
          <w:szCs w:val="24"/>
        </w:rPr>
        <w:t xml:space="preserve"> the Minister may consider.  These remain unchanged from the </w:t>
      </w:r>
      <w:r>
        <w:rPr>
          <w:color w:val="000000"/>
          <w:szCs w:val="24"/>
        </w:rPr>
        <w:t>P</w:t>
      </w:r>
      <w:r w:rsidRPr="00B224E5">
        <w:rPr>
          <w:color w:val="000000"/>
          <w:szCs w:val="24"/>
        </w:rPr>
        <w:t xml:space="preserve">revious </w:t>
      </w:r>
      <w:r>
        <w:rPr>
          <w:color w:val="000000"/>
          <w:szCs w:val="24"/>
        </w:rPr>
        <w:t>G</w:t>
      </w:r>
      <w:r w:rsidRPr="00B224E5">
        <w:rPr>
          <w:color w:val="000000"/>
          <w:szCs w:val="24"/>
        </w:rPr>
        <w:t>uidelines and include:</w:t>
      </w:r>
    </w:p>
    <w:p w14:paraId="308D50E3" w14:textId="5A276229" w:rsidR="00E24895" w:rsidRPr="00B224E5" w:rsidRDefault="00E24895" w:rsidP="001614E3">
      <w:pPr>
        <w:numPr>
          <w:ilvl w:val="0"/>
          <w:numId w:val="14"/>
        </w:numPr>
        <w:spacing w:before="120"/>
        <w:ind w:left="357" w:hanging="357"/>
        <w:rPr>
          <w:color w:val="000000"/>
          <w:szCs w:val="24"/>
        </w:rPr>
      </w:pPr>
      <w:r w:rsidRPr="00B224E5">
        <w:rPr>
          <w:color w:val="000000"/>
          <w:szCs w:val="24"/>
        </w:rPr>
        <w:t>whether any restrictions have been imposed on the applicant’s medical registration and whether the applicant’s visa allows them to practi</w:t>
      </w:r>
      <w:r w:rsidR="001614E3">
        <w:rPr>
          <w:color w:val="000000"/>
          <w:szCs w:val="24"/>
        </w:rPr>
        <w:t>s</w:t>
      </w:r>
      <w:r w:rsidRPr="00B224E5">
        <w:rPr>
          <w:color w:val="000000"/>
          <w:szCs w:val="24"/>
        </w:rPr>
        <w:t>e medicine or undertake clinical training in medicine;</w:t>
      </w:r>
    </w:p>
    <w:p w14:paraId="308D50E4" w14:textId="77777777" w:rsidR="00E24895" w:rsidRPr="00B224E5" w:rsidRDefault="00E24895" w:rsidP="001614E3">
      <w:pPr>
        <w:numPr>
          <w:ilvl w:val="0"/>
          <w:numId w:val="14"/>
        </w:numPr>
        <w:spacing w:before="120"/>
        <w:ind w:left="357" w:hanging="357"/>
        <w:rPr>
          <w:color w:val="000000"/>
          <w:szCs w:val="24"/>
        </w:rPr>
      </w:pPr>
      <w:r w:rsidRPr="00B224E5">
        <w:rPr>
          <w:color w:val="000000"/>
          <w:szCs w:val="24"/>
        </w:rPr>
        <w:t xml:space="preserve">whether the applicant has entered into or commenced negotiations to enter into an agreement to provide medical services at the location to which the application relates and, if the location is not a DWS at the time the application is decided, whether the location was in a DWS at the time the applicant commenced negotiations to provide services at the location while it was in a DWS; and </w:t>
      </w:r>
    </w:p>
    <w:p w14:paraId="308D50E5" w14:textId="77777777" w:rsidR="00E24895" w:rsidRDefault="00E24895" w:rsidP="001614E3">
      <w:pPr>
        <w:pStyle w:val="ListParagraph"/>
        <w:numPr>
          <w:ilvl w:val="0"/>
          <w:numId w:val="14"/>
        </w:numPr>
        <w:spacing w:before="120"/>
        <w:ind w:left="357" w:hanging="357"/>
        <w:contextualSpacing w:val="0"/>
      </w:pPr>
      <w:proofErr w:type="gramStart"/>
      <w:r w:rsidRPr="00B224E5">
        <w:rPr>
          <w:color w:val="000000"/>
        </w:rPr>
        <w:t>whether</w:t>
      </w:r>
      <w:proofErr w:type="gramEnd"/>
      <w:r w:rsidRPr="00B224E5">
        <w:rPr>
          <w:color w:val="000000"/>
        </w:rPr>
        <w:t xml:space="preserve"> the applicant is intending to provide private medical services in the after-hours</w:t>
      </w:r>
      <w:r>
        <w:rPr>
          <w:color w:val="000000"/>
        </w:rPr>
        <w:t xml:space="preserve"> period.</w:t>
      </w:r>
    </w:p>
    <w:p w14:paraId="308D50E6" w14:textId="77777777" w:rsidR="00E24895" w:rsidRDefault="00E24895" w:rsidP="00E24895"/>
    <w:p w14:paraId="308D50E7" w14:textId="77777777" w:rsidR="00E24895" w:rsidRPr="00B224E5" w:rsidRDefault="00E24895" w:rsidP="00E24895">
      <w:pPr>
        <w:contextualSpacing/>
        <w:rPr>
          <w:szCs w:val="24"/>
        </w:rPr>
      </w:pPr>
      <w:r w:rsidRPr="00B224E5">
        <w:rPr>
          <w:szCs w:val="24"/>
        </w:rPr>
        <w:t>The Guidelines also set out a number of categories of application for an exemption for which the Minister is not to consider the DWS status of the location in making his or her decision whether to grant a s</w:t>
      </w:r>
      <w:r>
        <w:rPr>
          <w:szCs w:val="24"/>
        </w:rPr>
        <w:t>ubs</w:t>
      </w:r>
      <w:r w:rsidRPr="00B224E5">
        <w:rPr>
          <w:szCs w:val="24"/>
        </w:rPr>
        <w:t xml:space="preserve">ection 19AB(3) exemption, specifically: </w:t>
      </w:r>
    </w:p>
    <w:p w14:paraId="308D50E8" w14:textId="77777777" w:rsidR="00E24895" w:rsidRPr="00B224E5" w:rsidRDefault="00E24895" w:rsidP="001614E3">
      <w:pPr>
        <w:numPr>
          <w:ilvl w:val="0"/>
          <w:numId w:val="11"/>
        </w:numPr>
        <w:spacing w:before="120"/>
        <w:ind w:left="357" w:hanging="357"/>
        <w:rPr>
          <w:szCs w:val="24"/>
        </w:rPr>
      </w:pPr>
      <w:r w:rsidRPr="00B224E5">
        <w:rPr>
          <w:szCs w:val="24"/>
        </w:rPr>
        <w:t>where the applicant will be providing services at an Aboriginal and Torres Strait Islander primary health care service that is subject to a direction made under subsection</w:t>
      </w:r>
      <w:r>
        <w:rPr>
          <w:szCs w:val="24"/>
        </w:rPr>
        <w:t> </w:t>
      </w:r>
      <w:r w:rsidRPr="00B224E5">
        <w:rPr>
          <w:szCs w:val="24"/>
        </w:rPr>
        <w:t>19(2) of the HIA</w:t>
      </w:r>
      <w:r>
        <w:rPr>
          <w:szCs w:val="24"/>
        </w:rPr>
        <w:t xml:space="preserve"> (section 7</w:t>
      </w:r>
      <w:r w:rsidRPr="00B224E5">
        <w:rPr>
          <w:szCs w:val="24"/>
        </w:rPr>
        <w:t>);</w:t>
      </w:r>
    </w:p>
    <w:p w14:paraId="308D50E9" w14:textId="77777777" w:rsidR="00E24895" w:rsidRPr="00B224E5" w:rsidRDefault="00E24895" w:rsidP="001614E3">
      <w:pPr>
        <w:numPr>
          <w:ilvl w:val="0"/>
          <w:numId w:val="11"/>
        </w:numPr>
        <w:spacing w:before="120"/>
        <w:ind w:left="357" w:hanging="357"/>
        <w:rPr>
          <w:szCs w:val="24"/>
        </w:rPr>
      </w:pPr>
      <w:r w:rsidRPr="00B224E5">
        <w:rPr>
          <w:szCs w:val="24"/>
        </w:rPr>
        <w:t>where the applicant is a spouse (including de facto partner) of:</w:t>
      </w:r>
    </w:p>
    <w:p w14:paraId="308D50EA" w14:textId="52FED670" w:rsidR="00E24895" w:rsidRPr="00B224E5" w:rsidRDefault="00E24895" w:rsidP="001614E3">
      <w:pPr>
        <w:numPr>
          <w:ilvl w:val="0"/>
          <w:numId w:val="13"/>
        </w:numPr>
        <w:spacing w:before="120"/>
        <w:ind w:left="584" w:hanging="357"/>
        <w:rPr>
          <w:b/>
          <w:color w:val="000000"/>
          <w:szCs w:val="24"/>
        </w:rPr>
      </w:pPr>
      <w:r w:rsidRPr="00B224E5">
        <w:t xml:space="preserve">a medical practitioner who is not prevented from providing </w:t>
      </w:r>
      <w:r>
        <w:t>Medicare</w:t>
      </w:r>
      <w:r w:rsidRPr="00B224E5">
        <w:t>-eligible se</w:t>
      </w:r>
      <w:r w:rsidR="001614E3">
        <w:t>rvices, or having them provided</w:t>
      </w:r>
      <w:r w:rsidRPr="00B224E5">
        <w:t xml:space="preserve"> on their behalf, by subsections 19AB(1) and (2) of the HIA; or </w:t>
      </w:r>
    </w:p>
    <w:p w14:paraId="308D50EB" w14:textId="77777777" w:rsidR="00E24895" w:rsidRPr="00B224E5" w:rsidRDefault="00E24895" w:rsidP="001614E3">
      <w:pPr>
        <w:numPr>
          <w:ilvl w:val="0"/>
          <w:numId w:val="13"/>
        </w:numPr>
        <w:spacing w:before="120"/>
        <w:ind w:left="584" w:hanging="357"/>
        <w:rPr>
          <w:b/>
          <w:color w:val="000000"/>
          <w:szCs w:val="24"/>
        </w:rPr>
      </w:pPr>
      <w:r w:rsidRPr="00B224E5">
        <w:t>a person who holds a general skilled migration visa and has been assessed as having a skilled occupation or migration occupation in demand, who migrated to Australia in the last 10 years to work in that occupation and who is currently employed in, volunteers in or is training in that occupation</w:t>
      </w:r>
      <w:r>
        <w:t xml:space="preserve"> (section 8)</w:t>
      </w:r>
      <w:r w:rsidRPr="00B224E5">
        <w:t>; or</w:t>
      </w:r>
    </w:p>
    <w:p w14:paraId="308D50EC" w14:textId="77777777" w:rsidR="00E24895" w:rsidRPr="00B224E5" w:rsidRDefault="00E24895" w:rsidP="001614E3">
      <w:pPr>
        <w:numPr>
          <w:ilvl w:val="0"/>
          <w:numId w:val="12"/>
        </w:numPr>
        <w:spacing w:before="120"/>
        <w:ind w:left="357" w:hanging="357"/>
        <w:rPr>
          <w:szCs w:val="24"/>
        </w:rPr>
      </w:pPr>
      <w:proofErr w:type="gramStart"/>
      <w:r w:rsidRPr="00B224E5">
        <w:rPr>
          <w:color w:val="000000"/>
        </w:rPr>
        <w:t>where</w:t>
      </w:r>
      <w:proofErr w:type="gramEnd"/>
      <w:r w:rsidRPr="00B224E5">
        <w:rPr>
          <w:color w:val="000000"/>
        </w:rPr>
        <w:t xml:space="preserve"> the applicant </w:t>
      </w:r>
      <w:r w:rsidRPr="00B224E5">
        <w:rPr>
          <w:szCs w:val="24"/>
        </w:rPr>
        <w:t xml:space="preserve">will be providing </w:t>
      </w:r>
      <w:r w:rsidRPr="00B224E5">
        <w:t xml:space="preserve">locum </w:t>
      </w:r>
      <w:r w:rsidRPr="00B224E5">
        <w:rPr>
          <w:szCs w:val="24"/>
        </w:rPr>
        <w:t>services</w:t>
      </w:r>
      <w:r w:rsidRPr="00B224E5">
        <w:t xml:space="preserve"> at a location for a maximum of 6 months and has not previously provided locum services at the same location </w:t>
      </w:r>
      <w:r>
        <w:t>(section 9).</w:t>
      </w:r>
    </w:p>
    <w:p w14:paraId="308D50ED" w14:textId="77777777" w:rsidR="00E24895" w:rsidRDefault="00E24895" w:rsidP="00E24895">
      <w:pPr>
        <w:contextualSpacing/>
        <w:rPr>
          <w:szCs w:val="24"/>
        </w:rPr>
      </w:pPr>
    </w:p>
    <w:p w14:paraId="308D50EE" w14:textId="77777777" w:rsidR="00E24895" w:rsidRPr="00B224E5" w:rsidRDefault="00E24895" w:rsidP="00E24895">
      <w:pPr>
        <w:contextualSpacing/>
        <w:rPr>
          <w:color w:val="000000"/>
          <w:szCs w:val="24"/>
        </w:rPr>
      </w:pPr>
      <w:r w:rsidRPr="00B224E5">
        <w:rPr>
          <w:szCs w:val="24"/>
        </w:rPr>
        <w:lastRenderedPageBreak/>
        <w:t xml:space="preserve">These categories, and the matters that may be taken into account in considering applications in these categories, remain unchanged from the </w:t>
      </w:r>
      <w:r>
        <w:rPr>
          <w:szCs w:val="24"/>
        </w:rPr>
        <w:t>P</w:t>
      </w:r>
      <w:r w:rsidRPr="00B224E5">
        <w:rPr>
          <w:szCs w:val="24"/>
        </w:rPr>
        <w:t xml:space="preserve">revious Guidelines.  </w:t>
      </w:r>
    </w:p>
    <w:p w14:paraId="308D50EF" w14:textId="77777777" w:rsidR="00E24895" w:rsidRPr="00B224E5" w:rsidRDefault="00E24895" w:rsidP="00E24895">
      <w:pPr>
        <w:spacing w:before="100" w:beforeAutospacing="1" w:after="100" w:afterAutospacing="1"/>
        <w:contextualSpacing/>
        <w:rPr>
          <w:color w:val="000000"/>
          <w:szCs w:val="24"/>
        </w:rPr>
      </w:pPr>
    </w:p>
    <w:p w14:paraId="308D50F0" w14:textId="77777777" w:rsidR="00E24895" w:rsidRDefault="00E24895" w:rsidP="00E24895">
      <w:pPr>
        <w:spacing w:before="100" w:beforeAutospacing="1" w:after="100" w:afterAutospacing="1"/>
        <w:contextualSpacing/>
        <w:rPr>
          <w:color w:val="000000"/>
          <w:szCs w:val="24"/>
        </w:rPr>
      </w:pPr>
      <w:r w:rsidRPr="00B224E5">
        <w:rPr>
          <w:color w:val="000000"/>
          <w:szCs w:val="24"/>
        </w:rPr>
        <w:t xml:space="preserve">Subsection </w:t>
      </w:r>
      <w:proofErr w:type="gramStart"/>
      <w:r w:rsidRPr="00B224E5">
        <w:rPr>
          <w:color w:val="000000"/>
          <w:szCs w:val="24"/>
        </w:rPr>
        <w:t>19AB(</w:t>
      </w:r>
      <w:proofErr w:type="gramEnd"/>
      <w:r w:rsidRPr="00B224E5">
        <w:rPr>
          <w:color w:val="000000"/>
          <w:szCs w:val="24"/>
        </w:rPr>
        <w:t>3) of the HIA provides that exemptions may be made in relation to classes of persons.  The Guidelines make no change to the considerations that may be taken into account where the Minister is considering making an exemption in relation to a class of persons, and specifically provide that the Minister need not consider whether members of the class will be providing services in a DWS</w:t>
      </w:r>
      <w:r>
        <w:rPr>
          <w:color w:val="000000"/>
          <w:szCs w:val="24"/>
        </w:rPr>
        <w:t xml:space="preserve"> (section 10)</w:t>
      </w:r>
      <w:r w:rsidRPr="00B224E5">
        <w:rPr>
          <w:color w:val="000000"/>
          <w:szCs w:val="24"/>
        </w:rPr>
        <w:t xml:space="preserve">. </w:t>
      </w:r>
    </w:p>
    <w:p w14:paraId="308D50F1" w14:textId="77777777" w:rsidR="00E24895" w:rsidRDefault="00E24895" w:rsidP="00E24895">
      <w:pPr>
        <w:spacing w:before="100" w:beforeAutospacing="1" w:after="100" w:afterAutospacing="1"/>
        <w:contextualSpacing/>
        <w:rPr>
          <w:color w:val="000000"/>
          <w:szCs w:val="24"/>
        </w:rPr>
      </w:pPr>
    </w:p>
    <w:p w14:paraId="308D50F2" w14:textId="77777777" w:rsidR="00E24895" w:rsidRDefault="00E24895" w:rsidP="00E24895">
      <w:pPr>
        <w:spacing w:before="100" w:beforeAutospacing="1" w:after="100" w:afterAutospacing="1"/>
        <w:contextualSpacing/>
        <w:rPr>
          <w:color w:val="000000"/>
          <w:szCs w:val="24"/>
        </w:rPr>
      </w:pPr>
      <w:r>
        <w:rPr>
          <w:color w:val="000000"/>
          <w:szCs w:val="24"/>
        </w:rPr>
        <w:t xml:space="preserve">The requirement that an exemption for an individual must, except in special circumstances, be subject to a condition that it applies in a particular service location only has been retained (subsections 11(1) and 11(2) of the Guidelines).  The Guidelines also continue to provide that, without limiting the conditions that may be applied, an exemption may be made subject to the condition that it applies after-hours only (subsections 11(3) and (4)). </w:t>
      </w:r>
    </w:p>
    <w:p w14:paraId="308D50F3" w14:textId="77777777" w:rsidR="00E24895" w:rsidRDefault="00E24895" w:rsidP="00E24895">
      <w:pPr>
        <w:spacing w:before="100" w:beforeAutospacing="1" w:after="100" w:afterAutospacing="1"/>
        <w:contextualSpacing/>
        <w:rPr>
          <w:color w:val="000000"/>
          <w:szCs w:val="24"/>
        </w:rPr>
      </w:pPr>
    </w:p>
    <w:p w14:paraId="308D50F4" w14:textId="77777777" w:rsidR="00E24895" w:rsidRPr="00B224E5" w:rsidRDefault="00E24895" w:rsidP="00E24895">
      <w:pPr>
        <w:spacing w:before="100" w:beforeAutospacing="1" w:after="100" w:afterAutospacing="1"/>
        <w:contextualSpacing/>
        <w:rPr>
          <w:color w:val="000000"/>
          <w:szCs w:val="24"/>
        </w:rPr>
      </w:pPr>
      <w:r>
        <w:rPr>
          <w:color w:val="000000"/>
          <w:szCs w:val="24"/>
        </w:rPr>
        <w:t xml:space="preserve">Finally, the Guidelines continue to prevent the backdating of exemptions and to limit the time that an exemption granted to an applicant seeking to provide locum services may remain valid (section 12). </w:t>
      </w:r>
    </w:p>
    <w:p w14:paraId="308D50F5" w14:textId="77777777" w:rsidR="00E24895" w:rsidRDefault="00E24895" w:rsidP="00E24895"/>
    <w:p w14:paraId="308D50F6" w14:textId="77777777" w:rsidR="00E24895" w:rsidRPr="00B224E5" w:rsidRDefault="00E24895" w:rsidP="00E24895">
      <w:pPr>
        <w:spacing w:before="100" w:beforeAutospacing="1" w:after="100" w:afterAutospacing="1"/>
        <w:contextualSpacing/>
        <w:rPr>
          <w:b/>
          <w:color w:val="000000"/>
          <w:szCs w:val="24"/>
        </w:rPr>
      </w:pPr>
      <w:r w:rsidRPr="00B224E5">
        <w:rPr>
          <w:b/>
          <w:color w:val="000000"/>
          <w:szCs w:val="24"/>
        </w:rPr>
        <w:t>Human rights implications</w:t>
      </w:r>
    </w:p>
    <w:p w14:paraId="308D50F7" w14:textId="77777777" w:rsidR="00E24895" w:rsidRPr="00B224E5" w:rsidRDefault="00E24895" w:rsidP="00E24895">
      <w:pPr>
        <w:spacing w:before="100" w:beforeAutospacing="1" w:after="100" w:afterAutospacing="1"/>
        <w:contextualSpacing/>
        <w:rPr>
          <w:color w:val="000000"/>
          <w:szCs w:val="24"/>
        </w:rPr>
      </w:pPr>
    </w:p>
    <w:p w14:paraId="308D50F8" w14:textId="77777777" w:rsidR="00E24895" w:rsidRPr="00B224E5" w:rsidRDefault="00E24895" w:rsidP="00E24895">
      <w:pPr>
        <w:rPr>
          <w:i/>
          <w:color w:val="262626"/>
          <w:szCs w:val="24"/>
        </w:rPr>
      </w:pPr>
      <w:r w:rsidRPr="00B224E5">
        <w:rPr>
          <w:i/>
          <w:color w:val="262626"/>
          <w:szCs w:val="24"/>
        </w:rPr>
        <w:t>Right</w:t>
      </w:r>
      <w:r>
        <w:rPr>
          <w:i/>
          <w:color w:val="262626"/>
          <w:szCs w:val="24"/>
        </w:rPr>
        <w:t xml:space="preserve">s </w:t>
      </w:r>
      <w:r w:rsidRPr="00B224E5">
        <w:rPr>
          <w:i/>
          <w:color w:val="262626"/>
          <w:szCs w:val="24"/>
        </w:rPr>
        <w:t>to Health</w:t>
      </w:r>
      <w:r>
        <w:rPr>
          <w:i/>
          <w:color w:val="262626"/>
          <w:szCs w:val="24"/>
        </w:rPr>
        <w:t xml:space="preserve"> and social security</w:t>
      </w:r>
    </w:p>
    <w:p w14:paraId="308D50F9" w14:textId="77777777" w:rsidR="00E24895" w:rsidRPr="00B224E5" w:rsidRDefault="00E24895" w:rsidP="00E24895">
      <w:pPr>
        <w:rPr>
          <w:color w:val="262626"/>
          <w:szCs w:val="24"/>
        </w:rPr>
      </w:pPr>
    </w:p>
    <w:p w14:paraId="308D50FA" w14:textId="77777777" w:rsidR="00E24895" w:rsidRPr="00B224E5" w:rsidRDefault="00E24895" w:rsidP="00E24895">
      <w:pPr>
        <w:autoSpaceDE w:val="0"/>
        <w:autoSpaceDN w:val="0"/>
        <w:adjustRightInd w:val="0"/>
        <w:rPr>
          <w:color w:val="000000"/>
          <w:szCs w:val="24"/>
        </w:rPr>
      </w:pPr>
      <w:r w:rsidRPr="00B224E5">
        <w:rPr>
          <w:color w:val="000000"/>
          <w:szCs w:val="24"/>
        </w:rPr>
        <w:t>The right to health – the right to the enjoyment of the highest attainable standard of physical and mental health – is contained in article 12(1) of the International Covenant on Economic Social and Cultural Rights (ICESCR).  Whilst the UN Committee on Economic Social and Cultural Rights (the Committee) has stated that the right to health is not to be understood as a right to be healthy, it does entail a right to a system of health protection that provides equality of opportunity for people to enjoy the highest attainable level of health.</w:t>
      </w:r>
    </w:p>
    <w:p w14:paraId="308D50FB" w14:textId="77777777" w:rsidR="00E24895" w:rsidRPr="00B224E5" w:rsidRDefault="00E24895" w:rsidP="00E24895">
      <w:pPr>
        <w:rPr>
          <w:color w:val="262626"/>
          <w:szCs w:val="24"/>
        </w:rPr>
      </w:pPr>
    </w:p>
    <w:p w14:paraId="308D50FC" w14:textId="77777777" w:rsidR="00E24895" w:rsidRPr="00CB12C8" w:rsidRDefault="00E24895" w:rsidP="00E24895">
      <w:pPr>
        <w:rPr>
          <w:color w:val="000000"/>
          <w:szCs w:val="24"/>
        </w:rPr>
      </w:pPr>
      <w:r w:rsidRPr="00CB12C8">
        <w:rPr>
          <w:color w:val="000000"/>
          <w:szCs w:val="24"/>
        </w:rPr>
        <w:t xml:space="preserve">The right to social security is contained in Article 9 of the ICESCR.  The right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  </w:t>
      </w:r>
    </w:p>
    <w:p w14:paraId="308D50FD" w14:textId="77777777" w:rsidR="00E24895" w:rsidRPr="00B224E5" w:rsidRDefault="00E24895" w:rsidP="00E24895">
      <w:pPr>
        <w:rPr>
          <w:color w:val="262626"/>
          <w:szCs w:val="24"/>
        </w:rPr>
      </w:pPr>
    </w:p>
    <w:p w14:paraId="308D50FE" w14:textId="77777777" w:rsidR="00E24895" w:rsidRPr="00B224E5" w:rsidRDefault="00E24895" w:rsidP="00E24895">
      <w:pPr>
        <w:autoSpaceDE w:val="0"/>
        <w:autoSpaceDN w:val="0"/>
        <w:adjustRightInd w:val="0"/>
        <w:rPr>
          <w:color w:val="000000"/>
          <w:szCs w:val="24"/>
        </w:rPr>
      </w:pPr>
      <w:r w:rsidRPr="00B224E5">
        <w:rPr>
          <w:color w:val="000000"/>
          <w:szCs w:val="24"/>
        </w:rPr>
        <w:t>The HIA underpins the Medicare system, which was implemented by the Australian Government to subsidise the cost of medical services for Australian citizens and permanent residents.  Under this system, Medicare rebates function as a payment to patients so that they may meet the costs of medical services.  The ten year moratorium requirement under s</w:t>
      </w:r>
      <w:r>
        <w:rPr>
          <w:color w:val="000000"/>
          <w:szCs w:val="24"/>
        </w:rPr>
        <w:t>ection </w:t>
      </w:r>
      <w:r w:rsidRPr="00B224E5">
        <w:rPr>
          <w:color w:val="000000"/>
          <w:szCs w:val="24"/>
        </w:rPr>
        <w:t>19AB functions as a control that enables the Australian Government to:</w:t>
      </w:r>
    </w:p>
    <w:p w14:paraId="308D50FF" w14:textId="77777777" w:rsidR="00E24895" w:rsidRPr="00B224E5" w:rsidRDefault="00E24895" w:rsidP="001614E3">
      <w:pPr>
        <w:numPr>
          <w:ilvl w:val="0"/>
          <w:numId w:val="10"/>
        </w:numPr>
        <w:autoSpaceDE w:val="0"/>
        <w:autoSpaceDN w:val="0"/>
        <w:adjustRightInd w:val="0"/>
        <w:spacing w:before="120"/>
        <w:ind w:left="357" w:hanging="357"/>
        <w:rPr>
          <w:color w:val="000000"/>
          <w:szCs w:val="24"/>
        </w:rPr>
      </w:pPr>
      <w:r w:rsidRPr="00B224E5">
        <w:rPr>
          <w:color w:val="000000"/>
          <w:szCs w:val="24"/>
        </w:rPr>
        <w:t>identify medical services that will be subsidised by a Medicare rebate; and</w:t>
      </w:r>
    </w:p>
    <w:p w14:paraId="308D5100" w14:textId="77777777" w:rsidR="00E24895" w:rsidRPr="00B224E5" w:rsidRDefault="00E24895" w:rsidP="001614E3">
      <w:pPr>
        <w:numPr>
          <w:ilvl w:val="0"/>
          <w:numId w:val="10"/>
        </w:numPr>
        <w:autoSpaceDE w:val="0"/>
        <w:autoSpaceDN w:val="0"/>
        <w:adjustRightInd w:val="0"/>
        <w:spacing w:before="120"/>
        <w:ind w:left="357" w:hanging="357"/>
        <w:rPr>
          <w:color w:val="000000"/>
          <w:szCs w:val="24"/>
        </w:rPr>
      </w:pPr>
      <w:proofErr w:type="gramStart"/>
      <w:r w:rsidRPr="00B224E5">
        <w:rPr>
          <w:color w:val="000000"/>
          <w:szCs w:val="24"/>
        </w:rPr>
        <w:t>influence</w:t>
      </w:r>
      <w:proofErr w:type="gramEnd"/>
      <w:r w:rsidRPr="00B224E5">
        <w:rPr>
          <w:color w:val="000000"/>
          <w:szCs w:val="24"/>
        </w:rPr>
        <w:t xml:space="preserve"> the distribution of the private medical workforce with a view to ensuring </w:t>
      </w:r>
      <w:r>
        <w:rPr>
          <w:color w:val="000000"/>
          <w:szCs w:val="24"/>
        </w:rPr>
        <w:t>Medicare</w:t>
      </w:r>
      <w:r w:rsidRPr="00B224E5">
        <w:rPr>
          <w:color w:val="000000"/>
          <w:szCs w:val="24"/>
        </w:rPr>
        <w:t>-subsidised medical services are accessible to all Australian citizens and permanent residents</w:t>
      </w:r>
      <w:r>
        <w:rPr>
          <w:color w:val="000000"/>
          <w:szCs w:val="24"/>
        </w:rPr>
        <w:t>.</w:t>
      </w:r>
      <w:r w:rsidRPr="00B224E5">
        <w:rPr>
          <w:color w:val="000000"/>
          <w:szCs w:val="24"/>
        </w:rPr>
        <w:t xml:space="preserve"> </w:t>
      </w:r>
    </w:p>
    <w:p w14:paraId="308D5101" w14:textId="77777777" w:rsidR="00E24895" w:rsidRPr="00B224E5" w:rsidRDefault="00E24895" w:rsidP="00E24895">
      <w:pPr>
        <w:autoSpaceDE w:val="0"/>
        <w:autoSpaceDN w:val="0"/>
        <w:adjustRightInd w:val="0"/>
        <w:rPr>
          <w:color w:val="000000"/>
          <w:szCs w:val="24"/>
        </w:rPr>
      </w:pPr>
    </w:p>
    <w:p w14:paraId="308D5102" w14:textId="77777777" w:rsidR="00E24895" w:rsidRDefault="00E24895" w:rsidP="00E24895">
      <w:pPr>
        <w:autoSpaceDE w:val="0"/>
        <w:autoSpaceDN w:val="0"/>
        <w:adjustRightInd w:val="0"/>
        <w:rPr>
          <w:color w:val="000000"/>
          <w:szCs w:val="24"/>
        </w:rPr>
      </w:pPr>
      <w:r w:rsidRPr="00B224E5">
        <w:rPr>
          <w:color w:val="000000"/>
          <w:szCs w:val="24"/>
        </w:rPr>
        <w:t xml:space="preserve">The </w:t>
      </w:r>
      <w:r>
        <w:rPr>
          <w:color w:val="000000"/>
          <w:szCs w:val="24"/>
        </w:rPr>
        <w:t xml:space="preserve">Guidelines </w:t>
      </w:r>
      <w:r w:rsidRPr="00B224E5">
        <w:rPr>
          <w:color w:val="000000"/>
          <w:szCs w:val="24"/>
        </w:rPr>
        <w:t>are instrumental in defining the workforce distribution intent of s</w:t>
      </w:r>
      <w:r>
        <w:rPr>
          <w:color w:val="000000"/>
          <w:szCs w:val="24"/>
        </w:rPr>
        <w:t>ection </w:t>
      </w:r>
      <w:r w:rsidRPr="00B224E5">
        <w:rPr>
          <w:color w:val="000000"/>
          <w:szCs w:val="24"/>
        </w:rPr>
        <w:t xml:space="preserve">19AB because they define </w:t>
      </w:r>
      <w:r>
        <w:rPr>
          <w:color w:val="000000"/>
          <w:szCs w:val="24"/>
        </w:rPr>
        <w:t xml:space="preserve">a </w:t>
      </w:r>
      <w:r w:rsidRPr="00B224E5">
        <w:rPr>
          <w:color w:val="000000"/>
          <w:szCs w:val="24"/>
        </w:rPr>
        <w:t xml:space="preserve">DWS and identify this as the key consideration for the Australian </w:t>
      </w:r>
      <w:r w:rsidRPr="00B224E5">
        <w:rPr>
          <w:color w:val="000000"/>
          <w:szCs w:val="24"/>
        </w:rPr>
        <w:lastRenderedPageBreak/>
        <w:t xml:space="preserve">Government when assessing </w:t>
      </w:r>
      <w:r>
        <w:rPr>
          <w:color w:val="000000"/>
          <w:szCs w:val="24"/>
        </w:rPr>
        <w:t xml:space="preserve">the majority of applications for an exemption under </w:t>
      </w:r>
      <w:r w:rsidRPr="00B224E5">
        <w:rPr>
          <w:color w:val="000000"/>
          <w:szCs w:val="24"/>
        </w:rPr>
        <w:t>s</w:t>
      </w:r>
      <w:r>
        <w:rPr>
          <w:color w:val="000000"/>
          <w:szCs w:val="24"/>
        </w:rPr>
        <w:t>ubsection </w:t>
      </w:r>
      <w:r w:rsidRPr="00B224E5">
        <w:rPr>
          <w:color w:val="000000"/>
          <w:szCs w:val="24"/>
        </w:rPr>
        <w:t xml:space="preserve">19AB(3). In this way, the Guidelines promote the right to health for all Australians by including a number of provisions that have a direct effect on medical workforce distribution, specifically the private medical workforce. </w:t>
      </w:r>
    </w:p>
    <w:p w14:paraId="308D5103" w14:textId="77777777" w:rsidR="00E24895" w:rsidRDefault="00E24895" w:rsidP="00E24895">
      <w:pPr>
        <w:autoSpaceDE w:val="0"/>
        <w:autoSpaceDN w:val="0"/>
        <w:adjustRightInd w:val="0"/>
        <w:rPr>
          <w:color w:val="000000"/>
          <w:szCs w:val="24"/>
        </w:rPr>
      </w:pPr>
    </w:p>
    <w:p w14:paraId="308D5104" w14:textId="77777777" w:rsidR="00E24895" w:rsidRPr="00B224E5" w:rsidRDefault="00E24895" w:rsidP="00E24895">
      <w:pPr>
        <w:autoSpaceDE w:val="0"/>
        <w:autoSpaceDN w:val="0"/>
        <w:adjustRightInd w:val="0"/>
        <w:rPr>
          <w:color w:val="000000"/>
          <w:szCs w:val="24"/>
        </w:rPr>
      </w:pPr>
      <w:r w:rsidRPr="00B224E5">
        <w:rPr>
          <w:color w:val="000000"/>
          <w:szCs w:val="24"/>
        </w:rPr>
        <w:t xml:space="preserve">The </w:t>
      </w:r>
      <w:r w:rsidRPr="00FB6DD3">
        <w:rPr>
          <w:color w:val="000000"/>
          <w:szCs w:val="24"/>
        </w:rPr>
        <w:t>Guidelines</w:t>
      </w:r>
      <w:r w:rsidRPr="00B224E5">
        <w:rPr>
          <w:color w:val="000000"/>
          <w:szCs w:val="24"/>
        </w:rPr>
        <w:t xml:space="preserve"> also recognise that Aboriginal and Torres Strait Islander persons may be marginalised in terms of their ability to access appropriate medical services for a number of reasons</w:t>
      </w:r>
      <w:r>
        <w:rPr>
          <w:color w:val="000000"/>
          <w:szCs w:val="24"/>
        </w:rPr>
        <w:t>, even where they do not reside in a DWS</w:t>
      </w:r>
      <w:r w:rsidRPr="00B224E5">
        <w:rPr>
          <w:color w:val="000000"/>
          <w:szCs w:val="24"/>
        </w:rPr>
        <w:t xml:space="preserve">.  The </w:t>
      </w:r>
      <w:r>
        <w:rPr>
          <w:color w:val="000000"/>
          <w:szCs w:val="24"/>
        </w:rPr>
        <w:t xml:space="preserve">Guidelines </w:t>
      </w:r>
      <w:r w:rsidRPr="00B224E5">
        <w:rPr>
          <w:color w:val="000000"/>
          <w:szCs w:val="24"/>
        </w:rPr>
        <w:t>retain special provisions that enable OTDs and FGAMS to obtain a s</w:t>
      </w:r>
      <w:r>
        <w:rPr>
          <w:color w:val="000000"/>
          <w:szCs w:val="24"/>
        </w:rPr>
        <w:t xml:space="preserve">ubsection </w:t>
      </w:r>
      <w:r w:rsidRPr="00B224E5">
        <w:rPr>
          <w:color w:val="000000"/>
          <w:szCs w:val="24"/>
        </w:rPr>
        <w:t xml:space="preserve">19AB(3) exemption </w:t>
      </w:r>
      <w:r>
        <w:rPr>
          <w:color w:val="000000"/>
          <w:szCs w:val="24"/>
        </w:rPr>
        <w:t xml:space="preserve">to </w:t>
      </w:r>
      <w:r w:rsidRPr="00B224E5">
        <w:rPr>
          <w:color w:val="000000"/>
          <w:szCs w:val="24"/>
        </w:rPr>
        <w:t xml:space="preserve">provide affordable medical care through Aboriginal and Torres Strait Islander </w:t>
      </w:r>
      <w:r>
        <w:rPr>
          <w:color w:val="000000"/>
          <w:szCs w:val="24"/>
        </w:rPr>
        <w:t>p</w:t>
      </w:r>
      <w:r w:rsidRPr="00B224E5">
        <w:rPr>
          <w:color w:val="000000"/>
          <w:szCs w:val="24"/>
        </w:rPr>
        <w:t xml:space="preserve">rimary </w:t>
      </w:r>
      <w:r>
        <w:rPr>
          <w:color w:val="000000"/>
          <w:szCs w:val="24"/>
        </w:rPr>
        <w:t>h</w:t>
      </w:r>
      <w:r w:rsidRPr="00B224E5">
        <w:rPr>
          <w:color w:val="000000"/>
          <w:szCs w:val="24"/>
        </w:rPr>
        <w:t xml:space="preserve">ealth </w:t>
      </w:r>
      <w:r>
        <w:rPr>
          <w:color w:val="000000"/>
          <w:szCs w:val="24"/>
        </w:rPr>
        <w:t>c</w:t>
      </w:r>
      <w:r w:rsidRPr="00B224E5">
        <w:rPr>
          <w:color w:val="000000"/>
          <w:szCs w:val="24"/>
        </w:rPr>
        <w:t>are services across Australia</w:t>
      </w:r>
      <w:r>
        <w:rPr>
          <w:color w:val="000000"/>
          <w:szCs w:val="24"/>
        </w:rPr>
        <w:t xml:space="preserve"> without the DWS status of the location of the service being a consideration</w:t>
      </w:r>
      <w:r w:rsidRPr="00B224E5">
        <w:rPr>
          <w:color w:val="000000"/>
          <w:szCs w:val="24"/>
        </w:rPr>
        <w:t xml:space="preserve">.  </w:t>
      </w:r>
      <w:r>
        <w:rPr>
          <w:color w:val="000000"/>
          <w:szCs w:val="24"/>
        </w:rPr>
        <w:t xml:space="preserve">The Guidelines also recognise the place of locum doctors in ensuring the availability of private medical services in all locations in Australia, and applications from OTDs and FGAMS intending to work in short term locum positions are not assessed based on the DWS status of the practice location.  </w:t>
      </w:r>
    </w:p>
    <w:p w14:paraId="308D5105" w14:textId="77777777" w:rsidR="00E24895" w:rsidRPr="00B224E5" w:rsidRDefault="00E24895" w:rsidP="00E24895">
      <w:pPr>
        <w:autoSpaceDE w:val="0"/>
        <w:autoSpaceDN w:val="0"/>
        <w:adjustRightInd w:val="0"/>
        <w:rPr>
          <w:color w:val="000000"/>
          <w:szCs w:val="24"/>
        </w:rPr>
      </w:pPr>
    </w:p>
    <w:p w14:paraId="308D5106" w14:textId="15756F11" w:rsidR="00E24895" w:rsidRPr="00B224E5" w:rsidRDefault="00E24895" w:rsidP="00E24895">
      <w:pPr>
        <w:autoSpaceDE w:val="0"/>
        <w:autoSpaceDN w:val="0"/>
        <w:adjustRightInd w:val="0"/>
        <w:rPr>
          <w:color w:val="000000"/>
          <w:szCs w:val="24"/>
        </w:rPr>
      </w:pPr>
      <w:r w:rsidRPr="00B224E5">
        <w:rPr>
          <w:color w:val="000000"/>
          <w:szCs w:val="24"/>
        </w:rPr>
        <w:t xml:space="preserve">The </w:t>
      </w:r>
      <w:r w:rsidRPr="00FB6DD3">
        <w:rPr>
          <w:color w:val="000000"/>
          <w:szCs w:val="24"/>
        </w:rPr>
        <w:t>Guidelin</w:t>
      </w:r>
      <w:r>
        <w:rPr>
          <w:color w:val="000000"/>
          <w:szCs w:val="24"/>
        </w:rPr>
        <w:t>es</w:t>
      </w:r>
      <w:r w:rsidRPr="00B224E5">
        <w:rPr>
          <w:color w:val="000000"/>
          <w:szCs w:val="24"/>
        </w:rPr>
        <w:t xml:space="preserve"> do not prevent Australians residing in </w:t>
      </w:r>
      <w:r>
        <w:rPr>
          <w:color w:val="000000"/>
          <w:szCs w:val="24"/>
        </w:rPr>
        <w:t xml:space="preserve">an </w:t>
      </w:r>
      <w:r w:rsidRPr="00B224E5">
        <w:rPr>
          <w:color w:val="000000"/>
          <w:szCs w:val="24"/>
        </w:rPr>
        <w:t xml:space="preserve">area that </w:t>
      </w:r>
      <w:r>
        <w:rPr>
          <w:color w:val="000000"/>
          <w:szCs w:val="24"/>
        </w:rPr>
        <w:t>is</w:t>
      </w:r>
      <w:r w:rsidRPr="00B224E5">
        <w:rPr>
          <w:color w:val="000000"/>
          <w:szCs w:val="24"/>
        </w:rPr>
        <w:t xml:space="preserve"> not considered to be </w:t>
      </w:r>
      <w:r>
        <w:rPr>
          <w:color w:val="000000"/>
          <w:szCs w:val="24"/>
        </w:rPr>
        <w:t xml:space="preserve">a </w:t>
      </w:r>
      <w:r w:rsidRPr="00B224E5">
        <w:rPr>
          <w:color w:val="000000"/>
          <w:szCs w:val="24"/>
        </w:rPr>
        <w:t>DWS from access</w:t>
      </w:r>
      <w:r>
        <w:rPr>
          <w:color w:val="000000"/>
          <w:szCs w:val="24"/>
        </w:rPr>
        <w:t>ing</w:t>
      </w:r>
      <w:r w:rsidRPr="00B224E5">
        <w:rPr>
          <w:color w:val="000000"/>
          <w:szCs w:val="24"/>
        </w:rPr>
        <w:t xml:space="preserve"> medical services, including services that are subsidised through the Medicare system.  All Australians continue to have the right to choose their doctor and to receive a Medicare rebate for any service provide</w:t>
      </w:r>
      <w:r w:rsidR="001614E3">
        <w:rPr>
          <w:color w:val="000000"/>
          <w:szCs w:val="24"/>
        </w:rPr>
        <w:t>d</w:t>
      </w:r>
      <w:r w:rsidRPr="00B224E5">
        <w:rPr>
          <w:color w:val="000000"/>
          <w:szCs w:val="24"/>
        </w:rPr>
        <w:t xml:space="preserve"> by a Medicare eligible doctor. </w:t>
      </w:r>
    </w:p>
    <w:p w14:paraId="308D5107" w14:textId="77777777" w:rsidR="00E24895" w:rsidRDefault="00E24895" w:rsidP="00E24895">
      <w:pPr>
        <w:autoSpaceDE w:val="0"/>
        <w:autoSpaceDN w:val="0"/>
        <w:adjustRightInd w:val="0"/>
        <w:rPr>
          <w:color w:val="000000"/>
          <w:szCs w:val="24"/>
        </w:rPr>
      </w:pPr>
    </w:p>
    <w:p w14:paraId="308D5108" w14:textId="77777777" w:rsidR="00E24895" w:rsidRPr="00B224E5" w:rsidRDefault="00E24895" w:rsidP="00E24895">
      <w:pPr>
        <w:autoSpaceDE w:val="0"/>
        <w:autoSpaceDN w:val="0"/>
        <w:adjustRightInd w:val="0"/>
        <w:rPr>
          <w:color w:val="000000"/>
          <w:szCs w:val="24"/>
        </w:rPr>
      </w:pPr>
      <w:r w:rsidRPr="00B224E5">
        <w:rPr>
          <w:color w:val="000000"/>
          <w:szCs w:val="24"/>
        </w:rPr>
        <w:t xml:space="preserve">The </w:t>
      </w:r>
      <w:r>
        <w:rPr>
          <w:color w:val="000000"/>
          <w:szCs w:val="24"/>
        </w:rPr>
        <w:t xml:space="preserve">Guidelines </w:t>
      </w:r>
      <w:r w:rsidRPr="00B224E5">
        <w:rPr>
          <w:color w:val="000000"/>
          <w:szCs w:val="24"/>
        </w:rPr>
        <w:t>improve the ability of all Australians to maximise their enjoyment of their right</w:t>
      </w:r>
      <w:r>
        <w:rPr>
          <w:color w:val="000000"/>
          <w:szCs w:val="24"/>
        </w:rPr>
        <w:t>s</w:t>
      </w:r>
      <w:r w:rsidRPr="00B224E5">
        <w:rPr>
          <w:color w:val="000000"/>
          <w:szCs w:val="24"/>
        </w:rPr>
        <w:t xml:space="preserve"> to health</w:t>
      </w:r>
      <w:r>
        <w:rPr>
          <w:color w:val="000000"/>
          <w:szCs w:val="24"/>
        </w:rPr>
        <w:t xml:space="preserve"> and social security</w:t>
      </w:r>
      <w:r w:rsidRPr="00B224E5">
        <w:rPr>
          <w:color w:val="000000"/>
          <w:szCs w:val="24"/>
        </w:rPr>
        <w:t xml:space="preserve">.  </w:t>
      </w:r>
      <w:r w:rsidRPr="00B224E5">
        <w:rPr>
          <w:szCs w:val="24"/>
        </w:rPr>
        <w:t xml:space="preserve">There is no incompatibility with the right engaged because the Guidelines serve a legitimate objective that is reasonable, necessary and proportionate in the circumstances.  </w:t>
      </w:r>
    </w:p>
    <w:p w14:paraId="308D5109" w14:textId="77777777" w:rsidR="00E24895" w:rsidRPr="00B224E5" w:rsidRDefault="00E24895" w:rsidP="00E24895">
      <w:pPr>
        <w:autoSpaceDE w:val="0"/>
        <w:autoSpaceDN w:val="0"/>
        <w:adjustRightInd w:val="0"/>
        <w:rPr>
          <w:color w:val="000000"/>
          <w:szCs w:val="24"/>
        </w:rPr>
      </w:pPr>
    </w:p>
    <w:p w14:paraId="308D510A" w14:textId="77777777" w:rsidR="00E24895" w:rsidRPr="00B224E5" w:rsidRDefault="00E24895" w:rsidP="00E24895">
      <w:pPr>
        <w:autoSpaceDE w:val="0"/>
        <w:autoSpaceDN w:val="0"/>
        <w:adjustRightInd w:val="0"/>
        <w:rPr>
          <w:i/>
          <w:color w:val="000000"/>
          <w:szCs w:val="24"/>
        </w:rPr>
      </w:pPr>
      <w:r w:rsidRPr="00B224E5">
        <w:rPr>
          <w:i/>
          <w:color w:val="000000"/>
          <w:szCs w:val="24"/>
        </w:rPr>
        <w:t>Right to Freedom of Movement</w:t>
      </w:r>
    </w:p>
    <w:p w14:paraId="308D510B" w14:textId="77777777" w:rsidR="00E24895" w:rsidRPr="00B224E5" w:rsidRDefault="00E24895" w:rsidP="00E24895">
      <w:pPr>
        <w:autoSpaceDE w:val="0"/>
        <w:autoSpaceDN w:val="0"/>
        <w:adjustRightInd w:val="0"/>
        <w:rPr>
          <w:color w:val="000000"/>
          <w:szCs w:val="24"/>
        </w:rPr>
      </w:pPr>
    </w:p>
    <w:p w14:paraId="308D510C" w14:textId="77777777" w:rsidR="00E24895" w:rsidRPr="00B224E5" w:rsidRDefault="00E24895" w:rsidP="00E24895">
      <w:pPr>
        <w:autoSpaceDE w:val="0"/>
        <w:autoSpaceDN w:val="0"/>
        <w:adjustRightInd w:val="0"/>
        <w:rPr>
          <w:color w:val="000000"/>
          <w:szCs w:val="24"/>
        </w:rPr>
      </w:pPr>
      <w:r w:rsidRPr="00B224E5">
        <w:rPr>
          <w:color w:val="000000"/>
          <w:szCs w:val="24"/>
        </w:rPr>
        <w:t>The right to freedom of movement is contained in articles 12 and 13 of the International Covenant on Civil and Political Rights.</w:t>
      </w:r>
      <w:r>
        <w:rPr>
          <w:color w:val="000000"/>
          <w:szCs w:val="24"/>
        </w:rPr>
        <w:t xml:space="preserve"> </w:t>
      </w:r>
      <w:r w:rsidRPr="00B224E5">
        <w:rPr>
          <w:color w:val="000000"/>
          <w:szCs w:val="24"/>
        </w:rPr>
        <w:t xml:space="preserve"> The right to freedom of movement includes the right to move freely within a country for persons who are lawfully within a country.</w:t>
      </w:r>
      <w:r>
        <w:rPr>
          <w:color w:val="000000"/>
          <w:szCs w:val="24"/>
        </w:rPr>
        <w:t xml:space="preserve"> </w:t>
      </w:r>
      <w:r w:rsidRPr="00B224E5">
        <w:rPr>
          <w:color w:val="000000"/>
          <w:szCs w:val="24"/>
        </w:rPr>
        <w:t xml:space="preserve"> The right to freedom of movement also includes a right to enter a country for persons who are citizens of that country and the right to leave any country. </w:t>
      </w:r>
    </w:p>
    <w:p w14:paraId="308D510D" w14:textId="77777777" w:rsidR="00E24895" w:rsidRPr="00B224E5" w:rsidRDefault="00E24895" w:rsidP="00E24895">
      <w:pPr>
        <w:autoSpaceDE w:val="0"/>
        <w:autoSpaceDN w:val="0"/>
        <w:adjustRightInd w:val="0"/>
        <w:rPr>
          <w:color w:val="000000"/>
          <w:szCs w:val="24"/>
        </w:rPr>
      </w:pPr>
    </w:p>
    <w:p w14:paraId="308D510E" w14:textId="57FB5D93" w:rsidR="00E24895" w:rsidRPr="00B224E5" w:rsidRDefault="00E24895" w:rsidP="00E24895">
      <w:r w:rsidRPr="00B224E5">
        <w:t xml:space="preserve">The Australian Government is not directly responsible for determining where any doctor (Australian or overseas trained) may practise medicine.  Eligibility to practise </w:t>
      </w:r>
      <w:r>
        <w:t>m</w:t>
      </w:r>
      <w:r w:rsidRPr="00B224E5">
        <w:t>edicine in Australia is determined through the medical registration process.  A doctor may only practise medicine once they are registered with the Medical Board of Australia (MBA).  The MBA imposes condition</w:t>
      </w:r>
      <w:r w:rsidR="001614E3">
        <w:t>s or restrictions on the practis</w:t>
      </w:r>
      <w:r w:rsidRPr="00B224E5">
        <w:t>e of some doctors, which in some cases will restrict them to working in particular practices.</w:t>
      </w:r>
      <w:r>
        <w:t xml:space="preserve">  </w:t>
      </w:r>
    </w:p>
    <w:p w14:paraId="308D510F" w14:textId="77777777" w:rsidR="00E24895" w:rsidRPr="00B224E5" w:rsidRDefault="00E24895" w:rsidP="00E24895">
      <w:pPr>
        <w:autoSpaceDE w:val="0"/>
        <w:autoSpaceDN w:val="0"/>
        <w:adjustRightInd w:val="0"/>
        <w:rPr>
          <w:color w:val="000000"/>
          <w:szCs w:val="24"/>
        </w:rPr>
      </w:pPr>
    </w:p>
    <w:p w14:paraId="308D5110" w14:textId="77777777" w:rsidR="00E24895" w:rsidRDefault="00E24895" w:rsidP="00E24895">
      <w:pPr>
        <w:autoSpaceDE w:val="0"/>
        <w:autoSpaceDN w:val="0"/>
        <w:adjustRightInd w:val="0"/>
        <w:rPr>
          <w:color w:val="000000"/>
          <w:szCs w:val="24"/>
        </w:rPr>
      </w:pPr>
      <w:r w:rsidRPr="00B224E5">
        <w:rPr>
          <w:color w:val="000000"/>
          <w:szCs w:val="24"/>
        </w:rPr>
        <w:t>S</w:t>
      </w:r>
      <w:r>
        <w:rPr>
          <w:color w:val="000000"/>
          <w:szCs w:val="24"/>
        </w:rPr>
        <w:t>ubsections </w:t>
      </w:r>
      <w:r w:rsidRPr="00B224E5">
        <w:rPr>
          <w:color w:val="000000"/>
          <w:szCs w:val="24"/>
        </w:rPr>
        <w:t>19AB</w:t>
      </w:r>
      <w:r>
        <w:rPr>
          <w:color w:val="000000"/>
          <w:szCs w:val="24"/>
        </w:rPr>
        <w:t>(1) and (2)</w:t>
      </w:r>
      <w:r w:rsidRPr="00B224E5">
        <w:rPr>
          <w:color w:val="000000"/>
          <w:szCs w:val="24"/>
        </w:rPr>
        <w:t xml:space="preserve"> of the HIA </w:t>
      </w:r>
      <w:r>
        <w:rPr>
          <w:color w:val="000000"/>
          <w:szCs w:val="24"/>
        </w:rPr>
        <w:t xml:space="preserve">prevent certain </w:t>
      </w:r>
      <w:r w:rsidRPr="00B224E5">
        <w:rPr>
          <w:color w:val="000000"/>
          <w:szCs w:val="24"/>
        </w:rPr>
        <w:t xml:space="preserve">OTDs and FGAMS </w:t>
      </w:r>
      <w:r>
        <w:rPr>
          <w:color w:val="000000"/>
          <w:szCs w:val="24"/>
        </w:rPr>
        <w:t xml:space="preserve">from providing services for which </w:t>
      </w:r>
      <w:r w:rsidRPr="00B224E5">
        <w:rPr>
          <w:color w:val="000000"/>
          <w:szCs w:val="24"/>
        </w:rPr>
        <w:t xml:space="preserve">Medicare rebates </w:t>
      </w:r>
      <w:r>
        <w:rPr>
          <w:color w:val="000000"/>
          <w:szCs w:val="24"/>
        </w:rPr>
        <w:t xml:space="preserve">will be payable, or from having Medicare-eligible services provided on their behalf, unless an exemption granted under subsection 19AB(3) of the HIA applies to the OTD or FGAMS.  </w:t>
      </w:r>
    </w:p>
    <w:p w14:paraId="308D5111" w14:textId="77777777" w:rsidR="00E24895" w:rsidRDefault="00E24895" w:rsidP="00E24895">
      <w:pPr>
        <w:autoSpaceDE w:val="0"/>
        <w:autoSpaceDN w:val="0"/>
        <w:adjustRightInd w:val="0"/>
        <w:rPr>
          <w:color w:val="000000"/>
          <w:szCs w:val="24"/>
        </w:rPr>
      </w:pPr>
    </w:p>
    <w:p w14:paraId="308D5112" w14:textId="77777777" w:rsidR="00E24895" w:rsidRPr="00B224E5" w:rsidRDefault="00E24895" w:rsidP="00E24895">
      <w:pPr>
        <w:autoSpaceDE w:val="0"/>
        <w:autoSpaceDN w:val="0"/>
        <w:adjustRightInd w:val="0"/>
        <w:rPr>
          <w:color w:val="000000"/>
          <w:szCs w:val="24"/>
          <w:lang w:val="en-US"/>
        </w:rPr>
      </w:pPr>
      <w:r>
        <w:rPr>
          <w:color w:val="000000"/>
          <w:szCs w:val="24"/>
        </w:rPr>
        <w:t>However</w:t>
      </w:r>
      <w:r>
        <w:rPr>
          <w:color w:val="000000"/>
          <w:szCs w:val="24"/>
          <w:lang w:val="en-US"/>
        </w:rPr>
        <w:t>, i</w:t>
      </w:r>
      <w:r w:rsidRPr="00B224E5">
        <w:rPr>
          <w:color w:val="000000"/>
          <w:szCs w:val="24"/>
          <w:lang w:val="en-US"/>
        </w:rPr>
        <w:t xml:space="preserve">t should also be noted that OTDs </w:t>
      </w:r>
      <w:r>
        <w:rPr>
          <w:color w:val="000000"/>
          <w:szCs w:val="24"/>
          <w:lang w:val="en-US"/>
        </w:rPr>
        <w:t>and</w:t>
      </w:r>
      <w:r w:rsidRPr="00B224E5">
        <w:rPr>
          <w:color w:val="000000"/>
          <w:szCs w:val="24"/>
          <w:lang w:val="en-US"/>
        </w:rPr>
        <w:t xml:space="preserve"> FGAMS </w:t>
      </w:r>
      <w:r>
        <w:rPr>
          <w:color w:val="000000"/>
          <w:szCs w:val="24"/>
          <w:lang w:val="en-US"/>
        </w:rPr>
        <w:t xml:space="preserve">are free to </w:t>
      </w:r>
      <w:r w:rsidRPr="00B224E5">
        <w:rPr>
          <w:color w:val="000000"/>
          <w:szCs w:val="24"/>
          <w:lang w:val="en-US"/>
        </w:rPr>
        <w:t xml:space="preserve">provide professional medical services that are not </w:t>
      </w:r>
      <w:proofErr w:type="spellStart"/>
      <w:r w:rsidRPr="00B224E5">
        <w:rPr>
          <w:color w:val="000000"/>
          <w:szCs w:val="24"/>
          <w:lang w:val="en-US"/>
        </w:rPr>
        <w:t>subsidised</w:t>
      </w:r>
      <w:proofErr w:type="spellEnd"/>
      <w:r w:rsidRPr="00B224E5">
        <w:rPr>
          <w:color w:val="000000"/>
          <w:szCs w:val="24"/>
          <w:lang w:val="en-US"/>
        </w:rPr>
        <w:t xml:space="preserve"> by the Medicare scheme</w:t>
      </w:r>
      <w:r>
        <w:rPr>
          <w:color w:val="000000"/>
          <w:szCs w:val="24"/>
          <w:lang w:val="en-US"/>
        </w:rPr>
        <w:t>, meaning that section 19AB of the HIA is not relevant and a</w:t>
      </w:r>
      <w:r w:rsidRPr="00B224E5">
        <w:rPr>
          <w:color w:val="000000"/>
          <w:szCs w:val="24"/>
          <w:lang w:val="en-US"/>
        </w:rPr>
        <w:t xml:space="preserve"> s</w:t>
      </w:r>
      <w:r>
        <w:rPr>
          <w:color w:val="000000"/>
          <w:szCs w:val="24"/>
          <w:lang w:val="en-US"/>
        </w:rPr>
        <w:t>ubsection </w:t>
      </w:r>
      <w:proofErr w:type="gramStart"/>
      <w:r w:rsidRPr="00B224E5">
        <w:rPr>
          <w:color w:val="000000"/>
          <w:szCs w:val="24"/>
          <w:lang w:val="en-US"/>
        </w:rPr>
        <w:t>19AB(</w:t>
      </w:r>
      <w:proofErr w:type="gramEnd"/>
      <w:r w:rsidRPr="00B224E5">
        <w:rPr>
          <w:color w:val="000000"/>
          <w:szCs w:val="24"/>
          <w:lang w:val="en-US"/>
        </w:rPr>
        <w:t>3) exemption is not required</w:t>
      </w:r>
      <w:r>
        <w:rPr>
          <w:color w:val="000000"/>
          <w:szCs w:val="24"/>
          <w:lang w:val="en-US"/>
        </w:rPr>
        <w:t xml:space="preserve"> by the practitioner</w:t>
      </w:r>
      <w:r w:rsidRPr="00B224E5">
        <w:rPr>
          <w:color w:val="000000"/>
          <w:szCs w:val="24"/>
          <w:lang w:val="en-US"/>
        </w:rPr>
        <w:t xml:space="preserve">.  </w:t>
      </w:r>
    </w:p>
    <w:p w14:paraId="308D5113" w14:textId="77777777" w:rsidR="00E24895" w:rsidRDefault="00E24895" w:rsidP="00E24895">
      <w:pPr>
        <w:autoSpaceDE w:val="0"/>
        <w:autoSpaceDN w:val="0"/>
        <w:adjustRightInd w:val="0"/>
        <w:rPr>
          <w:color w:val="000000"/>
          <w:szCs w:val="24"/>
        </w:rPr>
      </w:pPr>
    </w:p>
    <w:p w14:paraId="308D5114" w14:textId="77777777" w:rsidR="00E24895" w:rsidRDefault="00E24895" w:rsidP="00E24895">
      <w:pPr>
        <w:autoSpaceDE w:val="0"/>
        <w:autoSpaceDN w:val="0"/>
        <w:adjustRightInd w:val="0"/>
        <w:rPr>
          <w:color w:val="000000"/>
          <w:szCs w:val="24"/>
        </w:rPr>
      </w:pPr>
      <w:r>
        <w:rPr>
          <w:color w:val="000000"/>
          <w:szCs w:val="24"/>
        </w:rPr>
        <w:t xml:space="preserve">Where an OTD or FGAMS chooses to provide private medical services and seeks a subsection </w:t>
      </w:r>
      <w:proofErr w:type="gramStart"/>
      <w:r>
        <w:rPr>
          <w:color w:val="000000"/>
          <w:szCs w:val="24"/>
        </w:rPr>
        <w:t>19AB(</w:t>
      </w:r>
      <w:proofErr w:type="gramEnd"/>
      <w:r>
        <w:rPr>
          <w:color w:val="000000"/>
          <w:szCs w:val="24"/>
        </w:rPr>
        <w:t>3) exemption, t</w:t>
      </w:r>
      <w:r w:rsidRPr="00B224E5">
        <w:rPr>
          <w:color w:val="000000"/>
          <w:szCs w:val="24"/>
        </w:rPr>
        <w:t xml:space="preserve">he </w:t>
      </w:r>
      <w:r>
        <w:rPr>
          <w:color w:val="000000"/>
          <w:szCs w:val="24"/>
        </w:rPr>
        <w:t xml:space="preserve">Guidelines </w:t>
      </w:r>
      <w:r w:rsidRPr="00B224E5">
        <w:rPr>
          <w:color w:val="000000"/>
          <w:szCs w:val="24"/>
        </w:rPr>
        <w:t xml:space="preserve">establish that </w:t>
      </w:r>
      <w:r>
        <w:rPr>
          <w:color w:val="000000"/>
          <w:szCs w:val="24"/>
        </w:rPr>
        <w:t xml:space="preserve">the primary </w:t>
      </w:r>
      <w:r w:rsidRPr="00B224E5">
        <w:rPr>
          <w:color w:val="000000"/>
          <w:szCs w:val="24"/>
        </w:rPr>
        <w:t xml:space="preserve">consideration for </w:t>
      </w:r>
      <w:r>
        <w:rPr>
          <w:color w:val="000000"/>
          <w:szCs w:val="24"/>
        </w:rPr>
        <w:t>the Minister</w:t>
      </w:r>
      <w:r w:rsidRPr="00B224E5">
        <w:rPr>
          <w:color w:val="000000"/>
          <w:szCs w:val="24"/>
        </w:rPr>
        <w:t xml:space="preserve"> </w:t>
      </w:r>
      <w:r>
        <w:rPr>
          <w:color w:val="000000"/>
          <w:szCs w:val="24"/>
        </w:rPr>
        <w:t xml:space="preserve">will usually be </w:t>
      </w:r>
      <w:r w:rsidRPr="00B224E5">
        <w:rPr>
          <w:color w:val="000000"/>
          <w:szCs w:val="24"/>
        </w:rPr>
        <w:t xml:space="preserve">whether the applicant is seeking to practise </w:t>
      </w:r>
      <w:r>
        <w:rPr>
          <w:color w:val="000000"/>
          <w:szCs w:val="24"/>
        </w:rPr>
        <w:t xml:space="preserve">privately </w:t>
      </w:r>
      <w:r w:rsidRPr="00B224E5">
        <w:rPr>
          <w:color w:val="000000"/>
          <w:szCs w:val="24"/>
        </w:rPr>
        <w:t>in a DWS area for their specialty.</w:t>
      </w:r>
      <w:r>
        <w:rPr>
          <w:color w:val="000000"/>
          <w:szCs w:val="24"/>
        </w:rPr>
        <w:t xml:space="preserve">  However, the Guidelines set out a range of other matters that may be taken into account, including whether:</w:t>
      </w:r>
    </w:p>
    <w:p w14:paraId="308D5115" w14:textId="77777777" w:rsidR="00E24895" w:rsidRDefault="00E24895" w:rsidP="00E24895">
      <w:pPr>
        <w:autoSpaceDE w:val="0"/>
        <w:autoSpaceDN w:val="0"/>
        <w:adjustRightInd w:val="0"/>
        <w:rPr>
          <w:color w:val="000000"/>
          <w:szCs w:val="24"/>
        </w:rPr>
      </w:pPr>
    </w:p>
    <w:p w14:paraId="308D5116" w14:textId="77777777" w:rsidR="00E24895" w:rsidRPr="003F727E" w:rsidRDefault="00E24895" w:rsidP="001614E3">
      <w:pPr>
        <w:numPr>
          <w:ilvl w:val="0"/>
          <w:numId w:val="17"/>
        </w:numPr>
        <w:autoSpaceDE w:val="0"/>
        <w:autoSpaceDN w:val="0"/>
        <w:adjustRightInd w:val="0"/>
      </w:pPr>
      <w:r w:rsidRPr="003F727E">
        <w:t xml:space="preserve">the applicant is proposing to provide </w:t>
      </w:r>
      <w:proofErr w:type="spellStart"/>
      <w:r w:rsidRPr="003F727E">
        <w:t>after hours</w:t>
      </w:r>
      <w:proofErr w:type="spellEnd"/>
      <w:r w:rsidRPr="003F727E">
        <w:t xml:space="preserve"> services and the location to which the application relates;</w:t>
      </w:r>
    </w:p>
    <w:p w14:paraId="308D5117" w14:textId="77777777" w:rsidR="00E24895" w:rsidRPr="003F727E" w:rsidRDefault="00E24895" w:rsidP="001614E3">
      <w:pPr>
        <w:numPr>
          <w:ilvl w:val="0"/>
          <w:numId w:val="17"/>
        </w:numPr>
      </w:pPr>
      <w:r w:rsidRPr="003F727E">
        <w:t>services were provided at the location within the last 12 months by another person covered by a s</w:t>
      </w:r>
      <w:r>
        <w:t>ubs</w:t>
      </w:r>
      <w:r w:rsidRPr="003F727E">
        <w:t xml:space="preserve">ection 19AB(3) exemption whose Medicare provider number has since </w:t>
      </w:r>
      <w:r>
        <w:t xml:space="preserve">been </w:t>
      </w:r>
      <w:r w:rsidRPr="003F727E">
        <w:t>cancelled;</w:t>
      </w:r>
      <w:r>
        <w:t xml:space="preserve"> or</w:t>
      </w:r>
    </w:p>
    <w:p w14:paraId="308D5118" w14:textId="77777777" w:rsidR="00E24895" w:rsidRPr="003F727E" w:rsidRDefault="00E24895" w:rsidP="001614E3">
      <w:pPr>
        <w:numPr>
          <w:ilvl w:val="0"/>
          <w:numId w:val="17"/>
        </w:numPr>
      </w:pPr>
      <w:proofErr w:type="gramStart"/>
      <w:r w:rsidRPr="003F727E">
        <w:t>the</w:t>
      </w:r>
      <w:proofErr w:type="gramEnd"/>
      <w:r w:rsidRPr="003F727E">
        <w:t xml:space="preserve"> applicant has entered into or commenced negotiations to enter into an agreement to provide services at the location to which the application relates.</w:t>
      </w:r>
    </w:p>
    <w:p w14:paraId="308D5119" w14:textId="77777777" w:rsidR="00E24895" w:rsidRPr="00B224E5" w:rsidRDefault="00E24895" w:rsidP="00E24895">
      <w:pPr>
        <w:autoSpaceDE w:val="0"/>
        <w:autoSpaceDN w:val="0"/>
        <w:adjustRightInd w:val="0"/>
        <w:rPr>
          <w:color w:val="000000"/>
          <w:szCs w:val="24"/>
        </w:rPr>
      </w:pPr>
    </w:p>
    <w:p w14:paraId="308D511A" w14:textId="77777777" w:rsidR="00E24895" w:rsidRDefault="00E24895" w:rsidP="00E24895">
      <w:pPr>
        <w:autoSpaceDE w:val="0"/>
        <w:autoSpaceDN w:val="0"/>
        <w:adjustRightInd w:val="0"/>
        <w:rPr>
          <w:color w:val="000000"/>
          <w:szCs w:val="24"/>
        </w:rPr>
      </w:pPr>
      <w:r>
        <w:rPr>
          <w:color w:val="000000"/>
          <w:szCs w:val="24"/>
        </w:rPr>
        <w:t>Additionally, as mentioned above t</w:t>
      </w:r>
      <w:r w:rsidRPr="00B224E5">
        <w:rPr>
          <w:color w:val="000000"/>
          <w:szCs w:val="24"/>
        </w:rPr>
        <w:t xml:space="preserve">he </w:t>
      </w:r>
      <w:r w:rsidRPr="00C5230B">
        <w:rPr>
          <w:color w:val="000000"/>
          <w:szCs w:val="24"/>
        </w:rPr>
        <w:t xml:space="preserve">Guidelines </w:t>
      </w:r>
      <w:r>
        <w:rPr>
          <w:color w:val="000000"/>
          <w:szCs w:val="24"/>
        </w:rPr>
        <w:t xml:space="preserve">also specify situations in which the DWS status of the applicant’s proposed practice location is not to be taken into consideration. </w:t>
      </w:r>
    </w:p>
    <w:p w14:paraId="308D511B" w14:textId="77777777" w:rsidR="00E24895" w:rsidRDefault="00E24895" w:rsidP="00E24895">
      <w:pPr>
        <w:autoSpaceDE w:val="0"/>
        <w:autoSpaceDN w:val="0"/>
        <w:adjustRightInd w:val="0"/>
        <w:rPr>
          <w:color w:val="000000"/>
          <w:szCs w:val="24"/>
        </w:rPr>
      </w:pPr>
    </w:p>
    <w:p w14:paraId="308D511C" w14:textId="77777777" w:rsidR="00E24895" w:rsidRPr="00B224E5" w:rsidRDefault="00E24895" w:rsidP="00E24895">
      <w:pPr>
        <w:autoSpaceDE w:val="0"/>
        <w:autoSpaceDN w:val="0"/>
        <w:adjustRightInd w:val="0"/>
        <w:rPr>
          <w:color w:val="000000"/>
          <w:szCs w:val="24"/>
          <w:lang w:val="en-US"/>
        </w:rPr>
      </w:pPr>
      <w:r w:rsidRPr="00B224E5">
        <w:rPr>
          <w:color w:val="000000"/>
          <w:szCs w:val="24"/>
          <w:lang w:val="en-US"/>
        </w:rPr>
        <w:t>No</w:t>
      </w:r>
      <w:r>
        <w:rPr>
          <w:color w:val="000000"/>
          <w:szCs w:val="24"/>
          <w:lang w:val="en-US"/>
        </w:rPr>
        <w:t xml:space="preserve">thing </w:t>
      </w:r>
      <w:r w:rsidRPr="00B224E5">
        <w:rPr>
          <w:color w:val="000000"/>
          <w:szCs w:val="24"/>
          <w:lang w:val="en-US"/>
        </w:rPr>
        <w:t xml:space="preserve">in </w:t>
      </w:r>
      <w:r w:rsidRPr="00B224E5">
        <w:rPr>
          <w:color w:val="000000"/>
          <w:szCs w:val="24"/>
        </w:rPr>
        <w:t>the</w:t>
      </w:r>
      <w:r w:rsidRPr="00B224E5">
        <w:rPr>
          <w:i/>
          <w:color w:val="000000"/>
          <w:szCs w:val="24"/>
        </w:rPr>
        <w:t xml:space="preserve"> </w:t>
      </w:r>
      <w:r w:rsidRPr="00AE48C8">
        <w:rPr>
          <w:color w:val="000000"/>
          <w:szCs w:val="24"/>
        </w:rPr>
        <w:t>Guidelines</w:t>
      </w:r>
      <w:r w:rsidRPr="00B224E5">
        <w:rPr>
          <w:i/>
          <w:color w:val="000000"/>
          <w:szCs w:val="24"/>
        </w:rPr>
        <w:t xml:space="preserve"> </w:t>
      </w:r>
      <w:r w:rsidRPr="00B224E5">
        <w:rPr>
          <w:color w:val="000000"/>
          <w:szCs w:val="24"/>
          <w:lang w:val="en-US"/>
        </w:rPr>
        <w:t>forces OTDs and FGAMS to provide medical services in a DWS or any particular area in Australia</w:t>
      </w:r>
      <w:r>
        <w:rPr>
          <w:color w:val="000000"/>
          <w:szCs w:val="24"/>
          <w:lang w:val="en-US"/>
        </w:rPr>
        <w:t xml:space="preserve">, or </w:t>
      </w:r>
      <w:r w:rsidRPr="00B224E5">
        <w:rPr>
          <w:color w:val="000000"/>
          <w:szCs w:val="24"/>
          <w:lang w:val="en-US"/>
        </w:rPr>
        <w:t>require</w:t>
      </w:r>
      <w:r>
        <w:rPr>
          <w:color w:val="000000"/>
          <w:szCs w:val="24"/>
          <w:lang w:val="en-US"/>
        </w:rPr>
        <w:t>s</w:t>
      </w:r>
      <w:r w:rsidRPr="00B224E5">
        <w:rPr>
          <w:color w:val="000000"/>
          <w:szCs w:val="24"/>
          <w:lang w:val="en-US"/>
        </w:rPr>
        <w:t xml:space="preserve"> OTD or FGAMS to service a particular group of patients or to provide a particular set of medical services within their medical specialty. </w:t>
      </w:r>
    </w:p>
    <w:p w14:paraId="308D511D" w14:textId="77777777" w:rsidR="00E24895" w:rsidRPr="00B224E5" w:rsidRDefault="00E24895" w:rsidP="00E24895">
      <w:pPr>
        <w:autoSpaceDE w:val="0"/>
        <w:autoSpaceDN w:val="0"/>
        <w:adjustRightInd w:val="0"/>
        <w:rPr>
          <w:i/>
          <w:color w:val="000000"/>
          <w:szCs w:val="24"/>
        </w:rPr>
      </w:pPr>
    </w:p>
    <w:p w14:paraId="308D511E" w14:textId="77777777" w:rsidR="00E24895" w:rsidRPr="00B224E5" w:rsidRDefault="00E24895" w:rsidP="00E24895">
      <w:pPr>
        <w:autoSpaceDE w:val="0"/>
        <w:autoSpaceDN w:val="0"/>
        <w:adjustRightInd w:val="0"/>
        <w:rPr>
          <w:szCs w:val="24"/>
        </w:rPr>
      </w:pPr>
      <w:r>
        <w:rPr>
          <w:color w:val="000000"/>
          <w:szCs w:val="24"/>
        </w:rPr>
        <w:t xml:space="preserve">The Guidelines </w:t>
      </w:r>
      <w:r w:rsidRPr="00B224E5">
        <w:rPr>
          <w:color w:val="000000"/>
          <w:szCs w:val="24"/>
        </w:rPr>
        <w:t xml:space="preserve">also do not place any restriction on </w:t>
      </w:r>
      <w:r>
        <w:rPr>
          <w:color w:val="000000"/>
          <w:szCs w:val="24"/>
        </w:rPr>
        <w:t xml:space="preserve">the </w:t>
      </w:r>
      <w:r w:rsidRPr="00B224E5">
        <w:rPr>
          <w:color w:val="000000"/>
          <w:szCs w:val="24"/>
        </w:rPr>
        <w:t xml:space="preserve">ability of OTDs or FGAMS to either enter or leave Australia.  </w:t>
      </w:r>
      <w:r w:rsidRPr="00B224E5">
        <w:rPr>
          <w:szCs w:val="24"/>
        </w:rPr>
        <w:t xml:space="preserve">The </w:t>
      </w:r>
      <w:r w:rsidRPr="00D365EA">
        <w:rPr>
          <w:color w:val="000000"/>
          <w:szCs w:val="24"/>
        </w:rPr>
        <w:t>Guidelines</w:t>
      </w:r>
      <w:r w:rsidRPr="00B224E5">
        <w:rPr>
          <w:szCs w:val="24"/>
        </w:rPr>
        <w:t xml:space="preserve"> are not incompatible with the right to freedom of movement. </w:t>
      </w:r>
    </w:p>
    <w:p w14:paraId="308D511F" w14:textId="77777777" w:rsidR="00E24895" w:rsidRPr="00B224E5" w:rsidRDefault="00E24895" w:rsidP="00E24895">
      <w:pPr>
        <w:autoSpaceDE w:val="0"/>
        <w:autoSpaceDN w:val="0"/>
        <w:adjustRightInd w:val="0"/>
        <w:rPr>
          <w:i/>
          <w:color w:val="000000"/>
          <w:szCs w:val="24"/>
        </w:rPr>
      </w:pPr>
    </w:p>
    <w:p w14:paraId="308D5120" w14:textId="77777777" w:rsidR="00E24895" w:rsidRPr="00B224E5" w:rsidRDefault="00E24895" w:rsidP="00E24895">
      <w:pPr>
        <w:autoSpaceDE w:val="0"/>
        <w:autoSpaceDN w:val="0"/>
        <w:adjustRightInd w:val="0"/>
        <w:rPr>
          <w:i/>
          <w:color w:val="000000"/>
          <w:szCs w:val="24"/>
        </w:rPr>
      </w:pPr>
      <w:r w:rsidRPr="00B224E5">
        <w:rPr>
          <w:i/>
          <w:color w:val="000000"/>
          <w:szCs w:val="24"/>
        </w:rPr>
        <w:t xml:space="preserve">Rights of Equality and Non-Discrimination </w:t>
      </w:r>
    </w:p>
    <w:p w14:paraId="308D5121" w14:textId="77777777" w:rsidR="00E24895" w:rsidRPr="00B224E5" w:rsidRDefault="00E24895" w:rsidP="00E24895">
      <w:pPr>
        <w:autoSpaceDE w:val="0"/>
        <w:autoSpaceDN w:val="0"/>
        <w:adjustRightInd w:val="0"/>
        <w:rPr>
          <w:color w:val="000000"/>
          <w:szCs w:val="24"/>
        </w:rPr>
      </w:pPr>
    </w:p>
    <w:p w14:paraId="308D5122" w14:textId="77777777" w:rsidR="00E24895" w:rsidRPr="00B224E5" w:rsidRDefault="00E24895" w:rsidP="00E24895">
      <w:pPr>
        <w:autoSpaceDE w:val="0"/>
        <w:autoSpaceDN w:val="0"/>
        <w:adjustRightInd w:val="0"/>
        <w:rPr>
          <w:color w:val="000000"/>
          <w:szCs w:val="24"/>
        </w:rPr>
      </w:pPr>
      <w:r w:rsidRPr="00B224E5">
        <w:rPr>
          <w:color w:val="000000"/>
          <w:szCs w:val="24"/>
        </w:rPr>
        <w:t xml:space="preserve">The rights of equality and non-discrimination are contained in articles 2, 16 and 26 of the International Covenant on Civil and Political Rights.  The rights of equality and non-discrimination provide that laws, policies and programs should not be discriminatory and also that public authorities should not apply or enforce laws, policies or programs in a discriminatory or arbitrary manner. </w:t>
      </w:r>
    </w:p>
    <w:p w14:paraId="308D5123" w14:textId="77777777" w:rsidR="00E24895" w:rsidRPr="00B224E5" w:rsidRDefault="00E24895" w:rsidP="00E24895">
      <w:pPr>
        <w:autoSpaceDE w:val="0"/>
        <w:autoSpaceDN w:val="0"/>
        <w:adjustRightInd w:val="0"/>
        <w:rPr>
          <w:color w:val="000000"/>
          <w:szCs w:val="24"/>
        </w:rPr>
      </w:pPr>
    </w:p>
    <w:p w14:paraId="308D5124" w14:textId="77777777" w:rsidR="00E24895" w:rsidRDefault="00E24895" w:rsidP="00E24895">
      <w:pPr>
        <w:autoSpaceDE w:val="0"/>
        <w:autoSpaceDN w:val="0"/>
        <w:adjustRightInd w:val="0"/>
        <w:rPr>
          <w:color w:val="000000"/>
          <w:szCs w:val="24"/>
        </w:rPr>
      </w:pPr>
      <w:r w:rsidRPr="00B224E5">
        <w:rPr>
          <w:color w:val="000000"/>
          <w:szCs w:val="24"/>
        </w:rPr>
        <w:t xml:space="preserve">The provisions of the </w:t>
      </w:r>
      <w:r w:rsidRPr="00D365EA">
        <w:rPr>
          <w:color w:val="000000"/>
          <w:szCs w:val="24"/>
        </w:rPr>
        <w:t>Guidelines</w:t>
      </w:r>
      <w:r w:rsidRPr="00B224E5">
        <w:rPr>
          <w:color w:val="000000"/>
          <w:szCs w:val="24"/>
        </w:rPr>
        <w:t xml:space="preserve"> are intended to serve an important medical workforce distribution function.  </w:t>
      </w:r>
      <w:r>
        <w:rPr>
          <w:color w:val="000000"/>
          <w:szCs w:val="24"/>
        </w:rPr>
        <w:t>T</w:t>
      </w:r>
      <w:r w:rsidRPr="00B224E5">
        <w:rPr>
          <w:color w:val="000000"/>
          <w:szCs w:val="24"/>
        </w:rPr>
        <w:t>he Guidelines and the related s</w:t>
      </w:r>
      <w:r>
        <w:rPr>
          <w:color w:val="000000"/>
          <w:szCs w:val="24"/>
        </w:rPr>
        <w:t>ection </w:t>
      </w:r>
      <w:r w:rsidRPr="00B224E5">
        <w:rPr>
          <w:color w:val="000000"/>
          <w:szCs w:val="24"/>
        </w:rPr>
        <w:t xml:space="preserve">19AB restrictions limit </w:t>
      </w:r>
      <w:r>
        <w:rPr>
          <w:color w:val="000000"/>
          <w:szCs w:val="24"/>
        </w:rPr>
        <w:t xml:space="preserve">the capacity of OTDs and FGAMS to provide services for which </w:t>
      </w:r>
      <w:r w:rsidRPr="00B224E5">
        <w:rPr>
          <w:color w:val="000000"/>
          <w:szCs w:val="24"/>
        </w:rPr>
        <w:t xml:space="preserve">Medicare rebates </w:t>
      </w:r>
      <w:r>
        <w:rPr>
          <w:color w:val="000000"/>
          <w:szCs w:val="24"/>
        </w:rPr>
        <w:t xml:space="preserve">are payable.  However, </w:t>
      </w:r>
      <w:r w:rsidRPr="00B224E5">
        <w:rPr>
          <w:color w:val="000000"/>
          <w:szCs w:val="24"/>
        </w:rPr>
        <w:t xml:space="preserve">OTDs and FGAMS are not identified on the basis of their race, their descent, or their national or ethnic origin. </w:t>
      </w:r>
    </w:p>
    <w:p w14:paraId="308D5125" w14:textId="77777777" w:rsidR="00E24895" w:rsidRDefault="00E24895" w:rsidP="00E24895">
      <w:pPr>
        <w:autoSpaceDE w:val="0"/>
        <w:autoSpaceDN w:val="0"/>
        <w:adjustRightInd w:val="0"/>
        <w:rPr>
          <w:color w:val="000000"/>
          <w:szCs w:val="24"/>
        </w:rPr>
      </w:pPr>
    </w:p>
    <w:p w14:paraId="308D5126" w14:textId="77777777" w:rsidR="00E24895" w:rsidRDefault="00E24895" w:rsidP="00E24895">
      <w:pPr>
        <w:autoSpaceDE w:val="0"/>
        <w:autoSpaceDN w:val="0"/>
        <w:adjustRightInd w:val="0"/>
        <w:rPr>
          <w:color w:val="000000"/>
          <w:szCs w:val="24"/>
        </w:rPr>
      </w:pPr>
      <w:r w:rsidRPr="00B224E5">
        <w:rPr>
          <w:color w:val="000000"/>
          <w:szCs w:val="24"/>
        </w:rPr>
        <w:t>These doctors are identified according to</w:t>
      </w:r>
      <w:r>
        <w:rPr>
          <w:color w:val="000000"/>
          <w:szCs w:val="24"/>
        </w:rPr>
        <w:t>:</w:t>
      </w:r>
    </w:p>
    <w:p w14:paraId="308D5127" w14:textId="77777777" w:rsidR="00E24895" w:rsidRDefault="00E24895" w:rsidP="00E24895">
      <w:pPr>
        <w:autoSpaceDE w:val="0"/>
        <w:autoSpaceDN w:val="0"/>
        <w:adjustRightInd w:val="0"/>
        <w:rPr>
          <w:color w:val="000000"/>
          <w:szCs w:val="24"/>
        </w:rPr>
      </w:pPr>
    </w:p>
    <w:p w14:paraId="308D5128" w14:textId="77777777" w:rsidR="00E24895" w:rsidRPr="00967D2D" w:rsidRDefault="00E24895" w:rsidP="001614E3">
      <w:pPr>
        <w:pStyle w:val="ListParagraph"/>
        <w:numPr>
          <w:ilvl w:val="0"/>
          <w:numId w:val="15"/>
        </w:numPr>
        <w:autoSpaceDE w:val="0"/>
        <w:autoSpaceDN w:val="0"/>
        <w:adjustRightInd w:val="0"/>
        <w:rPr>
          <w:color w:val="000000"/>
        </w:rPr>
      </w:pPr>
      <w:r w:rsidRPr="00967D2D">
        <w:rPr>
          <w:color w:val="000000"/>
        </w:rPr>
        <w:t xml:space="preserve">the institution from which the doctor obtained their primary medical degree (OTDs); and </w:t>
      </w:r>
    </w:p>
    <w:p w14:paraId="308D5129" w14:textId="77777777" w:rsidR="00E24895" w:rsidRPr="00967D2D" w:rsidRDefault="00E24895" w:rsidP="001614E3">
      <w:pPr>
        <w:pStyle w:val="ListParagraph"/>
        <w:numPr>
          <w:ilvl w:val="0"/>
          <w:numId w:val="15"/>
        </w:numPr>
        <w:autoSpaceDE w:val="0"/>
        <w:autoSpaceDN w:val="0"/>
        <w:adjustRightInd w:val="0"/>
        <w:rPr>
          <w:color w:val="000000"/>
        </w:rPr>
      </w:pPr>
      <w:proofErr w:type="gramStart"/>
      <w:r w:rsidRPr="00967D2D">
        <w:rPr>
          <w:color w:val="000000"/>
        </w:rPr>
        <w:t>the</w:t>
      </w:r>
      <w:proofErr w:type="gramEnd"/>
      <w:r w:rsidRPr="00967D2D">
        <w:rPr>
          <w:color w:val="000000"/>
        </w:rPr>
        <w:t xml:space="preserve"> institution from which the doctor obtained their primary medical degree and whether the doctor was a citizen or permanent resident of Australia or New Zealand at the time of enrolling at the institution (FGAMS).  </w:t>
      </w:r>
    </w:p>
    <w:p w14:paraId="308D512A" w14:textId="77777777" w:rsidR="00E24895" w:rsidRPr="00B224E5" w:rsidRDefault="00E24895" w:rsidP="00E24895">
      <w:pPr>
        <w:autoSpaceDE w:val="0"/>
        <w:autoSpaceDN w:val="0"/>
        <w:adjustRightInd w:val="0"/>
        <w:rPr>
          <w:color w:val="000000"/>
          <w:szCs w:val="24"/>
        </w:rPr>
      </w:pPr>
    </w:p>
    <w:p w14:paraId="308D512B" w14:textId="77777777" w:rsidR="00E24895" w:rsidRDefault="00E24895" w:rsidP="00E24895">
      <w:pPr>
        <w:autoSpaceDE w:val="0"/>
        <w:autoSpaceDN w:val="0"/>
        <w:adjustRightInd w:val="0"/>
        <w:rPr>
          <w:color w:val="000000"/>
          <w:szCs w:val="24"/>
        </w:rPr>
      </w:pPr>
      <w:r w:rsidRPr="00B224E5">
        <w:rPr>
          <w:color w:val="000000"/>
          <w:szCs w:val="24"/>
        </w:rPr>
        <w:t>The ten year moratorium requirement is applied uniformly to all medical practitioners who belong to the OTDs and FGAMS cohorts.</w:t>
      </w:r>
      <w:r>
        <w:rPr>
          <w:color w:val="000000"/>
          <w:szCs w:val="24"/>
        </w:rPr>
        <w:t xml:space="preserve"> </w:t>
      </w:r>
      <w:r w:rsidRPr="00B224E5">
        <w:rPr>
          <w:color w:val="000000"/>
          <w:szCs w:val="24"/>
        </w:rPr>
        <w:t xml:space="preserve"> Australian citizens, permanent residents and temporary residents who fall into these cohorts are all subject to the same restrictions under </w:t>
      </w:r>
      <w:r w:rsidRPr="00B224E5">
        <w:rPr>
          <w:color w:val="000000"/>
          <w:szCs w:val="24"/>
        </w:rPr>
        <w:lastRenderedPageBreak/>
        <w:t>the ten year moratorium requirement and receive the same treatment by each of the provisions of the</w:t>
      </w:r>
      <w:r w:rsidRPr="00B224E5">
        <w:rPr>
          <w:i/>
          <w:color w:val="000000"/>
          <w:szCs w:val="24"/>
        </w:rPr>
        <w:t xml:space="preserve"> </w:t>
      </w:r>
      <w:r w:rsidRPr="00967D2D">
        <w:rPr>
          <w:color w:val="000000"/>
          <w:szCs w:val="24"/>
        </w:rPr>
        <w:t>Guidelines</w:t>
      </w:r>
      <w:r w:rsidRPr="00C5230B">
        <w:rPr>
          <w:color w:val="000000"/>
          <w:szCs w:val="24"/>
        </w:rPr>
        <w:t>.</w:t>
      </w:r>
      <w:r w:rsidRPr="00B224E5">
        <w:rPr>
          <w:color w:val="000000"/>
          <w:szCs w:val="24"/>
        </w:rPr>
        <w:t xml:space="preserve"> </w:t>
      </w:r>
    </w:p>
    <w:p w14:paraId="308D512C" w14:textId="77777777" w:rsidR="00E24895" w:rsidRDefault="00E24895" w:rsidP="00E24895">
      <w:pPr>
        <w:autoSpaceDE w:val="0"/>
        <w:autoSpaceDN w:val="0"/>
        <w:adjustRightInd w:val="0"/>
        <w:rPr>
          <w:color w:val="000000"/>
          <w:szCs w:val="24"/>
        </w:rPr>
      </w:pPr>
    </w:p>
    <w:p w14:paraId="308D512D" w14:textId="77777777" w:rsidR="00E24895" w:rsidRDefault="00E24895" w:rsidP="00E24895">
      <w:pPr>
        <w:autoSpaceDE w:val="0"/>
        <w:autoSpaceDN w:val="0"/>
        <w:adjustRightInd w:val="0"/>
        <w:rPr>
          <w:color w:val="000000"/>
          <w:szCs w:val="24"/>
        </w:rPr>
      </w:pPr>
      <w:r>
        <w:rPr>
          <w:color w:val="000000"/>
          <w:szCs w:val="24"/>
        </w:rPr>
        <w:t>The Guidelines do not provide for any decisions about the granting of subsection </w:t>
      </w:r>
      <w:proofErr w:type="gramStart"/>
      <w:r>
        <w:rPr>
          <w:color w:val="000000"/>
          <w:szCs w:val="24"/>
        </w:rPr>
        <w:t>19AB(</w:t>
      </w:r>
      <w:proofErr w:type="gramEnd"/>
      <w:r>
        <w:rPr>
          <w:color w:val="000000"/>
          <w:szCs w:val="24"/>
        </w:rPr>
        <w:t xml:space="preserve">3) exemptions to be based on the race, national origin, age, gender or religion of the applicant.  </w:t>
      </w:r>
      <w:r w:rsidRPr="00B224E5">
        <w:rPr>
          <w:color w:val="000000"/>
          <w:szCs w:val="24"/>
        </w:rPr>
        <w:t xml:space="preserve">The Australian Government does not consider or record the race, decent, place of birth or ethnicity of any doctor when considering their </w:t>
      </w:r>
      <w:r>
        <w:rPr>
          <w:color w:val="000000"/>
          <w:szCs w:val="24"/>
        </w:rPr>
        <w:t>application</w:t>
      </w:r>
      <w:r w:rsidRPr="00B224E5">
        <w:rPr>
          <w:color w:val="000000"/>
          <w:szCs w:val="24"/>
        </w:rPr>
        <w:t xml:space="preserve"> for a s</w:t>
      </w:r>
      <w:r>
        <w:rPr>
          <w:color w:val="000000"/>
          <w:szCs w:val="24"/>
        </w:rPr>
        <w:t xml:space="preserve">ubsection </w:t>
      </w:r>
      <w:r w:rsidRPr="00B224E5">
        <w:rPr>
          <w:color w:val="000000"/>
          <w:szCs w:val="24"/>
        </w:rPr>
        <w:t xml:space="preserve">19AB(3) exemption. </w:t>
      </w:r>
    </w:p>
    <w:p w14:paraId="308D512E" w14:textId="77777777" w:rsidR="00E24895" w:rsidRDefault="00E24895" w:rsidP="00E24895">
      <w:pPr>
        <w:autoSpaceDE w:val="0"/>
        <w:autoSpaceDN w:val="0"/>
        <w:adjustRightInd w:val="0"/>
        <w:rPr>
          <w:color w:val="000000"/>
          <w:szCs w:val="24"/>
        </w:rPr>
      </w:pPr>
    </w:p>
    <w:p w14:paraId="308D512F" w14:textId="77777777" w:rsidR="00E24895" w:rsidRDefault="00E24895" w:rsidP="00E24895">
      <w:pPr>
        <w:autoSpaceDE w:val="0"/>
        <w:autoSpaceDN w:val="0"/>
        <w:adjustRightInd w:val="0"/>
        <w:rPr>
          <w:color w:val="000000"/>
          <w:szCs w:val="24"/>
        </w:rPr>
      </w:pPr>
      <w:r>
        <w:rPr>
          <w:color w:val="000000"/>
          <w:szCs w:val="24"/>
        </w:rPr>
        <w:t>The Guidelines do provide that an application from a practitioner in particular spousal relationship (including a de facto relationship) should not be assessed according to the DWS status of the location at which the applicant wishes to provide services.  These are where the applicant is the spouse of:</w:t>
      </w:r>
    </w:p>
    <w:p w14:paraId="308D5130" w14:textId="77777777" w:rsidR="00E24895" w:rsidRDefault="00E24895" w:rsidP="00E24895">
      <w:pPr>
        <w:autoSpaceDE w:val="0"/>
        <w:autoSpaceDN w:val="0"/>
        <w:adjustRightInd w:val="0"/>
        <w:rPr>
          <w:color w:val="000000"/>
          <w:szCs w:val="24"/>
        </w:rPr>
      </w:pPr>
    </w:p>
    <w:p w14:paraId="308D5131" w14:textId="77777777" w:rsidR="00E24895" w:rsidRPr="00386267" w:rsidRDefault="00E24895" w:rsidP="001614E3">
      <w:pPr>
        <w:numPr>
          <w:ilvl w:val="0"/>
          <w:numId w:val="18"/>
        </w:numPr>
      </w:pPr>
      <w:r w:rsidRPr="00386267">
        <w:t>another medical practitioner who is not subject to the 10 year moratorium requirement, or who hold a subsection 19AB(3) exemption</w:t>
      </w:r>
      <w:r>
        <w:t>;</w:t>
      </w:r>
      <w:r w:rsidRPr="00386267">
        <w:t xml:space="preserve"> or </w:t>
      </w:r>
    </w:p>
    <w:p w14:paraId="308D5132" w14:textId="77777777" w:rsidR="00E24895" w:rsidRPr="00386267" w:rsidRDefault="00E24895" w:rsidP="001614E3">
      <w:pPr>
        <w:numPr>
          <w:ilvl w:val="0"/>
          <w:numId w:val="18"/>
        </w:numPr>
      </w:pPr>
      <w:r w:rsidRPr="00386267">
        <w:t xml:space="preserve">a person on a general skilled migration visa with a skilled occupation in demand, who migrated to Australia to work in that occupation and who is currently employed in, volunteers in or is training in that occupation. </w:t>
      </w:r>
    </w:p>
    <w:p w14:paraId="308D5133" w14:textId="77777777" w:rsidR="00E24895" w:rsidRDefault="00E24895" w:rsidP="00E24895">
      <w:pPr>
        <w:autoSpaceDE w:val="0"/>
        <w:autoSpaceDN w:val="0"/>
        <w:adjustRightInd w:val="0"/>
        <w:rPr>
          <w:color w:val="000000"/>
          <w:szCs w:val="24"/>
        </w:rPr>
      </w:pPr>
    </w:p>
    <w:p w14:paraId="308D5134" w14:textId="205C92D3" w:rsidR="00E24895" w:rsidRPr="007630E4" w:rsidRDefault="001614E3" w:rsidP="00E24895">
      <w:pPr>
        <w:autoSpaceDE w:val="0"/>
        <w:autoSpaceDN w:val="0"/>
        <w:adjustRightInd w:val="0"/>
        <w:rPr>
          <w:color w:val="000000"/>
          <w:szCs w:val="24"/>
        </w:rPr>
      </w:pPr>
      <w:r>
        <w:rPr>
          <w:color w:val="000000"/>
          <w:szCs w:val="24"/>
        </w:rPr>
        <w:t>This</w:t>
      </w:r>
      <w:r w:rsidR="00E24895">
        <w:rPr>
          <w:color w:val="000000"/>
          <w:szCs w:val="24"/>
        </w:rPr>
        <w:t xml:space="preserve"> ‘spousal exemption’ </w:t>
      </w:r>
      <w:r w:rsidR="00E24895" w:rsidRPr="007630E4">
        <w:rPr>
          <w:color w:val="000000"/>
          <w:szCs w:val="24"/>
        </w:rPr>
        <w:t>ensure</w:t>
      </w:r>
      <w:r w:rsidR="00E24895">
        <w:rPr>
          <w:color w:val="000000"/>
          <w:szCs w:val="24"/>
        </w:rPr>
        <w:t>s that the 10 year moratorium requirement</w:t>
      </w:r>
      <w:r w:rsidR="00E24895" w:rsidRPr="007630E4">
        <w:rPr>
          <w:color w:val="000000"/>
          <w:szCs w:val="24"/>
        </w:rPr>
        <w:t>:</w:t>
      </w:r>
    </w:p>
    <w:p w14:paraId="308D5135" w14:textId="77777777" w:rsidR="00E24895" w:rsidRPr="007630E4" w:rsidRDefault="00E24895" w:rsidP="00E24895">
      <w:pPr>
        <w:autoSpaceDE w:val="0"/>
        <w:autoSpaceDN w:val="0"/>
        <w:adjustRightInd w:val="0"/>
        <w:rPr>
          <w:color w:val="000000"/>
          <w:szCs w:val="24"/>
        </w:rPr>
      </w:pPr>
    </w:p>
    <w:p w14:paraId="308D5136" w14:textId="77777777" w:rsidR="00E24895" w:rsidRDefault="00E24895" w:rsidP="001614E3">
      <w:pPr>
        <w:pStyle w:val="ListParagraph"/>
        <w:numPr>
          <w:ilvl w:val="0"/>
          <w:numId w:val="16"/>
        </w:numPr>
        <w:autoSpaceDE w:val="0"/>
        <w:autoSpaceDN w:val="0"/>
        <w:adjustRightInd w:val="0"/>
        <w:contextualSpacing w:val="0"/>
        <w:rPr>
          <w:color w:val="000000"/>
        </w:rPr>
      </w:pPr>
      <w:r>
        <w:rPr>
          <w:color w:val="000000"/>
        </w:rPr>
        <w:t xml:space="preserve">does not adversely impact </w:t>
      </w:r>
      <w:r w:rsidRPr="007630E4">
        <w:rPr>
          <w:color w:val="000000"/>
        </w:rPr>
        <w:t xml:space="preserve">the Australian Government’s efforts to attract </w:t>
      </w:r>
      <w:r>
        <w:rPr>
          <w:color w:val="000000"/>
        </w:rPr>
        <w:t xml:space="preserve">and retain </w:t>
      </w:r>
      <w:r w:rsidRPr="007630E4">
        <w:rPr>
          <w:color w:val="000000"/>
        </w:rPr>
        <w:t>skilled migrants into the non-medical practitioner occupations that are listed on the Skilled Occupation List</w:t>
      </w:r>
      <w:r>
        <w:rPr>
          <w:color w:val="000000"/>
        </w:rPr>
        <w:t xml:space="preserve"> or former Migration Occupation in Demand List</w:t>
      </w:r>
      <w:r w:rsidRPr="007630E4">
        <w:rPr>
          <w:color w:val="000000"/>
        </w:rPr>
        <w:t xml:space="preserve">; </w:t>
      </w:r>
      <w:r>
        <w:rPr>
          <w:color w:val="000000"/>
        </w:rPr>
        <w:t>and</w:t>
      </w:r>
      <w:r w:rsidRPr="007630E4">
        <w:rPr>
          <w:color w:val="000000"/>
        </w:rPr>
        <w:t xml:space="preserve"> </w:t>
      </w:r>
    </w:p>
    <w:p w14:paraId="308D5137" w14:textId="2293C365" w:rsidR="00E24895" w:rsidRPr="007630E4" w:rsidRDefault="00E24895" w:rsidP="001614E3">
      <w:pPr>
        <w:pStyle w:val="ListParagraph"/>
        <w:numPr>
          <w:ilvl w:val="0"/>
          <w:numId w:val="16"/>
        </w:numPr>
        <w:autoSpaceDE w:val="0"/>
        <w:autoSpaceDN w:val="0"/>
        <w:adjustRightInd w:val="0"/>
        <w:contextualSpacing w:val="0"/>
        <w:rPr>
          <w:color w:val="000000"/>
        </w:rPr>
      </w:pPr>
      <w:r>
        <w:rPr>
          <w:color w:val="000000"/>
        </w:rPr>
        <w:t xml:space="preserve">increases the likelihood that an OTD or FGAMS who already holds a subsection 19AB(3) exemption to work in a DWS and who is in a spousal relationship with another OTD or FGAMS applying for an exemption will continue to work in that DWS; </w:t>
      </w:r>
    </w:p>
    <w:p w14:paraId="308D5138" w14:textId="77777777" w:rsidR="00E24895" w:rsidRPr="007630E4" w:rsidRDefault="00E24895" w:rsidP="00E24895">
      <w:pPr>
        <w:autoSpaceDE w:val="0"/>
        <w:autoSpaceDN w:val="0"/>
        <w:adjustRightInd w:val="0"/>
        <w:rPr>
          <w:color w:val="000000"/>
          <w:szCs w:val="24"/>
        </w:rPr>
      </w:pPr>
    </w:p>
    <w:p w14:paraId="308D5139" w14:textId="77777777" w:rsidR="00E24895" w:rsidRPr="007630E4" w:rsidRDefault="00E24895" w:rsidP="00E24895">
      <w:pPr>
        <w:autoSpaceDE w:val="0"/>
        <w:autoSpaceDN w:val="0"/>
        <w:adjustRightInd w:val="0"/>
        <w:rPr>
          <w:color w:val="000000"/>
          <w:szCs w:val="24"/>
        </w:rPr>
      </w:pPr>
      <w:r w:rsidRPr="007630E4">
        <w:rPr>
          <w:color w:val="000000"/>
          <w:szCs w:val="24"/>
        </w:rPr>
        <w:t xml:space="preserve">The spousal categories achieve these </w:t>
      </w:r>
      <w:r>
        <w:rPr>
          <w:color w:val="000000"/>
          <w:szCs w:val="24"/>
        </w:rPr>
        <w:t xml:space="preserve">reasonable </w:t>
      </w:r>
      <w:r w:rsidRPr="007630E4">
        <w:rPr>
          <w:color w:val="000000"/>
          <w:szCs w:val="24"/>
        </w:rPr>
        <w:t>objectives by allowing an OTD or FGAMS to apply for a Medicare provider number for a practice location that is near to their spouse’s place of employment, on the condition that their spouse’s current employment and migration status satisfy section 8 of the Guidelines.</w:t>
      </w:r>
    </w:p>
    <w:p w14:paraId="308D513A" w14:textId="77777777" w:rsidR="00E24895" w:rsidRPr="00B224E5" w:rsidRDefault="00E24895" w:rsidP="00E24895">
      <w:pPr>
        <w:autoSpaceDE w:val="0"/>
        <w:autoSpaceDN w:val="0"/>
        <w:adjustRightInd w:val="0"/>
        <w:rPr>
          <w:color w:val="000000"/>
          <w:szCs w:val="24"/>
        </w:rPr>
      </w:pPr>
    </w:p>
    <w:p w14:paraId="308D513B" w14:textId="77777777" w:rsidR="00E24895" w:rsidRPr="00B224E5" w:rsidRDefault="00E24895" w:rsidP="00E24895">
      <w:pPr>
        <w:autoSpaceDE w:val="0"/>
        <w:autoSpaceDN w:val="0"/>
        <w:adjustRightInd w:val="0"/>
        <w:rPr>
          <w:szCs w:val="24"/>
        </w:rPr>
      </w:pPr>
      <w:r w:rsidRPr="00B224E5">
        <w:rPr>
          <w:color w:val="000000"/>
          <w:szCs w:val="24"/>
        </w:rPr>
        <w:t xml:space="preserve">The </w:t>
      </w:r>
      <w:r w:rsidRPr="00967D2D">
        <w:rPr>
          <w:color w:val="000000"/>
          <w:szCs w:val="24"/>
        </w:rPr>
        <w:t>Guidelines</w:t>
      </w:r>
      <w:r w:rsidRPr="00B224E5">
        <w:rPr>
          <w:color w:val="000000"/>
          <w:szCs w:val="24"/>
        </w:rPr>
        <w:t xml:space="preserve"> are not incompatible with </w:t>
      </w:r>
      <w:r w:rsidRPr="00B224E5">
        <w:rPr>
          <w:szCs w:val="24"/>
        </w:rPr>
        <w:t>the rights of equity and non-discrimination.</w:t>
      </w:r>
    </w:p>
    <w:p w14:paraId="308D513C" w14:textId="77777777" w:rsidR="00E24895" w:rsidRPr="00B224E5" w:rsidRDefault="00E24895" w:rsidP="00E24895">
      <w:pPr>
        <w:autoSpaceDE w:val="0"/>
        <w:autoSpaceDN w:val="0"/>
        <w:adjustRightInd w:val="0"/>
        <w:rPr>
          <w:szCs w:val="24"/>
        </w:rPr>
      </w:pPr>
    </w:p>
    <w:p w14:paraId="308D513D" w14:textId="77777777" w:rsidR="00E24895" w:rsidRDefault="00E24895" w:rsidP="00E24895">
      <w:pPr>
        <w:rPr>
          <w:b/>
          <w:szCs w:val="24"/>
        </w:rPr>
      </w:pPr>
    </w:p>
    <w:p w14:paraId="308D513E" w14:textId="77777777" w:rsidR="00E24895" w:rsidRDefault="00E24895" w:rsidP="00E24895">
      <w:pPr>
        <w:rPr>
          <w:b/>
          <w:szCs w:val="24"/>
        </w:rPr>
      </w:pPr>
    </w:p>
    <w:p w14:paraId="308D513F" w14:textId="77777777" w:rsidR="00E24895" w:rsidRDefault="00E24895" w:rsidP="00E24895">
      <w:pPr>
        <w:rPr>
          <w:b/>
          <w:szCs w:val="24"/>
        </w:rPr>
      </w:pPr>
    </w:p>
    <w:p w14:paraId="308D5140" w14:textId="77777777" w:rsidR="00E24895" w:rsidRPr="00B224E5" w:rsidRDefault="00E24895" w:rsidP="00E24895">
      <w:pPr>
        <w:rPr>
          <w:b/>
          <w:szCs w:val="24"/>
        </w:rPr>
      </w:pPr>
      <w:r>
        <w:rPr>
          <w:b/>
          <w:szCs w:val="24"/>
        </w:rPr>
        <w:br w:type="page"/>
      </w:r>
      <w:r w:rsidRPr="00B224E5">
        <w:rPr>
          <w:b/>
          <w:szCs w:val="24"/>
        </w:rPr>
        <w:lastRenderedPageBreak/>
        <w:t xml:space="preserve">Conclusion </w:t>
      </w:r>
    </w:p>
    <w:p w14:paraId="308D5141" w14:textId="77777777" w:rsidR="00E24895" w:rsidRPr="00B224E5" w:rsidRDefault="00E24895" w:rsidP="00E24895">
      <w:pPr>
        <w:rPr>
          <w:szCs w:val="24"/>
        </w:rPr>
      </w:pPr>
    </w:p>
    <w:p w14:paraId="308D5142" w14:textId="77777777" w:rsidR="00E24895" w:rsidRPr="00B224E5" w:rsidRDefault="00E24895" w:rsidP="00E24895">
      <w:pPr>
        <w:rPr>
          <w:szCs w:val="24"/>
        </w:rPr>
      </w:pPr>
      <w:r w:rsidRPr="00B224E5">
        <w:rPr>
          <w:color w:val="000000"/>
          <w:szCs w:val="24"/>
        </w:rPr>
        <w:t xml:space="preserve">The </w:t>
      </w:r>
      <w:r w:rsidRPr="00B224E5">
        <w:rPr>
          <w:i/>
          <w:color w:val="000000"/>
          <w:szCs w:val="24"/>
        </w:rPr>
        <w:t>Health Insurance (Section 19AB Exemptions) Guidelines 201</w:t>
      </w:r>
      <w:r>
        <w:rPr>
          <w:i/>
          <w:color w:val="000000"/>
          <w:szCs w:val="24"/>
        </w:rPr>
        <w:t>7</w:t>
      </w:r>
      <w:r w:rsidRPr="00B224E5">
        <w:rPr>
          <w:color w:val="000000"/>
          <w:szCs w:val="24"/>
        </w:rPr>
        <w:t xml:space="preserve"> </w:t>
      </w:r>
      <w:r w:rsidRPr="00B224E5">
        <w:rPr>
          <w:szCs w:val="24"/>
        </w:rPr>
        <w:t>are compatible with human rights because the provisions contained within the Guidelines advance the protection of human rights by enabling limited resources (</w:t>
      </w:r>
      <w:r>
        <w:rPr>
          <w:szCs w:val="24"/>
        </w:rPr>
        <w:t xml:space="preserve">Medicare </w:t>
      </w:r>
      <w:r w:rsidRPr="00B224E5">
        <w:rPr>
          <w:szCs w:val="24"/>
        </w:rPr>
        <w:t>benefits) to be spent more effectively and for the benefit of all Australians.</w:t>
      </w:r>
      <w:r>
        <w:rPr>
          <w:szCs w:val="24"/>
        </w:rPr>
        <w:t xml:space="preserve"> </w:t>
      </w:r>
      <w:r w:rsidRPr="00B224E5">
        <w:rPr>
          <w:szCs w:val="24"/>
        </w:rPr>
        <w:t xml:space="preserve"> To the extent that </w:t>
      </w:r>
      <w:r w:rsidRPr="00B224E5">
        <w:rPr>
          <w:color w:val="000000"/>
          <w:szCs w:val="24"/>
        </w:rPr>
        <w:t>the</w:t>
      </w:r>
      <w:r>
        <w:rPr>
          <w:color w:val="000000"/>
          <w:szCs w:val="24"/>
        </w:rPr>
        <w:t xml:space="preserve"> </w:t>
      </w:r>
      <w:r w:rsidRPr="00B224E5">
        <w:rPr>
          <w:i/>
          <w:color w:val="000000"/>
          <w:szCs w:val="24"/>
        </w:rPr>
        <w:t>Health Insurance (Section 19AB Exemptions) Guidelines 201</w:t>
      </w:r>
      <w:r>
        <w:rPr>
          <w:i/>
          <w:color w:val="000000"/>
          <w:szCs w:val="24"/>
        </w:rPr>
        <w:t>7</w:t>
      </w:r>
      <w:r w:rsidRPr="00B224E5">
        <w:rPr>
          <w:color w:val="000000"/>
          <w:szCs w:val="24"/>
        </w:rPr>
        <w:t xml:space="preserve"> </w:t>
      </w:r>
      <w:r w:rsidRPr="00B224E5">
        <w:rPr>
          <w:szCs w:val="24"/>
        </w:rPr>
        <w:t xml:space="preserve">may limit human rights, those limitations are reasonable, necessary and proportionate.  </w:t>
      </w:r>
    </w:p>
    <w:p w14:paraId="308D5143" w14:textId="77777777" w:rsidR="00E24895" w:rsidRPr="00B224E5" w:rsidRDefault="00E24895" w:rsidP="00E24895">
      <w:pPr>
        <w:autoSpaceDE w:val="0"/>
        <w:autoSpaceDN w:val="0"/>
        <w:adjustRightInd w:val="0"/>
        <w:rPr>
          <w:szCs w:val="24"/>
        </w:rPr>
      </w:pPr>
    </w:p>
    <w:p w14:paraId="308D5144" w14:textId="77777777" w:rsidR="00E24895" w:rsidRDefault="00E24895" w:rsidP="00E24895">
      <w:pPr>
        <w:rPr>
          <w:b/>
        </w:rPr>
      </w:pPr>
    </w:p>
    <w:p w14:paraId="308D5145" w14:textId="77777777" w:rsidR="00E24895" w:rsidRPr="004B4A8A" w:rsidRDefault="00E24895" w:rsidP="00E24895">
      <w:pPr>
        <w:rPr>
          <w:b/>
        </w:rPr>
      </w:pPr>
    </w:p>
    <w:p w14:paraId="308D5146" w14:textId="77777777" w:rsidR="00E24895" w:rsidRPr="004B4A8A" w:rsidRDefault="00E24895" w:rsidP="00E24895">
      <w:pPr>
        <w:jc w:val="center"/>
        <w:rPr>
          <w:b/>
        </w:rPr>
      </w:pPr>
      <w:r w:rsidRPr="004B4A8A">
        <w:rPr>
          <w:b/>
        </w:rPr>
        <w:t>The Hon Greg Hunt MP</w:t>
      </w:r>
    </w:p>
    <w:p w14:paraId="308D5147" w14:textId="77777777" w:rsidR="00E24895" w:rsidRDefault="00E24895" w:rsidP="00E24895">
      <w:pPr>
        <w:jc w:val="center"/>
        <w:rPr>
          <w:b/>
        </w:rPr>
      </w:pPr>
      <w:r w:rsidRPr="004B4A8A">
        <w:rPr>
          <w:b/>
        </w:rPr>
        <w:t>Minister for Health</w:t>
      </w:r>
    </w:p>
    <w:p w14:paraId="308D5148" w14:textId="77777777" w:rsidR="00E24895" w:rsidRPr="004B4A8A" w:rsidRDefault="00E24895" w:rsidP="00E24895">
      <w:pPr>
        <w:jc w:val="center"/>
        <w:rPr>
          <w:b/>
        </w:rPr>
      </w:pPr>
      <w:r>
        <w:rPr>
          <w:b/>
        </w:rPr>
        <w:t>Minister for Sport</w:t>
      </w:r>
    </w:p>
    <w:p w14:paraId="308D5149" w14:textId="77777777" w:rsidR="00E24895" w:rsidRDefault="00E24895" w:rsidP="00E24895">
      <w:pPr>
        <w:spacing w:after="200" w:line="276" w:lineRule="auto"/>
      </w:pPr>
    </w:p>
    <w:p w14:paraId="308D514A" w14:textId="77777777" w:rsidR="00003743" w:rsidRPr="002F3AE3" w:rsidRDefault="00003743" w:rsidP="002F3AE3"/>
    <w:sectPr w:rsidR="00003743" w:rsidRPr="002F3AE3">
      <w:pgSz w:w="11906" w:h="16838"/>
      <w:pgMar w:top="1440" w:right="1440" w:bottom="1440" w:left="1440" w:header="720" w:footer="720" w:gutter="0"/>
      <w:paperSrc w:first="2" w:other="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5344"/>
    <w:multiLevelType w:val="hybridMultilevel"/>
    <w:tmpl w:val="C1B254AA"/>
    <w:lvl w:ilvl="0" w:tplc="A142EAE8">
      <w:start w:val="1"/>
      <w:numFmt w:val="bullet"/>
      <w:lvlText w:val=""/>
      <w:lvlJc w:val="left"/>
      <w:pPr>
        <w:ind w:left="360" w:hanging="360"/>
      </w:pPr>
      <w:rPr>
        <w:rFonts w:ascii="Symbol" w:hAnsi="Symbol" w:hint="default"/>
        <w:sz w:val="24"/>
        <w:szCs w:val="24"/>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9AC352A"/>
    <w:multiLevelType w:val="hybridMultilevel"/>
    <w:tmpl w:val="ACBC2C82"/>
    <w:lvl w:ilvl="0" w:tplc="0C090001">
      <w:start w:val="1"/>
      <w:numFmt w:val="bullet"/>
      <w:lvlText w:val=""/>
      <w:lvlJc w:val="left"/>
      <w:pPr>
        <w:ind w:left="720" w:hanging="360"/>
      </w:pPr>
      <w:rPr>
        <w:rFonts w:ascii="Symbol" w:hAnsi="Symbo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133176"/>
    <w:multiLevelType w:val="hybridMultilevel"/>
    <w:tmpl w:val="68F88646"/>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
    <w:nsid w:val="122126C0"/>
    <w:multiLevelType w:val="hybridMultilevel"/>
    <w:tmpl w:val="ECECC3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45703AB"/>
    <w:multiLevelType w:val="hybridMultilevel"/>
    <w:tmpl w:val="6FC8E266"/>
    <w:lvl w:ilvl="0" w:tplc="8020E9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C75C89"/>
    <w:multiLevelType w:val="hybridMultilevel"/>
    <w:tmpl w:val="7B2003C4"/>
    <w:lvl w:ilvl="0" w:tplc="E9782DC8">
      <w:start w:val="1"/>
      <w:numFmt w:val="bullet"/>
      <w:lvlText w:val="o"/>
      <w:lvlJc w:val="left"/>
      <w:pPr>
        <w:ind w:left="720" w:hanging="360"/>
      </w:pPr>
      <w:rPr>
        <w:rFonts w:ascii="Courier New" w:hAnsi="Courier New"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E7E7DFE"/>
    <w:multiLevelType w:val="hybridMultilevel"/>
    <w:tmpl w:val="B032FBCE"/>
    <w:lvl w:ilvl="0" w:tplc="33D4CEA4">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E90283"/>
    <w:multiLevelType w:val="hybridMultilevel"/>
    <w:tmpl w:val="170C98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31BA66C4"/>
    <w:multiLevelType w:val="hybridMultilevel"/>
    <w:tmpl w:val="5BF64D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38E01B22"/>
    <w:multiLevelType w:val="hybridMultilevel"/>
    <w:tmpl w:val="A1329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2D36BFD"/>
    <w:multiLevelType w:val="hybridMultilevel"/>
    <w:tmpl w:val="27EE1B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45AD3056"/>
    <w:multiLevelType w:val="hybridMultilevel"/>
    <w:tmpl w:val="3DE039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48733A12"/>
    <w:multiLevelType w:val="hybridMultilevel"/>
    <w:tmpl w:val="232CAEC6"/>
    <w:lvl w:ilvl="0" w:tplc="E218749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9FF089C"/>
    <w:multiLevelType w:val="hybridMultilevel"/>
    <w:tmpl w:val="FD0087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565840FF"/>
    <w:multiLevelType w:val="hybridMultilevel"/>
    <w:tmpl w:val="7D524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5360831"/>
    <w:multiLevelType w:val="multilevel"/>
    <w:tmpl w:val="BF5006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6C0A0DBA"/>
    <w:multiLevelType w:val="hybridMultilevel"/>
    <w:tmpl w:val="A5FC2A18"/>
    <w:lvl w:ilvl="0" w:tplc="F9E209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C40269A"/>
    <w:multiLevelType w:val="hybridMultilevel"/>
    <w:tmpl w:val="127C8844"/>
    <w:lvl w:ilvl="0" w:tplc="72D6E872">
      <w:start w:val="1"/>
      <w:numFmt w:val="bullet"/>
      <w:lvlText w:val=""/>
      <w:lvlJc w:val="left"/>
      <w:pPr>
        <w:tabs>
          <w:tab w:val="num" w:pos="1134"/>
        </w:tabs>
        <w:ind w:left="1134" w:hanging="567"/>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38F0F8C"/>
    <w:multiLevelType w:val="hybridMultilevel"/>
    <w:tmpl w:val="7CF2B8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3"/>
  </w:num>
  <w:num w:numId="2">
    <w:abstractNumId w:val="18"/>
  </w:num>
  <w:num w:numId="3">
    <w:abstractNumId w:val="17"/>
  </w:num>
  <w:num w:numId="4">
    <w:abstractNumId w:val="4"/>
  </w:num>
  <w:num w:numId="5">
    <w:abstractNumId w:val="16"/>
  </w:num>
  <w:num w:numId="6">
    <w:abstractNumId w:val="6"/>
  </w:num>
  <w:num w:numId="7">
    <w:abstractNumId w:val="0"/>
  </w:num>
  <w:num w:numId="8">
    <w:abstractNumId w:val="10"/>
  </w:num>
  <w:num w:numId="9">
    <w:abstractNumId w:val="12"/>
  </w:num>
  <w:num w:numId="10">
    <w:abstractNumId w:val="3"/>
  </w:num>
  <w:num w:numId="11">
    <w:abstractNumId w:val="9"/>
  </w:num>
  <w:num w:numId="12">
    <w:abstractNumId w:val="14"/>
  </w:num>
  <w:num w:numId="13">
    <w:abstractNumId w:val="5"/>
  </w:num>
  <w:num w:numId="14">
    <w:abstractNumId w:val="1"/>
  </w:num>
  <w:num w:numId="15">
    <w:abstractNumId w:val="11"/>
  </w:num>
  <w:num w:numId="16">
    <w:abstractNumId w:val="2"/>
  </w:num>
  <w:num w:numId="17">
    <w:abstractNumId w:val="8"/>
  </w:num>
  <w:num w:numId="18">
    <w:abstractNumId w:val="7"/>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895"/>
    <w:rsid w:val="00003743"/>
    <w:rsid w:val="00067456"/>
    <w:rsid w:val="001614E3"/>
    <w:rsid w:val="001B3443"/>
    <w:rsid w:val="00273C3D"/>
    <w:rsid w:val="002F3AE3"/>
    <w:rsid w:val="0030786C"/>
    <w:rsid w:val="003D17F9"/>
    <w:rsid w:val="00422E14"/>
    <w:rsid w:val="004867E2"/>
    <w:rsid w:val="00765F2C"/>
    <w:rsid w:val="008264EB"/>
    <w:rsid w:val="00A4512D"/>
    <w:rsid w:val="00A705AF"/>
    <w:rsid w:val="00B42851"/>
    <w:rsid w:val="00CB5B1A"/>
    <w:rsid w:val="00D52864"/>
    <w:rsid w:val="00E24895"/>
    <w:rsid w:val="00FE271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08D4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4895"/>
    <w:rPr>
      <w:sz w:val="24"/>
      <w:lang w:eastAsia="en-US"/>
    </w:rPr>
  </w:style>
  <w:style w:type="paragraph" w:styleId="Heading1">
    <w:name w:val="heading 1"/>
    <w:basedOn w:val="Normal"/>
    <w:next w:val="Normal"/>
    <w:link w:val="Heading1Char"/>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customStyle="1" w:styleId="Heading1Char">
    <w:name w:val="Heading 1 Char"/>
    <w:basedOn w:val="DefaultParagraphFont"/>
    <w:link w:val="Heading1"/>
    <w:rsid w:val="00E24895"/>
    <w:rPr>
      <w:rFonts w:ascii="Arial" w:hAnsi="Arial" w:cs="Arial"/>
      <w:b/>
      <w:bCs/>
      <w:kern w:val="28"/>
      <w:sz w:val="28"/>
      <w:szCs w:val="32"/>
      <w:lang w:eastAsia="en-US"/>
    </w:rPr>
  </w:style>
  <w:style w:type="character" w:customStyle="1" w:styleId="Heading2Char">
    <w:name w:val="Heading 2 Char"/>
    <w:basedOn w:val="DefaultParagraphFont"/>
    <w:link w:val="Heading2"/>
    <w:rsid w:val="00E24895"/>
    <w:rPr>
      <w:rFonts w:ascii="Arial" w:hAnsi="Arial" w:cs="Arial"/>
      <w:b/>
      <w:bCs/>
      <w:i/>
      <w:iCs/>
      <w:sz w:val="24"/>
      <w:szCs w:val="28"/>
      <w:lang w:eastAsia="en-US"/>
    </w:rPr>
  </w:style>
  <w:style w:type="character" w:customStyle="1" w:styleId="Heading3Char">
    <w:name w:val="Heading 3 Char"/>
    <w:basedOn w:val="DefaultParagraphFont"/>
    <w:link w:val="Heading3"/>
    <w:rsid w:val="00E24895"/>
    <w:rPr>
      <w:rFonts w:ascii="Arial" w:hAnsi="Arial" w:cs="Arial"/>
      <w:bCs/>
      <w:sz w:val="24"/>
      <w:szCs w:val="26"/>
      <w:lang w:eastAsia="en-US"/>
    </w:rPr>
  </w:style>
  <w:style w:type="paragraph" w:styleId="BodyTextIndent">
    <w:name w:val="Body Text Indent"/>
    <w:basedOn w:val="Normal"/>
    <w:link w:val="BodyTextIndentChar"/>
    <w:rsid w:val="00E24895"/>
    <w:pPr>
      <w:ind w:left="360"/>
    </w:pPr>
  </w:style>
  <w:style w:type="character" w:customStyle="1" w:styleId="BodyTextIndentChar">
    <w:name w:val="Body Text Indent Char"/>
    <w:basedOn w:val="DefaultParagraphFont"/>
    <w:link w:val="BodyTextIndent"/>
    <w:rsid w:val="00E24895"/>
    <w:rPr>
      <w:sz w:val="24"/>
      <w:lang w:eastAsia="en-US"/>
    </w:rPr>
  </w:style>
  <w:style w:type="paragraph" w:customStyle="1" w:styleId="indenta">
    <w:name w:val="indent(a)"/>
    <w:aliases w:val="a"/>
    <w:basedOn w:val="Normal"/>
    <w:rsid w:val="00E24895"/>
    <w:pPr>
      <w:tabs>
        <w:tab w:val="right" w:pos="1531"/>
      </w:tabs>
      <w:spacing w:before="40" w:line="260" w:lineRule="atLeast"/>
      <w:ind w:left="1644" w:hanging="1644"/>
    </w:pPr>
    <w:rPr>
      <w:rFonts w:ascii="Times" w:hAnsi="Times"/>
      <w:sz w:val="22"/>
    </w:rPr>
  </w:style>
  <w:style w:type="paragraph" w:customStyle="1" w:styleId="indentii">
    <w:name w:val="indent(ii)"/>
    <w:aliases w:val="aa"/>
    <w:basedOn w:val="indenta"/>
    <w:rsid w:val="00E24895"/>
  </w:style>
  <w:style w:type="paragraph" w:customStyle="1" w:styleId="Char1CharCharCharCharCharChar">
    <w:name w:val="Char1 Char Char Char Char Char Char"/>
    <w:basedOn w:val="Normal"/>
    <w:rsid w:val="00E24895"/>
    <w:rPr>
      <w:rFonts w:ascii="Arial" w:hAnsi="Arial" w:cs="Arial"/>
      <w:sz w:val="22"/>
      <w:szCs w:val="22"/>
    </w:rPr>
  </w:style>
  <w:style w:type="paragraph" w:customStyle="1" w:styleId="legcohead3">
    <w:name w:val="legcohead3"/>
    <w:basedOn w:val="Normal"/>
    <w:rsid w:val="00E24895"/>
    <w:pPr>
      <w:keepNext/>
    </w:pPr>
    <w:rPr>
      <w:b/>
      <w:kern w:val="28"/>
      <w:lang w:val="en-US" w:eastAsia="en-AU"/>
    </w:rPr>
  </w:style>
  <w:style w:type="paragraph" w:customStyle="1" w:styleId="Default">
    <w:name w:val="Default"/>
    <w:rsid w:val="00E24895"/>
    <w:pPr>
      <w:autoSpaceDE w:val="0"/>
      <w:autoSpaceDN w:val="0"/>
      <w:adjustRightInd w:val="0"/>
    </w:pPr>
    <w:rPr>
      <w:color w:val="000000"/>
      <w:sz w:val="24"/>
      <w:szCs w:val="24"/>
    </w:rPr>
  </w:style>
  <w:style w:type="paragraph" w:styleId="BalloonText">
    <w:name w:val="Balloon Text"/>
    <w:basedOn w:val="Normal"/>
    <w:link w:val="BalloonTextChar"/>
    <w:rsid w:val="00E24895"/>
    <w:rPr>
      <w:rFonts w:ascii="Tahoma" w:hAnsi="Tahoma" w:cs="Tahoma"/>
      <w:sz w:val="16"/>
      <w:szCs w:val="16"/>
    </w:rPr>
  </w:style>
  <w:style w:type="character" w:customStyle="1" w:styleId="BalloonTextChar">
    <w:name w:val="Balloon Text Char"/>
    <w:basedOn w:val="DefaultParagraphFont"/>
    <w:link w:val="BalloonText"/>
    <w:rsid w:val="00E24895"/>
    <w:rPr>
      <w:rFonts w:ascii="Tahoma" w:hAnsi="Tahoma" w:cs="Tahoma"/>
      <w:sz w:val="16"/>
      <w:szCs w:val="16"/>
      <w:lang w:eastAsia="en-US"/>
    </w:rPr>
  </w:style>
  <w:style w:type="character" w:styleId="CommentReference">
    <w:name w:val="annotation reference"/>
    <w:rsid w:val="00E24895"/>
    <w:rPr>
      <w:sz w:val="16"/>
      <w:szCs w:val="16"/>
    </w:rPr>
  </w:style>
  <w:style w:type="paragraph" w:styleId="CommentText">
    <w:name w:val="annotation text"/>
    <w:basedOn w:val="Normal"/>
    <w:link w:val="CommentTextChar"/>
    <w:rsid w:val="00E24895"/>
    <w:rPr>
      <w:sz w:val="20"/>
    </w:rPr>
  </w:style>
  <w:style w:type="character" w:customStyle="1" w:styleId="CommentTextChar">
    <w:name w:val="Comment Text Char"/>
    <w:basedOn w:val="DefaultParagraphFont"/>
    <w:link w:val="CommentText"/>
    <w:rsid w:val="00E24895"/>
    <w:rPr>
      <w:lang w:eastAsia="en-US"/>
    </w:rPr>
  </w:style>
  <w:style w:type="paragraph" w:styleId="CommentSubject">
    <w:name w:val="annotation subject"/>
    <w:basedOn w:val="CommentText"/>
    <w:next w:val="CommentText"/>
    <w:link w:val="CommentSubjectChar"/>
    <w:rsid w:val="00E24895"/>
    <w:rPr>
      <w:b/>
      <w:bCs/>
    </w:rPr>
  </w:style>
  <w:style w:type="character" w:customStyle="1" w:styleId="CommentSubjectChar">
    <w:name w:val="Comment Subject Char"/>
    <w:basedOn w:val="CommentTextChar"/>
    <w:link w:val="CommentSubject"/>
    <w:rsid w:val="00E24895"/>
    <w:rPr>
      <w:b/>
      <w:bCs/>
      <w:lang w:eastAsia="en-US"/>
    </w:rPr>
  </w:style>
  <w:style w:type="paragraph" w:styleId="Header">
    <w:name w:val="header"/>
    <w:basedOn w:val="Normal"/>
    <w:link w:val="HeaderChar"/>
    <w:rsid w:val="00E24895"/>
    <w:pPr>
      <w:tabs>
        <w:tab w:val="center" w:pos="4153"/>
        <w:tab w:val="right" w:pos="8306"/>
      </w:tabs>
    </w:pPr>
  </w:style>
  <w:style w:type="character" w:customStyle="1" w:styleId="HeaderChar">
    <w:name w:val="Header Char"/>
    <w:basedOn w:val="DefaultParagraphFont"/>
    <w:link w:val="Header"/>
    <w:rsid w:val="00E24895"/>
    <w:rPr>
      <w:sz w:val="24"/>
      <w:lang w:eastAsia="en-US"/>
    </w:rPr>
  </w:style>
  <w:style w:type="character" w:styleId="PageNumber">
    <w:name w:val="page number"/>
    <w:basedOn w:val="DefaultParagraphFont"/>
    <w:rsid w:val="00E24895"/>
  </w:style>
  <w:style w:type="character" w:styleId="Hyperlink">
    <w:name w:val="Hyperlink"/>
    <w:rsid w:val="00E24895"/>
    <w:rPr>
      <w:color w:val="0000FF"/>
      <w:u w:val="single"/>
    </w:rPr>
  </w:style>
  <w:style w:type="paragraph" w:customStyle="1" w:styleId="definition">
    <w:name w:val="definition"/>
    <w:basedOn w:val="Normal"/>
    <w:link w:val="definitionChar"/>
    <w:rsid w:val="00E24895"/>
    <w:pPr>
      <w:spacing w:before="100" w:beforeAutospacing="1" w:after="100" w:afterAutospacing="1"/>
    </w:pPr>
    <w:rPr>
      <w:szCs w:val="24"/>
      <w:lang w:eastAsia="en-AU"/>
    </w:rPr>
  </w:style>
  <w:style w:type="character" w:customStyle="1" w:styleId="apple-converted-space">
    <w:name w:val="apple-converted-space"/>
    <w:rsid w:val="00E24895"/>
  </w:style>
  <w:style w:type="paragraph" w:customStyle="1" w:styleId="paragraph">
    <w:name w:val="paragraph"/>
    <w:basedOn w:val="Normal"/>
    <w:rsid w:val="00E24895"/>
    <w:pPr>
      <w:spacing w:before="100" w:beforeAutospacing="1" w:after="100" w:afterAutospacing="1"/>
    </w:pPr>
    <w:rPr>
      <w:szCs w:val="24"/>
      <w:lang w:eastAsia="en-AU"/>
    </w:rPr>
  </w:style>
  <w:style w:type="paragraph" w:customStyle="1" w:styleId="paragraphsub">
    <w:name w:val="paragraphsub"/>
    <w:basedOn w:val="Normal"/>
    <w:rsid w:val="00E24895"/>
    <w:pPr>
      <w:spacing w:before="100" w:beforeAutospacing="1" w:after="100" w:afterAutospacing="1"/>
    </w:pPr>
    <w:rPr>
      <w:szCs w:val="24"/>
      <w:lang w:eastAsia="en-AU"/>
    </w:rPr>
  </w:style>
  <w:style w:type="character" w:customStyle="1" w:styleId="definitionChar">
    <w:name w:val="definition Char"/>
    <w:link w:val="definition"/>
    <w:locked/>
    <w:rsid w:val="00E24895"/>
    <w:rPr>
      <w:sz w:val="24"/>
      <w:szCs w:val="24"/>
    </w:rPr>
  </w:style>
  <w:style w:type="paragraph" w:customStyle="1" w:styleId="R1">
    <w:name w:val="R1"/>
    <w:aliases w:val="1. or 1.(1)"/>
    <w:basedOn w:val="Normal"/>
    <w:next w:val="Normal"/>
    <w:rsid w:val="00E24895"/>
    <w:pPr>
      <w:keepLines/>
      <w:tabs>
        <w:tab w:val="right" w:pos="794"/>
      </w:tabs>
      <w:snapToGrid w:val="0"/>
      <w:spacing w:before="120" w:line="260" w:lineRule="exact"/>
      <w:ind w:left="964" w:hanging="964"/>
      <w:jc w:val="both"/>
    </w:pPr>
    <w:rPr>
      <w:szCs w:val="24"/>
      <w:lang w:eastAsia="en-AU"/>
    </w:rPr>
  </w:style>
  <w:style w:type="paragraph" w:styleId="Footer">
    <w:name w:val="footer"/>
    <w:basedOn w:val="Normal"/>
    <w:link w:val="FooterChar"/>
    <w:rsid w:val="00E24895"/>
    <w:pPr>
      <w:tabs>
        <w:tab w:val="center" w:pos="4513"/>
        <w:tab w:val="right" w:pos="9026"/>
      </w:tabs>
    </w:pPr>
  </w:style>
  <w:style w:type="character" w:customStyle="1" w:styleId="FooterChar">
    <w:name w:val="Footer Char"/>
    <w:basedOn w:val="DefaultParagraphFont"/>
    <w:link w:val="Footer"/>
    <w:rsid w:val="00E24895"/>
    <w:rPr>
      <w:sz w:val="24"/>
      <w:lang w:eastAsia="en-US"/>
    </w:rPr>
  </w:style>
  <w:style w:type="table" w:styleId="TableGrid">
    <w:name w:val="Table Grid"/>
    <w:basedOn w:val="TableNormal"/>
    <w:uiPriority w:val="59"/>
    <w:rsid w:val="00E248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2489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2489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4895"/>
    <w:rPr>
      <w:sz w:val="24"/>
      <w:lang w:eastAsia="en-US"/>
    </w:rPr>
  </w:style>
  <w:style w:type="paragraph" w:styleId="Heading1">
    <w:name w:val="heading 1"/>
    <w:basedOn w:val="Normal"/>
    <w:next w:val="Normal"/>
    <w:link w:val="Heading1Char"/>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customStyle="1" w:styleId="Heading1Char">
    <w:name w:val="Heading 1 Char"/>
    <w:basedOn w:val="DefaultParagraphFont"/>
    <w:link w:val="Heading1"/>
    <w:rsid w:val="00E24895"/>
    <w:rPr>
      <w:rFonts w:ascii="Arial" w:hAnsi="Arial" w:cs="Arial"/>
      <w:b/>
      <w:bCs/>
      <w:kern w:val="28"/>
      <w:sz w:val="28"/>
      <w:szCs w:val="32"/>
      <w:lang w:eastAsia="en-US"/>
    </w:rPr>
  </w:style>
  <w:style w:type="character" w:customStyle="1" w:styleId="Heading2Char">
    <w:name w:val="Heading 2 Char"/>
    <w:basedOn w:val="DefaultParagraphFont"/>
    <w:link w:val="Heading2"/>
    <w:rsid w:val="00E24895"/>
    <w:rPr>
      <w:rFonts w:ascii="Arial" w:hAnsi="Arial" w:cs="Arial"/>
      <w:b/>
      <w:bCs/>
      <w:i/>
      <w:iCs/>
      <w:sz w:val="24"/>
      <w:szCs w:val="28"/>
      <w:lang w:eastAsia="en-US"/>
    </w:rPr>
  </w:style>
  <w:style w:type="character" w:customStyle="1" w:styleId="Heading3Char">
    <w:name w:val="Heading 3 Char"/>
    <w:basedOn w:val="DefaultParagraphFont"/>
    <w:link w:val="Heading3"/>
    <w:rsid w:val="00E24895"/>
    <w:rPr>
      <w:rFonts w:ascii="Arial" w:hAnsi="Arial" w:cs="Arial"/>
      <w:bCs/>
      <w:sz w:val="24"/>
      <w:szCs w:val="26"/>
      <w:lang w:eastAsia="en-US"/>
    </w:rPr>
  </w:style>
  <w:style w:type="paragraph" w:styleId="BodyTextIndent">
    <w:name w:val="Body Text Indent"/>
    <w:basedOn w:val="Normal"/>
    <w:link w:val="BodyTextIndentChar"/>
    <w:rsid w:val="00E24895"/>
    <w:pPr>
      <w:ind w:left="360"/>
    </w:pPr>
  </w:style>
  <w:style w:type="character" w:customStyle="1" w:styleId="BodyTextIndentChar">
    <w:name w:val="Body Text Indent Char"/>
    <w:basedOn w:val="DefaultParagraphFont"/>
    <w:link w:val="BodyTextIndent"/>
    <w:rsid w:val="00E24895"/>
    <w:rPr>
      <w:sz w:val="24"/>
      <w:lang w:eastAsia="en-US"/>
    </w:rPr>
  </w:style>
  <w:style w:type="paragraph" w:customStyle="1" w:styleId="indenta">
    <w:name w:val="indent(a)"/>
    <w:aliases w:val="a"/>
    <w:basedOn w:val="Normal"/>
    <w:rsid w:val="00E24895"/>
    <w:pPr>
      <w:tabs>
        <w:tab w:val="right" w:pos="1531"/>
      </w:tabs>
      <w:spacing w:before="40" w:line="260" w:lineRule="atLeast"/>
      <w:ind w:left="1644" w:hanging="1644"/>
    </w:pPr>
    <w:rPr>
      <w:rFonts w:ascii="Times" w:hAnsi="Times"/>
      <w:sz w:val="22"/>
    </w:rPr>
  </w:style>
  <w:style w:type="paragraph" w:customStyle="1" w:styleId="indentii">
    <w:name w:val="indent(ii)"/>
    <w:aliases w:val="aa"/>
    <w:basedOn w:val="indenta"/>
    <w:rsid w:val="00E24895"/>
  </w:style>
  <w:style w:type="paragraph" w:customStyle="1" w:styleId="Char1CharCharCharCharCharChar">
    <w:name w:val="Char1 Char Char Char Char Char Char"/>
    <w:basedOn w:val="Normal"/>
    <w:rsid w:val="00E24895"/>
    <w:rPr>
      <w:rFonts w:ascii="Arial" w:hAnsi="Arial" w:cs="Arial"/>
      <w:sz w:val="22"/>
      <w:szCs w:val="22"/>
    </w:rPr>
  </w:style>
  <w:style w:type="paragraph" w:customStyle="1" w:styleId="legcohead3">
    <w:name w:val="legcohead3"/>
    <w:basedOn w:val="Normal"/>
    <w:rsid w:val="00E24895"/>
    <w:pPr>
      <w:keepNext/>
    </w:pPr>
    <w:rPr>
      <w:b/>
      <w:kern w:val="28"/>
      <w:lang w:val="en-US" w:eastAsia="en-AU"/>
    </w:rPr>
  </w:style>
  <w:style w:type="paragraph" w:customStyle="1" w:styleId="Default">
    <w:name w:val="Default"/>
    <w:rsid w:val="00E24895"/>
    <w:pPr>
      <w:autoSpaceDE w:val="0"/>
      <w:autoSpaceDN w:val="0"/>
      <w:adjustRightInd w:val="0"/>
    </w:pPr>
    <w:rPr>
      <w:color w:val="000000"/>
      <w:sz w:val="24"/>
      <w:szCs w:val="24"/>
    </w:rPr>
  </w:style>
  <w:style w:type="paragraph" w:styleId="BalloonText">
    <w:name w:val="Balloon Text"/>
    <w:basedOn w:val="Normal"/>
    <w:link w:val="BalloonTextChar"/>
    <w:rsid w:val="00E24895"/>
    <w:rPr>
      <w:rFonts w:ascii="Tahoma" w:hAnsi="Tahoma" w:cs="Tahoma"/>
      <w:sz w:val="16"/>
      <w:szCs w:val="16"/>
    </w:rPr>
  </w:style>
  <w:style w:type="character" w:customStyle="1" w:styleId="BalloonTextChar">
    <w:name w:val="Balloon Text Char"/>
    <w:basedOn w:val="DefaultParagraphFont"/>
    <w:link w:val="BalloonText"/>
    <w:rsid w:val="00E24895"/>
    <w:rPr>
      <w:rFonts w:ascii="Tahoma" w:hAnsi="Tahoma" w:cs="Tahoma"/>
      <w:sz w:val="16"/>
      <w:szCs w:val="16"/>
      <w:lang w:eastAsia="en-US"/>
    </w:rPr>
  </w:style>
  <w:style w:type="character" w:styleId="CommentReference">
    <w:name w:val="annotation reference"/>
    <w:rsid w:val="00E24895"/>
    <w:rPr>
      <w:sz w:val="16"/>
      <w:szCs w:val="16"/>
    </w:rPr>
  </w:style>
  <w:style w:type="paragraph" w:styleId="CommentText">
    <w:name w:val="annotation text"/>
    <w:basedOn w:val="Normal"/>
    <w:link w:val="CommentTextChar"/>
    <w:rsid w:val="00E24895"/>
    <w:rPr>
      <w:sz w:val="20"/>
    </w:rPr>
  </w:style>
  <w:style w:type="character" w:customStyle="1" w:styleId="CommentTextChar">
    <w:name w:val="Comment Text Char"/>
    <w:basedOn w:val="DefaultParagraphFont"/>
    <w:link w:val="CommentText"/>
    <w:rsid w:val="00E24895"/>
    <w:rPr>
      <w:lang w:eastAsia="en-US"/>
    </w:rPr>
  </w:style>
  <w:style w:type="paragraph" w:styleId="CommentSubject">
    <w:name w:val="annotation subject"/>
    <w:basedOn w:val="CommentText"/>
    <w:next w:val="CommentText"/>
    <w:link w:val="CommentSubjectChar"/>
    <w:rsid w:val="00E24895"/>
    <w:rPr>
      <w:b/>
      <w:bCs/>
    </w:rPr>
  </w:style>
  <w:style w:type="character" w:customStyle="1" w:styleId="CommentSubjectChar">
    <w:name w:val="Comment Subject Char"/>
    <w:basedOn w:val="CommentTextChar"/>
    <w:link w:val="CommentSubject"/>
    <w:rsid w:val="00E24895"/>
    <w:rPr>
      <w:b/>
      <w:bCs/>
      <w:lang w:eastAsia="en-US"/>
    </w:rPr>
  </w:style>
  <w:style w:type="paragraph" w:styleId="Header">
    <w:name w:val="header"/>
    <w:basedOn w:val="Normal"/>
    <w:link w:val="HeaderChar"/>
    <w:rsid w:val="00E24895"/>
    <w:pPr>
      <w:tabs>
        <w:tab w:val="center" w:pos="4153"/>
        <w:tab w:val="right" w:pos="8306"/>
      </w:tabs>
    </w:pPr>
  </w:style>
  <w:style w:type="character" w:customStyle="1" w:styleId="HeaderChar">
    <w:name w:val="Header Char"/>
    <w:basedOn w:val="DefaultParagraphFont"/>
    <w:link w:val="Header"/>
    <w:rsid w:val="00E24895"/>
    <w:rPr>
      <w:sz w:val="24"/>
      <w:lang w:eastAsia="en-US"/>
    </w:rPr>
  </w:style>
  <w:style w:type="character" w:styleId="PageNumber">
    <w:name w:val="page number"/>
    <w:basedOn w:val="DefaultParagraphFont"/>
    <w:rsid w:val="00E24895"/>
  </w:style>
  <w:style w:type="character" w:styleId="Hyperlink">
    <w:name w:val="Hyperlink"/>
    <w:rsid w:val="00E24895"/>
    <w:rPr>
      <w:color w:val="0000FF"/>
      <w:u w:val="single"/>
    </w:rPr>
  </w:style>
  <w:style w:type="paragraph" w:customStyle="1" w:styleId="definition">
    <w:name w:val="definition"/>
    <w:basedOn w:val="Normal"/>
    <w:link w:val="definitionChar"/>
    <w:rsid w:val="00E24895"/>
    <w:pPr>
      <w:spacing w:before="100" w:beforeAutospacing="1" w:after="100" w:afterAutospacing="1"/>
    </w:pPr>
    <w:rPr>
      <w:szCs w:val="24"/>
      <w:lang w:eastAsia="en-AU"/>
    </w:rPr>
  </w:style>
  <w:style w:type="character" w:customStyle="1" w:styleId="apple-converted-space">
    <w:name w:val="apple-converted-space"/>
    <w:rsid w:val="00E24895"/>
  </w:style>
  <w:style w:type="paragraph" w:customStyle="1" w:styleId="paragraph">
    <w:name w:val="paragraph"/>
    <w:basedOn w:val="Normal"/>
    <w:rsid w:val="00E24895"/>
    <w:pPr>
      <w:spacing w:before="100" w:beforeAutospacing="1" w:after="100" w:afterAutospacing="1"/>
    </w:pPr>
    <w:rPr>
      <w:szCs w:val="24"/>
      <w:lang w:eastAsia="en-AU"/>
    </w:rPr>
  </w:style>
  <w:style w:type="paragraph" w:customStyle="1" w:styleId="paragraphsub">
    <w:name w:val="paragraphsub"/>
    <w:basedOn w:val="Normal"/>
    <w:rsid w:val="00E24895"/>
    <w:pPr>
      <w:spacing w:before="100" w:beforeAutospacing="1" w:after="100" w:afterAutospacing="1"/>
    </w:pPr>
    <w:rPr>
      <w:szCs w:val="24"/>
      <w:lang w:eastAsia="en-AU"/>
    </w:rPr>
  </w:style>
  <w:style w:type="character" w:customStyle="1" w:styleId="definitionChar">
    <w:name w:val="definition Char"/>
    <w:link w:val="definition"/>
    <w:locked/>
    <w:rsid w:val="00E24895"/>
    <w:rPr>
      <w:sz w:val="24"/>
      <w:szCs w:val="24"/>
    </w:rPr>
  </w:style>
  <w:style w:type="paragraph" w:customStyle="1" w:styleId="R1">
    <w:name w:val="R1"/>
    <w:aliases w:val="1. or 1.(1)"/>
    <w:basedOn w:val="Normal"/>
    <w:next w:val="Normal"/>
    <w:rsid w:val="00E24895"/>
    <w:pPr>
      <w:keepLines/>
      <w:tabs>
        <w:tab w:val="right" w:pos="794"/>
      </w:tabs>
      <w:snapToGrid w:val="0"/>
      <w:spacing w:before="120" w:line="260" w:lineRule="exact"/>
      <w:ind w:left="964" w:hanging="964"/>
      <w:jc w:val="both"/>
    </w:pPr>
    <w:rPr>
      <w:szCs w:val="24"/>
      <w:lang w:eastAsia="en-AU"/>
    </w:rPr>
  </w:style>
  <w:style w:type="paragraph" w:styleId="Footer">
    <w:name w:val="footer"/>
    <w:basedOn w:val="Normal"/>
    <w:link w:val="FooterChar"/>
    <w:rsid w:val="00E24895"/>
    <w:pPr>
      <w:tabs>
        <w:tab w:val="center" w:pos="4513"/>
        <w:tab w:val="right" w:pos="9026"/>
      </w:tabs>
    </w:pPr>
  </w:style>
  <w:style w:type="character" w:customStyle="1" w:styleId="FooterChar">
    <w:name w:val="Footer Char"/>
    <w:basedOn w:val="DefaultParagraphFont"/>
    <w:link w:val="Footer"/>
    <w:rsid w:val="00E24895"/>
    <w:rPr>
      <w:sz w:val="24"/>
      <w:lang w:eastAsia="en-US"/>
    </w:rPr>
  </w:style>
  <w:style w:type="table" w:styleId="TableGrid">
    <w:name w:val="Table Grid"/>
    <w:basedOn w:val="TableNormal"/>
    <w:uiPriority w:val="59"/>
    <w:rsid w:val="00E248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2489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2489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doctorconnect.gov.au/" TargetMode="External"/><Relationship Id="rId4" Type="http://schemas.openxmlformats.org/officeDocument/2006/relationships/numbering" Target="numbering.xml"/><Relationship Id="rId9" Type="http://schemas.openxmlformats.org/officeDocument/2006/relationships/hyperlink" Target="http://www.doctorconnec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69BCC00-79C1-4346-A615-8CEFDC0A57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7318B5466E8BF4290CB349948DFD32F" ma:contentTypeVersion="" ma:contentTypeDescription="PDMS Document Site Content Type" ma:contentTypeScope="" ma:versionID="94b5aae7b24d09f5e271f77a9bb15966">
  <xsd:schema xmlns:xsd="http://www.w3.org/2001/XMLSchema" xmlns:xs="http://www.w3.org/2001/XMLSchema" xmlns:p="http://schemas.microsoft.com/office/2006/metadata/properties" xmlns:ns2="369BCC00-79C1-4346-A615-8CEFDC0A579E" targetNamespace="http://schemas.microsoft.com/office/2006/metadata/properties" ma:root="true" ma:fieldsID="b0ff5fd7a4476d558986715ca28dca5b" ns2:_="">
    <xsd:import namespace="369BCC00-79C1-4346-A615-8CEFDC0A579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BCC00-79C1-4346-A615-8CEFDC0A579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F49330-91EF-4A9F-93D2-D4EA0BCD3E78}">
  <ds:schemaRefs>
    <ds:schemaRef ds:uri="http://schemas.openxmlformats.org/package/2006/metadata/core-properties"/>
    <ds:schemaRef ds:uri="http://schemas.microsoft.com/office/2006/documentManagement/types"/>
    <ds:schemaRef ds:uri="http://purl.org/dc/terms/"/>
    <ds:schemaRef ds:uri="http://www.w3.org/XML/1998/namespace"/>
    <ds:schemaRef ds:uri="http://purl.org/dc/elements/1.1/"/>
    <ds:schemaRef ds:uri="369BCC00-79C1-4346-A615-8CEFDC0A579E"/>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C971266-DE6E-4FAB-9C18-6C54BE80C7F6}">
  <ds:schemaRefs>
    <ds:schemaRef ds:uri="http://schemas.microsoft.com/sharepoint/v3/contenttype/forms"/>
  </ds:schemaRefs>
</ds:datastoreItem>
</file>

<file path=customXml/itemProps3.xml><?xml version="1.0" encoding="utf-8"?>
<ds:datastoreItem xmlns:ds="http://schemas.openxmlformats.org/officeDocument/2006/customXml" ds:itemID="{9D3FFD21-7455-42C5-BBF8-7ADF64147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9BCC00-79C1-4346-A615-8CEFDC0A5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6015</Words>
  <Characters>33000</Characters>
  <Application>Microsoft Office Word</Application>
  <DocSecurity>4</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Barber</dc:creator>
  <cp:lastModifiedBy>NADINE, Tamara</cp:lastModifiedBy>
  <cp:revision>2</cp:revision>
  <cp:lastPrinted>2017-10-23T04:16:00Z</cp:lastPrinted>
  <dcterms:created xsi:type="dcterms:W3CDTF">2017-11-26T22:57:00Z</dcterms:created>
  <dcterms:modified xsi:type="dcterms:W3CDTF">2017-11-26T22:57:00Z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0x010100266966F133664895A6EE3632470D45F500D7318B5466E8BF4290CB349948DFD32F</vt:lpwstr>
  </property>
</Properties>
</file>