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14305" w14:textId="659EC873" w:rsidR="009130B4"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r w:rsidR="00AE23E7">
        <w:rPr>
          <w:rFonts w:ascii="Times New Roman" w:hAnsi="Times New Roman" w:cs="Times New Roman"/>
          <w:b/>
          <w:sz w:val="28"/>
          <w:szCs w:val="28"/>
        </w:rPr>
        <w:t xml:space="preserve"> </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4C7BA4E0" w14:textId="57FE42AF" w:rsidR="004D2843" w:rsidRDefault="0047570C" w:rsidP="004D2843">
      <w:pPr>
        <w:jc w:val="center"/>
        <w:rPr>
          <w:rFonts w:ascii="Times New Roman" w:hAnsi="Times New Roman" w:cs="Times New Roman"/>
          <w:i/>
        </w:rPr>
      </w:pPr>
      <w:r w:rsidRPr="0047570C">
        <w:rPr>
          <w:rFonts w:ascii="Times New Roman" w:hAnsi="Times New Roman" w:cs="Times New Roman"/>
          <w:i/>
        </w:rPr>
        <w:t>Radiocommunications (Transmitter Licence Tax) Act 198</w:t>
      </w:r>
      <w:r>
        <w:rPr>
          <w:rFonts w:ascii="Times New Roman" w:hAnsi="Times New Roman" w:cs="Times New Roman"/>
          <w:i/>
        </w:rPr>
        <w:t>3</w:t>
      </w:r>
    </w:p>
    <w:p w14:paraId="405586ED" w14:textId="2C2606B6" w:rsidR="00767594" w:rsidRDefault="00767594" w:rsidP="004D2843">
      <w:pPr>
        <w:jc w:val="center"/>
        <w:rPr>
          <w:rFonts w:ascii="Times New Roman" w:hAnsi="Times New Roman" w:cs="Times New Roman"/>
          <w:i/>
        </w:rPr>
      </w:pPr>
      <w:r>
        <w:rPr>
          <w:rFonts w:ascii="Times New Roman" w:hAnsi="Times New Roman" w:cs="Times New Roman"/>
          <w:i/>
        </w:rPr>
        <w:t>Radiocommunications Act 1992</w:t>
      </w:r>
    </w:p>
    <w:p w14:paraId="6EAF8ABD" w14:textId="1E74CE5E" w:rsidR="00FB18F6" w:rsidRPr="00FB18F6" w:rsidRDefault="00FB18F6" w:rsidP="00FB18F6">
      <w:pPr>
        <w:spacing w:before="280"/>
        <w:jc w:val="center"/>
        <w:rPr>
          <w:rFonts w:ascii="Times New Roman" w:hAnsi="Times New Roman" w:cs="Times New Roman"/>
          <w:b/>
          <w:i/>
        </w:rPr>
      </w:pPr>
      <w:r w:rsidRPr="00FB18F6">
        <w:rPr>
          <w:rFonts w:ascii="Times New Roman" w:hAnsi="Times New Roman" w:cs="Times New Roman"/>
          <w:b/>
          <w:i/>
          <w:iCs/>
        </w:rPr>
        <w:t>Radiocommunications (Scientific Licence</w:t>
      </w:r>
      <w:r w:rsidR="00767594">
        <w:rPr>
          <w:rFonts w:ascii="Times New Roman" w:hAnsi="Times New Roman" w:cs="Times New Roman"/>
          <w:b/>
          <w:i/>
          <w:iCs/>
        </w:rPr>
        <w:t xml:space="preserve"> – Licence Conditions and Licence</w:t>
      </w:r>
      <w:r w:rsidRPr="00FB18F6">
        <w:rPr>
          <w:rFonts w:ascii="Times New Roman" w:hAnsi="Times New Roman" w:cs="Times New Roman"/>
          <w:b/>
          <w:i/>
          <w:iCs/>
        </w:rPr>
        <w:t xml:space="preserve"> Tax) Amendment </w:t>
      </w:r>
      <w:r w:rsidR="00CC6FA0">
        <w:rPr>
          <w:rFonts w:ascii="Times New Roman" w:hAnsi="Times New Roman" w:cs="Times New Roman"/>
          <w:b/>
          <w:i/>
          <w:iCs/>
        </w:rPr>
        <w:t xml:space="preserve">Determination </w:t>
      </w:r>
      <w:r w:rsidRPr="00FB18F6">
        <w:rPr>
          <w:rFonts w:ascii="Times New Roman" w:hAnsi="Times New Roman" w:cs="Times New Roman"/>
          <w:b/>
          <w:i/>
          <w:iCs/>
        </w:rPr>
        <w:t>2017 (No. 1)</w:t>
      </w:r>
    </w:p>
    <w:p w14:paraId="0EFEBE09" w14:textId="540E2252" w:rsidR="004D2843" w:rsidRDefault="004D2843" w:rsidP="00FB18F6">
      <w:pPr>
        <w:spacing w:before="280"/>
        <w:jc w:val="center"/>
        <w:rPr>
          <w:rFonts w:ascii="Times New Roman" w:hAnsi="Times New Roman" w:cs="Times New Roman"/>
          <w:b/>
        </w:rPr>
      </w:pPr>
      <w:r w:rsidRPr="004D2843">
        <w:rPr>
          <w:rFonts w:ascii="Times New Roman" w:hAnsi="Times New Roman" w:cs="Times New Roman"/>
          <w:b/>
        </w:rPr>
        <w:t>Authority</w:t>
      </w:r>
    </w:p>
    <w:p w14:paraId="5DCD23AD" w14:textId="021DBAC1" w:rsidR="000B4B6C" w:rsidRPr="00744DDF" w:rsidRDefault="00B727F3" w:rsidP="00FB18F6">
      <w:pPr>
        <w:rPr>
          <w:rFonts w:ascii="Times New Roman" w:hAnsi="Times New Roman" w:cs="Times New Roman"/>
          <w:b/>
          <w:i/>
        </w:rPr>
      </w:pPr>
      <w:r>
        <w:rPr>
          <w:rFonts w:ascii="Times New Roman" w:hAnsi="Times New Roman" w:cs="Times New Roman"/>
        </w:rPr>
        <w:t>T</w:t>
      </w:r>
      <w:r w:rsidR="000B4B6C" w:rsidRPr="000B4B6C">
        <w:rPr>
          <w:rFonts w:ascii="Times New Roman" w:hAnsi="Times New Roman" w:cs="Times New Roman"/>
        </w:rPr>
        <w:t>he</w:t>
      </w:r>
      <w:r w:rsidR="0091080B">
        <w:rPr>
          <w:rFonts w:ascii="Times New Roman" w:hAnsi="Times New Roman" w:cs="Times New Roman"/>
        </w:rPr>
        <w:t xml:space="preserve"> Australian Communications and Media Authority (</w:t>
      </w:r>
      <w:r w:rsidR="0091080B" w:rsidRPr="0091080B">
        <w:rPr>
          <w:rFonts w:ascii="Times New Roman" w:hAnsi="Times New Roman" w:cs="Times New Roman"/>
          <w:b/>
        </w:rPr>
        <w:t>the ACMA</w:t>
      </w:r>
      <w:r w:rsidR="0091080B">
        <w:rPr>
          <w:rFonts w:ascii="Times New Roman" w:hAnsi="Times New Roman" w:cs="Times New Roman"/>
        </w:rPr>
        <w:t xml:space="preserve">) </w:t>
      </w:r>
      <w:r w:rsidR="00060848">
        <w:rPr>
          <w:rFonts w:ascii="Times New Roman" w:hAnsi="Times New Roman" w:cs="Times New Roman"/>
        </w:rPr>
        <w:t>has made</w:t>
      </w:r>
      <w:r w:rsidR="0091080B">
        <w:rPr>
          <w:rFonts w:ascii="Times New Roman" w:hAnsi="Times New Roman" w:cs="Times New Roman"/>
        </w:rPr>
        <w:t xml:space="preserve"> the </w:t>
      </w:r>
      <w:r w:rsidR="00FB18F6" w:rsidRPr="005E6957">
        <w:rPr>
          <w:rFonts w:ascii="Times New Roman" w:hAnsi="Times New Roman" w:cs="Times New Roman"/>
          <w:i/>
          <w:iCs/>
        </w:rPr>
        <w:t>Radiocommunications (Scientific Licence</w:t>
      </w:r>
      <w:r w:rsidR="004C255E" w:rsidRPr="005E6957">
        <w:rPr>
          <w:rFonts w:ascii="Times New Roman" w:hAnsi="Times New Roman" w:cs="Times New Roman"/>
          <w:i/>
          <w:iCs/>
        </w:rPr>
        <w:t xml:space="preserve"> – Licence Conditions and Licence</w:t>
      </w:r>
      <w:r w:rsidR="00FB18F6" w:rsidRPr="005E6957">
        <w:rPr>
          <w:rFonts w:ascii="Times New Roman" w:hAnsi="Times New Roman" w:cs="Times New Roman"/>
          <w:i/>
          <w:iCs/>
        </w:rPr>
        <w:t xml:space="preserve"> Tax) Amendment </w:t>
      </w:r>
      <w:r w:rsidR="00CC6FA0">
        <w:rPr>
          <w:rFonts w:ascii="Times New Roman" w:hAnsi="Times New Roman" w:cs="Times New Roman"/>
          <w:i/>
          <w:iCs/>
        </w:rPr>
        <w:t xml:space="preserve">Determination </w:t>
      </w:r>
      <w:r w:rsidR="00FB18F6" w:rsidRPr="005E6957">
        <w:rPr>
          <w:rFonts w:ascii="Times New Roman" w:hAnsi="Times New Roman" w:cs="Times New Roman"/>
          <w:i/>
          <w:iCs/>
        </w:rPr>
        <w:t>2017 (No. 1)</w:t>
      </w:r>
      <w:r w:rsidR="00FB18F6" w:rsidRPr="00FB18F6">
        <w:rPr>
          <w:rFonts w:ascii="Times New Roman" w:hAnsi="Times New Roman" w:cs="Times New Roman"/>
          <w:b/>
          <w:i/>
        </w:rPr>
        <w:t xml:space="preserve"> </w:t>
      </w:r>
      <w:r w:rsidR="006022B9" w:rsidRPr="00FB18F6">
        <w:rPr>
          <w:rFonts w:ascii="Times New Roman" w:hAnsi="Times New Roman" w:cs="Times New Roman"/>
        </w:rPr>
        <w:t>(</w:t>
      </w:r>
      <w:r w:rsidR="006022B9" w:rsidRPr="00FB18F6">
        <w:rPr>
          <w:rFonts w:ascii="Times New Roman" w:hAnsi="Times New Roman" w:cs="Times New Roman"/>
          <w:b/>
        </w:rPr>
        <w:t>the Amendment Determination</w:t>
      </w:r>
      <w:r w:rsidR="006022B9" w:rsidRPr="00FB18F6">
        <w:rPr>
          <w:rFonts w:ascii="Times New Roman" w:hAnsi="Times New Roman" w:cs="Times New Roman"/>
        </w:rPr>
        <w:t>)</w:t>
      </w:r>
      <w:r w:rsidR="006022B9">
        <w:rPr>
          <w:rFonts w:ascii="Times New Roman" w:hAnsi="Times New Roman" w:cs="Times New Roman"/>
        </w:rPr>
        <w:t xml:space="preserve"> </w:t>
      </w:r>
      <w:r w:rsidR="0091080B" w:rsidRPr="0091080B">
        <w:rPr>
          <w:rFonts w:ascii="Times New Roman" w:hAnsi="Times New Roman" w:cs="Times New Roman"/>
        </w:rPr>
        <w:t xml:space="preserve">under </w:t>
      </w:r>
      <w:r w:rsidR="0085550A">
        <w:rPr>
          <w:rFonts w:ascii="Times New Roman" w:hAnsi="Times New Roman" w:cs="Times New Roman"/>
        </w:rPr>
        <w:t xml:space="preserve">subsection 7(1) </w:t>
      </w:r>
      <w:r w:rsidR="0091080B" w:rsidRPr="0091080B">
        <w:rPr>
          <w:rFonts w:ascii="Times New Roman" w:hAnsi="Times New Roman" w:cs="Times New Roman"/>
        </w:rPr>
        <w:t xml:space="preserve">of the </w:t>
      </w:r>
      <w:r w:rsidR="0085550A" w:rsidRPr="0085550A">
        <w:rPr>
          <w:rFonts w:ascii="Times New Roman" w:hAnsi="Times New Roman" w:cs="Times New Roman"/>
          <w:i/>
        </w:rPr>
        <w:t>Radiocommunications (Transmitter Licence Tax) Act 1983</w:t>
      </w:r>
      <w:r w:rsidR="0085550A" w:rsidRPr="0085550A">
        <w:rPr>
          <w:rFonts w:ascii="Times New Roman" w:hAnsi="Times New Roman" w:cs="Times New Roman"/>
        </w:rPr>
        <w:t xml:space="preserve"> </w:t>
      </w:r>
      <w:r w:rsidR="0091080B">
        <w:rPr>
          <w:rFonts w:ascii="Times New Roman" w:hAnsi="Times New Roman" w:cs="Times New Roman"/>
        </w:rPr>
        <w:t>(</w:t>
      </w:r>
      <w:r w:rsidR="0091080B" w:rsidRPr="0091080B">
        <w:rPr>
          <w:rFonts w:ascii="Times New Roman" w:hAnsi="Times New Roman" w:cs="Times New Roman"/>
          <w:b/>
        </w:rPr>
        <w:t xml:space="preserve">the </w:t>
      </w:r>
      <w:r w:rsidR="00DD4B93">
        <w:rPr>
          <w:rFonts w:ascii="Times New Roman" w:hAnsi="Times New Roman" w:cs="Times New Roman"/>
          <w:b/>
        </w:rPr>
        <w:t xml:space="preserve">TLT </w:t>
      </w:r>
      <w:r w:rsidR="0091080B" w:rsidRPr="0091080B">
        <w:rPr>
          <w:rFonts w:ascii="Times New Roman" w:hAnsi="Times New Roman" w:cs="Times New Roman"/>
          <w:b/>
        </w:rPr>
        <w:t>Act</w:t>
      </w:r>
      <w:r w:rsidR="0091080B">
        <w:rPr>
          <w:rFonts w:ascii="Times New Roman" w:hAnsi="Times New Roman" w:cs="Times New Roman"/>
        </w:rPr>
        <w:t>)</w:t>
      </w:r>
      <w:r w:rsidR="00D226BB">
        <w:rPr>
          <w:rFonts w:ascii="Times New Roman" w:hAnsi="Times New Roman" w:cs="Times New Roman"/>
        </w:rPr>
        <w:t xml:space="preserve"> and</w:t>
      </w:r>
      <w:r w:rsidR="00DD4B93" w:rsidRPr="00DD4B93">
        <w:t xml:space="preserve"> </w:t>
      </w:r>
      <w:r w:rsidR="00DD4B93" w:rsidRPr="00DD4B93">
        <w:rPr>
          <w:rFonts w:ascii="Times New Roman" w:hAnsi="Times New Roman" w:cs="Times New Roman"/>
        </w:rPr>
        <w:t xml:space="preserve">paragraph 107(1)(f) of the </w:t>
      </w:r>
      <w:r w:rsidR="00DD4B93" w:rsidRPr="00DD4B93">
        <w:rPr>
          <w:rFonts w:ascii="Times New Roman" w:hAnsi="Times New Roman" w:cs="Times New Roman"/>
          <w:i/>
          <w:iCs/>
        </w:rPr>
        <w:t>Radiocommunications Act 1992</w:t>
      </w:r>
      <w:r w:rsidR="00DD4B93">
        <w:rPr>
          <w:rFonts w:ascii="Times New Roman" w:hAnsi="Times New Roman" w:cs="Times New Roman"/>
          <w:iCs/>
        </w:rPr>
        <w:t xml:space="preserve"> (</w:t>
      </w:r>
      <w:r w:rsidR="00DD4B93">
        <w:rPr>
          <w:rFonts w:ascii="Times New Roman" w:hAnsi="Times New Roman" w:cs="Times New Roman"/>
          <w:b/>
          <w:iCs/>
        </w:rPr>
        <w:t>the Radiocommunications Act)</w:t>
      </w:r>
      <w:r w:rsidR="00DD4B93" w:rsidRPr="006018F3">
        <w:rPr>
          <w:rFonts w:ascii="Times New Roman" w:hAnsi="Times New Roman" w:cs="Times New Roman"/>
          <w:iCs/>
        </w:rPr>
        <w:t>.</w:t>
      </w:r>
      <w:r w:rsidR="00D226BB" w:rsidRPr="00B00FC3">
        <w:rPr>
          <w:rFonts w:ascii="Times New Roman" w:hAnsi="Times New Roman" w:cs="Times New Roman"/>
        </w:rPr>
        <w:t xml:space="preserve"> </w:t>
      </w:r>
    </w:p>
    <w:p w14:paraId="6914ED66" w14:textId="0A76D0FD" w:rsidR="00DD4B93" w:rsidRDefault="0085550A" w:rsidP="00B00FC3">
      <w:pPr>
        <w:rPr>
          <w:rFonts w:ascii="Times New Roman" w:hAnsi="Times New Roman" w:cs="Times New Roman"/>
        </w:rPr>
      </w:pPr>
      <w:r>
        <w:rPr>
          <w:rFonts w:ascii="Times New Roman" w:hAnsi="Times New Roman" w:cs="Times New Roman"/>
        </w:rPr>
        <w:t xml:space="preserve">Subsection 7(1) </w:t>
      </w:r>
      <w:r w:rsidR="00400312">
        <w:rPr>
          <w:rFonts w:ascii="Times New Roman" w:hAnsi="Times New Roman" w:cs="Times New Roman"/>
        </w:rPr>
        <w:t xml:space="preserve">of the </w:t>
      </w:r>
      <w:r w:rsidR="00DD4B93">
        <w:rPr>
          <w:rFonts w:ascii="Times New Roman" w:hAnsi="Times New Roman" w:cs="Times New Roman"/>
        </w:rPr>
        <w:t xml:space="preserve">TLT </w:t>
      </w:r>
      <w:r w:rsidR="00400312">
        <w:rPr>
          <w:rFonts w:ascii="Times New Roman" w:hAnsi="Times New Roman" w:cs="Times New Roman"/>
        </w:rPr>
        <w:t xml:space="preserve">Act </w:t>
      </w:r>
      <w:r>
        <w:rPr>
          <w:rFonts w:ascii="Times New Roman" w:hAnsi="Times New Roman" w:cs="Times New Roman"/>
        </w:rPr>
        <w:t xml:space="preserve">stipulates that the amount of tax </w:t>
      </w:r>
      <w:r w:rsidRPr="0085550A">
        <w:rPr>
          <w:rFonts w:ascii="Times New Roman" w:hAnsi="Times New Roman" w:cs="Times New Roman"/>
        </w:rPr>
        <w:t>in respect of the issue of a transmitter licence, the anniversary of a transmitter licence coming into force or the holding of a transmitter licence is the amount determined by the ACMA.</w:t>
      </w:r>
    </w:p>
    <w:p w14:paraId="62E43F1D" w14:textId="6CE606C8" w:rsidR="00DD4B93" w:rsidRDefault="00DD4B93" w:rsidP="00B00FC3">
      <w:pPr>
        <w:rPr>
          <w:rFonts w:ascii="Times New Roman" w:hAnsi="Times New Roman" w:cs="Times New Roman"/>
        </w:rPr>
      </w:pPr>
      <w:r>
        <w:rPr>
          <w:rFonts w:ascii="Times New Roman" w:hAnsi="Times New Roman" w:cs="Times New Roman"/>
        </w:rPr>
        <w:t xml:space="preserve">Paragraph 107(1)(f) of the </w:t>
      </w:r>
      <w:r w:rsidR="000E5B73">
        <w:rPr>
          <w:rFonts w:ascii="Times New Roman" w:hAnsi="Times New Roman" w:cs="Times New Roman"/>
        </w:rPr>
        <w:t xml:space="preserve">Radiocommunications </w:t>
      </w:r>
      <w:r>
        <w:rPr>
          <w:rFonts w:ascii="Times New Roman" w:hAnsi="Times New Roman" w:cs="Times New Roman"/>
        </w:rPr>
        <w:t xml:space="preserve">Act permits the ACMA to determine, by legislative instrument, conditions in relation to particular types of apparatus licences. </w:t>
      </w:r>
    </w:p>
    <w:p w14:paraId="2B455A2D" w14:textId="4E23E42E" w:rsidR="00D226BB" w:rsidRDefault="00D226BB" w:rsidP="00B00FC3">
      <w:pPr>
        <w:rPr>
          <w:rFonts w:ascii="Times New Roman" w:hAnsi="Times New Roman" w:cs="Times New Roman"/>
        </w:rPr>
      </w:pPr>
      <w:r w:rsidRPr="00B00FC3">
        <w:rPr>
          <w:rFonts w:ascii="Times New Roman" w:hAnsi="Times New Roman" w:cs="Times New Roman"/>
        </w:rPr>
        <w:t xml:space="preserve">Subsection 33(3) of the </w:t>
      </w:r>
      <w:r w:rsidRPr="006018F3">
        <w:rPr>
          <w:rFonts w:ascii="Times New Roman" w:hAnsi="Times New Roman" w:cs="Times New Roman"/>
          <w:i/>
        </w:rPr>
        <w:t>A</w:t>
      </w:r>
      <w:r w:rsidR="00DD4B93" w:rsidRPr="006018F3">
        <w:rPr>
          <w:rFonts w:ascii="Times New Roman" w:hAnsi="Times New Roman" w:cs="Times New Roman"/>
          <w:i/>
        </w:rPr>
        <w:t xml:space="preserve">cts </w:t>
      </w:r>
      <w:r w:rsidRPr="006018F3">
        <w:rPr>
          <w:rFonts w:ascii="Times New Roman" w:hAnsi="Times New Roman" w:cs="Times New Roman"/>
          <w:i/>
        </w:rPr>
        <w:t>I</w:t>
      </w:r>
      <w:r w:rsidR="00DD4B93" w:rsidRPr="006018F3">
        <w:rPr>
          <w:rFonts w:ascii="Times New Roman" w:hAnsi="Times New Roman" w:cs="Times New Roman"/>
          <w:i/>
        </w:rPr>
        <w:t xml:space="preserve">nterpretation </w:t>
      </w:r>
      <w:r w:rsidRPr="006018F3">
        <w:rPr>
          <w:rFonts w:ascii="Times New Roman" w:hAnsi="Times New Roman" w:cs="Times New Roman"/>
          <w:i/>
        </w:rPr>
        <w:t>A</w:t>
      </w:r>
      <w:r w:rsidR="00DD4B93" w:rsidRPr="006018F3">
        <w:rPr>
          <w:rFonts w:ascii="Times New Roman" w:hAnsi="Times New Roman" w:cs="Times New Roman"/>
          <w:i/>
        </w:rPr>
        <w:t>ct 1901</w:t>
      </w:r>
      <w:r w:rsidRPr="00B00FC3">
        <w:rPr>
          <w:rFonts w:ascii="Times New Roman" w:hAnsi="Times New Roman" w:cs="Times New Roman"/>
        </w:rPr>
        <w:t xml:space="preserve"> relevantly provides that where an Act confers a power to make a legislative instrument, the power shall be construed as including a power exercisable in the like manner and subject to the like conditions (if any) to repeal, rescind, revoke, amend, or vary any such instrument</w:t>
      </w:r>
      <w:r>
        <w:rPr>
          <w:rFonts w:ascii="Times New Roman" w:hAnsi="Times New Roman" w:cs="Times New Roman"/>
        </w:rPr>
        <w:t>.</w:t>
      </w:r>
    </w:p>
    <w:p w14:paraId="329F9F28" w14:textId="57039C5A"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268D78B0" w14:textId="6D1EA41C" w:rsidR="006F76D1" w:rsidRPr="005E6957" w:rsidRDefault="00864356" w:rsidP="005E6957">
      <w:pPr>
        <w:rPr>
          <w:rFonts w:ascii="Times New Roman" w:hAnsi="Times New Roman" w:cs="Times New Roman"/>
        </w:rPr>
      </w:pPr>
      <w:r w:rsidRPr="00864356">
        <w:rPr>
          <w:rFonts w:ascii="Times New Roman" w:hAnsi="Times New Roman" w:cs="Times New Roman"/>
        </w:rPr>
        <w:t xml:space="preserve">The Amendment Determination amends the </w:t>
      </w:r>
      <w:r w:rsidRPr="00864356">
        <w:rPr>
          <w:rFonts w:ascii="Times New Roman" w:hAnsi="Times New Roman" w:cs="Times New Roman"/>
          <w:i/>
        </w:rPr>
        <w:t xml:space="preserve">Radiocommunications (Transmitter Licence Tax) </w:t>
      </w:r>
      <w:r w:rsidRPr="00373B4E">
        <w:rPr>
          <w:rFonts w:ascii="Times New Roman" w:hAnsi="Times New Roman" w:cs="Times New Roman"/>
          <w:i/>
        </w:rPr>
        <w:t>Determination 2015</w:t>
      </w:r>
      <w:r w:rsidRPr="00373B4E">
        <w:rPr>
          <w:rFonts w:ascii="Times New Roman" w:hAnsi="Times New Roman" w:cs="Times New Roman"/>
        </w:rPr>
        <w:t xml:space="preserve"> (</w:t>
      </w:r>
      <w:r w:rsidRPr="00373B4E">
        <w:rPr>
          <w:rFonts w:ascii="Times New Roman" w:hAnsi="Times New Roman" w:cs="Times New Roman"/>
          <w:b/>
        </w:rPr>
        <w:t>the Determination</w:t>
      </w:r>
      <w:r w:rsidR="005E6957">
        <w:rPr>
          <w:rFonts w:ascii="Times New Roman" w:hAnsi="Times New Roman" w:cs="Times New Roman"/>
        </w:rPr>
        <w:t xml:space="preserve">) to </w:t>
      </w:r>
      <w:r w:rsidR="00794124" w:rsidRPr="005E6957">
        <w:rPr>
          <w:rFonts w:ascii="Times New Roman" w:hAnsi="Times New Roman" w:cs="Times New Roman"/>
        </w:rPr>
        <w:t>r</w:t>
      </w:r>
      <w:r w:rsidR="003269EA" w:rsidRPr="005E6957">
        <w:rPr>
          <w:rFonts w:ascii="Times New Roman" w:hAnsi="Times New Roman" w:cs="Times New Roman"/>
        </w:rPr>
        <w:t>educe taxes for scientific licences</w:t>
      </w:r>
      <w:r w:rsidR="00714045" w:rsidRPr="005E6957">
        <w:rPr>
          <w:rFonts w:ascii="Times New Roman" w:hAnsi="Times New Roman" w:cs="Times New Roman"/>
        </w:rPr>
        <w:t xml:space="preserve"> </w:t>
      </w:r>
      <w:r w:rsidR="00794124" w:rsidRPr="005E6957">
        <w:rPr>
          <w:rFonts w:ascii="Times New Roman" w:hAnsi="Times New Roman" w:cs="Times New Roman"/>
        </w:rPr>
        <w:t xml:space="preserve"> by</w:t>
      </w:r>
      <w:r w:rsidR="003269EA" w:rsidRPr="005E6957">
        <w:rPr>
          <w:rFonts w:ascii="Times New Roman" w:hAnsi="Times New Roman" w:cs="Times New Roman"/>
        </w:rPr>
        <w:t xml:space="preserve"> applying a discount of 90 per cent to the scientific apparatus licence taxes, and charging a single tax for the licence, rather than on a per spectrum access/transmitter basis</w:t>
      </w:r>
      <w:r w:rsidR="00A208FA" w:rsidRPr="005E6957">
        <w:rPr>
          <w:rFonts w:ascii="Times New Roman" w:hAnsi="Times New Roman" w:cs="Times New Roman"/>
        </w:rPr>
        <w:t>.</w:t>
      </w:r>
    </w:p>
    <w:p w14:paraId="7983EF56" w14:textId="503AAEB7" w:rsidR="009B03E4" w:rsidRPr="005E6957" w:rsidRDefault="00CB58B2" w:rsidP="005E6957">
      <w:pPr>
        <w:rPr>
          <w:rFonts w:ascii="Times New Roman" w:hAnsi="Times New Roman" w:cs="Times New Roman"/>
        </w:rPr>
      </w:pPr>
      <w:r w:rsidRPr="005E6957">
        <w:rPr>
          <w:rFonts w:ascii="Times New Roman" w:hAnsi="Times New Roman" w:cs="Times New Roman"/>
          <w:bCs/>
        </w:rPr>
        <w:t xml:space="preserve">The Amendment Determination also </w:t>
      </w:r>
      <w:r w:rsidR="009B03E4" w:rsidRPr="005E6957">
        <w:rPr>
          <w:rFonts w:ascii="Times New Roman" w:hAnsi="Times New Roman" w:cs="Times New Roman"/>
          <w:bCs/>
        </w:rPr>
        <w:t>remove</w:t>
      </w:r>
      <w:r w:rsidRPr="005E6957">
        <w:rPr>
          <w:rFonts w:ascii="Times New Roman" w:hAnsi="Times New Roman" w:cs="Times New Roman"/>
          <w:bCs/>
        </w:rPr>
        <w:t>s</w:t>
      </w:r>
      <w:r w:rsidR="009B03E4" w:rsidRPr="005E6957">
        <w:rPr>
          <w:rFonts w:ascii="Times New Roman" w:hAnsi="Times New Roman" w:cs="Times New Roman"/>
          <w:bCs/>
        </w:rPr>
        <w:t xml:space="preserve"> a requirement</w:t>
      </w:r>
      <w:r w:rsidRPr="005E6957">
        <w:rPr>
          <w:rFonts w:ascii="Times New Roman" w:hAnsi="Times New Roman" w:cs="Times New Roman"/>
          <w:bCs/>
        </w:rPr>
        <w:t xml:space="preserve"> in the </w:t>
      </w:r>
      <w:r w:rsidRPr="005E6957">
        <w:rPr>
          <w:rFonts w:ascii="Times New Roman" w:hAnsi="Times New Roman" w:cs="Times New Roman"/>
          <w:bCs/>
          <w:i/>
        </w:rPr>
        <w:t>Radiocommunications Licence Conditions (Scientific Licence) Determination 2015</w:t>
      </w:r>
      <w:r w:rsidR="009B03E4" w:rsidRPr="005E6957">
        <w:rPr>
          <w:rFonts w:ascii="Times New Roman" w:hAnsi="Times New Roman" w:cs="Times New Roman"/>
          <w:bCs/>
        </w:rPr>
        <w:t xml:space="preserve"> that a scientific station must not be operated by the licensee if the activity that is to be undertaken can be undertaken using a station under another type of licence</w:t>
      </w:r>
      <w:r w:rsidR="006D2155" w:rsidRPr="005E6957">
        <w:rPr>
          <w:rFonts w:ascii="Times New Roman" w:hAnsi="Times New Roman" w:cs="Times New Roman"/>
          <w:bCs/>
        </w:rPr>
        <w:t>.</w:t>
      </w:r>
    </w:p>
    <w:p w14:paraId="35D167EF" w14:textId="0C48B3FE" w:rsidR="003269EA" w:rsidRDefault="00E6005C" w:rsidP="003269EA">
      <w:pPr>
        <w:rPr>
          <w:rFonts w:ascii="Times New Roman" w:hAnsi="Times New Roman" w:cs="Times New Roman"/>
        </w:rPr>
      </w:pPr>
      <w:r w:rsidRPr="00373B4E">
        <w:rPr>
          <w:rFonts w:ascii="Times New Roman" w:hAnsi="Times New Roman" w:cs="Times New Roman"/>
        </w:rPr>
        <w:t xml:space="preserve">The ACMA conducted a review of apparatus licences taxes for </w:t>
      </w:r>
      <w:r w:rsidR="003269EA">
        <w:rPr>
          <w:rFonts w:ascii="Times New Roman" w:hAnsi="Times New Roman" w:cs="Times New Roman"/>
        </w:rPr>
        <w:t xml:space="preserve">scientific licences </w:t>
      </w:r>
      <w:r w:rsidRPr="00373B4E">
        <w:rPr>
          <w:rFonts w:ascii="Times New Roman" w:hAnsi="Times New Roman" w:cs="Times New Roman"/>
        </w:rPr>
        <w:t xml:space="preserve">in response to industry concerns that </w:t>
      </w:r>
      <w:r w:rsidR="003269EA" w:rsidRPr="003269EA">
        <w:rPr>
          <w:rFonts w:ascii="Times New Roman" w:hAnsi="Times New Roman" w:cs="Times New Roman"/>
        </w:rPr>
        <w:t>the structure of the current apparatus licence tax formula, along with changing spectrum demands of modern radiocommunications technology, ha</w:t>
      </w:r>
      <w:r w:rsidR="00A208FA">
        <w:rPr>
          <w:rFonts w:ascii="Times New Roman" w:hAnsi="Times New Roman" w:cs="Times New Roman"/>
        </w:rPr>
        <w:t>d</w:t>
      </w:r>
      <w:r w:rsidR="003269EA" w:rsidRPr="003269EA">
        <w:rPr>
          <w:rFonts w:ascii="Times New Roman" w:hAnsi="Times New Roman" w:cs="Times New Roman"/>
        </w:rPr>
        <w:t xml:space="preserve"> made the licence </w:t>
      </w:r>
      <w:r w:rsidR="00BA7744">
        <w:rPr>
          <w:rFonts w:ascii="Times New Roman" w:hAnsi="Times New Roman" w:cs="Times New Roman"/>
        </w:rPr>
        <w:t>taxes</w:t>
      </w:r>
      <w:r w:rsidR="00BA7744" w:rsidRPr="003269EA">
        <w:rPr>
          <w:rFonts w:ascii="Times New Roman" w:hAnsi="Times New Roman" w:cs="Times New Roman"/>
        </w:rPr>
        <w:t xml:space="preserve"> </w:t>
      </w:r>
      <w:r w:rsidR="003269EA" w:rsidRPr="003269EA">
        <w:rPr>
          <w:rFonts w:ascii="Times New Roman" w:hAnsi="Times New Roman" w:cs="Times New Roman"/>
        </w:rPr>
        <w:t xml:space="preserve">associated with scientific licences </w:t>
      </w:r>
      <w:r w:rsidR="00FD3220">
        <w:rPr>
          <w:rFonts w:ascii="Times New Roman" w:hAnsi="Times New Roman" w:cs="Times New Roman"/>
        </w:rPr>
        <w:t>a disincentive</w:t>
      </w:r>
      <w:r w:rsidR="003269EA" w:rsidRPr="003269EA">
        <w:rPr>
          <w:rFonts w:ascii="Times New Roman" w:hAnsi="Times New Roman" w:cs="Times New Roman"/>
        </w:rPr>
        <w:t xml:space="preserve"> for innovators to seek licences for the testing of new technologies.</w:t>
      </w:r>
    </w:p>
    <w:p w14:paraId="46039972" w14:textId="14CA19E3" w:rsidR="003269EA" w:rsidRDefault="00BA7744" w:rsidP="003269EA">
      <w:pPr>
        <w:rPr>
          <w:rFonts w:ascii="Times New Roman" w:hAnsi="Times New Roman" w:cs="Times New Roman"/>
        </w:rPr>
      </w:pPr>
      <w:r>
        <w:rPr>
          <w:rFonts w:ascii="Times New Roman" w:hAnsi="Times New Roman" w:cs="Times New Roman"/>
        </w:rPr>
        <w:t>S</w:t>
      </w:r>
      <w:r w:rsidR="003269EA" w:rsidRPr="003269EA">
        <w:rPr>
          <w:rFonts w:ascii="Times New Roman" w:hAnsi="Times New Roman" w:cs="Times New Roman"/>
        </w:rPr>
        <w:t>cientific licences are intended to facilitate research and innovation in the use of the radio frequency spectrum</w:t>
      </w:r>
      <w:r>
        <w:rPr>
          <w:rFonts w:ascii="Times New Roman" w:hAnsi="Times New Roman" w:cs="Times New Roman"/>
        </w:rPr>
        <w:t xml:space="preserve"> and</w:t>
      </w:r>
      <w:r w:rsidRPr="003269EA">
        <w:rPr>
          <w:rFonts w:ascii="Times New Roman" w:hAnsi="Times New Roman" w:cs="Times New Roman"/>
        </w:rPr>
        <w:t xml:space="preserve"> </w:t>
      </w:r>
      <w:r w:rsidR="003269EA" w:rsidRPr="003269EA">
        <w:rPr>
          <w:rFonts w:ascii="Times New Roman" w:hAnsi="Times New Roman" w:cs="Times New Roman"/>
        </w:rPr>
        <w:t xml:space="preserve">the ACMA </w:t>
      </w:r>
      <w:r w:rsidR="00A208FA">
        <w:rPr>
          <w:rFonts w:ascii="Times New Roman" w:hAnsi="Times New Roman" w:cs="Times New Roman"/>
        </w:rPr>
        <w:t xml:space="preserve">has determined </w:t>
      </w:r>
      <w:r>
        <w:rPr>
          <w:rFonts w:ascii="Times New Roman" w:hAnsi="Times New Roman" w:cs="Times New Roman"/>
        </w:rPr>
        <w:t>that</w:t>
      </w:r>
      <w:r w:rsidRPr="003269EA">
        <w:rPr>
          <w:rFonts w:ascii="Times New Roman" w:hAnsi="Times New Roman" w:cs="Times New Roman"/>
        </w:rPr>
        <w:t xml:space="preserve"> </w:t>
      </w:r>
      <w:r w:rsidR="003269EA" w:rsidRPr="003269EA">
        <w:rPr>
          <w:rFonts w:ascii="Times New Roman" w:hAnsi="Times New Roman" w:cs="Times New Roman"/>
        </w:rPr>
        <w:t xml:space="preserve">there </w:t>
      </w:r>
      <w:r w:rsidR="00A208FA">
        <w:rPr>
          <w:rFonts w:ascii="Times New Roman" w:hAnsi="Times New Roman" w:cs="Times New Roman"/>
        </w:rPr>
        <w:t>a</w:t>
      </w:r>
      <w:r w:rsidR="00A208FA">
        <w:rPr>
          <w:rFonts w:ascii="Times New Roman" w:hAnsi="Times New Roman" w:cs="Times New Roman"/>
        </w:rPr>
        <w:t>re</w:t>
      </w:r>
      <w:r w:rsidR="00A208FA" w:rsidRPr="003269EA">
        <w:rPr>
          <w:rFonts w:ascii="Times New Roman" w:hAnsi="Times New Roman" w:cs="Times New Roman"/>
        </w:rPr>
        <w:t xml:space="preserve"> </w:t>
      </w:r>
      <w:r w:rsidR="003269EA" w:rsidRPr="003269EA">
        <w:rPr>
          <w:rFonts w:ascii="Times New Roman" w:hAnsi="Times New Roman" w:cs="Times New Roman"/>
        </w:rPr>
        <w:t>compelling reason</w:t>
      </w:r>
      <w:r>
        <w:rPr>
          <w:rFonts w:ascii="Times New Roman" w:hAnsi="Times New Roman" w:cs="Times New Roman"/>
        </w:rPr>
        <w:t>s</w:t>
      </w:r>
      <w:r w:rsidR="003269EA" w:rsidRPr="003269EA">
        <w:rPr>
          <w:rFonts w:ascii="Times New Roman" w:hAnsi="Times New Roman" w:cs="Times New Roman"/>
        </w:rPr>
        <w:t xml:space="preserve"> to </w:t>
      </w:r>
      <w:r w:rsidR="002622A2">
        <w:rPr>
          <w:rFonts w:ascii="Times New Roman" w:hAnsi="Times New Roman" w:cs="Times New Roman"/>
        </w:rPr>
        <w:t xml:space="preserve">reduce </w:t>
      </w:r>
      <w:r w:rsidR="003269EA" w:rsidRPr="003269EA">
        <w:rPr>
          <w:rFonts w:ascii="Times New Roman" w:hAnsi="Times New Roman" w:cs="Times New Roman"/>
        </w:rPr>
        <w:t>the taxes attached to the licence type, in order to facilitate technology innovations in the use of radiocommunications.</w:t>
      </w:r>
    </w:p>
    <w:p w14:paraId="452287FF" w14:textId="18F9A6CF" w:rsidR="009B03E4" w:rsidRPr="009B03E4" w:rsidRDefault="002622A2" w:rsidP="009B03E4">
      <w:pPr>
        <w:rPr>
          <w:rFonts w:ascii="Times New Roman" w:hAnsi="Times New Roman" w:cs="Times New Roman"/>
          <w:bCs/>
        </w:rPr>
      </w:pPr>
      <w:r>
        <w:rPr>
          <w:rFonts w:ascii="Times New Roman" w:hAnsi="Times New Roman" w:cs="Times New Roman"/>
          <w:bCs/>
        </w:rPr>
        <w:t>T</w:t>
      </w:r>
      <w:r w:rsidR="00993D83">
        <w:rPr>
          <w:rFonts w:ascii="Times New Roman" w:hAnsi="Times New Roman" w:cs="Times New Roman"/>
          <w:bCs/>
        </w:rPr>
        <w:t>he ACMA</w:t>
      </w:r>
      <w:r w:rsidR="00A208FA">
        <w:rPr>
          <w:rFonts w:ascii="Times New Roman" w:hAnsi="Times New Roman" w:cs="Times New Roman"/>
          <w:bCs/>
        </w:rPr>
        <w:t xml:space="preserve"> has</w:t>
      </w:r>
      <w:r w:rsidR="00993D83">
        <w:rPr>
          <w:rFonts w:ascii="Times New Roman" w:hAnsi="Times New Roman" w:cs="Times New Roman"/>
          <w:bCs/>
        </w:rPr>
        <w:t xml:space="preserve"> </w:t>
      </w:r>
      <w:r>
        <w:rPr>
          <w:rFonts w:ascii="Times New Roman" w:hAnsi="Times New Roman" w:cs="Times New Roman"/>
          <w:bCs/>
        </w:rPr>
        <w:t>also removed</w:t>
      </w:r>
      <w:r w:rsidR="00993D83">
        <w:rPr>
          <w:rFonts w:ascii="Times New Roman" w:hAnsi="Times New Roman" w:cs="Times New Roman"/>
          <w:bCs/>
        </w:rPr>
        <w:t xml:space="preserve"> a requirement </w:t>
      </w:r>
      <w:r w:rsidR="00993D83" w:rsidRPr="009B03E4">
        <w:rPr>
          <w:rFonts w:ascii="Times New Roman" w:hAnsi="Times New Roman" w:cs="Times New Roman"/>
          <w:bCs/>
        </w:rPr>
        <w:t>that a scientific station must not be operated by the licensee if the activity that is to be undertaken can be undertaken using a station under another type of licence</w:t>
      </w:r>
      <w:r w:rsidR="00993D83">
        <w:rPr>
          <w:rFonts w:ascii="Times New Roman" w:hAnsi="Times New Roman" w:cs="Times New Roman"/>
          <w:bCs/>
        </w:rPr>
        <w:t xml:space="preserve">. </w:t>
      </w:r>
      <w:r w:rsidR="009B03E4" w:rsidRPr="009B03E4">
        <w:rPr>
          <w:rFonts w:ascii="Times New Roman" w:hAnsi="Times New Roman" w:cs="Times New Roman"/>
          <w:bCs/>
        </w:rPr>
        <w:t xml:space="preserve">Some activities able to be conducted under a scientific licence may also be allowed to be conducted </w:t>
      </w:r>
      <w:r w:rsidR="009B03E4" w:rsidRPr="009B03E4">
        <w:rPr>
          <w:rFonts w:ascii="Times New Roman" w:hAnsi="Times New Roman" w:cs="Times New Roman"/>
          <w:bCs/>
        </w:rPr>
        <w:lastRenderedPageBreak/>
        <w:t xml:space="preserve">under a range of alternative licence types. By </w:t>
      </w:r>
      <w:r>
        <w:rPr>
          <w:rFonts w:ascii="Times New Roman" w:hAnsi="Times New Roman" w:cs="Times New Roman"/>
          <w:bCs/>
        </w:rPr>
        <w:t>making this</w:t>
      </w:r>
      <w:r w:rsidR="00993D83">
        <w:rPr>
          <w:rFonts w:ascii="Times New Roman" w:hAnsi="Times New Roman" w:cs="Times New Roman"/>
          <w:bCs/>
        </w:rPr>
        <w:t xml:space="preserve"> amendment, the ACMA </w:t>
      </w:r>
      <w:r>
        <w:rPr>
          <w:rFonts w:ascii="Times New Roman" w:hAnsi="Times New Roman" w:cs="Times New Roman"/>
          <w:bCs/>
        </w:rPr>
        <w:t>intends</w:t>
      </w:r>
      <w:r w:rsidRPr="009B03E4">
        <w:rPr>
          <w:rFonts w:ascii="Times New Roman" w:hAnsi="Times New Roman" w:cs="Times New Roman"/>
          <w:bCs/>
        </w:rPr>
        <w:t xml:space="preserve"> </w:t>
      </w:r>
      <w:r w:rsidR="009B03E4" w:rsidRPr="009B03E4">
        <w:rPr>
          <w:rFonts w:ascii="Times New Roman" w:hAnsi="Times New Roman" w:cs="Times New Roman"/>
          <w:bCs/>
        </w:rPr>
        <w:t>to ensure that where</w:t>
      </w:r>
      <w:r w:rsidR="00A208FA">
        <w:rPr>
          <w:rFonts w:ascii="Times New Roman" w:hAnsi="Times New Roman" w:cs="Times New Roman"/>
          <w:bCs/>
        </w:rPr>
        <w:t xml:space="preserve"> genuine scientific</w:t>
      </w:r>
      <w:r w:rsidR="009B03E4" w:rsidRPr="009B03E4">
        <w:rPr>
          <w:rFonts w:ascii="Times New Roman" w:hAnsi="Times New Roman" w:cs="Times New Roman"/>
          <w:bCs/>
        </w:rPr>
        <w:t xml:space="preserve"> testing and trialling of equipment is being undertaken, this condition should not prevent licensees from gaining the benefit of the </w:t>
      </w:r>
      <w:r w:rsidR="00D61B31">
        <w:rPr>
          <w:rFonts w:ascii="Times New Roman" w:hAnsi="Times New Roman" w:cs="Times New Roman"/>
          <w:bCs/>
        </w:rPr>
        <w:t>reduced</w:t>
      </w:r>
      <w:r w:rsidR="00D61B31" w:rsidRPr="009B03E4">
        <w:rPr>
          <w:rFonts w:ascii="Times New Roman" w:hAnsi="Times New Roman" w:cs="Times New Roman"/>
          <w:bCs/>
        </w:rPr>
        <w:t xml:space="preserve"> </w:t>
      </w:r>
      <w:r w:rsidR="00D61B31">
        <w:rPr>
          <w:rFonts w:ascii="Times New Roman" w:hAnsi="Times New Roman" w:cs="Times New Roman"/>
          <w:bCs/>
        </w:rPr>
        <w:t xml:space="preserve">scientific licence </w:t>
      </w:r>
      <w:r w:rsidR="009B03E4" w:rsidRPr="009B03E4">
        <w:rPr>
          <w:rFonts w:ascii="Times New Roman" w:hAnsi="Times New Roman" w:cs="Times New Roman"/>
          <w:bCs/>
        </w:rPr>
        <w:t>tax.</w:t>
      </w:r>
    </w:p>
    <w:p w14:paraId="6A2E8396" w14:textId="77777777" w:rsidR="00BB076E" w:rsidRDefault="00BB076E" w:rsidP="00C76D72">
      <w:pPr>
        <w:keepNext/>
        <w:rPr>
          <w:rFonts w:ascii="Times New Roman" w:hAnsi="Times New Roman" w:cs="Times New Roman"/>
          <w:b/>
        </w:rPr>
      </w:pPr>
      <w:r>
        <w:rPr>
          <w:rFonts w:ascii="Times New Roman" w:hAnsi="Times New Roman" w:cs="Times New Roman"/>
          <w:b/>
        </w:rPr>
        <w:t>Documents incorporated by reference</w:t>
      </w:r>
    </w:p>
    <w:p w14:paraId="157AF12E" w14:textId="7510D778" w:rsidR="00BB076E" w:rsidRPr="0052687A" w:rsidRDefault="00005A38" w:rsidP="0052687A">
      <w:pPr>
        <w:rPr>
          <w:rFonts w:ascii="Times New Roman" w:hAnsi="Times New Roman" w:cs="Times New Roman"/>
        </w:rPr>
      </w:pPr>
      <w:r>
        <w:rPr>
          <w:rFonts w:ascii="Times New Roman" w:hAnsi="Times New Roman" w:cs="Times New Roman"/>
        </w:rPr>
        <w:t xml:space="preserve">This </w:t>
      </w:r>
      <w:r w:rsidR="00644F7D">
        <w:rPr>
          <w:rFonts w:ascii="Times New Roman" w:hAnsi="Times New Roman" w:cs="Times New Roman"/>
        </w:rPr>
        <w:t xml:space="preserve">Amendment Determination </w:t>
      </w:r>
      <w:r w:rsidR="0052687A">
        <w:rPr>
          <w:rFonts w:ascii="Times New Roman" w:hAnsi="Times New Roman" w:cs="Times New Roman"/>
        </w:rPr>
        <w:t>does not incorporate a</w:t>
      </w:r>
      <w:r w:rsidR="00644F7D">
        <w:rPr>
          <w:rFonts w:ascii="Times New Roman" w:hAnsi="Times New Roman" w:cs="Times New Roman"/>
        </w:rPr>
        <w:t>ny</w:t>
      </w:r>
      <w:r w:rsidR="0052687A">
        <w:rPr>
          <w:rFonts w:ascii="Times New Roman" w:hAnsi="Times New Roman" w:cs="Times New Roman"/>
        </w:rPr>
        <w:t xml:space="preserve"> document</w:t>
      </w:r>
      <w:r w:rsidR="00644F7D">
        <w:rPr>
          <w:rFonts w:ascii="Times New Roman" w:hAnsi="Times New Roman" w:cs="Times New Roman"/>
        </w:rPr>
        <w:t>s</w:t>
      </w:r>
      <w:r w:rsidR="0052687A">
        <w:rPr>
          <w:rFonts w:ascii="Times New Roman" w:hAnsi="Times New Roman" w:cs="Times New Roman"/>
        </w:rPr>
        <w:t xml:space="preserve"> by reference</w:t>
      </w:r>
      <w:r>
        <w:rPr>
          <w:rFonts w:ascii="Times New Roman" w:hAnsi="Times New Roman" w:cs="Times New Roman"/>
        </w:rPr>
        <w:t>.</w:t>
      </w:r>
    </w:p>
    <w:p w14:paraId="28832377" w14:textId="77777777"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3542F2D8" w14:textId="60CE1627" w:rsidR="00C42777" w:rsidRDefault="003D004D" w:rsidP="004D2843">
      <w:pPr>
        <w:rPr>
          <w:rFonts w:ascii="Times New Roman" w:hAnsi="Times New Roman" w:cs="Times New Roman"/>
          <w:b/>
        </w:rPr>
      </w:pPr>
      <w:r w:rsidRPr="00373B4E">
        <w:rPr>
          <w:rFonts w:ascii="Times New Roman" w:hAnsi="Times New Roman" w:cs="Times New Roman"/>
        </w:rPr>
        <w:t xml:space="preserve">In August 2016, the ACMA published a consultation paper </w:t>
      </w:r>
      <w:r w:rsidR="00BA63E9">
        <w:rPr>
          <w:rFonts w:ascii="Times New Roman" w:hAnsi="Times New Roman" w:cs="Times New Roman"/>
        </w:rPr>
        <w:t>that outlined the proposed tax reductions</w:t>
      </w:r>
      <w:r w:rsidR="00A208FA">
        <w:rPr>
          <w:rFonts w:ascii="Times New Roman" w:hAnsi="Times New Roman" w:cs="Times New Roman"/>
        </w:rPr>
        <w:t xml:space="preserve"> and the proposed licence conditions change</w:t>
      </w:r>
      <w:r w:rsidR="00BA63E9">
        <w:rPr>
          <w:rFonts w:ascii="Times New Roman" w:hAnsi="Times New Roman" w:cs="Times New Roman"/>
        </w:rPr>
        <w:t xml:space="preserve">. The ACMA received </w:t>
      </w:r>
      <w:r w:rsidR="00027B15">
        <w:rPr>
          <w:rFonts w:ascii="Times New Roman" w:hAnsi="Times New Roman" w:cs="Times New Roman"/>
        </w:rPr>
        <w:t>5</w:t>
      </w:r>
      <w:r w:rsidRPr="00373B4E">
        <w:rPr>
          <w:rFonts w:ascii="Times New Roman" w:hAnsi="Times New Roman" w:cs="Times New Roman"/>
        </w:rPr>
        <w:t xml:space="preserve"> submissions </w:t>
      </w:r>
      <w:r w:rsidR="00644F7D">
        <w:rPr>
          <w:rFonts w:ascii="Times New Roman" w:hAnsi="Times New Roman" w:cs="Times New Roman"/>
        </w:rPr>
        <w:t>all of which were taken</w:t>
      </w:r>
      <w:r w:rsidR="00060848">
        <w:rPr>
          <w:rFonts w:ascii="Times New Roman" w:hAnsi="Times New Roman" w:cs="Times New Roman"/>
        </w:rPr>
        <w:t xml:space="preserve"> into consideration</w:t>
      </w:r>
      <w:r w:rsidR="00644F7D">
        <w:rPr>
          <w:rFonts w:ascii="Times New Roman" w:hAnsi="Times New Roman" w:cs="Times New Roman"/>
        </w:rPr>
        <w:t xml:space="preserve"> before the making of the Amendment Determination</w:t>
      </w:r>
      <w:r w:rsidR="00BA63E9">
        <w:rPr>
          <w:rFonts w:ascii="Times New Roman" w:hAnsi="Times New Roman" w:cs="Times New Roman"/>
        </w:rPr>
        <w:t xml:space="preserve">. </w:t>
      </w:r>
    </w:p>
    <w:p w14:paraId="625089B8" w14:textId="2E6D2DD7" w:rsidR="00547EFD" w:rsidRPr="00BA63E9" w:rsidRDefault="00FB4437" w:rsidP="00547EFD">
      <w:pPr>
        <w:rPr>
          <w:rFonts w:ascii="Times New Roman" w:hAnsi="Times New Roman" w:cs="Times New Roman"/>
          <w:b/>
        </w:rPr>
      </w:pPr>
      <w:r w:rsidRPr="00373B4E">
        <w:rPr>
          <w:rFonts w:ascii="Times New Roman" w:hAnsi="Times New Roman" w:cs="Times New Roman"/>
          <w:b/>
        </w:rPr>
        <w:t>Regulatory impact assessment</w:t>
      </w:r>
    </w:p>
    <w:p w14:paraId="5F449517" w14:textId="6396A7AF" w:rsidR="00BA63E9" w:rsidRPr="00BA63E9" w:rsidRDefault="00BA63E9" w:rsidP="00BA63E9">
      <w:pPr>
        <w:rPr>
          <w:rFonts w:ascii="Times New Roman" w:hAnsi="Times New Roman" w:cs="Times New Roman"/>
        </w:rPr>
      </w:pPr>
      <w:r w:rsidRPr="00BA63E9">
        <w:rPr>
          <w:rFonts w:ascii="Times New Roman" w:hAnsi="Times New Roman" w:cs="Times New Roman"/>
        </w:rPr>
        <w:t xml:space="preserve">The Office of Best Practice Regulation </w:t>
      </w:r>
      <w:r w:rsidR="00A208FA">
        <w:rPr>
          <w:rFonts w:ascii="Times New Roman" w:hAnsi="Times New Roman" w:cs="Times New Roman"/>
        </w:rPr>
        <w:t xml:space="preserve">(OBPR) </w:t>
      </w:r>
      <w:r w:rsidRPr="00BA63E9">
        <w:rPr>
          <w:rFonts w:ascii="Times New Roman" w:hAnsi="Times New Roman" w:cs="Times New Roman"/>
        </w:rPr>
        <w:t xml:space="preserve">has determined that the proposed regulatory changes regarding apparatus licence tax arrangements </w:t>
      </w:r>
      <w:r w:rsidR="00835330">
        <w:rPr>
          <w:rFonts w:ascii="Times New Roman" w:hAnsi="Times New Roman" w:cs="Times New Roman"/>
        </w:rPr>
        <w:t xml:space="preserve">and licence conditions </w:t>
      </w:r>
      <w:r w:rsidRPr="00BA63E9">
        <w:rPr>
          <w:rFonts w:ascii="Times New Roman" w:hAnsi="Times New Roman" w:cs="Times New Roman"/>
        </w:rPr>
        <w:t xml:space="preserve">for scientific licences in this submission </w:t>
      </w:r>
      <w:r w:rsidR="00835330">
        <w:rPr>
          <w:rFonts w:ascii="Times New Roman" w:hAnsi="Times New Roman" w:cs="Times New Roman"/>
        </w:rPr>
        <w:t>are</w:t>
      </w:r>
      <w:r w:rsidR="00835330" w:rsidRPr="00BA63E9">
        <w:rPr>
          <w:rFonts w:ascii="Times New Roman" w:hAnsi="Times New Roman" w:cs="Times New Roman"/>
        </w:rPr>
        <w:t xml:space="preserve"> </w:t>
      </w:r>
      <w:r w:rsidRPr="00BA63E9">
        <w:rPr>
          <w:rFonts w:ascii="Times New Roman" w:hAnsi="Times New Roman" w:cs="Times New Roman"/>
        </w:rPr>
        <w:t xml:space="preserve">minor or machinery in nature and has therefore verified that no further regulatory impact analysis is required. The </w:t>
      </w:r>
      <w:r w:rsidR="00835330">
        <w:rPr>
          <w:rFonts w:ascii="Times New Roman" w:hAnsi="Times New Roman" w:cs="Times New Roman"/>
        </w:rPr>
        <w:t xml:space="preserve">OBPR </w:t>
      </w:r>
      <w:r w:rsidRPr="00BA63E9">
        <w:rPr>
          <w:rFonts w:ascii="Times New Roman" w:hAnsi="Times New Roman" w:cs="Times New Roman"/>
        </w:rPr>
        <w:t>reference ID number for this matter is 22580.</w:t>
      </w:r>
    </w:p>
    <w:p w14:paraId="307F40E0" w14:textId="2A7EDA5D" w:rsidR="004D2843" w:rsidRDefault="00FB4437" w:rsidP="004D2843">
      <w:pPr>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9DF75CB" w14:textId="7042113E" w:rsidR="00134705" w:rsidRDefault="00134705" w:rsidP="00134705">
      <w:pPr>
        <w:rPr>
          <w:rFonts w:ascii="Times New Roman" w:hAnsi="Times New Roman" w:cs="Times New Roman"/>
          <w:b/>
          <w:i/>
        </w:rPr>
      </w:pPr>
      <w:r>
        <w:rPr>
          <w:rFonts w:ascii="Times New Roman" w:hAnsi="Times New Roman" w:cs="Times New Roman"/>
          <w:b/>
          <w:i/>
        </w:rPr>
        <w:t>Overview of the instrument</w:t>
      </w:r>
    </w:p>
    <w:p w14:paraId="1028CD41" w14:textId="77777777" w:rsidR="00BA63E9" w:rsidRPr="00373B4E" w:rsidRDefault="00BA63E9" w:rsidP="00BA63E9">
      <w:pPr>
        <w:rPr>
          <w:rFonts w:ascii="Times New Roman" w:hAnsi="Times New Roman" w:cs="Times New Roman"/>
        </w:rPr>
      </w:pPr>
      <w:r w:rsidRPr="00864356">
        <w:rPr>
          <w:rFonts w:ascii="Times New Roman" w:hAnsi="Times New Roman" w:cs="Times New Roman"/>
        </w:rPr>
        <w:t xml:space="preserve">The Amendment Determination amends the </w:t>
      </w:r>
      <w:r w:rsidRPr="00864356">
        <w:rPr>
          <w:rFonts w:ascii="Times New Roman" w:hAnsi="Times New Roman" w:cs="Times New Roman"/>
          <w:i/>
        </w:rPr>
        <w:t xml:space="preserve">Radiocommunications (Transmitter Licence Tax) </w:t>
      </w:r>
      <w:r w:rsidRPr="00373B4E">
        <w:rPr>
          <w:rFonts w:ascii="Times New Roman" w:hAnsi="Times New Roman" w:cs="Times New Roman"/>
          <w:i/>
        </w:rPr>
        <w:t>Determination 2015</w:t>
      </w:r>
      <w:r w:rsidRPr="00373B4E">
        <w:rPr>
          <w:rFonts w:ascii="Times New Roman" w:hAnsi="Times New Roman" w:cs="Times New Roman"/>
        </w:rPr>
        <w:t xml:space="preserve"> (</w:t>
      </w:r>
      <w:r w:rsidRPr="00373B4E">
        <w:rPr>
          <w:rFonts w:ascii="Times New Roman" w:hAnsi="Times New Roman" w:cs="Times New Roman"/>
          <w:b/>
        </w:rPr>
        <w:t>the Determination</w:t>
      </w:r>
      <w:r w:rsidRPr="00373B4E">
        <w:rPr>
          <w:rFonts w:ascii="Times New Roman" w:hAnsi="Times New Roman" w:cs="Times New Roman"/>
        </w:rPr>
        <w:t>) to:</w:t>
      </w:r>
    </w:p>
    <w:p w14:paraId="0856F6C1" w14:textId="6086F0F3" w:rsidR="00BA63E9" w:rsidRPr="003269EA" w:rsidRDefault="00714045" w:rsidP="00BA63E9">
      <w:pPr>
        <w:pStyle w:val="ListParagraph"/>
        <w:numPr>
          <w:ilvl w:val="0"/>
          <w:numId w:val="1"/>
        </w:numPr>
        <w:rPr>
          <w:rFonts w:ascii="Times New Roman" w:hAnsi="Times New Roman" w:cs="Times New Roman"/>
        </w:rPr>
      </w:pPr>
      <w:proofErr w:type="gramStart"/>
      <w:r>
        <w:rPr>
          <w:rFonts w:ascii="Times New Roman" w:hAnsi="Times New Roman" w:cs="Times New Roman"/>
        </w:rPr>
        <w:t>reduce</w:t>
      </w:r>
      <w:proofErr w:type="gramEnd"/>
      <w:r>
        <w:rPr>
          <w:rFonts w:ascii="Times New Roman" w:hAnsi="Times New Roman" w:cs="Times New Roman"/>
        </w:rPr>
        <w:t xml:space="preserve"> </w:t>
      </w:r>
      <w:r w:rsidR="00BA63E9">
        <w:rPr>
          <w:rFonts w:ascii="Times New Roman" w:hAnsi="Times New Roman" w:cs="Times New Roman"/>
        </w:rPr>
        <w:t>taxes for scientific licences</w:t>
      </w:r>
      <w:r>
        <w:rPr>
          <w:rFonts w:ascii="Times New Roman" w:hAnsi="Times New Roman" w:cs="Times New Roman"/>
        </w:rPr>
        <w:t xml:space="preserve"> by </w:t>
      </w:r>
      <w:r w:rsidR="00BA63E9">
        <w:rPr>
          <w:rFonts w:ascii="Times New Roman" w:hAnsi="Times New Roman" w:cs="Times New Roman"/>
        </w:rPr>
        <w:t>a</w:t>
      </w:r>
      <w:r w:rsidR="00BA63E9" w:rsidRPr="003269EA">
        <w:rPr>
          <w:rFonts w:ascii="Times New Roman" w:hAnsi="Times New Roman" w:cs="Times New Roman"/>
        </w:rPr>
        <w:t>pply</w:t>
      </w:r>
      <w:r w:rsidR="00BA63E9">
        <w:rPr>
          <w:rFonts w:ascii="Times New Roman" w:hAnsi="Times New Roman" w:cs="Times New Roman"/>
        </w:rPr>
        <w:t>ing</w:t>
      </w:r>
      <w:r w:rsidR="00BA63E9" w:rsidRPr="003269EA">
        <w:rPr>
          <w:rFonts w:ascii="Times New Roman" w:hAnsi="Times New Roman" w:cs="Times New Roman"/>
        </w:rPr>
        <w:t xml:space="preserve"> a discount of 90 per cent to the </w:t>
      </w:r>
      <w:r w:rsidR="00BA63E9">
        <w:rPr>
          <w:rFonts w:ascii="Times New Roman" w:hAnsi="Times New Roman" w:cs="Times New Roman"/>
        </w:rPr>
        <w:t>scientific apparatus licence taxes, and c</w:t>
      </w:r>
      <w:r w:rsidR="00BA63E9" w:rsidRPr="003269EA">
        <w:rPr>
          <w:rFonts w:ascii="Times New Roman" w:hAnsi="Times New Roman" w:cs="Times New Roman"/>
        </w:rPr>
        <w:t>harg</w:t>
      </w:r>
      <w:r w:rsidR="00BA63E9">
        <w:rPr>
          <w:rFonts w:ascii="Times New Roman" w:hAnsi="Times New Roman" w:cs="Times New Roman"/>
        </w:rPr>
        <w:t>ing</w:t>
      </w:r>
      <w:r w:rsidR="00BA63E9" w:rsidRPr="003269EA">
        <w:rPr>
          <w:rFonts w:ascii="Times New Roman" w:hAnsi="Times New Roman" w:cs="Times New Roman"/>
        </w:rPr>
        <w:t xml:space="preserve"> a single tax for the licence, rather than on a per spectrum access/transmitter basis</w:t>
      </w:r>
      <w:r w:rsidR="00BA63E9">
        <w:rPr>
          <w:rFonts w:ascii="Times New Roman" w:hAnsi="Times New Roman" w:cs="Times New Roman"/>
        </w:rPr>
        <w:t>.</w:t>
      </w:r>
    </w:p>
    <w:p w14:paraId="06CB69C3" w14:textId="33D67757" w:rsidR="00134705" w:rsidRPr="00A213A8" w:rsidRDefault="00134705" w:rsidP="00BA63E9">
      <w:pPr>
        <w:rPr>
          <w:rFonts w:ascii="Times New Roman" w:hAnsi="Times New Roman" w:cs="Times New Roman"/>
          <w:b/>
          <w:i/>
        </w:rPr>
      </w:pPr>
      <w:r w:rsidRPr="00373B4E">
        <w:rPr>
          <w:rFonts w:ascii="Times New Roman" w:hAnsi="Times New Roman" w:cs="Times New Roman"/>
          <w:b/>
          <w:i/>
        </w:rPr>
        <w:t>Human rights implications</w:t>
      </w:r>
    </w:p>
    <w:p w14:paraId="44A4FF08" w14:textId="41440F8E" w:rsidR="00134705" w:rsidRDefault="00134705" w:rsidP="00134705">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sidR="00AF1ECB">
        <w:rPr>
          <w:rFonts w:ascii="Times New Roman" w:hAnsi="Times New Roman" w:cs="Times New Roman"/>
        </w:rPr>
        <w:t xml:space="preserve">Amendment Determination </w:t>
      </w:r>
      <w:r>
        <w:rPr>
          <w:rFonts w:ascii="Times New Roman" w:hAnsi="Times New Roman" w:cs="Times New Roman"/>
        </w:rPr>
        <w:t>is compatible with human rights, being the rights and freedoms recognised or declared by the international instruments listed in subsection 3(1) of th</w:t>
      </w:r>
      <w:r w:rsidR="000124F9">
        <w:rPr>
          <w:rFonts w:ascii="Times New Roman" w:hAnsi="Times New Roman" w:cs="Times New Roman"/>
        </w:rPr>
        <w:t>e</w:t>
      </w:r>
      <w:r w:rsidR="000124F9" w:rsidRPr="000124F9">
        <w:rPr>
          <w:rFonts w:ascii="Times New Roman" w:hAnsi="Times New Roman" w:cs="Times New Roman"/>
          <w:i/>
        </w:rPr>
        <w:t xml:space="preserve"> </w:t>
      </w:r>
      <w:r w:rsidR="000124F9" w:rsidRPr="00FB4437">
        <w:rPr>
          <w:rFonts w:ascii="Times New Roman" w:hAnsi="Times New Roman" w:cs="Times New Roman"/>
          <w:i/>
        </w:rPr>
        <w:t>Human Rights (</w:t>
      </w:r>
      <w:r w:rsidR="000124F9">
        <w:rPr>
          <w:rFonts w:ascii="Times New Roman" w:hAnsi="Times New Roman" w:cs="Times New Roman"/>
          <w:i/>
        </w:rPr>
        <w:t xml:space="preserve">Parliamentary Scrutiny) Act 2011 </w:t>
      </w:r>
      <w:r>
        <w:rPr>
          <w:rFonts w:ascii="Times New Roman" w:hAnsi="Times New Roman" w:cs="Times New Roman"/>
        </w:rPr>
        <w:t xml:space="preserve">as they apply to Australia. </w:t>
      </w:r>
    </w:p>
    <w:p w14:paraId="08D8C1A8" w14:textId="6B15A2CF" w:rsidR="00134705" w:rsidRDefault="00134705" w:rsidP="00134705">
      <w:pPr>
        <w:rPr>
          <w:rFonts w:ascii="Times New Roman" w:hAnsi="Times New Roman" w:cs="Times New Roman"/>
        </w:rPr>
      </w:pPr>
      <w:r>
        <w:rPr>
          <w:rFonts w:ascii="Times New Roman" w:hAnsi="Times New Roman" w:cs="Times New Roman"/>
        </w:rPr>
        <w:t xml:space="preserve">Having considered the likely impact of the </w:t>
      </w:r>
      <w:r w:rsidR="00AF1ECB">
        <w:rPr>
          <w:rFonts w:ascii="Times New Roman" w:hAnsi="Times New Roman" w:cs="Times New Roman"/>
        </w:rPr>
        <w:t>Amendment Determination</w:t>
      </w:r>
      <w:r w:rsidR="00AF1ECB" w:rsidDel="00AF1ECB">
        <w:rPr>
          <w:rFonts w:ascii="Times New Roman" w:hAnsi="Times New Roman" w:cs="Times New Roman"/>
        </w:rPr>
        <w:t xml:space="preserve"> </w:t>
      </w:r>
      <w:r>
        <w:rPr>
          <w:rFonts w:ascii="Times New Roman" w:hAnsi="Times New Roman" w:cs="Times New Roman"/>
        </w:rPr>
        <w:t>and the nature of the applicable rights and freedoms, the ACMA has formed the view that the instrument</w:t>
      </w:r>
      <w:r w:rsidRPr="00A213A8">
        <w:rPr>
          <w:rFonts w:ascii="Times New Roman" w:hAnsi="Times New Roman" w:cs="Times New Roman"/>
        </w:rPr>
        <w:t xml:space="preserve"> does not engage any of </w:t>
      </w:r>
      <w:r>
        <w:rPr>
          <w:rFonts w:ascii="Times New Roman" w:hAnsi="Times New Roman" w:cs="Times New Roman"/>
        </w:rPr>
        <w:t>those rights or freedoms</w:t>
      </w:r>
      <w:r w:rsidRPr="00A213A8">
        <w:rPr>
          <w:rFonts w:ascii="Times New Roman" w:hAnsi="Times New Roman" w:cs="Times New Roman"/>
        </w:rPr>
        <w:t>.</w:t>
      </w:r>
      <w:r>
        <w:rPr>
          <w:rFonts w:ascii="Times New Roman" w:hAnsi="Times New Roman" w:cs="Times New Roman"/>
        </w:rPr>
        <w:t xml:space="preserve">  </w:t>
      </w:r>
    </w:p>
    <w:p w14:paraId="7E8A0525" w14:textId="77777777" w:rsidR="00134705" w:rsidRPr="00671216" w:rsidRDefault="00134705" w:rsidP="00134705">
      <w:pPr>
        <w:rPr>
          <w:rFonts w:ascii="Times New Roman" w:hAnsi="Times New Roman" w:cs="Times New Roman"/>
          <w:b/>
          <w:i/>
        </w:rPr>
      </w:pPr>
      <w:r w:rsidRPr="00671216">
        <w:rPr>
          <w:rFonts w:ascii="Times New Roman" w:hAnsi="Times New Roman" w:cs="Times New Roman"/>
          <w:b/>
          <w:i/>
        </w:rPr>
        <w:t>Conclusion</w:t>
      </w:r>
    </w:p>
    <w:p w14:paraId="0FF468B6" w14:textId="3B8E87C0" w:rsidR="00134705" w:rsidRDefault="00134705" w:rsidP="00134705">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0E391227" w14:textId="77777777" w:rsidR="00681621" w:rsidRDefault="00681621" w:rsidP="00641906">
      <w:pPr>
        <w:jc w:val="right"/>
        <w:rPr>
          <w:rFonts w:ascii="Times New Roman" w:hAnsi="Times New Roman" w:cs="Times New Roman"/>
          <w:b/>
          <w:sz w:val="28"/>
          <w:szCs w:val="28"/>
        </w:rPr>
      </w:pPr>
    </w:p>
    <w:p w14:paraId="448D91FB" w14:textId="77777777" w:rsidR="005E6957" w:rsidRDefault="005E6957">
      <w:pPr>
        <w:rPr>
          <w:rFonts w:ascii="Times New Roman" w:hAnsi="Times New Roman" w:cs="Times New Roman"/>
          <w:b/>
          <w:sz w:val="28"/>
          <w:szCs w:val="28"/>
        </w:rPr>
      </w:pPr>
      <w:r>
        <w:rPr>
          <w:rFonts w:ascii="Times New Roman" w:hAnsi="Times New Roman" w:cs="Times New Roman"/>
          <w:b/>
          <w:sz w:val="28"/>
          <w:szCs w:val="28"/>
        </w:rPr>
        <w:br w:type="page"/>
      </w:r>
    </w:p>
    <w:p w14:paraId="0A465983" w14:textId="29412DFA"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t>Attachment A</w:t>
      </w:r>
    </w:p>
    <w:p w14:paraId="77137405" w14:textId="45AD0F02"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lastRenderedPageBreak/>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917029" w:rsidRPr="006018F3">
        <w:rPr>
          <w:rFonts w:ascii="Times New Roman" w:hAnsi="Times New Roman" w:cs="Times New Roman"/>
          <w:b/>
          <w:i/>
          <w:sz w:val="28"/>
          <w:szCs w:val="28"/>
        </w:rPr>
        <w:t>Radiocommunications (Scientific Licence</w:t>
      </w:r>
      <w:r w:rsidR="00ED2B45">
        <w:rPr>
          <w:rFonts w:ascii="Times New Roman" w:hAnsi="Times New Roman" w:cs="Times New Roman"/>
          <w:b/>
          <w:i/>
          <w:sz w:val="28"/>
          <w:szCs w:val="28"/>
        </w:rPr>
        <w:t xml:space="preserve"> – Licence Conditions and Licence</w:t>
      </w:r>
      <w:r w:rsidR="00917029" w:rsidRPr="006018F3">
        <w:rPr>
          <w:rFonts w:ascii="Times New Roman" w:hAnsi="Times New Roman" w:cs="Times New Roman"/>
          <w:b/>
          <w:i/>
          <w:sz w:val="28"/>
          <w:szCs w:val="28"/>
        </w:rPr>
        <w:t xml:space="preserve"> Tax) Amendment </w:t>
      </w:r>
      <w:r w:rsidR="001D1260">
        <w:rPr>
          <w:rFonts w:ascii="Times New Roman" w:hAnsi="Times New Roman" w:cs="Times New Roman"/>
          <w:b/>
          <w:i/>
          <w:sz w:val="28"/>
          <w:szCs w:val="28"/>
        </w:rPr>
        <w:t xml:space="preserve">Determination </w:t>
      </w:r>
      <w:r w:rsidR="00917029" w:rsidRPr="006018F3">
        <w:rPr>
          <w:rFonts w:ascii="Times New Roman" w:hAnsi="Times New Roman" w:cs="Times New Roman"/>
          <w:b/>
          <w:i/>
          <w:sz w:val="28"/>
          <w:szCs w:val="28"/>
        </w:rPr>
        <w:t>2017 (No. 1)</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1B25A7BB" w:rsidR="00025ACE" w:rsidRPr="006940DB" w:rsidRDefault="006940DB" w:rsidP="004D2843">
      <w:pPr>
        <w:rPr>
          <w:rFonts w:ascii="Times New Roman" w:hAnsi="Times New Roman" w:cs="Times New Roman"/>
        </w:rPr>
      </w:pPr>
      <w:r>
        <w:rPr>
          <w:rFonts w:ascii="Times New Roman" w:hAnsi="Times New Roman" w:cs="Times New Roman"/>
        </w:rPr>
        <w:t xml:space="preserve">This section provides </w:t>
      </w:r>
      <w:r w:rsidR="00B71914">
        <w:rPr>
          <w:rFonts w:ascii="Times New Roman" w:hAnsi="Times New Roman" w:cs="Times New Roman"/>
        </w:rPr>
        <w:t xml:space="preserve">that </w:t>
      </w:r>
      <w:r>
        <w:rPr>
          <w:rFonts w:ascii="Times New Roman" w:hAnsi="Times New Roman" w:cs="Times New Roman"/>
        </w:rPr>
        <w:t xml:space="preserve">the instrument </w:t>
      </w:r>
      <w:r w:rsidR="00B71914">
        <w:rPr>
          <w:rFonts w:ascii="Times New Roman" w:hAnsi="Times New Roman" w:cs="Times New Roman"/>
        </w:rPr>
        <w:t xml:space="preserve">may </w:t>
      </w:r>
      <w:r>
        <w:rPr>
          <w:rFonts w:ascii="Times New Roman" w:hAnsi="Times New Roman" w:cs="Times New Roman"/>
        </w:rPr>
        <w:t>be cited as</w:t>
      </w:r>
      <w:r w:rsidR="00D32E4E">
        <w:rPr>
          <w:rFonts w:ascii="Times New Roman" w:hAnsi="Times New Roman" w:cs="Times New Roman"/>
        </w:rPr>
        <w:t xml:space="preserve"> the</w:t>
      </w:r>
      <w:r>
        <w:rPr>
          <w:rFonts w:ascii="Times New Roman" w:hAnsi="Times New Roman" w:cs="Times New Roman"/>
        </w:rPr>
        <w:t xml:space="preserve"> </w:t>
      </w:r>
      <w:r w:rsidR="00917029" w:rsidRPr="00917029">
        <w:rPr>
          <w:rFonts w:ascii="Times New Roman" w:hAnsi="Times New Roman" w:cs="Times New Roman"/>
          <w:i/>
        </w:rPr>
        <w:t xml:space="preserve">Radiocommunications (Scientific </w:t>
      </w:r>
      <w:r w:rsidR="001D1260" w:rsidRPr="00917029">
        <w:rPr>
          <w:rFonts w:ascii="Times New Roman" w:hAnsi="Times New Roman" w:cs="Times New Roman"/>
          <w:i/>
        </w:rPr>
        <w:t>Licence</w:t>
      </w:r>
      <w:r w:rsidR="001D1260">
        <w:rPr>
          <w:rFonts w:ascii="Times New Roman" w:hAnsi="Times New Roman" w:cs="Times New Roman"/>
          <w:i/>
        </w:rPr>
        <w:t xml:space="preserve"> – Licence Conditions and Licence</w:t>
      </w:r>
      <w:r w:rsidR="001D1260" w:rsidRPr="00917029">
        <w:rPr>
          <w:rFonts w:ascii="Times New Roman" w:hAnsi="Times New Roman" w:cs="Times New Roman"/>
          <w:i/>
        </w:rPr>
        <w:t xml:space="preserve"> </w:t>
      </w:r>
      <w:r w:rsidR="00917029" w:rsidRPr="00917029">
        <w:rPr>
          <w:rFonts w:ascii="Times New Roman" w:hAnsi="Times New Roman" w:cs="Times New Roman"/>
          <w:i/>
        </w:rPr>
        <w:t xml:space="preserve">Tax) Amendment </w:t>
      </w:r>
      <w:r w:rsidR="001D1260">
        <w:rPr>
          <w:rFonts w:ascii="Times New Roman" w:hAnsi="Times New Roman" w:cs="Times New Roman"/>
          <w:i/>
        </w:rPr>
        <w:t xml:space="preserve">Determination </w:t>
      </w:r>
      <w:r w:rsidR="00917029" w:rsidRPr="00917029">
        <w:rPr>
          <w:rFonts w:ascii="Times New Roman" w:hAnsi="Times New Roman" w:cs="Times New Roman"/>
          <w:i/>
        </w:rPr>
        <w:t>2017 (No. 1)</w:t>
      </w:r>
      <w:r w:rsidR="00917029">
        <w:rPr>
          <w:rFonts w:ascii="Times New Roman" w:hAnsi="Times New Roman" w:cs="Times New Roman"/>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3494355A" w:rsidR="006940DB" w:rsidRDefault="006940DB" w:rsidP="004D2843">
      <w:pPr>
        <w:rPr>
          <w:rFonts w:ascii="Times New Roman" w:hAnsi="Times New Roman" w:cs="Times New Roman"/>
        </w:rPr>
      </w:pPr>
      <w:r>
        <w:rPr>
          <w:rFonts w:ascii="Times New Roman" w:hAnsi="Times New Roman" w:cs="Times New Roman"/>
        </w:rPr>
        <w:t xml:space="preserve">This section provides </w:t>
      </w:r>
      <w:r w:rsidR="00B71914">
        <w:rPr>
          <w:rFonts w:ascii="Times New Roman" w:hAnsi="Times New Roman" w:cs="Times New Roman"/>
        </w:rPr>
        <w:t xml:space="preserve">that </w:t>
      </w:r>
      <w:r>
        <w:rPr>
          <w:rFonts w:ascii="Times New Roman" w:hAnsi="Times New Roman" w:cs="Times New Roman"/>
        </w:rPr>
        <w:t>the instrument commence</w:t>
      </w:r>
      <w:r w:rsidR="00B71914">
        <w:rPr>
          <w:rFonts w:ascii="Times New Roman" w:hAnsi="Times New Roman" w:cs="Times New Roman"/>
        </w:rPr>
        <w:t>s</w:t>
      </w:r>
      <w:r>
        <w:rPr>
          <w:rFonts w:ascii="Times New Roman" w:hAnsi="Times New Roman" w:cs="Times New Roman"/>
        </w:rPr>
        <w:t xml:space="preserve"> at the start of the day after it is registered</w:t>
      </w:r>
      <w:r w:rsidR="00603B3F">
        <w:rPr>
          <w:rFonts w:ascii="Times New Roman" w:hAnsi="Times New Roman" w:cs="Times New Roman"/>
        </w:rPr>
        <w:t xml:space="preserve"> on the Federal Register of Legislation</w:t>
      </w:r>
      <w:r w:rsidR="009130B4" w:rsidRPr="009130B4">
        <w:rPr>
          <w:rFonts w:ascii="Times New Roman" w:hAnsi="Times New Roman" w:cs="Times New Roman"/>
        </w:rPr>
        <w:t xml:space="preserve">. </w:t>
      </w:r>
      <w:r>
        <w:rPr>
          <w:rFonts w:ascii="Times New Roman" w:hAnsi="Times New Roman" w:cs="Times New Roman"/>
        </w:rPr>
        <w:t xml:space="preserve"> </w:t>
      </w:r>
    </w:p>
    <w:p w14:paraId="7D143460" w14:textId="7214439F"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Federal Register of Legislation may be accessed at </w:t>
      </w:r>
      <w:hyperlink r:id="rId12" w:history="1">
        <w:r w:rsidR="006940DB" w:rsidRPr="00816B09">
          <w:rPr>
            <w:rStyle w:val="Hyperlink"/>
            <w:rFonts w:ascii="Times New Roman" w:hAnsi="Times New Roman" w:cs="Times New Roman"/>
          </w:rPr>
          <w:t>www.legislation.gov.au</w:t>
        </w:r>
      </w:hyperlink>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4C2A6C10"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835330">
        <w:rPr>
          <w:rFonts w:ascii="Times New Roman" w:hAnsi="Times New Roman" w:cs="Times New Roman"/>
        </w:rPr>
        <w:t xml:space="preserve">relevant provisions of the </w:t>
      </w:r>
      <w:r>
        <w:rPr>
          <w:rFonts w:ascii="Times New Roman" w:hAnsi="Times New Roman" w:cs="Times New Roman"/>
        </w:rPr>
        <w:t>Act</w:t>
      </w:r>
      <w:r w:rsidR="00294D14">
        <w:rPr>
          <w:rFonts w:ascii="Times New Roman" w:hAnsi="Times New Roman" w:cs="Times New Roman"/>
        </w:rPr>
        <w:t>s</w:t>
      </w:r>
      <w:r>
        <w:rPr>
          <w:rFonts w:ascii="Times New Roman" w:hAnsi="Times New Roman" w:cs="Times New Roman"/>
        </w:rPr>
        <w:t xml:space="preserve"> that authorise the making of the instrument, namely the</w:t>
      </w:r>
      <w:r w:rsidR="00C2328F" w:rsidRPr="00C2328F">
        <w:t xml:space="preserve"> </w:t>
      </w:r>
      <w:r w:rsidR="00C2328F" w:rsidRPr="00C2328F">
        <w:rPr>
          <w:rFonts w:ascii="Times New Roman" w:hAnsi="Times New Roman" w:cs="Times New Roman"/>
          <w:i/>
        </w:rPr>
        <w:t>Radiocommunications (Transmitter Licence Tax) Act 1983</w:t>
      </w:r>
      <w:r>
        <w:rPr>
          <w:rFonts w:ascii="Times New Roman" w:hAnsi="Times New Roman" w:cs="Times New Roman"/>
        </w:rPr>
        <w:t xml:space="preserve"> </w:t>
      </w:r>
      <w:r w:rsidR="00DD4B93">
        <w:rPr>
          <w:rFonts w:ascii="Times New Roman" w:hAnsi="Times New Roman" w:cs="Times New Roman"/>
        </w:rPr>
        <w:t xml:space="preserve">and the </w:t>
      </w:r>
      <w:r w:rsidR="00DD4B93" w:rsidRPr="006018F3">
        <w:rPr>
          <w:rFonts w:ascii="Times New Roman" w:hAnsi="Times New Roman" w:cs="Times New Roman"/>
          <w:i/>
        </w:rPr>
        <w:t>Radiocommunications Act 1992</w:t>
      </w:r>
      <w:r>
        <w:rPr>
          <w:rFonts w:ascii="Times New Roman" w:hAnsi="Times New Roman" w:cs="Times New Roman"/>
        </w:rPr>
        <w:t>.</w:t>
      </w:r>
    </w:p>
    <w:p w14:paraId="7B50D725" w14:textId="5D7EAFA0" w:rsidR="005958D6"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3A29EC">
        <w:rPr>
          <w:rFonts w:ascii="Times New Roman" w:hAnsi="Times New Roman" w:cs="Times New Roman"/>
          <w:b/>
        </w:rPr>
        <w:t>Amendment</w:t>
      </w:r>
      <w:r w:rsidR="00AA68CF">
        <w:rPr>
          <w:rFonts w:ascii="Times New Roman" w:hAnsi="Times New Roman" w:cs="Times New Roman"/>
          <w:b/>
        </w:rPr>
        <w:t>s</w:t>
      </w:r>
      <w:r w:rsidR="00C2328F" w:rsidRPr="00C2328F">
        <w:rPr>
          <w:rFonts w:ascii="Times New Roman" w:hAnsi="Times New Roman" w:cs="Times New Roman"/>
          <w:b/>
        </w:rPr>
        <w:t xml:space="preserve"> </w:t>
      </w:r>
    </w:p>
    <w:p w14:paraId="59410082" w14:textId="4BF3A356" w:rsidR="00ED3574" w:rsidRDefault="0084470A" w:rsidP="006940DB">
      <w:pPr>
        <w:rPr>
          <w:rFonts w:ascii="Times New Roman" w:hAnsi="Times New Roman" w:cs="Times New Roman"/>
        </w:rPr>
      </w:pPr>
      <w:r>
        <w:rPr>
          <w:rFonts w:ascii="Times New Roman" w:hAnsi="Times New Roman" w:cs="Times New Roman"/>
        </w:rPr>
        <w:t>This section provides that</w:t>
      </w:r>
      <w:r w:rsidR="003A29EC">
        <w:rPr>
          <w:rFonts w:ascii="Times New Roman" w:hAnsi="Times New Roman" w:cs="Times New Roman"/>
        </w:rPr>
        <w:t xml:space="preserve"> </w:t>
      </w:r>
      <w:r w:rsidR="006773A1">
        <w:rPr>
          <w:rFonts w:ascii="Times New Roman" w:hAnsi="Times New Roman" w:cs="Times New Roman"/>
        </w:rPr>
        <w:t xml:space="preserve">the </w:t>
      </w:r>
      <w:r w:rsidR="00294D14">
        <w:rPr>
          <w:rFonts w:ascii="Times New Roman" w:hAnsi="Times New Roman" w:cs="Times New Roman"/>
        </w:rPr>
        <w:t xml:space="preserve">instruments listed in </w:t>
      </w:r>
      <w:r w:rsidR="003A29EC">
        <w:rPr>
          <w:rFonts w:ascii="Times New Roman" w:hAnsi="Times New Roman" w:cs="Times New Roman"/>
        </w:rPr>
        <w:t xml:space="preserve">Schedule 1 </w:t>
      </w:r>
      <w:r w:rsidR="00835330">
        <w:rPr>
          <w:rFonts w:ascii="Times New Roman" w:hAnsi="Times New Roman" w:cs="Times New Roman"/>
        </w:rPr>
        <w:t>to</w:t>
      </w:r>
      <w:r w:rsidR="00835330">
        <w:rPr>
          <w:rFonts w:ascii="Times New Roman" w:hAnsi="Times New Roman" w:cs="Times New Roman"/>
        </w:rPr>
        <w:t xml:space="preserve"> </w:t>
      </w:r>
      <w:r w:rsidR="003A29EC">
        <w:rPr>
          <w:rFonts w:ascii="Times New Roman" w:hAnsi="Times New Roman" w:cs="Times New Roman"/>
        </w:rPr>
        <w:t xml:space="preserve">the Amendment Determination </w:t>
      </w:r>
      <w:r w:rsidR="00835330">
        <w:rPr>
          <w:rFonts w:ascii="Times New Roman" w:hAnsi="Times New Roman" w:cs="Times New Roman"/>
        </w:rPr>
        <w:t>are</w:t>
      </w:r>
      <w:r w:rsidR="00294D14">
        <w:rPr>
          <w:rFonts w:ascii="Times New Roman" w:hAnsi="Times New Roman" w:cs="Times New Roman"/>
        </w:rPr>
        <w:t xml:space="preserve"> </w:t>
      </w:r>
      <w:r w:rsidR="003A29EC">
        <w:rPr>
          <w:rFonts w:ascii="Times New Roman" w:hAnsi="Times New Roman" w:cs="Times New Roman"/>
        </w:rPr>
        <w:t>amend</w:t>
      </w:r>
      <w:r w:rsidR="00294D14">
        <w:rPr>
          <w:rFonts w:ascii="Times New Roman" w:hAnsi="Times New Roman" w:cs="Times New Roman"/>
        </w:rPr>
        <w:t>ed</w:t>
      </w:r>
      <w:r w:rsidR="00835330">
        <w:rPr>
          <w:rFonts w:ascii="Times New Roman" w:hAnsi="Times New Roman" w:cs="Times New Roman"/>
        </w:rPr>
        <w:t xml:space="preserve"> as set out in that Schedule</w:t>
      </w:r>
      <w:r w:rsidR="00294D14">
        <w:rPr>
          <w:rFonts w:ascii="Times New Roman" w:hAnsi="Times New Roman" w:cs="Times New Roman"/>
        </w:rPr>
        <w:t>. Those instruments are</w:t>
      </w:r>
      <w:r>
        <w:rPr>
          <w:rFonts w:ascii="Times New Roman" w:hAnsi="Times New Roman" w:cs="Times New Roman"/>
        </w:rPr>
        <w:t xml:space="preserve"> </w:t>
      </w:r>
      <w:r w:rsidR="005958D6">
        <w:rPr>
          <w:rFonts w:ascii="Times New Roman" w:hAnsi="Times New Roman" w:cs="Times New Roman"/>
        </w:rPr>
        <w:t xml:space="preserve">the </w:t>
      </w:r>
      <w:r w:rsidR="007B699D" w:rsidRPr="007B699D">
        <w:rPr>
          <w:rFonts w:ascii="Times New Roman" w:hAnsi="Times New Roman" w:cs="Times New Roman"/>
          <w:i/>
        </w:rPr>
        <w:t xml:space="preserve">Radiocommunications </w:t>
      </w:r>
      <w:r w:rsidR="006773A1">
        <w:rPr>
          <w:rFonts w:ascii="Times New Roman" w:hAnsi="Times New Roman" w:cs="Times New Roman"/>
          <w:i/>
        </w:rPr>
        <w:t xml:space="preserve">Licence Conditions </w:t>
      </w:r>
      <w:r w:rsidR="007B699D" w:rsidRPr="007B699D">
        <w:rPr>
          <w:rFonts w:ascii="Times New Roman" w:hAnsi="Times New Roman" w:cs="Times New Roman"/>
          <w:i/>
        </w:rPr>
        <w:t>(Scientific Licence) Determination 2015</w:t>
      </w:r>
      <w:r w:rsidR="00C25E4F">
        <w:rPr>
          <w:rFonts w:ascii="Times New Roman" w:hAnsi="Times New Roman" w:cs="Times New Roman"/>
        </w:rPr>
        <w:t xml:space="preserve"> </w:t>
      </w:r>
      <w:r w:rsidR="007B699D">
        <w:rPr>
          <w:rFonts w:ascii="Times New Roman" w:hAnsi="Times New Roman" w:cs="Times New Roman"/>
        </w:rPr>
        <w:t xml:space="preserve">and </w:t>
      </w:r>
      <w:r w:rsidR="007B699D" w:rsidRPr="005E6957">
        <w:rPr>
          <w:rFonts w:ascii="Times New Roman" w:hAnsi="Times New Roman" w:cs="Times New Roman"/>
        </w:rPr>
        <w:t>the</w:t>
      </w:r>
      <w:r w:rsidR="007B699D" w:rsidRPr="007B699D">
        <w:rPr>
          <w:rFonts w:ascii="Times New Roman" w:hAnsi="Times New Roman" w:cs="Times New Roman"/>
          <w:i/>
        </w:rPr>
        <w:t xml:space="preserve"> Radiocommunications (Transmitter Licence Tax) Determination 2015</w:t>
      </w:r>
      <w:r w:rsidR="006773A1">
        <w:rPr>
          <w:rFonts w:ascii="Times New Roman" w:hAnsi="Times New Roman" w:cs="Times New Roman"/>
        </w:rPr>
        <w:t>.</w:t>
      </w:r>
    </w:p>
    <w:p w14:paraId="4931A8AA" w14:textId="6978C097" w:rsidR="005958D6" w:rsidRDefault="00ED3574" w:rsidP="005958D6">
      <w:pPr>
        <w:rPr>
          <w:rFonts w:ascii="Times New Roman" w:hAnsi="Times New Roman" w:cs="Times New Roman"/>
          <w:b/>
        </w:rPr>
      </w:pPr>
      <w:r>
        <w:rPr>
          <w:rFonts w:ascii="Times New Roman" w:hAnsi="Times New Roman" w:cs="Times New Roman"/>
          <w:b/>
        </w:rPr>
        <w:t>Schedule 1</w:t>
      </w:r>
      <w:r>
        <w:rPr>
          <w:rFonts w:ascii="Times New Roman" w:hAnsi="Times New Roman" w:cs="Times New Roman"/>
          <w:b/>
        </w:rPr>
        <w:tab/>
        <w:t>Amendments</w:t>
      </w:r>
      <w:r w:rsidRPr="00ED3574">
        <w:t xml:space="preserve"> </w:t>
      </w:r>
    </w:p>
    <w:p w14:paraId="37E58239" w14:textId="77777777" w:rsidR="00097C1A" w:rsidRDefault="00097C1A" w:rsidP="00ED3574">
      <w:pPr>
        <w:rPr>
          <w:rFonts w:ascii="Times New Roman" w:hAnsi="Times New Roman" w:cs="Times New Roman"/>
          <w:b/>
          <w:bCs/>
          <w:iCs/>
        </w:rPr>
      </w:pPr>
      <w:r>
        <w:rPr>
          <w:rFonts w:ascii="Times New Roman" w:hAnsi="Times New Roman" w:cs="Times New Roman"/>
          <w:b/>
          <w:bCs/>
          <w:iCs/>
        </w:rPr>
        <w:t>Item [1]</w:t>
      </w:r>
    </w:p>
    <w:p w14:paraId="717ECBEF" w14:textId="644F58E1" w:rsidR="00097C1A" w:rsidRPr="00097C1A" w:rsidRDefault="00097C1A" w:rsidP="00ED3574">
      <w:pPr>
        <w:rPr>
          <w:rFonts w:ascii="Times New Roman" w:hAnsi="Times New Roman" w:cs="Times New Roman"/>
          <w:b/>
          <w:bCs/>
          <w:iCs/>
        </w:rPr>
      </w:pPr>
      <w:r>
        <w:rPr>
          <w:rFonts w:ascii="Times New Roman" w:hAnsi="Times New Roman" w:cs="Times New Roman"/>
        </w:rPr>
        <w:t xml:space="preserve">This item removes the paragraph number </w:t>
      </w:r>
      <w:r w:rsidR="00CB6171">
        <w:rPr>
          <w:rFonts w:ascii="Times New Roman" w:hAnsi="Times New Roman" w:cs="Times New Roman"/>
        </w:rPr>
        <w:t>at</w:t>
      </w:r>
      <w:r>
        <w:rPr>
          <w:rFonts w:ascii="Times New Roman" w:hAnsi="Times New Roman" w:cs="Times New Roman"/>
        </w:rPr>
        <w:t xml:space="preserve"> subsection 7(1</w:t>
      </w:r>
      <w:r>
        <w:rPr>
          <w:rFonts w:ascii="Times New Roman" w:hAnsi="Times New Roman" w:cs="Times New Roman"/>
        </w:rPr>
        <w:t xml:space="preserve">) of the </w:t>
      </w:r>
      <w:r w:rsidRPr="00993D83">
        <w:rPr>
          <w:rFonts w:ascii="Times New Roman" w:hAnsi="Times New Roman" w:cs="Times New Roman"/>
          <w:i/>
        </w:rPr>
        <w:t>Radiocommunications Licence Conditions (Scientific Licence) Determination 2015</w:t>
      </w:r>
      <w:r>
        <w:rPr>
          <w:rFonts w:ascii="Times New Roman" w:hAnsi="Times New Roman" w:cs="Times New Roman"/>
          <w:i/>
        </w:rPr>
        <w:t xml:space="preserve"> </w:t>
      </w:r>
      <w:r>
        <w:rPr>
          <w:rFonts w:ascii="Times New Roman" w:hAnsi="Times New Roman" w:cs="Times New Roman"/>
        </w:rPr>
        <w:t>(the Scientific Licence Determination).</w:t>
      </w:r>
    </w:p>
    <w:p w14:paraId="4D4BE81A" w14:textId="58814855" w:rsidR="00ED3574" w:rsidRPr="00ED3574" w:rsidRDefault="00ED3574" w:rsidP="00ED3574">
      <w:pPr>
        <w:rPr>
          <w:rFonts w:ascii="Times New Roman" w:hAnsi="Times New Roman" w:cs="Times New Roman"/>
          <w:b/>
          <w:bCs/>
          <w:i/>
          <w:iCs/>
        </w:rPr>
      </w:pPr>
      <w:r w:rsidRPr="00AC4C28">
        <w:rPr>
          <w:rFonts w:ascii="Times New Roman" w:hAnsi="Times New Roman" w:cs="Times New Roman"/>
          <w:b/>
          <w:bCs/>
          <w:iCs/>
        </w:rPr>
        <w:t>Item [</w:t>
      </w:r>
      <w:r w:rsidR="00097C1A">
        <w:rPr>
          <w:rFonts w:ascii="Times New Roman" w:hAnsi="Times New Roman" w:cs="Times New Roman"/>
          <w:b/>
          <w:bCs/>
          <w:iCs/>
        </w:rPr>
        <w:t>2</w:t>
      </w:r>
      <w:r w:rsidRPr="00AC4C28">
        <w:rPr>
          <w:rFonts w:ascii="Times New Roman" w:hAnsi="Times New Roman" w:cs="Times New Roman"/>
          <w:b/>
          <w:bCs/>
          <w:iCs/>
        </w:rPr>
        <w:t>]</w:t>
      </w:r>
    </w:p>
    <w:p w14:paraId="31ABF1EA" w14:textId="2AA95005" w:rsidR="00171532" w:rsidRPr="009B03E4" w:rsidRDefault="00097C1A" w:rsidP="00171532">
      <w:pPr>
        <w:rPr>
          <w:rFonts w:ascii="Times New Roman" w:hAnsi="Times New Roman" w:cs="Times New Roman"/>
          <w:bCs/>
        </w:rPr>
      </w:pPr>
      <w:r>
        <w:rPr>
          <w:rFonts w:ascii="Times New Roman" w:hAnsi="Times New Roman" w:cs="Times New Roman"/>
        </w:rPr>
        <w:t>This item repeals subsection 7(2) of the Scientific Licence Determination, which</w:t>
      </w:r>
      <w:r w:rsidR="00171532">
        <w:rPr>
          <w:rFonts w:ascii="Times New Roman" w:hAnsi="Times New Roman" w:cs="Times New Roman"/>
        </w:rPr>
        <w:t xml:space="preserve"> required that </w:t>
      </w:r>
      <w:r w:rsidR="00171532" w:rsidRPr="00171532">
        <w:rPr>
          <w:rFonts w:ascii="Times New Roman" w:hAnsi="Times New Roman" w:cs="Times New Roman"/>
        </w:rPr>
        <w:t>a scientific station must not be operated by the licensee if the activity that is to be undertaken can be undertaken using a station under another type of licence.</w:t>
      </w:r>
      <w:r w:rsidR="00171532">
        <w:rPr>
          <w:rFonts w:ascii="Times New Roman" w:hAnsi="Times New Roman" w:cs="Times New Roman"/>
        </w:rPr>
        <w:t xml:space="preserve"> As noted</w:t>
      </w:r>
      <w:r w:rsidR="006773A1">
        <w:rPr>
          <w:rFonts w:ascii="Times New Roman" w:hAnsi="Times New Roman" w:cs="Times New Roman"/>
        </w:rPr>
        <w:t xml:space="preserve"> above</w:t>
      </w:r>
      <w:r w:rsidR="00171532">
        <w:rPr>
          <w:rFonts w:ascii="Times New Roman" w:hAnsi="Times New Roman" w:cs="Times New Roman"/>
        </w:rPr>
        <w:t xml:space="preserve">, </w:t>
      </w:r>
      <w:r w:rsidR="00171532">
        <w:rPr>
          <w:rFonts w:ascii="Times New Roman" w:hAnsi="Times New Roman" w:cs="Times New Roman"/>
          <w:bCs/>
        </w:rPr>
        <w:t>the ACMA aims</w:t>
      </w:r>
      <w:r w:rsidR="00171532" w:rsidRPr="009B03E4">
        <w:rPr>
          <w:rFonts w:ascii="Times New Roman" w:hAnsi="Times New Roman" w:cs="Times New Roman"/>
          <w:bCs/>
        </w:rPr>
        <w:t xml:space="preserve"> to ensure that where testing and trialling of equipment is being undertaken, this condition should not prevent licensees from gaining the benefit of the </w:t>
      </w:r>
      <w:r w:rsidR="00237AAE">
        <w:rPr>
          <w:rFonts w:ascii="Times New Roman" w:hAnsi="Times New Roman" w:cs="Times New Roman"/>
          <w:bCs/>
        </w:rPr>
        <w:t>reduced scientific licence tax</w:t>
      </w:r>
      <w:r w:rsidR="00171532" w:rsidRPr="009B03E4">
        <w:rPr>
          <w:rFonts w:ascii="Times New Roman" w:hAnsi="Times New Roman" w:cs="Times New Roman"/>
          <w:bCs/>
        </w:rPr>
        <w:t>.</w:t>
      </w:r>
    </w:p>
    <w:p w14:paraId="425CE1FB" w14:textId="3C6F9341" w:rsidR="00ED3574" w:rsidRPr="00BE20C2" w:rsidRDefault="00ED3574" w:rsidP="00ED3574">
      <w:pPr>
        <w:rPr>
          <w:rFonts w:ascii="Times New Roman" w:hAnsi="Times New Roman" w:cs="Times New Roman"/>
          <w:b/>
          <w:bCs/>
        </w:rPr>
      </w:pPr>
      <w:r w:rsidRPr="00AC4C28">
        <w:rPr>
          <w:rFonts w:ascii="Times New Roman" w:hAnsi="Times New Roman" w:cs="Times New Roman"/>
          <w:b/>
        </w:rPr>
        <w:t>Item [</w:t>
      </w:r>
      <w:r w:rsidR="006773A1">
        <w:rPr>
          <w:rFonts w:ascii="Times New Roman" w:hAnsi="Times New Roman" w:cs="Times New Roman"/>
          <w:b/>
        </w:rPr>
        <w:t>3</w:t>
      </w:r>
      <w:r w:rsidRPr="00AC4C28">
        <w:rPr>
          <w:rFonts w:ascii="Times New Roman" w:hAnsi="Times New Roman" w:cs="Times New Roman"/>
          <w:b/>
        </w:rPr>
        <w:t>]</w:t>
      </w:r>
    </w:p>
    <w:p w14:paraId="288B86B9" w14:textId="1C3D1F42" w:rsidR="00171532" w:rsidRDefault="006773A1" w:rsidP="00E94D73">
      <w:pPr>
        <w:rPr>
          <w:rFonts w:ascii="Times New Roman" w:hAnsi="Times New Roman" w:cs="Times New Roman"/>
          <w:bCs/>
        </w:rPr>
      </w:pPr>
      <w:r>
        <w:rPr>
          <w:rFonts w:ascii="Times New Roman" w:hAnsi="Times New Roman" w:cs="Times New Roman"/>
          <w:bCs/>
        </w:rPr>
        <w:t>I</w:t>
      </w:r>
      <w:r w:rsidR="00E94D73" w:rsidRPr="006018F3">
        <w:rPr>
          <w:rFonts w:ascii="Times New Roman" w:hAnsi="Times New Roman" w:cs="Times New Roman"/>
          <w:bCs/>
        </w:rPr>
        <w:t>tem [</w:t>
      </w:r>
      <w:r>
        <w:rPr>
          <w:rFonts w:ascii="Times New Roman" w:hAnsi="Times New Roman" w:cs="Times New Roman"/>
          <w:bCs/>
        </w:rPr>
        <w:t>3</w:t>
      </w:r>
      <w:r w:rsidR="00E94D73" w:rsidRPr="006018F3">
        <w:rPr>
          <w:rFonts w:ascii="Times New Roman" w:hAnsi="Times New Roman" w:cs="Times New Roman"/>
          <w:bCs/>
        </w:rPr>
        <w:t xml:space="preserve">] </w:t>
      </w:r>
      <w:r w:rsidR="00CD455A" w:rsidRPr="006018F3">
        <w:rPr>
          <w:rFonts w:ascii="Times New Roman" w:hAnsi="Times New Roman" w:cs="Times New Roman"/>
          <w:bCs/>
        </w:rPr>
        <w:t>repeals paragraph (1</w:t>
      </w:r>
      <w:proofErr w:type="gramStart"/>
      <w:r w:rsidR="00CD455A" w:rsidRPr="006018F3">
        <w:rPr>
          <w:rFonts w:ascii="Times New Roman" w:hAnsi="Times New Roman" w:cs="Times New Roman"/>
          <w:bCs/>
        </w:rPr>
        <w:t>)(</w:t>
      </w:r>
      <w:proofErr w:type="gramEnd"/>
      <w:r w:rsidR="00CD455A" w:rsidRPr="006018F3">
        <w:rPr>
          <w:rFonts w:ascii="Times New Roman" w:hAnsi="Times New Roman" w:cs="Times New Roman"/>
          <w:bCs/>
        </w:rPr>
        <w:t>r)</w:t>
      </w:r>
      <w:r w:rsidR="000E5B73" w:rsidRPr="000E5B73">
        <w:rPr>
          <w:rFonts w:ascii="Times New Roman" w:hAnsi="Times New Roman" w:cs="Times New Roman"/>
          <w:bCs/>
        </w:rPr>
        <w:t>,</w:t>
      </w:r>
      <w:r w:rsidR="000E5B73">
        <w:rPr>
          <w:rFonts w:ascii="Times New Roman" w:hAnsi="Times New Roman" w:cs="Times New Roman"/>
          <w:bCs/>
        </w:rPr>
        <w:t xml:space="preserve"> which provide</w:t>
      </w:r>
      <w:r w:rsidR="00E05C87">
        <w:rPr>
          <w:rFonts w:ascii="Times New Roman" w:hAnsi="Times New Roman" w:cs="Times New Roman"/>
          <w:bCs/>
        </w:rPr>
        <w:t>d</w:t>
      </w:r>
      <w:r w:rsidR="000E5B73">
        <w:rPr>
          <w:rFonts w:ascii="Times New Roman" w:hAnsi="Times New Roman" w:cs="Times New Roman"/>
          <w:bCs/>
        </w:rPr>
        <w:t xml:space="preserve"> that scientific assigned stations </w:t>
      </w:r>
      <w:r>
        <w:rPr>
          <w:rFonts w:ascii="Times New Roman" w:hAnsi="Times New Roman" w:cs="Times New Roman"/>
          <w:bCs/>
        </w:rPr>
        <w:t>were</w:t>
      </w:r>
      <w:r>
        <w:rPr>
          <w:rFonts w:ascii="Times New Roman" w:hAnsi="Times New Roman" w:cs="Times New Roman"/>
          <w:bCs/>
        </w:rPr>
        <w:t xml:space="preserve"> </w:t>
      </w:r>
      <w:r w:rsidR="000E5B73">
        <w:rPr>
          <w:rFonts w:ascii="Times New Roman" w:hAnsi="Times New Roman" w:cs="Times New Roman"/>
          <w:bCs/>
        </w:rPr>
        <w:t xml:space="preserve">subject to the provisions at Part 2 of Schedule 2 of the Determination. Scientific licences, more broadly, will </w:t>
      </w:r>
      <w:r w:rsidR="00E05C87">
        <w:rPr>
          <w:rFonts w:ascii="Times New Roman" w:hAnsi="Times New Roman" w:cs="Times New Roman"/>
          <w:bCs/>
        </w:rPr>
        <w:t xml:space="preserve">now </w:t>
      </w:r>
      <w:r w:rsidR="000E5B73">
        <w:rPr>
          <w:rFonts w:ascii="Times New Roman" w:hAnsi="Times New Roman" w:cs="Times New Roman"/>
          <w:bCs/>
        </w:rPr>
        <w:t xml:space="preserve">be subject to a new Part 2A of Schedule 2. </w:t>
      </w:r>
    </w:p>
    <w:p w14:paraId="489C3471" w14:textId="77777777" w:rsidR="005E6957" w:rsidRDefault="005E6957">
      <w:pPr>
        <w:rPr>
          <w:rFonts w:ascii="Times New Roman" w:hAnsi="Times New Roman" w:cs="Times New Roman"/>
          <w:b/>
        </w:rPr>
      </w:pPr>
      <w:r>
        <w:rPr>
          <w:rFonts w:ascii="Times New Roman" w:hAnsi="Times New Roman" w:cs="Times New Roman"/>
          <w:b/>
        </w:rPr>
        <w:br w:type="page"/>
      </w:r>
    </w:p>
    <w:p w14:paraId="06B53CD9" w14:textId="1A7D0101" w:rsidR="006773A1" w:rsidRPr="00BE20C2" w:rsidRDefault="006773A1" w:rsidP="006773A1">
      <w:pPr>
        <w:rPr>
          <w:rFonts w:ascii="Times New Roman" w:hAnsi="Times New Roman" w:cs="Times New Roman"/>
          <w:b/>
          <w:bCs/>
        </w:rPr>
      </w:pPr>
      <w:bookmarkStart w:id="0" w:name="_GoBack"/>
      <w:bookmarkEnd w:id="0"/>
      <w:r w:rsidRPr="00AC4C28">
        <w:rPr>
          <w:rFonts w:ascii="Times New Roman" w:hAnsi="Times New Roman" w:cs="Times New Roman"/>
          <w:b/>
        </w:rPr>
        <w:t>Item [</w:t>
      </w:r>
      <w:r>
        <w:rPr>
          <w:rFonts w:ascii="Times New Roman" w:hAnsi="Times New Roman" w:cs="Times New Roman"/>
          <w:b/>
        </w:rPr>
        <w:t>4</w:t>
      </w:r>
      <w:r w:rsidRPr="00AC4C28">
        <w:rPr>
          <w:rFonts w:ascii="Times New Roman" w:hAnsi="Times New Roman" w:cs="Times New Roman"/>
          <w:b/>
        </w:rPr>
        <w:t>]</w:t>
      </w:r>
    </w:p>
    <w:p w14:paraId="362D5F37" w14:textId="11CA571F" w:rsidR="00171532" w:rsidRDefault="006773A1" w:rsidP="00E94D73">
      <w:pPr>
        <w:rPr>
          <w:rFonts w:ascii="Times New Roman" w:hAnsi="Times New Roman" w:cs="Times New Roman"/>
          <w:bCs/>
        </w:rPr>
      </w:pPr>
      <w:r>
        <w:rPr>
          <w:rFonts w:ascii="Times New Roman" w:hAnsi="Times New Roman" w:cs="Times New Roman"/>
          <w:bCs/>
        </w:rPr>
        <w:t>I</w:t>
      </w:r>
      <w:r w:rsidR="00CD455A">
        <w:rPr>
          <w:rFonts w:ascii="Times New Roman" w:hAnsi="Times New Roman" w:cs="Times New Roman"/>
          <w:bCs/>
        </w:rPr>
        <w:t>tem [</w:t>
      </w:r>
      <w:r>
        <w:rPr>
          <w:rFonts w:ascii="Times New Roman" w:hAnsi="Times New Roman" w:cs="Times New Roman"/>
          <w:bCs/>
        </w:rPr>
        <w:t>4</w:t>
      </w:r>
      <w:r w:rsidR="00CD455A">
        <w:rPr>
          <w:rFonts w:ascii="Times New Roman" w:hAnsi="Times New Roman" w:cs="Times New Roman"/>
          <w:bCs/>
        </w:rPr>
        <w:t xml:space="preserve">] inserts </w:t>
      </w:r>
      <w:r w:rsidR="00CB6171">
        <w:rPr>
          <w:rFonts w:ascii="Times New Roman" w:hAnsi="Times New Roman" w:cs="Times New Roman"/>
          <w:bCs/>
        </w:rPr>
        <w:t>taxes for</w:t>
      </w:r>
      <w:r w:rsidR="00CD455A">
        <w:rPr>
          <w:rFonts w:ascii="Times New Roman" w:hAnsi="Times New Roman" w:cs="Times New Roman"/>
          <w:bCs/>
        </w:rPr>
        <w:t xml:space="preserve"> scientific assigned licence</w:t>
      </w:r>
      <w:r w:rsidR="00CB6171">
        <w:rPr>
          <w:rFonts w:ascii="Times New Roman" w:hAnsi="Times New Roman" w:cs="Times New Roman"/>
          <w:bCs/>
        </w:rPr>
        <w:t>s</w:t>
      </w:r>
      <w:r w:rsidR="00CD455A">
        <w:rPr>
          <w:rFonts w:ascii="Times New Roman" w:hAnsi="Times New Roman" w:cs="Times New Roman"/>
          <w:bCs/>
        </w:rPr>
        <w:t xml:space="preserve"> in the </w:t>
      </w:r>
      <w:r w:rsidR="00CD455A" w:rsidRPr="00CD455A">
        <w:rPr>
          <w:rFonts w:ascii="Times New Roman" w:hAnsi="Times New Roman" w:cs="Times New Roman"/>
          <w:bCs/>
          <w:i/>
        </w:rPr>
        <w:t>Radiocommunications (Transmitter Licence Tax) Determination 2015</w:t>
      </w:r>
      <w:r w:rsidR="00CD455A">
        <w:rPr>
          <w:rFonts w:ascii="Times New Roman" w:hAnsi="Times New Roman" w:cs="Times New Roman"/>
          <w:bCs/>
        </w:rPr>
        <w:t>.</w:t>
      </w:r>
      <w:r w:rsidR="00FB5183">
        <w:rPr>
          <w:rFonts w:ascii="Times New Roman" w:hAnsi="Times New Roman" w:cs="Times New Roman"/>
          <w:bCs/>
        </w:rPr>
        <w:t xml:space="preserve"> Part 2A details </w:t>
      </w:r>
      <w:r w:rsidR="00FB5183" w:rsidRPr="00792909">
        <w:rPr>
          <w:rFonts w:ascii="Times New Roman" w:hAnsi="Times New Roman" w:cs="Times New Roman"/>
          <w:szCs w:val="20"/>
        </w:rPr>
        <w:t xml:space="preserve">the amount of tax in respect of each spectrum </w:t>
      </w:r>
      <w:r w:rsidR="00FB5183">
        <w:rPr>
          <w:rFonts w:ascii="Times New Roman" w:hAnsi="Times New Roman" w:cs="Times New Roman"/>
          <w:szCs w:val="20"/>
        </w:rPr>
        <w:t xml:space="preserve">access under a scientific licence. </w:t>
      </w:r>
    </w:p>
    <w:sectPr w:rsidR="00171532" w:rsidSect="00082354">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C035" w14:textId="77777777" w:rsidR="00BF065F" w:rsidRDefault="00BF065F" w:rsidP="00025ACE">
      <w:pPr>
        <w:spacing w:after="0" w:line="240" w:lineRule="auto"/>
      </w:pPr>
      <w:r>
        <w:separator/>
      </w:r>
    </w:p>
  </w:endnote>
  <w:endnote w:type="continuationSeparator" w:id="0">
    <w:p w14:paraId="4A58D293" w14:textId="77777777" w:rsidR="00BF065F" w:rsidRDefault="00BF065F" w:rsidP="00025ACE">
      <w:pPr>
        <w:spacing w:after="0" w:line="240" w:lineRule="auto"/>
      </w:pPr>
      <w:r>
        <w:continuationSeparator/>
      </w:r>
    </w:p>
  </w:endnote>
  <w:endnote w:type="continuationNotice" w:id="1">
    <w:p w14:paraId="42B874AC" w14:textId="77777777" w:rsidR="00BF065F" w:rsidRDefault="00BF06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LT Std Lt">
    <w:altName w:val="Franklin Gothic Demi"/>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10804"/>
      <w:docPartObj>
        <w:docPartGallery w:val="Page Numbers (Bottom of Page)"/>
        <w:docPartUnique/>
      </w:docPartObj>
    </w:sdtPr>
    <w:sdtEndPr>
      <w:rPr>
        <w:i/>
        <w:noProof/>
      </w:rPr>
    </w:sdtEndPr>
    <w:sdtContent>
      <w:p w14:paraId="1E27C0A2" w14:textId="77777777" w:rsidR="009130B4" w:rsidRDefault="009130B4" w:rsidP="00AD3414">
        <w:pPr>
          <w:pStyle w:val="Footer"/>
          <w:pBdr>
            <w:top w:val="single" w:sz="4" w:space="1" w:color="auto"/>
          </w:pBdr>
          <w:jc w:val="center"/>
        </w:pPr>
      </w:p>
      <w:p w14:paraId="7A9CDA51" w14:textId="31211747" w:rsidR="009130B4" w:rsidRPr="00AD3414" w:rsidRDefault="009130B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5732AB" w:rsidRPr="005732AB">
          <w:rPr>
            <w:rFonts w:ascii="Times New Roman" w:hAnsi="Times New Roman" w:cs="Times New Roman"/>
            <w:i/>
          </w:rPr>
          <w:t>Radiocommunications (Scientific Licence</w:t>
        </w:r>
        <w:r w:rsidR="0049347E">
          <w:rPr>
            <w:rFonts w:ascii="Times New Roman" w:hAnsi="Times New Roman" w:cs="Times New Roman"/>
            <w:i/>
          </w:rPr>
          <w:t xml:space="preserve"> – Licence Conditions and Licence</w:t>
        </w:r>
        <w:r w:rsidR="005732AB" w:rsidRPr="005732AB">
          <w:rPr>
            <w:rFonts w:ascii="Times New Roman" w:hAnsi="Times New Roman" w:cs="Times New Roman"/>
            <w:i/>
          </w:rPr>
          <w:t xml:space="preserve"> Tax) Amendment</w:t>
        </w:r>
        <w:r w:rsidR="00835330">
          <w:rPr>
            <w:rFonts w:ascii="Times New Roman" w:hAnsi="Times New Roman" w:cs="Times New Roman"/>
            <w:i/>
          </w:rPr>
          <w:t xml:space="preserve"> Determination</w:t>
        </w:r>
        <w:r w:rsidR="005732AB" w:rsidRPr="005732AB">
          <w:rPr>
            <w:rFonts w:ascii="Times New Roman" w:hAnsi="Times New Roman" w:cs="Times New Roman"/>
            <w:i/>
          </w:rPr>
          <w:t xml:space="preserve"> 2017 (No. 1)</w:t>
        </w:r>
      </w:p>
      <w:p w14:paraId="556B0C98" w14:textId="77777777" w:rsidR="009130B4" w:rsidRDefault="009130B4">
        <w:pPr>
          <w:pStyle w:val="Footer"/>
          <w:jc w:val="right"/>
        </w:pPr>
      </w:p>
      <w:p w14:paraId="4E36910F" w14:textId="1DFA58E6" w:rsidR="009130B4" w:rsidRPr="00AD3414" w:rsidRDefault="009130B4">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5E6957">
          <w:rPr>
            <w:rFonts w:ascii="Times New Roman" w:hAnsi="Times New Roman" w:cs="Times New Roman"/>
            <w:i/>
            <w:noProof/>
          </w:rPr>
          <w:t>3</w:t>
        </w:r>
        <w:r w:rsidRPr="00A07A2F">
          <w:rPr>
            <w:rFonts w:ascii="Times New Roman" w:hAnsi="Times New Roman" w:cs="Times New Roman"/>
            <w:i/>
            <w:noProof/>
          </w:rPr>
          <w:fldChar w:fldCharType="end"/>
        </w:r>
      </w:p>
    </w:sdtContent>
  </w:sdt>
  <w:p w14:paraId="180626A1" w14:textId="72B67B1A" w:rsidR="009130B4" w:rsidRPr="00AD3414" w:rsidRDefault="009130B4"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2FE67" w14:textId="77777777" w:rsidR="00BF065F" w:rsidRDefault="00BF065F" w:rsidP="00025ACE">
      <w:pPr>
        <w:spacing w:after="0" w:line="240" w:lineRule="auto"/>
      </w:pPr>
      <w:r>
        <w:separator/>
      </w:r>
    </w:p>
  </w:footnote>
  <w:footnote w:type="continuationSeparator" w:id="0">
    <w:p w14:paraId="6EE998F5" w14:textId="77777777" w:rsidR="00BF065F" w:rsidRDefault="00BF065F" w:rsidP="00025ACE">
      <w:pPr>
        <w:spacing w:after="0" w:line="240" w:lineRule="auto"/>
      </w:pPr>
      <w:r>
        <w:continuationSeparator/>
      </w:r>
    </w:p>
  </w:footnote>
  <w:footnote w:type="continuationNotice" w:id="1">
    <w:p w14:paraId="4E3109F9" w14:textId="77777777" w:rsidR="00BF065F" w:rsidRDefault="00BF06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34CED" w14:textId="77777777" w:rsidR="009130B4" w:rsidRDefault="009130B4">
    <w:pPr>
      <w:pStyle w:val="Header"/>
    </w:pPr>
  </w:p>
  <w:p w14:paraId="1FE48E17" w14:textId="77777777" w:rsidR="009130B4" w:rsidRPr="00AD3414" w:rsidRDefault="009130B4">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22AFEE4"/>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E21C11"/>
    <w:multiLevelType w:val="hybridMultilevel"/>
    <w:tmpl w:val="72466C58"/>
    <w:lvl w:ilvl="0" w:tplc="0C090001">
      <w:start w:val="1"/>
      <w:numFmt w:val="bullet"/>
      <w:lvlText w:val=""/>
      <w:lvlJc w:val="left"/>
      <w:pPr>
        <w:tabs>
          <w:tab w:val="num" w:pos="360"/>
        </w:tabs>
        <w:ind w:left="360" w:hanging="360"/>
      </w:pPr>
      <w:rPr>
        <w:rFonts w:ascii="Symbol" w:hAnsi="Symbol" w:hint="default"/>
      </w:rPr>
    </w:lvl>
    <w:lvl w:ilvl="1" w:tplc="0C09000B">
      <w:start w:val="1"/>
      <w:numFmt w:val="bullet"/>
      <w:lvlText w:val=""/>
      <w:lvlJc w:val="left"/>
      <w:pPr>
        <w:tabs>
          <w:tab w:val="num" w:pos="1080"/>
        </w:tabs>
        <w:ind w:left="1080" w:hanging="360"/>
      </w:pPr>
      <w:rPr>
        <w:rFonts w:ascii="Wingdings" w:hAnsi="Wingdings" w:hint="default"/>
      </w:rPr>
    </w:lvl>
    <w:lvl w:ilvl="2" w:tplc="C9F4220A">
      <w:numFmt w:val="bullet"/>
      <w:lvlText w:val="-"/>
      <w:lvlJc w:val="left"/>
      <w:pPr>
        <w:ind w:left="1980" w:hanging="360"/>
      </w:pPr>
      <w:rPr>
        <w:rFonts w:ascii="Arial" w:eastAsia="Times New Roman" w:hAnsi="Arial" w:cs="Arial" w:hint="default"/>
        <w:i/>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A7D2E3A"/>
    <w:multiLevelType w:val="hybridMultilevel"/>
    <w:tmpl w:val="8D100940"/>
    <w:lvl w:ilvl="0" w:tplc="A96AEA8C">
      <w:numFmt w:val="bullet"/>
      <w:lvlText w:val="•"/>
      <w:lvlJc w:val="left"/>
      <w:pPr>
        <w:ind w:left="1155" w:hanging="795"/>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B803203"/>
    <w:multiLevelType w:val="hybridMultilevel"/>
    <w:tmpl w:val="8ED4D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CD47912"/>
    <w:multiLevelType w:val="hybridMultilevel"/>
    <w:tmpl w:val="EB1AEDD8"/>
    <w:lvl w:ilvl="0" w:tplc="F6FCC6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D3B526B"/>
    <w:multiLevelType w:val="multilevel"/>
    <w:tmpl w:val="0F3CD472"/>
    <w:lvl w:ilvl="0">
      <w:start w:val="1"/>
      <w:numFmt w:val="decimal"/>
      <w:lvlText w:val="%1."/>
      <w:lvlJc w:val="left"/>
      <w:pPr>
        <w:tabs>
          <w:tab w:val="num" w:pos="360"/>
        </w:tabs>
        <w:ind w:left="360" w:hanging="360"/>
      </w:pPr>
      <w:rPr>
        <w:rFonts w:ascii="Arial" w:hAnsi="Arial" w:cs="Arial" w:hint="default"/>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0D6CD9"/>
    <w:multiLevelType w:val="hybridMultilevel"/>
    <w:tmpl w:val="1BA02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
  </w:num>
  <w:num w:numId="4">
    <w:abstractNumId w:val="5"/>
  </w:num>
  <w:num w:numId="5">
    <w:abstractNumId w:val="4"/>
  </w:num>
  <w:num w:numId="6">
    <w:abstractNumId w:val="1"/>
  </w:num>
  <w:num w:numId="7">
    <w:abstractNumId w:val="3"/>
  </w:num>
  <w:num w:numId="8">
    <w:abstractNumId w:val="8"/>
  </w:num>
  <w:num w:numId="9">
    <w:abstractNumId w:val="13"/>
  </w:num>
  <w:num w:numId="10">
    <w:abstractNumId w:val="6"/>
  </w:num>
  <w:num w:numId="11">
    <w:abstractNumId w:val="0"/>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2640"/>
    <w:rsid w:val="00003720"/>
    <w:rsid w:val="00005A38"/>
    <w:rsid w:val="000072C1"/>
    <w:rsid w:val="000124F9"/>
    <w:rsid w:val="00013079"/>
    <w:rsid w:val="0001782A"/>
    <w:rsid w:val="00025ACE"/>
    <w:rsid w:val="00027B15"/>
    <w:rsid w:val="00037F0E"/>
    <w:rsid w:val="00043B28"/>
    <w:rsid w:val="000467BC"/>
    <w:rsid w:val="00050356"/>
    <w:rsid w:val="00060848"/>
    <w:rsid w:val="000625F5"/>
    <w:rsid w:val="000625F9"/>
    <w:rsid w:val="00070D91"/>
    <w:rsid w:val="000726C7"/>
    <w:rsid w:val="00074A8D"/>
    <w:rsid w:val="00080EF0"/>
    <w:rsid w:val="00081AA6"/>
    <w:rsid w:val="00082354"/>
    <w:rsid w:val="000850D6"/>
    <w:rsid w:val="00095AB3"/>
    <w:rsid w:val="00097C1A"/>
    <w:rsid w:val="000A3A94"/>
    <w:rsid w:val="000B0BA7"/>
    <w:rsid w:val="000B1297"/>
    <w:rsid w:val="000B33B6"/>
    <w:rsid w:val="000B4B6C"/>
    <w:rsid w:val="000B50D4"/>
    <w:rsid w:val="000C2417"/>
    <w:rsid w:val="000C6436"/>
    <w:rsid w:val="000D4ECE"/>
    <w:rsid w:val="000D77E5"/>
    <w:rsid w:val="000E2797"/>
    <w:rsid w:val="000E38C9"/>
    <w:rsid w:val="000E5B73"/>
    <w:rsid w:val="000F3139"/>
    <w:rsid w:val="000F6255"/>
    <w:rsid w:val="0010304F"/>
    <w:rsid w:val="00105F6E"/>
    <w:rsid w:val="00112987"/>
    <w:rsid w:val="00114F1D"/>
    <w:rsid w:val="00117351"/>
    <w:rsid w:val="00121B9E"/>
    <w:rsid w:val="00122072"/>
    <w:rsid w:val="00134705"/>
    <w:rsid w:val="00137712"/>
    <w:rsid w:val="001435D4"/>
    <w:rsid w:val="00146A0C"/>
    <w:rsid w:val="001506AB"/>
    <w:rsid w:val="00161C73"/>
    <w:rsid w:val="001649D5"/>
    <w:rsid w:val="00171532"/>
    <w:rsid w:val="00185BDC"/>
    <w:rsid w:val="001C4BF8"/>
    <w:rsid w:val="001C5421"/>
    <w:rsid w:val="001D1260"/>
    <w:rsid w:val="001D598E"/>
    <w:rsid w:val="001D5C25"/>
    <w:rsid w:val="001E3199"/>
    <w:rsid w:val="001E4830"/>
    <w:rsid w:val="001F3051"/>
    <w:rsid w:val="001F64E4"/>
    <w:rsid w:val="0020169F"/>
    <w:rsid w:val="0021103C"/>
    <w:rsid w:val="002125A4"/>
    <w:rsid w:val="00212847"/>
    <w:rsid w:val="002157C8"/>
    <w:rsid w:val="0023183E"/>
    <w:rsid w:val="00237AAE"/>
    <w:rsid w:val="00237EAB"/>
    <w:rsid w:val="00246AAC"/>
    <w:rsid w:val="002508F7"/>
    <w:rsid w:val="00251B3B"/>
    <w:rsid w:val="002622A2"/>
    <w:rsid w:val="002653F5"/>
    <w:rsid w:val="00265A20"/>
    <w:rsid w:val="002835A0"/>
    <w:rsid w:val="00285E96"/>
    <w:rsid w:val="00287615"/>
    <w:rsid w:val="00294D14"/>
    <w:rsid w:val="00295DC8"/>
    <w:rsid w:val="002B1BAC"/>
    <w:rsid w:val="002B2D39"/>
    <w:rsid w:val="002B6699"/>
    <w:rsid w:val="002C2256"/>
    <w:rsid w:val="002E3B2A"/>
    <w:rsid w:val="002E4C36"/>
    <w:rsid w:val="002F36E0"/>
    <w:rsid w:val="00314654"/>
    <w:rsid w:val="00325079"/>
    <w:rsid w:val="003269EA"/>
    <w:rsid w:val="0033760D"/>
    <w:rsid w:val="00341E46"/>
    <w:rsid w:val="00341EFC"/>
    <w:rsid w:val="003434D4"/>
    <w:rsid w:val="00367DD3"/>
    <w:rsid w:val="00370620"/>
    <w:rsid w:val="00373B4E"/>
    <w:rsid w:val="00375FA7"/>
    <w:rsid w:val="0038132A"/>
    <w:rsid w:val="00385EF1"/>
    <w:rsid w:val="00392B57"/>
    <w:rsid w:val="003A29EC"/>
    <w:rsid w:val="003A3635"/>
    <w:rsid w:val="003A7407"/>
    <w:rsid w:val="003B3D92"/>
    <w:rsid w:val="003C2F82"/>
    <w:rsid w:val="003C44B4"/>
    <w:rsid w:val="003D004D"/>
    <w:rsid w:val="003D74BE"/>
    <w:rsid w:val="003E7499"/>
    <w:rsid w:val="00400312"/>
    <w:rsid w:val="004012FD"/>
    <w:rsid w:val="00404129"/>
    <w:rsid w:val="00404802"/>
    <w:rsid w:val="0041003E"/>
    <w:rsid w:val="004362E3"/>
    <w:rsid w:val="00446540"/>
    <w:rsid w:val="00450F48"/>
    <w:rsid w:val="0045489F"/>
    <w:rsid w:val="00474889"/>
    <w:rsid w:val="0047570C"/>
    <w:rsid w:val="004826DD"/>
    <w:rsid w:val="004853B3"/>
    <w:rsid w:val="0049347E"/>
    <w:rsid w:val="004971D6"/>
    <w:rsid w:val="004A1064"/>
    <w:rsid w:val="004A1735"/>
    <w:rsid w:val="004A49BB"/>
    <w:rsid w:val="004A5820"/>
    <w:rsid w:val="004B44F9"/>
    <w:rsid w:val="004C255E"/>
    <w:rsid w:val="004D16F5"/>
    <w:rsid w:val="004D2843"/>
    <w:rsid w:val="004E1065"/>
    <w:rsid w:val="004E790E"/>
    <w:rsid w:val="004F2822"/>
    <w:rsid w:val="004F6087"/>
    <w:rsid w:val="0050389F"/>
    <w:rsid w:val="00505567"/>
    <w:rsid w:val="00506411"/>
    <w:rsid w:val="005262A8"/>
    <w:rsid w:val="0052687A"/>
    <w:rsid w:val="005328A6"/>
    <w:rsid w:val="00547EFD"/>
    <w:rsid w:val="00564159"/>
    <w:rsid w:val="00564BCF"/>
    <w:rsid w:val="00570974"/>
    <w:rsid w:val="005732AB"/>
    <w:rsid w:val="00582C36"/>
    <w:rsid w:val="005854C6"/>
    <w:rsid w:val="005958D6"/>
    <w:rsid w:val="005964CF"/>
    <w:rsid w:val="005A12DC"/>
    <w:rsid w:val="005C65EB"/>
    <w:rsid w:val="005E23DA"/>
    <w:rsid w:val="005E6957"/>
    <w:rsid w:val="005F5BE6"/>
    <w:rsid w:val="006018F3"/>
    <w:rsid w:val="006022B9"/>
    <w:rsid w:val="00603B3F"/>
    <w:rsid w:val="00604510"/>
    <w:rsid w:val="0061605B"/>
    <w:rsid w:val="00626B56"/>
    <w:rsid w:val="00641003"/>
    <w:rsid w:val="00641906"/>
    <w:rsid w:val="00643B37"/>
    <w:rsid w:val="006449A5"/>
    <w:rsid w:val="00644F7D"/>
    <w:rsid w:val="006513A6"/>
    <w:rsid w:val="00663AF2"/>
    <w:rsid w:val="00663E01"/>
    <w:rsid w:val="00664E78"/>
    <w:rsid w:val="00671216"/>
    <w:rsid w:val="006773A1"/>
    <w:rsid w:val="00681206"/>
    <w:rsid w:val="00681621"/>
    <w:rsid w:val="00681986"/>
    <w:rsid w:val="00686F06"/>
    <w:rsid w:val="00687290"/>
    <w:rsid w:val="006940DB"/>
    <w:rsid w:val="00694585"/>
    <w:rsid w:val="00696659"/>
    <w:rsid w:val="006A0BDF"/>
    <w:rsid w:val="006A53BB"/>
    <w:rsid w:val="006C0AF1"/>
    <w:rsid w:val="006C59D5"/>
    <w:rsid w:val="006D2155"/>
    <w:rsid w:val="006D356E"/>
    <w:rsid w:val="006D57E0"/>
    <w:rsid w:val="006F32BF"/>
    <w:rsid w:val="006F76D1"/>
    <w:rsid w:val="00706F43"/>
    <w:rsid w:val="007070E6"/>
    <w:rsid w:val="0071098D"/>
    <w:rsid w:val="00714045"/>
    <w:rsid w:val="00720563"/>
    <w:rsid w:val="007352CF"/>
    <w:rsid w:val="00736BB4"/>
    <w:rsid w:val="007437A0"/>
    <w:rsid w:val="00744DDF"/>
    <w:rsid w:val="0074661C"/>
    <w:rsid w:val="00750397"/>
    <w:rsid w:val="00764581"/>
    <w:rsid w:val="00766475"/>
    <w:rsid w:val="00767594"/>
    <w:rsid w:val="0077019D"/>
    <w:rsid w:val="0077364D"/>
    <w:rsid w:val="00776323"/>
    <w:rsid w:val="00777819"/>
    <w:rsid w:val="00786F5E"/>
    <w:rsid w:val="00787821"/>
    <w:rsid w:val="007934FF"/>
    <w:rsid w:val="00794124"/>
    <w:rsid w:val="00794C5F"/>
    <w:rsid w:val="007A0103"/>
    <w:rsid w:val="007A2277"/>
    <w:rsid w:val="007A49D4"/>
    <w:rsid w:val="007B3A13"/>
    <w:rsid w:val="007B3CD8"/>
    <w:rsid w:val="007B4ED0"/>
    <w:rsid w:val="007B699D"/>
    <w:rsid w:val="007C16A9"/>
    <w:rsid w:val="007E1CB2"/>
    <w:rsid w:val="007E6B16"/>
    <w:rsid w:val="00805358"/>
    <w:rsid w:val="008070A8"/>
    <w:rsid w:val="00810499"/>
    <w:rsid w:val="0081166D"/>
    <w:rsid w:val="0081203C"/>
    <w:rsid w:val="00812B77"/>
    <w:rsid w:val="00817F66"/>
    <w:rsid w:val="00821F3F"/>
    <w:rsid w:val="008350F4"/>
    <w:rsid w:val="00835330"/>
    <w:rsid w:val="0083562D"/>
    <w:rsid w:val="008441CF"/>
    <w:rsid w:val="0084470A"/>
    <w:rsid w:val="0085550A"/>
    <w:rsid w:val="00860FB2"/>
    <w:rsid w:val="00864356"/>
    <w:rsid w:val="00876A3A"/>
    <w:rsid w:val="0087707C"/>
    <w:rsid w:val="00891E07"/>
    <w:rsid w:val="008B7081"/>
    <w:rsid w:val="008C584E"/>
    <w:rsid w:val="008D6188"/>
    <w:rsid w:val="008E3483"/>
    <w:rsid w:val="008F4C58"/>
    <w:rsid w:val="0090572C"/>
    <w:rsid w:val="0091080B"/>
    <w:rsid w:val="00910D7A"/>
    <w:rsid w:val="009130B4"/>
    <w:rsid w:val="00917029"/>
    <w:rsid w:val="00917A79"/>
    <w:rsid w:val="009233E3"/>
    <w:rsid w:val="00926833"/>
    <w:rsid w:val="009273A4"/>
    <w:rsid w:val="0094634C"/>
    <w:rsid w:val="00961EF6"/>
    <w:rsid w:val="009670B7"/>
    <w:rsid w:val="009723D1"/>
    <w:rsid w:val="009732C1"/>
    <w:rsid w:val="00973E1F"/>
    <w:rsid w:val="00977705"/>
    <w:rsid w:val="00985FF3"/>
    <w:rsid w:val="00993D83"/>
    <w:rsid w:val="009943D0"/>
    <w:rsid w:val="00996EB2"/>
    <w:rsid w:val="009B03E4"/>
    <w:rsid w:val="009B3534"/>
    <w:rsid w:val="009C39C3"/>
    <w:rsid w:val="009D39A6"/>
    <w:rsid w:val="009D4449"/>
    <w:rsid w:val="009D5783"/>
    <w:rsid w:val="009D67A8"/>
    <w:rsid w:val="009F7219"/>
    <w:rsid w:val="00A05996"/>
    <w:rsid w:val="00A07A2F"/>
    <w:rsid w:val="00A17032"/>
    <w:rsid w:val="00A208FA"/>
    <w:rsid w:val="00A213A8"/>
    <w:rsid w:val="00A21F3E"/>
    <w:rsid w:val="00A34997"/>
    <w:rsid w:val="00A457C8"/>
    <w:rsid w:val="00A50A2D"/>
    <w:rsid w:val="00A51414"/>
    <w:rsid w:val="00A64EC4"/>
    <w:rsid w:val="00A65458"/>
    <w:rsid w:val="00A7023B"/>
    <w:rsid w:val="00A92A9D"/>
    <w:rsid w:val="00AA3966"/>
    <w:rsid w:val="00AA6088"/>
    <w:rsid w:val="00AA68CF"/>
    <w:rsid w:val="00AB01D8"/>
    <w:rsid w:val="00AB65E7"/>
    <w:rsid w:val="00AC4C28"/>
    <w:rsid w:val="00AD0482"/>
    <w:rsid w:val="00AD3414"/>
    <w:rsid w:val="00AD500F"/>
    <w:rsid w:val="00AE2021"/>
    <w:rsid w:val="00AE23E7"/>
    <w:rsid w:val="00AE2CB4"/>
    <w:rsid w:val="00AE5B31"/>
    <w:rsid w:val="00AE6898"/>
    <w:rsid w:val="00AF080D"/>
    <w:rsid w:val="00AF1ECB"/>
    <w:rsid w:val="00AF6545"/>
    <w:rsid w:val="00B00FC3"/>
    <w:rsid w:val="00B45D63"/>
    <w:rsid w:val="00B52584"/>
    <w:rsid w:val="00B665E6"/>
    <w:rsid w:val="00B71914"/>
    <w:rsid w:val="00B727F3"/>
    <w:rsid w:val="00B90F17"/>
    <w:rsid w:val="00B94B30"/>
    <w:rsid w:val="00B97B25"/>
    <w:rsid w:val="00BA63E9"/>
    <w:rsid w:val="00BA7744"/>
    <w:rsid w:val="00BA7D17"/>
    <w:rsid w:val="00BB076E"/>
    <w:rsid w:val="00BB1CF2"/>
    <w:rsid w:val="00BB7A25"/>
    <w:rsid w:val="00BC0A3C"/>
    <w:rsid w:val="00BC38F9"/>
    <w:rsid w:val="00BC5916"/>
    <w:rsid w:val="00BC621F"/>
    <w:rsid w:val="00BD400A"/>
    <w:rsid w:val="00BE20C2"/>
    <w:rsid w:val="00BF065F"/>
    <w:rsid w:val="00C032F0"/>
    <w:rsid w:val="00C03503"/>
    <w:rsid w:val="00C10E3A"/>
    <w:rsid w:val="00C20621"/>
    <w:rsid w:val="00C21933"/>
    <w:rsid w:val="00C22FFB"/>
    <w:rsid w:val="00C2328F"/>
    <w:rsid w:val="00C25E4F"/>
    <w:rsid w:val="00C3445D"/>
    <w:rsid w:val="00C34B1B"/>
    <w:rsid w:val="00C42777"/>
    <w:rsid w:val="00C52681"/>
    <w:rsid w:val="00C57BDA"/>
    <w:rsid w:val="00C57E29"/>
    <w:rsid w:val="00C63E8C"/>
    <w:rsid w:val="00C659A7"/>
    <w:rsid w:val="00C76D72"/>
    <w:rsid w:val="00C76FFC"/>
    <w:rsid w:val="00C77A2C"/>
    <w:rsid w:val="00C9259F"/>
    <w:rsid w:val="00CA2C94"/>
    <w:rsid w:val="00CA3398"/>
    <w:rsid w:val="00CA40FA"/>
    <w:rsid w:val="00CA5007"/>
    <w:rsid w:val="00CA6926"/>
    <w:rsid w:val="00CA735C"/>
    <w:rsid w:val="00CB2644"/>
    <w:rsid w:val="00CB3AD5"/>
    <w:rsid w:val="00CB504B"/>
    <w:rsid w:val="00CB58B2"/>
    <w:rsid w:val="00CB6171"/>
    <w:rsid w:val="00CC1AB6"/>
    <w:rsid w:val="00CC6FA0"/>
    <w:rsid w:val="00CD455A"/>
    <w:rsid w:val="00CD71EB"/>
    <w:rsid w:val="00CF1B49"/>
    <w:rsid w:val="00D05360"/>
    <w:rsid w:val="00D07DC5"/>
    <w:rsid w:val="00D119D8"/>
    <w:rsid w:val="00D13D39"/>
    <w:rsid w:val="00D178EB"/>
    <w:rsid w:val="00D226BB"/>
    <w:rsid w:val="00D2518B"/>
    <w:rsid w:val="00D262B0"/>
    <w:rsid w:val="00D26954"/>
    <w:rsid w:val="00D32E4E"/>
    <w:rsid w:val="00D35790"/>
    <w:rsid w:val="00D5385A"/>
    <w:rsid w:val="00D551C1"/>
    <w:rsid w:val="00D57387"/>
    <w:rsid w:val="00D61B31"/>
    <w:rsid w:val="00D81B91"/>
    <w:rsid w:val="00D92EEA"/>
    <w:rsid w:val="00DA0D39"/>
    <w:rsid w:val="00DB032F"/>
    <w:rsid w:val="00DB27B5"/>
    <w:rsid w:val="00DB4A50"/>
    <w:rsid w:val="00DD4B93"/>
    <w:rsid w:val="00DE4862"/>
    <w:rsid w:val="00DF17E8"/>
    <w:rsid w:val="00DF2758"/>
    <w:rsid w:val="00E05C87"/>
    <w:rsid w:val="00E112CE"/>
    <w:rsid w:val="00E15A4B"/>
    <w:rsid w:val="00E23BC1"/>
    <w:rsid w:val="00E342EB"/>
    <w:rsid w:val="00E41B72"/>
    <w:rsid w:val="00E6005C"/>
    <w:rsid w:val="00E66751"/>
    <w:rsid w:val="00E80FA0"/>
    <w:rsid w:val="00E833DA"/>
    <w:rsid w:val="00E94D73"/>
    <w:rsid w:val="00EB0C79"/>
    <w:rsid w:val="00EC2A87"/>
    <w:rsid w:val="00EC54C3"/>
    <w:rsid w:val="00EC76A0"/>
    <w:rsid w:val="00ED2B45"/>
    <w:rsid w:val="00ED3574"/>
    <w:rsid w:val="00EE5E7F"/>
    <w:rsid w:val="00F31000"/>
    <w:rsid w:val="00F33BD8"/>
    <w:rsid w:val="00F406BB"/>
    <w:rsid w:val="00F43E23"/>
    <w:rsid w:val="00F4414D"/>
    <w:rsid w:val="00F6103B"/>
    <w:rsid w:val="00F675AA"/>
    <w:rsid w:val="00F73D8A"/>
    <w:rsid w:val="00F76815"/>
    <w:rsid w:val="00F95215"/>
    <w:rsid w:val="00FA0A61"/>
    <w:rsid w:val="00FA2910"/>
    <w:rsid w:val="00FB0C63"/>
    <w:rsid w:val="00FB18F6"/>
    <w:rsid w:val="00FB4437"/>
    <w:rsid w:val="00FB5183"/>
    <w:rsid w:val="00FC0BF3"/>
    <w:rsid w:val="00FC67DA"/>
    <w:rsid w:val="00FC7F1B"/>
    <w:rsid w:val="00FD3220"/>
    <w:rsid w:val="00FE307D"/>
    <w:rsid w:val="00FE61DA"/>
    <w:rsid w:val="00FF52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A1735"/>
    <w:rPr>
      <w:color w:val="954F72" w:themeColor="followedHyperlink"/>
      <w:u w:val="single"/>
    </w:rPr>
  </w:style>
  <w:style w:type="paragraph" w:customStyle="1" w:styleId="subsection">
    <w:name w:val="subsection"/>
    <w:aliases w:val="ss"/>
    <w:basedOn w:val="Normal"/>
    <w:rsid w:val="00A34997"/>
    <w:pPr>
      <w:spacing w:before="180" w:after="0" w:line="240" w:lineRule="auto"/>
      <w:ind w:left="1134" w:hanging="1134"/>
    </w:pPr>
    <w:rPr>
      <w:rFonts w:ascii="Times New Roman" w:hAnsi="Times New Roman" w:cs="Times New Roman"/>
      <w:lang w:eastAsia="en-AU"/>
    </w:rPr>
  </w:style>
  <w:style w:type="paragraph" w:customStyle="1" w:styleId="paragraph">
    <w:name w:val="paragraph"/>
    <w:aliases w:val="a"/>
    <w:basedOn w:val="Normal"/>
    <w:rsid w:val="00A34997"/>
    <w:pPr>
      <w:spacing w:before="40" w:after="0" w:line="240" w:lineRule="auto"/>
      <w:ind w:left="1644" w:hanging="1644"/>
    </w:pPr>
    <w:rPr>
      <w:rFonts w:ascii="Times New Roman" w:hAnsi="Times New Roman" w:cs="Times New Roman"/>
      <w:lang w:eastAsia="en-AU"/>
    </w:rPr>
  </w:style>
  <w:style w:type="character" w:customStyle="1" w:styleId="SpecialsChar">
    <w:name w:val="Special s Char"/>
    <w:basedOn w:val="DefaultParagraphFont"/>
    <w:link w:val="Specials"/>
    <w:locked/>
    <w:rsid w:val="00A34997"/>
    <w:rPr>
      <w:b/>
      <w:bCs/>
    </w:rPr>
  </w:style>
  <w:style w:type="paragraph" w:customStyle="1" w:styleId="Specials">
    <w:name w:val="Special s"/>
    <w:basedOn w:val="Normal"/>
    <w:link w:val="SpecialsChar"/>
    <w:rsid w:val="00A34997"/>
    <w:pPr>
      <w:keepNext/>
      <w:spacing w:before="280" w:after="0" w:line="240" w:lineRule="auto"/>
      <w:ind w:left="1134" w:hanging="1134"/>
    </w:pPr>
    <w:rPr>
      <w:b/>
      <w:bCs/>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
    <w:basedOn w:val="Normal"/>
    <w:link w:val="FootnoteTextChar"/>
    <w:uiPriority w:val="99"/>
    <w:unhideWhenUsed/>
    <w:rsid w:val="004A49BB"/>
    <w:pPr>
      <w:spacing w:after="0" w:line="240" w:lineRule="auto"/>
    </w:pPr>
    <w:rPr>
      <w:sz w:val="20"/>
      <w:szCs w:val="20"/>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
    <w:basedOn w:val="DefaultParagraphFont"/>
    <w:link w:val="FootnoteText"/>
    <w:uiPriority w:val="99"/>
    <w:rsid w:val="004A49BB"/>
    <w:rPr>
      <w:sz w:val="20"/>
      <w:szCs w:val="20"/>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iPriority w:val="99"/>
    <w:unhideWhenUsed/>
    <w:rsid w:val="004A49BB"/>
    <w:rPr>
      <w:vertAlign w:val="superscript"/>
    </w:rPr>
  </w:style>
  <w:style w:type="paragraph" w:styleId="Revision">
    <w:name w:val="Revision"/>
    <w:hidden/>
    <w:uiPriority w:val="99"/>
    <w:semiHidden/>
    <w:rsid w:val="0033760D"/>
    <w:pPr>
      <w:spacing w:after="0" w:line="240" w:lineRule="auto"/>
    </w:pPr>
  </w:style>
  <w:style w:type="paragraph" w:styleId="Caption">
    <w:name w:val="caption"/>
    <w:aliases w:val="Caption table"/>
    <w:basedOn w:val="Normal"/>
    <w:next w:val="Normal"/>
    <w:qFormat/>
    <w:rsid w:val="003269EA"/>
    <w:pPr>
      <w:numPr>
        <w:numId w:val="12"/>
      </w:numPr>
      <w:spacing w:after="0" w:line="240" w:lineRule="atLeast"/>
    </w:pPr>
    <w:rPr>
      <w:rFonts w:ascii="Arial" w:eastAsia="Times New Roman" w:hAnsi="Arial" w:cs="Times New Roman"/>
      <w:b/>
      <w:bCs/>
      <w:color w:val="323232"/>
      <w:sz w:val="20"/>
      <w:szCs w:val="20"/>
      <w:lang w:eastAsia="en-AU"/>
    </w:rPr>
  </w:style>
  <w:style w:type="paragraph" w:styleId="ListBullet">
    <w:name w:val="List Bullet"/>
    <w:basedOn w:val="Normal"/>
    <w:qFormat/>
    <w:rsid w:val="003269EA"/>
    <w:pPr>
      <w:numPr>
        <w:numId w:val="11"/>
      </w:numPr>
      <w:spacing w:after="80" w:line="240" w:lineRule="atLeast"/>
    </w:pPr>
    <w:rPr>
      <w:rFonts w:ascii="Arial" w:eastAsia="Times New Roman" w:hAnsi="Arial" w:cs="Times New Roman"/>
      <w:sz w:val="20"/>
      <w:szCs w:val="24"/>
      <w:lang w:eastAsia="en-AU"/>
    </w:rPr>
  </w:style>
  <w:style w:type="character" w:customStyle="1" w:styleId="ListParagraphChar">
    <w:name w:val="List Paragraph Char"/>
    <w:basedOn w:val="DefaultParagraphFont"/>
    <w:link w:val="ListParagraph"/>
    <w:uiPriority w:val="34"/>
    <w:rsid w:val="00326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5340">
      <w:bodyDiv w:val="1"/>
      <w:marLeft w:val="0"/>
      <w:marRight w:val="0"/>
      <w:marTop w:val="0"/>
      <w:marBottom w:val="0"/>
      <w:divBdr>
        <w:top w:val="none" w:sz="0" w:space="0" w:color="auto"/>
        <w:left w:val="none" w:sz="0" w:space="0" w:color="auto"/>
        <w:bottom w:val="none" w:sz="0" w:space="0" w:color="auto"/>
        <w:right w:val="none" w:sz="0" w:space="0" w:color="auto"/>
      </w:divBdr>
    </w:div>
    <w:div w:id="897932915">
      <w:bodyDiv w:val="1"/>
      <w:marLeft w:val="0"/>
      <w:marRight w:val="0"/>
      <w:marTop w:val="0"/>
      <w:marBottom w:val="0"/>
      <w:divBdr>
        <w:top w:val="none" w:sz="0" w:space="0" w:color="auto"/>
        <w:left w:val="none" w:sz="0" w:space="0" w:color="auto"/>
        <w:bottom w:val="none" w:sz="0" w:space="0" w:color="auto"/>
        <w:right w:val="none" w:sz="0" w:space="0" w:color="auto"/>
      </w:divBdr>
      <w:divsChild>
        <w:div w:id="793602363">
          <w:marLeft w:val="0"/>
          <w:marRight w:val="0"/>
          <w:marTop w:val="0"/>
          <w:marBottom w:val="0"/>
          <w:divBdr>
            <w:top w:val="none" w:sz="0" w:space="0" w:color="auto"/>
            <w:left w:val="none" w:sz="0" w:space="0" w:color="auto"/>
            <w:bottom w:val="none" w:sz="0" w:space="0" w:color="auto"/>
            <w:right w:val="none" w:sz="0" w:space="0" w:color="auto"/>
          </w:divBdr>
          <w:divsChild>
            <w:div w:id="2098674783">
              <w:marLeft w:val="0"/>
              <w:marRight w:val="0"/>
              <w:marTop w:val="0"/>
              <w:marBottom w:val="0"/>
              <w:divBdr>
                <w:top w:val="none" w:sz="0" w:space="0" w:color="auto"/>
                <w:left w:val="none" w:sz="0" w:space="0" w:color="auto"/>
                <w:bottom w:val="none" w:sz="0" w:space="0" w:color="auto"/>
                <w:right w:val="none" w:sz="0" w:space="0" w:color="auto"/>
              </w:divBdr>
              <w:divsChild>
                <w:div w:id="1781099714">
                  <w:marLeft w:val="0"/>
                  <w:marRight w:val="0"/>
                  <w:marTop w:val="0"/>
                  <w:marBottom w:val="0"/>
                  <w:divBdr>
                    <w:top w:val="none" w:sz="0" w:space="0" w:color="auto"/>
                    <w:left w:val="none" w:sz="0" w:space="0" w:color="auto"/>
                    <w:bottom w:val="none" w:sz="0" w:space="0" w:color="auto"/>
                    <w:right w:val="none" w:sz="0" w:space="0" w:color="auto"/>
                  </w:divBdr>
                  <w:divsChild>
                    <w:div w:id="182326163">
                      <w:marLeft w:val="0"/>
                      <w:marRight w:val="0"/>
                      <w:marTop w:val="0"/>
                      <w:marBottom w:val="0"/>
                      <w:divBdr>
                        <w:top w:val="none" w:sz="0" w:space="0" w:color="auto"/>
                        <w:left w:val="none" w:sz="0" w:space="0" w:color="auto"/>
                        <w:bottom w:val="none" w:sz="0" w:space="0" w:color="auto"/>
                        <w:right w:val="none" w:sz="0" w:space="0" w:color="auto"/>
                      </w:divBdr>
                      <w:divsChild>
                        <w:div w:id="542062169">
                          <w:marLeft w:val="0"/>
                          <w:marRight w:val="0"/>
                          <w:marTop w:val="0"/>
                          <w:marBottom w:val="0"/>
                          <w:divBdr>
                            <w:top w:val="none" w:sz="0" w:space="0" w:color="auto"/>
                            <w:left w:val="none" w:sz="0" w:space="0" w:color="auto"/>
                            <w:bottom w:val="none" w:sz="0" w:space="0" w:color="auto"/>
                            <w:right w:val="none" w:sz="0" w:space="0" w:color="auto"/>
                          </w:divBdr>
                          <w:divsChild>
                            <w:div w:id="1094714739">
                              <w:marLeft w:val="0"/>
                              <w:marRight w:val="0"/>
                              <w:marTop w:val="0"/>
                              <w:marBottom w:val="0"/>
                              <w:divBdr>
                                <w:top w:val="none" w:sz="0" w:space="0" w:color="auto"/>
                                <w:left w:val="none" w:sz="0" w:space="0" w:color="auto"/>
                                <w:bottom w:val="none" w:sz="0" w:space="0" w:color="auto"/>
                                <w:right w:val="none" w:sz="0" w:space="0" w:color="auto"/>
                              </w:divBdr>
                              <w:divsChild>
                                <w:div w:id="1257447021">
                                  <w:marLeft w:val="270"/>
                                  <w:marRight w:val="270"/>
                                  <w:marTop w:val="270"/>
                                  <w:marBottom w:val="270"/>
                                  <w:divBdr>
                                    <w:top w:val="none" w:sz="0" w:space="0" w:color="auto"/>
                                    <w:left w:val="none" w:sz="0" w:space="0" w:color="auto"/>
                                    <w:bottom w:val="none" w:sz="0" w:space="0" w:color="auto"/>
                                    <w:right w:val="none" w:sz="0" w:space="0" w:color="auto"/>
                                  </w:divBdr>
                                  <w:divsChild>
                                    <w:div w:id="1057818786">
                                      <w:marLeft w:val="0"/>
                                      <w:marRight w:val="0"/>
                                      <w:marTop w:val="0"/>
                                      <w:marBottom w:val="0"/>
                                      <w:divBdr>
                                        <w:top w:val="none" w:sz="0" w:space="0" w:color="auto"/>
                                        <w:left w:val="none" w:sz="0" w:space="0" w:color="auto"/>
                                        <w:bottom w:val="none" w:sz="0" w:space="0" w:color="auto"/>
                                        <w:right w:val="none" w:sz="0" w:space="0" w:color="auto"/>
                                      </w:divBdr>
                                      <w:divsChild>
                                        <w:div w:id="1349336070">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sChild>
                                                <w:div w:id="381104049">
                                                  <w:marLeft w:val="0"/>
                                                  <w:marRight w:val="0"/>
                                                  <w:marTop w:val="0"/>
                                                  <w:marBottom w:val="0"/>
                                                  <w:divBdr>
                                                    <w:top w:val="none" w:sz="0" w:space="0" w:color="auto"/>
                                                    <w:left w:val="none" w:sz="0" w:space="0" w:color="auto"/>
                                                    <w:bottom w:val="none" w:sz="0" w:space="0" w:color="auto"/>
                                                    <w:right w:val="none" w:sz="0" w:space="0" w:color="auto"/>
                                                  </w:divBdr>
                                                  <w:divsChild>
                                                    <w:div w:id="1100756753">
                                                      <w:marLeft w:val="0"/>
                                                      <w:marRight w:val="0"/>
                                                      <w:marTop w:val="0"/>
                                                      <w:marBottom w:val="0"/>
                                                      <w:divBdr>
                                                        <w:top w:val="none" w:sz="0" w:space="0" w:color="auto"/>
                                                        <w:left w:val="none" w:sz="0" w:space="0" w:color="auto"/>
                                                        <w:bottom w:val="none" w:sz="0" w:space="0" w:color="auto"/>
                                                        <w:right w:val="none" w:sz="0" w:space="0" w:color="auto"/>
                                                      </w:divBdr>
                                                      <w:divsChild>
                                                        <w:div w:id="4456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1381468">
      <w:bodyDiv w:val="1"/>
      <w:marLeft w:val="0"/>
      <w:marRight w:val="0"/>
      <w:marTop w:val="0"/>
      <w:marBottom w:val="0"/>
      <w:divBdr>
        <w:top w:val="none" w:sz="0" w:space="0" w:color="auto"/>
        <w:left w:val="none" w:sz="0" w:space="0" w:color="auto"/>
        <w:bottom w:val="none" w:sz="0" w:space="0" w:color="auto"/>
        <w:right w:val="none" w:sz="0" w:space="0" w:color="auto"/>
      </w:divBdr>
    </w:div>
    <w:div w:id="1083138318">
      <w:bodyDiv w:val="1"/>
      <w:marLeft w:val="0"/>
      <w:marRight w:val="0"/>
      <w:marTop w:val="0"/>
      <w:marBottom w:val="0"/>
      <w:divBdr>
        <w:top w:val="none" w:sz="0" w:space="0" w:color="auto"/>
        <w:left w:val="none" w:sz="0" w:space="0" w:color="auto"/>
        <w:bottom w:val="none" w:sz="0" w:space="0" w:color="auto"/>
        <w:right w:val="none" w:sz="0" w:space="0" w:color="auto"/>
      </w:divBdr>
    </w:div>
    <w:div w:id="1212840968">
      <w:bodyDiv w:val="1"/>
      <w:marLeft w:val="0"/>
      <w:marRight w:val="0"/>
      <w:marTop w:val="0"/>
      <w:marBottom w:val="0"/>
      <w:divBdr>
        <w:top w:val="none" w:sz="0" w:space="0" w:color="auto"/>
        <w:left w:val="none" w:sz="0" w:space="0" w:color="auto"/>
        <w:bottom w:val="none" w:sz="0" w:space="0" w:color="auto"/>
        <w:right w:val="none" w:sz="0" w:space="0" w:color="auto"/>
      </w:divBdr>
    </w:div>
    <w:div w:id="1444302729">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211493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UQVA7MFFXVNW-1658559656-938</_dlc_DocId>
    <_dlc_DocIdUrl xmlns="04b8ec43-391f-4ce4-8841-d6a482add564">
      <Url>http://collaboration/organisation/auth/Chair/Auth/_layouts/15/DocIdRedir.aspx?ID=UQVA7MFFXVNW-1658559656-938</Url>
      <Description>UQVA7MFFXVNW-1658559656-938</Description>
    </_dlc_DocIdUrl>
    <Category xmlns="3f364d92-07cb-4b3e-a872-160096f8dd54">(none)</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5BB1241F13DB42BBEB45D2361A6BA7" ma:contentTypeVersion="6" ma:contentTypeDescription="Create a new document." ma:contentTypeScope="" ma:versionID="af528ee356c9b0c803a18b5d00d62861">
  <xsd:schema xmlns:xsd="http://www.w3.org/2001/XMLSchema" xmlns:xs="http://www.w3.org/2001/XMLSchema" xmlns:p="http://schemas.microsoft.com/office/2006/metadata/properties" xmlns:ns2="04b8ec43-391f-4ce4-8841-d6a482add564" xmlns:ns3="3f364d92-07cb-4b3e-a872-160096f8dd54" targetNamespace="http://schemas.microsoft.com/office/2006/metadata/properties" ma:root="true" ma:fieldsID="014f185616fecdd5a119a0b760501d53" ns2:_="" ns3:_="">
    <xsd:import namespace="04b8ec43-391f-4ce4-8841-d6a482add564"/>
    <xsd:import namespace="3f364d92-07cb-4b3e-a872-160096f8dd5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364d92-07cb-4b3e-a872-160096f8dd54"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6662B-619E-4421-A55E-63C26E530788}">
  <ds:schemaRefs>
    <ds:schemaRef ds:uri="http://schemas.microsoft.com/sharepoint/events"/>
  </ds:schemaRefs>
</ds:datastoreItem>
</file>

<file path=customXml/itemProps2.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3.xml><?xml version="1.0" encoding="utf-8"?>
<ds:datastoreItem xmlns:ds="http://schemas.openxmlformats.org/officeDocument/2006/customXml" ds:itemID="{874C0BB2-8B8E-4D7F-A1EB-011078CFB03B}">
  <ds:schemaRefs>
    <ds:schemaRef ds:uri="http://purl.org/dc/elements/1.1/"/>
    <ds:schemaRef ds:uri="http://schemas.microsoft.com/office/2006/metadata/properties"/>
    <ds:schemaRef ds:uri="http://purl.org/dc/terms/"/>
    <ds:schemaRef ds:uri="http://schemas.microsoft.com/office/2006/documentManagement/types"/>
    <ds:schemaRef ds:uri="3f364d92-07cb-4b3e-a872-160096f8dd54"/>
    <ds:schemaRef ds:uri="http://schemas.openxmlformats.org/package/2006/metadata/core-properties"/>
    <ds:schemaRef ds:uri="http://schemas.microsoft.com/office/infopath/2007/PartnerControls"/>
    <ds:schemaRef ds:uri="04b8ec43-391f-4ce4-8841-d6a482add564"/>
    <ds:schemaRef ds:uri="http://www.w3.org/XML/1998/namespace"/>
    <ds:schemaRef ds:uri="http://purl.org/dc/dcmitype/"/>
  </ds:schemaRefs>
</ds:datastoreItem>
</file>

<file path=customXml/itemProps4.xml><?xml version="1.0" encoding="utf-8"?>
<ds:datastoreItem xmlns:ds="http://schemas.openxmlformats.org/officeDocument/2006/customXml" ds:itemID="{19029C0A-3DEA-4EC4-AD33-B4002F9E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3f364d92-07cb-4b3e-a872-160096f8d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E848E1-7F4A-4884-943A-2C000EFC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Stephen Jones</cp:lastModifiedBy>
  <cp:revision>3</cp:revision>
  <cp:lastPrinted>2017-11-09T05:09:00Z</cp:lastPrinted>
  <dcterms:created xsi:type="dcterms:W3CDTF">2017-11-10T03:34:00Z</dcterms:created>
  <dcterms:modified xsi:type="dcterms:W3CDTF">2017-11-10T03:35:00Z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0x010100F55BB1241F13DB42BBEB45D2361A6BA7</vt:lpwstr>
  </property>
  <property fmtid="{D5CDD505-2E9C-101B-9397-08002B2CF9AE}" pid="3" name="_dlc_DocIdItemGuid">
    <vt:lpwstr>c9b61d89-f288-42f8-8f08-286456fb244f</vt:lpwstr>
  </property>
  <property fmtid="{D5CDD505-2E9C-101B-9397-08002B2CF9AE}" pid="4" name="Order">
    <vt:r8>155700</vt:r8>
  </property>
  <property fmtid="{D5CDD505-2E9C-101B-9397-08002B2CF9AE}" pid="5" name="xd_ProgID">
    <vt:lpwstr/>
  </property>
  <property fmtid="{D5CDD505-2E9C-101B-9397-08002B2CF9AE}" pid="6" name="TemplateUrl">
    <vt:lpwstr/>
  </property>
</Properties>
</file>