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5C73" w14:textId="77777777" w:rsidR="00BA4F48" w:rsidRPr="00A27335" w:rsidRDefault="001043D7" w:rsidP="00BA4F48">
      <w:pPr>
        <w:tabs>
          <w:tab w:val="left" w:pos="900"/>
        </w:tabs>
      </w:pPr>
    </w:p>
    <w:p w14:paraId="2AEC5C74" w14:textId="77777777" w:rsidR="00BA4F48" w:rsidRPr="00A27335" w:rsidRDefault="001043D7" w:rsidP="00BA4F48">
      <w:pPr>
        <w:tabs>
          <w:tab w:val="left" w:pos="900"/>
        </w:tabs>
        <w:jc w:val="center"/>
      </w:pPr>
    </w:p>
    <w:p w14:paraId="2AEC5C75" w14:textId="77777777" w:rsidR="00BA4F48" w:rsidRPr="00A27335" w:rsidRDefault="001043D7" w:rsidP="00BA4F48">
      <w:pPr>
        <w:tabs>
          <w:tab w:val="left" w:pos="900"/>
        </w:tabs>
        <w:jc w:val="center"/>
      </w:pPr>
    </w:p>
    <w:p w14:paraId="2AEC5C76" w14:textId="355E49D7" w:rsidR="00BA4F48" w:rsidRPr="00CA7971" w:rsidRDefault="008D140A" w:rsidP="00194C83">
      <w:pPr>
        <w:tabs>
          <w:tab w:val="left" w:pos="900"/>
        </w:tabs>
        <w:jc w:val="center"/>
      </w:pPr>
      <w:r w:rsidRPr="00194C83">
        <w:rPr>
          <w:b/>
          <w:sz w:val="40"/>
          <w:szCs w:val="40"/>
        </w:rPr>
        <w:t xml:space="preserve">Vehicle Standard (Australian Design Rule </w:t>
      </w:r>
      <w:r w:rsidR="00124466">
        <w:rPr>
          <w:b/>
          <w:sz w:val="40"/>
          <w:szCs w:val="40"/>
        </w:rPr>
        <w:t>45</w:t>
      </w:r>
      <w:r>
        <w:rPr>
          <w:b/>
          <w:sz w:val="40"/>
          <w:szCs w:val="40"/>
        </w:rPr>
        <w:t>/01</w:t>
      </w:r>
      <w:r w:rsidRPr="00194C83">
        <w:rPr>
          <w:b/>
          <w:sz w:val="40"/>
          <w:szCs w:val="40"/>
        </w:rPr>
        <w:t xml:space="preserve"> – </w:t>
      </w:r>
      <w:r w:rsidR="00124466" w:rsidRPr="00124466">
        <w:rPr>
          <w:b/>
          <w:sz w:val="40"/>
          <w:szCs w:val="40"/>
        </w:rPr>
        <w:t>Lighting and Light Signalling Devices</w:t>
      </w:r>
      <w:r w:rsidR="00C739F8">
        <w:rPr>
          <w:b/>
          <w:sz w:val="40"/>
          <w:szCs w:val="40"/>
        </w:rPr>
        <w:t xml:space="preserve"> </w:t>
      </w:r>
      <w:r w:rsidR="00124466" w:rsidRPr="00124466">
        <w:rPr>
          <w:b/>
          <w:sz w:val="40"/>
          <w:szCs w:val="40"/>
        </w:rPr>
        <w:t>not Covered by ECE Regulations</w:t>
      </w:r>
      <w:r w:rsidRPr="00194C83">
        <w:rPr>
          <w:b/>
          <w:sz w:val="40"/>
          <w:szCs w:val="40"/>
        </w:rPr>
        <w:t>)</w:t>
      </w:r>
      <w:r>
        <w:rPr>
          <w:b/>
          <w:sz w:val="40"/>
          <w:szCs w:val="40"/>
        </w:rPr>
        <w:t xml:space="preserve"> 2006 Amendment </w:t>
      </w:r>
      <w:r w:rsidR="00124466">
        <w:rPr>
          <w:b/>
          <w:sz w:val="40"/>
          <w:szCs w:val="40"/>
        </w:rPr>
        <w:t>1</w:t>
      </w:r>
    </w:p>
    <w:p w14:paraId="2AEC5C77" w14:textId="77777777" w:rsidR="00485E16" w:rsidRPr="00CA7971" w:rsidRDefault="001043D7" w:rsidP="00BA4F48">
      <w:pPr>
        <w:tabs>
          <w:tab w:val="left" w:pos="900"/>
        </w:tabs>
      </w:pPr>
    </w:p>
    <w:p w14:paraId="2AEC5C78" w14:textId="77777777" w:rsidR="00BA4F48" w:rsidRPr="00CA7971" w:rsidRDefault="001043D7" w:rsidP="00BA4F48">
      <w:pPr>
        <w:tabs>
          <w:tab w:val="left" w:pos="900"/>
        </w:tabs>
      </w:pPr>
    </w:p>
    <w:p w14:paraId="2AEC5C79" w14:textId="77777777" w:rsidR="00BA4F48" w:rsidRPr="00CA7971" w:rsidRDefault="001043D7" w:rsidP="00BA4F48">
      <w:pPr>
        <w:tabs>
          <w:tab w:val="left" w:pos="900"/>
        </w:tabs>
      </w:pPr>
    </w:p>
    <w:p w14:paraId="2AEC5C7A" w14:textId="77777777" w:rsidR="00BA4F48" w:rsidRPr="00CA7971" w:rsidRDefault="008D140A" w:rsidP="00BA4F48">
      <w:pPr>
        <w:tabs>
          <w:tab w:val="left" w:pos="900"/>
        </w:tabs>
        <w:jc w:val="center"/>
      </w:pPr>
      <w:r w:rsidRPr="00CA7971">
        <w:t xml:space="preserve">Made under section 7 of the </w:t>
      </w:r>
      <w:r w:rsidRPr="00B97E32">
        <w:rPr>
          <w:i/>
        </w:rPr>
        <w:t>Motor Vehicle Standards Act 1989</w:t>
      </w:r>
    </w:p>
    <w:p w14:paraId="2AEC5C7B" w14:textId="77777777" w:rsidR="00BA4F48" w:rsidRPr="00CA7971" w:rsidRDefault="001043D7" w:rsidP="00BA4F48">
      <w:pPr>
        <w:tabs>
          <w:tab w:val="left" w:pos="900"/>
        </w:tabs>
      </w:pPr>
    </w:p>
    <w:p w14:paraId="2AEC5C7C" w14:textId="77777777" w:rsidR="00BA4F48" w:rsidRPr="00CA7971" w:rsidRDefault="001043D7" w:rsidP="00BA4F48">
      <w:pPr>
        <w:tabs>
          <w:tab w:val="left" w:pos="900"/>
        </w:tabs>
      </w:pPr>
    </w:p>
    <w:p w14:paraId="2AEC5C7D" w14:textId="77777777" w:rsidR="00BA4F48" w:rsidRPr="00CA7971" w:rsidRDefault="001043D7" w:rsidP="00BA4F48">
      <w:pPr>
        <w:tabs>
          <w:tab w:val="left" w:pos="900"/>
        </w:tabs>
      </w:pPr>
    </w:p>
    <w:p w14:paraId="2AEC5C7E" w14:textId="77777777" w:rsidR="00BA4F48" w:rsidRPr="00CA7971" w:rsidRDefault="001043D7" w:rsidP="00BA4F48">
      <w:pPr>
        <w:tabs>
          <w:tab w:val="left" w:pos="900"/>
        </w:tabs>
      </w:pPr>
    </w:p>
    <w:p w14:paraId="2AEC5C7F" w14:textId="77777777" w:rsidR="00BA4F48" w:rsidRPr="00CA7971" w:rsidRDefault="001043D7" w:rsidP="00BA4F48">
      <w:pPr>
        <w:tabs>
          <w:tab w:val="left" w:pos="900"/>
        </w:tabs>
      </w:pPr>
    </w:p>
    <w:p w14:paraId="2AEC5C80" w14:textId="77777777" w:rsidR="00BA4F48" w:rsidRPr="00CA7971" w:rsidRDefault="001043D7" w:rsidP="00BA4F48">
      <w:pPr>
        <w:tabs>
          <w:tab w:val="left" w:pos="900"/>
        </w:tabs>
      </w:pPr>
    </w:p>
    <w:p w14:paraId="2AEC5C81" w14:textId="77777777" w:rsidR="00BA4F48" w:rsidRPr="00CA7971" w:rsidRDefault="008D140A" w:rsidP="00BA4F48">
      <w:pPr>
        <w:pStyle w:val="ADRTitle"/>
        <w:tabs>
          <w:tab w:val="left" w:pos="900"/>
        </w:tabs>
        <w:jc w:val="center"/>
      </w:pPr>
      <w:r w:rsidRPr="00CA7971">
        <w:t>Explanatory Statement</w:t>
      </w:r>
    </w:p>
    <w:p w14:paraId="2AEC5C82" w14:textId="77777777" w:rsidR="00BA4F48" w:rsidRPr="00CA7971" w:rsidRDefault="001043D7" w:rsidP="00BA4F48">
      <w:pPr>
        <w:tabs>
          <w:tab w:val="left" w:pos="900"/>
        </w:tabs>
      </w:pPr>
    </w:p>
    <w:p w14:paraId="2AEC5C83" w14:textId="77777777" w:rsidR="00BA4F48" w:rsidRPr="00CA7971" w:rsidRDefault="001043D7" w:rsidP="00BA4F48">
      <w:pPr>
        <w:tabs>
          <w:tab w:val="left" w:pos="900"/>
        </w:tabs>
      </w:pPr>
    </w:p>
    <w:p w14:paraId="2AEC5C84" w14:textId="77777777" w:rsidR="00BA4F48" w:rsidRPr="00CA7971" w:rsidRDefault="001043D7" w:rsidP="00BA4F48">
      <w:pPr>
        <w:tabs>
          <w:tab w:val="left" w:pos="900"/>
        </w:tabs>
      </w:pPr>
    </w:p>
    <w:p w14:paraId="2AEC5C85" w14:textId="77777777" w:rsidR="00BA4F48" w:rsidRPr="00CA7971" w:rsidRDefault="001043D7" w:rsidP="00BA4F48">
      <w:pPr>
        <w:tabs>
          <w:tab w:val="left" w:pos="900"/>
        </w:tabs>
      </w:pPr>
    </w:p>
    <w:p w14:paraId="2AEC5C86" w14:textId="77777777" w:rsidR="00BA4F48" w:rsidRPr="00CA7971" w:rsidRDefault="001043D7" w:rsidP="00BA4F48">
      <w:pPr>
        <w:tabs>
          <w:tab w:val="left" w:pos="900"/>
        </w:tabs>
      </w:pPr>
    </w:p>
    <w:p w14:paraId="2AEC5C87" w14:textId="77777777" w:rsidR="00BA4F48" w:rsidRPr="00CA7971" w:rsidRDefault="001043D7" w:rsidP="00BA4F48">
      <w:pPr>
        <w:tabs>
          <w:tab w:val="left" w:pos="900"/>
        </w:tabs>
      </w:pPr>
    </w:p>
    <w:p w14:paraId="2AEC5C88" w14:textId="77777777" w:rsidR="00BA4F48" w:rsidRPr="00CA7971" w:rsidRDefault="001043D7" w:rsidP="00BA4F48">
      <w:pPr>
        <w:tabs>
          <w:tab w:val="left" w:pos="900"/>
        </w:tabs>
      </w:pPr>
    </w:p>
    <w:p w14:paraId="2AEC5C89" w14:textId="77777777" w:rsidR="00BA4F48" w:rsidRPr="00CA7971" w:rsidRDefault="001043D7" w:rsidP="00BA4F48">
      <w:pPr>
        <w:tabs>
          <w:tab w:val="left" w:pos="900"/>
        </w:tabs>
      </w:pPr>
    </w:p>
    <w:p w14:paraId="2AEC5C8A" w14:textId="77777777" w:rsidR="00BA4F48" w:rsidRPr="00CA7971" w:rsidRDefault="008D140A" w:rsidP="00BA4F48">
      <w:pPr>
        <w:tabs>
          <w:tab w:val="left" w:pos="900"/>
        </w:tabs>
        <w:jc w:val="center"/>
      </w:pPr>
      <w:r w:rsidRPr="00CA7971">
        <w:t xml:space="preserve">Issued by the authority of the </w:t>
      </w:r>
      <w:r w:rsidRPr="00FF4915">
        <w:t xml:space="preserve">Minister for </w:t>
      </w:r>
      <w:r>
        <w:t>Urban Infrastructure</w:t>
      </w:r>
    </w:p>
    <w:p w14:paraId="2AEC5C8B" w14:textId="77777777" w:rsidR="00BA4F48" w:rsidRPr="00CA7971" w:rsidRDefault="001043D7" w:rsidP="00BA4F48">
      <w:pPr>
        <w:tabs>
          <w:tab w:val="left" w:pos="900"/>
        </w:tabs>
      </w:pPr>
    </w:p>
    <w:p w14:paraId="2AEC5C8C" w14:textId="77777777" w:rsidR="00BA4F48" w:rsidRPr="00CA7971" w:rsidRDefault="001043D7" w:rsidP="00BA4F48">
      <w:pPr>
        <w:tabs>
          <w:tab w:val="left" w:pos="900"/>
        </w:tabs>
      </w:pPr>
    </w:p>
    <w:p w14:paraId="2AEC5C8D" w14:textId="77777777" w:rsidR="00BA4F48" w:rsidRPr="00CA7971" w:rsidRDefault="001043D7" w:rsidP="00BA4F48">
      <w:pPr>
        <w:tabs>
          <w:tab w:val="left" w:pos="900"/>
        </w:tabs>
      </w:pPr>
    </w:p>
    <w:p w14:paraId="2AEC5C8E" w14:textId="77777777" w:rsidR="00BA4F48" w:rsidRPr="00CA7971" w:rsidRDefault="001043D7" w:rsidP="00BA4F48">
      <w:pPr>
        <w:tabs>
          <w:tab w:val="left" w:pos="900"/>
        </w:tabs>
      </w:pPr>
    </w:p>
    <w:p w14:paraId="2AEC5C8F" w14:textId="77777777" w:rsidR="00BA4F48" w:rsidRPr="00CA7971" w:rsidRDefault="001043D7" w:rsidP="00BA4F48">
      <w:pPr>
        <w:tabs>
          <w:tab w:val="left" w:pos="900"/>
        </w:tabs>
      </w:pPr>
    </w:p>
    <w:p w14:paraId="2AEC5C90" w14:textId="77777777" w:rsidR="00BA4F48" w:rsidRPr="00CA7971" w:rsidRDefault="001043D7" w:rsidP="00BA4F48">
      <w:pPr>
        <w:tabs>
          <w:tab w:val="left" w:pos="900"/>
        </w:tabs>
      </w:pPr>
    </w:p>
    <w:p w14:paraId="2AEC5C91" w14:textId="77777777" w:rsidR="00BA4F48" w:rsidRPr="00CA7971" w:rsidRDefault="001043D7" w:rsidP="00BA4F48">
      <w:pPr>
        <w:tabs>
          <w:tab w:val="left" w:pos="900"/>
        </w:tabs>
      </w:pPr>
    </w:p>
    <w:p w14:paraId="2AEC5C92" w14:textId="72A90872" w:rsidR="00BA4F48" w:rsidRPr="00CA7971" w:rsidRDefault="00F243EB" w:rsidP="00BA4F48">
      <w:pPr>
        <w:pStyle w:val="ADRTitle"/>
        <w:tabs>
          <w:tab w:val="left" w:pos="900"/>
        </w:tabs>
        <w:jc w:val="center"/>
      </w:pPr>
      <w:r>
        <w:t>November</w:t>
      </w:r>
      <w:r w:rsidR="00D02AA7">
        <w:t xml:space="preserve"> 2017</w:t>
      </w:r>
    </w:p>
    <w:p w14:paraId="2AEC5C93" w14:textId="77777777" w:rsidR="00BA4F48" w:rsidRPr="00CA7971" w:rsidRDefault="001043D7" w:rsidP="00BA4F48">
      <w:pPr>
        <w:tabs>
          <w:tab w:val="left" w:pos="900"/>
        </w:tabs>
      </w:pPr>
    </w:p>
    <w:p w14:paraId="2AEC5C94" w14:textId="77777777" w:rsidR="00BA4F48" w:rsidRPr="00CA7971" w:rsidRDefault="001043D7" w:rsidP="0028346B">
      <w:pPr>
        <w:tabs>
          <w:tab w:val="left" w:pos="900"/>
        </w:tabs>
      </w:pPr>
    </w:p>
    <w:p w14:paraId="2AEC5C95" w14:textId="77777777" w:rsidR="00BA4F48" w:rsidRPr="00CA7971" w:rsidRDefault="008D140A" w:rsidP="00BA4F48">
      <w:pPr>
        <w:tabs>
          <w:tab w:val="left" w:pos="900"/>
        </w:tabs>
        <w:jc w:val="center"/>
        <w:rPr>
          <w:b/>
        </w:rPr>
      </w:pPr>
      <w:r w:rsidRPr="00CA7971">
        <w:rPr>
          <w:b/>
        </w:rPr>
        <w:br w:type="page"/>
      </w:r>
      <w:r w:rsidRPr="00CA7971">
        <w:rPr>
          <w:b/>
        </w:rPr>
        <w:lastRenderedPageBreak/>
        <w:t>CONTENTS</w:t>
      </w:r>
    </w:p>
    <w:p w14:paraId="2AEC5C96" w14:textId="77777777" w:rsidR="00BA4F48" w:rsidRPr="00CA7971" w:rsidRDefault="001043D7" w:rsidP="00BA4F48">
      <w:pPr>
        <w:tabs>
          <w:tab w:val="left" w:pos="900"/>
        </w:tabs>
        <w:rPr>
          <w:b/>
        </w:rPr>
      </w:pPr>
    </w:p>
    <w:p w14:paraId="436932F3" w14:textId="0CEAC324" w:rsidR="00350384" w:rsidRDefault="00350384">
      <w:pPr>
        <w:pStyle w:val="TOC1"/>
        <w:rPr>
          <w:rFonts w:asciiTheme="minorHAnsi" w:eastAsiaTheme="minorEastAsia" w:hAnsiTheme="minorHAnsi" w:cstheme="minorBidi"/>
          <w:caps w:val="0"/>
          <w:noProof/>
          <w:sz w:val="22"/>
          <w:szCs w:val="22"/>
        </w:rPr>
      </w:pPr>
      <w:r w:rsidRPr="001043D7">
        <w:rPr>
          <w:noProof/>
        </w:rPr>
        <w:t>1.</w:t>
      </w:r>
      <w:r>
        <w:rPr>
          <w:rFonts w:asciiTheme="minorHAnsi" w:eastAsiaTheme="minorEastAsia" w:hAnsiTheme="minorHAnsi" w:cstheme="minorBidi"/>
          <w:caps w:val="0"/>
          <w:noProof/>
          <w:sz w:val="22"/>
          <w:szCs w:val="22"/>
        </w:rPr>
        <w:tab/>
      </w:r>
      <w:r w:rsidRPr="001043D7">
        <w:rPr>
          <w:noProof/>
        </w:rPr>
        <w:t>legislative context</w:t>
      </w:r>
      <w:r>
        <w:rPr>
          <w:noProof/>
          <w:webHidden/>
        </w:rPr>
        <w:tab/>
        <w:t>3</w:t>
      </w:r>
    </w:p>
    <w:p w14:paraId="35D46593" w14:textId="0C5455C0" w:rsidR="00350384" w:rsidRDefault="00350384">
      <w:pPr>
        <w:pStyle w:val="TOC1"/>
        <w:rPr>
          <w:rFonts w:asciiTheme="minorHAnsi" w:eastAsiaTheme="minorEastAsia" w:hAnsiTheme="minorHAnsi" w:cstheme="minorBidi"/>
          <w:caps w:val="0"/>
          <w:noProof/>
          <w:sz w:val="22"/>
          <w:szCs w:val="22"/>
        </w:rPr>
      </w:pPr>
      <w:r w:rsidRPr="001043D7">
        <w:rPr>
          <w:rFonts w:cs="Arial"/>
          <w:noProof/>
        </w:rPr>
        <w:t>2.</w:t>
      </w:r>
      <w:r>
        <w:rPr>
          <w:rFonts w:asciiTheme="minorHAnsi" w:eastAsiaTheme="minorEastAsia" w:hAnsiTheme="minorHAnsi" w:cstheme="minorBidi"/>
          <w:caps w:val="0"/>
          <w:noProof/>
          <w:sz w:val="22"/>
          <w:szCs w:val="22"/>
        </w:rPr>
        <w:tab/>
      </w:r>
      <w:r w:rsidRPr="001043D7">
        <w:rPr>
          <w:noProof/>
        </w:rPr>
        <w:t>content and effect of ADR 45/01 and the amendment</w:t>
      </w:r>
      <w:r>
        <w:rPr>
          <w:noProof/>
          <w:webHidden/>
        </w:rPr>
        <w:tab/>
        <w:t>3</w:t>
      </w:r>
    </w:p>
    <w:p w14:paraId="30499551" w14:textId="167F8C21"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2.1.</w:t>
      </w:r>
      <w:r>
        <w:rPr>
          <w:rFonts w:asciiTheme="minorHAnsi" w:eastAsiaTheme="minorEastAsia" w:hAnsiTheme="minorHAnsi" w:cstheme="minorBidi"/>
          <w:noProof/>
          <w:sz w:val="22"/>
          <w:szCs w:val="22"/>
        </w:rPr>
        <w:tab/>
      </w:r>
      <w:r w:rsidRPr="001043D7">
        <w:rPr>
          <w:noProof/>
        </w:rPr>
        <w:t>Overview of the ADR</w:t>
      </w:r>
      <w:r>
        <w:rPr>
          <w:noProof/>
          <w:webHidden/>
        </w:rPr>
        <w:tab/>
        <w:t>3</w:t>
      </w:r>
    </w:p>
    <w:p w14:paraId="11F200E5" w14:textId="4015D5B7"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2.2.</w:t>
      </w:r>
      <w:r>
        <w:rPr>
          <w:rFonts w:asciiTheme="minorHAnsi" w:eastAsiaTheme="minorEastAsia" w:hAnsiTheme="minorHAnsi" w:cstheme="minorBidi"/>
          <w:noProof/>
          <w:sz w:val="22"/>
          <w:szCs w:val="22"/>
        </w:rPr>
        <w:tab/>
      </w:r>
      <w:r w:rsidRPr="001043D7">
        <w:rPr>
          <w:noProof/>
        </w:rPr>
        <w:t>Effect of the ADR Amendment</w:t>
      </w:r>
      <w:r>
        <w:rPr>
          <w:noProof/>
          <w:webHidden/>
        </w:rPr>
        <w:tab/>
        <w:t>3</w:t>
      </w:r>
    </w:p>
    <w:p w14:paraId="0C191B13" w14:textId="5BFAAA67" w:rsidR="00350384" w:rsidRDefault="00350384">
      <w:pPr>
        <w:pStyle w:val="TOC1"/>
        <w:rPr>
          <w:rFonts w:asciiTheme="minorHAnsi" w:eastAsiaTheme="minorEastAsia" w:hAnsiTheme="minorHAnsi" w:cstheme="minorBidi"/>
          <w:caps w:val="0"/>
          <w:noProof/>
          <w:sz w:val="22"/>
          <w:szCs w:val="22"/>
        </w:rPr>
      </w:pPr>
      <w:r w:rsidRPr="001043D7">
        <w:rPr>
          <w:noProof/>
        </w:rPr>
        <w:t>3.</w:t>
      </w:r>
      <w:r>
        <w:rPr>
          <w:rFonts w:asciiTheme="minorHAnsi" w:eastAsiaTheme="minorEastAsia" w:hAnsiTheme="minorHAnsi" w:cstheme="minorBidi"/>
          <w:caps w:val="0"/>
          <w:noProof/>
          <w:sz w:val="22"/>
          <w:szCs w:val="22"/>
        </w:rPr>
        <w:tab/>
      </w:r>
      <w:r w:rsidRPr="001043D7">
        <w:rPr>
          <w:noProof/>
        </w:rPr>
        <w:t>best practice regulation</w:t>
      </w:r>
      <w:r>
        <w:rPr>
          <w:noProof/>
          <w:webHidden/>
        </w:rPr>
        <w:tab/>
        <w:t>3</w:t>
      </w:r>
    </w:p>
    <w:p w14:paraId="3A305F20" w14:textId="106BA256"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3.1.</w:t>
      </w:r>
      <w:r>
        <w:rPr>
          <w:rFonts w:asciiTheme="minorHAnsi" w:eastAsiaTheme="minorEastAsia" w:hAnsiTheme="minorHAnsi" w:cstheme="minorBidi"/>
          <w:noProof/>
          <w:sz w:val="22"/>
          <w:szCs w:val="22"/>
        </w:rPr>
        <w:tab/>
      </w:r>
      <w:r w:rsidRPr="001043D7">
        <w:rPr>
          <w:noProof/>
        </w:rPr>
        <w:t>Business Cost Calculator</w:t>
      </w:r>
      <w:r>
        <w:rPr>
          <w:noProof/>
          <w:webHidden/>
        </w:rPr>
        <w:tab/>
        <w:t>3</w:t>
      </w:r>
    </w:p>
    <w:p w14:paraId="6CBE2371" w14:textId="56D75146"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3.2.</w:t>
      </w:r>
      <w:r>
        <w:rPr>
          <w:rFonts w:asciiTheme="minorHAnsi" w:eastAsiaTheme="minorEastAsia" w:hAnsiTheme="minorHAnsi" w:cstheme="minorBidi"/>
          <w:noProof/>
          <w:sz w:val="22"/>
          <w:szCs w:val="22"/>
        </w:rPr>
        <w:tab/>
      </w:r>
      <w:r w:rsidRPr="001043D7">
        <w:rPr>
          <w:noProof/>
        </w:rPr>
        <w:t>General Consultation Arrangements</w:t>
      </w:r>
      <w:r>
        <w:rPr>
          <w:noProof/>
          <w:webHidden/>
        </w:rPr>
        <w:tab/>
        <w:t>4</w:t>
      </w:r>
    </w:p>
    <w:p w14:paraId="55629791" w14:textId="53F899D8"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3.3.</w:t>
      </w:r>
      <w:r>
        <w:rPr>
          <w:rFonts w:asciiTheme="minorHAnsi" w:eastAsiaTheme="minorEastAsia" w:hAnsiTheme="minorHAnsi" w:cstheme="minorBidi"/>
          <w:noProof/>
          <w:sz w:val="22"/>
          <w:szCs w:val="22"/>
        </w:rPr>
        <w:tab/>
      </w:r>
      <w:r w:rsidRPr="001043D7">
        <w:rPr>
          <w:noProof/>
        </w:rPr>
        <w:t xml:space="preserve">Specific Consultation Arrangements for this </w:t>
      </w:r>
      <w:bookmarkStart w:id="0" w:name="_GoBack"/>
      <w:bookmarkEnd w:id="0"/>
      <w:r w:rsidRPr="001043D7">
        <w:rPr>
          <w:noProof/>
        </w:rPr>
        <w:t>Vehicle Standard</w:t>
      </w:r>
      <w:r>
        <w:rPr>
          <w:noProof/>
          <w:webHidden/>
        </w:rPr>
        <w:tab/>
        <w:t>5</w:t>
      </w:r>
    </w:p>
    <w:p w14:paraId="425D76B5" w14:textId="5D2EF3E2"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3.4.</w:t>
      </w:r>
      <w:r>
        <w:rPr>
          <w:rFonts w:asciiTheme="minorHAnsi" w:eastAsiaTheme="minorEastAsia" w:hAnsiTheme="minorHAnsi" w:cstheme="minorBidi"/>
          <w:noProof/>
          <w:sz w:val="22"/>
          <w:szCs w:val="22"/>
        </w:rPr>
        <w:tab/>
      </w:r>
      <w:r w:rsidRPr="001043D7">
        <w:rPr>
          <w:noProof/>
        </w:rPr>
        <w:t>Regulation Impact Statement</w:t>
      </w:r>
      <w:r>
        <w:rPr>
          <w:noProof/>
          <w:webHidden/>
        </w:rPr>
        <w:tab/>
        <w:t>5</w:t>
      </w:r>
    </w:p>
    <w:p w14:paraId="169FE036" w14:textId="1BFC89B0" w:rsidR="00350384" w:rsidRDefault="00350384">
      <w:pPr>
        <w:pStyle w:val="TOC1"/>
        <w:rPr>
          <w:rFonts w:asciiTheme="minorHAnsi" w:eastAsiaTheme="minorEastAsia" w:hAnsiTheme="minorHAnsi" w:cstheme="minorBidi"/>
          <w:caps w:val="0"/>
          <w:noProof/>
          <w:sz w:val="22"/>
          <w:szCs w:val="22"/>
        </w:rPr>
      </w:pPr>
      <w:r w:rsidRPr="001043D7">
        <w:rPr>
          <w:noProof/>
        </w:rPr>
        <w:t>4.</w:t>
      </w:r>
      <w:r>
        <w:rPr>
          <w:rFonts w:asciiTheme="minorHAnsi" w:eastAsiaTheme="minorEastAsia" w:hAnsiTheme="minorHAnsi" w:cstheme="minorBidi"/>
          <w:caps w:val="0"/>
          <w:noProof/>
          <w:sz w:val="22"/>
          <w:szCs w:val="22"/>
        </w:rPr>
        <w:tab/>
      </w:r>
      <w:r w:rsidRPr="001043D7">
        <w:rPr>
          <w:noProof/>
        </w:rPr>
        <w:t>STATEMENT OF COMPATIBILITY WITH HUMAN RIGHTS</w:t>
      </w:r>
      <w:r>
        <w:rPr>
          <w:noProof/>
          <w:webHidden/>
        </w:rPr>
        <w:tab/>
        <w:t>5</w:t>
      </w:r>
    </w:p>
    <w:p w14:paraId="0E694505" w14:textId="227A3033"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4.1.</w:t>
      </w:r>
      <w:r>
        <w:rPr>
          <w:rFonts w:asciiTheme="minorHAnsi" w:eastAsiaTheme="minorEastAsia" w:hAnsiTheme="minorHAnsi" w:cstheme="minorBidi"/>
          <w:noProof/>
          <w:sz w:val="22"/>
          <w:szCs w:val="22"/>
        </w:rPr>
        <w:tab/>
      </w:r>
      <w:r w:rsidRPr="001043D7">
        <w:rPr>
          <w:noProof/>
        </w:rPr>
        <w:t>Overview of the Legislative Instrument</w:t>
      </w:r>
      <w:r>
        <w:rPr>
          <w:noProof/>
          <w:webHidden/>
        </w:rPr>
        <w:tab/>
        <w:t>5</w:t>
      </w:r>
    </w:p>
    <w:p w14:paraId="77899CA4" w14:textId="7C0D18C3"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4.2.</w:t>
      </w:r>
      <w:r>
        <w:rPr>
          <w:rFonts w:asciiTheme="minorHAnsi" w:eastAsiaTheme="minorEastAsia" w:hAnsiTheme="minorHAnsi" w:cstheme="minorBidi"/>
          <w:noProof/>
          <w:sz w:val="22"/>
          <w:szCs w:val="22"/>
        </w:rPr>
        <w:tab/>
      </w:r>
      <w:r w:rsidRPr="001043D7">
        <w:rPr>
          <w:noProof/>
        </w:rPr>
        <w:t>Human Rights Implications</w:t>
      </w:r>
      <w:r>
        <w:rPr>
          <w:noProof/>
          <w:webHidden/>
        </w:rPr>
        <w:tab/>
        <w:t>5</w:t>
      </w:r>
    </w:p>
    <w:p w14:paraId="754B38E2" w14:textId="59B8A113" w:rsidR="00350384" w:rsidRDefault="00350384">
      <w:pPr>
        <w:pStyle w:val="TOC2"/>
        <w:tabs>
          <w:tab w:val="left" w:pos="851"/>
          <w:tab w:val="right" w:leader="dot" w:pos="8302"/>
        </w:tabs>
        <w:rPr>
          <w:rFonts w:asciiTheme="minorHAnsi" w:eastAsiaTheme="minorEastAsia" w:hAnsiTheme="minorHAnsi" w:cstheme="minorBidi"/>
          <w:noProof/>
          <w:sz w:val="22"/>
          <w:szCs w:val="22"/>
        </w:rPr>
      </w:pPr>
      <w:r w:rsidRPr="001043D7">
        <w:rPr>
          <w:noProof/>
        </w:rPr>
        <w:t>4.3.</w:t>
      </w:r>
      <w:r>
        <w:rPr>
          <w:rFonts w:asciiTheme="minorHAnsi" w:eastAsiaTheme="minorEastAsia" w:hAnsiTheme="minorHAnsi" w:cstheme="minorBidi"/>
          <w:noProof/>
          <w:sz w:val="22"/>
          <w:szCs w:val="22"/>
        </w:rPr>
        <w:tab/>
      </w:r>
      <w:r w:rsidRPr="001043D7">
        <w:rPr>
          <w:noProof/>
        </w:rPr>
        <w:t>Conclusion</w:t>
      </w:r>
      <w:r>
        <w:rPr>
          <w:noProof/>
          <w:webHidden/>
        </w:rPr>
        <w:tab/>
        <w:t>5</w:t>
      </w:r>
    </w:p>
    <w:p w14:paraId="2AEC5CA5" w14:textId="20739368" w:rsidR="00724A62" w:rsidRDefault="00724A62" w:rsidP="008D1860">
      <w:pPr>
        <w:tabs>
          <w:tab w:val="left" w:pos="900"/>
          <w:tab w:val="right" w:leader="dot" w:pos="8222"/>
        </w:tabs>
      </w:pPr>
    </w:p>
    <w:p w14:paraId="2AEC5CA6" w14:textId="77777777" w:rsidR="00BA4F48" w:rsidRPr="00CA7971" w:rsidRDefault="001043D7" w:rsidP="00BA4F48">
      <w:pPr>
        <w:tabs>
          <w:tab w:val="left" w:pos="900"/>
        </w:tabs>
      </w:pPr>
    </w:p>
    <w:p w14:paraId="2AEC5CA7" w14:textId="77777777" w:rsidR="00BA4F48" w:rsidRPr="00CA7971" w:rsidRDefault="001043D7" w:rsidP="00BA4F48">
      <w:pPr>
        <w:tabs>
          <w:tab w:val="left" w:pos="900"/>
        </w:tabs>
      </w:pPr>
    </w:p>
    <w:p w14:paraId="2AEC5CA8" w14:textId="77777777" w:rsidR="00BA4F48" w:rsidRPr="00CA7971" w:rsidRDefault="001043D7" w:rsidP="00C56213">
      <w:pPr>
        <w:tabs>
          <w:tab w:val="left" w:pos="2220"/>
        </w:tabs>
      </w:pPr>
    </w:p>
    <w:p w14:paraId="2AEC5CA9" w14:textId="77777777" w:rsidR="00BA4F48" w:rsidRPr="00CA7971" w:rsidRDefault="001043D7" w:rsidP="00BA4F48">
      <w:pPr>
        <w:tabs>
          <w:tab w:val="left" w:pos="900"/>
        </w:tabs>
      </w:pPr>
    </w:p>
    <w:p w14:paraId="2AEC5CAA" w14:textId="77777777" w:rsidR="00BA4F48" w:rsidRPr="00CA7971" w:rsidRDefault="001043D7" w:rsidP="00BA4F48">
      <w:pPr>
        <w:tabs>
          <w:tab w:val="left" w:pos="900"/>
        </w:tabs>
      </w:pPr>
    </w:p>
    <w:p w14:paraId="2AEC5CAB" w14:textId="77777777" w:rsidR="00BA4F48" w:rsidRPr="00CA7971" w:rsidRDefault="001043D7" w:rsidP="00BA4F48">
      <w:pPr>
        <w:tabs>
          <w:tab w:val="left" w:pos="900"/>
        </w:tabs>
      </w:pPr>
    </w:p>
    <w:p w14:paraId="2AEC5CAC" w14:textId="77777777" w:rsidR="00BA4F48" w:rsidRPr="00CA7971" w:rsidRDefault="008D140A" w:rsidP="00BA4F48">
      <w:pPr>
        <w:pStyle w:val="MainHeadding"/>
        <w:tabs>
          <w:tab w:val="left" w:pos="900"/>
        </w:tabs>
      </w:pPr>
      <w:r w:rsidRPr="00CA7971">
        <w:rPr>
          <w:color w:val="3366FF"/>
        </w:rPr>
        <w:br w:type="page"/>
      </w:r>
      <w:bookmarkStart w:id="1" w:name="_Toc256000026"/>
      <w:bookmarkStart w:id="2" w:name="_Toc256000013"/>
      <w:bookmarkStart w:id="3" w:name="_Toc256000000"/>
      <w:bookmarkStart w:id="4" w:name="_Toc167864611"/>
      <w:bookmarkStart w:id="5" w:name="_Toc390430612"/>
      <w:bookmarkStart w:id="6" w:name="_Toc458587249"/>
      <w:bookmarkStart w:id="7" w:name="_Toc468694418"/>
      <w:r w:rsidRPr="00CA7971">
        <w:t>legislative context</w:t>
      </w:r>
      <w:bookmarkEnd w:id="1"/>
      <w:bookmarkEnd w:id="2"/>
      <w:bookmarkEnd w:id="3"/>
      <w:bookmarkEnd w:id="4"/>
      <w:bookmarkEnd w:id="5"/>
      <w:bookmarkEnd w:id="6"/>
      <w:bookmarkEnd w:id="7"/>
    </w:p>
    <w:p w14:paraId="2AEC5CAD" w14:textId="51D9DEE6" w:rsidR="003F01D5" w:rsidRPr="00CA7971" w:rsidRDefault="008D140A" w:rsidP="003F01D5">
      <w:pPr>
        <w:spacing w:after="240"/>
        <w:rPr>
          <w:rFonts w:cs="Arial"/>
          <w:i/>
        </w:rPr>
      </w:pPr>
      <w:r w:rsidRPr="00B97E32">
        <w:rPr>
          <w:rFonts w:cs="Arial"/>
        </w:rPr>
        <w:t xml:space="preserve">Vehicle Standard </w:t>
      </w:r>
      <w:r w:rsidRPr="006E0608">
        <w:rPr>
          <w:rFonts w:cs="Arial"/>
        </w:rPr>
        <w:t xml:space="preserve">(Australian Design Rule </w:t>
      </w:r>
      <w:r w:rsidR="00124466">
        <w:rPr>
          <w:rFonts w:cs="Arial"/>
        </w:rPr>
        <w:t>45</w:t>
      </w:r>
      <w:r w:rsidRPr="006E0608">
        <w:rPr>
          <w:rFonts w:cs="Arial"/>
        </w:rPr>
        <w:t xml:space="preserve">/01 – </w:t>
      </w:r>
      <w:r w:rsidR="00124466" w:rsidRPr="00124466">
        <w:rPr>
          <w:rFonts w:cs="Arial"/>
        </w:rPr>
        <w:t>Lighting and Light Signalling Devices</w:t>
      </w:r>
      <w:r w:rsidR="00C739F8">
        <w:rPr>
          <w:rFonts w:cs="Arial"/>
        </w:rPr>
        <w:t xml:space="preserve"> </w:t>
      </w:r>
      <w:r w:rsidR="00124466" w:rsidRPr="00124466">
        <w:rPr>
          <w:rFonts w:cs="Arial"/>
        </w:rPr>
        <w:t>not Covered by ECE Regulations</w:t>
      </w:r>
      <w:r w:rsidRPr="006E0608">
        <w:rPr>
          <w:rFonts w:cs="Arial"/>
        </w:rPr>
        <w:t xml:space="preserve">) 2006 </w:t>
      </w:r>
      <w:r w:rsidR="00124466">
        <w:rPr>
          <w:rFonts w:cs="Arial"/>
        </w:rPr>
        <w:t>Amendment 1</w:t>
      </w:r>
      <w:r>
        <w:rPr>
          <w:rFonts w:cs="Arial"/>
        </w:rPr>
        <w:t xml:space="preserve"> </w:t>
      </w:r>
      <w:r w:rsidRPr="00B97E32">
        <w:rPr>
          <w:rFonts w:cs="Arial"/>
        </w:rPr>
        <w:t>is</w:t>
      </w:r>
      <w:r w:rsidRPr="00CA7971">
        <w:rPr>
          <w:rFonts w:cs="Arial"/>
        </w:rPr>
        <w:t xml:space="preserve"> made under the </w:t>
      </w:r>
      <w:r w:rsidRPr="00CA7971">
        <w:rPr>
          <w:rFonts w:cs="Arial"/>
          <w:i/>
        </w:rPr>
        <w:t>Motor Vehicle Standards Act 1989</w:t>
      </w:r>
      <w:r w:rsidRPr="00CA7971">
        <w:rPr>
          <w:rFonts w:cs="Arial"/>
        </w:rPr>
        <w:t xml:space="preserve"> (the Act).  The Act enables the Australian Government to establish nationally uniform standards </w:t>
      </w:r>
      <w:r>
        <w:rPr>
          <w:rFonts w:cs="Arial"/>
        </w:rPr>
        <w:t>for</w:t>
      </w:r>
      <w:r w:rsidRPr="00CA7971">
        <w:rPr>
          <w:rFonts w:cs="Arial"/>
        </w:rPr>
        <w:t xml:space="preserve"> road vehicles when they are first supplied to the market in Australia.  The Act applies to such vehicles whether they are manufactured in Australia or imported</w:t>
      </w:r>
      <w:r>
        <w:rPr>
          <w:rFonts w:cs="Arial"/>
        </w:rPr>
        <w:t>.</w:t>
      </w:r>
    </w:p>
    <w:p w14:paraId="2AEC5CAE" w14:textId="77777777" w:rsidR="003F01D5" w:rsidRDefault="008D140A" w:rsidP="003F01D5">
      <w:pPr>
        <w:pStyle w:val="StyledotArialLeft0cmFirstline0cmAfter12pt"/>
      </w:pPr>
      <w:r w:rsidRPr="00CA7971">
        <w:t>The making of the vehicle standards necessary for the Act's effective operation is provided for in section 7 which empowers the Minister to "determine vehicle standards for road vehicles or vehicle components".</w:t>
      </w:r>
    </w:p>
    <w:p w14:paraId="2AEC5CAF" w14:textId="49E70025" w:rsidR="00EE2C80" w:rsidRPr="00CA7971" w:rsidRDefault="008D140A" w:rsidP="00EE2C80">
      <w:pPr>
        <w:pStyle w:val="StyledotArialLeft0cmFirstline0cmAfter12pt"/>
      </w:pPr>
      <w:r>
        <w:t xml:space="preserve">Vehicle Standard </w:t>
      </w:r>
      <w:r w:rsidRPr="006E0608">
        <w:t xml:space="preserve">(Australian Design Rule </w:t>
      </w:r>
      <w:r w:rsidR="00124466">
        <w:t>45</w:t>
      </w:r>
      <w:r w:rsidRPr="006E0608">
        <w:t xml:space="preserve">/01 – </w:t>
      </w:r>
      <w:r w:rsidR="00124466" w:rsidRPr="00124466">
        <w:t>Lighting and Light Signalling Devices</w:t>
      </w:r>
      <w:r w:rsidR="00C739F8">
        <w:t xml:space="preserve"> </w:t>
      </w:r>
      <w:r w:rsidR="00124466" w:rsidRPr="00124466">
        <w:t>not Covered by ECE Regulations</w:t>
      </w:r>
      <w:r w:rsidRPr="006E0608">
        <w:t>) 2006</w:t>
      </w:r>
      <w:r>
        <w:rPr>
          <w:rFonts w:cs="Arial"/>
        </w:rPr>
        <w:t xml:space="preserve"> </w:t>
      </w:r>
      <w:r>
        <w:t xml:space="preserve">(ADR </w:t>
      </w:r>
      <w:r w:rsidR="00124466">
        <w:t>45</w:t>
      </w:r>
      <w:r>
        <w:t>/01) was originally determined in 2006.</w:t>
      </w:r>
    </w:p>
    <w:p w14:paraId="2AEC5CB0" w14:textId="180A6E64" w:rsidR="00BA4F48" w:rsidRPr="00CA7971" w:rsidRDefault="008D140A" w:rsidP="00C86C04">
      <w:pPr>
        <w:pStyle w:val="MainHeadding"/>
        <w:rPr>
          <w:rFonts w:cs="Arial"/>
        </w:rPr>
      </w:pPr>
      <w:bookmarkStart w:id="8" w:name="_Toc167864612"/>
      <w:bookmarkStart w:id="9" w:name="_Toc390430613"/>
      <w:bookmarkStart w:id="10" w:name="_Toc256000027"/>
      <w:bookmarkStart w:id="11" w:name="_Toc256000014"/>
      <w:bookmarkStart w:id="12" w:name="_Toc256000001"/>
      <w:bookmarkStart w:id="13" w:name="_Toc458587250"/>
      <w:bookmarkStart w:id="14" w:name="_Toc468694419"/>
      <w:r w:rsidRPr="00CA7971">
        <w:t xml:space="preserve">content and effect of ADR </w:t>
      </w:r>
      <w:bookmarkEnd w:id="8"/>
      <w:bookmarkEnd w:id="9"/>
      <w:r w:rsidR="002F2F7B">
        <w:t>45</w:t>
      </w:r>
      <w:r w:rsidRPr="00C86C04">
        <w:t>/0</w:t>
      </w:r>
      <w:r>
        <w:t>1 and the amendment</w:t>
      </w:r>
      <w:bookmarkEnd w:id="10"/>
      <w:bookmarkEnd w:id="11"/>
      <w:bookmarkEnd w:id="12"/>
      <w:bookmarkEnd w:id="13"/>
      <w:bookmarkEnd w:id="14"/>
    </w:p>
    <w:p w14:paraId="2AEC5CB1" w14:textId="77777777" w:rsidR="00BA4F48" w:rsidRDefault="008D140A" w:rsidP="00BA4F48">
      <w:pPr>
        <w:pStyle w:val="Subsection"/>
      </w:pPr>
      <w:bookmarkStart w:id="15" w:name="_Toc256000028"/>
      <w:bookmarkStart w:id="16" w:name="_Toc256000015"/>
      <w:bookmarkStart w:id="17" w:name="_Toc256000002"/>
      <w:bookmarkStart w:id="18" w:name="_Toc167864613"/>
      <w:bookmarkStart w:id="19" w:name="_Toc390430614"/>
      <w:bookmarkStart w:id="20" w:name="_Toc458587251"/>
      <w:bookmarkStart w:id="21" w:name="_Toc468694420"/>
      <w:r w:rsidRPr="00CA7971">
        <w:t>Overview of the ADR</w:t>
      </w:r>
      <w:bookmarkEnd w:id="15"/>
      <w:bookmarkEnd w:id="16"/>
      <w:bookmarkEnd w:id="17"/>
      <w:bookmarkEnd w:id="18"/>
      <w:bookmarkEnd w:id="19"/>
      <w:bookmarkEnd w:id="20"/>
      <w:bookmarkEnd w:id="21"/>
    </w:p>
    <w:p w14:paraId="2AEC5CB2" w14:textId="5A1E75C9" w:rsidR="00147A75" w:rsidRDefault="008D140A" w:rsidP="003B4F16">
      <w:r w:rsidRPr="000A4041">
        <w:t xml:space="preserve">The function of Australian Design Rule (ADR) </w:t>
      </w:r>
      <w:r w:rsidR="000A4041" w:rsidRPr="000A4041">
        <w:t>45</w:t>
      </w:r>
      <w:r w:rsidRPr="000A4041">
        <w:t xml:space="preserve">/01 is to </w:t>
      </w:r>
      <w:r w:rsidRPr="000A4041">
        <w:rPr>
          <w:rFonts w:cs="Arial"/>
        </w:rPr>
        <w:t xml:space="preserve">specify the </w:t>
      </w:r>
      <w:r w:rsidR="000A4041" w:rsidRPr="000A4041">
        <w:rPr>
          <w:rFonts w:cs="Arial"/>
        </w:rPr>
        <w:t xml:space="preserve">photometric </w:t>
      </w:r>
      <w:r w:rsidRPr="000A4041">
        <w:t xml:space="preserve">requirements for </w:t>
      </w:r>
      <w:r w:rsidR="000A4041" w:rsidRPr="000A4041">
        <w:t>lighting and light-signalling devices not covered by United Nations (UN) Regulations.</w:t>
      </w:r>
    </w:p>
    <w:p w14:paraId="2AEC5CB3" w14:textId="77777777" w:rsidR="003F01D5" w:rsidRPr="00CA7971" w:rsidRDefault="008D140A" w:rsidP="009231EC">
      <w:pPr>
        <w:pStyle w:val="Subsection"/>
      </w:pPr>
      <w:bookmarkStart w:id="22" w:name="_Toc167864614"/>
      <w:bookmarkStart w:id="23" w:name="_Toc390430615"/>
      <w:bookmarkStart w:id="24" w:name="_Toc256000029"/>
      <w:bookmarkStart w:id="25" w:name="_Toc256000016"/>
      <w:bookmarkStart w:id="26" w:name="_Toc256000003"/>
      <w:bookmarkStart w:id="27" w:name="_Toc458587252"/>
      <w:bookmarkStart w:id="28" w:name="_Toc468694421"/>
      <w:r w:rsidRPr="00CA7971">
        <w:t>Effect of the ADR</w:t>
      </w:r>
      <w:bookmarkEnd w:id="22"/>
      <w:bookmarkEnd w:id="23"/>
      <w:r>
        <w:t xml:space="preserve"> Amendment</w:t>
      </w:r>
      <w:bookmarkEnd w:id="24"/>
      <w:bookmarkEnd w:id="25"/>
      <w:bookmarkEnd w:id="26"/>
      <w:bookmarkEnd w:id="27"/>
      <w:bookmarkEnd w:id="28"/>
    </w:p>
    <w:p w14:paraId="04799FFD" w14:textId="3CFDBF86" w:rsidR="000A4041" w:rsidRPr="00623E63" w:rsidRDefault="00623E63" w:rsidP="00F935C2">
      <w:pPr>
        <w:spacing w:after="240"/>
        <w:rPr>
          <w:rFonts w:cs="Arial"/>
        </w:rPr>
      </w:pPr>
      <w:bookmarkStart w:id="29" w:name="_Toc167864615"/>
      <w:r w:rsidRPr="00623E63">
        <w:rPr>
          <w:rFonts w:cs="Arial"/>
        </w:rPr>
        <w:t xml:space="preserve">This amendment will </w:t>
      </w:r>
      <w:r w:rsidR="000A4041" w:rsidRPr="00623E63">
        <w:rPr>
          <w:rFonts w:cs="Arial"/>
        </w:rPr>
        <w:t>remove Australian-specific content</w:t>
      </w:r>
      <w:r w:rsidRPr="00623E63">
        <w:rPr>
          <w:rFonts w:cs="Arial"/>
        </w:rPr>
        <w:t xml:space="preserve"> which has been</w:t>
      </w:r>
      <w:r w:rsidR="000A4041" w:rsidRPr="00623E63">
        <w:rPr>
          <w:rFonts w:cs="Arial"/>
        </w:rPr>
        <w:t xml:space="preserve"> determined </w:t>
      </w:r>
      <w:r w:rsidRPr="00623E63">
        <w:rPr>
          <w:rFonts w:cs="Arial"/>
        </w:rPr>
        <w:t xml:space="preserve">to be </w:t>
      </w:r>
      <w:r w:rsidR="000A4041" w:rsidRPr="00623E63">
        <w:rPr>
          <w:rFonts w:cs="Arial"/>
        </w:rPr>
        <w:t>unused after discussion with industry</w:t>
      </w:r>
      <w:r w:rsidRPr="00623E63">
        <w:rPr>
          <w:rFonts w:cs="Arial"/>
        </w:rPr>
        <w:t>, and which is now covered by United Nations (UN) Regulations referenced by lighting installation ADRs including ADR 13/00, ADR 19/02 and ADR 67/00.</w:t>
      </w:r>
    </w:p>
    <w:p w14:paraId="023A9CFD" w14:textId="77777777" w:rsidR="00623E63" w:rsidRPr="00623E63" w:rsidRDefault="00623E63" w:rsidP="00F935C2">
      <w:pPr>
        <w:spacing w:after="240"/>
        <w:rPr>
          <w:rFonts w:cs="Arial"/>
        </w:rPr>
      </w:pPr>
      <w:r w:rsidRPr="00623E63">
        <w:rPr>
          <w:rFonts w:cs="Arial"/>
        </w:rPr>
        <w:t>This amendment will also remove certain requirements which will be placed into ADRs specifically for those lighting types, such as side marker lamps and cornering lamps.</w:t>
      </w:r>
    </w:p>
    <w:p w14:paraId="2B07BAC1" w14:textId="0E336DC4" w:rsidR="00623E63" w:rsidRDefault="00623E63" w:rsidP="00F935C2">
      <w:pPr>
        <w:spacing w:after="240"/>
        <w:rPr>
          <w:rFonts w:cs="Arial"/>
        </w:rPr>
      </w:pPr>
      <w:r w:rsidRPr="00623E63">
        <w:rPr>
          <w:rFonts w:cs="Arial"/>
        </w:rPr>
        <w:t>Finally, this amendment will improve the quality of the ADR, by correcting typographical errors, referring to ADR 13/00 for current chromaticity requirements, and adding wording to allow for modern lighting solutions including LED modules.</w:t>
      </w:r>
    </w:p>
    <w:p w14:paraId="6606B019" w14:textId="019983AB" w:rsidR="002F2F7B" w:rsidRPr="00623E63" w:rsidRDefault="002F2F7B" w:rsidP="00F935C2">
      <w:pPr>
        <w:spacing w:after="240"/>
        <w:rPr>
          <w:rFonts w:cs="Arial"/>
        </w:rPr>
      </w:pPr>
      <w:r>
        <w:rPr>
          <w:rFonts w:cs="Arial"/>
        </w:rPr>
        <w:t>Whilst this ADR now only covers a single lighting type, it has been decided not to update the title of this ADR to leave open the possibility for future additions of other lighting types not covered by United Nations regulations.</w:t>
      </w:r>
    </w:p>
    <w:p w14:paraId="6ADE3EB1" w14:textId="0AB608BB" w:rsidR="00124466" w:rsidRDefault="00124466" w:rsidP="00F935C2">
      <w:pPr>
        <w:spacing w:after="240"/>
        <w:rPr>
          <w:rFonts w:cs="Arial"/>
          <w:highlight w:val="yellow"/>
        </w:rPr>
      </w:pPr>
      <w:r>
        <w:rPr>
          <w:rFonts w:cs="Arial"/>
        </w:rPr>
        <w:t xml:space="preserve">This amendment </w:t>
      </w:r>
      <w:r w:rsidRPr="00124466">
        <w:rPr>
          <w:rFonts w:cs="Arial"/>
        </w:rPr>
        <w:t xml:space="preserve">is part of a package of introductions and amendments to ADRs associated with vehicle lighting generally, with the aims of addressing parking and cornering lamps more explicitly and clearly, and improving the quality of the lighting ADR suite.  </w:t>
      </w:r>
    </w:p>
    <w:p w14:paraId="2AEC5CBC" w14:textId="77777777" w:rsidR="00ED4DF9" w:rsidRPr="005D21F5" w:rsidRDefault="008D140A" w:rsidP="00ED4DF9">
      <w:pPr>
        <w:pStyle w:val="MainHeadding"/>
      </w:pPr>
      <w:bookmarkStart w:id="30" w:name="_Toc317158947"/>
      <w:bookmarkStart w:id="31" w:name="_Toc317171386"/>
      <w:bookmarkStart w:id="32" w:name="_Toc317171512"/>
      <w:bookmarkStart w:id="33" w:name="_Toc377388629"/>
      <w:bookmarkStart w:id="34" w:name="_Toc393194583"/>
      <w:bookmarkStart w:id="35" w:name="_Toc256000017"/>
      <w:bookmarkStart w:id="36" w:name="_Toc256000004"/>
      <w:bookmarkStart w:id="37" w:name="_Toc458587253"/>
      <w:bookmarkStart w:id="38" w:name="_Toc256000030"/>
      <w:bookmarkStart w:id="39" w:name="_Toc468694422"/>
      <w:bookmarkStart w:id="40" w:name="_Toc167864618"/>
      <w:bookmarkStart w:id="41" w:name="_Toc390430618"/>
      <w:bookmarkStart w:id="42" w:name="_Toc318271645"/>
      <w:bookmarkStart w:id="43" w:name="_Toc317171517"/>
      <w:bookmarkStart w:id="44" w:name="_Toc317171391"/>
      <w:bookmarkStart w:id="45" w:name="_Toc317158948"/>
      <w:bookmarkStart w:id="46" w:name="_Toc318272904"/>
      <w:bookmarkStart w:id="47" w:name="_Toc319402529"/>
      <w:bookmarkStart w:id="48" w:name="_Toc390430619"/>
      <w:bookmarkEnd w:id="29"/>
      <w:r w:rsidRPr="005D21F5">
        <w:t>best practice regulation</w:t>
      </w:r>
      <w:bookmarkEnd w:id="30"/>
      <w:bookmarkEnd w:id="31"/>
      <w:bookmarkEnd w:id="32"/>
      <w:bookmarkEnd w:id="33"/>
      <w:bookmarkEnd w:id="34"/>
      <w:bookmarkEnd w:id="35"/>
      <w:bookmarkEnd w:id="36"/>
      <w:bookmarkEnd w:id="37"/>
      <w:bookmarkEnd w:id="38"/>
      <w:bookmarkEnd w:id="39"/>
    </w:p>
    <w:p w14:paraId="2AEC5CBD" w14:textId="77777777" w:rsidR="007A5DEA" w:rsidRDefault="008D140A" w:rsidP="007A5DEA">
      <w:pPr>
        <w:pStyle w:val="Subsection"/>
      </w:pPr>
      <w:bookmarkStart w:id="49" w:name="_Toc256000031"/>
      <w:bookmarkStart w:id="50" w:name="_Toc256000018"/>
      <w:bookmarkStart w:id="51" w:name="_Toc256000005"/>
      <w:bookmarkStart w:id="52" w:name="_Toc167864616"/>
      <w:bookmarkStart w:id="53" w:name="_Toc317171387"/>
      <w:bookmarkStart w:id="54" w:name="_Toc317171513"/>
      <w:bookmarkStart w:id="55" w:name="_Toc377388630"/>
      <w:bookmarkStart w:id="56" w:name="_Toc393194584"/>
      <w:bookmarkStart w:id="57" w:name="_Toc458587254"/>
      <w:bookmarkStart w:id="58" w:name="_Toc468694423"/>
      <w:r w:rsidRPr="00952B82">
        <w:t>Business Cost Calculator</w:t>
      </w:r>
      <w:bookmarkStart w:id="59" w:name="_Toc256000019"/>
      <w:bookmarkStart w:id="60" w:name="_Toc256000006"/>
      <w:bookmarkEnd w:id="49"/>
      <w:bookmarkEnd w:id="50"/>
      <w:bookmarkEnd w:id="51"/>
      <w:bookmarkEnd w:id="52"/>
      <w:bookmarkEnd w:id="53"/>
      <w:bookmarkEnd w:id="54"/>
      <w:bookmarkEnd w:id="55"/>
      <w:bookmarkEnd w:id="56"/>
      <w:bookmarkEnd w:id="57"/>
      <w:bookmarkEnd w:id="58"/>
    </w:p>
    <w:p w14:paraId="2AEC5CBE" w14:textId="3A200BC3" w:rsidR="007A5DEA" w:rsidRDefault="00D82BFD" w:rsidP="00A75CD2">
      <w:bookmarkStart w:id="61" w:name="_Toc256000032"/>
      <w:r w:rsidRPr="00D82BFD">
        <w:t>There is no significant cost or saving associated with this ADR amendment as it seeks only to remove unused Australian-specific requirements.</w:t>
      </w:r>
      <w:bookmarkEnd w:id="61"/>
      <w:r w:rsidR="008D140A" w:rsidRPr="00EA183A">
        <w:t xml:space="preserve"> </w:t>
      </w:r>
      <w:bookmarkStart w:id="62" w:name="_Toc458587255"/>
      <w:bookmarkStart w:id="63" w:name="_Toc167864617"/>
      <w:bookmarkStart w:id="64" w:name="_Toc317171388"/>
      <w:bookmarkStart w:id="65" w:name="_Toc317171514"/>
      <w:bookmarkStart w:id="66" w:name="_Toc377388631"/>
      <w:bookmarkStart w:id="67" w:name="_Toc393194585"/>
    </w:p>
    <w:p w14:paraId="2AEC5CBF" w14:textId="77777777" w:rsidR="007669CE" w:rsidRDefault="008D140A" w:rsidP="00ED4DF9">
      <w:pPr>
        <w:pStyle w:val="Subsection"/>
      </w:pPr>
      <w:bookmarkStart w:id="68" w:name="_Toc256000033"/>
      <w:bookmarkStart w:id="69" w:name="_Toc468694424"/>
      <w:r>
        <w:t>General Consultation Arrangements</w:t>
      </w:r>
      <w:bookmarkEnd w:id="59"/>
      <w:bookmarkEnd w:id="60"/>
      <w:bookmarkEnd w:id="62"/>
      <w:bookmarkEnd w:id="68"/>
      <w:bookmarkEnd w:id="69"/>
    </w:p>
    <w:bookmarkEnd w:id="63"/>
    <w:bookmarkEnd w:id="64"/>
    <w:bookmarkEnd w:id="65"/>
    <w:bookmarkEnd w:id="66"/>
    <w:bookmarkEnd w:id="67"/>
    <w:p w14:paraId="2AEC5CC0" w14:textId="77777777" w:rsidR="006863C9" w:rsidRPr="00933AA9" w:rsidRDefault="008D140A" w:rsidP="006863C9">
      <w:pPr>
        <w:spacing w:after="240"/>
        <w:rPr>
          <w:rFonts w:cs="Arial"/>
        </w:rPr>
      </w:pPr>
      <w:r w:rsidRPr="00933AA9">
        <w:rPr>
          <w:rFonts w:cs="Arial"/>
        </w:rPr>
        <w:t>It has been longstanding practice to consult widely on proposed new or amended vehicle standards.  For many years there has been active collaboration between the Federal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2AEC5CC1" w14:textId="77777777" w:rsidR="006863C9" w:rsidRPr="00933AA9" w:rsidRDefault="008D140A" w:rsidP="006863C9">
      <w:pPr>
        <w:spacing w:after="160"/>
        <w:rPr>
          <w:rFonts w:cs="Arial"/>
        </w:rPr>
      </w:pPr>
      <w:r w:rsidRPr="00933AA9">
        <w:rPr>
          <w:rFonts w:cs="Arial"/>
        </w:rPr>
        <w:t>Depending on the nature of the proposed changes, consultation could involve the Strategic Vehicle Safety and Environment Group (SVSEG), Australian Motor Vehicle Certification Board (AMVCB), Technical Liaison Group (TLG), Transport and Infrastructure Senior Officials’ Committee (TISOC) and the Transport and Infrastructure Council</w:t>
      </w:r>
      <w:r>
        <w:rPr>
          <w:rFonts w:cs="Arial"/>
        </w:rPr>
        <w:t xml:space="preserve"> (TIC)</w:t>
      </w:r>
      <w:r w:rsidRPr="00933AA9">
        <w:rPr>
          <w:rFonts w:cs="Arial"/>
        </w:rPr>
        <w:t>.</w:t>
      </w:r>
    </w:p>
    <w:p w14:paraId="2AEC5CC2" w14:textId="77777777" w:rsidR="006863C9" w:rsidRPr="00933AA9" w:rsidRDefault="008D140A" w:rsidP="006863C9">
      <w:pPr>
        <w:numPr>
          <w:ilvl w:val="0"/>
          <w:numId w:val="22"/>
        </w:numPr>
        <w:spacing w:after="160"/>
        <w:rPr>
          <w:rFonts w:cs="Arial"/>
        </w:rPr>
      </w:pPr>
      <w:r w:rsidRPr="00933AA9">
        <w:t>SVSEG</w:t>
      </w:r>
      <w:r w:rsidRPr="00933AA9">
        <w:rPr>
          <w:rFonts w:cs="Arial"/>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2AEC5CC3" w14:textId="77777777" w:rsidR="006863C9" w:rsidRPr="00933AA9" w:rsidRDefault="008D140A" w:rsidP="006863C9">
      <w:pPr>
        <w:numPr>
          <w:ilvl w:val="0"/>
          <w:numId w:val="22"/>
        </w:numPr>
        <w:spacing w:after="160"/>
        <w:rPr>
          <w:rFonts w:cs="Arial"/>
        </w:rPr>
      </w:pPr>
      <w:r w:rsidRPr="00933AA9">
        <w:rPr>
          <w:rFonts w:cs="Arial"/>
        </w:rPr>
        <w:t>AMVCB consists of technical representatives of government regulatory authorities (Australian and state/territory) that deal with ADR and other general vehicle issues, and the National Transport Commission and the National Heavy Vehicle Regulator.</w:t>
      </w:r>
    </w:p>
    <w:p w14:paraId="2AEC5CC4" w14:textId="77777777" w:rsidR="006863C9" w:rsidRPr="00933AA9" w:rsidRDefault="008D140A" w:rsidP="006863C9">
      <w:pPr>
        <w:numPr>
          <w:ilvl w:val="0"/>
          <w:numId w:val="22"/>
        </w:numPr>
        <w:spacing w:after="160"/>
        <w:rPr>
          <w:rFonts w:cs="Arial"/>
        </w:rPr>
      </w:pPr>
      <w:r w:rsidRPr="00933AA9">
        <w:rPr>
          <w:rFonts w:cs="Arial"/>
        </w:rPr>
        <w:t>TLG consists of technical representatives of government agencies (Australian and state/territory), the National Transport Commission and the National Heavy Vehicle Regulator, the manufacturing and operational arms of the industry and of representative organisations of consumers and road users (the same organisations as represented in SVSEG).</w:t>
      </w:r>
    </w:p>
    <w:p w14:paraId="2AEC5CC5" w14:textId="77777777" w:rsidR="006863C9" w:rsidRPr="00933AA9" w:rsidRDefault="008D140A" w:rsidP="006863C9">
      <w:pPr>
        <w:numPr>
          <w:ilvl w:val="0"/>
          <w:numId w:val="22"/>
        </w:numPr>
        <w:spacing w:after="160"/>
        <w:rPr>
          <w:rFonts w:cs="Arial"/>
        </w:rPr>
      </w:pPr>
      <w:r w:rsidRPr="00933AA9">
        <w:rPr>
          <w:rFonts w:cs="Arial"/>
        </w:rPr>
        <w:t>TISOC consists of state and territory transport and/or infrastructure Chief Executive Officers (CEO) (or equivalents), the CEO of the National Transport Commission, New Zealand and the Australian Local Government Association.</w:t>
      </w:r>
    </w:p>
    <w:p w14:paraId="2AEC5CC6" w14:textId="77777777" w:rsidR="006863C9" w:rsidRPr="00933AA9" w:rsidRDefault="008D140A" w:rsidP="006863C9">
      <w:pPr>
        <w:numPr>
          <w:ilvl w:val="0"/>
          <w:numId w:val="22"/>
        </w:numPr>
        <w:spacing w:after="240"/>
        <w:rPr>
          <w:rFonts w:cs="Arial"/>
        </w:rPr>
      </w:pPr>
      <w:r w:rsidRPr="00933AA9">
        <w:rPr>
          <w:rFonts w:cs="Arial"/>
        </w:rPr>
        <w:t xml:space="preserve">The </w:t>
      </w:r>
      <w:r>
        <w:rPr>
          <w:rFonts w:cs="Arial"/>
        </w:rPr>
        <w:t>TIC</w:t>
      </w:r>
      <w:r w:rsidRPr="00933AA9">
        <w:rPr>
          <w:rFonts w:cs="Arial"/>
        </w:rPr>
        <w:t xml:space="preserve"> consists of the Australian, state/territory and New Zealand Ministers with responsibility for transport and infrastructure issues.</w:t>
      </w:r>
    </w:p>
    <w:p w14:paraId="2AEC5CC7" w14:textId="77777777" w:rsidR="006863C9" w:rsidRPr="00933AA9" w:rsidRDefault="008D140A" w:rsidP="006863C9">
      <w:pPr>
        <w:spacing w:after="240"/>
        <w:rPr>
          <w:rFonts w:cs="Arial"/>
        </w:rPr>
      </w:pPr>
      <w:r w:rsidRPr="00933AA9">
        <w:rPr>
          <w:rFonts w:cs="Arial"/>
        </w:rPr>
        <w:t xml:space="preserve">Editorial changes and changes to correct errors are processed by the </w:t>
      </w:r>
      <w:r>
        <w:rPr>
          <w:rFonts w:cs="Arial"/>
        </w:rPr>
        <w:t>Department</w:t>
      </w:r>
      <w:r w:rsidRPr="00933AA9">
        <w:rPr>
          <w:rFonts w:cs="Arial"/>
        </w:rPr>
        <w:t>.  This approach is only used where the amendments do not vary the intent of the vehicle standard.</w:t>
      </w:r>
    </w:p>
    <w:p w14:paraId="2AEC5CC8" w14:textId="77777777" w:rsidR="006863C9" w:rsidRPr="00933AA9" w:rsidRDefault="008D140A" w:rsidP="006863C9">
      <w:pPr>
        <w:spacing w:after="240"/>
        <w:rPr>
          <w:rFonts w:cs="Arial"/>
          <w:i/>
        </w:rPr>
      </w:pPr>
      <w:r w:rsidRPr="00933AA9">
        <w:rPr>
          <w:rFonts w:cs="Arial"/>
        </w:rPr>
        <w:t xml:space="preserve">Proposals that are regarded as significant need to be supported by a Regulation Impact Statement meeting the requirements of the Office of Best Practice Regulation (OBPR) as published in the </w:t>
      </w:r>
      <w:r w:rsidRPr="00933AA9">
        <w:rPr>
          <w:rFonts w:cs="Arial"/>
          <w:i/>
        </w:rPr>
        <w:t>Australian Government Guide to Regulation</w:t>
      </w:r>
      <w:r w:rsidRPr="00933AA9">
        <w:rPr>
          <w:rFonts w:cs="Arial"/>
        </w:rPr>
        <w:t xml:space="preserve"> and the Council of Australian Government’s </w:t>
      </w:r>
      <w:r w:rsidRPr="00933AA9">
        <w:rPr>
          <w:rFonts w:cs="Arial"/>
          <w:i/>
          <w:iCs/>
        </w:rPr>
        <w:t>Best Practice Regulation: A Guide</w:t>
      </w:r>
      <w:r w:rsidRPr="00933AA9">
        <w:rPr>
          <w:rFonts w:cs="Arial"/>
        </w:rPr>
        <w:t xml:space="preserve"> </w:t>
      </w:r>
      <w:r w:rsidRPr="00933AA9">
        <w:rPr>
          <w:rFonts w:cs="Arial"/>
          <w:i/>
        </w:rPr>
        <w:t>for Ministerial Councils and Standard-Setting Bodies</w:t>
      </w:r>
      <w:r w:rsidRPr="00933AA9">
        <w:rPr>
          <w:rFonts w:cs="Arial"/>
        </w:rPr>
        <w:t>.</w:t>
      </w:r>
    </w:p>
    <w:p w14:paraId="2AEC5CC9" w14:textId="77777777" w:rsidR="00ED4DF9" w:rsidRPr="00427E35" w:rsidRDefault="008D140A" w:rsidP="00ED4DF9">
      <w:pPr>
        <w:pStyle w:val="Subsection"/>
      </w:pPr>
      <w:bookmarkStart w:id="70" w:name="_Toc458587256"/>
      <w:bookmarkStart w:id="71" w:name="_Toc458587257"/>
      <w:bookmarkStart w:id="72" w:name="_Toc458587258"/>
      <w:bookmarkStart w:id="73" w:name="_Toc458587259"/>
      <w:bookmarkStart w:id="74" w:name="_Toc458587260"/>
      <w:bookmarkStart w:id="75" w:name="_Toc458587261"/>
      <w:bookmarkStart w:id="76" w:name="_Toc458587262"/>
      <w:bookmarkStart w:id="77" w:name="_Toc458587263"/>
      <w:bookmarkStart w:id="78" w:name="_Toc458587264"/>
      <w:bookmarkStart w:id="79" w:name="_Toc256000034"/>
      <w:bookmarkStart w:id="80" w:name="_Toc256000020"/>
      <w:bookmarkStart w:id="81" w:name="_Toc256000007"/>
      <w:bookmarkStart w:id="82" w:name="_Toc317171389"/>
      <w:bookmarkStart w:id="83" w:name="_Toc317171515"/>
      <w:bookmarkStart w:id="84" w:name="_Toc377388632"/>
      <w:bookmarkStart w:id="85" w:name="_Toc393194586"/>
      <w:bookmarkStart w:id="86" w:name="_Toc458587265"/>
      <w:bookmarkStart w:id="87" w:name="_Toc468694425"/>
      <w:bookmarkEnd w:id="70"/>
      <w:bookmarkEnd w:id="71"/>
      <w:bookmarkEnd w:id="72"/>
      <w:bookmarkEnd w:id="73"/>
      <w:bookmarkEnd w:id="74"/>
      <w:bookmarkEnd w:id="75"/>
      <w:bookmarkEnd w:id="76"/>
      <w:bookmarkEnd w:id="77"/>
      <w:bookmarkEnd w:id="78"/>
      <w:r w:rsidRPr="00427E35">
        <w:t>Specific Consultation Arrangements for this Vehicle Standard</w:t>
      </w:r>
      <w:bookmarkEnd w:id="79"/>
      <w:bookmarkEnd w:id="80"/>
      <w:bookmarkEnd w:id="81"/>
      <w:bookmarkEnd w:id="82"/>
      <w:bookmarkEnd w:id="83"/>
      <w:bookmarkEnd w:id="84"/>
      <w:bookmarkEnd w:id="85"/>
      <w:bookmarkEnd w:id="86"/>
      <w:bookmarkEnd w:id="87"/>
    </w:p>
    <w:p w14:paraId="127F7C05" w14:textId="77777777" w:rsidR="00124466" w:rsidRDefault="00124466" w:rsidP="00ED4DF9">
      <w:pPr>
        <w:spacing w:after="240"/>
        <w:rPr>
          <w:rFonts w:cs="Arial"/>
        </w:rPr>
      </w:pPr>
      <w:r w:rsidRPr="00124466">
        <w:rPr>
          <w:rFonts w:cs="Arial"/>
        </w:rPr>
        <w:t xml:space="preserve">The </w:t>
      </w:r>
      <w:r>
        <w:rPr>
          <w:rFonts w:cs="Arial"/>
        </w:rPr>
        <w:t>incorporation of UN Regulations for parking and cornering lamps which drives this amendment was discussed and agreed at SVSEG meeting 9 in 2014</w:t>
      </w:r>
      <w:r w:rsidRPr="00124466">
        <w:rPr>
          <w:rFonts w:cs="Arial"/>
        </w:rPr>
        <w:t>.  The specific</w:t>
      </w:r>
      <w:r>
        <w:rPr>
          <w:rFonts w:cs="Arial"/>
        </w:rPr>
        <w:t>s</w:t>
      </w:r>
      <w:r w:rsidRPr="00124466">
        <w:rPr>
          <w:rFonts w:cs="Arial"/>
        </w:rPr>
        <w:t xml:space="preserve"> </w:t>
      </w:r>
      <w:r>
        <w:rPr>
          <w:rFonts w:cs="Arial"/>
        </w:rPr>
        <w:t xml:space="preserve">of this amendment </w:t>
      </w:r>
      <w:r w:rsidRPr="00124466">
        <w:rPr>
          <w:rFonts w:cs="Arial"/>
        </w:rPr>
        <w:t>w</w:t>
      </w:r>
      <w:r>
        <w:rPr>
          <w:rFonts w:cs="Arial"/>
        </w:rPr>
        <w:t>ere</w:t>
      </w:r>
      <w:r w:rsidRPr="00124466">
        <w:rPr>
          <w:rFonts w:cs="Arial"/>
        </w:rPr>
        <w:t xml:space="preserve"> discussed with and agreed by TLG in September 2016. </w:t>
      </w:r>
    </w:p>
    <w:p w14:paraId="2AEC5CCB" w14:textId="034894C2" w:rsidR="00ED4DF9" w:rsidRPr="00FC40B0" w:rsidRDefault="008D140A" w:rsidP="00ED4DF9">
      <w:pPr>
        <w:spacing w:after="240"/>
      </w:pPr>
      <w:r w:rsidRPr="00AA3C7B">
        <w:t>As the amendment is minor in nature, and does not increase the stringency of the ADR, there is no need for further consultation through TISOC, the Transport and Infrastructure Council, or the public comment process.</w:t>
      </w:r>
    </w:p>
    <w:p w14:paraId="2AEC5CCC" w14:textId="77777777" w:rsidR="00ED4DF9" w:rsidRPr="00AD1A1D" w:rsidRDefault="008D140A" w:rsidP="00ED4DF9">
      <w:pPr>
        <w:pStyle w:val="Subsection"/>
      </w:pPr>
      <w:bookmarkStart w:id="88" w:name="_Toc256000035"/>
      <w:bookmarkStart w:id="89" w:name="_Toc256000021"/>
      <w:bookmarkStart w:id="90" w:name="_Toc256000008"/>
      <w:bookmarkStart w:id="91" w:name="_Toc317171390"/>
      <w:bookmarkStart w:id="92" w:name="_Toc317171516"/>
      <w:bookmarkStart w:id="93" w:name="_Toc377388633"/>
      <w:bookmarkStart w:id="94" w:name="_Toc393194587"/>
      <w:bookmarkStart w:id="95" w:name="_Toc458587266"/>
      <w:bookmarkStart w:id="96" w:name="_Toc468694426"/>
      <w:r w:rsidRPr="00AD1A1D">
        <w:t>Regulation Impact Statement</w:t>
      </w:r>
      <w:bookmarkEnd w:id="88"/>
      <w:bookmarkEnd w:id="89"/>
      <w:bookmarkEnd w:id="90"/>
      <w:bookmarkEnd w:id="91"/>
      <w:bookmarkEnd w:id="92"/>
      <w:bookmarkEnd w:id="93"/>
      <w:bookmarkEnd w:id="94"/>
      <w:bookmarkEnd w:id="95"/>
      <w:bookmarkEnd w:id="96"/>
      <w:r w:rsidRPr="00AD1A1D">
        <w:t xml:space="preserve"> </w:t>
      </w:r>
    </w:p>
    <w:p w14:paraId="2AEC5CCD" w14:textId="77777777" w:rsidR="00ED4DF9" w:rsidRDefault="008D140A" w:rsidP="00ED4DF9">
      <w:pPr>
        <w:spacing w:after="240"/>
      </w:pPr>
      <w:r>
        <w:t>As the proposed amendment does not increase the stringency of the ADR, a Regulation Impact Statement is not required.</w:t>
      </w:r>
    </w:p>
    <w:p w14:paraId="2AEC5CCE" w14:textId="131B291C" w:rsidR="00ED4DF9" w:rsidRDefault="008D140A" w:rsidP="00ED4DF9">
      <w:pPr>
        <w:spacing w:after="240"/>
      </w:pPr>
      <w:r w:rsidRPr="008F4CB9">
        <w:t xml:space="preserve">Since the decision is made by the Minister for Urban Infrastructure without reference </w:t>
      </w:r>
      <w:r w:rsidRPr="00427E35">
        <w:t>to the TIC and the proposal is not considered significant, the Office of Best Practice Regulation requirements have been met for this regulatory proposal (OBPR Reference ID 2</w:t>
      </w:r>
      <w:r w:rsidR="00124466">
        <w:t>1346</w:t>
      </w:r>
      <w:r w:rsidRPr="00427E35">
        <w:t>).</w:t>
      </w:r>
    </w:p>
    <w:p w14:paraId="2AEC5CCF" w14:textId="77777777" w:rsidR="00586887" w:rsidRPr="00CA7971" w:rsidRDefault="008D140A" w:rsidP="00586887">
      <w:pPr>
        <w:pStyle w:val="MainHeadding"/>
        <w:tabs>
          <w:tab w:val="left" w:pos="900"/>
        </w:tabs>
      </w:pPr>
      <w:bookmarkStart w:id="97" w:name="_Toc256000036"/>
      <w:bookmarkStart w:id="98" w:name="_Toc256000022"/>
      <w:bookmarkStart w:id="99" w:name="_Toc256000009"/>
      <w:bookmarkStart w:id="100" w:name="_Toc458587267"/>
      <w:bookmarkStart w:id="101" w:name="_Toc468694427"/>
      <w:bookmarkEnd w:id="40"/>
      <w:bookmarkEnd w:id="41"/>
      <w:r w:rsidRPr="00CA7971">
        <w:t>STATEMENT OF COMPATIBILITY WITH HUMAN RIGHTS</w:t>
      </w:r>
      <w:bookmarkEnd w:id="42"/>
      <w:bookmarkEnd w:id="43"/>
      <w:bookmarkEnd w:id="44"/>
      <w:bookmarkEnd w:id="45"/>
      <w:bookmarkEnd w:id="46"/>
      <w:bookmarkEnd w:id="47"/>
      <w:bookmarkEnd w:id="48"/>
      <w:bookmarkEnd w:id="97"/>
      <w:bookmarkEnd w:id="98"/>
      <w:bookmarkEnd w:id="99"/>
      <w:bookmarkEnd w:id="100"/>
      <w:bookmarkEnd w:id="101"/>
    </w:p>
    <w:p w14:paraId="2AEC5CD0" w14:textId="77777777" w:rsidR="00586887" w:rsidRPr="00CA7971" w:rsidRDefault="008D140A" w:rsidP="00586887">
      <w:r w:rsidRPr="00CA7971">
        <w:t xml:space="preserve">The following Statement is prepared in accordance with Part 3 of the </w:t>
      </w:r>
      <w:r w:rsidRPr="00CA7971">
        <w:rPr>
          <w:i/>
          <w:iCs/>
        </w:rPr>
        <w:t>Human Rights (Parliamentary Scrutiny) Act 2011.</w:t>
      </w:r>
      <w:r w:rsidRPr="00CA7971">
        <w:t xml:space="preserve"> </w:t>
      </w:r>
    </w:p>
    <w:p w14:paraId="2AEC5CD1" w14:textId="77777777" w:rsidR="00586887" w:rsidRPr="00CA7971" w:rsidRDefault="008D140A" w:rsidP="00586887">
      <w:pPr>
        <w:pStyle w:val="Subsection"/>
      </w:pPr>
      <w:bookmarkStart w:id="102" w:name="_Toc256000037"/>
      <w:bookmarkStart w:id="103" w:name="_Toc256000023"/>
      <w:bookmarkStart w:id="104" w:name="_Toc256000010"/>
      <w:bookmarkStart w:id="105" w:name="_Toc318271646"/>
      <w:bookmarkStart w:id="106" w:name="_Toc317171518"/>
      <w:bookmarkStart w:id="107" w:name="_Toc317171392"/>
      <w:bookmarkStart w:id="108" w:name="_Toc318272905"/>
      <w:bookmarkStart w:id="109" w:name="_Toc319402530"/>
      <w:bookmarkStart w:id="110" w:name="_Toc390430620"/>
      <w:bookmarkStart w:id="111" w:name="_Toc458587268"/>
      <w:bookmarkStart w:id="112" w:name="_Toc468694428"/>
      <w:r w:rsidRPr="00CA7971">
        <w:t>Overview of the Legislative Instrument</w:t>
      </w:r>
      <w:bookmarkEnd w:id="102"/>
      <w:bookmarkEnd w:id="103"/>
      <w:bookmarkEnd w:id="104"/>
      <w:bookmarkEnd w:id="105"/>
      <w:bookmarkEnd w:id="106"/>
      <w:bookmarkEnd w:id="107"/>
      <w:bookmarkEnd w:id="108"/>
      <w:bookmarkEnd w:id="109"/>
      <w:bookmarkEnd w:id="110"/>
      <w:bookmarkEnd w:id="111"/>
      <w:bookmarkEnd w:id="112"/>
    </w:p>
    <w:p w14:paraId="2AEC5CD2" w14:textId="39CDEF65" w:rsidR="00586887" w:rsidRPr="00CA7971" w:rsidRDefault="008D140A" w:rsidP="002501C9">
      <w:r w:rsidRPr="00194C83">
        <w:t xml:space="preserve">This amendment </w:t>
      </w:r>
      <w:r w:rsidR="00124466">
        <w:t>removes Australian-specific content related to requirements for lighting and light-signalling devices not covered by UN Regulations</w:t>
      </w:r>
      <w:r w:rsidRPr="00E80BD7">
        <w:t>.</w:t>
      </w:r>
      <w:r>
        <w:t xml:space="preserve">  </w:t>
      </w:r>
    </w:p>
    <w:p w14:paraId="2AEC5CD3" w14:textId="77777777" w:rsidR="00586887" w:rsidRPr="00CA7971" w:rsidRDefault="008D140A" w:rsidP="00586887">
      <w:pPr>
        <w:pStyle w:val="Subsection"/>
      </w:pPr>
      <w:bookmarkStart w:id="113" w:name="_Toc256000038"/>
      <w:bookmarkStart w:id="114" w:name="_Toc256000024"/>
      <w:bookmarkStart w:id="115" w:name="_Toc256000011"/>
      <w:bookmarkStart w:id="116" w:name="_Toc318271647"/>
      <w:bookmarkStart w:id="117" w:name="_Toc317171519"/>
      <w:bookmarkStart w:id="118" w:name="_Toc317171393"/>
      <w:bookmarkStart w:id="119" w:name="_Toc318272906"/>
      <w:bookmarkStart w:id="120" w:name="_Toc319402531"/>
      <w:bookmarkStart w:id="121" w:name="_Toc390430621"/>
      <w:bookmarkStart w:id="122" w:name="_Toc458587269"/>
      <w:bookmarkStart w:id="123" w:name="_Toc468694429"/>
      <w:r w:rsidRPr="00CA7971">
        <w:t>Human Rights Implications</w:t>
      </w:r>
      <w:bookmarkEnd w:id="113"/>
      <w:bookmarkEnd w:id="114"/>
      <w:bookmarkEnd w:id="115"/>
      <w:bookmarkEnd w:id="116"/>
      <w:bookmarkEnd w:id="117"/>
      <w:bookmarkEnd w:id="118"/>
      <w:bookmarkEnd w:id="119"/>
      <w:bookmarkEnd w:id="120"/>
      <w:bookmarkEnd w:id="121"/>
      <w:bookmarkEnd w:id="122"/>
      <w:bookmarkEnd w:id="123"/>
    </w:p>
    <w:p w14:paraId="2AEC5CD4" w14:textId="2D4564AE" w:rsidR="007C7E7E" w:rsidRDefault="008D140A">
      <w:bookmarkStart w:id="124" w:name="_Toc319402532"/>
      <w:r w:rsidRPr="00194C83">
        <w:t xml:space="preserve">This amendment to ADR </w:t>
      </w:r>
      <w:r w:rsidR="00124466">
        <w:t>45</w:t>
      </w:r>
      <w:r>
        <w:t>/01</w:t>
      </w:r>
      <w:r w:rsidRPr="00194C83">
        <w:t xml:space="preserve"> does not engage any of the human rights and freedoms recognised or declared in the international instruments listed in section 3 of the </w:t>
      </w:r>
      <w:r w:rsidRPr="00E45699">
        <w:rPr>
          <w:i/>
        </w:rPr>
        <w:t>Human Rights (Parliamentary Scrutiny) Act 2011</w:t>
      </w:r>
      <w:r w:rsidRPr="00194C83">
        <w:t>.</w:t>
      </w:r>
    </w:p>
    <w:p w14:paraId="2AEC5CD5" w14:textId="77777777" w:rsidR="00586887" w:rsidRPr="00CA7971" w:rsidRDefault="008D140A" w:rsidP="00E45699">
      <w:pPr>
        <w:pStyle w:val="Subsection"/>
      </w:pPr>
      <w:bookmarkStart w:id="125" w:name="_Toc256000039"/>
      <w:bookmarkStart w:id="126" w:name="_Toc256000025"/>
      <w:bookmarkStart w:id="127" w:name="_Toc256000012"/>
      <w:bookmarkStart w:id="128" w:name="_Toc458587270"/>
      <w:bookmarkStart w:id="129" w:name="_Toc468694430"/>
      <w:r w:rsidRPr="00CA7971">
        <w:t>Conclusion</w:t>
      </w:r>
      <w:bookmarkEnd w:id="124"/>
      <w:bookmarkEnd w:id="125"/>
      <w:bookmarkEnd w:id="126"/>
      <w:bookmarkEnd w:id="127"/>
      <w:bookmarkEnd w:id="128"/>
      <w:bookmarkEnd w:id="129"/>
    </w:p>
    <w:p w14:paraId="2AEC5CD6" w14:textId="62AC93E3" w:rsidR="002D7277" w:rsidRPr="007A3BB4" w:rsidRDefault="008D140A" w:rsidP="0012110B">
      <w:r w:rsidRPr="00194C83">
        <w:t xml:space="preserve">This amendment to ADR </w:t>
      </w:r>
      <w:r w:rsidR="00124466">
        <w:t>45</w:t>
      </w:r>
      <w:r>
        <w:t>/01</w:t>
      </w:r>
      <w:r w:rsidRPr="00194C83">
        <w:t xml:space="preserve"> is compatible with human rights as it does not raise any human rights issues.</w:t>
      </w:r>
    </w:p>
    <w:sectPr w:rsidR="002D7277" w:rsidRPr="007A3BB4" w:rsidSect="003F0AC5">
      <w:headerReference w:type="default" r:id="rId11"/>
      <w:footerReference w:type="default" r:id="rId12"/>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0EF4E" w14:textId="77777777" w:rsidR="007716F6" w:rsidRDefault="007716F6">
      <w:r>
        <w:separator/>
      </w:r>
    </w:p>
  </w:endnote>
  <w:endnote w:type="continuationSeparator" w:id="0">
    <w:p w14:paraId="0156992B" w14:textId="77777777" w:rsidR="007716F6" w:rsidRDefault="0077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B" w14:textId="77777777" w:rsidR="006B2A4B" w:rsidRDefault="001043D7" w:rsidP="00C12E27">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F44DA" w14:textId="77777777" w:rsidR="007716F6" w:rsidRDefault="007716F6">
      <w:r>
        <w:separator/>
      </w:r>
    </w:p>
  </w:footnote>
  <w:footnote w:type="continuationSeparator" w:id="0">
    <w:p w14:paraId="07887F80" w14:textId="77777777" w:rsidR="007716F6" w:rsidRDefault="00771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7" w14:textId="1EBD665B" w:rsidR="006B2A4B" w:rsidRDefault="008D140A">
    <w:pPr>
      <w:pStyle w:val="Header"/>
      <w:jc w:val="right"/>
    </w:pPr>
    <w:r>
      <w:fldChar w:fldCharType="begin"/>
    </w:r>
    <w:r>
      <w:instrText xml:space="preserve"> PAGE   \* MERGEFORMAT </w:instrText>
    </w:r>
    <w:r>
      <w:fldChar w:fldCharType="separate"/>
    </w:r>
    <w:r w:rsidR="001043D7">
      <w:rPr>
        <w:noProof/>
      </w:rPr>
      <w:t>2</w:t>
    </w:r>
    <w:r>
      <w:rPr>
        <w:noProof/>
      </w:rPr>
      <w:fldChar w:fldCharType="end"/>
    </w:r>
  </w:p>
  <w:p w14:paraId="2AEC5CD8" w14:textId="07B10C1F" w:rsidR="006B2A4B" w:rsidRPr="003234FA" w:rsidRDefault="00B156DC" w:rsidP="0012110B">
    <w:pPr>
      <w:pStyle w:val="Header"/>
      <w:rPr>
        <w:szCs w:val="20"/>
      </w:rPr>
    </w:pPr>
    <w:r w:rsidRPr="00B156DC">
      <w:rPr>
        <w:szCs w:val="20"/>
      </w:rPr>
      <w:t xml:space="preserve">Vehicle Standard (Australian Design Rule 45/01) 2006 Amendment </w:t>
    </w:r>
    <w:r>
      <w:rPr>
        <w:szCs w:val="20"/>
      </w:rPr>
      <w:t>1</w:t>
    </w:r>
  </w:p>
  <w:p w14:paraId="2AEC5CD9" w14:textId="3596051C" w:rsidR="006B2A4B" w:rsidRDefault="00B156DC" w:rsidP="0012110B">
    <w:pPr>
      <w:pStyle w:val="Header"/>
      <w:pBdr>
        <w:bottom w:val="single" w:sz="4" w:space="1" w:color="auto"/>
      </w:pBdr>
      <w:tabs>
        <w:tab w:val="clear" w:pos="4153"/>
        <w:tab w:val="left" w:pos="7740"/>
      </w:tabs>
      <w:rPr>
        <w:szCs w:val="20"/>
      </w:rPr>
    </w:pPr>
    <w:r>
      <w:rPr>
        <w:szCs w:val="20"/>
      </w:rPr>
      <w:t>Explanatory Statement</w:t>
    </w:r>
  </w:p>
  <w:p w14:paraId="2AEC5CDA" w14:textId="77777777" w:rsidR="006B2A4B" w:rsidRDefault="00104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E17"/>
    <w:multiLevelType w:val="hybridMultilevel"/>
    <w:tmpl w:val="D936924A"/>
    <w:lvl w:ilvl="0" w:tplc="E7C8AB92">
      <w:start w:val="1"/>
      <w:numFmt w:val="lowerLetter"/>
      <w:lvlText w:val="%1)"/>
      <w:lvlJc w:val="left"/>
      <w:pPr>
        <w:ind w:left="783" w:hanging="360"/>
      </w:pPr>
      <w:rPr>
        <w:b w:val="0"/>
      </w:rPr>
    </w:lvl>
    <w:lvl w:ilvl="1" w:tplc="6CB28AE0" w:tentative="1">
      <w:start w:val="1"/>
      <w:numFmt w:val="lowerLetter"/>
      <w:lvlText w:val="%2."/>
      <w:lvlJc w:val="left"/>
      <w:pPr>
        <w:ind w:left="1503" w:hanging="360"/>
      </w:pPr>
    </w:lvl>
    <w:lvl w:ilvl="2" w:tplc="3A74D7BC" w:tentative="1">
      <w:start w:val="1"/>
      <w:numFmt w:val="lowerRoman"/>
      <w:lvlText w:val="%3."/>
      <w:lvlJc w:val="right"/>
      <w:pPr>
        <w:ind w:left="2223" w:hanging="180"/>
      </w:pPr>
    </w:lvl>
    <w:lvl w:ilvl="3" w:tplc="C248EAD6" w:tentative="1">
      <w:start w:val="1"/>
      <w:numFmt w:val="decimal"/>
      <w:lvlText w:val="%4."/>
      <w:lvlJc w:val="left"/>
      <w:pPr>
        <w:ind w:left="2943" w:hanging="360"/>
      </w:pPr>
    </w:lvl>
    <w:lvl w:ilvl="4" w:tplc="9504302C" w:tentative="1">
      <w:start w:val="1"/>
      <w:numFmt w:val="lowerLetter"/>
      <w:lvlText w:val="%5."/>
      <w:lvlJc w:val="left"/>
      <w:pPr>
        <w:ind w:left="3663" w:hanging="360"/>
      </w:pPr>
    </w:lvl>
    <w:lvl w:ilvl="5" w:tplc="79F4E10A" w:tentative="1">
      <w:start w:val="1"/>
      <w:numFmt w:val="lowerRoman"/>
      <w:lvlText w:val="%6."/>
      <w:lvlJc w:val="right"/>
      <w:pPr>
        <w:ind w:left="4383" w:hanging="180"/>
      </w:pPr>
    </w:lvl>
    <w:lvl w:ilvl="6" w:tplc="C6DC945E" w:tentative="1">
      <w:start w:val="1"/>
      <w:numFmt w:val="decimal"/>
      <w:lvlText w:val="%7."/>
      <w:lvlJc w:val="left"/>
      <w:pPr>
        <w:ind w:left="5103" w:hanging="360"/>
      </w:pPr>
    </w:lvl>
    <w:lvl w:ilvl="7" w:tplc="4ACA88C2" w:tentative="1">
      <w:start w:val="1"/>
      <w:numFmt w:val="lowerLetter"/>
      <w:lvlText w:val="%8."/>
      <w:lvlJc w:val="left"/>
      <w:pPr>
        <w:ind w:left="5823" w:hanging="360"/>
      </w:pPr>
    </w:lvl>
    <w:lvl w:ilvl="8" w:tplc="F432A918" w:tentative="1">
      <w:start w:val="1"/>
      <w:numFmt w:val="lowerRoman"/>
      <w:lvlText w:val="%9."/>
      <w:lvlJc w:val="right"/>
      <w:pPr>
        <w:ind w:left="6543" w:hanging="180"/>
      </w:pPr>
    </w:lvl>
  </w:abstractNum>
  <w:abstractNum w:abstractNumId="1" w15:restartNumberingAfterBreak="0">
    <w:nsid w:val="17A42E03"/>
    <w:multiLevelType w:val="hybridMultilevel"/>
    <w:tmpl w:val="BEB0E656"/>
    <w:lvl w:ilvl="0" w:tplc="CA8AA186">
      <w:start w:val="1"/>
      <w:numFmt w:val="bullet"/>
      <w:lvlText w:val=""/>
      <w:lvlJc w:val="left"/>
      <w:pPr>
        <w:tabs>
          <w:tab w:val="num" w:pos="720"/>
        </w:tabs>
        <w:ind w:left="720" w:hanging="360"/>
      </w:pPr>
      <w:rPr>
        <w:rFonts w:ascii="Symbol" w:hAnsi="Symbol" w:hint="default"/>
      </w:rPr>
    </w:lvl>
    <w:lvl w:ilvl="1" w:tplc="16088B3C" w:tentative="1">
      <w:start w:val="1"/>
      <w:numFmt w:val="bullet"/>
      <w:lvlText w:val="o"/>
      <w:lvlJc w:val="left"/>
      <w:pPr>
        <w:tabs>
          <w:tab w:val="num" w:pos="1440"/>
        </w:tabs>
        <w:ind w:left="1440" w:hanging="360"/>
      </w:pPr>
      <w:rPr>
        <w:rFonts w:ascii="Courier New" w:hAnsi="Courier New" w:cs="Courier New" w:hint="default"/>
      </w:rPr>
    </w:lvl>
    <w:lvl w:ilvl="2" w:tplc="112AE24A" w:tentative="1">
      <w:start w:val="1"/>
      <w:numFmt w:val="bullet"/>
      <w:lvlText w:val=""/>
      <w:lvlJc w:val="left"/>
      <w:pPr>
        <w:tabs>
          <w:tab w:val="num" w:pos="2160"/>
        </w:tabs>
        <w:ind w:left="2160" w:hanging="360"/>
      </w:pPr>
      <w:rPr>
        <w:rFonts w:ascii="Wingdings" w:hAnsi="Wingdings" w:hint="default"/>
      </w:rPr>
    </w:lvl>
    <w:lvl w:ilvl="3" w:tplc="CD68910E" w:tentative="1">
      <w:start w:val="1"/>
      <w:numFmt w:val="bullet"/>
      <w:lvlText w:val=""/>
      <w:lvlJc w:val="left"/>
      <w:pPr>
        <w:tabs>
          <w:tab w:val="num" w:pos="2880"/>
        </w:tabs>
        <w:ind w:left="2880" w:hanging="360"/>
      </w:pPr>
      <w:rPr>
        <w:rFonts w:ascii="Symbol" w:hAnsi="Symbol" w:hint="default"/>
      </w:rPr>
    </w:lvl>
    <w:lvl w:ilvl="4" w:tplc="2A4AE502" w:tentative="1">
      <w:start w:val="1"/>
      <w:numFmt w:val="bullet"/>
      <w:lvlText w:val="o"/>
      <w:lvlJc w:val="left"/>
      <w:pPr>
        <w:tabs>
          <w:tab w:val="num" w:pos="3600"/>
        </w:tabs>
        <w:ind w:left="3600" w:hanging="360"/>
      </w:pPr>
      <w:rPr>
        <w:rFonts w:ascii="Courier New" w:hAnsi="Courier New" w:cs="Courier New" w:hint="default"/>
      </w:rPr>
    </w:lvl>
    <w:lvl w:ilvl="5" w:tplc="1038854C" w:tentative="1">
      <w:start w:val="1"/>
      <w:numFmt w:val="bullet"/>
      <w:lvlText w:val=""/>
      <w:lvlJc w:val="left"/>
      <w:pPr>
        <w:tabs>
          <w:tab w:val="num" w:pos="4320"/>
        </w:tabs>
        <w:ind w:left="4320" w:hanging="360"/>
      </w:pPr>
      <w:rPr>
        <w:rFonts w:ascii="Wingdings" w:hAnsi="Wingdings" w:hint="default"/>
      </w:rPr>
    </w:lvl>
    <w:lvl w:ilvl="6" w:tplc="2542B542" w:tentative="1">
      <w:start w:val="1"/>
      <w:numFmt w:val="bullet"/>
      <w:lvlText w:val=""/>
      <w:lvlJc w:val="left"/>
      <w:pPr>
        <w:tabs>
          <w:tab w:val="num" w:pos="5040"/>
        </w:tabs>
        <w:ind w:left="5040" w:hanging="360"/>
      </w:pPr>
      <w:rPr>
        <w:rFonts w:ascii="Symbol" w:hAnsi="Symbol" w:hint="default"/>
      </w:rPr>
    </w:lvl>
    <w:lvl w:ilvl="7" w:tplc="359AE564" w:tentative="1">
      <w:start w:val="1"/>
      <w:numFmt w:val="bullet"/>
      <w:lvlText w:val="o"/>
      <w:lvlJc w:val="left"/>
      <w:pPr>
        <w:tabs>
          <w:tab w:val="num" w:pos="5760"/>
        </w:tabs>
        <w:ind w:left="5760" w:hanging="360"/>
      </w:pPr>
      <w:rPr>
        <w:rFonts w:ascii="Courier New" w:hAnsi="Courier New" w:cs="Courier New" w:hint="default"/>
      </w:rPr>
    </w:lvl>
    <w:lvl w:ilvl="8" w:tplc="CAD253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168C5806">
      <w:start w:val="1"/>
      <w:numFmt w:val="bullet"/>
      <w:lvlText w:val=""/>
      <w:lvlJc w:val="left"/>
      <w:pPr>
        <w:tabs>
          <w:tab w:val="num" w:pos="720"/>
        </w:tabs>
        <w:ind w:left="720" w:hanging="360"/>
      </w:pPr>
      <w:rPr>
        <w:rFonts w:ascii="Symbol" w:hAnsi="Symbol" w:hint="default"/>
      </w:rPr>
    </w:lvl>
    <w:lvl w:ilvl="1" w:tplc="5016B38C">
      <w:start w:val="1"/>
      <w:numFmt w:val="bullet"/>
      <w:lvlText w:val="o"/>
      <w:lvlJc w:val="left"/>
      <w:pPr>
        <w:tabs>
          <w:tab w:val="num" w:pos="1440"/>
        </w:tabs>
        <w:ind w:left="1440" w:hanging="360"/>
      </w:pPr>
      <w:rPr>
        <w:rFonts w:ascii="Courier New" w:hAnsi="Courier New" w:cs="Courier New" w:hint="default"/>
      </w:rPr>
    </w:lvl>
    <w:lvl w:ilvl="2" w:tplc="83FE2586" w:tentative="1">
      <w:start w:val="1"/>
      <w:numFmt w:val="bullet"/>
      <w:lvlText w:val=""/>
      <w:lvlJc w:val="left"/>
      <w:pPr>
        <w:tabs>
          <w:tab w:val="num" w:pos="2160"/>
        </w:tabs>
        <w:ind w:left="2160" w:hanging="360"/>
      </w:pPr>
      <w:rPr>
        <w:rFonts w:ascii="Wingdings" w:hAnsi="Wingdings" w:hint="default"/>
      </w:rPr>
    </w:lvl>
    <w:lvl w:ilvl="3" w:tplc="06D6B7A2" w:tentative="1">
      <w:start w:val="1"/>
      <w:numFmt w:val="bullet"/>
      <w:lvlText w:val=""/>
      <w:lvlJc w:val="left"/>
      <w:pPr>
        <w:tabs>
          <w:tab w:val="num" w:pos="2880"/>
        </w:tabs>
        <w:ind w:left="2880" w:hanging="360"/>
      </w:pPr>
      <w:rPr>
        <w:rFonts w:ascii="Symbol" w:hAnsi="Symbol" w:hint="default"/>
      </w:rPr>
    </w:lvl>
    <w:lvl w:ilvl="4" w:tplc="744CE0EC" w:tentative="1">
      <w:start w:val="1"/>
      <w:numFmt w:val="bullet"/>
      <w:lvlText w:val="o"/>
      <w:lvlJc w:val="left"/>
      <w:pPr>
        <w:tabs>
          <w:tab w:val="num" w:pos="3600"/>
        </w:tabs>
        <w:ind w:left="3600" w:hanging="360"/>
      </w:pPr>
      <w:rPr>
        <w:rFonts w:ascii="Courier New" w:hAnsi="Courier New" w:cs="Courier New" w:hint="default"/>
      </w:rPr>
    </w:lvl>
    <w:lvl w:ilvl="5" w:tplc="7A6A92D8" w:tentative="1">
      <w:start w:val="1"/>
      <w:numFmt w:val="bullet"/>
      <w:lvlText w:val=""/>
      <w:lvlJc w:val="left"/>
      <w:pPr>
        <w:tabs>
          <w:tab w:val="num" w:pos="4320"/>
        </w:tabs>
        <w:ind w:left="4320" w:hanging="360"/>
      </w:pPr>
      <w:rPr>
        <w:rFonts w:ascii="Wingdings" w:hAnsi="Wingdings" w:hint="default"/>
      </w:rPr>
    </w:lvl>
    <w:lvl w:ilvl="6" w:tplc="053665E8" w:tentative="1">
      <w:start w:val="1"/>
      <w:numFmt w:val="bullet"/>
      <w:lvlText w:val=""/>
      <w:lvlJc w:val="left"/>
      <w:pPr>
        <w:tabs>
          <w:tab w:val="num" w:pos="5040"/>
        </w:tabs>
        <w:ind w:left="5040" w:hanging="360"/>
      </w:pPr>
      <w:rPr>
        <w:rFonts w:ascii="Symbol" w:hAnsi="Symbol" w:hint="default"/>
      </w:rPr>
    </w:lvl>
    <w:lvl w:ilvl="7" w:tplc="F8DA8746" w:tentative="1">
      <w:start w:val="1"/>
      <w:numFmt w:val="bullet"/>
      <w:lvlText w:val="o"/>
      <w:lvlJc w:val="left"/>
      <w:pPr>
        <w:tabs>
          <w:tab w:val="num" w:pos="5760"/>
        </w:tabs>
        <w:ind w:left="5760" w:hanging="360"/>
      </w:pPr>
      <w:rPr>
        <w:rFonts w:ascii="Courier New" w:hAnsi="Courier New" w:cs="Courier New" w:hint="default"/>
      </w:rPr>
    </w:lvl>
    <w:lvl w:ilvl="8" w:tplc="2B081D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99624DC">
      <w:start w:val="1"/>
      <w:numFmt w:val="bullet"/>
      <w:lvlText w:val=""/>
      <w:lvlJc w:val="left"/>
      <w:pPr>
        <w:tabs>
          <w:tab w:val="num" w:pos="720"/>
        </w:tabs>
        <w:ind w:left="720" w:hanging="360"/>
      </w:pPr>
      <w:rPr>
        <w:rFonts w:ascii="Symbol" w:hAnsi="Symbol" w:hint="default"/>
      </w:rPr>
    </w:lvl>
    <w:lvl w:ilvl="1" w:tplc="7EE24B22" w:tentative="1">
      <w:start w:val="1"/>
      <w:numFmt w:val="bullet"/>
      <w:lvlText w:val="o"/>
      <w:lvlJc w:val="left"/>
      <w:pPr>
        <w:tabs>
          <w:tab w:val="num" w:pos="1440"/>
        </w:tabs>
        <w:ind w:left="1440" w:hanging="360"/>
      </w:pPr>
      <w:rPr>
        <w:rFonts w:ascii="Courier New" w:hAnsi="Courier New" w:cs="Courier New" w:hint="default"/>
      </w:rPr>
    </w:lvl>
    <w:lvl w:ilvl="2" w:tplc="C2AE2EF4" w:tentative="1">
      <w:start w:val="1"/>
      <w:numFmt w:val="bullet"/>
      <w:lvlText w:val=""/>
      <w:lvlJc w:val="left"/>
      <w:pPr>
        <w:tabs>
          <w:tab w:val="num" w:pos="2160"/>
        </w:tabs>
        <w:ind w:left="2160" w:hanging="360"/>
      </w:pPr>
      <w:rPr>
        <w:rFonts w:ascii="Wingdings" w:hAnsi="Wingdings" w:hint="default"/>
      </w:rPr>
    </w:lvl>
    <w:lvl w:ilvl="3" w:tplc="BEBCD118" w:tentative="1">
      <w:start w:val="1"/>
      <w:numFmt w:val="bullet"/>
      <w:lvlText w:val=""/>
      <w:lvlJc w:val="left"/>
      <w:pPr>
        <w:tabs>
          <w:tab w:val="num" w:pos="2880"/>
        </w:tabs>
        <w:ind w:left="2880" w:hanging="360"/>
      </w:pPr>
      <w:rPr>
        <w:rFonts w:ascii="Symbol" w:hAnsi="Symbol" w:hint="default"/>
      </w:rPr>
    </w:lvl>
    <w:lvl w:ilvl="4" w:tplc="273CA2A8" w:tentative="1">
      <w:start w:val="1"/>
      <w:numFmt w:val="bullet"/>
      <w:lvlText w:val="o"/>
      <w:lvlJc w:val="left"/>
      <w:pPr>
        <w:tabs>
          <w:tab w:val="num" w:pos="3600"/>
        </w:tabs>
        <w:ind w:left="3600" w:hanging="360"/>
      </w:pPr>
      <w:rPr>
        <w:rFonts w:ascii="Courier New" w:hAnsi="Courier New" w:cs="Courier New" w:hint="default"/>
      </w:rPr>
    </w:lvl>
    <w:lvl w:ilvl="5" w:tplc="76F89E6C" w:tentative="1">
      <w:start w:val="1"/>
      <w:numFmt w:val="bullet"/>
      <w:lvlText w:val=""/>
      <w:lvlJc w:val="left"/>
      <w:pPr>
        <w:tabs>
          <w:tab w:val="num" w:pos="4320"/>
        </w:tabs>
        <w:ind w:left="4320" w:hanging="360"/>
      </w:pPr>
      <w:rPr>
        <w:rFonts w:ascii="Wingdings" w:hAnsi="Wingdings" w:hint="default"/>
      </w:rPr>
    </w:lvl>
    <w:lvl w:ilvl="6" w:tplc="1A56D828" w:tentative="1">
      <w:start w:val="1"/>
      <w:numFmt w:val="bullet"/>
      <w:lvlText w:val=""/>
      <w:lvlJc w:val="left"/>
      <w:pPr>
        <w:tabs>
          <w:tab w:val="num" w:pos="5040"/>
        </w:tabs>
        <w:ind w:left="5040" w:hanging="360"/>
      </w:pPr>
      <w:rPr>
        <w:rFonts w:ascii="Symbol" w:hAnsi="Symbol" w:hint="default"/>
      </w:rPr>
    </w:lvl>
    <w:lvl w:ilvl="7" w:tplc="1F56ACA0" w:tentative="1">
      <w:start w:val="1"/>
      <w:numFmt w:val="bullet"/>
      <w:lvlText w:val="o"/>
      <w:lvlJc w:val="left"/>
      <w:pPr>
        <w:tabs>
          <w:tab w:val="num" w:pos="5760"/>
        </w:tabs>
        <w:ind w:left="5760" w:hanging="360"/>
      </w:pPr>
      <w:rPr>
        <w:rFonts w:ascii="Courier New" w:hAnsi="Courier New" w:cs="Courier New" w:hint="default"/>
      </w:rPr>
    </w:lvl>
    <w:lvl w:ilvl="8" w:tplc="154428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E4D69D9C">
      <w:start w:val="1"/>
      <w:numFmt w:val="bullet"/>
      <w:lvlText w:val=""/>
      <w:lvlJc w:val="left"/>
      <w:pPr>
        <w:ind w:left="720" w:hanging="360"/>
      </w:pPr>
      <w:rPr>
        <w:rFonts w:ascii="Symbol" w:hAnsi="Symbol" w:hint="default"/>
      </w:rPr>
    </w:lvl>
    <w:lvl w:ilvl="1" w:tplc="E766D154" w:tentative="1">
      <w:start w:val="1"/>
      <w:numFmt w:val="bullet"/>
      <w:lvlText w:val="o"/>
      <w:lvlJc w:val="left"/>
      <w:pPr>
        <w:ind w:left="1440" w:hanging="360"/>
      </w:pPr>
      <w:rPr>
        <w:rFonts w:ascii="Courier New" w:hAnsi="Courier New" w:cs="Courier New" w:hint="default"/>
      </w:rPr>
    </w:lvl>
    <w:lvl w:ilvl="2" w:tplc="227AF5FC" w:tentative="1">
      <w:start w:val="1"/>
      <w:numFmt w:val="bullet"/>
      <w:lvlText w:val=""/>
      <w:lvlJc w:val="left"/>
      <w:pPr>
        <w:ind w:left="2160" w:hanging="360"/>
      </w:pPr>
      <w:rPr>
        <w:rFonts w:ascii="Wingdings" w:hAnsi="Wingdings" w:hint="default"/>
      </w:rPr>
    </w:lvl>
    <w:lvl w:ilvl="3" w:tplc="52002EA2" w:tentative="1">
      <w:start w:val="1"/>
      <w:numFmt w:val="bullet"/>
      <w:lvlText w:val=""/>
      <w:lvlJc w:val="left"/>
      <w:pPr>
        <w:ind w:left="2880" w:hanging="360"/>
      </w:pPr>
      <w:rPr>
        <w:rFonts w:ascii="Symbol" w:hAnsi="Symbol" w:hint="default"/>
      </w:rPr>
    </w:lvl>
    <w:lvl w:ilvl="4" w:tplc="5674FF5E" w:tentative="1">
      <w:start w:val="1"/>
      <w:numFmt w:val="bullet"/>
      <w:lvlText w:val="o"/>
      <w:lvlJc w:val="left"/>
      <w:pPr>
        <w:ind w:left="3600" w:hanging="360"/>
      </w:pPr>
      <w:rPr>
        <w:rFonts w:ascii="Courier New" w:hAnsi="Courier New" w:cs="Courier New" w:hint="default"/>
      </w:rPr>
    </w:lvl>
    <w:lvl w:ilvl="5" w:tplc="46B4C452" w:tentative="1">
      <w:start w:val="1"/>
      <w:numFmt w:val="bullet"/>
      <w:lvlText w:val=""/>
      <w:lvlJc w:val="left"/>
      <w:pPr>
        <w:ind w:left="4320" w:hanging="360"/>
      </w:pPr>
      <w:rPr>
        <w:rFonts w:ascii="Wingdings" w:hAnsi="Wingdings" w:hint="default"/>
      </w:rPr>
    </w:lvl>
    <w:lvl w:ilvl="6" w:tplc="063C8D24" w:tentative="1">
      <w:start w:val="1"/>
      <w:numFmt w:val="bullet"/>
      <w:lvlText w:val=""/>
      <w:lvlJc w:val="left"/>
      <w:pPr>
        <w:ind w:left="5040" w:hanging="360"/>
      </w:pPr>
      <w:rPr>
        <w:rFonts w:ascii="Symbol" w:hAnsi="Symbol" w:hint="default"/>
      </w:rPr>
    </w:lvl>
    <w:lvl w:ilvl="7" w:tplc="35F2F6CE" w:tentative="1">
      <w:start w:val="1"/>
      <w:numFmt w:val="bullet"/>
      <w:lvlText w:val="o"/>
      <w:lvlJc w:val="left"/>
      <w:pPr>
        <w:ind w:left="5760" w:hanging="360"/>
      </w:pPr>
      <w:rPr>
        <w:rFonts w:ascii="Courier New" w:hAnsi="Courier New" w:cs="Courier New" w:hint="default"/>
      </w:rPr>
    </w:lvl>
    <w:lvl w:ilvl="8" w:tplc="EFC4F91A"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A6A6A4F8">
      <w:start w:val="1"/>
      <w:numFmt w:val="bullet"/>
      <w:lvlText w:val=""/>
      <w:lvlJc w:val="left"/>
      <w:pPr>
        <w:ind w:left="720" w:hanging="360"/>
      </w:pPr>
      <w:rPr>
        <w:rFonts w:ascii="Symbol" w:hAnsi="Symbol" w:hint="default"/>
      </w:rPr>
    </w:lvl>
    <w:lvl w:ilvl="1" w:tplc="5C8274DA" w:tentative="1">
      <w:start w:val="1"/>
      <w:numFmt w:val="bullet"/>
      <w:lvlText w:val="o"/>
      <w:lvlJc w:val="left"/>
      <w:pPr>
        <w:ind w:left="1440" w:hanging="360"/>
      </w:pPr>
      <w:rPr>
        <w:rFonts w:ascii="Courier New" w:hAnsi="Courier New" w:cs="Courier New" w:hint="default"/>
      </w:rPr>
    </w:lvl>
    <w:lvl w:ilvl="2" w:tplc="67721C80" w:tentative="1">
      <w:start w:val="1"/>
      <w:numFmt w:val="bullet"/>
      <w:lvlText w:val=""/>
      <w:lvlJc w:val="left"/>
      <w:pPr>
        <w:ind w:left="2160" w:hanging="360"/>
      </w:pPr>
      <w:rPr>
        <w:rFonts w:ascii="Wingdings" w:hAnsi="Wingdings" w:hint="default"/>
      </w:rPr>
    </w:lvl>
    <w:lvl w:ilvl="3" w:tplc="B810ED4A" w:tentative="1">
      <w:start w:val="1"/>
      <w:numFmt w:val="bullet"/>
      <w:lvlText w:val=""/>
      <w:lvlJc w:val="left"/>
      <w:pPr>
        <w:ind w:left="2880" w:hanging="360"/>
      </w:pPr>
      <w:rPr>
        <w:rFonts w:ascii="Symbol" w:hAnsi="Symbol" w:hint="default"/>
      </w:rPr>
    </w:lvl>
    <w:lvl w:ilvl="4" w:tplc="D9705662" w:tentative="1">
      <w:start w:val="1"/>
      <w:numFmt w:val="bullet"/>
      <w:lvlText w:val="o"/>
      <w:lvlJc w:val="left"/>
      <w:pPr>
        <w:ind w:left="3600" w:hanging="360"/>
      </w:pPr>
      <w:rPr>
        <w:rFonts w:ascii="Courier New" w:hAnsi="Courier New" w:cs="Courier New" w:hint="default"/>
      </w:rPr>
    </w:lvl>
    <w:lvl w:ilvl="5" w:tplc="86C24E94" w:tentative="1">
      <w:start w:val="1"/>
      <w:numFmt w:val="bullet"/>
      <w:lvlText w:val=""/>
      <w:lvlJc w:val="left"/>
      <w:pPr>
        <w:ind w:left="4320" w:hanging="360"/>
      </w:pPr>
      <w:rPr>
        <w:rFonts w:ascii="Wingdings" w:hAnsi="Wingdings" w:hint="default"/>
      </w:rPr>
    </w:lvl>
    <w:lvl w:ilvl="6" w:tplc="F2869C80" w:tentative="1">
      <w:start w:val="1"/>
      <w:numFmt w:val="bullet"/>
      <w:lvlText w:val=""/>
      <w:lvlJc w:val="left"/>
      <w:pPr>
        <w:ind w:left="5040" w:hanging="360"/>
      </w:pPr>
      <w:rPr>
        <w:rFonts w:ascii="Symbol" w:hAnsi="Symbol" w:hint="default"/>
      </w:rPr>
    </w:lvl>
    <w:lvl w:ilvl="7" w:tplc="65E0B272" w:tentative="1">
      <w:start w:val="1"/>
      <w:numFmt w:val="bullet"/>
      <w:lvlText w:val="o"/>
      <w:lvlJc w:val="left"/>
      <w:pPr>
        <w:ind w:left="5760" w:hanging="360"/>
      </w:pPr>
      <w:rPr>
        <w:rFonts w:ascii="Courier New" w:hAnsi="Courier New" w:cs="Courier New" w:hint="default"/>
      </w:rPr>
    </w:lvl>
    <w:lvl w:ilvl="8" w:tplc="6DF26ABC"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5D04E77A">
      <w:start w:val="1"/>
      <w:numFmt w:val="bullet"/>
      <w:lvlText w:val=""/>
      <w:lvlJc w:val="left"/>
      <w:pPr>
        <w:tabs>
          <w:tab w:val="num" w:pos="780"/>
        </w:tabs>
        <w:ind w:left="780" w:hanging="360"/>
      </w:pPr>
      <w:rPr>
        <w:rFonts w:ascii="Symbol" w:hAnsi="Symbol" w:hint="default"/>
      </w:rPr>
    </w:lvl>
    <w:lvl w:ilvl="1" w:tplc="D24EAD00" w:tentative="1">
      <w:start w:val="1"/>
      <w:numFmt w:val="bullet"/>
      <w:lvlText w:val="o"/>
      <w:lvlJc w:val="left"/>
      <w:pPr>
        <w:tabs>
          <w:tab w:val="num" w:pos="1500"/>
        </w:tabs>
        <w:ind w:left="1500" w:hanging="360"/>
      </w:pPr>
      <w:rPr>
        <w:rFonts w:ascii="Courier New" w:hAnsi="Courier New" w:cs="Courier New" w:hint="default"/>
      </w:rPr>
    </w:lvl>
    <w:lvl w:ilvl="2" w:tplc="4E4E8324" w:tentative="1">
      <w:start w:val="1"/>
      <w:numFmt w:val="bullet"/>
      <w:lvlText w:val=""/>
      <w:lvlJc w:val="left"/>
      <w:pPr>
        <w:tabs>
          <w:tab w:val="num" w:pos="2220"/>
        </w:tabs>
        <w:ind w:left="2220" w:hanging="360"/>
      </w:pPr>
      <w:rPr>
        <w:rFonts w:ascii="Wingdings" w:hAnsi="Wingdings" w:hint="default"/>
      </w:rPr>
    </w:lvl>
    <w:lvl w:ilvl="3" w:tplc="99606A1A" w:tentative="1">
      <w:start w:val="1"/>
      <w:numFmt w:val="bullet"/>
      <w:lvlText w:val=""/>
      <w:lvlJc w:val="left"/>
      <w:pPr>
        <w:tabs>
          <w:tab w:val="num" w:pos="2940"/>
        </w:tabs>
        <w:ind w:left="2940" w:hanging="360"/>
      </w:pPr>
      <w:rPr>
        <w:rFonts w:ascii="Symbol" w:hAnsi="Symbol" w:hint="default"/>
      </w:rPr>
    </w:lvl>
    <w:lvl w:ilvl="4" w:tplc="E76EF868" w:tentative="1">
      <w:start w:val="1"/>
      <w:numFmt w:val="bullet"/>
      <w:lvlText w:val="o"/>
      <w:lvlJc w:val="left"/>
      <w:pPr>
        <w:tabs>
          <w:tab w:val="num" w:pos="3660"/>
        </w:tabs>
        <w:ind w:left="3660" w:hanging="360"/>
      </w:pPr>
      <w:rPr>
        <w:rFonts w:ascii="Courier New" w:hAnsi="Courier New" w:cs="Courier New" w:hint="default"/>
      </w:rPr>
    </w:lvl>
    <w:lvl w:ilvl="5" w:tplc="791CB6F2" w:tentative="1">
      <w:start w:val="1"/>
      <w:numFmt w:val="bullet"/>
      <w:lvlText w:val=""/>
      <w:lvlJc w:val="left"/>
      <w:pPr>
        <w:tabs>
          <w:tab w:val="num" w:pos="4380"/>
        </w:tabs>
        <w:ind w:left="4380" w:hanging="360"/>
      </w:pPr>
      <w:rPr>
        <w:rFonts w:ascii="Wingdings" w:hAnsi="Wingdings" w:hint="default"/>
      </w:rPr>
    </w:lvl>
    <w:lvl w:ilvl="6" w:tplc="ED1E18BC" w:tentative="1">
      <w:start w:val="1"/>
      <w:numFmt w:val="bullet"/>
      <w:lvlText w:val=""/>
      <w:lvlJc w:val="left"/>
      <w:pPr>
        <w:tabs>
          <w:tab w:val="num" w:pos="5100"/>
        </w:tabs>
        <w:ind w:left="5100" w:hanging="360"/>
      </w:pPr>
      <w:rPr>
        <w:rFonts w:ascii="Symbol" w:hAnsi="Symbol" w:hint="default"/>
      </w:rPr>
    </w:lvl>
    <w:lvl w:ilvl="7" w:tplc="43CC5D66" w:tentative="1">
      <w:start w:val="1"/>
      <w:numFmt w:val="bullet"/>
      <w:lvlText w:val="o"/>
      <w:lvlJc w:val="left"/>
      <w:pPr>
        <w:tabs>
          <w:tab w:val="num" w:pos="5820"/>
        </w:tabs>
        <w:ind w:left="5820" w:hanging="360"/>
      </w:pPr>
      <w:rPr>
        <w:rFonts w:ascii="Courier New" w:hAnsi="Courier New" w:cs="Courier New" w:hint="default"/>
      </w:rPr>
    </w:lvl>
    <w:lvl w:ilvl="8" w:tplc="7B26CA26"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D796313E">
      <w:start w:val="1"/>
      <w:numFmt w:val="decimal"/>
      <w:lvlText w:val="%1."/>
      <w:lvlJc w:val="left"/>
      <w:pPr>
        <w:ind w:left="720" w:hanging="360"/>
      </w:pPr>
      <w:rPr>
        <w:rFonts w:ascii="Times New Roman" w:hAnsi="Times New Roman" w:cs="Times New Roman" w:hint="default"/>
        <w:sz w:val="24"/>
        <w:szCs w:val="24"/>
      </w:rPr>
    </w:lvl>
    <w:lvl w:ilvl="1" w:tplc="8006E38C">
      <w:start w:val="1"/>
      <w:numFmt w:val="bullet"/>
      <w:lvlText w:val=""/>
      <w:lvlJc w:val="left"/>
      <w:pPr>
        <w:ind w:left="1440" w:hanging="360"/>
      </w:pPr>
      <w:rPr>
        <w:rFonts w:ascii="Symbol" w:hAnsi="Symbol" w:hint="default"/>
      </w:rPr>
    </w:lvl>
    <w:lvl w:ilvl="2" w:tplc="FD681792" w:tentative="1">
      <w:start w:val="1"/>
      <w:numFmt w:val="lowerRoman"/>
      <w:lvlText w:val="%3."/>
      <w:lvlJc w:val="right"/>
      <w:pPr>
        <w:ind w:left="2160" w:hanging="180"/>
      </w:pPr>
    </w:lvl>
    <w:lvl w:ilvl="3" w:tplc="934E8E34" w:tentative="1">
      <w:start w:val="1"/>
      <w:numFmt w:val="decimal"/>
      <w:lvlText w:val="%4."/>
      <w:lvlJc w:val="left"/>
      <w:pPr>
        <w:ind w:left="2880" w:hanging="360"/>
      </w:pPr>
    </w:lvl>
    <w:lvl w:ilvl="4" w:tplc="C1A09C0E" w:tentative="1">
      <w:start w:val="1"/>
      <w:numFmt w:val="lowerLetter"/>
      <w:lvlText w:val="%5."/>
      <w:lvlJc w:val="left"/>
      <w:pPr>
        <w:ind w:left="3600" w:hanging="360"/>
      </w:pPr>
    </w:lvl>
    <w:lvl w:ilvl="5" w:tplc="4E465C14" w:tentative="1">
      <w:start w:val="1"/>
      <w:numFmt w:val="lowerRoman"/>
      <w:lvlText w:val="%6."/>
      <w:lvlJc w:val="right"/>
      <w:pPr>
        <w:ind w:left="4320" w:hanging="180"/>
      </w:pPr>
    </w:lvl>
    <w:lvl w:ilvl="6" w:tplc="CB3A00AC" w:tentative="1">
      <w:start w:val="1"/>
      <w:numFmt w:val="decimal"/>
      <w:lvlText w:val="%7."/>
      <w:lvlJc w:val="left"/>
      <w:pPr>
        <w:ind w:left="5040" w:hanging="360"/>
      </w:pPr>
    </w:lvl>
    <w:lvl w:ilvl="7" w:tplc="0B7AA1B6" w:tentative="1">
      <w:start w:val="1"/>
      <w:numFmt w:val="lowerLetter"/>
      <w:lvlText w:val="%8."/>
      <w:lvlJc w:val="left"/>
      <w:pPr>
        <w:ind w:left="5760" w:hanging="360"/>
      </w:pPr>
    </w:lvl>
    <w:lvl w:ilvl="8" w:tplc="5CE66A76"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B164F6FC">
      <w:start w:val="1"/>
      <w:numFmt w:val="bullet"/>
      <w:lvlText w:val=""/>
      <w:lvlJc w:val="left"/>
      <w:pPr>
        <w:tabs>
          <w:tab w:val="num" w:pos="780"/>
        </w:tabs>
        <w:ind w:left="780" w:hanging="360"/>
      </w:pPr>
      <w:rPr>
        <w:rFonts w:ascii="Symbol" w:hAnsi="Symbol" w:hint="default"/>
      </w:rPr>
    </w:lvl>
    <w:lvl w:ilvl="1" w:tplc="BB78A3F2" w:tentative="1">
      <w:start w:val="1"/>
      <w:numFmt w:val="bullet"/>
      <w:lvlText w:val="o"/>
      <w:lvlJc w:val="left"/>
      <w:pPr>
        <w:tabs>
          <w:tab w:val="num" w:pos="1500"/>
        </w:tabs>
        <w:ind w:left="1500" w:hanging="360"/>
      </w:pPr>
      <w:rPr>
        <w:rFonts w:ascii="Courier New" w:hAnsi="Courier New" w:cs="Courier New" w:hint="default"/>
      </w:rPr>
    </w:lvl>
    <w:lvl w:ilvl="2" w:tplc="2390998E" w:tentative="1">
      <w:start w:val="1"/>
      <w:numFmt w:val="bullet"/>
      <w:lvlText w:val=""/>
      <w:lvlJc w:val="left"/>
      <w:pPr>
        <w:tabs>
          <w:tab w:val="num" w:pos="2220"/>
        </w:tabs>
        <w:ind w:left="2220" w:hanging="360"/>
      </w:pPr>
      <w:rPr>
        <w:rFonts w:ascii="Wingdings" w:hAnsi="Wingdings" w:hint="default"/>
      </w:rPr>
    </w:lvl>
    <w:lvl w:ilvl="3" w:tplc="6B04FF20" w:tentative="1">
      <w:start w:val="1"/>
      <w:numFmt w:val="bullet"/>
      <w:lvlText w:val=""/>
      <w:lvlJc w:val="left"/>
      <w:pPr>
        <w:tabs>
          <w:tab w:val="num" w:pos="2940"/>
        </w:tabs>
        <w:ind w:left="2940" w:hanging="360"/>
      </w:pPr>
      <w:rPr>
        <w:rFonts w:ascii="Symbol" w:hAnsi="Symbol" w:hint="default"/>
      </w:rPr>
    </w:lvl>
    <w:lvl w:ilvl="4" w:tplc="F6FCA9F0" w:tentative="1">
      <w:start w:val="1"/>
      <w:numFmt w:val="bullet"/>
      <w:lvlText w:val="o"/>
      <w:lvlJc w:val="left"/>
      <w:pPr>
        <w:tabs>
          <w:tab w:val="num" w:pos="3660"/>
        </w:tabs>
        <w:ind w:left="3660" w:hanging="360"/>
      </w:pPr>
      <w:rPr>
        <w:rFonts w:ascii="Courier New" w:hAnsi="Courier New" w:cs="Courier New" w:hint="default"/>
      </w:rPr>
    </w:lvl>
    <w:lvl w:ilvl="5" w:tplc="D5FE0202" w:tentative="1">
      <w:start w:val="1"/>
      <w:numFmt w:val="bullet"/>
      <w:lvlText w:val=""/>
      <w:lvlJc w:val="left"/>
      <w:pPr>
        <w:tabs>
          <w:tab w:val="num" w:pos="4380"/>
        </w:tabs>
        <w:ind w:left="4380" w:hanging="360"/>
      </w:pPr>
      <w:rPr>
        <w:rFonts w:ascii="Wingdings" w:hAnsi="Wingdings" w:hint="default"/>
      </w:rPr>
    </w:lvl>
    <w:lvl w:ilvl="6" w:tplc="6AC09F1E" w:tentative="1">
      <w:start w:val="1"/>
      <w:numFmt w:val="bullet"/>
      <w:lvlText w:val=""/>
      <w:lvlJc w:val="left"/>
      <w:pPr>
        <w:tabs>
          <w:tab w:val="num" w:pos="5100"/>
        </w:tabs>
        <w:ind w:left="5100" w:hanging="360"/>
      </w:pPr>
      <w:rPr>
        <w:rFonts w:ascii="Symbol" w:hAnsi="Symbol" w:hint="default"/>
      </w:rPr>
    </w:lvl>
    <w:lvl w:ilvl="7" w:tplc="E84E9F14" w:tentative="1">
      <w:start w:val="1"/>
      <w:numFmt w:val="bullet"/>
      <w:lvlText w:val="o"/>
      <w:lvlJc w:val="left"/>
      <w:pPr>
        <w:tabs>
          <w:tab w:val="num" w:pos="5820"/>
        </w:tabs>
        <w:ind w:left="5820" w:hanging="360"/>
      </w:pPr>
      <w:rPr>
        <w:rFonts w:ascii="Courier New" w:hAnsi="Courier New" w:cs="Courier New" w:hint="default"/>
      </w:rPr>
    </w:lvl>
    <w:lvl w:ilvl="8" w:tplc="41EE9EB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6B787662">
      <w:start w:val="1"/>
      <w:numFmt w:val="bullet"/>
      <w:lvlText w:val=""/>
      <w:lvlJc w:val="left"/>
      <w:pPr>
        <w:ind w:left="720" w:hanging="360"/>
      </w:pPr>
      <w:rPr>
        <w:rFonts w:ascii="Symbol" w:hAnsi="Symbol" w:hint="default"/>
      </w:rPr>
    </w:lvl>
    <w:lvl w:ilvl="1" w:tplc="1C64A65C" w:tentative="1">
      <w:start w:val="1"/>
      <w:numFmt w:val="bullet"/>
      <w:lvlText w:val="o"/>
      <w:lvlJc w:val="left"/>
      <w:pPr>
        <w:ind w:left="1440" w:hanging="360"/>
      </w:pPr>
      <w:rPr>
        <w:rFonts w:ascii="Courier New" w:hAnsi="Courier New" w:cs="Courier New" w:hint="default"/>
      </w:rPr>
    </w:lvl>
    <w:lvl w:ilvl="2" w:tplc="C046E046" w:tentative="1">
      <w:start w:val="1"/>
      <w:numFmt w:val="bullet"/>
      <w:lvlText w:val=""/>
      <w:lvlJc w:val="left"/>
      <w:pPr>
        <w:ind w:left="2160" w:hanging="360"/>
      </w:pPr>
      <w:rPr>
        <w:rFonts w:ascii="Wingdings" w:hAnsi="Wingdings" w:hint="default"/>
      </w:rPr>
    </w:lvl>
    <w:lvl w:ilvl="3" w:tplc="86668EF8" w:tentative="1">
      <w:start w:val="1"/>
      <w:numFmt w:val="bullet"/>
      <w:lvlText w:val=""/>
      <w:lvlJc w:val="left"/>
      <w:pPr>
        <w:ind w:left="2880" w:hanging="360"/>
      </w:pPr>
      <w:rPr>
        <w:rFonts w:ascii="Symbol" w:hAnsi="Symbol" w:hint="default"/>
      </w:rPr>
    </w:lvl>
    <w:lvl w:ilvl="4" w:tplc="2480CDBC" w:tentative="1">
      <w:start w:val="1"/>
      <w:numFmt w:val="bullet"/>
      <w:lvlText w:val="o"/>
      <w:lvlJc w:val="left"/>
      <w:pPr>
        <w:ind w:left="3600" w:hanging="360"/>
      </w:pPr>
      <w:rPr>
        <w:rFonts w:ascii="Courier New" w:hAnsi="Courier New" w:cs="Courier New" w:hint="default"/>
      </w:rPr>
    </w:lvl>
    <w:lvl w:ilvl="5" w:tplc="42D8D0E8" w:tentative="1">
      <w:start w:val="1"/>
      <w:numFmt w:val="bullet"/>
      <w:lvlText w:val=""/>
      <w:lvlJc w:val="left"/>
      <w:pPr>
        <w:ind w:left="4320" w:hanging="360"/>
      </w:pPr>
      <w:rPr>
        <w:rFonts w:ascii="Wingdings" w:hAnsi="Wingdings" w:hint="default"/>
      </w:rPr>
    </w:lvl>
    <w:lvl w:ilvl="6" w:tplc="047A3A8A" w:tentative="1">
      <w:start w:val="1"/>
      <w:numFmt w:val="bullet"/>
      <w:lvlText w:val=""/>
      <w:lvlJc w:val="left"/>
      <w:pPr>
        <w:ind w:left="5040" w:hanging="360"/>
      </w:pPr>
      <w:rPr>
        <w:rFonts w:ascii="Symbol" w:hAnsi="Symbol" w:hint="default"/>
      </w:rPr>
    </w:lvl>
    <w:lvl w:ilvl="7" w:tplc="0A3C0F72" w:tentative="1">
      <w:start w:val="1"/>
      <w:numFmt w:val="bullet"/>
      <w:lvlText w:val="o"/>
      <w:lvlJc w:val="left"/>
      <w:pPr>
        <w:ind w:left="5760" w:hanging="360"/>
      </w:pPr>
      <w:rPr>
        <w:rFonts w:ascii="Courier New" w:hAnsi="Courier New" w:cs="Courier New" w:hint="default"/>
      </w:rPr>
    </w:lvl>
    <w:lvl w:ilvl="8" w:tplc="F6E8BB2C"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3E886B46">
      <w:start w:val="1"/>
      <w:numFmt w:val="bullet"/>
      <w:lvlText w:val=""/>
      <w:lvlJc w:val="left"/>
      <w:pPr>
        <w:ind w:left="720" w:hanging="360"/>
      </w:pPr>
      <w:rPr>
        <w:rFonts w:ascii="Symbol" w:hAnsi="Symbol" w:hint="default"/>
      </w:rPr>
    </w:lvl>
    <w:lvl w:ilvl="1" w:tplc="FC167BDE" w:tentative="1">
      <w:start w:val="1"/>
      <w:numFmt w:val="bullet"/>
      <w:lvlText w:val="o"/>
      <w:lvlJc w:val="left"/>
      <w:pPr>
        <w:ind w:left="1440" w:hanging="360"/>
      </w:pPr>
      <w:rPr>
        <w:rFonts w:ascii="Courier New" w:hAnsi="Courier New" w:cs="Courier New" w:hint="default"/>
      </w:rPr>
    </w:lvl>
    <w:lvl w:ilvl="2" w:tplc="57723CD2" w:tentative="1">
      <w:start w:val="1"/>
      <w:numFmt w:val="bullet"/>
      <w:lvlText w:val=""/>
      <w:lvlJc w:val="left"/>
      <w:pPr>
        <w:ind w:left="2160" w:hanging="360"/>
      </w:pPr>
      <w:rPr>
        <w:rFonts w:ascii="Wingdings" w:hAnsi="Wingdings" w:hint="default"/>
      </w:rPr>
    </w:lvl>
    <w:lvl w:ilvl="3" w:tplc="934E7C02" w:tentative="1">
      <w:start w:val="1"/>
      <w:numFmt w:val="bullet"/>
      <w:lvlText w:val=""/>
      <w:lvlJc w:val="left"/>
      <w:pPr>
        <w:ind w:left="2880" w:hanging="360"/>
      </w:pPr>
      <w:rPr>
        <w:rFonts w:ascii="Symbol" w:hAnsi="Symbol" w:hint="default"/>
      </w:rPr>
    </w:lvl>
    <w:lvl w:ilvl="4" w:tplc="E4728B32" w:tentative="1">
      <w:start w:val="1"/>
      <w:numFmt w:val="bullet"/>
      <w:lvlText w:val="o"/>
      <w:lvlJc w:val="left"/>
      <w:pPr>
        <w:ind w:left="3600" w:hanging="360"/>
      </w:pPr>
      <w:rPr>
        <w:rFonts w:ascii="Courier New" w:hAnsi="Courier New" w:cs="Courier New" w:hint="default"/>
      </w:rPr>
    </w:lvl>
    <w:lvl w:ilvl="5" w:tplc="A6F0B446" w:tentative="1">
      <w:start w:val="1"/>
      <w:numFmt w:val="bullet"/>
      <w:lvlText w:val=""/>
      <w:lvlJc w:val="left"/>
      <w:pPr>
        <w:ind w:left="4320" w:hanging="360"/>
      </w:pPr>
      <w:rPr>
        <w:rFonts w:ascii="Wingdings" w:hAnsi="Wingdings" w:hint="default"/>
      </w:rPr>
    </w:lvl>
    <w:lvl w:ilvl="6" w:tplc="76FC0BDE" w:tentative="1">
      <w:start w:val="1"/>
      <w:numFmt w:val="bullet"/>
      <w:lvlText w:val=""/>
      <w:lvlJc w:val="left"/>
      <w:pPr>
        <w:ind w:left="5040" w:hanging="360"/>
      </w:pPr>
      <w:rPr>
        <w:rFonts w:ascii="Symbol" w:hAnsi="Symbol" w:hint="default"/>
      </w:rPr>
    </w:lvl>
    <w:lvl w:ilvl="7" w:tplc="C4B88316" w:tentative="1">
      <w:start w:val="1"/>
      <w:numFmt w:val="bullet"/>
      <w:lvlText w:val="o"/>
      <w:lvlJc w:val="left"/>
      <w:pPr>
        <w:ind w:left="5760" w:hanging="360"/>
      </w:pPr>
      <w:rPr>
        <w:rFonts w:ascii="Courier New" w:hAnsi="Courier New" w:cs="Courier New" w:hint="default"/>
      </w:rPr>
    </w:lvl>
    <w:lvl w:ilvl="8" w:tplc="87E264B4"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61209258">
      <w:start w:val="1"/>
      <w:numFmt w:val="bullet"/>
      <w:lvlText w:val=""/>
      <w:lvlJc w:val="left"/>
      <w:pPr>
        <w:tabs>
          <w:tab w:val="num" w:pos="720"/>
        </w:tabs>
        <w:ind w:left="720" w:hanging="360"/>
      </w:pPr>
      <w:rPr>
        <w:rFonts w:ascii="Symbol" w:hAnsi="Symbol" w:hint="default"/>
      </w:rPr>
    </w:lvl>
    <w:lvl w:ilvl="1" w:tplc="A9827F42" w:tentative="1">
      <w:start w:val="1"/>
      <w:numFmt w:val="bullet"/>
      <w:lvlText w:val="o"/>
      <w:lvlJc w:val="left"/>
      <w:pPr>
        <w:tabs>
          <w:tab w:val="num" w:pos="1440"/>
        </w:tabs>
        <w:ind w:left="1440" w:hanging="360"/>
      </w:pPr>
      <w:rPr>
        <w:rFonts w:ascii="Courier New" w:hAnsi="Courier New" w:cs="Courier New" w:hint="default"/>
      </w:rPr>
    </w:lvl>
    <w:lvl w:ilvl="2" w:tplc="9BCE9E88" w:tentative="1">
      <w:start w:val="1"/>
      <w:numFmt w:val="bullet"/>
      <w:lvlText w:val=""/>
      <w:lvlJc w:val="left"/>
      <w:pPr>
        <w:tabs>
          <w:tab w:val="num" w:pos="2160"/>
        </w:tabs>
        <w:ind w:left="2160" w:hanging="360"/>
      </w:pPr>
      <w:rPr>
        <w:rFonts w:ascii="Wingdings" w:hAnsi="Wingdings" w:hint="default"/>
      </w:rPr>
    </w:lvl>
    <w:lvl w:ilvl="3" w:tplc="3ED4D1EE" w:tentative="1">
      <w:start w:val="1"/>
      <w:numFmt w:val="bullet"/>
      <w:lvlText w:val=""/>
      <w:lvlJc w:val="left"/>
      <w:pPr>
        <w:tabs>
          <w:tab w:val="num" w:pos="2880"/>
        </w:tabs>
        <w:ind w:left="2880" w:hanging="360"/>
      </w:pPr>
      <w:rPr>
        <w:rFonts w:ascii="Symbol" w:hAnsi="Symbol" w:hint="default"/>
      </w:rPr>
    </w:lvl>
    <w:lvl w:ilvl="4" w:tplc="53AAFF2C" w:tentative="1">
      <w:start w:val="1"/>
      <w:numFmt w:val="bullet"/>
      <w:lvlText w:val="o"/>
      <w:lvlJc w:val="left"/>
      <w:pPr>
        <w:tabs>
          <w:tab w:val="num" w:pos="3600"/>
        </w:tabs>
        <w:ind w:left="3600" w:hanging="360"/>
      </w:pPr>
      <w:rPr>
        <w:rFonts w:ascii="Courier New" w:hAnsi="Courier New" w:cs="Courier New" w:hint="default"/>
      </w:rPr>
    </w:lvl>
    <w:lvl w:ilvl="5" w:tplc="F70C4A80" w:tentative="1">
      <w:start w:val="1"/>
      <w:numFmt w:val="bullet"/>
      <w:lvlText w:val=""/>
      <w:lvlJc w:val="left"/>
      <w:pPr>
        <w:tabs>
          <w:tab w:val="num" w:pos="4320"/>
        </w:tabs>
        <w:ind w:left="4320" w:hanging="360"/>
      </w:pPr>
      <w:rPr>
        <w:rFonts w:ascii="Wingdings" w:hAnsi="Wingdings" w:hint="default"/>
      </w:rPr>
    </w:lvl>
    <w:lvl w:ilvl="6" w:tplc="5D84FD12" w:tentative="1">
      <w:start w:val="1"/>
      <w:numFmt w:val="bullet"/>
      <w:lvlText w:val=""/>
      <w:lvlJc w:val="left"/>
      <w:pPr>
        <w:tabs>
          <w:tab w:val="num" w:pos="5040"/>
        </w:tabs>
        <w:ind w:left="5040" w:hanging="360"/>
      </w:pPr>
      <w:rPr>
        <w:rFonts w:ascii="Symbol" w:hAnsi="Symbol" w:hint="default"/>
      </w:rPr>
    </w:lvl>
    <w:lvl w:ilvl="7" w:tplc="48D0B1F6" w:tentative="1">
      <w:start w:val="1"/>
      <w:numFmt w:val="bullet"/>
      <w:lvlText w:val="o"/>
      <w:lvlJc w:val="left"/>
      <w:pPr>
        <w:tabs>
          <w:tab w:val="num" w:pos="5760"/>
        </w:tabs>
        <w:ind w:left="5760" w:hanging="360"/>
      </w:pPr>
      <w:rPr>
        <w:rFonts w:ascii="Courier New" w:hAnsi="Courier New" w:cs="Courier New" w:hint="default"/>
      </w:rPr>
    </w:lvl>
    <w:lvl w:ilvl="8" w:tplc="DD0EDB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524A419A">
      <w:start w:val="1"/>
      <w:numFmt w:val="bullet"/>
      <w:lvlText w:val=""/>
      <w:lvlJc w:val="left"/>
      <w:pPr>
        <w:tabs>
          <w:tab w:val="num" w:pos="780"/>
        </w:tabs>
        <w:ind w:left="780" w:hanging="360"/>
      </w:pPr>
      <w:rPr>
        <w:rFonts w:ascii="Symbol" w:hAnsi="Symbol" w:hint="default"/>
      </w:rPr>
    </w:lvl>
    <w:lvl w:ilvl="1" w:tplc="412EE086" w:tentative="1">
      <w:start w:val="1"/>
      <w:numFmt w:val="bullet"/>
      <w:lvlText w:val="o"/>
      <w:lvlJc w:val="left"/>
      <w:pPr>
        <w:tabs>
          <w:tab w:val="num" w:pos="1500"/>
        </w:tabs>
        <w:ind w:left="1500" w:hanging="360"/>
      </w:pPr>
      <w:rPr>
        <w:rFonts w:ascii="Courier New" w:hAnsi="Courier New" w:cs="Courier New" w:hint="default"/>
      </w:rPr>
    </w:lvl>
    <w:lvl w:ilvl="2" w:tplc="321CB17E" w:tentative="1">
      <w:start w:val="1"/>
      <w:numFmt w:val="bullet"/>
      <w:lvlText w:val=""/>
      <w:lvlJc w:val="left"/>
      <w:pPr>
        <w:tabs>
          <w:tab w:val="num" w:pos="2220"/>
        </w:tabs>
        <w:ind w:left="2220" w:hanging="360"/>
      </w:pPr>
      <w:rPr>
        <w:rFonts w:ascii="Wingdings" w:hAnsi="Wingdings" w:hint="default"/>
      </w:rPr>
    </w:lvl>
    <w:lvl w:ilvl="3" w:tplc="A5B6E632" w:tentative="1">
      <w:start w:val="1"/>
      <w:numFmt w:val="bullet"/>
      <w:lvlText w:val=""/>
      <w:lvlJc w:val="left"/>
      <w:pPr>
        <w:tabs>
          <w:tab w:val="num" w:pos="2940"/>
        </w:tabs>
        <w:ind w:left="2940" w:hanging="360"/>
      </w:pPr>
      <w:rPr>
        <w:rFonts w:ascii="Symbol" w:hAnsi="Symbol" w:hint="default"/>
      </w:rPr>
    </w:lvl>
    <w:lvl w:ilvl="4" w:tplc="8D8A7414" w:tentative="1">
      <w:start w:val="1"/>
      <w:numFmt w:val="bullet"/>
      <w:lvlText w:val="o"/>
      <w:lvlJc w:val="left"/>
      <w:pPr>
        <w:tabs>
          <w:tab w:val="num" w:pos="3660"/>
        </w:tabs>
        <w:ind w:left="3660" w:hanging="360"/>
      </w:pPr>
      <w:rPr>
        <w:rFonts w:ascii="Courier New" w:hAnsi="Courier New" w:cs="Courier New" w:hint="default"/>
      </w:rPr>
    </w:lvl>
    <w:lvl w:ilvl="5" w:tplc="850A773A" w:tentative="1">
      <w:start w:val="1"/>
      <w:numFmt w:val="bullet"/>
      <w:lvlText w:val=""/>
      <w:lvlJc w:val="left"/>
      <w:pPr>
        <w:tabs>
          <w:tab w:val="num" w:pos="4380"/>
        </w:tabs>
        <w:ind w:left="4380" w:hanging="360"/>
      </w:pPr>
      <w:rPr>
        <w:rFonts w:ascii="Wingdings" w:hAnsi="Wingdings" w:hint="default"/>
      </w:rPr>
    </w:lvl>
    <w:lvl w:ilvl="6" w:tplc="8D103C9C" w:tentative="1">
      <w:start w:val="1"/>
      <w:numFmt w:val="bullet"/>
      <w:lvlText w:val=""/>
      <w:lvlJc w:val="left"/>
      <w:pPr>
        <w:tabs>
          <w:tab w:val="num" w:pos="5100"/>
        </w:tabs>
        <w:ind w:left="5100" w:hanging="360"/>
      </w:pPr>
      <w:rPr>
        <w:rFonts w:ascii="Symbol" w:hAnsi="Symbol" w:hint="default"/>
      </w:rPr>
    </w:lvl>
    <w:lvl w:ilvl="7" w:tplc="8FD2EB50" w:tentative="1">
      <w:start w:val="1"/>
      <w:numFmt w:val="bullet"/>
      <w:lvlText w:val="o"/>
      <w:lvlJc w:val="left"/>
      <w:pPr>
        <w:tabs>
          <w:tab w:val="num" w:pos="5820"/>
        </w:tabs>
        <w:ind w:left="5820" w:hanging="360"/>
      </w:pPr>
      <w:rPr>
        <w:rFonts w:ascii="Courier New" w:hAnsi="Courier New" w:cs="Courier New" w:hint="default"/>
      </w:rPr>
    </w:lvl>
    <w:lvl w:ilvl="8" w:tplc="DDCA4E1A"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F3D6657"/>
    <w:multiLevelType w:val="hybridMultilevel"/>
    <w:tmpl w:val="ECCA8118"/>
    <w:lvl w:ilvl="0" w:tplc="D1C2808C">
      <w:start w:val="1"/>
      <w:numFmt w:val="bullet"/>
      <w:lvlText w:val=""/>
      <w:lvlJc w:val="left"/>
      <w:pPr>
        <w:tabs>
          <w:tab w:val="num" w:pos="720"/>
        </w:tabs>
        <w:ind w:left="720" w:hanging="360"/>
      </w:pPr>
      <w:rPr>
        <w:rFonts w:ascii="Symbol" w:hAnsi="Symbol" w:hint="default"/>
      </w:rPr>
    </w:lvl>
    <w:lvl w:ilvl="1" w:tplc="05A29574">
      <w:start w:val="1"/>
      <w:numFmt w:val="bullet"/>
      <w:lvlText w:val="o"/>
      <w:lvlJc w:val="left"/>
      <w:pPr>
        <w:tabs>
          <w:tab w:val="num" w:pos="1440"/>
        </w:tabs>
        <w:ind w:left="1440" w:hanging="360"/>
      </w:pPr>
      <w:rPr>
        <w:rFonts w:ascii="Courier New" w:hAnsi="Courier New" w:cs="Courier New" w:hint="default"/>
      </w:rPr>
    </w:lvl>
    <w:lvl w:ilvl="2" w:tplc="EC6A5CF8" w:tentative="1">
      <w:start w:val="1"/>
      <w:numFmt w:val="bullet"/>
      <w:lvlText w:val=""/>
      <w:lvlJc w:val="left"/>
      <w:pPr>
        <w:tabs>
          <w:tab w:val="num" w:pos="2160"/>
        </w:tabs>
        <w:ind w:left="2160" w:hanging="360"/>
      </w:pPr>
      <w:rPr>
        <w:rFonts w:ascii="Wingdings" w:hAnsi="Wingdings" w:hint="default"/>
      </w:rPr>
    </w:lvl>
    <w:lvl w:ilvl="3" w:tplc="21CE1E9A" w:tentative="1">
      <w:start w:val="1"/>
      <w:numFmt w:val="bullet"/>
      <w:lvlText w:val=""/>
      <w:lvlJc w:val="left"/>
      <w:pPr>
        <w:tabs>
          <w:tab w:val="num" w:pos="2880"/>
        </w:tabs>
        <w:ind w:left="2880" w:hanging="360"/>
      </w:pPr>
      <w:rPr>
        <w:rFonts w:ascii="Symbol" w:hAnsi="Symbol" w:hint="default"/>
      </w:rPr>
    </w:lvl>
    <w:lvl w:ilvl="4" w:tplc="4C86475A" w:tentative="1">
      <w:start w:val="1"/>
      <w:numFmt w:val="bullet"/>
      <w:lvlText w:val="o"/>
      <w:lvlJc w:val="left"/>
      <w:pPr>
        <w:tabs>
          <w:tab w:val="num" w:pos="3600"/>
        </w:tabs>
        <w:ind w:left="3600" w:hanging="360"/>
      </w:pPr>
      <w:rPr>
        <w:rFonts w:ascii="Courier New" w:hAnsi="Courier New" w:cs="Courier New" w:hint="default"/>
      </w:rPr>
    </w:lvl>
    <w:lvl w:ilvl="5" w:tplc="9F5CF894" w:tentative="1">
      <w:start w:val="1"/>
      <w:numFmt w:val="bullet"/>
      <w:lvlText w:val=""/>
      <w:lvlJc w:val="left"/>
      <w:pPr>
        <w:tabs>
          <w:tab w:val="num" w:pos="4320"/>
        </w:tabs>
        <w:ind w:left="4320" w:hanging="360"/>
      </w:pPr>
      <w:rPr>
        <w:rFonts w:ascii="Wingdings" w:hAnsi="Wingdings" w:hint="default"/>
      </w:rPr>
    </w:lvl>
    <w:lvl w:ilvl="6" w:tplc="F08A8398" w:tentative="1">
      <w:start w:val="1"/>
      <w:numFmt w:val="bullet"/>
      <w:lvlText w:val=""/>
      <w:lvlJc w:val="left"/>
      <w:pPr>
        <w:tabs>
          <w:tab w:val="num" w:pos="5040"/>
        </w:tabs>
        <w:ind w:left="5040" w:hanging="360"/>
      </w:pPr>
      <w:rPr>
        <w:rFonts w:ascii="Symbol" w:hAnsi="Symbol" w:hint="default"/>
      </w:rPr>
    </w:lvl>
    <w:lvl w:ilvl="7" w:tplc="D5104EF4" w:tentative="1">
      <w:start w:val="1"/>
      <w:numFmt w:val="bullet"/>
      <w:lvlText w:val="o"/>
      <w:lvlJc w:val="left"/>
      <w:pPr>
        <w:tabs>
          <w:tab w:val="num" w:pos="5760"/>
        </w:tabs>
        <w:ind w:left="5760" w:hanging="360"/>
      </w:pPr>
      <w:rPr>
        <w:rFonts w:ascii="Courier New" w:hAnsi="Courier New" w:cs="Courier New" w:hint="default"/>
      </w:rPr>
    </w:lvl>
    <w:lvl w:ilvl="8" w:tplc="78585D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F26A8"/>
    <w:multiLevelType w:val="hybridMultilevel"/>
    <w:tmpl w:val="63A0553A"/>
    <w:lvl w:ilvl="0" w:tplc="0194FFAC">
      <w:start w:val="1"/>
      <w:numFmt w:val="bullet"/>
      <w:lvlText w:val=""/>
      <w:lvlJc w:val="left"/>
      <w:pPr>
        <w:tabs>
          <w:tab w:val="num" w:pos="720"/>
        </w:tabs>
        <w:ind w:left="720" w:hanging="360"/>
      </w:pPr>
      <w:rPr>
        <w:rFonts w:ascii="Symbol" w:hAnsi="Symbol" w:hint="default"/>
      </w:rPr>
    </w:lvl>
    <w:lvl w:ilvl="1" w:tplc="007E53D4" w:tentative="1">
      <w:start w:val="1"/>
      <w:numFmt w:val="bullet"/>
      <w:lvlText w:val="o"/>
      <w:lvlJc w:val="left"/>
      <w:pPr>
        <w:tabs>
          <w:tab w:val="num" w:pos="1440"/>
        </w:tabs>
        <w:ind w:left="1440" w:hanging="360"/>
      </w:pPr>
      <w:rPr>
        <w:rFonts w:ascii="Courier New" w:hAnsi="Courier New" w:cs="Courier New" w:hint="default"/>
      </w:rPr>
    </w:lvl>
    <w:lvl w:ilvl="2" w:tplc="6088BE22" w:tentative="1">
      <w:start w:val="1"/>
      <w:numFmt w:val="bullet"/>
      <w:lvlText w:val=""/>
      <w:lvlJc w:val="left"/>
      <w:pPr>
        <w:tabs>
          <w:tab w:val="num" w:pos="2160"/>
        </w:tabs>
        <w:ind w:left="2160" w:hanging="360"/>
      </w:pPr>
      <w:rPr>
        <w:rFonts w:ascii="Wingdings" w:hAnsi="Wingdings" w:hint="default"/>
      </w:rPr>
    </w:lvl>
    <w:lvl w:ilvl="3" w:tplc="D910DAEE" w:tentative="1">
      <w:start w:val="1"/>
      <w:numFmt w:val="bullet"/>
      <w:lvlText w:val=""/>
      <w:lvlJc w:val="left"/>
      <w:pPr>
        <w:tabs>
          <w:tab w:val="num" w:pos="2880"/>
        </w:tabs>
        <w:ind w:left="2880" w:hanging="360"/>
      </w:pPr>
      <w:rPr>
        <w:rFonts w:ascii="Symbol" w:hAnsi="Symbol" w:hint="default"/>
      </w:rPr>
    </w:lvl>
    <w:lvl w:ilvl="4" w:tplc="8A1E0A30" w:tentative="1">
      <w:start w:val="1"/>
      <w:numFmt w:val="bullet"/>
      <w:lvlText w:val="o"/>
      <w:lvlJc w:val="left"/>
      <w:pPr>
        <w:tabs>
          <w:tab w:val="num" w:pos="3600"/>
        </w:tabs>
        <w:ind w:left="3600" w:hanging="360"/>
      </w:pPr>
      <w:rPr>
        <w:rFonts w:ascii="Courier New" w:hAnsi="Courier New" w:cs="Courier New" w:hint="default"/>
      </w:rPr>
    </w:lvl>
    <w:lvl w:ilvl="5" w:tplc="3424A068" w:tentative="1">
      <w:start w:val="1"/>
      <w:numFmt w:val="bullet"/>
      <w:lvlText w:val=""/>
      <w:lvlJc w:val="left"/>
      <w:pPr>
        <w:tabs>
          <w:tab w:val="num" w:pos="4320"/>
        </w:tabs>
        <w:ind w:left="4320" w:hanging="360"/>
      </w:pPr>
      <w:rPr>
        <w:rFonts w:ascii="Wingdings" w:hAnsi="Wingdings" w:hint="default"/>
      </w:rPr>
    </w:lvl>
    <w:lvl w:ilvl="6" w:tplc="432C844C" w:tentative="1">
      <w:start w:val="1"/>
      <w:numFmt w:val="bullet"/>
      <w:lvlText w:val=""/>
      <w:lvlJc w:val="left"/>
      <w:pPr>
        <w:tabs>
          <w:tab w:val="num" w:pos="5040"/>
        </w:tabs>
        <w:ind w:left="5040" w:hanging="360"/>
      </w:pPr>
      <w:rPr>
        <w:rFonts w:ascii="Symbol" w:hAnsi="Symbol" w:hint="default"/>
      </w:rPr>
    </w:lvl>
    <w:lvl w:ilvl="7" w:tplc="CB1A4FAE" w:tentative="1">
      <w:start w:val="1"/>
      <w:numFmt w:val="bullet"/>
      <w:lvlText w:val="o"/>
      <w:lvlJc w:val="left"/>
      <w:pPr>
        <w:tabs>
          <w:tab w:val="num" w:pos="5760"/>
        </w:tabs>
        <w:ind w:left="5760" w:hanging="360"/>
      </w:pPr>
      <w:rPr>
        <w:rFonts w:ascii="Courier New" w:hAnsi="Courier New" w:cs="Courier New" w:hint="default"/>
      </w:rPr>
    </w:lvl>
    <w:lvl w:ilvl="8" w:tplc="34724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6F137C94"/>
    <w:multiLevelType w:val="hybridMultilevel"/>
    <w:tmpl w:val="FBBAB22A"/>
    <w:lvl w:ilvl="0" w:tplc="5CB0601E">
      <w:start w:val="1"/>
      <w:numFmt w:val="bullet"/>
      <w:lvlText w:val=""/>
      <w:lvlJc w:val="left"/>
      <w:pPr>
        <w:ind w:left="720" w:hanging="360"/>
      </w:pPr>
      <w:rPr>
        <w:rFonts w:ascii="Symbol" w:hAnsi="Symbol" w:hint="default"/>
      </w:rPr>
    </w:lvl>
    <w:lvl w:ilvl="1" w:tplc="D25466FC" w:tentative="1">
      <w:start w:val="1"/>
      <w:numFmt w:val="bullet"/>
      <w:lvlText w:val="o"/>
      <w:lvlJc w:val="left"/>
      <w:pPr>
        <w:ind w:left="1440" w:hanging="360"/>
      </w:pPr>
      <w:rPr>
        <w:rFonts w:ascii="Courier New" w:hAnsi="Courier New" w:cs="Courier New" w:hint="default"/>
      </w:rPr>
    </w:lvl>
    <w:lvl w:ilvl="2" w:tplc="36F6C378" w:tentative="1">
      <w:start w:val="1"/>
      <w:numFmt w:val="bullet"/>
      <w:lvlText w:val=""/>
      <w:lvlJc w:val="left"/>
      <w:pPr>
        <w:ind w:left="2160" w:hanging="360"/>
      </w:pPr>
      <w:rPr>
        <w:rFonts w:ascii="Wingdings" w:hAnsi="Wingdings" w:hint="default"/>
      </w:rPr>
    </w:lvl>
    <w:lvl w:ilvl="3" w:tplc="652812DE" w:tentative="1">
      <w:start w:val="1"/>
      <w:numFmt w:val="bullet"/>
      <w:lvlText w:val=""/>
      <w:lvlJc w:val="left"/>
      <w:pPr>
        <w:ind w:left="2880" w:hanging="360"/>
      </w:pPr>
      <w:rPr>
        <w:rFonts w:ascii="Symbol" w:hAnsi="Symbol" w:hint="default"/>
      </w:rPr>
    </w:lvl>
    <w:lvl w:ilvl="4" w:tplc="4352325C" w:tentative="1">
      <w:start w:val="1"/>
      <w:numFmt w:val="bullet"/>
      <w:lvlText w:val="o"/>
      <w:lvlJc w:val="left"/>
      <w:pPr>
        <w:ind w:left="3600" w:hanging="360"/>
      </w:pPr>
      <w:rPr>
        <w:rFonts w:ascii="Courier New" w:hAnsi="Courier New" w:cs="Courier New" w:hint="default"/>
      </w:rPr>
    </w:lvl>
    <w:lvl w:ilvl="5" w:tplc="84540320" w:tentative="1">
      <w:start w:val="1"/>
      <w:numFmt w:val="bullet"/>
      <w:lvlText w:val=""/>
      <w:lvlJc w:val="left"/>
      <w:pPr>
        <w:ind w:left="4320" w:hanging="360"/>
      </w:pPr>
      <w:rPr>
        <w:rFonts w:ascii="Wingdings" w:hAnsi="Wingdings" w:hint="default"/>
      </w:rPr>
    </w:lvl>
    <w:lvl w:ilvl="6" w:tplc="521EC5DA" w:tentative="1">
      <w:start w:val="1"/>
      <w:numFmt w:val="bullet"/>
      <w:lvlText w:val=""/>
      <w:lvlJc w:val="left"/>
      <w:pPr>
        <w:ind w:left="5040" w:hanging="360"/>
      </w:pPr>
      <w:rPr>
        <w:rFonts w:ascii="Symbol" w:hAnsi="Symbol" w:hint="default"/>
      </w:rPr>
    </w:lvl>
    <w:lvl w:ilvl="7" w:tplc="E402E0C6" w:tentative="1">
      <w:start w:val="1"/>
      <w:numFmt w:val="bullet"/>
      <w:lvlText w:val="o"/>
      <w:lvlJc w:val="left"/>
      <w:pPr>
        <w:ind w:left="5760" w:hanging="360"/>
      </w:pPr>
      <w:rPr>
        <w:rFonts w:ascii="Courier New" w:hAnsi="Courier New" w:cs="Courier New" w:hint="default"/>
      </w:rPr>
    </w:lvl>
    <w:lvl w:ilvl="8" w:tplc="A8741602" w:tentative="1">
      <w:start w:val="1"/>
      <w:numFmt w:val="bullet"/>
      <w:lvlText w:val=""/>
      <w:lvlJc w:val="left"/>
      <w:pPr>
        <w:ind w:left="6480" w:hanging="360"/>
      </w:pPr>
      <w:rPr>
        <w:rFonts w:ascii="Wingdings" w:hAnsi="Wingdings" w:hint="default"/>
      </w:rPr>
    </w:lvl>
  </w:abstractNum>
  <w:abstractNum w:abstractNumId="19" w15:restartNumberingAfterBreak="0">
    <w:nsid w:val="782503B6"/>
    <w:multiLevelType w:val="hybridMultilevel"/>
    <w:tmpl w:val="2B0A834C"/>
    <w:lvl w:ilvl="0" w:tplc="A02EA700">
      <w:start w:val="1"/>
      <w:numFmt w:val="bullet"/>
      <w:lvlText w:val=""/>
      <w:lvlJc w:val="left"/>
      <w:pPr>
        <w:tabs>
          <w:tab w:val="num" w:pos="720"/>
        </w:tabs>
        <w:ind w:left="720" w:hanging="360"/>
      </w:pPr>
      <w:rPr>
        <w:rFonts w:ascii="Symbol" w:hAnsi="Symbol" w:hint="default"/>
      </w:rPr>
    </w:lvl>
    <w:lvl w:ilvl="1" w:tplc="1DAA6C0C" w:tentative="1">
      <w:start w:val="1"/>
      <w:numFmt w:val="bullet"/>
      <w:lvlText w:val="o"/>
      <w:lvlJc w:val="left"/>
      <w:pPr>
        <w:tabs>
          <w:tab w:val="num" w:pos="1440"/>
        </w:tabs>
        <w:ind w:left="1440" w:hanging="360"/>
      </w:pPr>
      <w:rPr>
        <w:rFonts w:ascii="Courier New" w:hAnsi="Courier New" w:cs="Courier New" w:hint="default"/>
      </w:rPr>
    </w:lvl>
    <w:lvl w:ilvl="2" w:tplc="9844CE76" w:tentative="1">
      <w:start w:val="1"/>
      <w:numFmt w:val="bullet"/>
      <w:lvlText w:val=""/>
      <w:lvlJc w:val="left"/>
      <w:pPr>
        <w:tabs>
          <w:tab w:val="num" w:pos="2160"/>
        </w:tabs>
        <w:ind w:left="2160" w:hanging="360"/>
      </w:pPr>
      <w:rPr>
        <w:rFonts w:ascii="Wingdings" w:hAnsi="Wingdings" w:hint="default"/>
      </w:rPr>
    </w:lvl>
    <w:lvl w:ilvl="3" w:tplc="35AEC638" w:tentative="1">
      <w:start w:val="1"/>
      <w:numFmt w:val="bullet"/>
      <w:lvlText w:val=""/>
      <w:lvlJc w:val="left"/>
      <w:pPr>
        <w:tabs>
          <w:tab w:val="num" w:pos="2880"/>
        </w:tabs>
        <w:ind w:left="2880" w:hanging="360"/>
      </w:pPr>
      <w:rPr>
        <w:rFonts w:ascii="Symbol" w:hAnsi="Symbol" w:hint="default"/>
      </w:rPr>
    </w:lvl>
    <w:lvl w:ilvl="4" w:tplc="E31AD6EC" w:tentative="1">
      <w:start w:val="1"/>
      <w:numFmt w:val="bullet"/>
      <w:lvlText w:val="o"/>
      <w:lvlJc w:val="left"/>
      <w:pPr>
        <w:tabs>
          <w:tab w:val="num" w:pos="3600"/>
        </w:tabs>
        <w:ind w:left="3600" w:hanging="360"/>
      </w:pPr>
      <w:rPr>
        <w:rFonts w:ascii="Courier New" w:hAnsi="Courier New" w:cs="Courier New" w:hint="default"/>
      </w:rPr>
    </w:lvl>
    <w:lvl w:ilvl="5" w:tplc="C4E883CE" w:tentative="1">
      <w:start w:val="1"/>
      <w:numFmt w:val="bullet"/>
      <w:lvlText w:val=""/>
      <w:lvlJc w:val="left"/>
      <w:pPr>
        <w:tabs>
          <w:tab w:val="num" w:pos="4320"/>
        </w:tabs>
        <w:ind w:left="4320" w:hanging="360"/>
      </w:pPr>
      <w:rPr>
        <w:rFonts w:ascii="Wingdings" w:hAnsi="Wingdings" w:hint="default"/>
      </w:rPr>
    </w:lvl>
    <w:lvl w:ilvl="6" w:tplc="F9249D96" w:tentative="1">
      <w:start w:val="1"/>
      <w:numFmt w:val="bullet"/>
      <w:lvlText w:val=""/>
      <w:lvlJc w:val="left"/>
      <w:pPr>
        <w:tabs>
          <w:tab w:val="num" w:pos="5040"/>
        </w:tabs>
        <w:ind w:left="5040" w:hanging="360"/>
      </w:pPr>
      <w:rPr>
        <w:rFonts w:ascii="Symbol" w:hAnsi="Symbol" w:hint="default"/>
      </w:rPr>
    </w:lvl>
    <w:lvl w:ilvl="7" w:tplc="F4BEC784" w:tentative="1">
      <w:start w:val="1"/>
      <w:numFmt w:val="bullet"/>
      <w:lvlText w:val="o"/>
      <w:lvlJc w:val="left"/>
      <w:pPr>
        <w:tabs>
          <w:tab w:val="num" w:pos="5760"/>
        </w:tabs>
        <w:ind w:left="5760" w:hanging="360"/>
      </w:pPr>
      <w:rPr>
        <w:rFonts w:ascii="Courier New" w:hAnsi="Courier New" w:cs="Courier New" w:hint="default"/>
      </w:rPr>
    </w:lvl>
    <w:lvl w:ilvl="8" w:tplc="CE123AB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2"/>
  </w:num>
  <w:num w:numId="4">
    <w:abstractNumId w:val="17"/>
  </w:num>
  <w:num w:numId="5">
    <w:abstractNumId w:val="1"/>
  </w:num>
  <w:num w:numId="6">
    <w:abstractNumId w:val="16"/>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8"/>
  </w:num>
  <w:num w:numId="21">
    <w:abstractNumId w:val="5"/>
  </w:num>
  <w:num w:numId="22">
    <w:abstractNumId w:val="11"/>
  </w:num>
  <w:num w:numId="23">
    <w:abstractNumId w:val="7"/>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62"/>
    <w:rsid w:val="000A4041"/>
    <w:rsid w:val="000F0008"/>
    <w:rsid w:val="001043D7"/>
    <w:rsid w:val="00124466"/>
    <w:rsid w:val="0023779E"/>
    <w:rsid w:val="002F2F7B"/>
    <w:rsid w:val="00350384"/>
    <w:rsid w:val="004358F1"/>
    <w:rsid w:val="00623E63"/>
    <w:rsid w:val="00724A62"/>
    <w:rsid w:val="007716F6"/>
    <w:rsid w:val="008D140A"/>
    <w:rsid w:val="009A75C7"/>
    <w:rsid w:val="00A75CD2"/>
    <w:rsid w:val="00B156DC"/>
    <w:rsid w:val="00C46185"/>
    <w:rsid w:val="00C739F8"/>
    <w:rsid w:val="00D02AA7"/>
    <w:rsid w:val="00D82BFD"/>
    <w:rsid w:val="00DE11F2"/>
    <w:rsid w:val="00F243E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C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customStyle="1" w:styleId="SingleTxtG">
    <w:name w:val="_ Single Txt_G"/>
    <w:basedOn w:val="Normal"/>
    <w:link w:val="SingleTxtGChar"/>
    <w:rsid w:val="00F935C2"/>
    <w:pPr>
      <w:suppressAutoHyphens/>
      <w:spacing w:after="120" w:line="240" w:lineRule="atLeast"/>
      <w:ind w:left="1134" w:right="1134"/>
      <w:jc w:val="both"/>
    </w:pPr>
    <w:rPr>
      <w:sz w:val="20"/>
      <w:szCs w:val="20"/>
      <w:lang w:val="en-GB" w:eastAsia="en-GB"/>
    </w:rPr>
  </w:style>
  <w:style w:type="character" w:customStyle="1" w:styleId="SingleTxtGChar">
    <w:name w:val="_ Single Txt_G Char"/>
    <w:link w:val="SingleTxtG"/>
    <w:rsid w:val="00F935C2"/>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1C424747643C641A42EE5314E5D8EB8" ma:contentTypeVersion="" ma:contentTypeDescription="PDMS Document Site Content Type" ma:contentTypeScope="" ma:versionID="62f67259b49e6c0d5485dbd9aaa8886d">
  <xsd:schema xmlns:xsd="http://www.w3.org/2001/XMLSchema" xmlns:xs="http://www.w3.org/2001/XMLSchema" xmlns:p="http://schemas.microsoft.com/office/2006/metadata/properties" xmlns:ns2="76CA7F6B-51BD-4F73-B8F8-A518A54B504E" targetNamespace="http://schemas.microsoft.com/office/2006/metadata/properties" ma:root="true" ma:fieldsID="211a984b0f58333afbf7936183d85908" ns2:_="">
    <xsd:import namespace="76CA7F6B-51BD-4F73-B8F8-A518A54B504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A7F6B-51BD-4F73-B8F8-A518A54B504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6CA7F6B-51BD-4F73-B8F8-A518A54B50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53DE7-5B97-40A9-A2E9-07AF5B3F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A7F6B-51BD-4F73-B8F8-A518A54B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5242C-9E7A-4B47-A853-7E861A5189FB}">
  <ds:schemaRefs>
    <ds:schemaRef ds:uri="76CA7F6B-51BD-4F73-B8F8-A518A54B504E"/>
    <ds:schemaRef ds:uri="http://schemas.microsoft.com/office/2006/documentManagement/types"/>
    <ds:schemaRef ds:uri="http://schemas.microsoft.com/office/infopath/2007/PartnerControls"/>
    <ds:schemaRef ds:uri="http://schemas.microsoft.com/office/2006/metadata/properties"/>
    <ds:schemaRef ds:uri="http://purl.org/dc/terms/"/>
    <ds:schemaRef ds:uri="http://purl.org/dc/dcmitype/"/>
    <ds:schemaRef ds:uri="http://purl.org/dc/elements/1.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925FB3FA-B374-4004-89A9-F37C5984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creator/>
  <cp:lastModifiedBy/>
  <cp:revision>1</cp:revision>
  <cp:lastPrinted>2009-02-16T01:57:00Z</cp:lastPrinted>
  <dcterms:created xsi:type="dcterms:W3CDTF">2017-11-16T01:23:00Z</dcterms:created>
  <dcterms:modified xsi:type="dcterms:W3CDTF">2017-11-16T01:23:00Z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31 August 2016</vt:lpwstr>
  </property>
  <property fmtid="{D5CDD505-2E9C-101B-9397-08002B2CF9AE}" pid="4" name="ClearanceDueDate">
    <vt:lpwstr/>
  </property>
  <property fmtid="{D5CDD505-2E9C-101B-9397-08002B2CF9AE}" pid="5" name="ContentTypeId">
    <vt:lpwstr>0x010100266966F133664895A6EE3632470D45F50100722CA71941607C46BEB9966A4C1E8970</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Sharon Nyakuengama</vt:lpwstr>
  </property>
  <property fmtid="{D5CDD505-2E9C-101B-9397-08002B2CF9AE}" pid="11" name="Ministers">
    <vt:lpwstr>Paul Fletcher</vt:lpwstr>
  </property>
  <property fmtid="{D5CDD505-2E9C-101B-9397-08002B2CF9AE}" pid="12" name="PdrId">
    <vt:lpwstr>MS16-001197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23 August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Standards - Amendment to Vehicle Standards (Australian Design Rule (ADR) 2/01 - Side Door Latches and Hinges) 2006 Amendment 2 and Application of the United Nations Regulation 11</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