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B715AF" w:rsidRDefault="00DA186E" w:rsidP="00B05CF4">
      <w:pPr>
        <w:rPr>
          <w:sz w:val="28"/>
        </w:rPr>
      </w:pPr>
      <w:r w:rsidRPr="00B715AF">
        <w:rPr>
          <w:noProof/>
          <w:lang w:eastAsia="en-AU"/>
        </w:rPr>
        <w:drawing>
          <wp:inline distT="0" distB="0" distL="0" distR="0" wp14:anchorId="49A6579D" wp14:editId="0D7BF31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B715AF" w:rsidRDefault="00715914" w:rsidP="00715914">
      <w:pPr>
        <w:rPr>
          <w:sz w:val="19"/>
        </w:rPr>
      </w:pPr>
    </w:p>
    <w:p w:rsidR="00715914" w:rsidRPr="00B715AF" w:rsidRDefault="00FB7105" w:rsidP="00715914">
      <w:pPr>
        <w:pStyle w:val="ShortT"/>
      </w:pPr>
      <w:r w:rsidRPr="00B715AF">
        <w:t>Petroleum and Other Fuels Reporting Rules</w:t>
      </w:r>
      <w:r w:rsidR="00B715AF" w:rsidRPr="00B715AF">
        <w:t> </w:t>
      </w:r>
      <w:r w:rsidRPr="00B715AF">
        <w:t>2017</w:t>
      </w:r>
    </w:p>
    <w:p w:rsidR="003F4139" w:rsidRPr="00B715AF" w:rsidRDefault="003F4139" w:rsidP="00D51B1F">
      <w:pPr>
        <w:pStyle w:val="SignCoverPageStart"/>
        <w:rPr>
          <w:szCs w:val="22"/>
        </w:rPr>
      </w:pPr>
      <w:r w:rsidRPr="00B715AF">
        <w:rPr>
          <w:szCs w:val="22"/>
        </w:rPr>
        <w:t>I, Josh Frydenberg, Minister for the Environment and Energy, make the following rule</w:t>
      </w:r>
      <w:r w:rsidR="002C1386" w:rsidRPr="00B715AF">
        <w:rPr>
          <w:szCs w:val="22"/>
        </w:rPr>
        <w:t>s</w:t>
      </w:r>
      <w:r w:rsidRPr="00B715AF">
        <w:rPr>
          <w:szCs w:val="22"/>
        </w:rPr>
        <w:t>.</w:t>
      </w:r>
    </w:p>
    <w:p w:rsidR="003F4139" w:rsidRPr="00B715AF" w:rsidRDefault="003F4139" w:rsidP="00D51B1F">
      <w:pPr>
        <w:keepNext/>
        <w:spacing w:before="300" w:line="240" w:lineRule="atLeast"/>
        <w:ind w:right="397"/>
        <w:jc w:val="both"/>
        <w:rPr>
          <w:szCs w:val="22"/>
        </w:rPr>
      </w:pPr>
      <w:r w:rsidRPr="00B715AF">
        <w:rPr>
          <w:szCs w:val="22"/>
        </w:rPr>
        <w:t>Dated</w:t>
      </w:r>
      <w:r w:rsidRPr="00B715AF">
        <w:rPr>
          <w:szCs w:val="22"/>
        </w:rPr>
        <w:tab/>
      </w:r>
      <w:r w:rsidRPr="00B715AF">
        <w:rPr>
          <w:szCs w:val="22"/>
        </w:rPr>
        <w:fldChar w:fldCharType="begin"/>
      </w:r>
      <w:r w:rsidRPr="00B715AF">
        <w:rPr>
          <w:szCs w:val="22"/>
        </w:rPr>
        <w:instrText xml:space="preserve"> DOCPROPERTY  DateMade </w:instrText>
      </w:r>
      <w:r w:rsidRPr="00B715AF">
        <w:rPr>
          <w:szCs w:val="22"/>
        </w:rPr>
        <w:fldChar w:fldCharType="separate"/>
      </w:r>
      <w:r w:rsidR="0089068A">
        <w:rPr>
          <w:szCs w:val="22"/>
        </w:rPr>
        <w:t>9 November 2017</w:t>
      </w:r>
      <w:r w:rsidRPr="00B715AF">
        <w:rPr>
          <w:szCs w:val="22"/>
        </w:rPr>
        <w:fldChar w:fldCharType="end"/>
      </w:r>
    </w:p>
    <w:p w:rsidR="003F4139" w:rsidRPr="00B715AF" w:rsidRDefault="003F4139" w:rsidP="00D51B1F">
      <w:pPr>
        <w:keepNext/>
        <w:tabs>
          <w:tab w:val="left" w:pos="3402"/>
        </w:tabs>
        <w:spacing w:before="1440" w:line="300" w:lineRule="atLeast"/>
        <w:ind w:right="397"/>
        <w:rPr>
          <w:szCs w:val="22"/>
        </w:rPr>
      </w:pPr>
      <w:r w:rsidRPr="00B715AF">
        <w:rPr>
          <w:szCs w:val="22"/>
        </w:rPr>
        <w:t>Josh Frydenberg</w:t>
      </w:r>
    </w:p>
    <w:p w:rsidR="003F4139" w:rsidRPr="00B715AF" w:rsidRDefault="003F4139" w:rsidP="00D51B1F">
      <w:pPr>
        <w:pStyle w:val="SignCoverPageEnd"/>
        <w:rPr>
          <w:szCs w:val="22"/>
        </w:rPr>
      </w:pPr>
      <w:r w:rsidRPr="00B715AF">
        <w:rPr>
          <w:szCs w:val="22"/>
        </w:rPr>
        <w:t>Minister for the Environment and Energy</w:t>
      </w:r>
    </w:p>
    <w:p w:rsidR="003F4139" w:rsidRPr="00B715AF" w:rsidRDefault="003F4139" w:rsidP="00D51B1F"/>
    <w:p w:rsidR="003F4139" w:rsidRPr="00B715AF" w:rsidRDefault="003F4139" w:rsidP="003F4139"/>
    <w:p w:rsidR="00715914" w:rsidRPr="00B715AF" w:rsidRDefault="00715914" w:rsidP="00715914">
      <w:pPr>
        <w:pStyle w:val="Header"/>
        <w:tabs>
          <w:tab w:val="clear" w:pos="4150"/>
          <w:tab w:val="clear" w:pos="8307"/>
        </w:tabs>
      </w:pPr>
      <w:r w:rsidRPr="00B715AF">
        <w:rPr>
          <w:rStyle w:val="CharChapNo"/>
        </w:rPr>
        <w:t xml:space="preserve"> </w:t>
      </w:r>
      <w:r w:rsidRPr="00B715AF">
        <w:rPr>
          <w:rStyle w:val="CharChapText"/>
        </w:rPr>
        <w:t xml:space="preserve"> </w:t>
      </w:r>
    </w:p>
    <w:p w:rsidR="00715914" w:rsidRPr="00B715AF" w:rsidRDefault="00715914" w:rsidP="00715914">
      <w:pPr>
        <w:pStyle w:val="Header"/>
        <w:tabs>
          <w:tab w:val="clear" w:pos="4150"/>
          <w:tab w:val="clear" w:pos="8307"/>
        </w:tabs>
      </w:pPr>
      <w:r w:rsidRPr="00B715AF">
        <w:rPr>
          <w:rStyle w:val="CharPartNo"/>
        </w:rPr>
        <w:t xml:space="preserve"> </w:t>
      </w:r>
      <w:r w:rsidRPr="00B715AF">
        <w:rPr>
          <w:rStyle w:val="CharPartText"/>
        </w:rPr>
        <w:t xml:space="preserve"> </w:t>
      </w:r>
    </w:p>
    <w:p w:rsidR="00715914" w:rsidRPr="00B715AF" w:rsidRDefault="00715914" w:rsidP="00715914">
      <w:pPr>
        <w:pStyle w:val="Header"/>
        <w:tabs>
          <w:tab w:val="clear" w:pos="4150"/>
          <w:tab w:val="clear" w:pos="8307"/>
        </w:tabs>
      </w:pPr>
      <w:r w:rsidRPr="00B715AF">
        <w:rPr>
          <w:rStyle w:val="CharDivNo"/>
        </w:rPr>
        <w:t xml:space="preserve"> </w:t>
      </w:r>
      <w:r w:rsidRPr="00B715AF">
        <w:rPr>
          <w:rStyle w:val="CharDivText"/>
        </w:rPr>
        <w:t xml:space="preserve"> </w:t>
      </w:r>
    </w:p>
    <w:p w:rsidR="00715914" w:rsidRPr="00B715AF" w:rsidRDefault="00715914" w:rsidP="00715914">
      <w:pPr>
        <w:sectPr w:rsidR="00715914" w:rsidRPr="00B715AF" w:rsidSect="004B3AF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B715AF" w:rsidRDefault="00715914" w:rsidP="00076BDB">
      <w:pPr>
        <w:rPr>
          <w:sz w:val="36"/>
        </w:rPr>
      </w:pPr>
      <w:r w:rsidRPr="00B715AF">
        <w:rPr>
          <w:sz w:val="36"/>
        </w:rPr>
        <w:lastRenderedPageBreak/>
        <w:t>Contents</w:t>
      </w:r>
    </w:p>
    <w:p w:rsidR="002F3652" w:rsidRPr="00B715AF" w:rsidRDefault="002F3652">
      <w:pPr>
        <w:pStyle w:val="TOC2"/>
        <w:rPr>
          <w:rFonts w:asciiTheme="minorHAnsi" w:eastAsiaTheme="minorEastAsia" w:hAnsiTheme="minorHAnsi" w:cstheme="minorBidi"/>
          <w:b w:val="0"/>
          <w:noProof/>
          <w:kern w:val="0"/>
          <w:sz w:val="22"/>
          <w:szCs w:val="22"/>
        </w:rPr>
      </w:pPr>
      <w:r w:rsidRPr="00B715AF">
        <w:fldChar w:fldCharType="begin"/>
      </w:r>
      <w:r w:rsidRPr="00B715AF">
        <w:instrText xml:space="preserve"> TOC \o "1-9" </w:instrText>
      </w:r>
      <w:r w:rsidRPr="00B715AF">
        <w:fldChar w:fldCharType="separate"/>
      </w:r>
      <w:r w:rsidRPr="00B715AF">
        <w:rPr>
          <w:noProof/>
        </w:rPr>
        <w:t>Part</w:t>
      </w:r>
      <w:r w:rsidR="00B715AF" w:rsidRPr="00B715AF">
        <w:rPr>
          <w:noProof/>
        </w:rPr>
        <w:t> </w:t>
      </w:r>
      <w:r w:rsidRPr="00B715AF">
        <w:rPr>
          <w:noProof/>
        </w:rPr>
        <w:t>1—Preliminary</w:t>
      </w:r>
      <w:r w:rsidRPr="00B715AF">
        <w:rPr>
          <w:b w:val="0"/>
          <w:noProof/>
          <w:sz w:val="18"/>
        </w:rPr>
        <w:tab/>
      </w:r>
      <w:r w:rsidRPr="00B715AF">
        <w:rPr>
          <w:b w:val="0"/>
          <w:noProof/>
          <w:sz w:val="18"/>
        </w:rPr>
        <w:fldChar w:fldCharType="begin"/>
      </w:r>
      <w:r w:rsidRPr="00B715AF">
        <w:rPr>
          <w:b w:val="0"/>
          <w:noProof/>
          <w:sz w:val="18"/>
        </w:rPr>
        <w:instrText xml:space="preserve"> PAGEREF _Toc497725277 \h </w:instrText>
      </w:r>
      <w:r w:rsidRPr="00B715AF">
        <w:rPr>
          <w:b w:val="0"/>
          <w:noProof/>
          <w:sz w:val="18"/>
        </w:rPr>
      </w:r>
      <w:r w:rsidRPr="00B715AF">
        <w:rPr>
          <w:b w:val="0"/>
          <w:noProof/>
          <w:sz w:val="18"/>
        </w:rPr>
        <w:fldChar w:fldCharType="separate"/>
      </w:r>
      <w:r w:rsidR="0089068A">
        <w:rPr>
          <w:b w:val="0"/>
          <w:noProof/>
          <w:sz w:val="18"/>
        </w:rPr>
        <w:t>1</w:t>
      </w:r>
      <w:r w:rsidRPr="00B715AF">
        <w:rPr>
          <w:b w:val="0"/>
          <w:noProof/>
          <w:sz w:val="18"/>
        </w:rPr>
        <w:fldChar w:fldCharType="end"/>
      </w:r>
    </w:p>
    <w:p w:rsidR="002F3652" w:rsidRPr="00B715AF" w:rsidRDefault="002F3652">
      <w:pPr>
        <w:pStyle w:val="TOC3"/>
        <w:rPr>
          <w:rFonts w:asciiTheme="minorHAnsi" w:eastAsiaTheme="minorEastAsia" w:hAnsiTheme="minorHAnsi" w:cstheme="minorBidi"/>
          <w:b w:val="0"/>
          <w:noProof/>
          <w:kern w:val="0"/>
          <w:szCs w:val="22"/>
        </w:rPr>
      </w:pPr>
      <w:r w:rsidRPr="00B715AF">
        <w:rPr>
          <w:noProof/>
        </w:rPr>
        <w:t>Division</w:t>
      </w:r>
      <w:r w:rsidR="00B715AF" w:rsidRPr="00B715AF">
        <w:rPr>
          <w:noProof/>
        </w:rPr>
        <w:t> </w:t>
      </w:r>
      <w:r w:rsidRPr="00B715AF">
        <w:rPr>
          <w:noProof/>
        </w:rPr>
        <w:t>1—Preliminary</w:t>
      </w:r>
      <w:r w:rsidRPr="00B715AF">
        <w:rPr>
          <w:b w:val="0"/>
          <w:noProof/>
          <w:sz w:val="18"/>
        </w:rPr>
        <w:tab/>
      </w:r>
      <w:r w:rsidRPr="00B715AF">
        <w:rPr>
          <w:b w:val="0"/>
          <w:noProof/>
          <w:sz w:val="18"/>
        </w:rPr>
        <w:fldChar w:fldCharType="begin"/>
      </w:r>
      <w:r w:rsidRPr="00B715AF">
        <w:rPr>
          <w:b w:val="0"/>
          <w:noProof/>
          <w:sz w:val="18"/>
        </w:rPr>
        <w:instrText xml:space="preserve"> PAGEREF _Toc497725278 \h </w:instrText>
      </w:r>
      <w:r w:rsidRPr="00B715AF">
        <w:rPr>
          <w:b w:val="0"/>
          <w:noProof/>
          <w:sz w:val="18"/>
        </w:rPr>
      </w:r>
      <w:r w:rsidRPr="00B715AF">
        <w:rPr>
          <w:b w:val="0"/>
          <w:noProof/>
          <w:sz w:val="18"/>
        </w:rPr>
        <w:fldChar w:fldCharType="separate"/>
      </w:r>
      <w:r w:rsidR="0089068A">
        <w:rPr>
          <w:b w:val="0"/>
          <w:noProof/>
          <w:sz w:val="18"/>
        </w:rPr>
        <w:t>1</w:t>
      </w:r>
      <w:r w:rsidRPr="00B715AF">
        <w:rPr>
          <w:b w:val="0"/>
          <w:noProof/>
          <w:sz w:val="18"/>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w:t>
      </w:r>
      <w:r w:rsidRPr="00B715AF">
        <w:rPr>
          <w:noProof/>
        </w:rPr>
        <w:tab/>
        <w:t>Name</w:t>
      </w:r>
      <w:r w:rsidRPr="00B715AF">
        <w:rPr>
          <w:noProof/>
        </w:rPr>
        <w:tab/>
      </w:r>
      <w:r w:rsidRPr="00B715AF">
        <w:rPr>
          <w:noProof/>
        </w:rPr>
        <w:fldChar w:fldCharType="begin"/>
      </w:r>
      <w:r w:rsidRPr="00B715AF">
        <w:rPr>
          <w:noProof/>
        </w:rPr>
        <w:instrText xml:space="preserve"> PAGEREF _Toc497725279 \h </w:instrText>
      </w:r>
      <w:r w:rsidRPr="00B715AF">
        <w:rPr>
          <w:noProof/>
        </w:rPr>
      </w:r>
      <w:r w:rsidRPr="00B715AF">
        <w:rPr>
          <w:noProof/>
        </w:rPr>
        <w:fldChar w:fldCharType="separate"/>
      </w:r>
      <w:r w:rsidR="0089068A">
        <w:rPr>
          <w:noProof/>
        </w:rPr>
        <w:t>1</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2</w:t>
      </w:r>
      <w:r w:rsidRPr="00B715AF">
        <w:rPr>
          <w:noProof/>
        </w:rPr>
        <w:tab/>
        <w:t>Commencement</w:t>
      </w:r>
      <w:r w:rsidRPr="00B715AF">
        <w:rPr>
          <w:noProof/>
        </w:rPr>
        <w:tab/>
      </w:r>
      <w:r w:rsidRPr="00B715AF">
        <w:rPr>
          <w:noProof/>
        </w:rPr>
        <w:fldChar w:fldCharType="begin"/>
      </w:r>
      <w:r w:rsidRPr="00B715AF">
        <w:rPr>
          <w:noProof/>
        </w:rPr>
        <w:instrText xml:space="preserve"> PAGEREF _Toc497725280 \h </w:instrText>
      </w:r>
      <w:r w:rsidRPr="00B715AF">
        <w:rPr>
          <w:noProof/>
        </w:rPr>
      </w:r>
      <w:r w:rsidRPr="00B715AF">
        <w:rPr>
          <w:noProof/>
        </w:rPr>
        <w:fldChar w:fldCharType="separate"/>
      </w:r>
      <w:r w:rsidR="0089068A">
        <w:rPr>
          <w:noProof/>
        </w:rPr>
        <w:t>1</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3</w:t>
      </w:r>
      <w:r w:rsidRPr="00B715AF">
        <w:rPr>
          <w:noProof/>
        </w:rPr>
        <w:tab/>
        <w:t>Authority</w:t>
      </w:r>
      <w:r w:rsidRPr="00B715AF">
        <w:rPr>
          <w:noProof/>
        </w:rPr>
        <w:tab/>
      </w:r>
      <w:r w:rsidRPr="00B715AF">
        <w:rPr>
          <w:noProof/>
        </w:rPr>
        <w:fldChar w:fldCharType="begin"/>
      </w:r>
      <w:r w:rsidRPr="00B715AF">
        <w:rPr>
          <w:noProof/>
        </w:rPr>
        <w:instrText xml:space="preserve"> PAGEREF _Toc497725281 \h </w:instrText>
      </w:r>
      <w:r w:rsidRPr="00B715AF">
        <w:rPr>
          <w:noProof/>
        </w:rPr>
      </w:r>
      <w:r w:rsidRPr="00B715AF">
        <w:rPr>
          <w:noProof/>
        </w:rPr>
        <w:fldChar w:fldCharType="separate"/>
      </w:r>
      <w:r w:rsidR="0089068A">
        <w:rPr>
          <w:noProof/>
        </w:rPr>
        <w:t>1</w:t>
      </w:r>
      <w:r w:rsidRPr="00B715AF">
        <w:rPr>
          <w:noProof/>
        </w:rPr>
        <w:fldChar w:fldCharType="end"/>
      </w:r>
    </w:p>
    <w:p w:rsidR="002F3652" w:rsidRPr="00B715AF" w:rsidRDefault="002F3652">
      <w:pPr>
        <w:pStyle w:val="TOC3"/>
        <w:rPr>
          <w:rFonts w:asciiTheme="minorHAnsi" w:eastAsiaTheme="minorEastAsia" w:hAnsiTheme="minorHAnsi" w:cstheme="minorBidi"/>
          <w:b w:val="0"/>
          <w:noProof/>
          <w:kern w:val="0"/>
          <w:szCs w:val="22"/>
        </w:rPr>
      </w:pPr>
      <w:r w:rsidRPr="00B715AF">
        <w:rPr>
          <w:noProof/>
        </w:rPr>
        <w:t>Division</w:t>
      </w:r>
      <w:r w:rsidR="00B715AF" w:rsidRPr="00B715AF">
        <w:rPr>
          <w:noProof/>
        </w:rPr>
        <w:t> </w:t>
      </w:r>
      <w:r w:rsidRPr="00B715AF">
        <w:rPr>
          <w:noProof/>
        </w:rPr>
        <w:t>2—Definitions</w:t>
      </w:r>
      <w:r w:rsidRPr="00B715AF">
        <w:rPr>
          <w:b w:val="0"/>
          <w:noProof/>
          <w:sz w:val="18"/>
        </w:rPr>
        <w:tab/>
      </w:r>
      <w:r w:rsidRPr="00B715AF">
        <w:rPr>
          <w:b w:val="0"/>
          <w:noProof/>
          <w:sz w:val="18"/>
        </w:rPr>
        <w:fldChar w:fldCharType="begin"/>
      </w:r>
      <w:r w:rsidRPr="00B715AF">
        <w:rPr>
          <w:b w:val="0"/>
          <w:noProof/>
          <w:sz w:val="18"/>
        </w:rPr>
        <w:instrText xml:space="preserve"> PAGEREF _Toc497725282 \h </w:instrText>
      </w:r>
      <w:r w:rsidRPr="00B715AF">
        <w:rPr>
          <w:b w:val="0"/>
          <w:noProof/>
          <w:sz w:val="18"/>
        </w:rPr>
      </w:r>
      <w:r w:rsidRPr="00B715AF">
        <w:rPr>
          <w:b w:val="0"/>
          <w:noProof/>
          <w:sz w:val="18"/>
        </w:rPr>
        <w:fldChar w:fldCharType="separate"/>
      </w:r>
      <w:r w:rsidR="0089068A">
        <w:rPr>
          <w:b w:val="0"/>
          <w:noProof/>
          <w:sz w:val="18"/>
        </w:rPr>
        <w:t>2</w:t>
      </w:r>
      <w:r w:rsidRPr="00B715AF">
        <w:rPr>
          <w:b w:val="0"/>
          <w:noProof/>
          <w:sz w:val="18"/>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4</w:t>
      </w:r>
      <w:r w:rsidRPr="00B715AF">
        <w:rPr>
          <w:noProof/>
        </w:rPr>
        <w:tab/>
        <w:t>Definitions</w:t>
      </w:r>
      <w:r w:rsidRPr="00B715AF">
        <w:rPr>
          <w:noProof/>
        </w:rPr>
        <w:tab/>
      </w:r>
      <w:r w:rsidRPr="00B715AF">
        <w:rPr>
          <w:noProof/>
        </w:rPr>
        <w:fldChar w:fldCharType="begin"/>
      </w:r>
      <w:r w:rsidRPr="00B715AF">
        <w:rPr>
          <w:noProof/>
        </w:rPr>
        <w:instrText xml:space="preserve"> PAGEREF _Toc497725283 \h </w:instrText>
      </w:r>
      <w:r w:rsidRPr="00B715AF">
        <w:rPr>
          <w:noProof/>
        </w:rPr>
      </w:r>
      <w:r w:rsidRPr="00B715AF">
        <w:rPr>
          <w:noProof/>
        </w:rPr>
        <w:fldChar w:fldCharType="separate"/>
      </w:r>
      <w:r w:rsidR="0089068A">
        <w:rPr>
          <w:noProof/>
        </w:rPr>
        <w:t>2</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5</w:t>
      </w:r>
      <w:r w:rsidRPr="00B715AF">
        <w:rPr>
          <w:noProof/>
        </w:rPr>
        <w:tab/>
        <w:t>Covered activities</w:t>
      </w:r>
      <w:r w:rsidRPr="00B715AF">
        <w:rPr>
          <w:noProof/>
        </w:rPr>
        <w:tab/>
      </w:r>
      <w:r w:rsidRPr="00B715AF">
        <w:rPr>
          <w:noProof/>
        </w:rPr>
        <w:fldChar w:fldCharType="begin"/>
      </w:r>
      <w:r w:rsidRPr="00B715AF">
        <w:rPr>
          <w:noProof/>
        </w:rPr>
        <w:instrText xml:space="preserve"> PAGEREF _Toc497725284 \h </w:instrText>
      </w:r>
      <w:r w:rsidRPr="00B715AF">
        <w:rPr>
          <w:noProof/>
        </w:rPr>
      </w:r>
      <w:r w:rsidRPr="00B715AF">
        <w:rPr>
          <w:noProof/>
        </w:rPr>
        <w:fldChar w:fldCharType="separate"/>
      </w:r>
      <w:r w:rsidR="0089068A">
        <w:rPr>
          <w:noProof/>
        </w:rPr>
        <w:t>4</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6</w:t>
      </w:r>
      <w:r w:rsidRPr="00B715AF">
        <w:rPr>
          <w:noProof/>
        </w:rPr>
        <w:tab/>
        <w:t>Covered products</w:t>
      </w:r>
      <w:r w:rsidRPr="00B715AF">
        <w:rPr>
          <w:noProof/>
        </w:rPr>
        <w:tab/>
      </w:r>
      <w:r w:rsidRPr="00B715AF">
        <w:rPr>
          <w:noProof/>
        </w:rPr>
        <w:fldChar w:fldCharType="begin"/>
      </w:r>
      <w:r w:rsidRPr="00B715AF">
        <w:rPr>
          <w:noProof/>
        </w:rPr>
        <w:instrText xml:space="preserve"> PAGEREF _Toc497725285 \h </w:instrText>
      </w:r>
      <w:r w:rsidRPr="00B715AF">
        <w:rPr>
          <w:noProof/>
        </w:rPr>
      </w:r>
      <w:r w:rsidRPr="00B715AF">
        <w:rPr>
          <w:noProof/>
        </w:rPr>
        <w:fldChar w:fldCharType="separate"/>
      </w:r>
      <w:r w:rsidR="0089068A">
        <w:rPr>
          <w:noProof/>
        </w:rPr>
        <w:t>4</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7</w:t>
      </w:r>
      <w:r w:rsidRPr="00B715AF">
        <w:rPr>
          <w:noProof/>
        </w:rPr>
        <w:tab/>
        <w:t>Holding stock—contractual rights</w:t>
      </w:r>
      <w:r w:rsidRPr="00B715AF">
        <w:rPr>
          <w:noProof/>
        </w:rPr>
        <w:tab/>
      </w:r>
      <w:r w:rsidRPr="00B715AF">
        <w:rPr>
          <w:noProof/>
        </w:rPr>
        <w:fldChar w:fldCharType="begin"/>
      </w:r>
      <w:r w:rsidRPr="00B715AF">
        <w:rPr>
          <w:noProof/>
        </w:rPr>
        <w:instrText xml:space="preserve"> PAGEREF _Toc497725286 \h </w:instrText>
      </w:r>
      <w:r w:rsidRPr="00B715AF">
        <w:rPr>
          <w:noProof/>
        </w:rPr>
      </w:r>
      <w:r w:rsidRPr="00B715AF">
        <w:rPr>
          <w:noProof/>
        </w:rPr>
        <w:fldChar w:fldCharType="separate"/>
      </w:r>
      <w:r w:rsidR="0089068A">
        <w:rPr>
          <w:noProof/>
        </w:rPr>
        <w:t>4</w:t>
      </w:r>
      <w:r w:rsidRPr="00B715AF">
        <w:rPr>
          <w:noProof/>
        </w:rPr>
        <w:fldChar w:fldCharType="end"/>
      </w:r>
    </w:p>
    <w:p w:rsidR="002F3652" w:rsidRPr="00B715AF" w:rsidRDefault="002F3652">
      <w:pPr>
        <w:pStyle w:val="TOC3"/>
        <w:rPr>
          <w:rFonts w:asciiTheme="minorHAnsi" w:eastAsiaTheme="minorEastAsia" w:hAnsiTheme="minorHAnsi" w:cstheme="minorBidi"/>
          <w:b w:val="0"/>
          <w:noProof/>
          <w:kern w:val="0"/>
          <w:szCs w:val="22"/>
        </w:rPr>
      </w:pPr>
      <w:r w:rsidRPr="00B715AF">
        <w:rPr>
          <w:noProof/>
        </w:rPr>
        <w:t>Division</w:t>
      </w:r>
      <w:r w:rsidR="00B715AF" w:rsidRPr="00B715AF">
        <w:rPr>
          <w:noProof/>
        </w:rPr>
        <w:t> </w:t>
      </w:r>
      <w:r w:rsidRPr="00B715AF">
        <w:rPr>
          <w:noProof/>
        </w:rPr>
        <w:t>3—Other provisions relating to the scope of this instrument</w:t>
      </w:r>
      <w:r w:rsidRPr="00B715AF">
        <w:rPr>
          <w:b w:val="0"/>
          <w:noProof/>
          <w:sz w:val="18"/>
        </w:rPr>
        <w:tab/>
      </w:r>
      <w:r w:rsidRPr="00B715AF">
        <w:rPr>
          <w:b w:val="0"/>
          <w:noProof/>
          <w:sz w:val="18"/>
        </w:rPr>
        <w:fldChar w:fldCharType="begin"/>
      </w:r>
      <w:r w:rsidRPr="00B715AF">
        <w:rPr>
          <w:b w:val="0"/>
          <w:noProof/>
          <w:sz w:val="18"/>
        </w:rPr>
        <w:instrText xml:space="preserve"> PAGEREF _Toc497725287 \h </w:instrText>
      </w:r>
      <w:r w:rsidRPr="00B715AF">
        <w:rPr>
          <w:b w:val="0"/>
          <w:noProof/>
          <w:sz w:val="18"/>
        </w:rPr>
      </w:r>
      <w:r w:rsidRPr="00B715AF">
        <w:rPr>
          <w:b w:val="0"/>
          <w:noProof/>
          <w:sz w:val="18"/>
        </w:rPr>
        <w:fldChar w:fldCharType="separate"/>
      </w:r>
      <w:r w:rsidR="0089068A">
        <w:rPr>
          <w:b w:val="0"/>
          <w:noProof/>
          <w:sz w:val="18"/>
        </w:rPr>
        <w:t>5</w:t>
      </w:r>
      <w:r w:rsidRPr="00B715AF">
        <w:rPr>
          <w:b w:val="0"/>
          <w:noProof/>
          <w:sz w:val="18"/>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8</w:t>
      </w:r>
      <w:r w:rsidRPr="00B715AF">
        <w:rPr>
          <w:noProof/>
        </w:rPr>
        <w:tab/>
        <w:t>Wholesaling to which this instrument does not apply</w:t>
      </w:r>
      <w:r w:rsidRPr="00B715AF">
        <w:rPr>
          <w:noProof/>
        </w:rPr>
        <w:tab/>
      </w:r>
      <w:r w:rsidRPr="00B715AF">
        <w:rPr>
          <w:noProof/>
        </w:rPr>
        <w:fldChar w:fldCharType="begin"/>
      </w:r>
      <w:r w:rsidRPr="00B715AF">
        <w:rPr>
          <w:noProof/>
        </w:rPr>
        <w:instrText xml:space="preserve"> PAGEREF _Toc497725288 \h </w:instrText>
      </w:r>
      <w:r w:rsidRPr="00B715AF">
        <w:rPr>
          <w:noProof/>
        </w:rPr>
      </w:r>
      <w:r w:rsidRPr="00B715AF">
        <w:rPr>
          <w:noProof/>
        </w:rPr>
        <w:fldChar w:fldCharType="separate"/>
      </w:r>
      <w:r w:rsidR="0089068A">
        <w:rPr>
          <w:noProof/>
        </w:rPr>
        <w:t>5</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9</w:t>
      </w:r>
      <w:r w:rsidRPr="00B715AF">
        <w:rPr>
          <w:noProof/>
        </w:rPr>
        <w:tab/>
        <w:t>Stock holding to which this instrument does not apply</w:t>
      </w:r>
      <w:r w:rsidRPr="00B715AF">
        <w:rPr>
          <w:noProof/>
        </w:rPr>
        <w:tab/>
      </w:r>
      <w:r w:rsidRPr="00B715AF">
        <w:rPr>
          <w:noProof/>
        </w:rPr>
        <w:fldChar w:fldCharType="begin"/>
      </w:r>
      <w:r w:rsidRPr="00B715AF">
        <w:rPr>
          <w:noProof/>
        </w:rPr>
        <w:instrText xml:space="preserve"> PAGEREF _Toc497725289 \h </w:instrText>
      </w:r>
      <w:r w:rsidRPr="00B715AF">
        <w:rPr>
          <w:noProof/>
        </w:rPr>
      </w:r>
      <w:r w:rsidRPr="00B715AF">
        <w:rPr>
          <w:noProof/>
        </w:rPr>
        <w:fldChar w:fldCharType="separate"/>
      </w:r>
      <w:r w:rsidR="0089068A">
        <w:rPr>
          <w:noProof/>
        </w:rPr>
        <w:t>5</w:t>
      </w:r>
      <w:r w:rsidRPr="00B715AF">
        <w:rPr>
          <w:noProof/>
        </w:rPr>
        <w:fldChar w:fldCharType="end"/>
      </w:r>
    </w:p>
    <w:p w:rsidR="002F3652" w:rsidRPr="00B715AF" w:rsidRDefault="002F3652">
      <w:pPr>
        <w:pStyle w:val="TOC2"/>
        <w:rPr>
          <w:rFonts w:asciiTheme="minorHAnsi" w:eastAsiaTheme="minorEastAsia" w:hAnsiTheme="minorHAnsi" w:cstheme="minorBidi"/>
          <w:b w:val="0"/>
          <w:noProof/>
          <w:kern w:val="0"/>
          <w:sz w:val="22"/>
          <w:szCs w:val="22"/>
        </w:rPr>
      </w:pPr>
      <w:r w:rsidRPr="00B715AF">
        <w:rPr>
          <w:noProof/>
        </w:rPr>
        <w:t>Part</w:t>
      </w:r>
      <w:r w:rsidR="00B715AF" w:rsidRPr="00B715AF">
        <w:rPr>
          <w:noProof/>
        </w:rPr>
        <w:t> </w:t>
      </w:r>
      <w:r w:rsidRPr="00B715AF">
        <w:rPr>
          <w:noProof/>
        </w:rPr>
        <w:t>2—Reports of fuel information</w:t>
      </w:r>
      <w:r w:rsidRPr="00B715AF">
        <w:rPr>
          <w:b w:val="0"/>
          <w:noProof/>
          <w:sz w:val="18"/>
        </w:rPr>
        <w:tab/>
      </w:r>
      <w:r w:rsidRPr="00B715AF">
        <w:rPr>
          <w:b w:val="0"/>
          <w:noProof/>
          <w:sz w:val="18"/>
        </w:rPr>
        <w:fldChar w:fldCharType="begin"/>
      </w:r>
      <w:r w:rsidRPr="00B715AF">
        <w:rPr>
          <w:b w:val="0"/>
          <w:noProof/>
          <w:sz w:val="18"/>
        </w:rPr>
        <w:instrText xml:space="preserve"> PAGEREF _Toc497725290 \h </w:instrText>
      </w:r>
      <w:r w:rsidRPr="00B715AF">
        <w:rPr>
          <w:b w:val="0"/>
          <w:noProof/>
          <w:sz w:val="18"/>
        </w:rPr>
      </w:r>
      <w:r w:rsidRPr="00B715AF">
        <w:rPr>
          <w:b w:val="0"/>
          <w:noProof/>
          <w:sz w:val="18"/>
        </w:rPr>
        <w:fldChar w:fldCharType="separate"/>
      </w:r>
      <w:r w:rsidR="0089068A">
        <w:rPr>
          <w:b w:val="0"/>
          <w:noProof/>
          <w:sz w:val="18"/>
        </w:rPr>
        <w:t>6</w:t>
      </w:r>
      <w:r w:rsidRPr="00B715AF">
        <w:rPr>
          <w:b w:val="0"/>
          <w:noProof/>
          <w:sz w:val="18"/>
        </w:rPr>
        <w:fldChar w:fldCharType="end"/>
      </w:r>
    </w:p>
    <w:p w:rsidR="002F3652" w:rsidRPr="00B715AF" w:rsidRDefault="002F3652">
      <w:pPr>
        <w:pStyle w:val="TOC3"/>
        <w:rPr>
          <w:rFonts w:asciiTheme="minorHAnsi" w:eastAsiaTheme="minorEastAsia" w:hAnsiTheme="minorHAnsi" w:cstheme="minorBidi"/>
          <w:b w:val="0"/>
          <w:noProof/>
          <w:kern w:val="0"/>
          <w:szCs w:val="22"/>
        </w:rPr>
      </w:pPr>
      <w:r w:rsidRPr="00B715AF">
        <w:rPr>
          <w:noProof/>
        </w:rPr>
        <w:t>Division</w:t>
      </w:r>
      <w:r w:rsidR="00B715AF" w:rsidRPr="00B715AF">
        <w:rPr>
          <w:noProof/>
        </w:rPr>
        <w:t> </w:t>
      </w:r>
      <w:r w:rsidRPr="00B715AF">
        <w:rPr>
          <w:noProof/>
        </w:rPr>
        <w:t>1—Outline of this Part</w:t>
      </w:r>
      <w:r w:rsidRPr="00B715AF">
        <w:rPr>
          <w:b w:val="0"/>
          <w:noProof/>
          <w:sz w:val="18"/>
        </w:rPr>
        <w:tab/>
      </w:r>
      <w:r w:rsidRPr="00B715AF">
        <w:rPr>
          <w:b w:val="0"/>
          <w:noProof/>
          <w:sz w:val="18"/>
        </w:rPr>
        <w:fldChar w:fldCharType="begin"/>
      </w:r>
      <w:r w:rsidRPr="00B715AF">
        <w:rPr>
          <w:b w:val="0"/>
          <w:noProof/>
          <w:sz w:val="18"/>
        </w:rPr>
        <w:instrText xml:space="preserve"> PAGEREF _Toc497725291 \h </w:instrText>
      </w:r>
      <w:r w:rsidRPr="00B715AF">
        <w:rPr>
          <w:b w:val="0"/>
          <w:noProof/>
          <w:sz w:val="18"/>
        </w:rPr>
      </w:r>
      <w:r w:rsidRPr="00B715AF">
        <w:rPr>
          <w:b w:val="0"/>
          <w:noProof/>
          <w:sz w:val="18"/>
        </w:rPr>
        <w:fldChar w:fldCharType="separate"/>
      </w:r>
      <w:r w:rsidR="0089068A">
        <w:rPr>
          <w:b w:val="0"/>
          <w:noProof/>
          <w:sz w:val="18"/>
        </w:rPr>
        <w:t>6</w:t>
      </w:r>
      <w:r w:rsidRPr="00B715AF">
        <w:rPr>
          <w:b w:val="0"/>
          <w:noProof/>
          <w:sz w:val="18"/>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10</w:t>
      </w:r>
      <w:r w:rsidRPr="00B715AF">
        <w:rPr>
          <w:noProof/>
        </w:rPr>
        <w:tab/>
        <w:t>Outline of this Part</w:t>
      </w:r>
      <w:r w:rsidRPr="00B715AF">
        <w:rPr>
          <w:noProof/>
        </w:rPr>
        <w:tab/>
      </w:r>
      <w:r w:rsidRPr="00B715AF">
        <w:rPr>
          <w:noProof/>
        </w:rPr>
        <w:fldChar w:fldCharType="begin"/>
      </w:r>
      <w:r w:rsidRPr="00B715AF">
        <w:rPr>
          <w:noProof/>
        </w:rPr>
        <w:instrText xml:space="preserve"> PAGEREF _Toc497725292 \h </w:instrText>
      </w:r>
      <w:r w:rsidRPr="00B715AF">
        <w:rPr>
          <w:noProof/>
        </w:rPr>
      </w:r>
      <w:r w:rsidRPr="00B715AF">
        <w:rPr>
          <w:noProof/>
        </w:rPr>
        <w:fldChar w:fldCharType="separate"/>
      </w:r>
      <w:r w:rsidR="0089068A">
        <w:rPr>
          <w:noProof/>
        </w:rPr>
        <w:t>6</w:t>
      </w:r>
      <w:r w:rsidRPr="00B715AF">
        <w:rPr>
          <w:noProof/>
        </w:rPr>
        <w:fldChar w:fldCharType="end"/>
      </w:r>
    </w:p>
    <w:p w:rsidR="002F3652" w:rsidRPr="00B715AF" w:rsidRDefault="002F3652">
      <w:pPr>
        <w:pStyle w:val="TOC3"/>
        <w:rPr>
          <w:rFonts w:asciiTheme="minorHAnsi" w:eastAsiaTheme="minorEastAsia" w:hAnsiTheme="minorHAnsi" w:cstheme="minorBidi"/>
          <w:b w:val="0"/>
          <w:noProof/>
          <w:kern w:val="0"/>
          <w:szCs w:val="22"/>
        </w:rPr>
      </w:pPr>
      <w:r w:rsidRPr="00B715AF">
        <w:rPr>
          <w:noProof/>
        </w:rPr>
        <w:t>Division</w:t>
      </w:r>
      <w:r w:rsidR="00B715AF" w:rsidRPr="00B715AF">
        <w:rPr>
          <w:noProof/>
        </w:rPr>
        <w:t> </w:t>
      </w:r>
      <w:r w:rsidRPr="00B715AF">
        <w:rPr>
          <w:noProof/>
        </w:rPr>
        <w:t>2—Definitions</w:t>
      </w:r>
      <w:r w:rsidRPr="00B715AF">
        <w:rPr>
          <w:b w:val="0"/>
          <w:noProof/>
          <w:sz w:val="18"/>
        </w:rPr>
        <w:tab/>
      </w:r>
      <w:r w:rsidRPr="00B715AF">
        <w:rPr>
          <w:b w:val="0"/>
          <w:noProof/>
          <w:sz w:val="18"/>
        </w:rPr>
        <w:fldChar w:fldCharType="begin"/>
      </w:r>
      <w:r w:rsidRPr="00B715AF">
        <w:rPr>
          <w:b w:val="0"/>
          <w:noProof/>
          <w:sz w:val="18"/>
        </w:rPr>
        <w:instrText xml:space="preserve"> PAGEREF _Toc497725293 \h </w:instrText>
      </w:r>
      <w:r w:rsidRPr="00B715AF">
        <w:rPr>
          <w:b w:val="0"/>
          <w:noProof/>
          <w:sz w:val="18"/>
        </w:rPr>
      </w:r>
      <w:r w:rsidRPr="00B715AF">
        <w:rPr>
          <w:b w:val="0"/>
          <w:noProof/>
          <w:sz w:val="18"/>
        </w:rPr>
        <w:fldChar w:fldCharType="separate"/>
      </w:r>
      <w:r w:rsidR="0089068A">
        <w:rPr>
          <w:b w:val="0"/>
          <w:noProof/>
          <w:sz w:val="18"/>
        </w:rPr>
        <w:t>7</w:t>
      </w:r>
      <w:r w:rsidRPr="00B715AF">
        <w:rPr>
          <w:b w:val="0"/>
          <w:noProof/>
          <w:sz w:val="18"/>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11</w:t>
      </w:r>
      <w:r w:rsidRPr="00B715AF">
        <w:rPr>
          <w:noProof/>
        </w:rPr>
        <w:tab/>
        <w:t>Australian fields and plants</w:t>
      </w:r>
      <w:r w:rsidRPr="00B715AF">
        <w:rPr>
          <w:noProof/>
        </w:rPr>
        <w:tab/>
      </w:r>
      <w:r w:rsidRPr="00B715AF">
        <w:rPr>
          <w:noProof/>
        </w:rPr>
        <w:fldChar w:fldCharType="begin"/>
      </w:r>
      <w:r w:rsidRPr="00B715AF">
        <w:rPr>
          <w:noProof/>
        </w:rPr>
        <w:instrText xml:space="preserve"> PAGEREF _Toc497725294 \h </w:instrText>
      </w:r>
      <w:r w:rsidRPr="00B715AF">
        <w:rPr>
          <w:noProof/>
        </w:rPr>
      </w:r>
      <w:r w:rsidRPr="00B715AF">
        <w:rPr>
          <w:noProof/>
        </w:rPr>
        <w:fldChar w:fldCharType="separate"/>
      </w:r>
      <w:r w:rsidR="0089068A">
        <w:rPr>
          <w:noProof/>
        </w:rPr>
        <w:t>7</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12</w:t>
      </w:r>
      <w:r w:rsidRPr="00B715AF">
        <w:rPr>
          <w:noProof/>
        </w:rPr>
        <w:tab/>
        <w:t>Australian refineries and GLOWS facilities</w:t>
      </w:r>
      <w:r w:rsidRPr="00B715AF">
        <w:rPr>
          <w:noProof/>
        </w:rPr>
        <w:tab/>
      </w:r>
      <w:r w:rsidRPr="00B715AF">
        <w:rPr>
          <w:noProof/>
        </w:rPr>
        <w:fldChar w:fldCharType="begin"/>
      </w:r>
      <w:r w:rsidRPr="00B715AF">
        <w:rPr>
          <w:noProof/>
        </w:rPr>
        <w:instrText xml:space="preserve"> PAGEREF _Toc497725295 \h </w:instrText>
      </w:r>
      <w:r w:rsidRPr="00B715AF">
        <w:rPr>
          <w:noProof/>
        </w:rPr>
      </w:r>
      <w:r w:rsidRPr="00B715AF">
        <w:rPr>
          <w:noProof/>
        </w:rPr>
        <w:fldChar w:fldCharType="separate"/>
      </w:r>
      <w:r w:rsidR="0089068A">
        <w:rPr>
          <w:noProof/>
        </w:rPr>
        <w:t>7</w:t>
      </w:r>
      <w:r w:rsidRPr="00B715AF">
        <w:rPr>
          <w:noProof/>
        </w:rPr>
        <w:fldChar w:fldCharType="end"/>
      </w:r>
    </w:p>
    <w:p w:rsidR="002F3652" w:rsidRPr="00B715AF" w:rsidRDefault="002F3652">
      <w:pPr>
        <w:pStyle w:val="TOC3"/>
        <w:rPr>
          <w:rFonts w:asciiTheme="minorHAnsi" w:eastAsiaTheme="minorEastAsia" w:hAnsiTheme="minorHAnsi" w:cstheme="minorBidi"/>
          <w:b w:val="0"/>
          <w:noProof/>
          <w:kern w:val="0"/>
          <w:szCs w:val="22"/>
        </w:rPr>
      </w:pPr>
      <w:r w:rsidRPr="00B715AF">
        <w:rPr>
          <w:noProof/>
        </w:rPr>
        <w:t>Division</w:t>
      </w:r>
      <w:r w:rsidR="00B715AF" w:rsidRPr="00B715AF">
        <w:rPr>
          <w:noProof/>
        </w:rPr>
        <w:t> </w:t>
      </w:r>
      <w:r w:rsidRPr="00B715AF">
        <w:rPr>
          <w:noProof/>
        </w:rPr>
        <w:t>3—Reports</w:t>
      </w:r>
      <w:r w:rsidRPr="00B715AF">
        <w:rPr>
          <w:b w:val="0"/>
          <w:noProof/>
          <w:sz w:val="18"/>
        </w:rPr>
        <w:tab/>
      </w:r>
      <w:r w:rsidRPr="00B715AF">
        <w:rPr>
          <w:b w:val="0"/>
          <w:noProof/>
          <w:sz w:val="18"/>
        </w:rPr>
        <w:fldChar w:fldCharType="begin"/>
      </w:r>
      <w:r w:rsidRPr="00B715AF">
        <w:rPr>
          <w:b w:val="0"/>
          <w:noProof/>
          <w:sz w:val="18"/>
        </w:rPr>
        <w:instrText xml:space="preserve"> PAGEREF _Toc497725296 \h </w:instrText>
      </w:r>
      <w:r w:rsidRPr="00B715AF">
        <w:rPr>
          <w:b w:val="0"/>
          <w:noProof/>
          <w:sz w:val="18"/>
        </w:rPr>
      </w:r>
      <w:r w:rsidRPr="00B715AF">
        <w:rPr>
          <w:b w:val="0"/>
          <w:noProof/>
          <w:sz w:val="18"/>
        </w:rPr>
        <w:fldChar w:fldCharType="separate"/>
      </w:r>
      <w:r w:rsidR="0089068A">
        <w:rPr>
          <w:b w:val="0"/>
          <w:noProof/>
          <w:sz w:val="18"/>
        </w:rPr>
        <w:t>9</w:t>
      </w:r>
      <w:r w:rsidRPr="00B715AF">
        <w:rPr>
          <w:b w:val="0"/>
          <w:noProof/>
          <w:sz w:val="18"/>
        </w:rPr>
        <w:fldChar w:fldCharType="end"/>
      </w:r>
    </w:p>
    <w:p w:rsidR="002F3652" w:rsidRPr="00B715AF" w:rsidRDefault="002F3652">
      <w:pPr>
        <w:pStyle w:val="TOC4"/>
        <w:rPr>
          <w:rFonts w:asciiTheme="minorHAnsi" w:eastAsiaTheme="minorEastAsia" w:hAnsiTheme="minorHAnsi" w:cstheme="minorBidi"/>
          <w:b w:val="0"/>
          <w:noProof/>
          <w:kern w:val="0"/>
          <w:sz w:val="22"/>
          <w:szCs w:val="22"/>
        </w:rPr>
      </w:pPr>
      <w:r w:rsidRPr="00B715AF">
        <w:rPr>
          <w:noProof/>
        </w:rPr>
        <w:t>Subdivision A—Scope of this Division</w:t>
      </w:r>
      <w:r w:rsidRPr="00B715AF">
        <w:rPr>
          <w:b w:val="0"/>
          <w:noProof/>
          <w:sz w:val="18"/>
        </w:rPr>
        <w:tab/>
      </w:r>
      <w:r w:rsidRPr="00B715AF">
        <w:rPr>
          <w:b w:val="0"/>
          <w:noProof/>
          <w:sz w:val="18"/>
        </w:rPr>
        <w:fldChar w:fldCharType="begin"/>
      </w:r>
      <w:r w:rsidRPr="00B715AF">
        <w:rPr>
          <w:b w:val="0"/>
          <w:noProof/>
          <w:sz w:val="18"/>
        </w:rPr>
        <w:instrText xml:space="preserve"> PAGEREF _Toc497725297 \h </w:instrText>
      </w:r>
      <w:r w:rsidRPr="00B715AF">
        <w:rPr>
          <w:b w:val="0"/>
          <w:noProof/>
          <w:sz w:val="18"/>
        </w:rPr>
      </w:r>
      <w:r w:rsidRPr="00B715AF">
        <w:rPr>
          <w:b w:val="0"/>
          <w:noProof/>
          <w:sz w:val="18"/>
        </w:rPr>
        <w:fldChar w:fldCharType="separate"/>
      </w:r>
      <w:r w:rsidR="0089068A">
        <w:rPr>
          <w:b w:val="0"/>
          <w:noProof/>
          <w:sz w:val="18"/>
        </w:rPr>
        <w:t>9</w:t>
      </w:r>
      <w:r w:rsidRPr="00B715AF">
        <w:rPr>
          <w:b w:val="0"/>
          <w:noProof/>
          <w:sz w:val="18"/>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13</w:t>
      </w:r>
      <w:r w:rsidRPr="00B715AF">
        <w:rPr>
          <w:noProof/>
        </w:rPr>
        <w:tab/>
        <w:t>Regulated entities</w:t>
      </w:r>
      <w:r w:rsidRPr="00B715AF">
        <w:rPr>
          <w:noProof/>
        </w:rPr>
        <w:tab/>
      </w:r>
      <w:r w:rsidRPr="00B715AF">
        <w:rPr>
          <w:noProof/>
        </w:rPr>
        <w:fldChar w:fldCharType="begin"/>
      </w:r>
      <w:r w:rsidRPr="00B715AF">
        <w:rPr>
          <w:noProof/>
        </w:rPr>
        <w:instrText xml:space="preserve"> PAGEREF _Toc497725298 \h </w:instrText>
      </w:r>
      <w:r w:rsidRPr="00B715AF">
        <w:rPr>
          <w:noProof/>
        </w:rPr>
      </w:r>
      <w:r w:rsidRPr="00B715AF">
        <w:rPr>
          <w:noProof/>
        </w:rPr>
        <w:fldChar w:fldCharType="separate"/>
      </w:r>
      <w:r w:rsidR="0089068A">
        <w:rPr>
          <w:noProof/>
        </w:rPr>
        <w:t>9</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14</w:t>
      </w:r>
      <w:r w:rsidRPr="00B715AF">
        <w:rPr>
          <w:noProof/>
        </w:rPr>
        <w:tab/>
        <w:t>Non</w:t>
      </w:r>
      <w:r w:rsidR="00B715AF">
        <w:rPr>
          <w:noProof/>
        </w:rPr>
        <w:noBreakHyphen/>
      </w:r>
      <w:r w:rsidRPr="00B715AF">
        <w:rPr>
          <w:noProof/>
        </w:rPr>
        <w:t>reportable natural gas and refining</w:t>
      </w:r>
      <w:r w:rsidR="00B715AF">
        <w:rPr>
          <w:noProof/>
        </w:rPr>
        <w:noBreakHyphen/>
      </w:r>
      <w:r w:rsidRPr="00B715AF">
        <w:rPr>
          <w:noProof/>
        </w:rPr>
        <w:t>related gas (other)</w:t>
      </w:r>
      <w:r w:rsidRPr="00B715AF">
        <w:rPr>
          <w:noProof/>
        </w:rPr>
        <w:tab/>
      </w:r>
      <w:r w:rsidRPr="00B715AF">
        <w:rPr>
          <w:noProof/>
        </w:rPr>
        <w:fldChar w:fldCharType="begin"/>
      </w:r>
      <w:r w:rsidRPr="00B715AF">
        <w:rPr>
          <w:noProof/>
        </w:rPr>
        <w:instrText xml:space="preserve"> PAGEREF _Toc497725299 \h </w:instrText>
      </w:r>
      <w:r w:rsidRPr="00B715AF">
        <w:rPr>
          <w:noProof/>
        </w:rPr>
      </w:r>
      <w:r w:rsidRPr="00B715AF">
        <w:rPr>
          <w:noProof/>
        </w:rPr>
        <w:fldChar w:fldCharType="separate"/>
      </w:r>
      <w:r w:rsidR="0089068A">
        <w:rPr>
          <w:noProof/>
        </w:rPr>
        <w:t>9</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15</w:t>
      </w:r>
      <w:r w:rsidRPr="00B715AF">
        <w:rPr>
          <w:noProof/>
        </w:rPr>
        <w:tab/>
        <w:t>Holding stock—entity that stores covered product disregarded if another entity holds contractual right to take possession</w:t>
      </w:r>
      <w:r w:rsidRPr="00B715AF">
        <w:rPr>
          <w:noProof/>
        </w:rPr>
        <w:tab/>
      </w:r>
      <w:r w:rsidRPr="00B715AF">
        <w:rPr>
          <w:noProof/>
        </w:rPr>
        <w:fldChar w:fldCharType="begin"/>
      </w:r>
      <w:r w:rsidRPr="00B715AF">
        <w:rPr>
          <w:noProof/>
        </w:rPr>
        <w:instrText xml:space="preserve"> PAGEREF _Toc497725300 \h </w:instrText>
      </w:r>
      <w:r w:rsidRPr="00B715AF">
        <w:rPr>
          <w:noProof/>
        </w:rPr>
      </w:r>
      <w:r w:rsidRPr="00B715AF">
        <w:rPr>
          <w:noProof/>
        </w:rPr>
        <w:fldChar w:fldCharType="separate"/>
      </w:r>
      <w:r w:rsidR="0089068A">
        <w:rPr>
          <w:noProof/>
        </w:rPr>
        <w:t>9</w:t>
      </w:r>
      <w:r w:rsidRPr="00B715AF">
        <w:rPr>
          <w:noProof/>
        </w:rPr>
        <w:fldChar w:fldCharType="end"/>
      </w:r>
    </w:p>
    <w:p w:rsidR="002F3652" w:rsidRPr="00B715AF" w:rsidRDefault="002F3652">
      <w:pPr>
        <w:pStyle w:val="TOC4"/>
        <w:rPr>
          <w:rFonts w:asciiTheme="minorHAnsi" w:eastAsiaTheme="minorEastAsia" w:hAnsiTheme="minorHAnsi" w:cstheme="minorBidi"/>
          <w:b w:val="0"/>
          <w:noProof/>
          <w:kern w:val="0"/>
          <w:sz w:val="22"/>
          <w:szCs w:val="22"/>
        </w:rPr>
      </w:pPr>
      <w:r w:rsidRPr="00B715AF">
        <w:rPr>
          <w:noProof/>
        </w:rPr>
        <w:t>Subdivision B—Reports</w:t>
      </w:r>
      <w:r w:rsidRPr="00B715AF">
        <w:rPr>
          <w:b w:val="0"/>
          <w:noProof/>
          <w:sz w:val="18"/>
        </w:rPr>
        <w:tab/>
      </w:r>
      <w:r w:rsidRPr="00B715AF">
        <w:rPr>
          <w:b w:val="0"/>
          <w:noProof/>
          <w:sz w:val="18"/>
        </w:rPr>
        <w:fldChar w:fldCharType="begin"/>
      </w:r>
      <w:r w:rsidRPr="00B715AF">
        <w:rPr>
          <w:b w:val="0"/>
          <w:noProof/>
          <w:sz w:val="18"/>
        </w:rPr>
        <w:instrText xml:space="preserve"> PAGEREF _Toc497725301 \h </w:instrText>
      </w:r>
      <w:r w:rsidRPr="00B715AF">
        <w:rPr>
          <w:b w:val="0"/>
          <w:noProof/>
          <w:sz w:val="18"/>
        </w:rPr>
      </w:r>
      <w:r w:rsidRPr="00B715AF">
        <w:rPr>
          <w:b w:val="0"/>
          <w:noProof/>
          <w:sz w:val="18"/>
        </w:rPr>
        <w:fldChar w:fldCharType="separate"/>
      </w:r>
      <w:r w:rsidR="0089068A">
        <w:rPr>
          <w:b w:val="0"/>
          <w:noProof/>
          <w:sz w:val="18"/>
        </w:rPr>
        <w:t>9</w:t>
      </w:r>
      <w:r w:rsidRPr="00B715AF">
        <w:rPr>
          <w:b w:val="0"/>
          <w:noProof/>
          <w:sz w:val="18"/>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16</w:t>
      </w:r>
      <w:r w:rsidRPr="00B715AF">
        <w:rPr>
          <w:noProof/>
        </w:rPr>
        <w:tab/>
        <w:t>Reports—general</w:t>
      </w:r>
      <w:r w:rsidRPr="00B715AF">
        <w:rPr>
          <w:noProof/>
        </w:rPr>
        <w:tab/>
      </w:r>
      <w:r w:rsidRPr="00B715AF">
        <w:rPr>
          <w:noProof/>
        </w:rPr>
        <w:fldChar w:fldCharType="begin"/>
      </w:r>
      <w:r w:rsidRPr="00B715AF">
        <w:rPr>
          <w:noProof/>
        </w:rPr>
        <w:instrText xml:space="preserve"> PAGEREF _Toc497725302 \h </w:instrText>
      </w:r>
      <w:r w:rsidRPr="00B715AF">
        <w:rPr>
          <w:noProof/>
        </w:rPr>
      </w:r>
      <w:r w:rsidRPr="00B715AF">
        <w:rPr>
          <w:noProof/>
        </w:rPr>
        <w:fldChar w:fldCharType="separate"/>
      </w:r>
      <w:r w:rsidR="0089068A">
        <w:rPr>
          <w:noProof/>
        </w:rPr>
        <w:t>9</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17</w:t>
      </w:r>
      <w:r w:rsidRPr="00B715AF">
        <w:rPr>
          <w:noProof/>
        </w:rPr>
        <w:tab/>
        <w:t>Reports—holding stock</w:t>
      </w:r>
      <w:r w:rsidRPr="00B715AF">
        <w:rPr>
          <w:noProof/>
        </w:rPr>
        <w:tab/>
      </w:r>
      <w:r w:rsidRPr="00B715AF">
        <w:rPr>
          <w:noProof/>
        </w:rPr>
        <w:fldChar w:fldCharType="begin"/>
      </w:r>
      <w:r w:rsidRPr="00B715AF">
        <w:rPr>
          <w:noProof/>
        </w:rPr>
        <w:instrText xml:space="preserve"> PAGEREF _Toc497725303 \h </w:instrText>
      </w:r>
      <w:r w:rsidRPr="00B715AF">
        <w:rPr>
          <w:noProof/>
        </w:rPr>
      </w:r>
      <w:r w:rsidRPr="00B715AF">
        <w:rPr>
          <w:noProof/>
        </w:rPr>
        <w:fldChar w:fldCharType="separate"/>
      </w:r>
      <w:r w:rsidR="0089068A">
        <w:rPr>
          <w:noProof/>
        </w:rPr>
        <w:t>14</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18</w:t>
      </w:r>
      <w:r w:rsidRPr="00B715AF">
        <w:rPr>
          <w:noProof/>
        </w:rPr>
        <w:tab/>
        <w:t>Reporting periods and giving reports</w:t>
      </w:r>
      <w:r w:rsidRPr="00B715AF">
        <w:rPr>
          <w:noProof/>
        </w:rPr>
        <w:tab/>
      </w:r>
      <w:r w:rsidRPr="00B715AF">
        <w:rPr>
          <w:noProof/>
        </w:rPr>
        <w:fldChar w:fldCharType="begin"/>
      </w:r>
      <w:r w:rsidRPr="00B715AF">
        <w:rPr>
          <w:noProof/>
        </w:rPr>
        <w:instrText xml:space="preserve"> PAGEREF _Toc497725304 \h </w:instrText>
      </w:r>
      <w:r w:rsidRPr="00B715AF">
        <w:rPr>
          <w:noProof/>
        </w:rPr>
      </w:r>
      <w:r w:rsidRPr="00B715AF">
        <w:rPr>
          <w:noProof/>
        </w:rPr>
        <w:fldChar w:fldCharType="separate"/>
      </w:r>
      <w:r w:rsidR="0089068A">
        <w:rPr>
          <w:noProof/>
        </w:rPr>
        <w:t>17</w:t>
      </w:r>
      <w:r w:rsidRPr="00B715AF">
        <w:rPr>
          <w:noProof/>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19</w:t>
      </w:r>
      <w:r w:rsidRPr="00B715AF">
        <w:rPr>
          <w:noProof/>
        </w:rPr>
        <w:tab/>
        <w:t>Exception to duty to report—reporting to NOPTA or Western Australia</w:t>
      </w:r>
      <w:r w:rsidRPr="00B715AF">
        <w:rPr>
          <w:noProof/>
        </w:rPr>
        <w:tab/>
      </w:r>
      <w:r w:rsidRPr="00B715AF">
        <w:rPr>
          <w:noProof/>
        </w:rPr>
        <w:fldChar w:fldCharType="begin"/>
      </w:r>
      <w:r w:rsidRPr="00B715AF">
        <w:rPr>
          <w:noProof/>
        </w:rPr>
        <w:instrText xml:space="preserve"> PAGEREF _Toc497725305 \h </w:instrText>
      </w:r>
      <w:r w:rsidRPr="00B715AF">
        <w:rPr>
          <w:noProof/>
        </w:rPr>
      </w:r>
      <w:r w:rsidRPr="00B715AF">
        <w:rPr>
          <w:noProof/>
        </w:rPr>
        <w:fldChar w:fldCharType="separate"/>
      </w:r>
      <w:r w:rsidR="0089068A">
        <w:rPr>
          <w:noProof/>
        </w:rPr>
        <w:t>18</w:t>
      </w:r>
      <w:r w:rsidRPr="00B715AF">
        <w:rPr>
          <w:noProof/>
        </w:rPr>
        <w:fldChar w:fldCharType="end"/>
      </w:r>
    </w:p>
    <w:p w:rsidR="002F3652" w:rsidRPr="00B715AF" w:rsidRDefault="002F3652">
      <w:pPr>
        <w:pStyle w:val="TOC3"/>
        <w:rPr>
          <w:rFonts w:asciiTheme="minorHAnsi" w:eastAsiaTheme="minorEastAsia" w:hAnsiTheme="minorHAnsi" w:cstheme="minorBidi"/>
          <w:b w:val="0"/>
          <w:noProof/>
          <w:kern w:val="0"/>
          <w:szCs w:val="22"/>
        </w:rPr>
      </w:pPr>
      <w:r w:rsidRPr="00B715AF">
        <w:rPr>
          <w:noProof/>
        </w:rPr>
        <w:t>Division</w:t>
      </w:r>
      <w:r w:rsidR="00B715AF" w:rsidRPr="00B715AF">
        <w:rPr>
          <w:noProof/>
        </w:rPr>
        <w:t> </w:t>
      </w:r>
      <w:r w:rsidRPr="00B715AF">
        <w:rPr>
          <w:noProof/>
        </w:rPr>
        <w:t>4—Extended application of this Part</w:t>
      </w:r>
      <w:r w:rsidRPr="00B715AF">
        <w:rPr>
          <w:b w:val="0"/>
          <w:noProof/>
          <w:sz w:val="18"/>
        </w:rPr>
        <w:tab/>
      </w:r>
      <w:r w:rsidRPr="00B715AF">
        <w:rPr>
          <w:b w:val="0"/>
          <w:noProof/>
          <w:sz w:val="18"/>
        </w:rPr>
        <w:fldChar w:fldCharType="begin"/>
      </w:r>
      <w:r w:rsidRPr="00B715AF">
        <w:rPr>
          <w:b w:val="0"/>
          <w:noProof/>
          <w:sz w:val="18"/>
        </w:rPr>
        <w:instrText xml:space="preserve"> PAGEREF _Toc497725306 \h </w:instrText>
      </w:r>
      <w:r w:rsidRPr="00B715AF">
        <w:rPr>
          <w:b w:val="0"/>
          <w:noProof/>
          <w:sz w:val="18"/>
        </w:rPr>
      </w:r>
      <w:r w:rsidRPr="00B715AF">
        <w:rPr>
          <w:b w:val="0"/>
          <w:noProof/>
          <w:sz w:val="18"/>
        </w:rPr>
        <w:fldChar w:fldCharType="separate"/>
      </w:r>
      <w:r w:rsidR="0089068A">
        <w:rPr>
          <w:b w:val="0"/>
          <w:noProof/>
          <w:sz w:val="18"/>
        </w:rPr>
        <w:t>20</w:t>
      </w:r>
      <w:r w:rsidRPr="00B715AF">
        <w:rPr>
          <w:b w:val="0"/>
          <w:noProof/>
          <w:sz w:val="18"/>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20</w:t>
      </w:r>
      <w:r w:rsidRPr="00B715AF">
        <w:rPr>
          <w:noProof/>
        </w:rPr>
        <w:tab/>
        <w:t>Extended application of this Part</w:t>
      </w:r>
      <w:r w:rsidRPr="00B715AF">
        <w:rPr>
          <w:noProof/>
        </w:rPr>
        <w:tab/>
      </w:r>
      <w:r w:rsidRPr="00B715AF">
        <w:rPr>
          <w:noProof/>
        </w:rPr>
        <w:fldChar w:fldCharType="begin"/>
      </w:r>
      <w:r w:rsidRPr="00B715AF">
        <w:rPr>
          <w:noProof/>
        </w:rPr>
        <w:instrText xml:space="preserve"> PAGEREF _Toc497725307 \h </w:instrText>
      </w:r>
      <w:r w:rsidRPr="00B715AF">
        <w:rPr>
          <w:noProof/>
        </w:rPr>
      </w:r>
      <w:r w:rsidRPr="00B715AF">
        <w:rPr>
          <w:noProof/>
        </w:rPr>
        <w:fldChar w:fldCharType="separate"/>
      </w:r>
      <w:r w:rsidR="0089068A">
        <w:rPr>
          <w:noProof/>
        </w:rPr>
        <w:t>20</w:t>
      </w:r>
      <w:r w:rsidRPr="00B715AF">
        <w:rPr>
          <w:noProof/>
        </w:rPr>
        <w:fldChar w:fldCharType="end"/>
      </w:r>
    </w:p>
    <w:p w:rsidR="002F3652" w:rsidRPr="00B715AF" w:rsidRDefault="002F3652">
      <w:pPr>
        <w:pStyle w:val="TOC2"/>
        <w:rPr>
          <w:rFonts w:asciiTheme="minorHAnsi" w:eastAsiaTheme="minorEastAsia" w:hAnsiTheme="minorHAnsi" w:cstheme="minorBidi"/>
          <w:b w:val="0"/>
          <w:noProof/>
          <w:kern w:val="0"/>
          <w:sz w:val="22"/>
          <w:szCs w:val="22"/>
        </w:rPr>
      </w:pPr>
      <w:r w:rsidRPr="00B715AF">
        <w:rPr>
          <w:noProof/>
        </w:rPr>
        <w:t>Part</w:t>
      </w:r>
      <w:r w:rsidR="00B715AF" w:rsidRPr="00B715AF">
        <w:rPr>
          <w:noProof/>
        </w:rPr>
        <w:t> </w:t>
      </w:r>
      <w:r w:rsidRPr="00B715AF">
        <w:rPr>
          <w:noProof/>
        </w:rPr>
        <w:t>3—Application and transitional provisions</w:t>
      </w:r>
      <w:r w:rsidRPr="00B715AF">
        <w:rPr>
          <w:b w:val="0"/>
          <w:noProof/>
          <w:sz w:val="18"/>
        </w:rPr>
        <w:tab/>
      </w:r>
      <w:r w:rsidRPr="00B715AF">
        <w:rPr>
          <w:b w:val="0"/>
          <w:noProof/>
          <w:sz w:val="18"/>
        </w:rPr>
        <w:fldChar w:fldCharType="begin"/>
      </w:r>
      <w:r w:rsidRPr="00B715AF">
        <w:rPr>
          <w:b w:val="0"/>
          <w:noProof/>
          <w:sz w:val="18"/>
        </w:rPr>
        <w:instrText xml:space="preserve"> PAGEREF _Toc497725308 \h </w:instrText>
      </w:r>
      <w:r w:rsidRPr="00B715AF">
        <w:rPr>
          <w:b w:val="0"/>
          <w:noProof/>
          <w:sz w:val="18"/>
        </w:rPr>
      </w:r>
      <w:r w:rsidRPr="00B715AF">
        <w:rPr>
          <w:b w:val="0"/>
          <w:noProof/>
          <w:sz w:val="18"/>
        </w:rPr>
        <w:fldChar w:fldCharType="separate"/>
      </w:r>
      <w:r w:rsidR="0089068A">
        <w:rPr>
          <w:b w:val="0"/>
          <w:noProof/>
          <w:sz w:val="18"/>
        </w:rPr>
        <w:t>22</w:t>
      </w:r>
      <w:r w:rsidRPr="00B715AF">
        <w:rPr>
          <w:b w:val="0"/>
          <w:noProof/>
          <w:sz w:val="18"/>
        </w:rPr>
        <w:fldChar w:fldCharType="end"/>
      </w:r>
    </w:p>
    <w:p w:rsidR="002F3652" w:rsidRPr="00B715AF" w:rsidRDefault="002F3652">
      <w:pPr>
        <w:pStyle w:val="TOC3"/>
        <w:rPr>
          <w:rFonts w:asciiTheme="minorHAnsi" w:eastAsiaTheme="minorEastAsia" w:hAnsiTheme="minorHAnsi" w:cstheme="minorBidi"/>
          <w:b w:val="0"/>
          <w:noProof/>
          <w:kern w:val="0"/>
          <w:szCs w:val="22"/>
        </w:rPr>
      </w:pPr>
      <w:r w:rsidRPr="00B715AF">
        <w:rPr>
          <w:noProof/>
        </w:rPr>
        <w:t>Division</w:t>
      </w:r>
      <w:r w:rsidR="00B715AF" w:rsidRPr="00B715AF">
        <w:rPr>
          <w:noProof/>
        </w:rPr>
        <w:t> </w:t>
      </w:r>
      <w:r w:rsidRPr="00B715AF">
        <w:rPr>
          <w:noProof/>
        </w:rPr>
        <w:t>1—Application of this instrument</w:t>
      </w:r>
      <w:r w:rsidRPr="00B715AF">
        <w:rPr>
          <w:b w:val="0"/>
          <w:noProof/>
          <w:sz w:val="18"/>
        </w:rPr>
        <w:tab/>
      </w:r>
      <w:r w:rsidRPr="00B715AF">
        <w:rPr>
          <w:b w:val="0"/>
          <w:noProof/>
          <w:sz w:val="18"/>
        </w:rPr>
        <w:fldChar w:fldCharType="begin"/>
      </w:r>
      <w:r w:rsidRPr="00B715AF">
        <w:rPr>
          <w:b w:val="0"/>
          <w:noProof/>
          <w:sz w:val="18"/>
        </w:rPr>
        <w:instrText xml:space="preserve"> PAGEREF _Toc497725309 \h </w:instrText>
      </w:r>
      <w:r w:rsidRPr="00B715AF">
        <w:rPr>
          <w:b w:val="0"/>
          <w:noProof/>
          <w:sz w:val="18"/>
        </w:rPr>
      </w:r>
      <w:r w:rsidRPr="00B715AF">
        <w:rPr>
          <w:b w:val="0"/>
          <w:noProof/>
          <w:sz w:val="18"/>
        </w:rPr>
        <w:fldChar w:fldCharType="separate"/>
      </w:r>
      <w:r w:rsidR="0089068A">
        <w:rPr>
          <w:b w:val="0"/>
          <w:noProof/>
          <w:sz w:val="18"/>
        </w:rPr>
        <w:t>22</w:t>
      </w:r>
      <w:r w:rsidRPr="00B715AF">
        <w:rPr>
          <w:b w:val="0"/>
          <w:noProof/>
          <w:sz w:val="18"/>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21</w:t>
      </w:r>
      <w:r w:rsidRPr="00B715AF">
        <w:rPr>
          <w:noProof/>
        </w:rPr>
        <w:tab/>
        <w:t>Application of this instrument</w:t>
      </w:r>
      <w:r w:rsidRPr="00B715AF">
        <w:rPr>
          <w:noProof/>
        </w:rPr>
        <w:tab/>
      </w:r>
      <w:r w:rsidRPr="00B715AF">
        <w:rPr>
          <w:noProof/>
        </w:rPr>
        <w:fldChar w:fldCharType="begin"/>
      </w:r>
      <w:r w:rsidRPr="00B715AF">
        <w:rPr>
          <w:noProof/>
        </w:rPr>
        <w:instrText xml:space="preserve"> PAGEREF _Toc497725310 \h </w:instrText>
      </w:r>
      <w:r w:rsidRPr="00B715AF">
        <w:rPr>
          <w:noProof/>
        </w:rPr>
      </w:r>
      <w:r w:rsidRPr="00B715AF">
        <w:rPr>
          <w:noProof/>
        </w:rPr>
        <w:fldChar w:fldCharType="separate"/>
      </w:r>
      <w:r w:rsidR="0089068A">
        <w:rPr>
          <w:noProof/>
        </w:rPr>
        <w:t>22</w:t>
      </w:r>
      <w:r w:rsidRPr="00B715AF">
        <w:rPr>
          <w:noProof/>
        </w:rPr>
        <w:fldChar w:fldCharType="end"/>
      </w:r>
    </w:p>
    <w:p w:rsidR="002F3652" w:rsidRPr="00B715AF" w:rsidRDefault="002F3652">
      <w:pPr>
        <w:pStyle w:val="TOC1"/>
        <w:rPr>
          <w:rFonts w:asciiTheme="minorHAnsi" w:eastAsiaTheme="minorEastAsia" w:hAnsiTheme="minorHAnsi" w:cstheme="minorBidi"/>
          <w:b w:val="0"/>
          <w:noProof/>
          <w:kern w:val="0"/>
          <w:sz w:val="22"/>
          <w:szCs w:val="22"/>
        </w:rPr>
      </w:pPr>
      <w:r w:rsidRPr="00B715AF">
        <w:rPr>
          <w:noProof/>
        </w:rPr>
        <w:t>Schedule</w:t>
      </w:r>
      <w:r w:rsidR="00B715AF" w:rsidRPr="00B715AF">
        <w:rPr>
          <w:noProof/>
        </w:rPr>
        <w:t> </w:t>
      </w:r>
      <w:r w:rsidRPr="00B715AF">
        <w:rPr>
          <w:noProof/>
        </w:rPr>
        <w:t>1—Categories and subcategories of covered product</w:t>
      </w:r>
      <w:r w:rsidRPr="00B715AF">
        <w:rPr>
          <w:b w:val="0"/>
          <w:noProof/>
          <w:sz w:val="18"/>
        </w:rPr>
        <w:tab/>
      </w:r>
      <w:r w:rsidRPr="00B715AF">
        <w:rPr>
          <w:b w:val="0"/>
          <w:noProof/>
          <w:sz w:val="18"/>
        </w:rPr>
        <w:fldChar w:fldCharType="begin"/>
      </w:r>
      <w:r w:rsidRPr="00B715AF">
        <w:rPr>
          <w:b w:val="0"/>
          <w:noProof/>
          <w:sz w:val="18"/>
        </w:rPr>
        <w:instrText xml:space="preserve"> PAGEREF _Toc497725311 \h </w:instrText>
      </w:r>
      <w:r w:rsidRPr="00B715AF">
        <w:rPr>
          <w:b w:val="0"/>
          <w:noProof/>
          <w:sz w:val="18"/>
        </w:rPr>
      </w:r>
      <w:r w:rsidRPr="00B715AF">
        <w:rPr>
          <w:b w:val="0"/>
          <w:noProof/>
          <w:sz w:val="18"/>
        </w:rPr>
        <w:fldChar w:fldCharType="separate"/>
      </w:r>
      <w:r w:rsidR="0089068A">
        <w:rPr>
          <w:b w:val="0"/>
          <w:noProof/>
          <w:sz w:val="18"/>
        </w:rPr>
        <w:t>23</w:t>
      </w:r>
      <w:r w:rsidRPr="00B715AF">
        <w:rPr>
          <w:b w:val="0"/>
          <w:noProof/>
          <w:sz w:val="18"/>
        </w:rPr>
        <w:fldChar w:fldCharType="end"/>
      </w:r>
    </w:p>
    <w:p w:rsidR="002F3652" w:rsidRPr="00B715AF" w:rsidRDefault="002F3652">
      <w:pPr>
        <w:pStyle w:val="TOC5"/>
        <w:rPr>
          <w:rFonts w:asciiTheme="minorHAnsi" w:eastAsiaTheme="minorEastAsia" w:hAnsiTheme="minorHAnsi" w:cstheme="minorBidi"/>
          <w:noProof/>
          <w:kern w:val="0"/>
          <w:sz w:val="22"/>
          <w:szCs w:val="22"/>
        </w:rPr>
      </w:pPr>
      <w:r w:rsidRPr="00B715AF">
        <w:rPr>
          <w:noProof/>
        </w:rPr>
        <w:t>1</w:t>
      </w:r>
      <w:r w:rsidRPr="00B715AF">
        <w:rPr>
          <w:noProof/>
        </w:rPr>
        <w:tab/>
        <w:t>Categories and subcategories of covered product</w:t>
      </w:r>
      <w:r w:rsidRPr="00B715AF">
        <w:rPr>
          <w:noProof/>
        </w:rPr>
        <w:tab/>
      </w:r>
      <w:r w:rsidRPr="00B715AF">
        <w:rPr>
          <w:noProof/>
        </w:rPr>
        <w:fldChar w:fldCharType="begin"/>
      </w:r>
      <w:r w:rsidRPr="00B715AF">
        <w:rPr>
          <w:noProof/>
        </w:rPr>
        <w:instrText xml:space="preserve"> PAGEREF _Toc497725312 \h </w:instrText>
      </w:r>
      <w:r w:rsidRPr="00B715AF">
        <w:rPr>
          <w:noProof/>
        </w:rPr>
      </w:r>
      <w:r w:rsidRPr="00B715AF">
        <w:rPr>
          <w:noProof/>
        </w:rPr>
        <w:fldChar w:fldCharType="separate"/>
      </w:r>
      <w:r w:rsidR="0089068A">
        <w:rPr>
          <w:noProof/>
        </w:rPr>
        <w:t>23</w:t>
      </w:r>
      <w:r w:rsidRPr="00B715AF">
        <w:rPr>
          <w:noProof/>
        </w:rPr>
        <w:fldChar w:fldCharType="end"/>
      </w:r>
    </w:p>
    <w:p w:rsidR="00670EA1" w:rsidRPr="00B715AF" w:rsidRDefault="002F3652" w:rsidP="00715914">
      <w:r w:rsidRPr="00B715AF">
        <w:fldChar w:fldCharType="end"/>
      </w:r>
    </w:p>
    <w:p w:rsidR="00670EA1" w:rsidRPr="00B715AF" w:rsidRDefault="00670EA1" w:rsidP="00715914">
      <w:pPr>
        <w:sectPr w:rsidR="00670EA1" w:rsidRPr="00B715AF" w:rsidSect="004B3AF0">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B715AF" w:rsidRDefault="00715914" w:rsidP="00715914">
      <w:pPr>
        <w:pStyle w:val="ActHead2"/>
      </w:pPr>
      <w:bookmarkStart w:id="0" w:name="_Toc497725277"/>
      <w:r w:rsidRPr="00B715AF">
        <w:rPr>
          <w:rStyle w:val="CharPartNo"/>
        </w:rPr>
        <w:lastRenderedPageBreak/>
        <w:t>Part</w:t>
      </w:r>
      <w:r w:rsidR="00B715AF" w:rsidRPr="00B715AF">
        <w:rPr>
          <w:rStyle w:val="CharPartNo"/>
        </w:rPr>
        <w:t> </w:t>
      </w:r>
      <w:r w:rsidRPr="00B715AF">
        <w:rPr>
          <w:rStyle w:val="CharPartNo"/>
        </w:rPr>
        <w:t>1</w:t>
      </w:r>
      <w:r w:rsidRPr="00B715AF">
        <w:t>—</w:t>
      </w:r>
      <w:r w:rsidRPr="00B715AF">
        <w:rPr>
          <w:rStyle w:val="CharPartText"/>
        </w:rPr>
        <w:t>Preliminary</w:t>
      </w:r>
      <w:bookmarkEnd w:id="0"/>
    </w:p>
    <w:p w:rsidR="00715914" w:rsidRPr="00B715AF" w:rsidRDefault="003E023F" w:rsidP="006B762E">
      <w:pPr>
        <w:pStyle w:val="ActHead3"/>
      </w:pPr>
      <w:bookmarkStart w:id="1" w:name="_Toc497725278"/>
      <w:r w:rsidRPr="00B715AF">
        <w:rPr>
          <w:rStyle w:val="CharDivNo"/>
        </w:rPr>
        <w:t>Division</w:t>
      </w:r>
      <w:r w:rsidR="00B715AF" w:rsidRPr="00B715AF">
        <w:rPr>
          <w:rStyle w:val="CharDivNo"/>
        </w:rPr>
        <w:t> </w:t>
      </w:r>
      <w:r w:rsidRPr="00B715AF">
        <w:rPr>
          <w:rStyle w:val="CharDivNo"/>
        </w:rPr>
        <w:t>1</w:t>
      </w:r>
      <w:r w:rsidRPr="00B715AF">
        <w:t>—</w:t>
      </w:r>
      <w:r w:rsidRPr="00B715AF">
        <w:rPr>
          <w:rStyle w:val="CharDivText"/>
        </w:rPr>
        <w:t>Preliminary</w:t>
      </w:r>
      <w:bookmarkEnd w:id="1"/>
    </w:p>
    <w:p w:rsidR="00715914" w:rsidRPr="00B715AF" w:rsidRDefault="00A06430" w:rsidP="00715914">
      <w:pPr>
        <w:pStyle w:val="ActHead5"/>
      </w:pPr>
      <w:bookmarkStart w:id="2" w:name="_Toc497725279"/>
      <w:r w:rsidRPr="00B715AF">
        <w:rPr>
          <w:rStyle w:val="CharSectno"/>
        </w:rPr>
        <w:t>1</w:t>
      </w:r>
      <w:r w:rsidR="00715914" w:rsidRPr="00B715AF">
        <w:t xml:space="preserve">  </w:t>
      </w:r>
      <w:r w:rsidR="00CE493D" w:rsidRPr="00B715AF">
        <w:t>Name</w:t>
      </w:r>
      <w:bookmarkEnd w:id="2"/>
    </w:p>
    <w:p w:rsidR="00715914" w:rsidRPr="00B715AF" w:rsidRDefault="00715914" w:rsidP="00715914">
      <w:pPr>
        <w:pStyle w:val="subsection"/>
      </w:pPr>
      <w:r w:rsidRPr="00B715AF">
        <w:tab/>
      </w:r>
      <w:r w:rsidRPr="00B715AF">
        <w:tab/>
        <w:t xml:space="preserve">This </w:t>
      </w:r>
      <w:r w:rsidR="00697C81" w:rsidRPr="00B715AF">
        <w:t xml:space="preserve">instrument </w:t>
      </w:r>
      <w:r w:rsidR="00CE493D" w:rsidRPr="00B715AF">
        <w:t xml:space="preserve">is the </w:t>
      </w:r>
      <w:r w:rsidR="00BC76AC" w:rsidRPr="00B715AF">
        <w:rPr>
          <w:i/>
        </w:rPr>
        <w:fldChar w:fldCharType="begin"/>
      </w:r>
      <w:r w:rsidR="00BC76AC" w:rsidRPr="00B715AF">
        <w:rPr>
          <w:i/>
        </w:rPr>
        <w:instrText xml:space="preserve"> STYLEREF  ShortT </w:instrText>
      </w:r>
      <w:r w:rsidR="00BC76AC" w:rsidRPr="00B715AF">
        <w:rPr>
          <w:i/>
        </w:rPr>
        <w:fldChar w:fldCharType="separate"/>
      </w:r>
      <w:r w:rsidR="0089068A">
        <w:rPr>
          <w:i/>
          <w:noProof/>
        </w:rPr>
        <w:t>Petroleum and Other Fuels Reporting Rules 2017</w:t>
      </w:r>
      <w:r w:rsidR="00BC76AC" w:rsidRPr="00B715AF">
        <w:rPr>
          <w:i/>
        </w:rPr>
        <w:fldChar w:fldCharType="end"/>
      </w:r>
      <w:r w:rsidRPr="00B715AF">
        <w:t>.</w:t>
      </w:r>
    </w:p>
    <w:p w:rsidR="00715914" w:rsidRPr="00B715AF" w:rsidRDefault="00A06430" w:rsidP="00715914">
      <w:pPr>
        <w:pStyle w:val="ActHead5"/>
      </w:pPr>
      <w:bookmarkStart w:id="3" w:name="_Toc497725280"/>
      <w:r w:rsidRPr="00B715AF">
        <w:rPr>
          <w:rStyle w:val="CharSectno"/>
        </w:rPr>
        <w:t>2</w:t>
      </w:r>
      <w:r w:rsidR="00715914" w:rsidRPr="00B715AF">
        <w:t xml:space="preserve">  Commencement</w:t>
      </w:r>
      <w:bookmarkEnd w:id="3"/>
    </w:p>
    <w:p w:rsidR="00F33149" w:rsidRPr="00B715AF" w:rsidRDefault="00F33149" w:rsidP="004836EC">
      <w:pPr>
        <w:pStyle w:val="subsection"/>
      </w:pPr>
      <w:r w:rsidRPr="00B715AF">
        <w:tab/>
        <w:t>(1)</w:t>
      </w:r>
      <w:r w:rsidRPr="00B715AF">
        <w:tab/>
        <w:t>Each provision of this instrument specified in column 1 of the table commences, or is taken to have commenced, in accordance with column 2 of the table. Any other statement in column 2 has effect according to its terms.</w:t>
      </w:r>
    </w:p>
    <w:p w:rsidR="00F33149" w:rsidRPr="00B715AF" w:rsidRDefault="00F33149" w:rsidP="004836EC">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33149" w:rsidRPr="00B715AF" w:rsidTr="004836EC">
        <w:trPr>
          <w:tblHeader/>
        </w:trPr>
        <w:tc>
          <w:tcPr>
            <w:tcW w:w="8364" w:type="dxa"/>
            <w:gridSpan w:val="3"/>
            <w:tcBorders>
              <w:top w:val="single" w:sz="12" w:space="0" w:color="auto"/>
              <w:bottom w:val="single" w:sz="2" w:space="0" w:color="auto"/>
            </w:tcBorders>
            <w:shd w:val="clear" w:color="auto" w:fill="auto"/>
            <w:hideMark/>
          </w:tcPr>
          <w:p w:rsidR="00F33149" w:rsidRPr="00B715AF" w:rsidRDefault="00F33149" w:rsidP="004836EC">
            <w:pPr>
              <w:pStyle w:val="TableHeading"/>
            </w:pPr>
            <w:r w:rsidRPr="00B715AF">
              <w:t>Commencement information</w:t>
            </w:r>
          </w:p>
        </w:tc>
      </w:tr>
      <w:tr w:rsidR="00F33149" w:rsidRPr="00B715AF" w:rsidTr="004836EC">
        <w:trPr>
          <w:tblHeader/>
        </w:trPr>
        <w:tc>
          <w:tcPr>
            <w:tcW w:w="2127" w:type="dxa"/>
            <w:tcBorders>
              <w:top w:val="single" w:sz="2" w:space="0" w:color="auto"/>
              <w:bottom w:val="single" w:sz="2" w:space="0" w:color="auto"/>
            </w:tcBorders>
            <w:shd w:val="clear" w:color="auto" w:fill="auto"/>
            <w:hideMark/>
          </w:tcPr>
          <w:p w:rsidR="00F33149" w:rsidRPr="00B715AF" w:rsidRDefault="00F33149" w:rsidP="004836EC">
            <w:pPr>
              <w:pStyle w:val="TableHeading"/>
            </w:pPr>
            <w:r w:rsidRPr="00B715AF">
              <w:t>Column 1</w:t>
            </w:r>
          </w:p>
        </w:tc>
        <w:tc>
          <w:tcPr>
            <w:tcW w:w="4394" w:type="dxa"/>
            <w:tcBorders>
              <w:top w:val="single" w:sz="2" w:space="0" w:color="auto"/>
              <w:bottom w:val="single" w:sz="2" w:space="0" w:color="auto"/>
            </w:tcBorders>
            <w:shd w:val="clear" w:color="auto" w:fill="auto"/>
            <w:hideMark/>
          </w:tcPr>
          <w:p w:rsidR="00F33149" w:rsidRPr="00B715AF" w:rsidRDefault="00F33149" w:rsidP="004836EC">
            <w:pPr>
              <w:pStyle w:val="TableHeading"/>
            </w:pPr>
            <w:r w:rsidRPr="00B715AF">
              <w:t>Column 2</w:t>
            </w:r>
          </w:p>
        </w:tc>
        <w:tc>
          <w:tcPr>
            <w:tcW w:w="1843" w:type="dxa"/>
            <w:tcBorders>
              <w:top w:val="single" w:sz="2" w:space="0" w:color="auto"/>
              <w:bottom w:val="single" w:sz="2" w:space="0" w:color="auto"/>
            </w:tcBorders>
            <w:shd w:val="clear" w:color="auto" w:fill="auto"/>
            <w:hideMark/>
          </w:tcPr>
          <w:p w:rsidR="00F33149" w:rsidRPr="00B715AF" w:rsidRDefault="00F33149" w:rsidP="004836EC">
            <w:pPr>
              <w:pStyle w:val="TableHeading"/>
            </w:pPr>
            <w:r w:rsidRPr="00B715AF">
              <w:t>Column 3</w:t>
            </w:r>
          </w:p>
        </w:tc>
      </w:tr>
      <w:tr w:rsidR="00F33149" w:rsidRPr="00B715AF" w:rsidTr="004836EC">
        <w:trPr>
          <w:tblHeader/>
        </w:trPr>
        <w:tc>
          <w:tcPr>
            <w:tcW w:w="2127" w:type="dxa"/>
            <w:tcBorders>
              <w:top w:val="single" w:sz="2" w:space="0" w:color="auto"/>
              <w:bottom w:val="single" w:sz="12" w:space="0" w:color="auto"/>
            </w:tcBorders>
            <w:shd w:val="clear" w:color="auto" w:fill="auto"/>
            <w:hideMark/>
          </w:tcPr>
          <w:p w:rsidR="00F33149" w:rsidRPr="00B715AF" w:rsidRDefault="00F33149" w:rsidP="004836EC">
            <w:pPr>
              <w:pStyle w:val="TableHeading"/>
            </w:pPr>
            <w:r w:rsidRPr="00B715AF">
              <w:t>Provisions</w:t>
            </w:r>
          </w:p>
        </w:tc>
        <w:tc>
          <w:tcPr>
            <w:tcW w:w="4394" w:type="dxa"/>
            <w:tcBorders>
              <w:top w:val="single" w:sz="2" w:space="0" w:color="auto"/>
              <w:bottom w:val="single" w:sz="12" w:space="0" w:color="auto"/>
            </w:tcBorders>
            <w:shd w:val="clear" w:color="auto" w:fill="auto"/>
            <w:hideMark/>
          </w:tcPr>
          <w:p w:rsidR="00F33149" w:rsidRPr="00B715AF" w:rsidRDefault="00F33149" w:rsidP="004836EC">
            <w:pPr>
              <w:pStyle w:val="TableHeading"/>
            </w:pPr>
            <w:r w:rsidRPr="00B715AF">
              <w:t>Commencement</w:t>
            </w:r>
          </w:p>
        </w:tc>
        <w:tc>
          <w:tcPr>
            <w:tcW w:w="1843" w:type="dxa"/>
            <w:tcBorders>
              <w:top w:val="single" w:sz="2" w:space="0" w:color="auto"/>
              <w:bottom w:val="single" w:sz="12" w:space="0" w:color="auto"/>
            </w:tcBorders>
            <w:shd w:val="clear" w:color="auto" w:fill="auto"/>
            <w:hideMark/>
          </w:tcPr>
          <w:p w:rsidR="00F33149" w:rsidRPr="00B715AF" w:rsidRDefault="00F33149" w:rsidP="004836EC">
            <w:pPr>
              <w:pStyle w:val="TableHeading"/>
            </w:pPr>
            <w:r w:rsidRPr="00B715AF">
              <w:t>Date/Details</w:t>
            </w:r>
          </w:p>
        </w:tc>
      </w:tr>
      <w:tr w:rsidR="00F33149" w:rsidRPr="00B715AF" w:rsidTr="004836EC">
        <w:tc>
          <w:tcPr>
            <w:tcW w:w="2127" w:type="dxa"/>
            <w:tcBorders>
              <w:top w:val="single" w:sz="12" w:space="0" w:color="auto"/>
              <w:bottom w:val="single" w:sz="12" w:space="0" w:color="auto"/>
            </w:tcBorders>
            <w:shd w:val="clear" w:color="auto" w:fill="auto"/>
            <w:hideMark/>
          </w:tcPr>
          <w:p w:rsidR="00F33149" w:rsidRPr="00B715AF" w:rsidRDefault="00F33149" w:rsidP="004836EC">
            <w:pPr>
              <w:pStyle w:val="Tabletext"/>
            </w:pPr>
            <w:r w:rsidRPr="00B715AF">
              <w:t>1.  The whole of this instrument</w:t>
            </w:r>
          </w:p>
        </w:tc>
        <w:tc>
          <w:tcPr>
            <w:tcW w:w="4394" w:type="dxa"/>
            <w:tcBorders>
              <w:top w:val="single" w:sz="12" w:space="0" w:color="auto"/>
              <w:bottom w:val="single" w:sz="12" w:space="0" w:color="auto"/>
            </w:tcBorders>
            <w:shd w:val="clear" w:color="auto" w:fill="auto"/>
            <w:hideMark/>
          </w:tcPr>
          <w:p w:rsidR="00F33149" w:rsidRPr="00B715AF" w:rsidRDefault="00F33149" w:rsidP="004836EC">
            <w:pPr>
              <w:pStyle w:val="Tabletext"/>
            </w:pPr>
            <w:r w:rsidRPr="00B715AF">
              <w:t>The day after this instrument is registered.</w:t>
            </w:r>
          </w:p>
        </w:tc>
        <w:tc>
          <w:tcPr>
            <w:tcW w:w="1843" w:type="dxa"/>
            <w:tcBorders>
              <w:top w:val="single" w:sz="12" w:space="0" w:color="auto"/>
              <w:bottom w:val="single" w:sz="12" w:space="0" w:color="auto"/>
            </w:tcBorders>
            <w:shd w:val="clear" w:color="auto" w:fill="auto"/>
          </w:tcPr>
          <w:p w:rsidR="00F33149" w:rsidRPr="00B715AF" w:rsidRDefault="00CE2806" w:rsidP="004836EC">
            <w:pPr>
              <w:pStyle w:val="Tabletext"/>
            </w:pPr>
            <w:r>
              <w:t>15 November 2017</w:t>
            </w:r>
            <w:bookmarkStart w:id="4" w:name="_GoBack"/>
            <w:bookmarkEnd w:id="4"/>
          </w:p>
        </w:tc>
      </w:tr>
    </w:tbl>
    <w:p w:rsidR="00F33149" w:rsidRPr="00B715AF" w:rsidRDefault="00F33149" w:rsidP="004836EC">
      <w:pPr>
        <w:pStyle w:val="notetext"/>
      </w:pPr>
      <w:r w:rsidRPr="00B715AF">
        <w:rPr>
          <w:snapToGrid w:val="0"/>
          <w:lang w:eastAsia="en-US"/>
        </w:rPr>
        <w:t>Note:</w:t>
      </w:r>
      <w:r w:rsidRPr="00B715AF">
        <w:rPr>
          <w:snapToGrid w:val="0"/>
          <w:lang w:eastAsia="en-US"/>
        </w:rPr>
        <w:tab/>
        <w:t xml:space="preserve">This table relates only to the provisions of this </w:t>
      </w:r>
      <w:r w:rsidRPr="00B715AF">
        <w:t xml:space="preserve">instrument </w:t>
      </w:r>
      <w:r w:rsidRPr="00B715AF">
        <w:rPr>
          <w:snapToGrid w:val="0"/>
          <w:lang w:eastAsia="en-US"/>
        </w:rPr>
        <w:t xml:space="preserve">as originally made. It will not be amended to deal with any later amendments of this </w:t>
      </w:r>
      <w:r w:rsidRPr="00B715AF">
        <w:t>instrument</w:t>
      </w:r>
      <w:r w:rsidRPr="00B715AF">
        <w:rPr>
          <w:snapToGrid w:val="0"/>
          <w:lang w:eastAsia="en-US"/>
        </w:rPr>
        <w:t>.</w:t>
      </w:r>
    </w:p>
    <w:p w:rsidR="00F33149" w:rsidRPr="00B715AF" w:rsidRDefault="00F33149" w:rsidP="004836EC">
      <w:pPr>
        <w:pStyle w:val="subsection"/>
      </w:pPr>
      <w:r w:rsidRPr="00B715AF">
        <w:tab/>
        <w:t>(2)</w:t>
      </w:r>
      <w:r w:rsidRPr="00B715AF">
        <w:tab/>
        <w:t>Any information in column 3 of the table is not part of this instrument. Information may be inserted in this column, or information in it may be edited, in any published version of this instrument.</w:t>
      </w:r>
    </w:p>
    <w:p w:rsidR="007500C8" w:rsidRPr="00B715AF" w:rsidRDefault="00A06430" w:rsidP="007500C8">
      <w:pPr>
        <w:pStyle w:val="ActHead5"/>
      </w:pPr>
      <w:bookmarkStart w:id="5" w:name="_Toc497725281"/>
      <w:r w:rsidRPr="00B715AF">
        <w:rPr>
          <w:rStyle w:val="CharSectno"/>
        </w:rPr>
        <w:t>3</w:t>
      </w:r>
      <w:r w:rsidR="007500C8" w:rsidRPr="00B715AF">
        <w:t xml:space="preserve">  Authority</w:t>
      </w:r>
      <w:bookmarkEnd w:id="5"/>
    </w:p>
    <w:p w:rsidR="00157B8B" w:rsidRPr="00B715AF" w:rsidRDefault="007500C8" w:rsidP="007E667A">
      <w:pPr>
        <w:pStyle w:val="subsection"/>
      </w:pPr>
      <w:r w:rsidRPr="00B715AF">
        <w:tab/>
      </w:r>
      <w:r w:rsidRPr="00B715AF">
        <w:tab/>
        <w:t xml:space="preserve">This </w:t>
      </w:r>
      <w:r w:rsidR="00F74152" w:rsidRPr="00B715AF">
        <w:t>instrument</w:t>
      </w:r>
      <w:r w:rsidRPr="00B715AF">
        <w:t xml:space="preserve"> is made under the </w:t>
      </w:r>
      <w:r w:rsidR="00F74152" w:rsidRPr="00B715AF">
        <w:rPr>
          <w:i/>
        </w:rPr>
        <w:t>Petroleum and Other Fuels Reporting Act 2017</w:t>
      </w:r>
      <w:r w:rsidR="00F4350D" w:rsidRPr="00B715AF">
        <w:t>.</w:t>
      </w:r>
    </w:p>
    <w:p w:rsidR="003E023F" w:rsidRPr="00B715AF" w:rsidRDefault="003E023F" w:rsidP="00EB16F8">
      <w:pPr>
        <w:pStyle w:val="ActHead3"/>
        <w:pageBreakBefore/>
      </w:pPr>
      <w:bookmarkStart w:id="6" w:name="_Toc497725282"/>
      <w:r w:rsidRPr="00B715AF">
        <w:rPr>
          <w:rStyle w:val="CharDivNo"/>
        </w:rPr>
        <w:t>Division</w:t>
      </w:r>
      <w:r w:rsidR="00B715AF" w:rsidRPr="00B715AF">
        <w:rPr>
          <w:rStyle w:val="CharDivNo"/>
        </w:rPr>
        <w:t> </w:t>
      </w:r>
      <w:r w:rsidRPr="00B715AF">
        <w:rPr>
          <w:rStyle w:val="CharDivNo"/>
        </w:rPr>
        <w:t>2</w:t>
      </w:r>
      <w:r w:rsidRPr="00B715AF">
        <w:t>—</w:t>
      </w:r>
      <w:r w:rsidRPr="00B715AF">
        <w:rPr>
          <w:rStyle w:val="CharDivText"/>
        </w:rPr>
        <w:t>Definitions</w:t>
      </w:r>
      <w:bookmarkEnd w:id="6"/>
    </w:p>
    <w:p w:rsidR="004F0A96" w:rsidRPr="00B715AF" w:rsidRDefault="00A06430" w:rsidP="004F0A96">
      <w:pPr>
        <w:pStyle w:val="ActHead5"/>
      </w:pPr>
      <w:bookmarkStart w:id="7" w:name="_Toc497725283"/>
      <w:r w:rsidRPr="00B715AF">
        <w:rPr>
          <w:rStyle w:val="CharSectno"/>
        </w:rPr>
        <w:t>4</w:t>
      </w:r>
      <w:r w:rsidR="004F0A96" w:rsidRPr="00B715AF">
        <w:t xml:space="preserve">  Definitions</w:t>
      </w:r>
      <w:bookmarkEnd w:id="7"/>
    </w:p>
    <w:p w:rsidR="00AF7BD0" w:rsidRPr="00B715AF" w:rsidRDefault="00AF7BD0" w:rsidP="00AF7BD0">
      <w:pPr>
        <w:pStyle w:val="notetext"/>
      </w:pPr>
      <w:r w:rsidRPr="00B715AF">
        <w:t>Note:</w:t>
      </w:r>
      <w:r w:rsidRPr="00B715AF">
        <w:tab/>
        <w:t>A number of expressions used in th</w:t>
      </w:r>
      <w:r w:rsidR="0016662B" w:rsidRPr="00B715AF">
        <w:t>is</w:t>
      </w:r>
      <w:r w:rsidRPr="00B715AF">
        <w:t xml:space="preserve"> instrument are defined in the Act, including the following:</w:t>
      </w:r>
    </w:p>
    <w:p w:rsidR="00ED1E85" w:rsidRPr="00B715AF" w:rsidRDefault="00ED1E85" w:rsidP="00AF7BD0">
      <w:pPr>
        <w:pStyle w:val="notepara"/>
      </w:pPr>
      <w:r w:rsidRPr="00B715AF">
        <w:t>(a)</w:t>
      </w:r>
      <w:r w:rsidRPr="00B715AF">
        <w:tab/>
        <w:t>Agreement;</w:t>
      </w:r>
    </w:p>
    <w:p w:rsidR="00AF7BD0" w:rsidRPr="00B715AF" w:rsidRDefault="00AF7BD0" w:rsidP="00AF7BD0">
      <w:pPr>
        <w:pStyle w:val="notepara"/>
      </w:pPr>
      <w:r w:rsidRPr="00B715AF">
        <w:t>(</w:t>
      </w:r>
      <w:r w:rsidR="00ED1E85" w:rsidRPr="00B715AF">
        <w:t>b</w:t>
      </w:r>
      <w:r w:rsidRPr="00B715AF">
        <w:t>)</w:t>
      </w:r>
      <w:r w:rsidRPr="00B715AF">
        <w:tab/>
        <w:t>constitutional trade and commerce;</w:t>
      </w:r>
    </w:p>
    <w:p w:rsidR="00AF7BD0" w:rsidRPr="00B715AF" w:rsidRDefault="00ED1E85" w:rsidP="00AF7BD0">
      <w:pPr>
        <w:pStyle w:val="notepara"/>
      </w:pPr>
      <w:r w:rsidRPr="00B715AF">
        <w:t>(c</w:t>
      </w:r>
      <w:r w:rsidR="00AF7BD0" w:rsidRPr="00B715AF">
        <w:t>)</w:t>
      </w:r>
      <w:r w:rsidR="00AF7BD0" w:rsidRPr="00B715AF">
        <w:tab/>
        <w:t>covered activity;</w:t>
      </w:r>
    </w:p>
    <w:p w:rsidR="00AF7BD0" w:rsidRPr="00B715AF" w:rsidRDefault="00ED1E85" w:rsidP="00AF7BD0">
      <w:pPr>
        <w:pStyle w:val="notepara"/>
      </w:pPr>
      <w:r w:rsidRPr="00B715AF">
        <w:t>(d</w:t>
      </w:r>
      <w:r w:rsidR="00AF7BD0" w:rsidRPr="00B715AF">
        <w:t>)</w:t>
      </w:r>
      <w:r w:rsidR="00AF7BD0" w:rsidRPr="00B715AF">
        <w:tab/>
        <w:t>covered product;</w:t>
      </w:r>
    </w:p>
    <w:p w:rsidR="00AF7BD0" w:rsidRPr="00B715AF" w:rsidRDefault="00ED1E85" w:rsidP="00AF7BD0">
      <w:pPr>
        <w:pStyle w:val="notepara"/>
      </w:pPr>
      <w:r w:rsidRPr="00B715AF">
        <w:t>(e</w:t>
      </w:r>
      <w:r w:rsidR="00AF7BD0" w:rsidRPr="00B715AF">
        <w:t>)</w:t>
      </w:r>
      <w:r w:rsidR="00AF7BD0" w:rsidRPr="00B715AF">
        <w:tab/>
        <w:t>fuel;</w:t>
      </w:r>
    </w:p>
    <w:p w:rsidR="00AF7BD0" w:rsidRPr="00B715AF" w:rsidRDefault="00ED1E85" w:rsidP="00AF7BD0">
      <w:pPr>
        <w:pStyle w:val="notepara"/>
      </w:pPr>
      <w:r w:rsidRPr="00B715AF">
        <w:t>(f</w:t>
      </w:r>
      <w:r w:rsidR="00AF7BD0" w:rsidRPr="00B715AF">
        <w:t>)</w:t>
      </w:r>
      <w:r w:rsidR="00AF7BD0" w:rsidRPr="00B715AF">
        <w:tab/>
        <w:t>fuel information;</w:t>
      </w:r>
    </w:p>
    <w:p w:rsidR="00AF7BD0" w:rsidRPr="00B715AF" w:rsidRDefault="00ED1E85" w:rsidP="00AF7BD0">
      <w:pPr>
        <w:pStyle w:val="notepara"/>
      </w:pPr>
      <w:r w:rsidRPr="00B715AF">
        <w:t>(g</w:t>
      </w:r>
      <w:r w:rsidR="00AF7BD0" w:rsidRPr="00B715AF">
        <w:t>)</w:t>
      </w:r>
      <w:r w:rsidR="00AF7BD0" w:rsidRPr="00B715AF">
        <w:tab/>
        <w:t>fuel</w:t>
      </w:r>
      <w:r w:rsidR="00B715AF">
        <w:noBreakHyphen/>
      </w:r>
      <w:r w:rsidR="00AF7BD0" w:rsidRPr="00B715AF">
        <w:t>related product;</w:t>
      </w:r>
    </w:p>
    <w:p w:rsidR="00AF7BD0" w:rsidRPr="00B715AF" w:rsidRDefault="00ED1E85" w:rsidP="00AF7BD0">
      <w:pPr>
        <w:pStyle w:val="notepara"/>
      </w:pPr>
      <w:r w:rsidRPr="00B715AF">
        <w:t>(h</w:t>
      </w:r>
      <w:r w:rsidR="00AF7BD0" w:rsidRPr="00B715AF">
        <w:t>)</w:t>
      </w:r>
      <w:r w:rsidR="00AF7BD0" w:rsidRPr="00B715AF">
        <w:tab/>
        <w:t>holding stock;</w:t>
      </w:r>
    </w:p>
    <w:p w:rsidR="00341738" w:rsidRPr="00B715AF" w:rsidRDefault="00341738" w:rsidP="00AF7BD0">
      <w:pPr>
        <w:pStyle w:val="notepara"/>
      </w:pPr>
      <w:r w:rsidRPr="00B715AF">
        <w:t>(i)</w:t>
      </w:r>
      <w:r w:rsidRPr="00B715AF">
        <w:tab/>
        <w:t>offshore area;</w:t>
      </w:r>
    </w:p>
    <w:p w:rsidR="00AF7BD0" w:rsidRPr="00B715AF" w:rsidRDefault="00ED1E85" w:rsidP="00AF7BD0">
      <w:pPr>
        <w:pStyle w:val="notepara"/>
      </w:pPr>
      <w:r w:rsidRPr="00B715AF">
        <w:t>(</w:t>
      </w:r>
      <w:r w:rsidR="00341738" w:rsidRPr="00B715AF">
        <w:t>j</w:t>
      </w:r>
      <w:r w:rsidR="00AF7BD0" w:rsidRPr="00B715AF">
        <w:t>)</w:t>
      </w:r>
      <w:r w:rsidR="00AF7BD0" w:rsidRPr="00B715AF">
        <w:tab/>
        <w:t>person;</w:t>
      </w:r>
    </w:p>
    <w:p w:rsidR="00AF7BD0" w:rsidRPr="00B715AF" w:rsidRDefault="00341738" w:rsidP="00AF7BD0">
      <w:pPr>
        <w:pStyle w:val="notepara"/>
      </w:pPr>
      <w:r w:rsidRPr="00B715AF">
        <w:t>(k</w:t>
      </w:r>
      <w:r w:rsidR="00AF7BD0" w:rsidRPr="00B715AF">
        <w:t>)</w:t>
      </w:r>
      <w:r w:rsidR="00AF7BD0" w:rsidRPr="00B715AF">
        <w:tab/>
        <w:t>producing;</w:t>
      </w:r>
    </w:p>
    <w:p w:rsidR="00AF7BD0" w:rsidRPr="00B715AF" w:rsidRDefault="00341738" w:rsidP="00AF7BD0">
      <w:pPr>
        <w:pStyle w:val="notepara"/>
      </w:pPr>
      <w:r w:rsidRPr="00B715AF">
        <w:t>(l</w:t>
      </w:r>
      <w:r w:rsidR="00AF7BD0" w:rsidRPr="00B715AF">
        <w:t>)</w:t>
      </w:r>
      <w:r w:rsidR="00AF7BD0" w:rsidRPr="00B715AF">
        <w:tab/>
        <w:t>refining;</w:t>
      </w:r>
    </w:p>
    <w:p w:rsidR="00AF7BD0" w:rsidRPr="00B715AF" w:rsidRDefault="00341738" w:rsidP="00AF7BD0">
      <w:pPr>
        <w:pStyle w:val="notepara"/>
      </w:pPr>
      <w:r w:rsidRPr="00B715AF">
        <w:t>(m</w:t>
      </w:r>
      <w:r w:rsidR="00AF7BD0" w:rsidRPr="00B715AF">
        <w:t>)</w:t>
      </w:r>
      <w:r w:rsidR="00AF7BD0" w:rsidRPr="00B715AF">
        <w:tab/>
        <w:t>regulated entity;</w:t>
      </w:r>
    </w:p>
    <w:p w:rsidR="00AF7BD0" w:rsidRPr="00B715AF" w:rsidRDefault="00341738" w:rsidP="00AF7BD0">
      <w:pPr>
        <w:pStyle w:val="notepara"/>
      </w:pPr>
      <w:r w:rsidRPr="00B715AF">
        <w:t>(n</w:t>
      </w:r>
      <w:r w:rsidR="00AF7BD0" w:rsidRPr="00B715AF">
        <w:t>)</w:t>
      </w:r>
      <w:r w:rsidR="00AF7BD0" w:rsidRPr="00B715AF">
        <w:tab/>
        <w:t>Secretary;</w:t>
      </w:r>
    </w:p>
    <w:p w:rsidR="00AF7BD0" w:rsidRPr="00B715AF" w:rsidRDefault="00341738" w:rsidP="00AF7BD0">
      <w:pPr>
        <w:pStyle w:val="notepara"/>
      </w:pPr>
      <w:r w:rsidRPr="00B715AF">
        <w:t>(o</w:t>
      </w:r>
      <w:r w:rsidR="00AF7BD0" w:rsidRPr="00B715AF">
        <w:t>)</w:t>
      </w:r>
      <w:r w:rsidR="00AF7BD0" w:rsidRPr="00B715AF">
        <w:tab/>
        <w:t>wholesaling.</w:t>
      </w:r>
    </w:p>
    <w:p w:rsidR="004F0A96" w:rsidRPr="00B715AF" w:rsidRDefault="004F0A96" w:rsidP="004F0A96">
      <w:pPr>
        <w:pStyle w:val="subsection"/>
      </w:pPr>
      <w:r w:rsidRPr="00B715AF">
        <w:tab/>
      </w:r>
      <w:r w:rsidRPr="00B715AF">
        <w:tab/>
        <w:t>In this instrument:</w:t>
      </w:r>
    </w:p>
    <w:p w:rsidR="004F0A96" w:rsidRPr="00B715AF" w:rsidRDefault="004F0A96" w:rsidP="004F0A96">
      <w:pPr>
        <w:pStyle w:val="Definition"/>
      </w:pPr>
      <w:r w:rsidRPr="00B715AF">
        <w:rPr>
          <w:b/>
          <w:i/>
        </w:rPr>
        <w:t>Act</w:t>
      </w:r>
      <w:r w:rsidRPr="00B715AF">
        <w:t xml:space="preserve"> means the </w:t>
      </w:r>
      <w:r w:rsidRPr="00B715AF">
        <w:rPr>
          <w:i/>
        </w:rPr>
        <w:t>Petroleum and Other Fuels Reporting Act 2017</w:t>
      </w:r>
      <w:r w:rsidRPr="00B715AF">
        <w:t>.</w:t>
      </w:r>
    </w:p>
    <w:p w:rsidR="00D83616" w:rsidRPr="00B715AF" w:rsidRDefault="00D83616" w:rsidP="00D83616">
      <w:pPr>
        <w:pStyle w:val="Definition"/>
      </w:pPr>
      <w:r w:rsidRPr="00B715AF">
        <w:rPr>
          <w:b/>
          <w:i/>
        </w:rPr>
        <w:t>Australian biof</w:t>
      </w:r>
      <w:r w:rsidR="00976F31" w:rsidRPr="00B715AF">
        <w:rPr>
          <w:b/>
          <w:i/>
        </w:rPr>
        <w:t>uel</w:t>
      </w:r>
      <w:r w:rsidRPr="00B715AF">
        <w:rPr>
          <w:b/>
          <w:i/>
        </w:rPr>
        <w:t xml:space="preserve"> plant</w:t>
      </w:r>
      <w:r w:rsidRPr="00B715AF">
        <w:t xml:space="preserve"> has the meaning given by section</w:t>
      </w:r>
      <w:r w:rsidR="00B715AF" w:rsidRPr="00B715AF">
        <w:t> </w:t>
      </w:r>
      <w:r w:rsidR="00A06430" w:rsidRPr="00B715AF">
        <w:t>11</w:t>
      </w:r>
      <w:r w:rsidRPr="00B715AF">
        <w:t>.</w:t>
      </w:r>
    </w:p>
    <w:p w:rsidR="00FA4617" w:rsidRPr="00B715AF" w:rsidRDefault="00FA4617" w:rsidP="00FA4617">
      <w:pPr>
        <w:pStyle w:val="Definition"/>
      </w:pPr>
      <w:r w:rsidRPr="00B715AF">
        <w:rPr>
          <w:b/>
          <w:i/>
        </w:rPr>
        <w:t>Australian field</w:t>
      </w:r>
      <w:r w:rsidRPr="00B715AF">
        <w:t xml:space="preserve"> has the meaning given by section</w:t>
      </w:r>
      <w:r w:rsidR="00B715AF" w:rsidRPr="00B715AF">
        <w:t> </w:t>
      </w:r>
      <w:r w:rsidR="00A06430" w:rsidRPr="00B715AF">
        <w:t>11</w:t>
      </w:r>
      <w:r w:rsidRPr="00B715AF">
        <w:t>.</w:t>
      </w:r>
    </w:p>
    <w:p w:rsidR="00DB26F4" w:rsidRPr="00B715AF" w:rsidRDefault="00DB26F4" w:rsidP="00DB26F4">
      <w:pPr>
        <w:pStyle w:val="Definition"/>
      </w:pPr>
      <w:r w:rsidRPr="00B715AF">
        <w:rPr>
          <w:b/>
          <w:i/>
        </w:rPr>
        <w:t>Australian GLOWS facility</w:t>
      </w:r>
      <w:r w:rsidRPr="00B715AF">
        <w:t xml:space="preserve"> has the meaning given by section</w:t>
      </w:r>
      <w:r w:rsidR="00B715AF" w:rsidRPr="00B715AF">
        <w:t> </w:t>
      </w:r>
      <w:r w:rsidR="00A06430" w:rsidRPr="00B715AF">
        <w:t>12</w:t>
      </w:r>
      <w:r w:rsidRPr="00B715AF">
        <w:t>.</w:t>
      </w:r>
    </w:p>
    <w:p w:rsidR="00FA4617" w:rsidRPr="00B715AF" w:rsidRDefault="00FA4617" w:rsidP="00FA4617">
      <w:pPr>
        <w:pStyle w:val="Definition"/>
      </w:pPr>
      <w:r w:rsidRPr="00B715AF">
        <w:rPr>
          <w:b/>
          <w:i/>
        </w:rPr>
        <w:t>Australian plant</w:t>
      </w:r>
      <w:r w:rsidR="00040022" w:rsidRPr="00B715AF">
        <w:rPr>
          <w:b/>
          <w:i/>
        </w:rPr>
        <w:t xml:space="preserve"> (non</w:t>
      </w:r>
      <w:r w:rsidR="00B715AF">
        <w:rPr>
          <w:b/>
          <w:i/>
        </w:rPr>
        <w:noBreakHyphen/>
      </w:r>
      <w:r w:rsidR="00040022" w:rsidRPr="00B715AF">
        <w:rPr>
          <w:b/>
          <w:i/>
        </w:rPr>
        <w:t>biofuel)</w:t>
      </w:r>
      <w:r w:rsidRPr="00B715AF">
        <w:t xml:space="preserve"> has the meaning given by section</w:t>
      </w:r>
      <w:r w:rsidR="00B715AF" w:rsidRPr="00B715AF">
        <w:t> </w:t>
      </w:r>
      <w:r w:rsidR="00A06430" w:rsidRPr="00B715AF">
        <w:t>11</w:t>
      </w:r>
      <w:r w:rsidRPr="00B715AF">
        <w:t>.</w:t>
      </w:r>
    </w:p>
    <w:p w:rsidR="00FA4617" w:rsidRPr="00B715AF" w:rsidRDefault="00FA4617" w:rsidP="00FA4617">
      <w:pPr>
        <w:pStyle w:val="Definition"/>
      </w:pPr>
      <w:r w:rsidRPr="00B715AF">
        <w:rPr>
          <w:b/>
          <w:i/>
        </w:rPr>
        <w:t>Australian refinery</w:t>
      </w:r>
      <w:r w:rsidRPr="00B715AF">
        <w:t xml:space="preserve"> has the meaning given by section</w:t>
      </w:r>
      <w:r w:rsidR="00B715AF" w:rsidRPr="00B715AF">
        <w:t> </w:t>
      </w:r>
      <w:r w:rsidR="00A06430" w:rsidRPr="00B715AF">
        <w:t>12</w:t>
      </w:r>
      <w:r w:rsidRPr="00B715AF">
        <w:t>.</w:t>
      </w:r>
    </w:p>
    <w:p w:rsidR="00796188" w:rsidRPr="00B715AF" w:rsidRDefault="00796188" w:rsidP="00B077E8">
      <w:pPr>
        <w:pStyle w:val="Definition"/>
      </w:pPr>
      <w:r w:rsidRPr="00B715AF">
        <w:rPr>
          <w:b/>
          <w:i/>
        </w:rPr>
        <w:t>bunker</w:t>
      </w:r>
      <w:r w:rsidRPr="00B715AF">
        <w:t xml:space="preserve">: a covered product stored in a </w:t>
      </w:r>
      <w:r w:rsidR="002D0249" w:rsidRPr="00B715AF">
        <w:t xml:space="preserve">seagoing </w:t>
      </w:r>
      <w:r w:rsidRPr="00B715AF">
        <w:t>ship is stored in the ship</w:t>
      </w:r>
      <w:r w:rsidR="00E506C4" w:rsidRPr="00B715AF">
        <w:t>’</w:t>
      </w:r>
      <w:r w:rsidRPr="00B715AF">
        <w:t xml:space="preserve">s </w:t>
      </w:r>
      <w:r w:rsidRPr="00B715AF">
        <w:rPr>
          <w:b/>
          <w:i/>
        </w:rPr>
        <w:t>bunker</w:t>
      </w:r>
      <w:r w:rsidRPr="00B715AF">
        <w:t xml:space="preserve"> if it is stored for the purpose of </w:t>
      </w:r>
      <w:r w:rsidR="008B213D" w:rsidRPr="00B715AF">
        <w:t>powering</w:t>
      </w:r>
      <w:r w:rsidR="007D69F9" w:rsidRPr="00B715AF">
        <w:t xml:space="preserve"> </w:t>
      </w:r>
      <w:r w:rsidRPr="00B715AF">
        <w:t>the ship.</w:t>
      </w:r>
    </w:p>
    <w:p w:rsidR="0076026D" w:rsidRPr="00B715AF" w:rsidRDefault="00D7360A" w:rsidP="0076026D">
      <w:pPr>
        <w:pStyle w:val="Definition"/>
      </w:pPr>
      <w:r w:rsidRPr="00B715AF">
        <w:rPr>
          <w:b/>
          <w:i/>
        </w:rPr>
        <w:t>domestic</w:t>
      </w:r>
      <w:r w:rsidR="0076026D" w:rsidRPr="00B715AF">
        <w:t>, in relation to a subcategory of covered product mentioned in Schedule</w:t>
      </w:r>
      <w:r w:rsidR="00B715AF" w:rsidRPr="00B715AF">
        <w:t> </w:t>
      </w:r>
      <w:r w:rsidR="0076026D" w:rsidRPr="00B715AF">
        <w:t>1, has the meaning given by subclau</w:t>
      </w:r>
      <w:r w:rsidR="00DF5250" w:rsidRPr="00B715AF">
        <w:t>se</w:t>
      </w:r>
      <w:r w:rsidR="00B715AF" w:rsidRPr="00B715AF">
        <w:t> </w:t>
      </w:r>
      <w:r w:rsidR="00DF5250" w:rsidRPr="00B715AF">
        <w:t>1(3</w:t>
      </w:r>
      <w:r w:rsidR="0076026D" w:rsidRPr="00B715AF">
        <w:t>) of that Schedule.</w:t>
      </w:r>
    </w:p>
    <w:p w:rsidR="000150B5" w:rsidRPr="00B715AF" w:rsidRDefault="000150B5" w:rsidP="00BB091F">
      <w:pPr>
        <w:pStyle w:val="Definition"/>
      </w:pPr>
      <w:r w:rsidRPr="00B715AF">
        <w:rPr>
          <w:b/>
          <w:i/>
        </w:rPr>
        <w:t>GLOWS</w:t>
      </w:r>
      <w:r w:rsidRPr="00B715AF">
        <w:t xml:space="preserve"> means a</w:t>
      </w:r>
      <w:r w:rsidR="00BB091F" w:rsidRPr="00B715AF">
        <w:t xml:space="preserve"> covered product in a category mentioned in </w:t>
      </w:r>
      <w:r w:rsidR="00C917BD" w:rsidRPr="00B715AF">
        <w:t>column 1</w:t>
      </w:r>
      <w:r w:rsidR="008B43A4" w:rsidRPr="00B715AF">
        <w:t xml:space="preserve"> </w:t>
      </w:r>
      <w:r w:rsidR="00C917BD" w:rsidRPr="00B715AF">
        <w:t xml:space="preserve">of </w:t>
      </w:r>
      <w:r w:rsidR="00BB091F" w:rsidRPr="00B715AF">
        <w:t>items</w:t>
      </w:r>
      <w:r w:rsidR="00B715AF" w:rsidRPr="00B715AF">
        <w:t> </w:t>
      </w:r>
      <w:r w:rsidR="00BB091F" w:rsidRPr="00B715AF">
        <w:t xml:space="preserve">15 to 18 </w:t>
      </w:r>
      <w:r w:rsidR="006F5005" w:rsidRPr="00B715AF">
        <w:t>of the table in clause</w:t>
      </w:r>
      <w:r w:rsidR="00B715AF" w:rsidRPr="00B715AF">
        <w:t> </w:t>
      </w:r>
      <w:r w:rsidR="006F5005" w:rsidRPr="00B715AF">
        <w:t xml:space="preserve">1 </w:t>
      </w:r>
      <w:r w:rsidR="00BB091F" w:rsidRPr="00B715AF">
        <w:t>of Schedule</w:t>
      </w:r>
      <w:r w:rsidR="00B715AF" w:rsidRPr="00B715AF">
        <w:t> </w:t>
      </w:r>
      <w:r w:rsidR="00BB091F" w:rsidRPr="00B715AF">
        <w:t>1</w:t>
      </w:r>
      <w:r w:rsidRPr="00B715AF">
        <w:t>.</w:t>
      </w:r>
    </w:p>
    <w:p w:rsidR="0015444B" w:rsidRPr="00B715AF" w:rsidRDefault="0015444B" w:rsidP="0015444B">
      <w:pPr>
        <w:pStyle w:val="notetext"/>
      </w:pPr>
      <w:r w:rsidRPr="00B715AF">
        <w:t>Note:</w:t>
      </w:r>
      <w:r w:rsidRPr="00B715AF">
        <w:tab/>
        <w:t>GLOWS is short for petroleum</w:t>
      </w:r>
      <w:r w:rsidR="00B715AF">
        <w:noBreakHyphen/>
      </w:r>
      <w:r w:rsidRPr="00B715AF">
        <w:t>based greases, lubricants</w:t>
      </w:r>
      <w:r w:rsidR="00192145" w:rsidRPr="00B715AF">
        <w:t>,</w:t>
      </w:r>
      <w:r w:rsidRPr="00B715AF">
        <w:t xml:space="preserve"> base oils, waxes and solvents.</w:t>
      </w:r>
    </w:p>
    <w:p w:rsidR="00AB4C39" w:rsidRPr="00B715AF" w:rsidRDefault="00AB4C39" w:rsidP="00AB4C39">
      <w:pPr>
        <w:pStyle w:val="Definition"/>
      </w:pPr>
      <w:r w:rsidRPr="00B715AF">
        <w:rPr>
          <w:b/>
          <w:i/>
        </w:rPr>
        <w:t>half</w:t>
      </w:r>
      <w:r w:rsidR="00B715AF">
        <w:rPr>
          <w:b/>
          <w:i/>
        </w:rPr>
        <w:noBreakHyphen/>
      </w:r>
      <w:r w:rsidRPr="00B715AF">
        <w:rPr>
          <w:b/>
          <w:i/>
        </w:rPr>
        <w:t>year</w:t>
      </w:r>
      <w:r w:rsidRPr="00B715AF">
        <w:t xml:space="preserve"> means a period of 6 months starting on 1</w:t>
      </w:r>
      <w:r w:rsidR="00B715AF" w:rsidRPr="00B715AF">
        <w:t> </w:t>
      </w:r>
      <w:r w:rsidRPr="00B715AF">
        <w:t>January or 1</w:t>
      </w:r>
      <w:r w:rsidR="00B715AF" w:rsidRPr="00B715AF">
        <w:t> </w:t>
      </w:r>
      <w:r w:rsidRPr="00B715AF">
        <w:t>July.</w:t>
      </w:r>
    </w:p>
    <w:p w:rsidR="0076026D" w:rsidRPr="00B715AF" w:rsidRDefault="00BD4B44" w:rsidP="00BD4B44">
      <w:pPr>
        <w:pStyle w:val="Definition"/>
      </w:pPr>
      <w:r w:rsidRPr="00B715AF">
        <w:rPr>
          <w:b/>
          <w:i/>
        </w:rPr>
        <w:t>high sulphur</w:t>
      </w:r>
      <w:r w:rsidR="0076026D" w:rsidRPr="00B715AF">
        <w:t>, in relation to fuel oil, has the meaning given by subclause</w:t>
      </w:r>
      <w:r w:rsidR="00B715AF" w:rsidRPr="00B715AF">
        <w:t> </w:t>
      </w:r>
      <w:r w:rsidR="0076026D" w:rsidRPr="00B715AF">
        <w:t>1(</w:t>
      </w:r>
      <w:r w:rsidR="00DF5250" w:rsidRPr="00B715AF">
        <w:t>3</w:t>
      </w:r>
      <w:r w:rsidR="0076026D" w:rsidRPr="00B715AF">
        <w:t>) of Schedule</w:t>
      </w:r>
      <w:r w:rsidR="00B715AF" w:rsidRPr="00B715AF">
        <w:t> </w:t>
      </w:r>
      <w:r w:rsidR="0076026D" w:rsidRPr="00B715AF">
        <w:t>1</w:t>
      </w:r>
      <w:r w:rsidR="00D977B2" w:rsidRPr="00B715AF">
        <w:t>.</w:t>
      </w:r>
    </w:p>
    <w:p w:rsidR="006F5005" w:rsidRPr="00B715AF" w:rsidRDefault="006F5005" w:rsidP="006F5005">
      <w:pPr>
        <w:pStyle w:val="Definition"/>
      </w:pPr>
      <w:r w:rsidRPr="00B715AF">
        <w:rPr>
          <w:b/>
          <w:i/>
        </w:rPr>
        <w:t>holding</w:t>
      </w:r>
      <w:r w:rsidRPr="00B715AF">
        <w:t xml:space="preserve"> input stock, working stock or output stock means holding stock of a covered product that is input stock, working stock or output stock.</w:t>
      </w:r>
    </w:p>
    <w:p w:rsidR="00B16055" w:rsidRPr="00B715AF" w:rsidRDefault="00B16055" w:rsidP="004F0A96">
      <w:pPr>
        <w:pStyle w:val="Definition"/>
      </w:pPr>
      <w:r w:rsidRPr="00B715AF">
        <w:rPr>
          <w:b/>
          <w:i/>
        </w:rPr>
        <w:t>input</w:t>
      </w:r>
      <w:r w:rsidR="00923B4A" w:rsidRPr="00B715AF">
        <w:rPr>
          <w:b/>
          <w:i/>
        </w:rPr>
        <w:t xml:space="preserve"> stock</w:t>
      </w:r>
      <w:r w:rsidRPr="00B715AF">
        <w:t>, in relation to a</w:t>
      </w:r>
      <w:r w:rsidR="00DB26F4" w:rsidRPr="00B715AF">
        <w:t>n Australian</w:t>
      </w:r>
      <w:r w:rsidRPr="00B715AF">
        <w:t xml:space="preserve"> refinery</w:t>
      </w:r>
      <w:r w:rsidR="005502B9" w:rsidRPr="00B715AF">
        <w:t xml:space="preserve"> or </w:t>
      </w:r>
      <w:r w:rsidR="00DB26F4" w:rsidRPr="00B715AF">
        <w:t xml:space="preserve">Australian </w:t>
      </w:r>
      <w:r w:rsidR="005502B9" w:rsidRPr="00B715AF">
        <w:t>GLOWS facility</w:t>
      </w:r>
      <w:r w:rsidRPr="00B715AF">
        <w:t>, has the meaning given by section</w:t>
      </w:r>
      <w:r w:rsidR="00B715AF" w:rsidRPr="00B715AF">
        <w:t> </w:t>
      </w:r>
      <w:r w:rsidR="00A06430" w:rsidRPr="00B715AF">
        <w:t>12</w:t>
      </w:r>
      <w:r w:rsidRPr="00B715AF">
        <w:t>.</w:t>
      </w:r>
    </w:p>
    <w:p w:rsidR="00C6016F" w:rsidRPr="00B715AF" w:rsidRDefault="00C6016F" w:rsidP="0076026D">
      <w:pPr>
        <w:pStyle w:val="Definition"/>
      </w:pPr>
      <w:r w:rsidRPr="00B715AF">
        <w:rPr>
          <w:b/>
          <w:i/>
        </w:rPr>
        <w:t>international</w:t>
      </w:r>
      <w:r w:rsidR="0076026D" w:rsidRPr="00B715AF">
        <w:t>, in relation to a subcategory of covered product mentioned in Schedule</w:t>
      </w:r>
      <w:r w:rsidR="00B715AF" w:rsidRPr="00B715AF">
        <w:t> </w:t>
      </w:r>
      <w:r w:rsidR="0076026D" w:rsidRPr="00B715AF">
        <w:t>1, has the meaning given by subclause</w:t>
      </w:r>
      <w:r w:rsidR="00B715AF" w:rsidRPr="00B715AF">
        <w:t> </w:t>
      </w:r>
      <w:r w:rsidR="0076026D" w:rsidRPr="00B715AF">
        <w:t>1(</w:t>
      </w:r>
      <w:r w:rsidR="00DF5250" w:rsidRPr="00B715AF">
        <w:t>3</w:t>
      </w:r>
      <w:r w:rsidR="0076026D" w:rsidRPr="00B715AF">
        <w:t>) of that Schedule.</w:t>
      </w:r>
    </w:p>
    <w:p w:rsidR="00E70409" w:rsidRPr="00B715AF" w:rsidRDefault="00E70409" w:rsidP="00E70409">
      <w:pPr>
        <w:pStyle w:val="Definition"/>
      </w:pPr>
      <w:r w:rsidRPr="00B715AF">
        <w:rPr>
          <w:b/>
          <w:i/>
        </w:rPr>
        <w:t>low sulphur</w:t>
      </w:r>
      <w:r w:rsidR="002D0249" w:rsidRPr="00B715AF">
        <w:t xml:space="preserve">, in relation to fuel oil, </w:t>
      </w:r>
      <w:r w:rsidR="0076026D" w:rsidRPr="00B715AF">
        <w:t>has the meaning given by subclause</w:t>
      </w:r>
      <w:r w:rsidR="00B715AF" w:rsidRPr="00B715AF">
        <w:t> </w:t>
      </w:r>
      <w:r w:rsidR="0076026D" w:rsidRPr="00B715AF">
        <w:t>1(</w:t>
      </w:r>
      <w:r w:rsidR="00DF5250" w:rsidRPr="00B715AF">
        <w:t>3</w:t>
      </w:r>
      <w:r w:rsidR="0076026D" w:rsidRPr="00B715AF">
        <w:t>) of Schedule</w:t>
      </w:r>
      <w:r w:rsidR="00B715AF" w:rsidRPr="00B715AF">
        <w:t> </w:t>
      </w:r>
      <w:r w:rsidR="0076026D" w:rsidRPr="00B715AF">
        <w:t>1</w:t>
      </w:r>
      <w:r w:rsidRPr="00B715AF">
        <w:t>.</w:t>
      </w:r>
    </w:p>
    <w:p w:rsidR="00306BA5" w:rsidRPr="00B715AF" w:rsidRDefault="00306BA5" w:rsidP="00306BA5">
      <w:pPr>
        <w:pStyle w:val="Definition"/>
      </w:pPr>
      <w:r w:rsidRPr="00B715AF">
        <w:rPr>
          <w:b/>
          <w:i/>
        </w:rPr>
        <w:t>natural gas</w:t>
      </w:r>
      <w:r w:rsidRPr="00B715AF">
        <w:t xml:space="preserve"> includes</w:t>
      </w:r>
      <w:r w:rsidR="00724CED" w:rsidRPr="00B715AF">
        <w:t xml:space="preserve"> the following</w:t>
      </w:r>
      <w:r w:rsidRPr="00B715AF">
        <w:t>:</w:t>
      </w:r>
    </w:p>
    <w:p w:rsidR="00306BA5" w:rsidRPr="00B715AF" w:rsidRDefault="00724CED" w:rsidP="00306BA5">
      <w:pPr>
        <w:pStyle w:val="paragraph"/>
      </w:pPr>
      <w:r w:rsidRPr="00B715AF">
        <w:tab/>
        <w:t>(a)</w:t>
      </w:r>
      <w:r w:rsidRPr="00B715AF">
        <w:tab/>
        <w:t>natural gas liquid;</w:t>
      </w:r>
    </w:p>
    <w:p w:rsidR="00306BA5" w:rsidRPr="00B715AF" w:rsidRDefault="00724CED" w:rsidP="00306BA5">
      <w:pPr>
        <w:pStyle w:val="paragraph"/>
      </w:pPr>
      <w:r w:rsidRPr="00B715AF">
        <w:tab/>
        <w:t>(b)</w:t>
      </w:r>
      <w:r w:rsidRPr="00B715AF">
        <w:tab/>
        <w:t>compressed natural gas;</w:t>
      </w:r>
    </w:p>
    <w:p w:rsidR="00306BA5" w:rsidRPr="00B715AF" w:rsidRDefault="00FE3C2C" w:rsidP="00306BA5">
      <w:pPr>
        <w:pStyle w:val="paragraph"/>
      </w:pPr>
      <w:r w:rsidRPr="00B715AF">
        <w:tab/>
        <w:t>(c)</w:t>
      </w:r>
      <w:r w:rsidRPr="00B715AF">
        <w:tab/>
        <w:t xml:space="preserve">liquefied natural </w:t>
      </w:r>
      <w:r w:rsidR="00724CED" w:rsidRPr="00B715AF">
        <w:t>gas;</w:t>
      </w:r>
    </w:p>
    <w:p w:rsidR="00FE3C2C" w:rsidRPr="00B715AF" w:rsidRDefault="00724CED" w:rsidP="00306BA5">
      <w:pPr>
        <w:pStyle w:val="paragraph"/>
      </w:pPr>
      <w:r w:rsidRPr="00B715AF">
        <w:tab/>
        <w:t>(d)</w:t>
      </w:r>
      <w:r w:rsidRPr="00B715AF">
        <w:tab/>
        <w:t>methane;</w:t>
      </w:r>
    </w:p>
    <w:p w:rsidR="00FE3C2C" w:rsidRPr="00B715AF" w:rsidRDefault="008B213D" w:rsidP="00306BA5">
      <w:pPr>
        <w:pStyle w:val="paragraph"/>
      </w:pPr>
      <w:r w:rsidRPr="00B715AF">
        <w:tab/>
        <w:t>(e)</w:t>
      </w:r>
      <w:r w:rsidRPr="00B715AF">
        <w:tab/>
        <w:t>ethane.</w:t>
      </w:r>
    </w:p>
    <w:p w:rsidR="0038522D" w:rsidRPr="00B715AF" w:rsidRDefault="0038522D" w:rsidP="0038522D">
      <w:pPr>
        <w:pStyle w:val="Definition"/>
      </w:pPr>
      <w:r w:rsidRPr="00B715AF">
        <w:rPr>
          <w:b/>
          <w:i/>
        </w:rPr>
        <w:t>on water</w:t>
      </w:r>
      <w:r w:rsidR="001B31B3" w:rsidRPr="00B715AF">
        <w:t>, in relation to a covered product, means</w:t>
      </w:r>
      <w:r w:rsidRPr="00B715AF">
        <w:t>:</w:t>
      </w:r>
    </w:p>
    <w:p w:rsidR="0038522D" w:rsidRPr="00B715AF" w:rsidRDefault="0038522D" w:rsidP="0038522D">
      <w:pPr>
        <w:pStyle w:val="paragraph"/>
      </w:pPr>
      <w:r w:rsidRPr="00B715AF">
        <w:tab/>
        <w:t>(a)</w:t>
      </w:r>
      <w:r w:rsidRPr="00B715AF">
        <w:tab/>
        <w:t>kept in storage in a seagoing tanker ship (whether or not in Australia), other than:</w:t>
      </w:r>
    </w:p>
    <w:p w:rsidR="0038522D" w:rsidRPr="00B715AF" w:rsidRDefault="0038522D" w:rsidP="0038522D">
      <w:pPr>
        <w:pStyle w:val="paragraphsub"/>
      </w:pPr>
      <w:r w:rsidRPr="00B715AF">
        <w:tab/>
        <w:t>(i)</w:t>
      </w:r>
      <w:r w:rsidRPr="00B715AF">
        <w:tab/>
        <w:t>in the ship’s bunker; or</w:t>
      </w:r>
    </w:p>
    <w:p w:rsidR="0038522D" w:rsidRPr="00B715AF" w:rsidRDefault="0038522D" w:rsidP="00404AFE">
      <w:pPr>
        <w:pStyle w:val="paragraphsub"/>
      </w:pPr>
      <w:r w:rsidRPr="00B715AF">
        <w:tab/>
        <w:t>(ii)</w:t>
      </w:r>
      <w:r w:rsidRPr="00B715AF">
        <w:tab/>
      </w:r>
      <w:r w:rsidR="00404AFE" w:rsidRPr="00B715AF">
        <w:t xml:space="preserve">as mentioned in </w:t>
      </w:r>
      <w:r w:rsidR="00B715AF" w:rsidRPr="00B715AF">
        <w:t>subparagraph (</w:t>
      </w:r>
      <w:r w:rsidR="00404AFE" w:rsidRPr="00B715AF">
        <w:t xml:space="preserve">a)(i) or (ii) of the definition of </w:t>
      </w:r>
      <w:r w:rsidR="00404AFE" w:rsidRPr="00B715AF">
        <w:rPr>
          <w:b/>
          <w:i/>
        </w:rPr>
        <w:t>holding stock</w:t>
      </w:r>
      <w:r w:rsidR="00404AFE" w:rsidRPr="00B715AF">
        <w:t xml:space="preserve"> in subsection</w:t>
      </w:r>
      <w:r w:rsidR="00B715AF" w:rsidRPr="00B715AF">
        <w:t> </w:t>
      </w:r>
      <w:r w:rsidR="00404AFE" w:rsidRPr="00B715AF">
        <w:t>5(1) of the Act; and</w:t>
      </w:r>
    </w:p>
    <w:p w:rsidR="0038522D" w:rsidRPr="00B715AF" w:rsidRDefault="0038522D" w:rsidP="0038522D">
      <w:pPr>
        <w:pStyle w:val="paragraph"/>
      </w:pPr>
      <w:r w:rsidRPr="00B715AF">
        <w:tab/>
        <w:t>(b)</w:t>
      </w:r>
      <w:r w:rsidRPr="00B715AF">
        <w:tab/>
      </w:r>
      <w:r w:rsidR="001B31B3" w:rsidRPr="00B715AF">
        <w:t xml:space="preserve">intended to be </w:t>
      </w:r>
      <w:r w:rsidRPr="00B715AF">
        <w:t>unloaded from the ship at an Australian port.</w:t>
      </w:r>
    </w:p>
    <w:p w:rsidR="00B16055" w:rsidRPr="00B715AF" w:rsidRDefault="00B16055" w:rsidP="008B213D">
      <w:pPr>
        <w:pStyle w:val="Definition"/>
      </w:pPr>
      <w:r w:rsidRPr="00B715AF">
        <w:rPr>
          <w:b/>
          <w:i/>
        </w:rPr>
        <w:t>output</w:t>
      </w:r>
      <w:r w:rsidR="00923B4A" w:rsidRPr="00B715AF">
        <w:rPr>
          <w:b/>
          <w:i/>
        </w:rPr>
        <w:t xml:space="preserve"> stock</w:t>
      </w:r>
      <w:r w:rsidRPr="00B715AF">
        <w:t>, in relation to a</w:t>
      </w:r>
      <w:r w:rsidR="00DB26F4" w:rsidRPr="00B715AF">
        <w:t>n Australian</w:t>
      </w:r>
      <w:r w:rsidRPr="00B715AF">
        <w:t xml:space="preserve"> refinery</w:t>
      </w:r>
      <w:r w:rsidR="005502B9" w:rsidRPr="00B715AF">
        <w:t xml:space="preserve"> or </w:t>
      </w:r>
      <w:r w:rsidR="00DB26F4" w:rsidRPr="00B715AF">
        <w:t xml:space="preserve">Australian </w:t>
      </w:r>
      <w:r w:rsidR="005502B9" w:rsidRPr="00B715AF">
        <w:t>GLOWS facility</w:t>
      </w:r>
      <w:r w:rsidRPr="00B715AF">
        <w:t>, has the meaning given by section</w:t>
      </w:r>
      <w:r w:rsidR="00B715AF" w:rsidRPr="00B715AF">
        <w:t> </w:t>
      </w:r>
      <w:r w:rsidR="00A06430" w:rsidRPr="00B715AF">
        <w:t>12</w:t>
      </w:r>
      <w:r w:rsidRPr="00B715AF">
        <w:t>.</w:t>
      </w:r>
    </w:p>
    <w:p w:rsidR="00AB3064" w:rsidRPr="00B715AF" w:rsidRDefault="00AB3064" w:rsidP="00AB3064">
      <w:pPr>
        <w:pStyle w:val="Definition"/>
      </w:pPr>
      <w:r w:rsidRPr="00B715AF">
        <w:rPr>
          <w:b/>
          <w:i/>
        </w:rPr>
        <w:t>plant product</w:t>
      </w:r>
      <w:r w:rsidRPr="00B715AF">
        <w:t xml:space="preserve"> means:</w:t>
      </w:r>
    </w:p>
    <w:p w:rsidR="00AB3064" w:rsidRPr="00B715AF" w:rsidRDefault="00AB3064" w:rsidP="00AB3064">
      <w:pPr>
        <w:pStyle w:val="paragraph"/>
      </w:pPr>
      <w:r w:rsidRPr="00B715AF">
        <w:tab/>
        <w:t>(</w:t>
      </w:r>
      <w:r w:rsidR="00C045C3" w:rsidRPr="00B715AF">
        <w:t>a</w:t>
      </w:r>
      <w:r w:rsidRPr="00B715AF">
        <w:t>)</w:t>
      </w:r>
      <w:r w:rsidRPr="00B715AF">
        <w:tab/>
        <w:t>liquefied petroleum gas; or</w:t>
      </w:r>
    </w:p>
    <w:p w:rsidR="00AB3064" w:rsidRPr="00B715AF" w:rsidRDefault="00AB3064" w:rsidP="00AB3064">
      <w:pPr>
        <w:pStyle w:val="paragraph"/>
      </w:pPr>
      <w:r w:rsidRPr="00B715AF">
        <w:tab/>
        <w:t>(</w:t>
      </w:r>
      <w:r w:rsidR="00C045C3" w:rsidRPr="00B715AF">
        <w:t>b</w:t>
      </w:r>
      <w:r w:rsidRPr="00B715AF">
        <w:t>)</w:t>
      </w:r>
      <w:r w:rsidRPr="00B715AF">
        <w:tab/>
        <w:t>naphtha; or</w:t>
      </w:r>
    </w:p>
    <w:p w:rsidR="00AB3064" w:rsidRPr="00B715AF" w:rsidRDefault="00C045C3" w:rsidP="00AB3064">
      <w:pPr>
        <w:pStyle w:val="paragraph"/>
      </w:pPr>
      <w:r w:rsidRPr="00B715AF">
        <w:tab/>
        <w:t>(c</w:t>
      </w:r>
      <w:r w:rsidR="00AB3064" w:rsidRPr="00B715AF">
        <w:t>)</w:t>
      </w:r>
      <w:r w:rsidR="00AB3064" w:rsidRPr="00B715AF">
        <w:tab/>
        <w:t>natural gas liquid.</w:t>
      </w:r>
    </w:p>
    <w:p w:rsidR="00E506C4" w:rsidRPr="00B715AF" w:rsidRDefault="00114A73" w:rsidP="00E506C4">
      <w:pPr>
        <w:pStyle w:val="Definition"/>
      </w:pPr>
      <w:r w:rsidRPr="00B715AF">
        <w:rPr>
          <w:b/>
          <w:i/>
        </w:rPr>
        <w:t>processing</w:t>
      </w:r>
      <w:r w:rsidRPr="00B715AF">
        <w:t xml:space="preserve"> </w:t>
      </w:r>
      <w:r w:rsidR="00E506C4" w:rsidRPr="00B715AF">
        <w:t xml:space="preserve">plant </w:t>
      </w:r>
      <w:r w:rsidR="00952B62" w:rsidRPr="00B715AF">
        <w:t>product</w:t>
      </w:r>
      <w:r w:rsidR="00E506C4" w:rsidRPr="00B715AF">
        <w:t xml:space="preserve"> means undertaking a process from which plant </w:t>
      </w:r>
      <w:r w:rsidR="00952B62" w:rsidRPr="00B715AF">
        <w:t>product</w:t>
      </w:r>
      <w:r w:rsidR="00E506C4" w:rsidRPr="00B715AF">
        <w:t xml:space="preserve"> is an output.</w:t>
      </w:r>
    </w:p>
    <w:p w:rsidR="00201877" w:rsidRPr="00B715AF" w:rsidRDefault="00201877" w:rsidP="00201877">
      <w:pPr>
        <w:pStyle w:val="Definition"/>
      </w:pPr>
      <w:r w:rsidRPr="00B715AF">
        <w:rPr>
          <w:b/>
          <w:i/>
        </w:rPr>
        <w:t xml:space="preserve">refinery </w:t>
      </w:r>
      <w:r w:rsidR="006E0684" w:rsidRPr="00B715AF">
        <w:rPr>
          <w:b/>
          <w:i/>
        </w:rPr>
        <w:t>feed</w:t>
      </w:r>
      <w:r w:rsidRPr="00B715AF">
        <w:rPr>
          <w:b/>
          <w:i/>
        </w:rPr>
        <w:t>stock</w:t>
      </w:r>
      <w:r w:rsidR="00B65FF9" w:rsidRPr="00B715AF">
        <w:rPr>
          <w:b/>
          <w:i/>
        </w:rPr>
        <w:t xml:space="preserve"> (</w:t>
      </w:r>
      <w:r w:rsidRPr="00B715AF">
        <w:rPr>
          <w:b/>
          <w:i/>
        </w:rPr>
        <w:t>other</w:t>
      </w:r>
      <w:r w:rsidR="00B65FF9" w:rsidRPr="00B715AF">
        <w:rPr>
          <w:b/>
          <w:i/>
        </w:rPr>
        <w:t>)</w:t>
      </w:r>
      <w:r w:rsidRPr="00B715AF">
        <w:t xml:space="preserve"> means </w:t>
      </w:r>
      <w:r w:rsidR="00FA4617" w:rsidRPr="00B715AF">
        <w:t xml:space="preserve">any </w:t>
      </w:r>
      <w:r w:rsidRPr="00B715AF">
        <w:t>fuel or fuel</w:t>
      </w:r>
      <w:r w:rsidR="00B715AF">
        <w:noBreakHyphen/>
      </w:r>
      <w:r w:rsidRPr="00B715AF">
        <w:t>related product that is:</w:t>
      </w:r>
    </w:p>
    <w:p w:rsidR="00201877" w:rsidRPr="00B715AF" w:rsidRDefault="00201877" w:rsidP="00201877">
      <w:pPr>
        <w:pStyle w:val="paragraph"/>
      </w:pPr>
      <w:r w:rsidRPr="00B715AF">
        <w:tab/>
        <w:t>(a)</w:t>
      </w:r>
      <w:r w:rsidRPr="00B715AF">
        <w:tab/>
        <w:t>transformed into a covered product at a refinery; and</w:t>
      </w:r>
    </w:p>
    <w:p w:rsidR="00201877" w:rsidRPr="00B715AF" w:rsidRDefault="00201877" w:rsidP="00201877">
      <w:pPr>
        <w:pStyle w:val="paragraph"/>
      </w:pPr>
      <w:r w:rsidRPr="00B715AF">
        <w:tab/>
        <w:t>(b)</w:t>
      </w:r>
      <w:r w:rsidRPr="00B715AF">
        <w:tab/>
        <w:t>is not in a category mentioned in Schedule</w:t>
      </w:r>
      <w:r w:rsidR="00B715AF" w:rsidRPr="00B715AF">
        <w:t> </w:t>
      </w:r>
      <w:r w:rsidRPr="00B715AF">
        <w:t>1 (other than item</w:t>
      </w:r>
      <w:r w:rsidR="00B715AF" w:rsidRPr="00B715AF">
        <w:t> </w:t>
      </w:r>
      <w:r w:rsidRPr="00B715AF">
        <w:t>2</w:t>
      </w:r>
      <w:r w:rsidR="000C5157" w:rsidRPr="00B715AF">
        <w:t>1</w:t>
      </w:r>
      <w:r w:rsidR="00FA4617" w:rsidRPr="00B715AF">
        <w:t xml:space="preserve"> of the table in clause</w:t>
      </w:r>
      <w:r w:rsidR="00B715AF" w:rsidRPr="00B715AF">
        <w:t> </w:t>
      </w:r>
      <w:r w:rsidR="00FA4617" w:rsidRPr="00B715AF">
        <w:t>1</w:t>
      </w:r>
      <w:r w:rsidR="00AF78E7" w:rsidRPr="00B715AF">
        <w:t xml:space="preserve"> of that Schedule</w:t>
      </w:r>
      <w:r w:rsidRPr="00B715AF">
        <w:t>).</w:t>
      </w:r>
    </w:p>
    <w:p w:rsidR="0016662B" w:rsidRPr="00B715AF" w:rsidRDefault="003928D6" w:rsidP="0016662B">
      <w:pPr>
        <w:pStyle w:val="Definition"/>
      </w:pPr>
      <w:r w:rsidRPr="00B715AF">
        <w:rPr>
          <w:b/>
          <w:i/>
        </w:rPr>
        <w:t>refin</w:t>
      </w:r>
      <w:r w:rsidR="0016662B" w:rsidRPr="00B715AF">
        <w:rPr>
          <w:b/>
          <w:i/>
        </w:rPr>
        <w:t>ing</w:t>
      </w:r>
      <w:r w:rsidR="00B715AF">
        <w:rPr>
          <w:b/>
          <w:i/>
        </w:rPr>
        <w:noBreakHyphen/>
      </w:r>
      <w:r w:rsidR="0016662B" w:rsidRPr="00B715AF">
        <w:rPr>
          <w:b/>
          <w:i/>
        </w:rPr>
        <w:t>related gas</w:t>
      </w:r>
      <w:r w:rsidR="00B65FF9" w:rsidRPr="00B715AF">
        <w:rPr>
          <w:b/>
          <w:i/>
        </w:rPr>
        <w:t xml:space="preserve"> (</w:t>
      </w:r>
      <w:r w:rsidR="0016662B" w:rsidRPr="00B715AF">
        <w:rPr>
          <w:b/>
          <w:i/>
        </w:rPr>
        <w:t>other</w:t>
      </w:r>
      <w:r w:rsidR="00B65FF9" w:rsidRPr="00B715AF">
        <w:rPr>
          <w:b/>
          <w:i/>
        </w:rPr>
        <w:t>)</w:t>
      </w:r>
      <w:r w:rsidR="00951210" w:rsidRPr="00B715AF">
        <w:t xml:space="preserve"> means a gas that is</w:t>
      </w:r>
      <w:r w:rsidR="0016662B" w:rsidRPr="00B715AF">
        <w:t>:</w:t>
      </w:r>
    </w:p>
    <w:p w:rsidR="00233AEF" w:rsidRPr="00B715AF" w:rsidRDefault="00233AEF" w:rsidP="00233AEF">
      <w:pPr>
        <w:pStyle w:val="paragraph"/>
      </w:pPr>
      <w:r w:rsidRPr="00B715AF">
        <w:tab/>
        <w:t>(a)</w:t>
      </w:r>
      <w:r w:rsidRPr="00B715AF">
        <w:tab/>
        <w:t>a fuel; and</w:t>
      </w:r>
    </w:p>
    <w:p w:rsidR="0016662B" w:rsidRPr="00B715AF" w:rsidRDefault="0016662B" w:rsidP="0016662B">
      <w:pPr>
        <w:pStyle w:val="paragraph"/>
      </w:pPr>
      <w:r w:rsidRPr="00B715AF">
        <w:tab/>
        <w:t>(</w:t>
      </w:r>
      <w:r w:rsidR="00233AEF" w:rsidRPr="00B715AF">
        <w:t>b</w:t>
      </w:r>
      <w:r w:rsidRPr="00B715AF">
        <w:t>)</w:t>
      </w:r>
      <w:r w:rsidRPr="00B715AF">
        <w:tab/>
      </w:r>
      <w:r w:rsidR="00951210" w:rsidRPr="00B715AF">
        <w:t xml:space="preserve">of a kind that </w:t>
      </w:r>
      <w:r w:rsidRPr="00B715AF">
        <w:t xml:space="preserve">is an input into, or an output from any stage of, refining </w:t>
      </w:r>
      <w:r w:rsidR="001E7251" w:rsidRPr="00B715AF">
        <w:t xml:space="preserve">crude oil or condensate </w:t>
      </w:r>
      <w:r w:rsidRPr="00B715AF">
        <w:t>undertaken at a refinery; and</w:t>
      </w:r>
    </w:p>
    <w:p w:rsidR="0016662B" w:rsidRPr="00B715AF" w:rsidRDefault="00233AEF" w:rsidP="0016662B">
      <w:pPr>
        <w:pStyle w:val="paragraph"/>
      </w:pPr>
      <w:r w:rsidRPr="00B715AF">
        <w:tab/>
        <w:t>(c</w:t>
      </w:r>
      <w:r w:rsidR="0016662B" w:rsidRPr="00B715AF">
        <w:t>)</w:t>
      </w:r>
      <w:r w:rsidR="0016662B" w:rsidRPr="00B715AF">
        <w:tab/>
        <w:t>not in a category mentioned in Schedule</w:t>
      </w:r>
      <w:r w:rsidR="00B715AF" w:rsidRPr="00B715AF">
        <w:t> </w:t>
      </w:r>
      <w:r w:rsidR="0016662B" w:rsidRPr="00B715AF">
        <w:t>1 (other than item</w:t>
      </w:r>
      <w:r w:rsidR="001E7251" w:rsidRPr="00B715AF">
        <w:t>s</w:t>
      </w:r>
      <w:r w:rsidR="00B715AF" w:rsidRPr="00B715AF">
        <w:t> </w:t>
      </w:r>
      <w:r w:rsidR="001E7251" w:rsidRPr="00B715AF">
        <w:t>2</w:t>
      </w:r>
      <w:r w:rsidR="000C5157" w:rsidRPr="00B715AF">
        <w:t>0</w:t>
      </w:r>
      <w:r w:rsidR="001E7251" w:rsidRPr="00B715AF">
        <w:t xml:space="preserve"> and </w:t>
      </w:r>
      <w:r w:rsidR="0016662B" w:rsidRPr="00B715AF">
        <w:t>2</w:t>
      </w:r>
      <w:r w:rsidR="000C5157" w:rsidRPr="00B715AF">
        <w:t>1</w:t>
      </w:r>
      <w:r w:rsidR="0016662B" w:rsidRPr="00B715AF">
        <w:t xml:space="preserve"> of the table in clause</w:t>
      </w:r>
      <w:r w:rsidR="00B715AF" w:rsidRPr="00B715AF">
        <w:t> </w:t>
      </w:r>
      <w:r w:rsidR="0016662B" w:rsidRPr="00B715AF">
        <w:t>1 of that Schedule).</w:t>
      </w:r>
    </w:p>
    <w:p w:rsidR="00647821" w:rsidRPr="00B715AF" w:rsidRDefault="00647821" w:rsidP="00647821">
      <w:pPr>
        <w:pStyle w:val="Definition"/>
      </w:pPr>
      <w:r w:rsidRPr="00B715AF">
        <w:rPr>
          <w:b/>
          <w:i/>
        </w:rPr>
        <w:t>reporting period</w:t>
      </w:r>
      <w:r w:rsidR="00967211" w:rsidRPr="00B715AF">
        <w:t xml:space="preserve"> for </w:t>
      </w:r>
      <w:r w:rsidRPr="00B715AF">
        <w:t xml:space="preserve">a covered </w:t>
      </w:r>
      <w:r w:rsidR="001E68DF" w:rsidRPr="00B715AF">
        <w:t>activity</w:t>
      </w:r>
      <w:r w:rsidRPr="00B715AF">
        <w:t xml:space="preserve"> has the meaning given by </w:t>
      </w:r>
      <w:r w:rsidR="00C83795" w:rsidRPr="00B715AF">
        <w:t>sub</w:t>
      </w:r>
      <w:r w:rsidRPr="00B715AF">
        <w:t>section</w:t>
      </w:r>
      <w:r w:rsidR="00B715AF" w:rsidRPr="00B715AF">
        <w:t> </w:t>
      </w:r>
      <w:r w:rsidR="00A06430" w:rsidRPr="00B715AF">
        <w:t>18</w:t>
      </w:r>
      <w:r w:rsidR="00C83795" w:rsidRPr="00B715AF">
        <w:t>(1)</w:t>
      </w:r>
      <w:r w:rsidRPr="00B715AF">
        <w:t>.</w:t>
      </w:r>
    </w:p>
    <w:p w:rsidR="008A1179" w:rsidRPr="00B715AF" w:rsidRDefault="008A1179" w:rsidP="00AF23C0">
      <w:pPr>
        <w:pStyle w:val="Definition"/>
      </w:pPr>
      <w:r w:rsidRPr="00B715AF">
        <w:rPr>
          <w:b/>
          <w:i/>
        </w:rPr>
        <w:t>State marketing area</w:t>
      </w:r>
      <w:r w:rsidRPr="00B715AF">
        <w:t>, in relation to wholesaling a covered product, means:</w:t>
      </w:r>
    </w:p>
    <w:p w:rsidR="008A1179" w:rsidRPr="00B715AF" w:rsidRDefault="008A1179" w:rsidP="008A1179">
      <w:pPr>
        <w:pStyle w:val="paragraph"/>
      </w:pPr>
      <w:r w:rsidRPr="00B715AF">
        <w:tab/>
        <w:t>(a)</w:t>
      </w:r>
      <w:r w:rsidRPr="00B715AF">
        <w:tab/>
        <w:t>the State or Territory in which it is expected that the covered product will be consumed, or sold for final consumption; or</w:t>
      </w:r>
    </w:p>
    <w:p w:rsidR="008A1179" w:rsidRPr="00B715AF" w:rsidRDefault="008A1179" w:rsidP="008A1179">
      <w:pPr>
        <w:pStyle w:val="paragraph"/>
      </w:pPr>
      <w:r w:rsidRPr="00B715AF">
        <w:tab/>
        <w:t>(b)</w:t>
      </w:r>
      <w:r w:rsidRPr="00B715AF">
        <w:tab/>
        <w:t xml:space="preserve">if the State or Territory mentioned in </w:t>
      </w:r>
      <w:r w:rsidR="00B715AF" w:rsidRPr="00B715AF">
        <w:t>paragraph (</w:t>
      </w:r>
      <w:r w:rsidRPr="00B715AF">
        <w:t>a) is not known—the State or Territory in which the wholesaling occurs.</w:t>
      </w:r>
    </w:p>
    <w:p w:rsidR="00D83616" w:rsidRPr="00B715AF" w:rsidRDefault="00D83616" w:rsidP="00D83616">
      <w:pPr>
        <w:pStyle w:val="Definition"/>
      </w:pPr>
      <w:r w:rsidRPr="00B715AF">
        <w:rPr>
          <w:b/>
          <w:i/>
        </w:rPr>
        <w:t>transport biofuel</w:t>
      </w:r>
      <w:r w:rsidRPr="00B715AF">
        <w:t xml:space="preserve"> means biofuel</w:t>
      </w:r>
      <w:r w:rsidR="000C0196" w:rsidRPr="00B715AF">
        <w:t xml:space="preserve"> that can be used as </w:t>
      </w:r>
      <w:r w:rsidRPr="00B715AF">
        <w:t>a transport fuel</w:t>
      </w:r>
      <w:r w:rsidR="000C0196" w:rsidRPr="00B715AF">
        <w:t>.</w:t>
      </w:r>
    </w:p>
    <w:p w:rsidR="00B16055" w:rsidRPr="00B715AF" w:rsidRDefault="00B16055" w:rsidP="00B16055">
      <w:pPr>
        <w:pStyle w:val="Definition"/>
      </w:pPr>
      <w:r w:rsidRPr="00B715AF">
        <w:rPr>
          <w:b/>
          <w:i/>
        </w:rPr>
        <w:t xml:space="preserve">working </w:t>
      </w:r>
      <w:r w:rsidR="00B7325C" w:rsidRPr="00B715AF">
        <w:rPr>
          <w:b/>
          <w:i/>
        </w:rPr>
        <w:t>stock</w:t>
      </w:r>
      <w:r w:rsidRPr="00B715AF">
        <w:t>, in relation to a</w:t>
      </w:r>
      <w:r w:rsidR="00FA4617" w:rsidRPr="00B715AF">
        <w:t>n Australian</w:t>
      </w:r>
      <w:r w:rsidRPr="00B715AF">
        <w:t xml:space="preserve"> refinery</w:t>
      </w:r>
      <w:r w:rsidR="00AB4C39" w:rsidRPr="00B715AF">
        <w:t xml:space="preserve"> or</w:t>
      </w:r>
      <w:r w:rsidR="00FA4617" w:rsidRPr="00B715AF">
        <w:t xml:space="preserve"> Australian</w:t>
      </w:r>
      <w:r w:rsidR="00AB4C39" w:rsidRPr="00B715AF">
        <w:t xml:space="preserve"> GLOWS facility</w:t>
      </w:r>
      <w:r w:rsidRPr="00B715AF">
        <w:t>, has the meaning given by section</w:t>
      </w:r>
      <w:r w:rsidR="00B715AF" w:rsidRPr="00B715AF">
        <w:t> </w:t>
      </w:r>
      <w:r w:rsidR="00A06430" w:rsidRPr="00B715AF">
        <w:t>12</w:t>
      </w:r>
      <w:r w:rsidRPr="00B715AF">
        <w:t>.</w:t>
      </w:r>
    </w:p>
    <w:p w:rsidR="004F0A96" w:rsidRPr="00B715AF" w:rsidRDefault="00A06430" w:rsidP="004954C4">
      <w:pPr>
        <w:pStyle w:val="ActHead5"/>
      </w:pPr>
      <w:bookmarkStart w:id="8" w:name="_Toc497725284"/>
      <w:r w:rsidRPr="00B715AF">
        <w:rPr>
          <w:rStyle w:val="CharSectno"/>
        </w:rPr>
        <w:t>5</w:t>
      </w:r>
      <w:r w:rsidR="004F0A96" w:rsidRPr="00B715AF">
        <w:t xml:space="preserve">  Covered activities</w:t>
      </w:r>
      <w:bookmarkEnd w:id="8"/>
    </w:p>
    <w:p w:rsidR="001C12F7" w:rsidRPr="00B715AF" w:rsidRDefault="004F0A96" w:rsidP="00EE7F35">
      <w:pPr>
        <w:pStyle w:val="subsection"/>
      </w:pPr>
      <w:r w:rsidRPr="00B715AF">
        <w:tab/>
      </w:r>
      <w:r w:rsidRPr="00B715AF">
        <w:tab/>
        <w:t xml:space="preserve">For the purposes of </w:t>
      </w:r>
      <w:r w:rsidR="00B715AF" w:rsidRPr="00B715AF">
        <w:t>paragraph (</w:t>
      </w:r>
      <w:r w:rsidRPr="00B715AF">
        <w:t xml:space="preserve">g) of the definition of </w:t>
      </w:r>
      <w:r w:rsidRPr="00B715AF">
        <w:rPr>
          <w:b/>
          <w:i/>
        </w:rPr>
        <w:t>covered activity</w:t>
      </w:r>
      <w:r w:rsidRPr="00B715AF">
        <w:t xml:space="preserve"> in subsection</w:t>
      </w:r>
      <w:r w:rsidR="00B715AF" w:rsidRPr="00B715AF">
        <w:t> </w:t>
      </w:r>
      <w:r w:rsidRPr="00B715AF">
        <w:t xml:space="preserve">5(1) of the Act, </w:t>
      </w:r>
      <w:r w:rsidR="001C12F7" w:rsidRPr="00B715AF">
        <w:t>the following activities are prescribed (to the extent they are not covered by other paragraphs of that definition</w:t>
      </w:r>
      <w:r w:rsidR="00724CED" w:rsidRPr="00B715AF">
        <w:t>)</w:t>
      </w:r>
      <w:r w:rsidR="001C12F7" w:rsidRPr="00B715AF">
        <w:t>:</w:t>
      </w:r>
    </w:p>
    <w:p w:rsidR="001C12F7" w:rsidRPr="00B715AF" w:rsidRDefault="001C12F7" w:rsidP="001C12F7">
      <w:pPr>
        <w:pStyle w:val="paragraph"/>
      </w:pPr>
      <w:r w:rsidRPr="00B715AF">
        <w:tab/>
        <w:t>(a)</w:t>
      </w:r>
      <w:r w:rsidRPr="00B715AF">
        <w:tab/>
      </w:r>
      <w:r w:rsidR="00EE7F35" w:rsidRPr="00B715AF">
        <w:t xml:space="preserve">operating a </w:t>
      </w:r>
      <w:r w:rsidR="00F42CAD" w:rsidRPr="00B715AF">
        <w:t>fuel storage</w:t>
      </w:r>
      <w:r w:rsidR="00D23599" w:rsidRPr="00B715AF">
        <w:t xml:space="preserve"> terminal</w:t>
      </w:r>
      <w:r w:rsidR="008B43A4" w:rsidRPr="00B715AF">
        <w:t>, for covered products,</w:t>
      </w:r>
      <w:r w:rsidR="00D23599" w:rsidRPr="00B715AF">
        <w:t xml:space="preserve"> that is connected to a refinery or a port by a pipeline</w:t>
      </w:r>
      <w:r w:rsidRPr="00B715AF">
        <w:t>;</w:t>
      </w:r>
    </w:p>
    <w:p w:rsidR="001C12F7" w:rsidRPr="00B715AF" w:rsidRDefault="001C12F7" w:rsidP="00E506C4">
      <w:pPr>
        <w:pStyle w:val="paragraph"/>
      </w:pPr>
      <w:r w:rsidRPr="00B715AF">
        <w:tab/>
        <w:t>(b)</w:t>
      </w:r>
      <w:r w:rsidRPr="00B715AF">
        <w:tab/>
        <w:t>processing</w:t>
      </w:r>
      <w:r w:rsidR="00E506C4" w:rsidRPr="00B715AF">
        <w:t xml:space="preserve"> plant </w:t>
      </w:r>
      <w:r w:rsidR="00952B62" w:rsidRPr="00B715AF">
        <w:t>product</w:t>
      </w:r>
      <w:r w:rsidR="00E506C4" w:rsidRPr="00B715AF">
        <w:t>.</w:t>
      </w:r>
    </w:p>
    <w:p w:rsidR="00306BA5" w:rsidRPr="00B715AF" w:rsidRDefault="00A06430" w:rsidP="001A07EA">
      <w:pPr>
        <w:pStyle w:val="ActHead5"/>
      </w:pPr>
      <w:bookmarkStart w:id="9" w:name="_Toc497725285"/>
      <w:r w:rsidRPr="00B715AF">
        <w:rPr>
          <w:rStyle w:val="CharSectno"/>
        </w:rPr>
        <w:t>6</w:t>
      </w:r>
      <w:r w:rsidR="00306BA5" w:rsidRPr="00B715AF">
        <w:t xml:space="preserve">  Covered products</w:t>
      </w:r>
      <w:bookmarkEnd w:id="9"/>
    </w:p>
    <w:p w:rsidR="001A07EA" w:rsidRPr="00B715AF" w:rsidRDefault="00306BA5" w:rsidP="00306BA5">
      <w:pPr>
        <w:pStyle w:val="subsection"/>
      </w:pPr>
      <w:r w:rsidRPr="00B715AF">
        <w:tab/>
      </w:r>
      <w:r w:rsidR="001C12F7" w:rsidRPr="00B715AF">
        <w:t>(1)</w:t>
      </w:r>
      <w:r w:rsidRPr="00B715AF">
        <w:tab/>
        <w:t xml:space="preserve">For the purposes of </w:t>
      </w:r>
      <w:r w:rsidR="00B715AF" w:rsidRPr="00B715AF">
        <w:t>paragraph (</w:t>
      </w:r>
      <w:r w:rsidRPr="00B715AF">
        <w:t xml:space="preserve">t) of the definition of </w:t>
      </w:r>
      <w:r w:rsidRPr="00B715AF">
        <w:rPr>
          <w:b/>
          <w:i/>
        </w:rPr>
        <w:t>covered product</w:t>
      </w:r>
      <w:r w:rsidRPr="00B715AF">
        <w:t xml:space="preserve"> in subsection</w:t>
      </w:r>
      <w:r w:rsidR="00B715AF" w:rsidRPr="00B715AF">
        <w:t> </w:t>
      </w:r>
      <w:r w:rsidRPr="00B715AF">
        <w:t xml:space="preserve">5(1) of the Act, </w:t>
      </w:r>
      <w:r w:rsidR="001A07EA" w:rsidRPr="00B715AF">
        <w:t>the following fuels are prescribed (to the extent they are not covered by another paragraph of that definition):</w:t>
      </w:r>
    </w:p>
    <w:p w:rsidR="00306BA5" w:rsidRPr="00B715AF" w:rsidRDefault="001A07EA" w:rsidP="001A07EA">
      <w:pPr>
        <w:pStyle w:val="paragraph"/>
      </w:pPr>
      <w:r w:rsidRPr="00B715AF">
        <w:tab/>
        <w:t>(a)</w:t>
      </w:r>
      <w:r w:rsidRPr="00B715AF">
        <w:tab/>
      </w:r>
      <w:r w:rsidR="00306BA5" w:rsidRPr="00B715AF">
        <w:t>natural ga</w:t>
      </w:r>
      <w:r w:rsidRPr="00B715AF">
        <w:t>s;</w:t>
      </w:r>
    </w:p>
    <w:p w:rsidR="001A07EA" w:rsidRPr="00B715AF" w:rsidRDefault="001A07EA" w:rsidP="001A07EA">
      <w:pPr>
        <w:pStyle w:val="paragraph"/>
      </w:pPr>
      <w:r w:rsidRPr="00B715AF">
        <w:tab/>
        <w:t>(b)</w:t>
      </w:r>
      <w:r w:rsidRPr="00B715AF">
        <w:tab/>
        <w:t>ammonia</w:t>
      </w:r>
      <w:r w:rsidR="005D70BF" w:rsidRPr="00B715AF">
        <w:t xml:space="preserve"> that is intended to be </w:t>
      </w:r>
      <w:r w:rsidR="001F412A" w:rsidRPr="00B715AF">
        <w:t>converted</w:t>
      </w:r>
      <w:r w:rsidR="004A64CB" w:rsidRPr="00B715AF">
        <w:t xml:space="preserve"> in</w:t>
      </w:r>
      <w:r w:rsidR="005D70BF" w:rsidRPr="00B715AF">
        <w:t>to hydrogen for use as a transport fuel</w:t>
      </w:r>
      <w:r w:rsidRPr="00B715AF">
        <w:t>;</w:t>
      </w:r>
    </w:p>
    <w:p w:rsidR="00951210" w:rsidRPr="00B715AF" w:rsidRDefault="00951210" w:rsidP="00951210">
      <w:pPr>
        <w:pStyle w:val="paragraph"/>
      </w:pPr>
      <w:r w:rsidRPr="00B715AF">
        <w:tab/>
        <w:t>(</w:t>
      </w:r>
      <w:r w:rsidR="00C045C3" w:rsidRPr="00B715AF">
        <w:t>c</w:t>
      </w:r>
      <w:r w:rsidRPr="00B715AF">
        <w:t>)</w:t>
      </w:r>
      <w:r w:rsidRPr="00B715AF">
        <w:tab/>
      </w:r>
      <w:r w:rsidR="006B1CD9" w:rsidRPr="00B715AF">
        <w:t>refining</w:t>
      </w:r>
      <w:r w:rsidR="00B715AF">
        <w:noBreakHyphen/>
      </w:r>
      <w:r w:rsidR="006B1CD9" w:rsidRPr="00B715AF">
        <w:t>related gas (other);</w:t>
      </w:r>
    </w:p>
    <w:p w:rsidR="004A64CB" w:rsidRPr="00B715AF" w:rsidRDefault="00C045C3" w:rsidP="004A64CB">
      <w:pPr>
        <w:pStyle w:val="paragraph"/>
      </w:pPr>
      <w:r w:rsidRPr="00B715AF">
        <w:tab/>
        <w:t>(d</w:t>
      </w:r>
      <w:r w:rsidR="004A64CB" w:rsidRPr="00B715AF">
        <w:t>)</w:t>
      </w:r>
      <w:r w:rsidR="004A64CB" w:rsidRPr="00B715AF">
        <w:tab/>
      </w:r>
      <w:r w:rsidR="00201877" w:rsidRPr="00B715AF">
        <w:t xml:space="preserve">fuel that is refinery </w:t>
      </w:r>
      <w:r w:rsidR="006E0684" w:rsidRPr="00B715AF">
        <w:t>feed</w:t>
      </w:r>
      <w:r w:rsidR="00201877" w:rsidRPr="00B715AF">
        <w:t>stock</w:t>
      </w:r>
      <w:r w:rsidR="00B65FF9" w:rsidRPr="00B715AF">
        <w:t xml:space="preserve"> (</w:t>
      </w:r>
      <w:r w:rsidR="00201877" w:rsidRPr="00B715AF">
        <w:t>other</w:t>
      </w:r>
      <w:r w:rsidR="00B65FF9" w:rsidRPr="00B715AF">
        <w:t>)</w:t>
      </w:r>
      <w:r w:rsidR="00951210" w:rsidRPr="00B715AF">
        <w:t>.</w:t>
      </w:r>
    </w:p>
    <w:p w:rsidR="00D23599" w:rsidRPr="00B715AF" w:rsidRDefault="00D23599" w:rsidP="00D23599">
      <w:pPr>
        <w:pStyle w:val="subsection"/>
      </w:pPr>
      <w:r w:rsidRPr="00B715AF">
        <w:tab/>
        <w:t>(2)</w:t>
      </w:r>
      <w:r w:rsidRPr="00B715AF">
        <w:tab/>
        <w:t xml:space="preserve">For the purposes of </w:t>
      </w:r>
      <w:r w:rsidR="00B715AF" w:rsidRPr="00B715AF">
        <w:t>paragraph (</w:t>
      </w:r>
      <w:r w:rsidRPr="00B715AF">
        <w:t xml:space="preserve">u) of the definition of </w:t>
      </w:r>
      <w:r w:rsidRPr="00B715AF">
        <w:rPr>
          <w:b/>
          <w:i/>
        </w:rPr>
        <w:t>covered product</w:t>
      </w:r>
      <w:r w:rsidRPr="00B715AF">
        <w:t xml:space="preserve"> in subsection</w:t>
      </w:r>
      <w:r w:rsidR="00B715AF" w:rsidRPr="00B715AF">
        <w:t> </w:t>
      </w:r>
      <w:r w:rsidRPr="00B715AF">
        <w:t xml:space="preserve">5(1) of the Act, </w:t>
      </w:r>
      <w:r w:rsidR="00F33FAA" w:rsidRPr="00B715AF">
        <w:t xml:space="preserve">any </w:t>
      </w:r>
      <w:r w:rsidRPr="00B715AF">
        <w:t>fuel</w:t>
      </w:r>
      <w:r w:rsidR="00B715AF">
        <w:noBreakHyphen/>
      </w:r>
      <w:r w:rsidRPr="00B715AF">
        <w:t xml:space="preserve">related product </w:t>
      </w:r>
      <w:r w:rsidR="00201877" w:rsidRPr="00B715AF">
        <w:t xml:space="preserve">that is refinery </w:t>
      </w:r>
      <w:r w:rsidR="006E0684" w:rsidRPr="00B715AF">
        <w:t>feed</w:t>
      </w:r>
      <w:r w:rsidR="00201877" w:rsidRPr="00B715AF">
        <w:t>stock</w:t>
      </w:r>
      <w:r w:rsidR="00B65FF9" w:rsidRPr="00B715AF">
        <w:t xml:space="preserve"> (</w:t>
      </w:r>
      <w:r w:rsidR="00201877" w:rsidRPr="00B715AF">
        <w:t>other</w:t>
      </w:r>
      <w:r w:rsidR="00B65FF9" w:rsidRPr="00B715AF">
        <w:t>)</w:t>
      </w:r>
      <w:r w:rsidR="00201877" w:rsidRPr="00B715AF">
        <w:t xml:space="preserve"> </w:t>
      </w:r>
      <w:r w:rsidRPr="00B715AF">
        <w:t>is prescribed (to the extent it is not covered by another paragraph of that definition)</w:t>
      </w:r>
      <w:r w:rsidR="00F14399" w:rsidRPr="00B715AF">
        <w:t>.</w:t>
      </w:r>
    </w:p>
    <w:p w:rsidR="00A70989" w:rsidRPr="00B715AF" w:rsidRDefault="00A06430" w:rsidP="00A70989">
      <w:pPr>
        <w:pStyle w:val="ActHead5"/>
      </w:pPr>
      <w:bookmarkStart w:id="10" w:name="_Toc497725286"/>
      <w:r w:rsidRPr="00B715AF">
        <w:rPr>
          <w:rStyle w:val="CharSectno"/>
        </w:rPr>
        <w:t>7</w:t>
      </w:r>
      <w:r w:rsidR="00A70989" w:rsidRPr="00B715AF">
        <w:t xml:space="preserve">  Holding stock—contractual rights</w:t>
      </w:r>
      <w:bookmarkEnd w:id="10"/>
    </w:p>
    <w:p w:rsidR="00A70989" w:rsidRPr="00B715AF" w:rsidRDefault="000A451E" w:rsidP="00A70989">
      <w:pPr>
        <w:pStyle w:val="subsection"/>
      </w:pPr>
      <w:r w:rsidRPr="00B715AF">
        <w:tab/>
      </w:r>
      <w:r w:rsidR="00A70989" w:rsidRPr="00B715AF">
        <w:tab/>
        <w:t xml:space="preserve">For the purposes of </w:t>
      </w:r>
      <w:r w:rsidR="00B715AF" w:rsidRPr="00B715AF">
        <w:t>paragraph (</w:t>
      </w:r>
      <w:r w:rsidR="00A70989" w:rsidRPr="00B715AF">
        <w:t xml:space="preserve">b) of the definition of </w:t>
      </w:r>
      <w:r w:rsidR="00A70989" w:rsidRPr="00B715AF">
        <w:rPr>
          <w:b/>
          <w:i/>
        </w:rPr>
        <w:t>holding stock</w:t>
      </w:r>
      <w:r w:rsidR="00A70989" w:rsidRPr="00B715AF">
        <w:t xml:space="preserve"> in subsection</w:t>
      </w:r>
      <w:r w:rsidR="00B715AF" w:rsidRPr="00B715AF">
        <w:t> </w:t>
      </w:r>
      <w:r w:rsidR="00A70989" w:rsidRPr="00B715AF">
        <w:t>5(1) of the Act,</w:t>
      </w:r>
      <w:r w:rsidR="009B03EB" w:rsidRPr="00B715AF">
        <w:t xml:space="preserve"> each of</w:t>
      </w:r>
      <w:r w:rsidR="00A70989" w:rsidRPr="00B715AF">
        <w:t xml:space="preserve"> the </w:t>
      </w:r>
      <w:r w:rsidR="009B03EB" w:rsidRPr="00B715AF">
        <w:t xml:space="preserve">following </w:t>
      </w:r>
      <w:r w:rsidR="00A70989" w:rsidRPr="00B715AF">
        <w:t>circumstance</w:t>
      </w:r>
      <w:r w:rsidR="009B72D7" w:rsidRPr="00B715AF">
        <w:t xml:space="preserve">s </w:t>
      </w:r>
      <w:r w:rsidR="009B03EB" w:rsidRPr="00B715AF">
        <w:t>is</w:t>
      </w:r>
      <w:r w:rsidR="009B72D7" w:rsidRPr="00B715AF">
        <w:t xml:space="preserve"> prescribed </w:t>
      </w:r>
      <w:r w:rsidR="00A70989" w:rsidRPr="00B715AF">
        <w:t xml:space="preserve">in relation to holding a contractual right to take </w:t>
      </w:r>
      <w:r w:rsidR="009B72D7" w:rsidRPr="00B715AF">
        <w:t>possession of a covered product:</w:t>
      </w:r>
    </w:p>
    <w:p w:rsidR="00A153D7" w:rsidRPr="00B715AF" w:rsidRDefault="00A153D7" w:rsidP="00A153D7">
      <w:pPr>
        <w:pStyle w:val="paragraph"/>
      </w:pPr>
      <w:r w:rsidRPr="00B715AF">
        <w:tab/>
        <w:t>(a)</w:t>
      </w:r>
      <w:r w:rsidRPr="00B715AF">
        <w:tab/>
        <w:t>both of the following subparagraphs apply:</w:t>
      </w:r>
    </w:p>
    <w:p w:rsidR="00A153D7" w:rsidRPr="00B715AF" w:rsidRDefault="00A153D7" w:rsidP="00A153D7">
      <w:pPr>
        <w:pStyle w:val="paragraphsub"/>
      </w:pPr>
      <w:r w:rsidRPr="00B715AF">
        <w:tab/>
        <w:t>(i)</w:t>
      </w:r>
      <w:r w:rsidRPr="00B715AF">
        <w:tab/>
        <w:t>the holder of the contractual right owns the covered product</w:t>
      </w:r>
      <w:r w:rsidR="002A404F" w:rsidRPr="00B715AF">
        <w:t xml:space="preserve"> but, under the contract, it is kept in </w:t>
      </w:r>
      <w:r w:rsidRPr="00B715AF">
        <w:t xml:space="preserve">storage </w:t>
      </w:r>
      <w:r w:rsidR="002A404F" w:rsidRPr="00B715AF">
        <w:t xml:space="preserve">by another person, </w:t>
      </w:r>
      <w:r w:rsidRPr="00B715AF">
        <w:t xml:space="preserve">as mentioned in </w:t>
      </w:r>
      <w:r w:rsidR="00B715AF" w:rsidRPr="00B715AF">
        <w:t>paragraph (</w:t>
      </w:r>
      <w:r w:rsidRPr="00B715AF">
        <w:t xml:space="preserve">a) of the definition of </w:t>
      </w:r>
      <w:r w:rsidRPr="00B715AF">
        <w:rPr>
          <w:b/>
          <w:i/>
        </w:rPr>
        <w:t>holding stock</w:t>
      </w:r>
      <w:r w:rsidRPr="00B715AF">
        <w:t xml:space="preserve"> in subsection</w:t>
      </w:r>
      <w:r w:rsidR="00B715AF" w:rsidRPr="00B715AF">
        <w:t> </w:t>
      </w:r>
      <w:r w:rsidRPr="00B715AF">
        <w:t>5(1) of the Act</w:t>
      </w:r>
      <w:r w:rsidR="002A404F" w:rsidRPr="00B715AF">
        <w:t>,</w:t>
      </w:r>
      <w:r w:rsidRPr="00B715AF">
        <w:t xml:space="preserve"> outside Australia;</w:t>
      </w:r>
    </w:p>
    <w:p w:rsidR="002A404F" w:rsidRPr="00B715AF" w:rsidRDefault="002A404F" w:rsidP="00A153D7">
      <w:pPr>
        <w:pStyle w:val="paragraphsub"/>
      </w:pPr>
      <w:r w:rsidRPr="00B715AF">
        <w:tab/>
        <w:t>(ii)</w:t>
      </w:r>
      <w:r w:rsidRPr="00B715AF">
        <w:tab/>
        <w:t>the contractual right is a right of the</w:t>
      </w:r>
      <w:r w:rsidR="00206215" w:rsidRPr="00B715AF">
        <w:t xml:space="preserve"> owner</w:t>
      </w:r>
      <w:r w:rsidRPr="00B715AF">
        <w:t xml:space="preserve"> to take possession of the covered product by removing it from that storage;</w:t>
      </w:r>
    </w:p>
    <w:p w:rsidR="009B72D7" w:rsidRPr="00B715AF" w:rsidRDefault="00A153D7" w:rsidP="009B72D7">
      <w:pPr>
        <w:pStyle w:val="paragraph"/>
      </w:pPr>
      <w:r w:rsidRPr="00B715AF">
        <w:tab/>
        <w:t>(b</w:t>
      </w:r>
      <w:r w:rsidR="009B72D7" w:rsidRPr="00B715AF">
        <w:t>)</w:t>
      </w:r>
      <w:r w:rsidR="009B72D7" w:rsidRPr="00B715AF">
        <w:tab/>
        <w:t xml:space="preserve">the </w:t>
      </w:r>
      <w:r w:rsidR="00E749B8" w:rsidRPr="00B715AF">
        <w:t xml:space="preserve">covered product is </w:t>
      </w:r>
      <w:r w:rsidR="00A666FC" w:rsidRPr="00B715AF">
        <w:t>on water</w:t>
      </w:r>
      <w:r w:rsidR="00E003B8" w:rsidRPr="00B715AF">
        <w:t>.</w:t>
      </w:r>
    </w:p>
    <w:p w:rsidR="003A2315" w:rsidRPr="00B715AF" w:rsidRDefault="00E530F6" w:rsidP="00E530F6">
      <w:pPr>
        <w:pStyle w:val="ActHead3"/>
        <w:pageBreakBefore/>
      </w:pPr>
      <w:bookmarkStart w:id="11" w:name="_Toc497725287"/>
      <w:r w:rsidRPr="00B715AF">
        <w:rPr>
          <w:rStyle w:val="CharDivNo"/>
        </w:rPr>
        <w:t>Division</w:t>
      </w:r>
      <w:r w:rsidR="00B715AF" w:rsidRPr="00B715AF">
        <w:rPr>
          <w:rStyle w:val="CharDivNo"/>
        </w:rPr>
        <w:t> </w:t>
      </w:r>
      <w:r w:rsidRPr="00B715AF">
        <w:rPr>
          <w:rStyle w:val="CharDivNo"/>
        </w:rPr>
        <w:t>3</w:t>
      </w:r>
      <w:r w:rsidRPr="00B715AF">
        <w:t>—</w:t>
      </w:r>
      <w:r w:rsidRPr="00B715AF">
        <w:rPr>
          <w:rStyle w:val="CharDivText"/>
        </w:rPr>
        <w:t>Other provisions relating to the scope of this instrument</w:t>
      </w:r>
      <w:bookmarkEnd w:id="11"/>
    </w:p>
    <w:p w:rsidR="003A2315" w:rsidRPr="00B715AF" w:rsidRDefault="00A06430" w:rsidP="003A2315">
      <w:pPr>
        <w:pStyle w:val="ActHead5"/>
      </w:pPr>
      <w:bookmarkStart w:id="12" w:name="_Toc497725288"/>
      <w:r w:rsidRPr="00B715AF">
        <w:rPr>
          <w:rStyle w:val="CharSectno"/>
        </w:rPr>
        <w:t>8</w:t>
      </w:r>
      <w:r w:rsidR="003A2315" w:rsidRPr="00B715AF">
        <w:t xml:space="preserve">  Wholesaling</w:t>
      </w:r>
      <w:r w:rsidR="00E968EF" w:rsidRPr="00B715AF">
        <w:t xml:space="preserve"> to which this instrument does not apply</w:t>
      </w:r>
      <w:bookmarkEnd w:id="12"/>
    </w:p>
    <w:p w:rsidR="003A2315" w:rsidRPr="00B715AF" w:rsidRDefault="003A2315" w:rsidP="003A2315">
      <w:pPr>
        <w:pStyle w:val="subsection"/>
      </w:pPr>
      <w:r w:rsidRPr="00B715AF">
        <w:tab/>
      </w:r>
      <w:r w:rsidRPr="00B715AF">
        <w:tab/>
        <w:t xml:space="preserve">This instrument does not apply to wholesaling a covered product, that is not subject to duty of excise or duty of customs, by removing the covered product from an import terminal </w:t>
      </w:r>
      <w:r w:rsidR="009920D5" w:rsidRPr="00B715AF">
        <w:t xml:space="preserve">and transferring it </w:t>
      </w:r>
      <w:r w:rsidRPr="00B715AF">
        <w:t>to domestic production facilities.</w:t>
      </w:r>
    </w:p>
    <w:p w:rsidR="003A2315" w:rsidRPr="00B715AF" w:rsidRDefault="00A06430" w:rsidP="003A2315">
      <w:pPr>
        <w:pStyle w:val="ActHead5"/>
      </w:pPr>
      <w:bookmarkStart w:id="13" w:name="_Toc497725289"/>
      <w:r w:rsidRPr="00B715AF">
        <w:rPr>
          <w:rStyle w:val="CharSectno"/>
        </w:rPr>
        <w:t>9</w:t>
      </w:r>
      <w:r w:rsidR="003A2315" w:rsidRPr="00B715AF">
        <w:t xml:space="preserve">  </w:t>
      </w:r>
      <w:r w:rsidR="00AF772E" w:rsidRPr="00B715AF">
        <w:t>Stock</w:t>
      </w:r>
      <w:r w:rsidR="0076725C" w:rsidRPr="00B715AF">
        <w:t xml:space="preserve"> holding</w:t>
      </w:r>
      <w:r w:rsidR="00AF772E" w:rsidRPr="00B715AF">
        <w:t xml:space="preserve"> to which this instrument does not apply</w:t>
      </w:r>
      <w:bookmarkEnd w:id="13"/>
    </w:p>
    <w:p w:rsidR="003A2315" w:rsidRPr="00B715AF" w:rsidRDefault="003A2315" w:rsidP="003A2315">
      <w:pPr>
        <w:pStyle w:val="subsection"/>
      </w:pPr>
      <w:r w:rsidRPr="00B715AF">
        <w:tab/>
      </w:r>
      <w:r w:rsidRPr="00B715AF">
        <w:tab/>
        <w:t>This instrument does not apply to holding stock:</w:t>
      </w:r>
    </w:p>
    <w:p w:rsidR="003A2315" w:rsidRPr="00B715AF" w:rsidRDefault="003A2315" w:rsidP="003A2315">
      <w:pPr>
        <w:pStyle w:val="paragraph"/>
      </w:pPr>
      <w:r w:rsidRPr="00B715AF">
        <w:tab/>
        <w:t>(a)</w:t>
      </w:r>
      <w:r w:rsidRPr="00B715AF">
        <w:tab/>
        <w:t>by keeping it in storage in a seagoing ship</w:t>
      </w:r>
      <w:r w:rsidR="00E506C4" w:rsidRPr="00B715AF">
        <w:t>’</w:t>
      </w:r>
      <w:r w:rsidRPr="00B715AF">
        <w:t>s bunkers; or</w:t>
      </w:r>
    </w:p>
    <w:p w:rsidR="003A2315" w:rsidRPr="00B715AF" w:rsidRDefault="003A2315" w:rsidP="003A2315">
      <w:pPr>
        <w:pStyle w:val="paragraph"/>
      </w:pPr>
      <w:r w:rsidRPr="00B715AF">
        <w:tab/>
        <w:t>(b)</w:t>
      </w:r>
      <w:r w:rsidRPr="00B715AF">
        <w:tab/>
        <w:t>for the exclusive use of the Australian Defence Force or the armed forces of a foreign country.</w:t>
      </w:r>
    </w:p>
    <w:p w:rsidR="003A2315" w:rsidRPr="00B715AF" w:rsidRDefault="003A2315" w:rsidP="003A2315">
      <w:pPr>
        <w:pStyle w:val="notetext"/>
      </w:pPr>
      <w:r w:rsidRPr="00B715AF">
        <w:t>Note:</w:t>
      </w:r>
      <w:r w:rsidRPr="00B715AF">
        <w:tab/>
        <w:t>Under section</w:t>
      </w:r>
      <w:r w:rsidR="00B715AF" w:rsidRPr="00B715AF">
        <w:t> </w:t>
      </w:r>
      <w:r w:rsidRPr="00B715AF">
        <w:t xml:space="preserve">5 of the Act, </w:t>
      </w:r>
      <w:r w:rsidRPr="00B715AF">
        <w:rPr>
          <w:b/>
          <w:i/>
        </w:rPr>
        <w:t>holding stock</w:t>
      </w:r>
      <w:r w:rsidRPr="00B715AF">
        <w:t xml:space="preserve"> of a covered product does not include:</w:t>
      </w:r>
    </w:p>
    <w:p w:rsidR="003A2315" w:rsidRPr="00B715AF" w:rsidRDefault="003A2315" w:rsidP="003A2315">
      <w:pPr>
        <w:pStyle w:val="notepara"/>
      </w:pPr>
      <w:r w:rsidRPr="00B715AF">
        <w:t>(a)</w:t>
      </w:r>
      <w:r w:rsidRPr="00B715AF">
        <w:tab/>
        <w:t>storing a covered product in a service station, retail store, personal vehicle, road tanker, rail tank car or pipeline; or</w:t>
      </w:r>
    </w:p>
    <w:p w:rsidR="003A2315" w:rsidRPr="00B715AF" w:rsidRDefault="003A2315" w:rsidP="003A2315">
      <w:pPr>
        <w:pStyle w:val="notepara"/>
      </w:pPr>
      <w:r w:rsidRPr="00B715AF">
        <w:t>(b)</w:t>
      </w:r>
      <w:r w:rsidRPr="00B715AF">
        <w:tab/>
        <w:t>keeping a covered product wholly or principally for private or domestic use.</w:t>
      </w:r>
    </w:p>
    <w:p w:rsidR="003A2315" w:rsidRPr="00B715AF" w:rsidRDefault="003A2315" w:rsidP="00BD4B44">
      <w:pPr>
        <w:pStyle w:val="ActHead2"/>
        <w:pageBreakBefore/>
      </w:pPr>
      <w:bookmarkStart w:id="14" w:name="_Toc497725290"/>
      <w:r w:rsidRPr="00B715AF">
        <w:rPr>
          <w:rStyle w:val="CharPartNo"/>
        </w:rPr>
        <w:t>Part</w:t>
      </w:r>
      <w:r w:rsidR="00B715AF" w:rsidRPr="00B715AF">
        <w:rPr>
          <w:rStyle w:val="CharPartNo"/>
        </w:rPr>
        <w:t> </w:t>
      </w:r>
      <w:r w:rsidRPr="00B715AF">
        <w:rPr>
          <w:rStyle w:val="CharPartNo"/>
        </w:rPr>
        <w:t>2</w:t>
      </w:r>
      <w:r w:rsidRPr="00B715AF">
        <w:t>—</w:t>
      </w:r>
      <w:r w:rsidRPr="00B715AF">
        <w:rPr>
          <w:rStyle w:val="CharPartText"/>
        </w:rPr>
        <w:t>Reports of fuel information</w:t>
      </w:r>
      <w:bookmarkEnd w:id="14"/>
    </w:p>
    <w:p w:rsidR="003A2315" w:rsidRPr="00B715AF" w:rsidRDefault="003A2315" w:rsidP="00BF237D">
      <w:pPr>
        <w:pStyle w:val="ActHead3"/>
      </w:pPr>
      <w:bookmarkStart w:id="15" w:name="_Toc497725291"/>
      <w:r w:rsidRPr="00B715AF">
        <w:rPr>
          <w:rStyle w:val="CharDivNo"/>
        </w:rPr>
        <w:t>Division</w:t>
      </w:r>
      <w:r w:rsidR="00B715AF" w:rsidRPr="00B715AF">
        <w:rPr>
          <w:rStyle w:val="CharDivNo"/>
        </w:rPr>
        <w:t> </w:t>
      </w:r>
      <w:r w:rsidRPr="00B715AF">
        <w:rPr>
          <w:rStyle w:val="CharDivNo"/>
        </w:rPr>
        <w:t>1</w:t>
      </w:r>
      <w:r w:rsidRPr="00B715AF">
        <w:t>—</w:t>
      </w:r>
      <w:r w:rsidR="00F33149" w:rsidRPr="00B715AF">
        <w:rPr>
          <w:rStyle w:val="CharDivText"/>
        </w:rPr>
        <w:t>Outline of this Part</w:t>
      </w:r>
      <w:bookmarkEnd w:id="15"/>
    </w:p>
    <w:p w:rsidR="003A2315" w:rsidRPr="00B715AF" w:rsidRDefault="00A06430" w:rsidP="003A2315">
      <w:pPr>
        <w:pStyle w:val="ActHead5"/>
      </w:pPr>
      <w:bookmarkStart w:id="16" w:name="_Toc497725292"/>
      <w:r w:rsidRPr="00B715AF">
        <w:rPr>
          <w:rStyle w:val="CharSectno"/>
        </w:rPr>
        <w:t>10</w:t>
      </w:r>
      <w:r w:rsidR="003A2315" w:rsidRPr="00B715AF">
        <w:t xml:space="preserve">  Outline of this Part</w:t>
      </w:r>
      <w:bookmarkEnd w:id="16"/>
    </w:p>
    <w:p w:rsidR="00E530F6" w:rsidRPr="00B715AF" w:rsidRDefault="00E530F6" w:rsidP="00E530F6">
      <w:pPr>
        <w:pStyle w:val="SOText"/>
      </w:pPr>
      <w:r w:rsidRPr="00B715AF">
        <w:t xml:space="preserve">This Part prescribes activities that must be reported </w:t>
      </w:r>
      <w:r w:rsidR="00FA4617" w:rsidRPr="00B715AF">
        <w:t>periodically t</w:t>
      </w:r>
      <w:r w:rsidRPr="00B715AF">
        <w:t>o the Secretary under section</w:t>
      </w:r>
      <w:r w:rsidR="00B715AF" w:rsidRPr="00B715AF">
        <w:t> </w:t>
      </w:r>
      <w:r w:rsidRPr="00B715AF">
        <w:t>11 of the Act.</w:t>
      </w:r>
    </w:p>
    <w:p w:rsidR="00E530F6" w:rsidRPr="00B715AF" w:rsidRDefault="00E530F6" w:rsidP="00E530F6">
      <w:pPr>
        <w:pStyle w:val="SOText"/>
      </w:pPr>
      <w:r w:rsidRPr="00B715AF">
        <w:t>Some reports must relate to activi</w:t>
      </w:r>
      <w:r w:rsidR="000A451E" w:rsidRPr="00B715AF">
        <w:t>ties undertaken at a particular</w:t>
      </w:r>
      <w:r w:rsidRPr="00B715AF">
        <w:t xml:space="preserve"> field, plant or refinery. Other reports must relate to covered products held, owned or wholesaled by a particular person.</w:t>
      </w:r>
    </w:p>
    <w:p w:rsidR="00F33149" w:rsidRPr="00B715AF" w:rsidRDefault="00F33149" w:rsidP="00985893">
      <w:pPr>
        <w:pStyle w:val="ActHead3"/>
        <w:pageBreakBefore/>
      </w:pPr>
      <w:bookmarkStart w:id="17" w:name="_Toc497725293"/>
      <w:r w:rsidRPr="00B715AF">
        <w:rPr>
          <w:rStyle w:val="CharDivNo"/>
        </w:rPr>
        <w:t>Division</w:t>
      </w:r>
      <w:r w:rsidR="00B715AF" w:rsidRPr="00B715AF">
        <w:rPr>
          <w:rStyle w:val="CharDivNo"/>
        </w:rPr>
        <w:t> </w:t>
      </w:r>
      <w:r w:rsidRPr="00B715AF">
        <w:rPr>
          <w:rStyle w:val="CharDivNo"/>
        </w:rPr>
        <w:t>2</w:t>
      </w:r>
      <w:r w:rsidRPr="00B715AF">
        <w:t>—</w:t>
      </w:r>
      <w:r w:rsidRPr="00B715AF">
        <w:rPr>
          <w:rStyle w:val="CharDivText"/>
        </w:rPr>
        <w:t>Definitions</w:t>
      </w:r>
      <w:bookmarkEnd w:id="17"/>
    </w:p>
    <w:p w:rsidR="00DB26F4" w:rsidRPr="00B715AF" w:rsidRDefault="00A06430" w:rsidP="00DB26F4">
      <w:pPr>
        <w:pStyle w:val="ActHead5"/>
      </w:pPr>
      <w:bookmarkStart w:id="18" w:name="_Toc497725294"/>
      <w:r w:rsidRPr="00B715AF">
        <w:rPr>
          <w:rStyle w:val="CharSectno"/>
        </w:rPr>
        <w:t>11</w:t>
      </w:r>
      <w:r w:rsidR="00DB26F4" w:rsidRPr="00B715AF">
        <w:t xml:space="preserve">  Australian </w:t>
      </w:r>
      <w:r w:rsidR="00643518" w:rsidRPr="00B715AF">
        <w:t>fields and plants</w:t>
      </w:r>
      <w:bookmarkEnd w:id="18"/>
    </w:p>
    <w:p w:rsidR="0076164A" w:rsidRPr="00B715AF" w:rsidRDefault="0076164A" w:rsidP="0076164A">
      <w:pPr>
        <w:pStyle w:val="SubsectionHead"/>
      </w:pPr>
      <w:r w:rsidRPr="00B715AF">
        <w:t>Australian fields</w:t>
      </w:r>
    </w:p>
    <w:p w:rsidR="00DB26F4" w:rsidRPr="00B715AF" w:rsidRDefault="00DB26F4" w:rsidP="00DB26F4">
      <w:pPr>
        <w:pStyle w:val="subsection"/>
      </w:pPr>
      <w:r w:rsidRPr="00B715AF">
        <w:tab/>
        <w:t>(1)</w:t>
      </w:r>
      <w:r w:rsidRPr="00B715AF">
        <w:tab/>
        <w:t xml:space="preserve">A reference in this instrument to an </w:t>
      </w:r>
      <w:r w:rsidRPr="00B715AF">
        <w:rPr>
          <w:b/>
          <w:i/>
        </w:rPr>
        <w:t>Australian field</w:t>
      </w:r>
      <w:r w:rsidRPr="00B715AF">
        <w:t xml:space="preserve"> is a reference to a field at which crude oil, condensate or liquefied petroleum gas is or was produced in Australia by a regulated entity.</w:t>
      </w:r>
    </w:p>
    <w:p w:rsidR="00341738" w:rsidRPr="00B715AF" w:rsidRDefault="0076164A" w:rsidP="0076164A">
      <w:pPr>
        <w:pStyle w:val="subsection"/>
      </w:pPr>
      <w:r w:rsidRPr="00B715AF">
        <w:tab/>
        <w:t>(2)</w:t>
      </w:r>
      <w:r w:rsidRPr="00B715AF">
        <w:tab/>
        <w:t>A person who must give report</w:t>
      </w:r>
      <w:r w:rsidR="004E0FA9" w:rsidRPr="00B715AF">
        <w:t>s</w:t>
      </w:r>
      <w:r w:rsidRPr="00B715AF">
        <w:t xml:space="preserve"> under subsection</w:t>
      </w:r>
      <w:r w:rsidR="00B715AF" w:rsidRPr="00B715AF">
        <w:t> </w:t>
      </w:r>
      <w:r w:rsidRPr="00B715AF">
        <w:t xml:space="preserve">11(2) of the Act in relation to covered activities </w:t>
      </w:r>
      <w:r w:rsidR="00566EDB" w:rsidRPr="00B715AF">
        <w:t>at 2 or more Australian fields may treat the fields as being a single field if</w:t>
      </w:r>
      <w:r w:rsidR="00341738" w:rsidRPr="00B715AF">
        <w:t xml:space="preserve"> the fields:</w:t>
      </w:r>
    </w:p>
    <w:p w:rsidR="00341738" w:rsidRPr="00B715AF" w:rsidRDefault="00341738" w:rsidP="00341738">
      <w:pPr>
        <w:pStyle w:val="paragraph"/>
      </w:pPr>
      <w:r w:rsidRPr="00B715AF">
        <w:tab/>
        <w:t>(a)</w:t>
      </w:r>
      <w:r w:rsidRPr="00B715AF">
        <w:tab/>
        <w:t>are located in the same State, Territory or offshore area; and</w:t>
      </w:r>
    </w:p>
    <w:p w:rsidR="00341738" w:rsidRPr="00B715AF" w:rsidRDefault="00341738" w:rsidP="00341738">
      <w:pPr>
        <w:pStyle w:val="paragraph"/>
      </w:pPr>
      <w:r w:rsidRPr="00B715AF">
        <w:tab/>
        <w:t>(b)</w:t>
      </w:r>
      <w:r w:rsidRPr="00B715AF">
        <w:tab/>
        <w:t>are:</w:t>
      </w:r>
    </w:p>
    <w:p w:rsidR="00566EDB" w:rsidRPr="00B715AF" w:rsidRDefault="00566EDB" w:rsidP="00341738">
      <w:pPr>
        <w:pStyle w:val="paragraphsub"/>
      </w:pPr>
      <w:r w:rsidRPr="00B715AF">
        <w:tab/>
        <w:t>(</w:t>
      </w:r>
      <w:r w:rsidR="00341738" w:rsidRPr="00B715AF">
        <w:t>i</w:t>
      </w:r>
      <w:r w:rsidRPr="00B715AF">
        <w:t>)</w:t>
      </w:r>
      <w:r w:rsidRPr="00B715AF">
        <w:tab/>
        <w:t>adjacent; or</w:t>
      </w:r>
    </w:p>
    <w:p w:rsidR="00566EDB" w:rsidRPr="00B715AF" w:rsidRDefault="00341738" w:rsidP="00341738">
      <w:pPr>
        <w:pStyle w:val="paragraphsub"/>
      </w:pPr>
      <w:r w:rsidRPr="00B715AF">
        <w:tab/>
        <w:t>(ii</w:t>
      </w:r>
      <w:r w:rsidR="00566EDB" w:rsidRPr="00B715AF">
        <w:t>)</w:t>
      </w:r>
      <w:r w:rsidR="00566EDB" w:rsidRPr="00B715AF">
        <w:tab/>
        <w:t xml:space="preserve">administered as </w:t>
      </w:r>
      <w:r w:rsidR="006B1CD9" w:rsidRPr="00B715AF">
        <w:t xml:space="preserve">a </w:t>
      </w:r>
      <w:r w:rsidR="00566EDB" w:rsidRPr="00B715AF">
        <w:t>single production area or project.</w:t>
      </w:r>
    </w:p>
    <w:p w:rsidR="0076164A" w:rsidRPr="00B715AF" w:rsidRDefault="0076164A" w:rsidP="0076164A">
      <w:pPr>
        <w:pStyle w:val="SubsectionHead"/>
      </w:pPr>
      <w:r w:rsidRPr="00B715AF">
        <w:t>Australian plants</w:t>
      </w:r>
    </w:p>
    <w:p w:rsidR="00240FEE" w:rsidRPr="00B715AF" w:rsidRDefault="0076164A" w:rsidP="00240FEE">
      <w:pPr>
        <w:pStyle w:val="subsection"/>
      </w:pPr>
      <w:r w:rsidRPr="00B715AF">
        <w:tab/>
        <w:t>(3</w:t>
      </w:r>
      <w:r w:rsidR="00240FEE" w:rsidRPr="00B715AF">
        <w:t>)</w:t>
      </w:r>
      <w:r w:rsidR="00240FEE" w:rsidRPr="00B715AF">
        <w:tab/>
        <w:t>A reference in this instrument to a</w:t>
      </w:r>
      <w:r w:rsidR="000A451E" w:rsidRPr="00B715AF">
        <w:t>n</w:t>
      </w:r>
      <w:r w:rsidR="00240FEE" w:rsidRPr="00B715AF">
        <w:t xml:space="preserve"> </w:t>
      </w:r>
      <w:r w:rsidR="00240FEE" w:rsidRPr="00B715AF">
        <w:rPr>
          <w:b/>
          <w:i/>
        </w:rPr>
        <w:t>Australian biofuel plant</w:t>
      </w:r>
      <w:r w:rsidR="00240FEE" w:rsidRPr="00B715AF">
        <w:t xml:space="preserve"> is a reference to a plant at which </w:t>
      </w:r>
      <w:r w:rsidR="000C0196" w:rsidRPr="00B715AF">
        <w:t xml:space="preserve">transport </w:t>
      </w:r>
      <w:r w:rsidR="00240FEE" w:rsidRPr="00B715AF">
        <w:t>biofuel is or was produced in Australia by a regulated entity.</w:t>
      </w:r>
    </w:p>
    <w:p w:rsidR="00040022" w:rsidRPr="00B715AF" w:rsidRDefault="0076164A" w:rsidP="00E506C4">
      <w:pPr>
        <w:pStyle w:val="subsection"/>
      </w:pPr>
      <w:r w:rsidRPr="00B715AF">
        <w:tab/>
        <w:t>(4</w:t>
      </w:r>
      <w:r w:rsidR="00DB26F4" w:rsidRPr="00B715AF">
        <w:t>)</w:t>
      </w:r>
      <w:r w:rsidR="00DB26F4" w:rsidRPr="00B715AF">
        <w:tab/>
        <w:t>A r</w:t>
      </w:r>
      <w:r w:rsidR="000A451E" w:rsidRPr="00B715AF">
        <w:t>eference in this instrument to an</w:t>
      </w:r>
      <w:r w:rsidR="00DB26F4" w:rsidRPr="00B715AF">
        <w:t xml:space="preserve"> </w:t>
      </w:r>
      <w:r w:rsidR="00DB26F4" w:rsidRPr="00B715AF">
        <w:rPr>
          <w:b/>
          <w:i/>
        </w:rPr>
        <w:t xml:space="preserve">Australian </w:t>
      </w:r>
      <w:r w:rsidR="00040022" w:rsidRPr="00B715AF">
        <w:rPr>
          <w:b/>
          <w:i/>
        </w:rPr>
        <w:t>plant (non</w:t>
      </w:r>
      <w:r w:rsidR="00B715AF">
        <w:rPr>
          <w:b/>
          <w:i/>
        </w:rPr>
        <w:noBreakHyphen/>
      </w:r>
      <w:r w:rsidR="00040022" w:rsidRPr="00B715AF">
        <w:rPr>
          <w:b/>
          <w:i/>
        </w:rPr>
        <w:t>biofuel)</w:t>
      </w:r>
      <w:r w:rsidR="00DB26F4" w:rsidRPr="00B715AF">
        <w:t xml:space="preserve"> is a reference to a plant at which</w:t>
      </w:r>
      <w:r w:rsidR="00040022" w:rsidRPr="00B715AF">
        <w:t xml:space="preserve"> </w:t>
      </w:r>
      <w:r w:rsidR="00E506C4" w:rsidRPr="00B715AF">
        <w:t xml:space="preserve">plant </w:t>
      </w:r>
      <w:r w:rsidR="00952B62" w:rsidRPr="00B715AF">
        <w:t>product</w:t>
      </w:r>
      <w:r w:rsidR="00E506C4" w:rsidRPr="00B715AF">
        <w:t xml:space="preserve"> </w:t>
      </w:r>
      <w:r w:rsidR="00DB26F4" w:rsidRPr="00B715AF">
        <w:t xml:space="preserve">is or was processed in </w:t>
      </w:r>
      <w:r w:rsidR="00040022" w:rsidRPr="00B715AF">
        <w:t>Australia by a regulated entity.</w:t>
      </w:r>
    </w:p>
    <w:p w:rsidR="00DB26F4" w:rsidRPr="00B715AF" w:rsidRDefault="00DB26F4" w:rsidP="00DB26F4">
      <w:pPr>
        <w:pStyle w:val="SubsectionHead"/>
      </w:pPr>
      <w:r w:rsidRPr="00B715AF">
        <w:t>Storage facilities</w:t>
      </w:r>
    </w:p>
    <w:p w:rsidR="00DB26F4" w:rsidRPr="00B715AF" w:rsidRDefault="00DB26F4" w:rsidP="00DB26F4">
      <w:pPr>
        <w:pStyle w:val="subsection"/>
      </w:pPr>
      <w:r w:rsidRPr="00B715AF">
        <w:tab/>
        <w:t>(</w:t>
      </w:r>
      <w:r w:rsidR="0076164A" w:rsidRPr="00B715AF">
        <w:t>5</w:t>
      </w:r>
      <w:r w:rsidRPr="00B715AF">
        <w:t>)</w:t>
      </w:r>
      <w:r w:rsidRPr="00B715AF">
        <w:tab/>
        <w:t xml:space="preserve">For the purposes of this instrument, a storage facility to which a covered product is </w:t>
      </w:r>
      <w:r w:rsidR="00760BE1" w:rsidRPr="00B715AF">
        <w:t>delivered</w:t>
      </w:r>
      <w:r w:rsidRPr="00B715AF">
        <w:t xml:space="preserve"> from an </w:t>
      </w:r>
      <w:r w:rsidR="00240FEE" w:rsidRPr="00B715AF">
        <w:t>Australian field, Australian biofuel plant</w:t>
      </w:r>
      <w:r w:rsidRPr="00B715AF">
        <w:t xml:space="preserve"> or Australian</w:t>
      </w:r>
      <w:r w:rsidR="00040022" w:rsidRPr="00B715AF">
        <w:t xml:space="preserve"> </w:t>
      </w:r>
      <w:r w:rsidR="00240FEE" w:rsidRPr="00B715AF">
        <w:t>plant</w:t>
      </w:r>
      <w:r w:rsidR="00040022" w:rsidRPr="00B715AF">
        <w:t xml:space="preserve"> (non</w:t>
      </w:r>
      <w:r w:rsidR="00B715AF">
        <w:noBreakHyphen/>
      </w:r>
      <w:r w:rsidR="00040022" w:rsidRPr="00B715AF">
        <w:t>biofuel)</w:t>
      </w:r>
      <w:r w:rsidR="00240FEE" w:rsidRPr="00B715AF">
        <w:t xml:space="preserve"> </w:t>
      </w:r>
      <w:r w:rsidRPr="00B715AF">
        <w:t xml:space="preserve">is taken to be part of the field or plant, unless the </w:t>
      </w:r>
      <w:r w:rsidR="00760BE1" w:rsidRPr="00B715AF">
        <w:t>delivery</w:t>
      </w:r>
      <w:r w:rsidRPr="00B715AF">
        <w:t>:</w:t>
      </w:r>
    </w:p>
    <w:p w:rsidR="00DB26F4" w:rsidRPr="00B715AF" w:rsidRDefault="00DB26F4" w:rsidP="00DB26F4">
      <w:pPr>
        <w:pStyle w:val="paragraph"/>
      </w:pPr>
      <w:r w:rsidRPr="00B715AF">
        <w:tab/>
        <w:t>(a)</w:t>
      </w:r>
      <w:r w:rsidRPr="00B715AF">
        <w:tab/>
        <w:t>occurs because the covered product has been sold; or</w:t>
      </w:r>
    </w:p>
    <w:p w:rsidR="00DB26F4" w:rsidRPr="00B715AF" w:rsidRDefault="00DB26F4" w:rsidP="00DB26F4">
      <w:pPr>
        <w:pStyle w:val="paragraph"/>
      </w:pPr>
      <w:r w:rsidRPr="00B715AF">
        <w:tab/>
        <w:t>(b)</w:t>
      </w:r>
      <w:r w:rsidRPr="00B715AF">
        <w:tab/>
        <w:t>involves exporting the covered product.</w:t>
      </w:r>
    </w:p>
    <w:p w:rsidR="00DB26F4" w:rsidRPr="00B715AF" w:rsidRDefault="0076164A" w:rsidP="00DB26F4">
      <w:pPr>
        <w:pStyle w:val="subsection"/>
      </w:pPr>
      <w:r w:rsidRPr="00B715AF">
        <w:tab/>
        <w:t>(6</w:t>
      </w:r>
      <w:r w:rsidR="00DB26F4" w:rsidRPr="00B715AF">
        <w:t>)</w:t>
      </w:r>
      <w:r w:rsidR="00DB26F4" w:rsidRPr="00B715AF">
        <w:tab/>
        <w:t xml:space="preserve">If a covered product is </w:t>
      </w:r>
      <w:r w:rsidR="00760BE1" w:rsidRPr="00B715AF">
        <w:t>delivered</w:t>
      </w:r>
      <w:r w:rsidR="00DB26F4" w:rsidRPr="00B715AF">
        <w:t xml:space="preserve"> to a storage facility as mentioned in </w:t>
      </w:r>
      <w:r w:rsidR="00B715AF" w:rsidRPr="00B715AF">
        <w:t>subsection (</w:t>
      </w:r>
      <w:r w:rsidRPr="00B715AF">
        <w:t>5</w:t>
      </w:r>
      <w:r w:rsidR="00DB26F4" w:rsidRPr="00B715AF">
        <w:t>) from more than one field or plant, the fuel information in relation to the facility that would otherwise be required to be included in reports for each field or plant may be combined into a single report.</w:t>
      </w:r>
    </w:p>
    <w:p w:rsidR="00DB26F4" w:rsidRPr="00B715AF" w:rsidRDefault="00A06430" w:rsidP="00DB26F4">
      <w:pPr>
        <w:pStyle w:val="ActHead5"/>
      </w:pPr>
      <w:bookmarkStart w:id="19" w:name="_Toc497725295"/>
      <w:r w:rsidRPr="00B715AF">
        <w:rPr>
          <w:rStyle w:val="CharSectno"/>
        </w:rPr>
        <w:t>12</w:t>
      </w:r>
      <w:r w:rsidR="00DB26F4" w:rsidRPr="00B715AF">
        <w:t xml:space="preserve">  Australian refineries and GLOWS facilities</w:t>
      </w:r>
      <w:bookmarkEnd w:id="19"/>
    </w:p>
    <w:p w:rsidR="00DB26F4" w:rsidRPr="00B715AF" w:rsidRDefault="00DB26F4" w:rsidP="00DB26F4">
      <w:pPr>
        <w:pStyle w:val="SubsectionHead"/>
      </w:pPr>
      <w:r w:rsidRPr="00B715AF">
        <w:t>Australian refineries</w:t>
      </w:r>
    </w:p>
    <w:p w:rsidR="00DB26F4" w:rsidRPr="00B715AF" w:rsidRDefault="00DB26F4" w:rsidP="00DB26F4">
      <w:pPr>
        <w:pStyle w:val="subsection"/>
      </w:pPr>
      <w:r w:rsidRPr="00B715AF">
        <w:tab/>
        <w:t>(1)</w:t>
      </w:r>
      <w:r w:rsidRPr="00B715AF">
        <w:tab/>
        <w:t xml:space="preserve">A reference in this instrument to an </w:t>
      </w:r>
      <w:r w:rsidRPr="00B715AF">
        <w:rPr>
          <w:b/>
          <w:i/>
        </w:rPr>
        <w:t>Australian refinery</w:t>
      </w:r>
      <w:r w:rsidRPr="00B715AF">
        <w:t xml:space="preserve"> is a reference to a refinery at which a covered product is or was refined in Australia by a regulated entity.</w:t>
      </w:r>
    </w:p>
    <w:p w:rsidR="00DB26F4" w:rsidRPr="00B715AF" w:rsidRDefault="00DB26F4" w:rsidP="00DB26F4">
      <w:pPr>
        <w:pStyle w:val="subsection"/>
      </w:pPr>
      <w:r w:rsidRPr="00B715AF">
        <w:tab/>
        <w:t>(2)</w:t>
      </w:r>
      <w:r w:rsidRPr="00B715AF">
        <w:tab/>
        <w:t>The following paragraphs apply in relation to an Australian refinery:</w:t>
      </w:r>
    </w:p>
    <w:p w:rsidR="00DB26F4" w:rsidRPr="00B715AF" w:rsidRDefault="00DB26F4" w:rsidP="00DB26F4">
      <w:pPr>
        <w:pStyle w:val="paragraph"/>
      </w:pPr>
      <w:r w:rsidRPr="00B715AF">
        <w:tab/>
        <w:t>(a)</w:t>
      </w:r>
      <w:r w:rsidRPr="00B715AF">
        <w:tab/>
        <w:t xml:space="preserve">a covered product is </w:t>
      </w:r>
      <w:r w:rsidRPr="00B715AF">
        <w:rPr>
          <w:b/>
          <w:i/>
        </w:rPr>
        <w:t>input stock</w:t>
      </w:r>
      <w:r w:rsidRPr="00B715AF">
        <w:t xml:space="preserve"> if covered products of that kind are an input into refining undertaken at the refinery;</w:t>
      </w:r>
    </w:p>
    <w:p w:rsidR="00DB26F4" w:rsidRPr="00B715AF" w:rsidRDefault="00DB26F4" w:rsidP="00DB26F4">
      <w:pPr>
        <w:pStyle w:val="paragraph"/>
      </w:pPr>
      <w:r w:rsidRPr="00B715AF">
        <w:tab/>
        <w:t>(b)</w:t>
      </w:r>
      <w:r w:rsidRPr="00B715AF">
        <w:tab/>
        <w:t xml:space="preserve">a covered product is </w:t>
      </w:r>
      <w:r w:rsidRPr="00B715AF">
        <w:rPr>
          <w:b/>
          <w:i/>
        </w:rPr>
        <w:t>working stock</w:t>
      </w:r>
      <w:r w:rsidRPr="00B715AF">
        <w:t xml:space="preserve"> if covered products of that kind are an output from an intermediary stage of refining undertaken at the refinery, but are further refined at a later stage;</w:t>
      </w:r>
    </w:p>
    <w:p w:rsidR="00DB26F4" w:rsidRPr="00B715AF" w:rsidRDefault="00DB26F4" w:rsidP="00DB26F4">
      <w:pPr>
        <w:pStyle w:val="paragraph"/>
      </w:pPr>
      <w:r w:rsidRPr="00B715AF">
        <w:tab/>
        <w:t>(c)</w:t>
      </w:r>
      <w:r w:rsidRPr="00B715AF">
        <w:tab/>
        <w:t>a covered</w:t>
      </w:r>
      <w:r w:rsidRPr="00B715AF">
        <w:rPr>
          <w:lang w:eastAsia="en-US"/>
        </w:rPr>
        <w:t xml:space="preserve"> </w:t>
      </w:r>
      <w:r w:rsidRPr="00B715AF">
        <w:t xml:space="preserve">product is </w:t>
      </w:r>
      <w:r w:rsidRPr="00B715AF">
        <w:rPr>
          <w:b/>
          <w:i/>
        </w:rPr>
        <w:t>output stock</w:t>
      </w:r>
      <w:r w:rsidRPr="00B715AF">
        <w:t xml:space="preserve"> if covered products of that kind are an output from refining undertaken at the refinery, but are not working stock.</w:t>
      </w:r>
    </w:p>
    <w:p w:rsidR="00DB26F4" w:rsidRPr="00B715AF" w:rsidRDefault="00DB26F4" w:rsidP="00DB26F4">
      <w:pPr>
        <w:pStyle w:val="subsection"/>
      </w:pPr>
      <w:r w:rsidRPr="00B715AF">
        <w:tab/>
        <w:t>(3)</w:t>
      </w:r>
      <w:r w:rsidRPr="00B715AF">
        <w:tab/>
      </w:r>
      <w:r w:rsidR="00B715AF" w:rsidRPr="00B715AF">
        <w:t>Subsections (</w:t>
      </w:r>
      <w:r w:rsidRPr="00B715AF">
        <w:t>1) and (2)</w:t>
      </w:r>
      <w:r w:rsidR="00233015" w:rsidRPr="00B715AF">
        <w:t>, and item</w:t>
      </w:r>
      <w:r w:rsidR="00B715AF" w:rsidRPr="00B715AF">
        <w:t> </w:t>
      </w:r>
      <w:r w:rsidR="00233015" w:rsidRPr="00B715AF">
        <w:t>7 of the table in subsection</w:t>
      </w:r>
      <w:r w:rsidR="00B715AF" w:rsidRPr="00B715AF">
        <w:t> </w:t>
      </w:r>
      <w:r w:rsidR="00A06430" w:rsidRPr="00B715AF">
        <w:t>16</w:t>
      </w:r>
      <w:r w:rsidR="00233015" w:rsidRPr="00B715AF">
        <w:t>(1),</w:t>
      </w:r>
      <w:r w:rsidRPr="00B715AF">
        <w:t xml:space="preserve"> do not apply to recycling or re</w:t>
      </w:r>
      <w:r w:rsidR="00B715AF">
        <w:noBreakHyphen/>
      </w:r>
      <w:r w:rsidRPr="00B715AF">
        <w:t>refining GLOWS.</w:t>
      </w:r>
    </w:p>
    <w:p w:rsidR="00240A35" w:rsidRPr="00B715AF" w:rsidRDefault="00240A35" w:rsidP="004F0417">
      <w:pPr>
        <w:pStyle w:val="notetext"/>
        <w:rPr>
          <w:lang w:eastAsia="en-US"/>
        </w:rPr>
      </w:pPr>
      <w:r w:rsidRPr="00B715AF">
        <w:t>Note:</w:t>
      </w:r>
      <w:r w:rsidRPr="00B715AF">
        <w:tab/>
        <w:t xml:space="preserve">As a result of </w:t>
      </w:r>
      <w:r w:rsidR="00B715AF" w:rsidRPr="00B715AF">
        <w:t>subsection (</w:t>
      </w:r>
      <w:r w:rsidRPr="00B715AF">
        <w:t xml:space="preserve">3), </w:t>
      </w:r>
      <w:r w:rsidR="006B630B" w:rsidRPr="00B715AF">
        <w:t xml:space="preserve">if </w:t>
      </w:r>
      <w:r w:rsidR="004304E9" w:rsidRPr="00B715AF">
        <w:t xml:space="preserve">the </w:t>
      </w:r>
      <w:r w:rsidR="006B630B" w:rsidRPr="00B715AF">
        <w:t>recycling or re</w:t>
      </w:r>
      <w:r w:rsidR="00B715AF">
        <w:noBreakHyphen/>
      </w:r>
      <w:r w:rsidR="006B630B" w:rsidRPr="00B715AF">
        <w:t>refining of GLOWS is undertaken at an Australian refinery, item</w:t>
      </w:r>
      <w:r w:rsidR="00B715AF" w:rsidRPr="00B715AF">
        <w:t> </w:t>
      </w:r>
      <w:r w:rsidR="006B630B" w:rsidRPr="00B715AF">
        <w:t>8 of the table in subsection</w:t>
      </w:r>
      <w:r w:rsidR="00B715AF" w:rsidRPr="00B715AF">
        <w:t> </w:t>
      </w:r>
      <w:r w:rsidR="00A06430" w:rsidRPr="00B715AF">
        <w:t>16</w:t>
      </w:r>
      <w:r w:rsidR="006B630B" w:rsidRPr="00B715AF">
        <w:t>(1) does not apply to holding</w:t>
      </w:r>
      <w:r w:rsidR="00D80E97" w:rsidRPr="00B715AF">
        <w:t xml:space="preserve"> stock of</w:t>
      </w:r>
      <w:r w:rsidR="006B630B" w:rsidRPr="00B715AF">
        <w:t xml:space="preserve"> </w:t>
      </w:r>
      <w:r w:rsidRPr="00B715AF">
        <w:t xml:space="preserve">input into, or output from, </w:t>
      </w:r>
      <w:r w:rsidR="006B630B" w:rsidRPr="00B715AF">
        <w:t xml:space="preserve">the </w:t>
      </w:r>
      <w:r w:rsidRPr="00B715AF">
        <w:t>recycling or re</w:t>
      </w:r>
      <w:r w:rsidR="00B715AF">
        <w:noBreakHyphen/>
      </w:r>
      <w:r w:rsidRPr="00B715AF">
        <w:t xml:space="preserve">refining </w:t>
      </w:r>
      <w:r w:rsidR="006B630B" w:rsidRPr="00B715AF">
        <w:t xml:space="preserve">of </w:t>
      </w:r>
      <w:r w:rsidRPr="00B715AF">
        <w:t>GL</w:t>
      </w:r>
      <w:r w:rsidRPr="00B715AF">
        <w:rPr>
          <w:lang w:eastAsia="en-US"/>
        </w:rPr>
        <w:t>OWS</w:t>
      </w:r>
      <w:r w:rsidR="006B630B" w:rsidRPr="00B715AF">
        <w:rPr>
          <w:lang w:eastAsia="en-US"/>
        </w:rPr>
        <w:t>. Instead, item</w:t>
      </w:r>
      <w:r w:rsidR="00B715AF" w:rsidRPr="00B715AF">
        <w:rPr>
          <w:lang w:eastAsia="en-US"/>
        </w:rPr>
        <w:t> </w:t>
      </w:r>
      <w:r w:rsidR="006B630B" w:rsidRPr="00B715AF">
        <w:rPr>
          <w:lang w:eastAsia="en-US"/>
        </w:rPr>
        <w:t>5 of the table in subsection</w:t>
      </w:r>
      <w:r w:rsidR="00B715AF" w:rsidRPr="00B715AF">
        <w:rPr>
          <w:lang w:eastAsia="en-US"/>
        </w:rPr>
        <w:t> </w:t>
      </w:r>
      <w:r w:rsidR="00A06430" w:rsidRPr="00B715AF">
        <w:rPr>
          <w:lang w:eastAsia="en-US"/>
        </w:rPr>
        <w:t>17</w:t>
      </w:r>
      <w:r w:rsidR="006B630B" w:rsidRPr="00B715AF">
        <w:rPr>
          <w:lang w:eastAsia="en-US"/>
        </w:rPr>
        <w:t>(1) applies.</w:t>
      </w:r>
    </w:p>
    <w:p w:rsidR="00DB26F4" w:rsidRPr="00B715AF" w:rsidRDefault="00DB26F4" w:rsidP="00DB26F4">
      <w:pPr>
        <w:pStyle w:val="SubsectionHead"/>
      </w:pPr>
      <w:r w:rsidRPr="00B715AF">
        <w:t>Australian GLOWS facilities</w:t>
      </w:r>
    </w:p>
    <w:p w:rsidR="00DB26F4" w:rsidRPr="00B715AF" w:rsidRDefault="00DB26F4" w:rsidP="00DB26F4">
      <w:pPr>
        <w:pStyle w:val="subsection"/>
      </w:pPr>
      <w:r w:rsidRPr="00B715AF">
        <w:tab/>
        <w:t>(</w:t>
      </w:r>
      <w:r w:rsidR="00240A35" w:rsidRPr="00B715AF">
        <w:t>4</w:t>
      </w:r>
      <w:r w:rsidRPr="00B715AF">
        <w:t>)</w:t>
      </w:r>
      <w:r w:rsidRPr="00B715AF">
        <w:tab/>
        <w:t xml:space="preserve">An </w:t>
      </w:r>
      <w:r w:rsidRPr="00B715AF">
        <w:rPr>
          <w:b/>
          <w:i/>
        </w:rPr>
        <w:t>Australian GLOWS facility</w:t>
      </w:r>
      <w:r w:rsidRPr="00B715AF">
        <w:t xml:space="preserve"> is a refinery at which a GLOWS is recycled or re</w:t>
      </w:r>
      <w:r w:rsidR="00B715AF">
        <w:noBreakHyphen/>
      </w:r>
      <w:r w:rsidRPr="00B715AF">
        <w:t>refined in Australia by a regulated entity.</w:t>
      </w:r>
    </w:p>
    <w:p w:rsidR="00DB26F4" w:rsidRPr="00B715AF" w:rsidRDefault="00240A35" w:rsidP="00DB26F4">
      <w:pPr>
        <w:pStyle w:val="subsection"/>
      </w:pPr>
      <w:r w:rsidRPr="00B715AF">
        <w:tab/>
        <w:t>(5</w:t>
      </w:r>
      <w:r w:rsidR="00DB26F4" w:rsidRPr="00B715AF">
        <w:t>)</w:t>
      </w:r>
      <w:r w:rsidR="00DB26F4" w:rsidRPr="00B715AF">
        <w:tab/>
        <w:t>The following paragraphs apply in relation to an Australian GLOWS facility:</w:t>
      </w:r>
    </w:p>
    <w:p w:rsidR="00DB26F4" w:rsidRPr="00B715AF" w:rsidRDefault="00DB26F4" w:rsidP="00DB26F4">
      <w:pPr>
        <w:pStyle w:val="paragraph"/>
      </w:pPr>
      <w:r w:rsidRPr="00B715AF">
        <w:tab/>
        <w:t>(a)</w:t>
      </w:r>
      <w:r w:rsidRPr="00B715AF">
        <w:tab/>
        <w:t xml:space="preserve">a covered product is </w:t>
      </w:r>
      <w:r w:rsidRPr="00B715AF">
        <w:rPr>
          <w:b/>
          <w:i/>
        </w:rPr>
        <w:t>input stock</w:t>
      </w:r>
      <w:r w:rsidRPr="00B715AF">
        <w:t xml:space="preserve"> if covered products</w:t>
      </w:r>
      <w:r w:rsidR="003928D6" w:rsidRPr="00B715AF">
        <w:t xml:space="preserve"> </w:t>
      </w:r>
      <w:r w:rsidRPr="00B715AF">
        <w:t>of that kind are an input into recycling or re</w:t>
      </w:r>
      <w:r w:rsidR="00B715AF">
        <w:noBreakHyphen/>
      </w:r>
      <w:r w:rsidRPr="00B715AF">
        <w:t>refining</w:t>
      </w:r>
      <w:r w:rsidR="00BD2409" w:rsidRPr="00B715AF">
        <w:t xml:space="preserve"> of GLOWS</w:t>
      </w:r>
      <w:r w:rsidRPr="00B715AF">
        <w:t xml:space="preserve"> undertaken at the facility;</w:t>
      </w:r>
    </w:p>
    <w:p w:rsidR="00DB26F4" w:rsidRPr="00B715AF" w:rsidRDefault="00DB26F4" w:rsidP="00DB26F4">
      <w:pPr>
        <w:pStyle w:val="paragraph"/>
      </w:pPr>
      <w:r w:rsidRPr="00B715AF">
        <w:tab/>
        <w:t>(b)</w:t>
      </w:r>
      <w:r w:rsidRPr="00B715AF">
        <w:tab/>
        <w:t>a covered product</w:t>
      </w:r>
      <w:r w:rsidR="003928D6" w:rsidRPr="00B715AF">
        <w:t xml:space="preserve"> </w:t>
      </w:r>
      <w:r w:rsidRPr="00B715AF">
        <w:t xml:space="preserve">is </w:t>
      </w:r>
      <w:r w:rsidRPr="00B715AF">
        <w:rPr>
          <w:b/>
          <w:i/>
        </w:rPr>
        <w:t>working stock</w:t>
      </w:r>
      <w:r w:rsidRPr="00B715AF">
        <w:t xml:space="preserve"> if covered products</w:t>
      </w:r>
      <w:r w:rsidR="003928D6" w:rsidRPr="00B715AF">
        <w:t xml:space="preserve"> </w:t>
      </w:r>
      <w:r w:rsidRPr="00B715AF">
        <w:t>of that kind are an output from an intermediary stage of recycling or re</w:t>
      </w:r>
      <w:r w:rsidR="00B715AF">
        <w:noBreakHyphen/>
      </w:r>
      <w:r w:rsidRPr="00B715AF">
        <w:t xml:space="preserve">refining </w:t>
      </w:r>
      <w:r w:rsidR="00BD2409" w:rsidRPr="00B715AF">
        <w:t xml:space="preserve">of GLOWS </w:t>
      </w:r>
      <w:r w:rsidRPr="00B715AF">
        <w:t>undertaken at the facility, but are further recycled or re</w:t>
      </w:r>
      <w:r w:rsidR="00B715AF">
        <w:noBreakHyphen/>
      </w:r>
      <w:r w:rsidRPr="00B715AF">
        <w:t>refined at a later stage;</w:t>
      </w:r>
    </w:p>
    <w:p w:rsidR="00DB26F4" w:rsidRPr="00B715AF" w:rsidRDefault="00DB26F4" w:rsidP="00DB26F4">
      <w:pPr>
        <w:pStyle w:val="paragraph"/>
      </w:pPr>
      <w:r w:rsidRPr="00B715AF">
        <w:tab/>
        <w:t>(c)</w:t>
      </w:r>
      <w:r w:rsidRPr="00B715AF">
        <w:tab/>
        <w:t>a covered</w:t>
      </w:r>
      <w:r w:rsidRPr="00B715AF">
        <w:rPr>
          <w:lang w:eastAsia="en-US"/>
        </w:rPr>
        <w:t xml:space="preserve"> </w:t>
      </w:r>
      <w:r w:rsidRPr="00B715AF">
        <w:t xml:space="preserve">product is </w:t>
      </w:r>
      <w:r w:rsidRPr="00B715AF">
        <w:rPr>
          <w:b/>
          <w:i/>
        </w:rPr>
        <w:t>output stock</w:t>
      </w:r>
      <w:r w:rsidRPr="00B715AF">
        <w:t xml:space="preserve"> if covered products</w:t>
      </w:r>
      <w:r w:rsidR="003928D6" w:rsidRPr="00B715AF">
        <w:t xml:space="preserve"> </w:t>
      </w:r>
      <w:r w:rsidRPr="00B715AF">
        <w:t>of that kind are an output from recycling or re</w:t>
      </w:r>
      <w:r w:rsidR="00B715AF">
        <w:noBreakHyphen/>
      </w:r>
      <w:r w:rsidRPr="00B715AF">
        <w:t xml:space="preserve">refining </w:t>
      </w:r>
      <w:r w:rsidR="00BD2409" w:rsidRPr="00B715AF">
        <w:t xml:space="preserve">of GLOWS </w:t>
      </w:r>
      <w:r w:rsidRPr="00B715AF">
        <w:t>undertaken at the facility, but are not working stock.</w:t>
      </w:r>
    </w:p>
    <w:p w:rsidR="003A2315" w:rsidRPr="00B715AF" w:rsidRDefault="003A2315" w:rsidP="003A2315">
      <w:pPr>
        <w:pStyle w:val="ActHead3"/>
        <w:pageBreakBefore/>
      </w:pPr>
      <w:bookmarkStart w:id="20" w:name="_Toc497725296"/>
      <w:r w:rsidRPr="00B715AF">
        <w:rPr>
          <w:rStyle w:val="CharDivNo"/>
        </w:rPr>
        <w:t>Division</w:t>
      </w:r>
      <w:r w:rsidR="00B715AF" w:rsidRPr="00B715AF">
        <w:rPr>
          <w:rStyle w:val="CharDivNo"/>
        </w:rPr>
        <w:t> </w:t>
      </w:r>
      <w:r w:rsidR="00F33149" w:rsidRPr="00B715AF">
        <w:rPr>
          <w:rStyle w:val="CharDivNo"/>
        </w:rPr>
        <w:t>3</w:t>
      </w:r>
      <w:r w:rsidRPr="00B715AF">
        <w:t>—</w:t>
      </w:r>
      <w:r w:rsidRPr="00B715AF">
        <w:rPr>
          <w:rStyle w:val="CharDivText"/>
        </w:rPr>
        <w:t>Reports</w:t>
      </w:r>
      <w:bookmarkEnd w:id="20"/>
    </w:p>
    <w:p w:rsidR="0076164A" w:rsidRPr="00B715AF" w:rsidRDefault="0076164A" w:rsidP="0076164A">
      <w:pPr>
        <w:pStyle w:val="ActHead4"/>
      </w:pPr>
      <w:bookmarkStart w:id="21" w:name="_Toc497725297"/>
      <w:r w:rsidRPr="00B715AF">
        <w:rPr>
          <w:rStyle w:val="CharSubdNo"/>
        </w:rPr>
        <w:t>Subdivision A</w:t>
      </w:r>
      <w:r w:rsidRPr="00B715AF">
        <w:t>—</w:t>
      </w:r>
      <w:r w:rsidRPr="00B715AF">
        <w:rPr>
          <w:rStyle w:val="CharSubdText"/>
        </w:rPr>
        <w:t>Scope of this Division</w:t>
      </w:r>
      <w:bookmarkEnd w:id="21"/>
    </w:p>
    <w:p w:rsidR="00F33149" w:rsidRPr="00B715AF" w:rsidRDefault="00A06430" w:rsidP="00F33149">
      <w:pPr>
        <w:pStyle w:val="ActHead5"/>
      </w:pPr>
      <w:bookmarkStart w:id="22" w:name="_Toc497725298"/>
      <w:r w:rsidRPr="00B715AF">
        <w:rPr>
          <w:rStyle w:val="CharSectno"/>
        </w:rPr>
        <w:t>13</w:t>
      </w:r>
      <w:r w:rsidR="00F33149" w:rsidRPr="00B715AF">
        <w:t xml:space="preserve">  </w:t>
      </w:r>
      <w:r w:rsidR="0076164A" w:rsidRPr="00B715AF">
        <w:t>R</w:t>
      </w:r>
      <w:r w:rsidR="00F33149" w:rsidRPr="00B715AF">
        <w:t>egulated entities</w:t>
      </w:r>
      <w:bookmarkEnd w:id="22"/>
    </w:p>
    <w:p w:rsidR="00F33149" w:rsidRPr="00B715AF" w:rsidRDefault="00F33149" w:rsidP="00F33149">
      <w:pPr>
        <w:pStyle w:val="subsection"/>
      </w:pPr>
      <w:r w:rsidRPr="00B715AF">
        <w:tab/>
      </w:r>
      <w:r w:rsidRPr="00B715AF">
        <w:tab/>
        <w:t>This Division applies to a covered activity undertaken by a regulated entity.</w:t>
      </w:r>
    </w:p>
    <w:p w:rsidR="00F33149" w:rsidRPr="00B715AF" w:rsidRDefault="00F33149" w:rsidP="00F33149">
      <w:pPr>
        <w:pStyle w:val="notetext"/>
      </w:pPr>
      <w:r w:rsidRPr="00B715AF">
        <w:t>Note:</w:t>
      </w:r>
      <w:r w:rsidRPr="00B715AF">
        <w:tab/>
        <w:t>See also section</w:t>
      </w:r>
      <w:r w:rsidR="00B715AF" w:rsidRPr="00B715AF">
        <w:t> </w:t>
      </w:r>
      <w:r w:rsidR="00A06430" w:rsidRPr="00B715AF">
        <w:t>20</w:t>
      </w:r>
      <w:r w:rsidRPr="00B715AF">
        <w:t xml:space="preserve"> (which extends the application of this Part to persons who are not regulated entities).</w:t>
      </w:r>
    </w:p>
    <w:p w:rsidR="00D44927" w:rsidRPr="00B715AF" w:rsidRDefault="00A06430" w:rsidP="00D44927">
      <w:pPr>
        <w:pStyle w:val="ActHead5"/>
      </w:pPr>
      <w:bookmarkStart w:id="23" w:name="_Toc497725299"/>
      <w:r w:rsidRPr="00B715AF">
        <w:rPr>
          <w:rStyle w:val="CharSectno"/>
        </w:rPr>
        <w:t>14</w:t>
      </w:r>
      <w:r w:rsidR="00D44927" w:rsidRPr="00B715AF">
        <w:t xml:space="preserve">  </w:t>
      </w:r>
      <w:r w:rsidR="0076164A" w:rsidRPr="00B715AF">
        <w:t>N</w:t>
      </w:r>
      <w:r w:rsidR="00D44927" w:rsidRPr="00B715AF">
        <w:t>on</w:t>
      </w:r>
      <w:r w:rsidR="00B715AF">
        <w:noBreakHyphen/>
      </w:r>
      <w:r w:rsidR="00D44927" w:rsidRPr="00B715AF">
        <w:t>reportable natural gas</w:t>
      </w:r>
      <w:r w:rsidR="00C31B02" w:rsidRPr="00B715AF">
        <w:t xml:space="preserve"> and refining</w:t>
      </w:r>
      <w:r w:rsidR="00B715AF">
        <w:noBreakHyphen/>
      </w:r>
      <w:r w:rsidR="00D44927" w:rsidRPr="00B715AF">
        <w:t>related gas</w:t>
      </w:r>
      <w:r w:rsidR="00B65FF9" w:rsidRPr="00B715AF">
        <w:t xml:space="preserve"> (</w:t>
      </w:r>
      <w:r w:rsidR="00C31B02" w:rsidRPr="00B715AF">
        <w:t>other</w:t>
      </w:r>
      <w:r w:rsidR="00B65FF9" w:rsidRPr="00B715AF">
        <w:t>)</w:t>
      </w:r>
      <w:bookmarkEnd w:id="23"/>
    </w:p>
    <w:p w:rsidR="00E0531F" w:rsidRPr="00B715AF" w:rsidRDefault="00D44927" w:rsidP="00E0531F">
      <w:pPr>
        <w:pStyle w:val="subsection"/>
      </w:pPr>
      <w:r w:rsidRPr="00B715AF">
        <w:tab/>
        <w:t>(1)</w:t>
      </w:r>
      <w:r w:rsidRPr="00B715AF">
        <w:tab/>
        <w:t>This Division does not apply to</w:t>
      </w:r>
      <w:r w:rsidR="00E0531F" w:rsidRPr="00B715AF">
        <w:t>:</w:t>
      </w:r>
    </w:p>
    <w:p w:rsidR="00D44927" w:rsidRPr="00B715AF" w:rsidRDefault="00E0531F" w:rsidP="00E0531F">
      <w:pPr>
        <w:pStyle w:val="paragraph"/>
      </w:pPr>
      <w:r w:rsidRPr="00B715AF">
        <w:tab/>
        <w:t>(a)</w:t>
      </w:r>
      <w:r w:rsidRPr="00B715AF">
        <w:tab/>
      </w:r>
      <w:r w:rsidR="00D44927" w:rsidRPr="00B715AF">
        <w:t>natural ga</w:t>
      </w:r>
      <w:r w:rsidRPr="00B715AF">
        <w:t>s other than natural gas liquid; or</w:t>
      </w:r>
    </w:p>
    <w:p w:rsidR="00E0531F" w:rsidRPr="00B715AF" w:rsidRDefault="00E0531F" w:rsidP="00E0531F">
      <w:pPr>
        <w:pStyle w:val="paragraph"/>
      </w:pPr>
      <w:r w:rsidRPr="00B715AF">
        <w:tab/>
        <w:t>(b)</w:t>
      </w:r>
      <w:r w:rsidRPr="00B715AF">
        <w:tab/>
        <w:t>refin</w:t>
      </w:r>
      <w:r w:rsidR="00F33149" w:rsidRPr="00B715AF">
        <w:t>ing</w:t>
      </w:r>
      <w:r w:rsidR="00B715AF">
        <w:noBreakHyphen/>
      </w:r>
      <w:r w:rsidR="00D44927" w:rsidRPr="00B715AF">
        <w:t>related gas</w:t>
      </w:r>
      <w:r w:rsidR="00B65FF9" w:rsidRPr="00B715AF">
        <w:t xml:space="preserve"> (</w:t>
      </w:r>
      <w:r w:rsidRPr="00B715AF">
        <w:t>other</w:t>
      </w:r>
      <w:r w:rsidR="00B65FF9" w:rsidRPr="00B715AF">
        <w:t>)</w:t>
      </w:r>
      <w:r w:rsidRPr="00B715AF">
        <w:t>.</w:t>
      </w:r>
    </w:p>
    <w:p w:rsidR="00D44927" w:rsidRPr="00B715AF" w:rsidRDefault="00D44927" w:rsidP="00D44927">
      <w:pPr>
        <w:pStyle w:val="subsection"/>
      </w:pPr>
      <w:r w:rsidRPr="00B715AF">
        <w:tab/>
        <w:t>(</w:t>
      </w:r>
      <w:r w:rsidR="00E0531F" w:rsidRPr="00B715AF">
        <w:t>2</w:t>
      </w:r>
      <w:r w:rsidRPr="00B715AF">
        <w:t>)</w:t>
      </w:r>
      <w:r w:rsidRPr="00B715AF">
        <w:tab/>
      </w:r>
      <w:r w:rsidR="00B715AF" w:rsidRPr="00B715AF">
        <w:t>Subsection (</w:t>
      </w:r>
      <w:r w:rsidR="009323FD" w:rsidRPr="00B715AF">
        <w:t>1</w:t>
      </w:r>
      <w:r w:rsidRPr="00B715AF">
        <w:t>) does not apply</w:t>
      </w:r>
      <w:r w:rsidR="009323FD" w:rsidRPr="00B715AF">
        <w:t>, in relation to refining</w:t>
      </w:r>
      <w:r w:rsidR="00B715AF">
        <w:noBreakHyphen/>
      </w:r>
      <w:r w:rsidR="009323FD" w:rsidRPr="00B715AF">
        <w:t>related gas</w:t>
      </w:r>
      <w:r w:rsidR="00B65FF9" w:rsidRPr="00B715AF">
        <w:t xml:space="preserve"> (</w:t>
      </w:r>
      <w:r w:rsidR="009323FD" w:rsidRPr="00B715AF">
        <w:t>other</w:t>
      </w:r>
      <w:r w:rsidR="00B65FF9" w:rsidRPr="00B715AF">
        <w:t>)</w:t>
      </w:r>
      <w:r w:rsidR="009323FD" w:rsidRPr="00B715AF">
        <w:t xml:space="preserve"> (including refining</w:t>
      </w:r>
      <w:r w:rsidR="00B715AF">
        <w:noBreakHyphen/>
      </w:r>
      <w:r w:rsidR="009323FD" w:rsidRPr="00B715AF">
        <w:t>related gas</w:t>
      </w:r>
      <w:r w:rsidR="00B65FF9" w:rsidRPr="00B715AF">
        <w:t xml:space="preserve"> (</w:t>
      </w:r>
      <w:r w:rsidR="009323FD" w:rsidRPr="00B715AF">
        <w:t>other</w:t>
      </w:r>
      <w:r w:rsidR="00B65FF9" w:rsidRPr="00B715AF">
        <w:t>)</w:t>
      </w:r>
      <w:r w:rsidR="009323FD" w:rsidRPr="00B715AF">
        <w:t xml:space="preserve"> that is natural gas),</w:t>
      </w:r>
      <w:r w:rsidRPr="00B715AF">
        <w:t xml:space="preserve"> to:</w:t>
      </w:r>
    </w:p>
    <w:p w:rsidR="00D44927" w:rsidRPr="00B715AF" w:rsidRDefault="00D44927" w:rsidP="00D44927">
      <w:pPr>
        <w:pStyle w:val="paragraph"/>
      </w:pPr>
      <w:r w:rsidRPr="00B715AF">
        <w:tab/>
        <w:t>(a)</w:t>
      </w:r>
      <w:r w:rsidRPr="00B715AF">
        <w:tab/>
        <w:t>items</w:t>
      </w:r>
      <w:r w:rsidR="00B715AF" w:rsidRPr="00B715AF">
        <w:t> </w:t>
      </w:r>
      <w:r w:rsidRPr="00B715AF">
        <w:t>7 and 8 of th</w:t>
      </w:r>
      <w:r w:rsidR="009323FD" w:rsidRPr="00B715AF">
        <w:t>e table in subsection</w:t>
      </w:r>
      <w:r w:rsidR="00B715AF" w:rsidRPr="00B715AF">
        <w:t> </w:t>
      </w:r>
      <w:r w:rsidR="00A06430" w:rsidRPr="00B715AF">
        <w:t>16</w:t>
      </w:r>
      <w:r w:rsidR="009323FD" w:rsidRPr="00B715AF">
        <w:t>(1); and</w:t>
      </w:r>
    </w:p>
    <w:p w:rsidR="009323FD" w:rsidRPr="00B715AF" w:rsidRDefault="009323FD" w:rsidP="00D44927">
      <w:pPr>
        <w:pStyle w:val="paragraph"/>
      </w:pPr>
      <w:r w:rsidRPr="00B715AF">
        <w:tab/>
        <w:t>(b)</w:t>
      </w:r>
      <w:r w:rsidRPr="00B715AF">
        <w:tab/>
        <w:t>paragraph</w:t>
      </w:r>
      <w:r w:rsidR="00B715AF" w:rsidRPr="00B715AF">
        <w:t> </w:t>
      </w:r>
      <w:r w:rsidR="00A06430" w:rsidRPr="00B715AF">
        <w:t>16</w:t>
      </w:r>
      <w:r w:rsidRPr="00B715AF">
        <w:t>(</w:t>
      </w:r>
      <w:r w:rsidR="00341738" w:rsidRPr="00B715AF">
        <w:t>5</w:t>
      </w:r>
      <w:r w:rsidRPr="00B715AF">
        <w:t>)(d).</w:t>
      </w:r>
    </w:p>
    <w:p w:rsidR="0076164A" w:rsidRPr="00B715AF" w:rsidRDefault="00A06430" w:rsidP="0076164A">
      <w:pPr>
        <w:pStyle w:val="ActHead5"/>
      </w:pPr>
      <w:bookmarkStart w:id="24" w:name="_Toc497725300"/>
      <w:r w:rsidRPr="00B715AF">
        <w:rPr>
          <w:rStyle w:val="CharSectno"/>
        </w:rPr>
        <w:t>15</w:t>
      </w:r>
      <w:r w:rsidR="0076164A" w:rsidRPr="00B715AF">
        <w:t xml:space="preserve">  Holding stock—</w:t>
      </w:r>
      <w:r w:rsidR="008B43A4" w:rsidRPr="00B715AF">
        <w:t>entity that</w:t>
      </w:r>
      <w:r w:rsidR="0076164A" w:rsidRPr="00B715AF">
        <w:t xml:space="preserve"> stores covered product disregarded if another entity holds contractual right to take possession</w:t>
      </w:r>
      <w:bookmarkEnd w:id="24"/>
    </w:p>
    <w:p w:rsidR="0076164A" w:rsidRPr="00B715AF" w:rsidRDefault="0076164A" w:rsidP="0076164A">
      <w:pPr>
        <w:pStyle w:val="subsection"/>
      </w:pPr>
      <w:r w:rsidRPr="00B715AF">
        <w:tab/>
      </w:r>
      <w:r w:rsidRPr="00B715AF">
        <w:tab/>
        <w:t xml:space="preserve">This Division does not apply to a regulated entity holding stock of a covered product by keeping a covered product in storage (as mentioned in </w:t>
      </w:r>
      <w:r w:rsidR="00B715AF" w:rsidRPr="00B715AF">
        <w:t>paragraph (</w:t>
      </w:r>
      <w:r w:rsidRPr="00B715AF">
        <w:t xml:space="preserve">a) of the definition of </w:t>
      </w:r>
      <w:r w:rsidRPr="00B715AF">
        <w:rPr>
          <w:b/>
          <w:i/>
        </w:rPr>
        <w:t>holding stock</w:t>
      </w:r>
      <w:r w:rsidRPr="00B715AF">
        <w:t xml:space="preserve"> in subsection</w:t>
      </w:r>
      <w:r w:rsidR="00B715AF" w:rsidRPr="00B715AF">
        <w:t> </w:t>
      </w:r>
      <w:r w:rsidRPr="00B715AF">
        <w:t xml:space="preserve">5(1) of the Act) if another regulated entity holds a contractual right to take possession of the covered product (as mentioned in </w:t>
      </w:r>
      <w:r w:rsidR="00B715AF" w:rsidRPr="00B715AF">
        <w:t>paragraph (</w:t>
      </w:r>
      <w:r w:rsidRPr="00B715AF">
        <w:t>b) of that definition) in a circumstance prescribed by section</w:t>
      </w:r>
      <w:r w:rsidR="00B715AF" w:rsidRPr="00B715AF">
        <w:t> </w:t>
      </w:r>
      <w:r w:rsidR="00A06430" w:rsidRPr="00B715AF">
        <w:t>7</w:t>
      </w:r>
      <w:r w:rsidRPr="00B715AF">
        <w:t xml:space="preserve"> of this instrument.</w:t>
      </w:r>
    </w:p>
    <w:p w:rsidR="0076164A" w:rsidRPr="00B715AF" w:rsidRDefault="0076164A" w:rsidP="0076164A">
      <w:pPr>
        <w:pStyle w:val="ActHead4"/>
      </w:pPr>
      <w:bookmarkStart w:id="25" w:name="_Toc497725301"/>
      <w:r w:rsidRPr="00B715AF">
        <w:rPr>
          <w:rStyle w:val="CharSubdNo"/>
        </w:rPr>
        <w:t>Subdivision B</w:t>
      </w:r>
      <w:r w:rsidRPr="00B715AF">
        <w:t>—</w:t>
      </w:r>
      <w:r w:rsidRPr="00B715AF">
        <w:rPr>
          <w:rStyle w:val="CharSubdText"/>
        </w:rPr>
        <w:t>Reports</w:t>
      </w:r>
      <w:bookmarkEnd w:id="25"/>
    </w:p>
    <w:p w:rsidR="003A2315" w:rsidRPr="00B715AF" w:rsidRDefault="00A06430" w:rsidP="003A2315">
      <w:pPr>
        <w:pStyle w:val="ActHead5"/>
      </w:pPr>
      <w:bookmarkStart w:id="26" w:name="_Toc497725302"/>
      <w:r w:rsidRPr="00B715AF">
        <w:rPr>
          <w:rStyle w:val="CharSectno"/>
        </w:rPr>
        <w:t>16</w:t>
      </w:r>
      <w:r w:rsidR="003A2315" w:rsidRPr="00B715AF">
        <w:t xml:space="preserve">  Reports—general</w:t>
      </w:r>
      <w:bookmarkEnd w:id="26"/>
    </w:p>
    <w:p w:rsidR="00CB4093" w:rsidRPr="00B715AF" w:rsidRDefault="00CB4093" w:rsidP="00CB4093">
      <w:pPr>
        <w:pStyle w:val="subsection"/>
      </w:pPr>
      <w:r w:rsidRPr="00B715AF">
        <w:tab/>
        <w:t>(1)</w:t>
      </w:r>
      <w:r w:rsidRPr="00B715AF">
        <w:tab/>
        <w:t>For the purposes of section</w:t>
      </w:r>
      <w:r w:rsidR="00B715AF" w:rsidRPr="00B715AF">
        <w:t> </w:t>
      </w:r>
      <w:r w:rsidRPr="00B715AF">
        <w:t>11 of the Act:</w:t>
      </w:r>
    </w:p>
    <w:p w:rsidR="00003A5E" w:rsidRPr="00B715AF" w:rsidRDefault="00CB4093" w:rsidP="00CB4093">
      <w:pPr>
        <w:pStyle w:val="paragraph"/>
      </w:pPr>
      <w:r w:rsidRPr="00B715AF">
        <w:tab/>
        <w:t>(a)</w:t>
      </w:r>
      <w:r w:rsidRPr="00B715AF">
        <w:tab/>
        <w:t xml:space="preserve">a report must be given under that section if </w:t>
      </w:r>
      <w:r w:rsidR="00003A5E" w:rsidRPr="00B715AF">
        <w:t xml:space="preserve">a covered activity of the kind mentioned in column 1 of an item of the </w:t>
      </w:r>
      <w:r w:rsidR="00AE27EA" w:rsidRPr="00B715AF">
        <w:t xml:space="preserve">following </w:t>
      </w:r>
      <w:r w:rsidR="00003A5E" w:rsidRPr="00B715AF">
        <w:t>table is undertaken:</w:t>
      </w:r>
    </w:p>
    <w:p w:rsidR="00003A5E" w:rsidRPr="00B715AF" w:rsidRDefault="00CB4093" w:rsidP="00CB4093">
      <w:pPr>
        <w:pStyle w:val="paragraphsub"/>
      </w:pPr>
      <w:r w:rsidRPr="00B715AF">
        <w:tab/>
        <w:t>(i</w:t>
      </w:r>
      <w:r w:rsidR="00003A5E" w:rsidRPr="00B715AF">
        <w:t>)</w:t>
      </w:r>
      <w:r w:rsidR="00003A5E" w:rsidRPr="00B715AF">
        <w:tab/>
        <w:t>in relation to the kind of covered product mentioned in column 1 of that item; and</w:t>
      </w:r>
    </w:p>
    <w:p w:rsidR="00CB4093" w:rsidRPr="00B715AF" w:rsidRDefault="00CB4093" w:rsidP="00CB4093">
      <w:pPr>
        <w:pStyle w:val="paragraphsub"/>
      </w:pPr>
      <w:r w:rsidRPr="00B715AF">
        <w:tab/>
        <w:t>(ii)</w:t>
      </w:r>
      <w:r w:rsidRPr="00B715AF">
        <w:tab/>
        <w:t>in Australia; and</w:t>
      </w:r>
    </w:p>
    <w:p w:rsidR="003A2315" w:rsidRPr="00B715AF" w:rsidRDefault="00CB4093" w:rsidP="00CB4093">
      <w:pPr>
        <w:pStyle w:val="paragraph"/>
      </w:pPr>
      <w:r w:rsidRPr="00B715AF">
        <w:tab/>
        <w:t>(b)</w:t>
      </w:r>
      <w:r w:rsidRPr="00B715AF">
        <w:tab/>
        <w:t xml:space="preserve">the report must be given </w:t>
      </w:r>
      <w:r w:rsidR="003A2315" w:rsidRPr="00B715AF">
        <w:t>by the person me</w:t>
      </w:r>
      <w:r w:rsidRPr="00B715AF">
        <w:t>ntioned in column 2 of the item; and</w:t>
      </w:r>
    </w:p>
    <w:p w:rsidR="003A2315" w:rsidRPr="00B715AF" w:rsidRDefault="00CB4093" w:rsidP="00CB4093">
      <w:pPr>
        <w:pStyle w:val="paragraph"/>
      </w:pPr>
      <w:r w:rsidRPr="00B715AF">
        <w:tab/>
        <w:t>(</w:t>
      </w:r>
      <w:r w:rsidR="00AE27EA" w:rsidRPr="00B715AF">
        <w:t>c</w:t>
      </w:r>
      <w:r w:rsidRPr="00B715AF">
        <w:t>)</w:t>
      </w:r>
      <w:r w:rsidRPr="00B715AF">
        <w:tab/>
        <w:t xml:space="preserve">the report must include the fuel information </w:t>
      </w:r>
      <w:r w:rsidR="003A2315" w:rsidRPr="00B715AF">
        <w:t>mentioned in column 3 of the item</w:t>
      </w:r>
      <w:r w:rsidR="00341738" w:rsidRPr="00B715AF">
        <w:t xml:space="preserve">, in accordance with </w:t>
      </w:r>
      <w:r w:rsidR="00B715AF" w:rsidRPr="00B715AF">
        <w:t>subsection (</w:t>
      </w:r>
      <w:r w:rsidR="00341738" w:rsidRPr="00B715AF">
        <w:t>2) of this section</w:t>
      </w:r>
      <w:r w:rsidR="003A2315" w:rsidRPr="00B715AF">
        <w:t>.</w:t>
      </w:r>
    </w:p>
    <w:p w:rsidR="003A2315" w:rsidRPr="00B715AF" w:rsidRDefault="003A2315" w:rsidP="003A2315">
      <w:pPr>
        <w:pStyle w:val="Tabletext"/>
      </w:pPr>
    </w:p>
    <w:tbl>
      <w:tblPr>
        <w:tblW w:w="807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2126"/>
        <w:gridCol w:w="1701"/>
        <w:gridCol w:w="3543"/>
      </w:tblGrid>
      <w:tr w:rsidR="003A2315" w:rsidRPr="00B715AF" w:rsidTr="00DE2231">
        <w:trPr>
          <w:tblHeader/>
        </w:trPr>
        <w:tc>
          <w:tcPr>
            <w:tcW w:w="8074" w:type="dxa"/>
            <w:gridSpan w:val="4"/>
            <w:tcBorders>
              <w:top w:val="single" w:sz="12" w:space="0" w:color="auto"/>
              <w:bottom w:val="single" w:sz="6" w:space="0" w:color="auto"/>
            </w:tcBorders>
            <w:shd w:val="clear" w:color="auto" w:fill="auto"/>
          </w:tcPr>
          <w:p w:rsidR="003A2315" w:rsidRPr="00B715AF" w:rsidRDefault="003A2315" w:rsidP="00E530F6">
            <w:pPr>
              <w:pStyle w:val="TableHeading"/>
            </w:pPr>
            <w:r w:rsidRPr="00B715AF">
              <w:t>Reports—production, processing, refining and wholesaling</w:t>
            </w:r>
          </w:p>
        </w:tc>
      </w:tr>
      <w:tr w:rsidR="00CB4093" w:rsidRPr="00B715AF" w:rsidTr="00DE2231">
        <w:trPr>
          <w:trHeight w:val="472"/>
          <w:tblHeader/>
        </w:trPr>
        <w:tc>
          <w:tcPr>
            <w:tcW w:w="704" w:type="dxa"/>
            <w:tcBorders>
              <w:top w:val="single" w:sz="6" w:space="0" w:color="auto"/>
              <w:bottom w:val="single" w:sz="12" w:space="0" w:color="auto"/>
            </w:tcBorders>
            <w:shd w:val="clear" w:color="auto" w:fill="auto"/>
          </w:tcPr>
          <w:p w:rsidR="00CB4093" w:rsidRPr="00B715AF" w:rsidRDefault="00CB4093" w:rsidP="00E530F6">
            <w:pPr>
              <w:pStyle w:val="TableHeading"/>
            </w:pPr>
            <w:r w:rsidRPr="00B715AF">
              <w:t>Item</w:t>
            </w:r>
          </w:p>
        </w:tc>
        <w:tc>
          <w:tcPr>
            <w:tcW w:w="2126" w:type="dxa"/>
            <w:tcBorders>
              <w:top w:val="single" w:sz="6" w:space="0" w:color="auto"/>
              <w:bottom w:val="single" w:sz="12" w:space="0" w:color="auto"/>
            </w:tcBorders>
            <w:shd w:val="clear" w:color="auto" w:fill="auto"/>
          </w:tcPr>
          <w:p w:rsidR="00CB4093" w:rsidRPr="00B715AF" w:rsidRDefault="00CB4093" w:rsidP="00E530F6">
            <w:pPr>
              <w:pStyle w:val="TableHeading"/>
            </w:pPr>
            <w:r w:rsidRPr="00B715AF">
              <w:t>Column 1</w:t>
            </w:r>
          </w:p>
          <w:p w:rsidR="00CB4093" w:rsidRPr="00B715AF" w:rsidRDefault="00CB4093" w:rsidP="00E530F6">
            <w:pPr>
              <w:pStyle w:val="TableHeading"/>
            </w:pPr>
            <w:r w:rsidRPr="00B715AF">
              <w:t>Covered activity</w:t>
            </w:r>
            <w:r w:rsidR="00075F98" w:rsidRPr="00B715AF">
              <w:t xml:space="preserve"> and covered product</w:t>
            </w:r>
          </w:p>
        </w:tc>
        <w:tc>
          <w:tcPr>
            <w:tcW w:w="1701" w:type="dxa"/>
            <w:tcBorders>
              <w:top w:val="single" w:sz="6" w:space="0" w:color="auto"/>
              <w:bottom w:val="single" w:sz="12" w:space="0" w:color="auto"/>
            </w:tcBorders>
            <w:shd w:val="clear" w:color="auto" w:fill="auto"/>
          </w:tcPr>
          <w:p w:rsidR="00CB4093" w:rsidRPr="00B715AF" w:rsidRDefault="00CB4093" w:rsidP="00E530F6">
            <w:pPr>
              <w:pStyle w:val="TableHeading"/>
            </w:pPr>
            <w:r w:rsidRPr="00B715AF">
              <w:t>Column 2</w:t>
            </w:r>
          </w:p>
          <w:p w:rsidR="00CB4093" w:rsidRPr="00B715AF" w:rsidRDefault="00CB4093" w:rsidP="00E530F6">
            <w:pPr>
              <w:pStyle w:val="TableHeading"/>
            </w:pPr>
            <w:r w:rsidRPr="00B715AF">
              <w:t>Reporter</w:t>
            </w:r>
          </w:p>
        </w:tc>
        <w:tc>
          <w:tcPr>
            <w:tcW w:w="3543" w:type="dxa"/>
            <w:tcBorders>
              <w:top w:val="single" w:sz="6" w:space="0" w:color="auto"/>
              <w:bottom w:val="single" w:sz="12" w:space="0" w:color="auto"/>
            </w:tcBorders>
            <w:shd w:val="clear" w:color="auto" w:fill="auto"/>
          </w:tcPr>
          <w:p w:rsidR="00CB4093" w:rsidRPr="00B715AF" w:rsidRDefault="00CB4093" w:rsidP="00E530F6">
            <w:pPr>
              <w:pStyle w:val="TableHeading"/>
            </w:pPr>
            <w:r w:rsidRPr="00B715AF">
              <w:t>Column 3</w:t>
            </w:r>
          </w:p>
          <w:p w:rsidR="00CB4093" w:rsidRPr="00B715AF" w:rsidRDefault="00CB4093" w:rsidP="00E530F6">
            <w:pPr>
              <w:pStyle w:val="TableHeading"/>
            </w:pPr>
            <w:r w:rsidRPr="00B715AF">
              <w:t>Fuel information</w:t>
            </w:r>
          </w:p>
        </w:tc>
      </w:tr>
      <w:tr w:rsidR="00CB4093" w:rsidRPr="00B715AF" w:rsidTr="00DE2231">
        <w:tc>
          <w:tcPr>
            <w:tcW w:w="704" w:type="dxa"/>
            <w:tcBorders>
              <w:top w:val="single" w:sz="12" w:space="0" w:color="auto"/>
            </w:tcBorders>
            <w:shd w:val="clear" w:color="auto" w:fill="auto"/>
          </w:tcPr>
          <w:p w:rsidR="00CB4093" w:rsidRPr="00B715AF" w:rsidRDefault="003A6626" w:rsidP="00E530F6">
            <w:pPr>
              <w:pStyle w:val="Tabletext"/>
            </w:pPr>
            <w:r w:rsidRPr="00B715AF">
              <w:t>1</w:t>
            </w:r>
          </w:p>
        </w:tc>
        <w:tc>
          <w:tcPr>
            <w:tcW w:w="2126" w:type="dxa"/>
            <w:tcBorders>
              <w:top w:val="single" w:sz="12" w:space="0" w:color="auto"/>
            </w:tcBorders>
            <w:shd w:val="clear" w:color="auto" w:fill="auto"/>
          </w:tcPr>
          <w:p w:rsidR="00CB4093" w:rsidRPr="00B715AF" w:rsidRDefault="00CB4093" w:rsidP="00E530F6">
            <w:pPr>
              <w:pStyle w:val="Tabletext"/>
            </w:pPr>
            <w:r w:rsidRPr="00B715AF">
              <w:t>producing any of the following at a</w:t>
            </w:r>
            <w:r w:rsidR="00BE5114" w:rsidRPr="00B715AF">
              <w:t>n Australian</w:t>
            </w:r>
            <w:r w:rsidRPr="00B715AF">
              <w:t xml:space="preserve"> field during a </w:t>
            </w:r>
            <w:r w:rsidR="001E68DF" w:rsidRPr="00B715AF">
              <w:t>reporting period</w:t>
            </w:r>
            <w:r w:rsidRPr="00B715AF">
              <w:t>:</w:t>
            </w:r>
          </w:p>
          <w:p w:rsidR="00CB4093" w:rsidRPr="00B715AF" w:rsidRDefault="00CB4093" w:rsidP="00E530F6">
            <w:pPr>
              <w:pStyle w:val="Tablea"/>
            </w:pPr>
            <w:r w:rsidRPr="00B715AF">
              <w:t>(a) crude oil;</w:t>
            </w:r>
          </w:p>
          <w:p w:rsidR="00CB4093" w:rsidRPr="00B715AF" w:rsidRDefault="00CB4093" w:rsidP="00E530F6">
            <w:pPr>
              <w:pStyle w:val="Tablea"/>
            </w:pPr>
            <w:r w:rsidRPr="00B715AF">
              <w:t>(b) condensate;</w:t>
            </w:r>
          </w:p>
          <w:p w:rsidR="00CB4093" w:rsidRPr="00B715AF" w:rsidRDefault="00CB4093" w:rsidP="00E530F6">
            <w:pPr>
              <w:pStyle w:val="Tablea"/>
            </w:pPr>
            <w:r w:rsidRPr="00B715AF">
              <w:t>(c) liquefied petroleum gas</w:t>
            </w:r>
          </w:p>
        </w:tc>
        <w:tc>
          <w:tcPr>
            <w:tcW w:w="1701" w:type="dxa"/>
            <w:tcBorders>
              <w:top w:val="single" w:sz="12" w:space="0" w:color="auto"/>
            </w:tcBorders>
            <w:shd w:val="clear" w:color="auto" w:fill="auto"/>
          </w:tcPr>
          <w:p w:rsidR="00CB4093" w:rsidRPr="00B715AF" w:rsidRDefault="00CB4093" w:rsidP="00E530F6">
            <w:pPr>
              <w:pStyle w:val="Tabletext"/>
            </w:pPr>
            <w:r w:rsidRPr="00B715AF">
              <w:t xml:space="preserve">each person who first owns any of the </w:t>
            </w:r>
            <w:r w:rsidR="001E68DF" w:rsidRPr="00B715AF">
              <w:t>crude oil, condensate or liquefied petroleum gas</w:t>
            </w:r>
            <w:r w:rsidRPr="00B715AF">
              <w:t xml:space="preserve"> so produced</w:t>
            </w:r>
          </w:p>
        </w:tc>
        <w:tc>
          <w:tcPr>
            <w:tcW w:w="3543" w:type="dxa"/>
            <w:tcBorders>
              <w:top w:val="single" w:sz="12" w:space="0" w:color="auto"/>
            </w:tcBorders>
            <w:shd w:val="clear" w:color="auto" w:fill="auto"/>
          </w:tcPr>
          <w:p w:rsidR="00341738" w:rsidRPr="00B715AF" w:rsidRDefault="00341738" w:rsidP="00341738">
            <w:pPr>
              <w:pStyle w:val="Tablea"/>
            </w:pPr>
            <w:r w:rsidRPr="00B715AF">
              <w:t>(a) the State, Territory or offshore area in which the field is located; and</w:t>
            </w:r>
          </w:p>
          <w:p w:rsidR="00CB4093" w:rsidRPr="00B715AF" w:rsidRDefault="003E697E" w:rsidP="003E697E">
            <w:pPr>
              <w:pStyle w:val="Tablea"/>
            </w:pPr>
            <w:r w:rsidRPr="00B715AF">
              <w:t>(</w:t>
            </w:r>
            <w:r w:rsidR="00A22215" w:rsidRPr="00B715AF">
              <w:t>b</w:t>
            </w:r>
            <w:r w:rsidRPr="00B715AF">
              <w:t xml:space="preserve">) </w:t>
            </w:r>
            <w:r w:rsidR="00CB4093" w:rsidRPr="00B715AF">
              <w:t>the quantities</w:t>
            </w:r>
            <w:r w:rsidR="008E6D87" w:rsidRPr="00B715AF">
              <w:t xml:space="preserve"> </w:t>
            </w:r>
            <w:r w:rsidR="00CB4093" w:rsidRPr="00B715AF">
              <w:t>of each of the following:</w:t>
            </w:r>
          </w:p>
          <w:p w:rsidR="00CB4093" w:rsidRPr="00B715AF" w:rsidRDefault="00CB4093" w:rsidP="003E697E">
            <w:pPr>
              <w:pStyle w:val="Tablei"/>
            </w:pPr>
            <w:r w:rsidRPr="00B715AF">
              <w:t>(</w:t>
            </w:r>
            <w:r w:rsidR="003E697E" w:rsidRPr="00B715AF">
              <w:t>i</w:t>
            </w:r>
            <w:r w:rsidRPr="00B715AF">
              <w:t xml:space="preserve">) stock of </w:t>
            </w:r>
            <w:r w:rsidR="001E68DF" w:rsidRPr="00B715AF">
              <w:t xml:space="preserve">crude oil, condensate or liquefied petroleum gas </w:t>
            </w:r>
            <w:r w:rsidRPr="00B715AF">
              <w:t xml:space="preserve">held at the field at the start of the </w:t>
            </w:r>
            <w:r w:rsidR="001E68DF" w:rsidRPr="00B715AF">
              <w:t>reporting period</w:t>
            </w:r>
            <w:r w:rsidRPr="00B715AF">
              <w:t>;</w:t>
            </w:r>
          </w:p>
          <w:p w:rsidR="00CB4093" w:rsidRPr="00B715AF" w:rsidRDefault="00CB4093" w:rsidP="003E697E">
            <w:pPr>
              <w:pStyle w:val="Tablei"/>
            </w:pPr>
            <w:r w:rsidRPr="00B715AF">
              <w:t>(</w:t>
            </w:r>
            <w:r w:rsidR="003E697E" w:rsidRPr="00B715AF">
              <w:t>ii</w:t>
            </w:r>
            <w:r w:rsidRPr="00B715AF">
              <w:t xml:space="preserve">) </w:t>
            </w:r>
            <w:r w:rsidR="001E68DF" w:rsidRPr="00B715AF">
              <w:t>crude oil, condensate or liquefied petroleum gas</w:t>
            </w:r>
            <w:r w:rsidRPr="00B715AF">
              <w:t xml:space="preserve"> produced at the field during the </w:t>
            </w:r>
            <w:r w:rsidR="001E68DF" w:rsidRPr="00B715AF">
              <w:t>reporting period</w:t>
            </w:r>
            <w:r w:rsidRPr="00B715AF">
              <w:t>;</w:t>
            </w:r>
          </w:p>
          <w:p w:rsidR="00CB4093" w:rsidRPr="00B715AF" w:rsidRDefault="003E697E" w:rsidP="003E697E">
            <w:pPr>
              <w:pStyle w:val="Tablei"/>
            </w:pPr>
            <w:r w:rsidRPr="00B715AF">
              <w:t>(iii</w:t>
            </w:r>
            <w:r w:rsidR="00CB4093" w:rsidRPr="00B715AF">
              <w:t xml:space="preserve">) </w:t>
            </w:r>
            <w:r w:rsidR="001E68DF" w:rsidRPr="00B715AF">
              <w:t>crude oil, condensate or liquefied petroleum gas</w:t>
            </w:r>
            <w:r w:rsidR="00CB4093" w:rsidRPr="00B715AF">
              <w:t xml:space="preserve"> consumed</w:t>
            </w:r>
            <w:r w:rsidR="00AF7BD0" w:rsidRPr="00B715AF">
              <w:t xml:space="preserve"> as fuel </w:t>
            </w:r>
            <w:r w:rsidR="00CB4093" w:rsidRPr="00B715AF">
              <w:t xml:space="preserve">at the field during the </w:t>
            </w:r>
            <w:r w:rsidR="001E68DF" w:rsidRPr="00B715AF">
              <w:t>reporting period</w:t>
            </w:r>
            <w:r w:rsidR="00CB4093" w:rsidRPr="00B715AF">
              <w:t>;</w:t>
            </w:r>
          </w:p>
          <w:p w:rsidR="00CB4093" w:rsidRPr="00B715AF" w:rsidRDefault="003E697E" w:rsidP="003E697E">
            <w:pPr>
              <w:pStyle w:val="Tablei"/>
            </w:pPr>
            <w:r w:rsidRPr="00B715AF">
              <w:t>(iv)</w:t>
            </w:r>
            <w:r w:rsidR="00CB4093" w:rsidRPr="00B715AF">
              <w:t xml:space="preserve"> </w:t>
            </w:r>
            <w:r w:rsidR="001E68DF" w:rsidRPr="00B715AF">
              <w:t>crude oil, condensate or liquefied petroleum gas</w:t>
            </w:r>
            <w:r w:rsidR="00CB4093" w:rsidRPr="00B715AF">
              <w:t xml:space="preserve"> </w:t>
            </w:r>
            <w:r w:rsidR="00672BC4" w:rsidRPr="00B715AF">
              <w:t xml:space="preserve">delivered </w:t>
            </w:r>
            <w:r w:rsidR="00CB4093" w:rsidRPr="00B715AF">
              <w:t xml:space="preserve">from the field during the </w:t>
            </w:r>
            <w:r w:rsidR="001E68DF" w:rsidRPr="00B715AF">
              <w:t>reporting period</w:t>
            </w:r>
            <w:r w:rsidR="00CB4093" w:rsidRPr="00B715AF">
              <w:t>;</w:t>
            </w:r>
          </w:p>
          <w:p w:rsidR="00CB4093" w:rsidRPr="00B715AF" w:rsidRDefault="00672BC4" w:rsidP="003E697E">
            <w:pPr>
              <w:pStyle w:val="Tablei"/>
            </w:pPr>
            <w:r w:rsidRPr="00B715AF">
              <w:t>(</w:t>
            </w:r>
            <w:r w:rsidR="003E697E" w:rsidRPr="00B715AF">
              <w:t>v</w:t>
            </w:r>
            <w:r w:rsidR="00CB4093" w:rsidRPr="00B715AF">
              <w:t xml:space="preserve">) stock of </w:t>
            </w:r>
            <w:r w:rsidR="001E68DF" w:rsidRPr="00B715AF">
              <w:t>crude oil, condensate or liquefied petroleum gas</w:t>
            </w:r>
            <w:r w:rsidR="00CB4093" w:rsidRPr="00B715AF">
              <w:t xml:space="preserve"> held at the field at the end of the </w:t>
            </w:r>
            <w:r w:rsidR="001E68DF" w:rsidRPr="00B715AF">
              <w:t>reporting period</w:t>
            </w:r>
            <w:r w:rsidR="00CB4093" w:rsidRPr="00B715AF">
              <w:t>;</w:t>
            </w:r>
            <w:r w:rsidR="003E697E" w:rsidRPr="00B715AF">
              <w:t xml:space="preserve"> and</w:t>
            </w:r>
          </w:p>
          <w:p w:rsidR="00CB4093" w:rsidRPr="00B715AF" w:rsidRDefault="00A22215" w:rsidP="00A22215">
            <w:pPr>
              <w:pStyle w:val="Tablea"/>
            </w:pPr>
            <w:r w:rsidRPr="00B715AF">
              <w:t>(c</w:t>
            </w:r>
            <w:r w:rsidR="003E697E" w:rsidRPr="00B715AF">
              <w:t>) the average density of the crude oil, condensate, or liquefied petrole</w:t>
            </w:r>
            <w:r w:rsidRPr="00B715AF">
              <w:t xml:space="preserve">um gas covered by </w:t>
            </w:r>
            <w:r w:rsidR="00B715AF" w:rsidRPr="00B715AF">
              <w:t>paragraph (</w:t>
            </w:r>
            <w:r w:rsidRPr="00B715AF">
              <w:t>b).</w:t>
            </w:r>
          </w:p>
          <w:p w:rsidR="00A22215" w:rsidRPr="00B715AF" w:rsidRDefault="00A22215" w:rsidP="00341738">
            <w:pPr>
              <w:pStyle w:val="notemargin"/>
            </w:pPr>
            <w:r w:rsidRPr="00B715AF">
              <w:t>Note:</w:t>
            </w:r>
            <w:r w:rsidRPr="00B715AF">
              <w:tab/>
              <w:t xml:space="preserve">See </w:t>
            </w:r>
            <w:r w:rsidR="00B715AF" w:rsidRPr="00B715AF">
              <w:t>subsection (</w:t>
            </w:r>
            <w:r w:rsidR="00341738" w:rsidRPr="00B715AF">
              <w:t>4</w:t>
            </w:r>
            <w:r w:rsidRPr="00B715AF">
              <w:t>).</w:t>
            </w:r>
          </w:p>
        </w:tc>
      </w:tr>
      <w:tr w:rsidR="00CB4093" w:rsidRPr="00B715AF" w:rsidTr="00DE2231">
        <w:tc>
          <w:tcPr>
            <w:tcW w:w="704" w:type="dxa"/>
            <w:shd w:val="clear" w:color="auto" w:fill="auto"/>
          </w:tcPr>
          <w:p w:rsidR="00CB4093" w:rsidRPr="00B715AF" w:rsidRDefault="003A6626" w:rsidP="00E530F6">
            <w:pPr>
              <w:pStyle w:val="Tabletext"/>
            </w:pPr>
            <w:r w:rsidRPr="00B715AF">
              <w:t>2</w:t>
            </w:r>
          </w:p>
        </w:tc>
        <w:tc>
          <w:tcPr>
            <w:tcW w:w="2126" w:type="dxa"/>
            <w:shd w:val="clear" w:color="auto" w:fill="auto"/>
          </w:tcPr>
          <w:p w:rsidR="00CB4093" w:rsidRPr="00B715AF" w:rsidRDefault="00CB4093" w:rsidP="00E530F6">
            <w:pPr>
              <w:pStyle w:val="Tabletext"/>
            </w:pPr>
            <w:r w:rsidRPr="00B715AF">
              <w:t>holding stock of any of the following at a</w:t>
            </w:r>
            <w:r w:rsidR="00BE5114" w:rsidRPr="00B715AF">
              <w:t>n Australian</w:t>
            </w:r>
            <w:r w:rsidRPr="00B715AF">
              <w:t xml:space="preserve"> field at the start of a </w:t>
            </w:r>
            <w:r w:rsidR="001E68DF" w:rsidRPr="00B715AF">
              <w:t>reporting period</w:t>
            </w:r>
            <w:r w:rsidRPr="00B715AF">
              <w:t>:</w:t>
            </w:r>
          </w:p>
          <w:p w:rsidR="00CB4093" w:rsidRPr="00B715AF" w:rsidRDefault="00CB4093" w:rsidP="00E530F6">
            <w:pPr>
              <w:pStyle w:val="Tablea"/>
            </w:pPr>
            <w:r w:rsidRPr="00B715AF">
              <w:t>(</w:t>
            </w:r>
            <w:r w:rsidR="00BD4B44" w:rsidRPr="00B715AF">
              <w:t>a</w:t>
            </w:r>
            <w:r w:rsidRPr="00B715AF">
              <w:t>) crude oil;</w:t>
            </w:r>
          </w:p>
          <w:p w:rsidR="00CB4093" w:rsidRPr="00B715AF" w:rsidRDefault="00BD4B44" w:rsidP="00E530F6">
            <w:pPr>
              <w:pStyle w:val="Tablea"/>
            </w:pPr>
            <w:r w:rsidRPr="00B715AF">
              <w:t>(b</w:t>
            </w:r>
            <w:r w:rsidR="00CB4093" w:rsidRPr="00B715AF">
              <w:t>) condensate;</w:t>
            </w:r>
          </w:p>
          <w:p w:rsidR="00CB4093" w:rsidRPr="00B715AF" w:rsidRDefault="00CB4093" w:rsidP="00E530F6">
            <w:pPr>
              <w:pStyle w:val="Tablea"/>
            </w:pPr>
            <w:r w:rsidRPr="00B715AF">
              <w:t>(c) liquefied petroleum gas</w:t>
            </w:r>
          </w:p>
          <w:p w:rsidR="001343D9" w:rsidRPr="00B715AF" w:rsidRDefault="001343D9" w:rsidP="001343D9">
            <w:pPr>
              <w:pStyle w:val="notemargin"/>
            </w:pPr>
            <w:r w:rsidRPr="00B715AF">
              <w:t>Note:</w:t>
            </w:r>
            <w:r w:rsidRPr="00B715AF">
              <w:tab/>
              <w:t xml:space="preserve">See </w:t>
            </w:r>
            <w:r w:rsidR="00B715AF" w:rsidRPr="00B715AF">
              <w:t>subsection (</w:t>
            </w:r>
            <w:r w:rsidRPr="00B715AF">
              <w:t>4).</w:t>
            </w:r>
          </w:p>
        </w:tc>
        <w:tc>
          <w:tcPr>
            <w:tcW w:w="1701" w:type="dxa"/>
            <w:shd w:val="clear" w:color="auto" w:fill="auto"/>
          </w:tcPr>
          <w:p w:rsidR="00CB4093" w:rsidRPr="00B715AF" w:rsidRDefault="00CB4093" w:rsidP="00E530F6">
            <w:pPr>
              <w:pStyle w:val="Tabletext"/>
            </w:pPr>
            <w:r w:rsidRPr="00B715AF">
              <w:t xml:space="preserve">each person who owns any of the stock at the start of the </w:t>
            </w:r>
            <w:r w:rsidR="001E68DF" w:rsidRPr="00B715AF">
              <w:t>reporting period</w:t>
            </w:r>
          </w:p>
        </w:tc>
        <w:tc>
          <w:tcPr>
            <w:tcW w:w="3543" w:type="dxa"/>
            <w:shd w:val="clear" w:color="auto" w:fill="auto"/>
          </w:tcPr>
          <w:p w:rsidR="00CB4093" w:rsidRPr="00B715AF" w:rsidRDefault="00CB4093" w:rsidP="00E530F6">
            <w:pPr>
              <w:pStyle w:val="Tabletext"/>
            </w:pPr>
            <w:r w:rsidRPr="00B715AF">
              <w:t>the fuel information prescribed for the field by item</w:t>
            </w:r>
            <w:r w:rsidR="00B715AF" w:rsidRPr="00B715AF">
              <w:t> </w:t>
            </w:r>
            <w:r w:rsidRPr="00B715AF">
              <w:t>1</w:t>
            </w:r>
          </w:p>
        </w:tc>
      </w:tr>
      <w:tr w:rsidR="00240FEE" w:rsidRPr="00B715AF" w:rsidTr="00B848D5">
        <w:tc>
          <w:tcPr>
            <w:tcW w:w="704" w:type="dxa"/>
            <w:shd w:val="clear" w:color="auto" w:fill="auto"/>
          </w:tcPr>
          <w:p w:rsidR="00240FEE" w:rsidRPr="00B715AF" w:rsidRDefault="003A6626" w:rsidP="00B848D5">
            <w:pPr>
              <w:pStyle w:val="Tabletext"/>
            </w:pPr>
            <w:r w:rsidRPr="00B715AF">
              <w:t>3</w:t>
            </w:r>
          </w:p>
        </w:tc>
        <w:tc>
          <w:tcPr>
            <w:tcW w:w="2126" w:type="dxa"/>
            <w:shd w:val="clear" w:color="auto" w:fill="auto"/>
          </w:tcPr>
          <w:p w:rsidR="00240FEE" w:rsidRPr="00B715AF" w:rsidRDefault="00240FEE" w:rsidP="00240FEE">
            <w:pPr>
              <w:pStyle w:val="Tabletext"/>
            </w:pPr>
            <w:r w:rsidRPr="00B715AF">
              <w:t xml:space="preserve">producing </w:t>
            </w:r>
            <w:r w:rsidR="000C0196" w:rsidRPr="00B715AF">
              <w:t xml:space="preserve">transport </w:t>
            </w:r>
            <w:r w:rsidRPr="00B715AF">
              <w:t xml:space="preserve">biofuel at an Australian biofuel plant during a </w:t>
            </w:r>
            <w:r w:rsidR="001E68DF" w:rsidRPr="00B715AF">
              <w:t>reporting period</w:t>
            </w:r>
          </w:p>
        </w:tc>
        <w:tc>
          <w:tcPr>
            <w:tcW w:w="1701" w:type="dxa"/>
            <w:shd w:val="clear" w:color="auto" w:fill="auto"/>
          </w:tcPr>
          <w:p w:rsidR="00240FEE" w:rsidRPr="00B715AF" w:rsidRDefault="00240FEE" w:rsidP="00240FEE">
            <w:pPr>
              <w:pStyle w:val="Tabletext"/>
            </w:pPr>
            <w:r w:rsidRPr="00B715AF">
              <w:t>each person who first owns any of the biofuel so produced</w:t>
            </w:r>
          </w:p>
        </w:tc>
        <w:tc>
          <w:tcPr>
            <w:tcW w:w="3543" w:type="dxa"/>
            <w:shd w:val="clear" w:color="auto" w:fill="auto"/>
          </w:tcPr>
          <w:p w:rsidR="00240FEE" w:rsidRPr="00B715AF" w:rsidRDefault="003E697E" w:rsidP="003E697E">
            <w:pPr>
              <w:pStyle w:val="Tablea"/>
            </w:pPr>
            <w:r w:rsidRPr="00B715AF">
              <w:t xml:space="preserve">(a) </w:t>
            </w:r>
            <w:r w:rsidR="00F143D4" w:rsidRPr="00B715AF">
              <w:t xml:space="preserve">the </w:t>
            </w:r>
            <w:r w:rsidR="00240FEE" w:rsidRPr="00B715AF">
              <w:t>quantities</w:t>
            </w:r>
            <w:r w:rsidRPr="00B715AF">
              <w:t xml:space="preserve"> </w:t>
            </w:r>
            <w:r w:rsidR="00240FEE" w:rsidRPr="00B715AF">
              <w:t>of each of the following:</w:t>
            </w:r>
          </w:p>
          <w:p w:rsidR="00240FEE" w:rsidRPr="00B715AF" w:rsidRDefault="00240FEE" w:rsidP="003E697E">
            <w:pPr>
              <w:pStyle w:val="Tablei"/>
            </w:pPr>
            <w:r w:rsidRPr="00B715AF">
              <w:t>(</w:t>
            </w:r>
            <w:r w:rsidR="003E697E" w:rsidRPr="00B715AF">
              <w:t>i</w:t>
            </w:r>
            <w:r w:rsidRPr="00B715AF">
              <w:t xml:space="preserve">) stock of </w:t>
            </w:r>
            <w:r w:rsidR="000C0196" w:rsidRPr="00B715AF">
              <w:t xml:space="preserve">transport </w:t>
            </w:r>
            <w:r w:rsidRPr="00B715AF">
              <w:t xml:space="preserve">biofuel held at the plant at the start of the </w:t>
            </w:r>
            <w:r w:rsidR="001E68DF" w:rsidRPr="00B715AF">
              <w:t>reporting period</w:t>
            </w:r>
            <w:r w:rsidRPr="00B715AF">
              <w:t>;</w:t>
            </w:r>
          </w:p>
          <w:p w:rsidR="00240FEE" w:rsidRPr="00B715AF" w:rsidRDefault="003E697E" w:rsidP="003E697E">
            <w:pPr>
              <w:pStyle w:val="Tablei"/>
            </w:pPr>
            <w:r w:rsidRPr="00B715AF">
              <w:t>(ii</w:t>
            </w:r>
            <w:r w:rsidR="00240FEE" w:rsidRPr="00B715AF">
              <w:t xml:space="preserve">) </w:t>
            </w:r>
            <w:r w:rsidR="000C0196" w:rsidRPr="00B715AF">
              <w:t xml:space="preserve">transport </w:t>
            </w:r>
            <w:r w:rsidR="00240FEE" w:rsidRPr="00B715AF">
              <w:t xml:space="preserve">biofuel produced at the plant during the </w:t>
            </w:r>
            <w:r w:rsidR="001E68DF" w:rsidRPr="00B715AF">
              <w:t>reporting period</w:t>
            </w:r>
            <w:r w:rsidR="00240FEE" w:rsidRPr="00B715AF">
              <w:t>;</w:t>
            </w:r>
          </w:p>
          <w:p w:rsidR="00240FEE" w:rsidRPr="00B715AF" w:rsidRDefault="003E697E" w:rsidP="003E697E">
            <w:pPr>
              <w:pStyle w:val="Tablei"/>
            </w:pPr>
            <w:r w:rsidRPr="00B715AF">
              <w:t>(iii</w:t>
            </w:r>
            <w:r w:rsidR="00240FEE" w:rsidRPr="00B715AF">
              <w:t xml:space="preserve">) stock of </w:t>
            </w:r>
            <w:r w:rsidR="000C0196" w:rsidRPr="00B715AF">
              <w:t xml:space="preserve">transport </w:t>
            </w:r>
            <w:r w:rsidR="00240FEE" w:rsidRPr="00B715AF">
              <w:t xml:space="preserve">biofuel held at the plant at the end of the </w:t>
            </w:r>
            <w:r w:rsidR="001E68DF" w:rsidRPr="00B715AF">
              <w:t>reporting period</w:t>
            </w:r>
            <w:r w:rsidR="00B65FF9" w:rsidRPr="00B715AF">
              <w:t>; and</w:t>
            </w:r>
          </w:p>
          <w:p w:rsidR="003E697E" w:rsidRPr="00B715AF" w:rsidRDefault="003E697E" w:rsidP="003E697E">
            <w:pPr>
              <w:pStyle w:val="Tablea"/>
            </w:pPr>
            <w:r w:rsidRPr="00B715AF">
              <w:t xml:space="preserve">(b) the average density of the transport biofuel covered by </w:t>
            </w:r>
            <w:r w:rsidR="00B715AF" w:rsidRPr="00B715AF">
              <w:t>paragraph (</w:t>
            </w:r>
            <w:r w:rsidRPr="00B715AF">
              <w:t>a)</w:t>
            </w:r>
          </w:p>
        </w:tc>
      </w:tr>
      <w:tr w:rsidR="00240FEE" w:rsidRPr="00B715AF" w:rsidTr="00B848D5">
        <w:tc>
          <w:tcPr>
            <w:tcW w:w="704" w:type="dxa"/>
            <w:shd w:val="clear" w:color="auto" w:fill="auto"/>
          </w:tcPr>
          <w:p w:rsidR="00240FEE" w:rsidRPr="00B715AF" w:rsidRDefault="003A6626" w:rsidP="00B848D5">
            <w:pPr>
              <w:pStyle w:val="Tabletext"/>
            </w:pPr>
            <w:r w:rsidRPr="00B715AF">
              <w:t>4</w:t>
            </w:r>
          </w:p>
        </w:tc>
        <w:tc>
          <w:tcPr>
            <w:tcW w:w="2126" w:type="dxa"/>
            <w:shd w:val="clear" w:color="auto" w:fill="auto"/>
          </w:tcPr>
          <w:p w:rsidR="00240FEE" w:rsidRPr="00B715AF" w:rsidRDefault="00240FEE" w:rsidP="000878DB">
            <w:pPr>
              <w:pStyle w:val="Tabletext"/>
            </w:pPr>
            <w:r w:rsidRPr="00B715AF">
              <w:t>holding stock of</w:t>
            </w:r>
            <w:r w:rsidR="000878DB" w:rsidRPr="00B715AF">
              <w:t xml:space="preserve"> </w:t>
            </w:r>
            <w:r w:rsidR="000C0196" w:rsidRPr="00B715AF">
              <w:t xml:space="preserve">transport </w:t>
            </w:r>
            <w:r w:rsidR="000878DB" w:rsidRPr="00B715AF">
              <w:t>biofuel</w:t>
            </w:r>
            <w:r w:rsidRPr="00B715AF">
              <w:t xml:space="preserve"> at an Australian</w:t>
            </w:r>
            <w:r w:rsidR="000878DB" w:rsidRPr="00B715AF">
              <w:t xml:space="preserve"> biofuel</w:t>
            </w:r>
            <w:r w:rsidRPr="00B715AF">
              <w:t xml:space="preserve"> plant at the start of a </w:t>
            </w:r>
            <w:r w:rsidR="001E68DF" w:rsidRPr="00B715AF">
              <w:t>reporting period</w:t>
            </w:r>
          </w:p>
        </w:tc>
        <w:tc>
          <w:tcPr>
            <w:tcW w:w="1701" w:type="dxa"/>
            <w:shd w:val="clear" w:color="auto" w:fill="auto"/>
          </w:tcPr>
          <w:p w:rsidR="00240FEE" w:rsidRPr="00B715AF" w:rsidRDefault="00240FEE" w:rsidP="000878DB">
            <w:pPr>
              <w:pStyle w:val="Tabletext"/>
            </w:pPr>
            <w:r w:rsidRPr="00B715AF">
              <w:t xml:space="preserve">each person who owns any of the </w:t>
            </w:r>
            <w:r w:rsidR="000C0196" w:rsidRPr="00B715AF">
              <w:t xml:space="preserve">transport </w:t>
            </w:r>
            <w:r w:rsidR="000878DB" w:rsidRPr="00B715AF">
              <w:t>biofuel</w:t>
            </w:r>
            <w:r w:rsidRPr="00B715AF">
              <w:t xml:space="preserve"> at the start of the </w:t>
            </w:r>
            <w:r w:rsidR="001E68DF" w:rsidRPr="00B715AF">
              <w:t>reporting period</w:t>
            </w:r>
          </w:p>
        </w:tc>
        <w:tc>
          <w:tcPr>
            <w:tcW w:w="3543" w:type="dxa"/>
            <w:shd w:val="clear" w:color="auto" w:fill="auto"/>
          </w:tcPr>
          <w:p w:rsidR="00240FEE" w:rsidRPr="00B715AF" w:rsidRDefault="00240FEE" w:rsidP="00B848D5">
            <w:pPr>
              <w:pStyle w:val="Tabletext"/>
            </w:pPr>
            <w:r w:rsidRPr="00B715AF">
              <w:t>the fuel information prescribed for the plant by item</w:t>
            </w:r>
            <w:r w:rsidR="00B715AF" w:rsidRPr="00B715AF">
              <w:t> </w:t>
            </w:r>
            <w:r w:rsidR="00B7325C" w:rsidRPr="00B715AF">
              <w:t>3</w:t>
            </w:r>
          </w:p>
        </w:tc>
      </w:tr>
      <w:tr w:rsidR="00CB4093" w:rsidRPr="00B715AF" w:rsidTr="00DE2231">
        <w:tc>
          <w:tcPr>
            <w:tcW w:w="704" w:type="dxa"/>
            <w:shd w:val="clear" w:color="auto" w:fill="auto"/>
          </w:tcPr>
          <w:p w:rsidR="00CB4093" w:rsidRPr="00B715AF" w:rsidRDefault="003A6626" w:rsidP="00E530F6">
            <w:pPr>
              <w:pStyle w:val="Tabletext"/>
            </w:pPr>
            <w:r w:rsidRPr="00B715AF">
              <w:t>5</w:t>
            </w:r>
          </w:p>
        </w:tc>
        <w:tc>
          <w:tcPr>
            <w:tcW w:w="2126" w:type="dxa"/>
            <w:shd w:val="clear" w:color="auto" w:fill="auto"/>
          </w:tcPr>
          <w:p w:rsidR="00AD0C93" w:rsidRPr="00B715AF" w:rsidRDefault="00CB4093" w:rsidP="00E506C4">
            <w:pPr>
              <w:pStyle w:val="Tabletext"/>
            </w:pPr>
            <w:r w:rsidRPr="00B715AF">
              <w:t>processing</w:t>
            </w:r>
            <w:r w:rsidR="00E506C4" w:rsidRPr="00B715AF">
              <w:t xml:space="preserve"> </w:t>
            </w:r>
            <w:r w:rsidR="00952B62" w:rsidRPr="00B715AF">
              <w:t>plant product</w:t>
            </w:r>
            <w:r w:rsidR="00E506C4" w:rsidRPr="00B715AF">
              <w:t xml:space="preserve"> </w:t>
            </w:r>
            <w:r w:rsidRPr="00B715AF">
              <w:t>at a</w:t>
            </w:r>
            <w:r w:rsidR="00BE5114" w:rsidRPr="00B715AF">
              <w:t>n Australian</w:t>
            </w:r>
            <w:r w:rsidRPr="00B715AF">
              <w:t xml:space="preserve"> plant</w:t>
            </w:r>
            <w:r w:rsidR="00AD0C93" w:rsidRPr="00B715AF">
              <w:t xml:space="preserve"> (non</w:t>
            </w:r>
            <w:r w:rsidR="00B715AF">
              <w:noBreakHyphen/>
            </w:r>
            <w:r w:rsidR="00AD0C93" w:rsidRPr="00B715AF">
              <w:t>biofuel)</w:t>
            </w:r>
            <w:r w:rsidRPr="00B715AF">
              <w:t xml:space="preserve"> during a </w:t>
            </w:r>
            <w:r w:rsidR="001E68DF" w:rsidRPr="00B715AF">
              <w:t>reporting period</w:t>
            </w:r>
          </w:p>
        </w:tc>
        <w:tc>
          <w:tcPr>
            <w:tcW w:w="1701" w:type="dxa"/>
            <w:shd w:val="clear" w:color="auto" w:fill="auto"/>
          </w:tcPr>
          <w:p w:rsidR="00CB4093" w:rsidRPr="00B715AF" w:rsidRDefault="00CB4093" w:rsidP="006B1CD9">
            <w:pPr>
              <w:pStyle w:val="Tabletext"/>
            </w:pPr>
            <w:r w:rsidRPr="00B715AF">
              <w:t xml:space="preserve">each person who first owns any of the </w:t>
            </w:r>
            <w:r w:rsidR="00952B62" w:rsidRPr="00B715AF">
              <w:t>plant product</w:t>
            </w:r>
            <w:r w:rsidR="00E506C4" w:rsidRPr="00B715AF">
              <w:t xml:space="preserve"> </w:t>
            </w:r>
            <w:r w:rsidRPr="00B715AF">
              <w:t>that is output from that processing</w:t>
            </w:r>
          </w:p>
        </w:tc>
        <w:tc>
          <w:tcPr>
            <w:tcW w:w="3543" w:type="dxa"/>
            <w:shd w:val="clear" w:color="auto" w:fill="auto"/>
          </w:tcPr>
          <w:p w:rsidR="00CB4093" w:rsidRPr="00B715AF" w:rsidRDefault="003E697E" w:rsidP="003E697E">
            <w:pPr>
              <w:pStyle w:val="Tablea"/>
            </w:pPr>
            <w:r w:rsidRPr="00B715AF">
              <w:t xml:space="preserve">(a) </w:t>
            </w:r>
            <w:r w:rsidR="00CB4093" w:rsidRPr="00B715AF">
              <w:t>the quantities</w:t>
            </w:r>
            <w:r w:rsidRPr="00B715AF">
              <w:t xml:space="preserve"> </w:t>
            </w:r>
            <w:r w:rsidR="00CB4093" w:rsidRPr="00B715AF">
              <w:t>of each of the following:</w:t>
            </w:r>
          </w:p>
          <w:p w:rsidR="00CB4093" w:rsidRPr="00B715AF" w:rsidRDefault="00CB4093" w:rsidP="003E697E">
            <w:pPr>
              <w:pStyle w:val="Tablei"/>
            </w:pPr>
            <w:r w:rsidRPr="00B715AF">
              <w:t>(</w:t>
            </w:r>
            <w:r w:rsidR="003E697E" w:rsidRPr="00B715AF">
              <w:t>i</w:t>
            </w:r>
            <w:r w:rsidRPr="00B715AF">
              <w:t xml:space="preserve">) stock of </w:t>
            </w:r>
            <w:r w:rsidR="00952B62" w:rsidRPr="00B715AF">
              <w:t>plant product</w:t>
            </w:r>
            <w:r w:rsidRPr="00B715AF">
              <w:t xml:space="preserve"> held at the plant at the start of the </w:t>
            </w:r>
            <w:r w:rsidR="001E68DF" w:rsidRPr="00B715AF">
              <w:t>reporting period</w:t>
            </w:r>
            <w:r w:rsidRPr="00B715AF">
              <w:t>;</w:t>
            </w:r>
          </w:p>
          <w:p w:rsidR="00E73D6A" w:rsidRPr="00B715AF" w:rsidRDefault="00E73D6A" w:rsidP="003E697E">
            <w:pPr>
              <w:pStyle w:val="Tablei"/>
            </w:pPr>
            <w:r w:rsidRPr="00B715AF">
              <w:t>(</w:t>
            </w:r>
            <w:r w:rsidR="003E697E" w:rsidRPr="00B715AF">
              <w:t>ii</w:t>
            </w:r>
            <w:r w:rsidRPr="00B715AF">
              <w:t xml:space="preserve">) </w:t>
            </w:r>
            <w:r w:rsidR="00952B62" w:rsidRPr="00B715AF">
              <w:t>plant product</w:t>
            </w:r>
            <w:r w:rsidRPr="00B715AF">
              <w:t xml:space="preserve"> consumed as fuel at the plant during the reporting period;</w:t>
            </w:r>
          </w:p>
          <w:p w:rsidR="00CB4093" w:rsidRPr="00B715AF" w:rsidRDefault="003E697E" w:rsidP="003E697E">
            <w:pPr>
              <w:pStyle w:val="Tablei"/>
            </w:pPr>
            <w:r w:rsidRPr="00B715AF">
              <w:t>(i</w:t>
            </w:r>
            <w:r w:rsidR="00A22215" w:rsidRPr="00B715AF">
              <w:t>ii</w:t>
            </w:r>
            <w:r w:rsidR="00CB4093" w:rsidRPr="00B715AF">
              <w:t xml:space="preserve">) </w:t>
            </w:r>
            <w:r w:rsidR="00952B62" w:rsidRPr="00B715AF">
              <w:t>plant product</w:t>
            </w:r>
            <w:r w:rsidR="00CB4093" w:rsidRPr="00B715AF">
              <w:t xml:space="preserve"> that is output from processing undertaken at the plant during the </w:t>
            </w:r>
            <w:r w:rsidR="001E68DF" w:rsidRPr="00B715AF">
              <w:t>reporting period</w:t>
            </w:r>
            <w:r w:rsidR="00CB4093" w:rsidRPr="00B715AF">
              <w:t>;</w:t>
            </w:r>
          </w:p>
          <w:p w:rsidR="00CB4093" w:rsidRPr="00B715AF" w:rsidRDefault="00CB4093" w:rsidP="003E697E">
            <w:pPr>
              <w:pStyle w:val="Tablei"/>
            </w:pPr>
            <w:r w:rsidRPr="00B715AF">
              <w:t>(</w:t>
            </w:r>
            <w:r w:rsidR="00A22215" w:rsidRPr="00B715AF">
              <w:t>i</w:t>
            </w:r>
            <w:r w:rsidR="003E697E" w:rsidRPr="00B715AF">
              <w:t>v</w:t>
            </w:r>
            <w:r w:rsidRPr="00B715AF">
              <w:t xml:space="preserve">) </w:t>
            </w:r>
            <w:r w:rsidR="00952B62" w:rsidRPr="00B715AF">
              <w:t>plant product</w:t>
            </w:r>
            <w:r w:rsidRPr="00B715AF">
              <w:t xml:space="preserve"> </w:t>
            </w:r>
            <w:r w:rsidR="00760BE1" w:rsidRPr="00B715AF">
              <w:t>deliver</w:t>
            </w:r>
            <w:r w:rsidR="00C53402" w:rsidRPr="00B715AF">
              <w:t xml:space="preserve">ed from </w:t>
            </w:r>
            <w:r w:rsidRPr="00B715AF">
              <w:t xml:space="preserve">the plant during the </w:t>
            </w:r>
            <w:r w:rsidR="001E68DF" w:rsidRPr="00B715AF">
              <w:t>reporting period</w:t>
            </w:r>
            <w:r w:rsidRPr="00B715AF">
              <w:t>;</w:t>
            </w:r>
          </w:p>
          <w:p w:rsidR="00CB4093" w:rsidRPr="00B715AF" w:rsidRDefault="003E697E" w:rsidP="003E697E">
            <w:pPr>
              <w:pStyle w:val="Tablei"/>
            </w:pPr>
            <w:r w:rsidRPr="00B715AF">
              <w:t>(v</w:t>
            </w:r>
            <w:r w:rsidR="00CB4093" w:rsidRPr="00B715AF">
              <w:t xml:space="preserve">) stock of </w:t>
            </w:r>
            <w:r w:rsidR="00952B62" w:rsidRPr="00B715AF">
              <w:t>plant product</w:t>
            </w:r>
            <w:r w:rsidR="00CB4093" w:rsidRPr="00B715AF">
              <w:t xml:space="preserve"> held at the plant at the end of the </w:t>
            </w:r>
            <w:r w:rsidR="001E68DF" w:rsidRPr="00B715AF">
              <w:t>reporting period</w:t>
            </w:r>
            <w:r w:rsidRPr="00B715AF">
              <w:t>;</w:t>
            </w:r>
            <w:r w:rsidR="006A2313" w:rsidRPr="00B715AF">
              <w:t xml:space="preserve"> and</w:t>
            </w:r>
          </w:p>
          <w:p w:rsidR="003E697E" w:rsidRPr="00B715AF" w:rsidRDefault="003E697E" w:rsidP="00B94F4B">
            <w:pPr>
              <w:pStyle w:val="Tablea"/>
            </w:pPr>
            <w:r w:rsidRPr="00B715AF">
              <w:t xml:space="preserve">(b) the average density of the </w:t>
            </w:r>
            <w:r w:rsidR="00952B62" w:rsidRPr="00B715AF">
              <w:t>plant product</w:t>
            </w:r>
            <w:r w:rsidRPr="00B715AF">
              <w:t xml:space="preserve"> covered by </w:t>
            </w:r>
            <w:r w:rsidR="00B715AF" w:rsidRPr="00B715AF">
              <w:t>paragraph (</w:t>
            </w:r>
            <w:r w:rsidRPr="00B715AF">
              <w:t>a)</w:t>
            </w:r>
          </w:p>
        </w:tc>
      </w:tr>
      <w:tr w:rsidR="00CB4093" w:rsidRPr="00B715AF" w:rsidTr="00DE2231">
        <w:tc>
          <w:tcPr>
            <w:tcW w:w="704" w:type="dxa"/>
            <w:shd w:val="clear" w:color="auto" w:fill="auto"/>
          </w:tcPr>
          <w:p w:rsidR="00CB4093" w:rsidRPr="00B715AF" w:rsidRDefault="003A6626" w:rsidP="00E530F6">
            <w:pPr>
              <w:pStyle w:val="Tabletext"/>
            </w:pPr>
            <w:r w:rsidRPr="00B715AF">
              <w:t>6</w:t>
            </w:r>
          </w:p>
        </w:tc>
        <w:tc>
          <w:tcPr>
            <w:tcW w:w="2126" w:type="dxa"/>
            <w:shd w:val="clear" w:color="auto" w:fill="auto"/>
          </w:tcPr>
          <w:p w:rsidR="00AD0C93" w:rsidRPr="00B715AF" w:rsidRDefault="00CB4093" w:rsidP="00B94F4B">
            <w:pPr>
              <w:pStyle w:val="Tabletext"/>
            </w:pPr>
            <w:r w:rsidRPr="00B715AF">
              <w:t xml:space="preserve">holding stock of </w:t>
            </w:r>
            <w:r w:rsidR="00952B62" w:rsidRPr="00B715AF">
              <w:t>plant product</w:t>
            </w:r>
            <w:r w:rsidR="00B94F4B" w:rsidRPr="00B715AF">
              <w:t xml:space="preserve"> </w:t>
            </w:r>
            <w:r w:rsidRPr="00B715AF">
              <w:t>at a</w:t>
            </w:r>
            <w:r w:rsidR="00BE5114" w:rsidRPr="00B715AF">
              <w:t>n Australian</w:t>
            </w:r>
            <w:r w:rsidRPr="00B715AF">
              <w:t xml:space="preserve"> plant</w:t>
            </w:r>
            <w:r w:rsidR="00AD0C93" w:rsidRPr="00B715AF">
              <w:t xml:space="preserve"> (non</w:t>
            </w:r>
            <w:r w:rsidR="00B715AF">
              <w:noBreakHyphen/>
            </w:r>
            <w:r w:rsidR="00AD0C93" w:rsidRPr="00B715AF">
              <w:t>biofuel)</w:t>
            </w:r>
            <w:r w:rsidRPr="00B715AF">
              <w:t xml:space="preserve"> at the start of a </w:t>
            </w:r>
            <w:r w:rsidR="001E68DF" w:rsidRPr="00B715AF">
              <w:t>reporting period</w:t>
            </w:r>
          </w:p>
        </w:tc>
        <w:tc>
          <w:tcPr>
            <w:tcW w:w="1701" w:type="dxa"/>
            <w:shd w:val="clear" w:color="auto" w:fill="auto"/>
          </w:tcPr>
          <w:p w:rsidR="00CB4093" w:rsidRPr="00B715AF" w:rsidRDefault="00CB4093" w:rsidP="00E530F6">
            <w:pPr>
              <w:pStyle w:val="Tabletext"/>
            </w:pPr>
            <w:r w:rsidRPr="00B715AF">
              <w:t xml:space="preserve">each person who owns any of the stock at the start of the </w:t>
            </w:r>
            <w:r w:rsidR="001E68DF" w:rsidRPr="00B715AF">
              <w:t>reporting period</w:t>
            </w:r>
          </w:p>
        </w:tc>
        <w:tc>
          <w:tcPr>
            <w:tcW w:w="3543" w:type="dxa"/>
            <w:shd w:val="clear" w:color="auto" w:fill="auto"/>
          </w:tcPr>
          <w:p w:rsidR="00CB4093" w:rsidRPr="00B715AF" w:rsidRDefault="00CB4093" w:rsidP="00E530F6">
            <w:pPr>
              <w:pStyle w:val="Tabletext"/>
            </w:pPr>
            <w:r w:rsidRPr="00B715AF">
              <w:t>the fuel information prescribed for the plant by item</w:t>
            </w:r>
            <w:r w:rsidR="00B715AF" w:rsidRPr="00B715AF">
              <w:t> </w:t>
            </w:r>
            <w:r w:rsidR="003A6626" w:rsidRPr="00B715AF">
              <w:t>5</w:t>
            </w:r>
          </w:p>
        </w:tc>
      </w:tr>
      <w:tr w:rsidR="00CB4093" w:rsidRPr="00B715AF" w:rsidTr="00DE2231">
        <w:tc>
          <w:tcPr>
            <w:tcW w:w="704" w:type="dxa"/>
            <w:shd w:val="clear" w:color="auto" w:fill="auto"/>
          </w:tcPr>
          <w:p w:rsidR="00CB4093" w:rsidRPr="00B715AF" w:rsidRDefault="003A6626" w:rsidP="00E530F6">
            <w:pPr>
              <w:pStyle w:val="Tabletext"/>
            </w:pPr>
            <w:r w:rsidRPr="00B715AF">
              <w:t>7</w:t>
            </w:r>
          </w:p>
        </w:tc>
        <w:tc>
          <w:tcPr>
            <w:tcW w:w="2126" w:type="dxa"/>
            <w:shd w:val="clear" w:color="auto" w:fill="auto"/>
          </w:tcPr>
          <w:p w:rsidR="00CB4093" w:rsidRPr="00B715AF" w:rsidRDefault="00CB4093" w:rsidP="005502B9">
            <w:pPr>
              <w:pStyle w:val="Tabletext"/>
            </w:pPr>
            <w:r w:rsidRPr="00B715AF">
              <w:t>refining a covered product of any kind</w:t>
            </w:r>
            <w:r w:rsidR="000F700A" w:rsidRPr="00B715AF">
              <w:t xml:space="preserve"> </w:t>
            </w:r>
            <w:r w:rsidRPr="00B715AF">
              <w:t>at a</w:t>
            </w:r>
            <w:r w:rsidR="00BE5114" w:rsidRPr="00B715AF">
              <w:t>n Australian</w:t>
            </w:r>
            <w:r w:rsidRPr="00B715AF">
              <w:t xml:space="preserve"> refinery during a </w:t>
            </w:r>
            <w:r w:rsidR="001E68DF" w:rsidRPr="00B715AF">
              <w:t>reporting period</w:t>
            </w:r>
          </w:p>
        </w:tc>
        <w:tc>
          <w:tcPr>
            <w:tcW w:w="1701" w:type="dxa"/>
            <w:shd w:val="clear" w:color="auto" w:fill="auto"/>
          </w:tcPr>
          <w:p w:rsidR="00CB4093" w:rsidRPr="00B715AF" w:rsidRDefault="00CB4093" w:rsidP="00E530F6">
            <w:pPr>
              <w:pStyle w:val="Tabletext"/>
            </w:pPr>
            <w:r w:rsidRPr="00B715AF">
              <w:t>each person who first owns any of the output</w:t>
            </w:r>
            <w:r w:rsidR="00F33FAA" w:rsidRPr="00B715AF">
              <w:t xml:space="preserve"> stock</w:t>
            </w:r>
            <w:r w:rsidRPr="00B715AF">
              <w:t xml:space="preserve"> from that refining</w:t>
            </w:r>
          </w:p>
        </w:tc>
        <w:tc>
          <w:tcPr>
            <w:tcW w:w="3543" w:type="dxa"/>
            <w:shd w:val="clear" w:color="auto" w:fill="auto"/>
          </w:tcPr>
          <w:p w:rsidR="00CB4093" w:rsidRPr="00B715AF" w:rsidRDefault="00CB4093" w:rsidP="00E530F6">
            <w:pPr>
              <w:pStyle w:val="Tablea"/>
            </w:pPr>
            <w:r w:rsidRPr="00B715AF">
              <w:t>(a) the quantities</w:t>
            </w:r>
            <w:r w:rsidR="00355E10" w:rsidRPr="00B715AF">
              <w:t xml:space="preserve"> </w:t>
            </w:r>
            <w:r w:rsidRPr="00B715AF">
              <w:t>of each of the following, broken down into imported and non</w:t>
            </w:r>
            <w:r w:rsidR="00B715AF">
              <w:noBreakHyphen/>
            </w:r>
            <w:r w:rsidRPr="00B715AF">
              <w:t>imported covered products:</w:t>
            </w:r>
          </w:p>
          <w:p w:rsidR="00CB4093" w:rsidRPr="00B715AF" w:rsidRDefault="00CB4093" w:rsidP="00E530F6">
            <w:pPr>
              <w:pStyle w:val="Tablei"/>
            </w:pPr>
            <w:r w:rsidRPr="00B715AF">
              <w:t>(i) input</w:t>
            </w:r>
            <w:r w:rsidR="00923B4A" w:rsidRPr="00B715AF">
              <w:t xml:space="preserve"> stock</w:t>
            </w:r>
            <w:r w:rsidRPr="00B715AF">
              <w:t xml:space="preserve"> held at the refinery at the start of the </w:t>
            </w:r>
            <w:r w:rsidR="001E68DF" w:rsidRPr="00B715AF">
              <w:t>reporting period</w:t>
            </w:r>
            <w:r w:rsidRPr="00B715AF">
              <w:t>;</w:t>
            </w:r>
          </w:p>
          <w:p w:rsidR="00CB4093" w:rsidRPr="00B715AF" w:rsidRDefault="00CB4093" w:rsidP="00E530F6">
            <w:pPr>
              <w:pStyle w:val="Tablei"/>
            </w:pPr>
            <w:r w:rsidRPr="00B715AF">
              <w:t>(ii) input</w:t>
            </w:r>
            <w:r w:rsidR="00923B4A" w:rsidRPr="00B715AF">
              <w:t xml:space="preserve"> stock</w:t>
            </w:r>
            <w:r w:rsidRPr="00B715AF">
              <w:t xml:space="preserve"> delivered to the refinery during the </w:t>
            </w:r>
            <w:r w:rsidR="001E68DF" w:rsidRPr="00B715AF">
              <w:t>reporting period</w:t>
            </w:r>
            <w:r w:rsidRPr="00B715AF">
              <w:t>;</w:t>
            </w:r>
          </w:p>
          <w:p w:rsidR="00CB4093" w:rsidRPr="00B715AF" w:rsidRDefault="00CB4093" w:rsidP="00E530F6">
            <w:pPr>
              <w:pStyle w:val="Tablei"/>
            </w:pPr>
            <w:r w:rsidRPr="00B715AF">
              <w:t>(</w:t>
            </w:r>
            <w:r w:rsidR="005477EA" w:rsidRPr="00B715AF">
              <w:t>iii</w:t>
            </w:r>
            <w:r w:rsidRPr="00B715AF">
              <w:t>) input</w:t>
            </w:r>
            <w:r w:rsidR="00923B4A" w:rsidRPr="00B715AF">
              <w:t xml:space="preserve"> stock</w:t>
            </w:r>
            <w:r w:rsidRPr="00B715AF">
              <w:t xml:space="preserve"> held at the refinery at the end of the </w:t>
            </w:r>
            <w:r w:rsidR="001E68DF" w:rsidRPr="00B715AF">
              <w:t>reporting period</w:t>
            </w:r>
            <w:r w:rsidRPr="00B715AF">
              <w:t>; and</w:t>
            </w:r>
          </w:p>
          <w:p w:rsidR="005477EA" w:rsidRPr="00B715AF" w:rsidRDefault="005477EA" w:rsidP="005477EA">
            <w:pPr>
              <w:pStyle w:val="Tablea"/>
            </w:pPr>
            <w:r w:rsidRPr="00B715AF">
              <w:t>(</w:t>
            </w:r>
            <w:r w:rsidR="00566EDB" w:rsidRPr="00B715AF">
              <w:t>b</w:t>
            </w:r>
            <w:r w:rsidRPr="00B715AF">
              <w:t>) the quantities of each of the following:</w:t>
            </w:r>
          </w:p>
          <w:p w:rsidR="005477EA" w:rsidRPr="00B715AF" w:rsidRDefault="005477EA" w:rsidP="005477EA">
            <w:pPr>
              <w:pStyle w:val="Tablei"/>
            </w:pPr>
            <w:r w:rsidRPr="00B715AF">
              <w:t>(i) working stock held at the refinery at the start of the reporting period;</w:t>
            </w:r>
          </w:p>
          <w:p w:rsidR="00B65FF9" w:rsidRPr="00B715AF" w:rsidRDefault="00B65FF9" w:rsidP="00B65FF9">
            <w:pPr>
              <w:pStyle w:val="Tablei"/>
            </w:pPr>
            <w:r w:rsidRPr="00B715AF">
              <w:t>(ii) output stock held at the refinery at the start of the reporting period;</w:t>
            </w:r>
          </w:p>
          <w:p w:rsidR="00A22215" w:rsidRPr="00B715AF" w:rsidRDefault="00A22215" w:rsidP="00B65FF9">
            <w:pPr>
              <w:pStyle w:val="Tablei"/>
            </w:pPr>
            <w:r w:rsidRPr="00B715AF">
              <w:t>(iii) covered products delivered to the refinery from a petrochemical facility during the reporting period;</w:t>
            </w:r>
          </w:p>
          <w:p w:rsidR="00B65FF9" w:rsidRPr="00B715AF" w:rsidRDefault="00B65FF9" w:rsidP="00B65FF9">
            <w:pPr>
              <w:pStyle w:val="Tablei"/>
            </w:pPr>
            <w:r w:rsidRPr="00B715AF">
              <w:t>(</w:t>
            </w:r>
            <w:r w:rsidR="00A22215" w:rsidRPr="00B715AF">
              <w:t>iv</w:t>
            </w:r>
            <w:r w:rsidRPr="00B715AF">
              <w:t>) covered products entered into refining undertaken at the refinery during the reporting period;</w:t>
            </w:r>
          </w:p>
          <w:p w:rsidR="00B65FF9" w:rsidRPr="00B715AF" w:rsidRDefault="00B65FF9" w:rsidP="00B65FF9">
            <w:pPr>
              <w:pStyle w:val="Tablei"/>
            </w:pPr>
            <w:r w:rsidRPr="00B715AF">
              <w:t>(v) covered products consumed as fuel at the refinery during the reporting period;</w:t>
            </w:r>
          </w:p>
          <w:p w:rsidR="00B65FF9" w:rsidRPr="00B715AF" w:rsidRDefault="00B65FF9" w:rsidP="00B65FF9">
            <w:pPr>
              <w:pStyle w:val="Tablei"/>
            </w:pPr>
            <w:r w:rsidRPr="00B715AF">
              <w:t>(vi) covered products that are output from any stage of refining undertaken at the refinery during the reporting period;</w:t>
            </w:r>
          </w:p>
          <w:p w:rsidR="00A22215" w:rsidRPr="00B715AF" w:rsidRDefault="00A22215" w:rsidP="00B65FF9">
            <w:pPr>
              <w:pStyle w:val="Tablei"/>
            </w:pPr>
            <w:r w:rsidRPr="00B715AF">
              <w:t>(vii) covered products delivered from the refinery to a petrochemical facility during the reporting period;</w:t>
            </w:r>
          </w:p>
          <w:p w:rsidR="005477EA" w:rsidRPr="00B715AF" w:rsidRDefault="005477EA" w:rsidP="005477EA">
            <w:pPr>
              <w:pStyle w:val="Tablei"/>
            </w:pPr>
            <w:r w:rsidRPr="00B715AF">
              <w:t>(</w:t>
            </w:r>
            <w:r w:rsidR="00B65FF9" w:rsidRPr="00B715AF">
              <w:t>v</w:t>
            </w:r>
            <w:r w:rsidR="00A22215" w:rsidRPr="00B715AF">
              <w:t>i</w:t>
            </w:r>
            <w:r w:rsidR="00B65FF9" w:rsidRPr="00B715AF">
              <w:t>i</w:t>
            </w:r>
            <w:r w:rsidRPr="00B715AF">
              <w:t>i) working stock held at the refinery at the end of the reporting period;</w:t>
            </w:r>
          </w:p>
          <w:p w:rsidR="005477EA" w:rsidRPr="00B715AF" w:rsidRDefault="00B65FF9" w:rsidP="005477EA">
            <w:pPr>
              <w:pStyle w:val="Tablei"/>
            </w:pPr>
            <w:r w:rsidRPr="00B715AF">
              <w:t>(</w:t>
            </w:r>
            <w:r w:rsidR="00A22215" w:rsidRPr="00B715AF">
              <w:t>ix</w:t>
            </w:r>
            <w:r w:rsidR="005477EA" w:rsidRPr="00B715AF">
              <w:t>) output stock held at the refinery at the end of the reporting period; and</w:t>
            </w:r>
          </w:p>
          <w:p w:rsidR="00456296" w:rsidRPr="00B715AF" w:rsidRDefault="00AF7BD0" w:rsidP="00566EDB">
            <w:pPr>
              <w:pStyle w:val="Tablea"/>
            </w:pPr>
            <w:r w:rsidRPr="00B715AF">
              <w:t>(</w:t>
            </w:r>
            <w:r w:rsidR="00A22215" w:rsidRPr="00B715AF">
              <w:t>c</w:t>
            </w:r>
            <w:r w:rsidRPr="00B715AF">
              <w:t xml:space="preserve">) the </w:t>
            </w:r>
            <w:r w:rsidR="005477EA" w:rsidRPr="00B715AF">
              <w:t xml:space="preserve">average density of the covered products covered by </w:t>
            </w:r>
            <w:r w:rsidR="00B715AF" w:rsidRPr="00B715AF">
              <w:t>paragraphs (</w:t>
            </w:r>
            <w:r w:rsidR="00566EDB" w:rsidRPr="00B715AF">
              <w:t>a) and (b</w:t>
            </w:r>
            <w:r w:rsidR="005477EA" w:rsidRPr="00B715AF">
              <w:t>)</w:t>
            </w:r>
            <w:r w:rsidR="00A22215" w:rsidRPr="00B715AF">
              <w:t>;</w:t>
            </w:r>
            <w:r w:rsidR="003268AF" w:rsidRPr="00B715AF">
              <w:t xml:space="preserve"> and</w:t>
            </w:r>
          </w:p>
          <w:p w:rsidR="00A22215" w:rsidRPr="00B715AF" w:rsidRDefault="00A22215" w:rsidP="00F143D4">
            <w:pPr>
              <w:pStyle w:val="Tablea"/>
            </w:pPr>
            <w:r w:rsidRPr="00B715AF">
              <w:t xml:space="preserve">(d) the </w:t>
            </w:r>
            <w:r w:rsidR="00341738" w:rsidRPr="00B715AF">
              <w:t xml:space="preserve">total </w:t>
            </w:r>
            <w:r w:rsidRPr="00B715AF">
              <w:t>quantity of covered products flared, destroyed or otherwise lost at the refinery during the reporting period</w:t>
            </w:r>
          </w:p>
        </w:tc>
      </w:tr>
      <w:tr w:rsidR="00CB4093" w:rsidRPr="00B715AF" w:rsidTr="00DE2231">
        <w:tc>
          <w:tcPr>
            <w:tcW w:w="704" w:type="dxa"/>
            <w:shd w:val="clear" w:color="auto" w:fill="auto"/>
          </w:tcPr>
          <w:p w:rsidR="00CB4093" w:rsidRPr="00B715AF" w:rsidRDefault="003A6626" w:rsidP="00E530F6">
            <w:pPr>
              <w:pStyle w:val="Tabletext"/>
            </w:pPr>
            <w:r w:rsidRPr="00B715AF">
              <w:t>8</w:t>
            </w:r>
          </w:p>
        </w:tc>
        <w:tc>
          <w:tcPr>
            <w:tcW w:w="2126" w:type="dxa"/>
            <w:shd w:val="clear" w:color="auto" w:fill="auto"/>
          </w:tcPr>
          <w:p w:rsidR="00CB4093" w:rsidRPr="00B715AF" w:rsidRDefault="00CB4093" w:rsidP="00923B4A">
            <w:pPr>
              <w:pStyle w:val="Tabletext"/>
            </w:pPr>
            <w:r w:rsidRPr="00B715AF">
              <w:t xml:space="preserve">holding </w:t>
            </w:r>
            <w:r w:rsidR="00923B4A" w:rsidRPr="00B715AF">
              <w:t xml:space="preserve">input stock or output stock </w:t>
            </w:r>
            <w:r w:rsidRPr="00B715AF">
              <w:t>at a</w:t>
            </w:r>
            <w:r w:rsidR="00BE5114" w:rsidRPr="00B715AF">
              <w:t>n Australian</w:t>
            </w:r>
            <w:r w:rsidRPr="00B715AF">
              <w:t xml:space="preserve"> refinery at the start of a </w:t>
            </w:r>
            <w:r w:rsidR="001E68DF" w:rsidRPr="00B715AF">
              <w:t>reporting period</w:t>
            </w:r>
          </w:p>
        </w:tc>
        <w:tc>
          <w:tcPr>
            <w:tcW w:w="1701" w:type="dxa"/>
            <w:shd w:val="clear" w:color="auto" w:fill="auto"/>
          </w:tcPr>
          <w:p w:rsidR="00CB4093" w:rsidRPr="00B715AF" w:rsidRDefault="00CB4093" w:rsidP="00E530F6">
            <w:pPr>
              <w:pStyle w:val="Tabletext"/>
            </w:pPr>
            <w:r w:rsidRPr="00B715AF">
              <w:t xml:space="preserve">each person who owns any of the stock at the start of the </w:t>
            </w:r>
            <w:r w:rsidR="001E68DF" w:rsidRPr="00B715AF">
              <w:t>reporting period</w:t>
            </w:r>
          </w:p>
        </w:tc>
        <w:tc>
          <w:tcPr>
            <w:tcW w:w="3543" w:type="dxa"/>
            <w:shd w:val="clear" w:color="auto" w:fill="auto"/>
          </w:tcPr>
          <w:p w:rsidR="00CB4093" w:rsidRPr="00B715AF" w:rsidRDefault="00CB4093" w:rsidP="00E530F6">
            <w:pPr>
              <w:pStyle w:val="Tabletext"/>
            </w:pPr>
            <w:r w:rsidRPr="00B715AF">
              <w:t>the fuel information prescribed for the refinery by item</w:t>
            </w:r>
            <w:r w:rsidR="00B715AF" w:rsidRPr="00B715AF">
              <w:t> </w:t>
            </w:r>
            <w:r w:rsidR="003A6626" w:rsidRPr="00B715AF">
              <w:t>7</w:t>
            </w:r>
          </w:p>
        </w:tc>
      </w:tr>
      <w:tr w:rsidR="00DE2231" w:rsidRPr="00B715AF" w:rsidTr="00DE2231">
        <w:tc>
          <w:tcPr>
            <w:tcW w:w="704" w:type="dxa"/>
            <w:tcBorders>
              <w:bottom w:val="single" w:sz="2" w:space="0" w:color="auto"/>
            </w:tcBorders>
            <w:shd w:val="clear" w:color="auto" w:fill="auto"/>
          </w:tcPr>
          <w:p w:rsidR="00DE2231" w:rsidRPr="00B715AF" w:rsidRDefault="003A6626" w:rsidP="00F47C81">
            <w:pPr>
              <w:pStyle w:val="Tabletext"/>
            </w:pPr>
            <w:r w:rsidRPr="00B715AF">
              <w:t>9</w:t>
            </w:r>
          </w:p>
        </w:tc>
        <w:tc>
          <w:tcPr>
            <w:tcW w:w="2126" w:type="dxa"/>
            <w:tcBorders>
              <w:bottom w:val="single" w:sz="2" w:space="0" w:color="auto"/>
            </w:tcBorders>
            <w:shd w:val="clear" w:color="auto" w:fill="auto"/>
          </w:tcPr>
          <w:p w:rsidR="00DE2231" w:rsidRPr="00B715AF" w:rsidRDefault="00DE2231" w:rsidP="001E68DF">
            <w:pPr>
              <w:pStyle w:val="Tabletext"/>
            </w:pPr>
            <w:r w:rsidRPr="00B715AF">
              <w:t xml:space="preserve">wholesaling petroleum coke during a </w:t>
            </w:r>
            <w:r w:rsidR="001E68DF" w:rsidRPr="00B715AF">
              <w:t>reporting period</w:t>
            </w:r>
          </w:p>
        </w:tc>
        <w:tc>
          <w:tcPr>
            <w:tcW w:w="1701" w:type="dxa"/>
            <w:tcBorders>
              <w:bottom w:val="single" w:sz="2" w:space="0" w:color="auto"/>
            </w:tcBorders>
            <w:shd w:val="clear" w:color="auto" w:fill="auto"/>
          </w:tcPr>
          <w:p w:rsidR="00DE2231" w:rsidRPr="00B715AF" w:rsidRDefault="00DE2231" w:rsidP="00F47C81">
            <w:pPr>
              <w:pStyle w:val="Tabletext"/>
            </w:pPr>
            <w:r w:rsidRPr="00B715AF">
              <w:t>the regulated entity who undertakes the wholesaling</w:t>
            </w:r>
          </w:p>
        </w:tc>
        <w:tc>
          <w:tcPr>
            <w:tcW w:w="3543" w:type="dxa"/>
            <w:tcBorders>
              <w:bottom w:val="single" w:sz="2" w:space="0" w:color="auto"/>
            </w:tcBorders>
            <w:shd w:val="clear" w:color="auto" w:fill="auto"/>
          </w:tcPr>
          <w:p w:rsidR="00DE2231" w:rsidRPr="00B715AF" w:rsidRDefault="00DE2231" w:rsidP="00F143D4">
            <w:pPr>
              <w:pStyle w:val="Tabletext"/>
            </w:pPr>
            <w:r w:rsidRPr="00B715AF">
              <w:t>the quantity of petroleum coke the regulated entity wholesa</w:t>
            </w:r>
            <w:r w:rsidR="001E68DF" w:rsidRPr="00B715AF">
              <w:t>les in Australia during the reporting period</w:t>
            </w:r>
            <w:r w:rsidRPr="00B715AF">
              <w:t>, broken down by each State marketing area</w:t>
            </w:r>
          </w:p>
        </w:tc>
      </w:tr>
      <w:tr w:rsidR="005502B9" w:rsidRPr="00B715AF" w:rsidTr="0012461C">
        <w:tc>
          <w:tcPr>
            <w:tcW w:w="704" w:type="dxa"/>
            <w:tcBorders>
              <w:bottom w:val="single" w:sz="2" w:space="0" w:color="auto"/>
            </w:tcBorders>
            <w:shd w:val="clear" w:color="auto" w:fill="auto"/>
          </w:tcPr>
          <w:p w:rsidR="005502B9" w:rsidRPr="00B715AF" w:rsidRDefault="003A6626" w:rsidP="0012461C">
            <w:pPr>
              <w:pStyle w:val="Tabletext"/>
            </w:pPr>
            <w:r w:rsidRPr="00B715AF">
              <w:t>10</w:t>
            </w:r>
          </w:p>
        </w:tc>
        <w:tc>
          <w:tcPr>
            <w:tcW w:w="2126" w:type="dxa"/>
            <w:tcBorders>
              <w:bottom w:val="single" w:sz="2" w:space="0" w:color="auto"/>
            </w:tcBorders>
            <w:shd w:val="clear" w:color="auto" w:fill="auto"/>
          </w:tcPr>
          <w:p w:rsidR="005502B9" w:rsidRPr="00B715AF" w:rsidRDefault="005502B9" w:rsidP="001E68DF">
            <w:pPr>
              <w:pStyle w:val="Tabletext"/>
            </w:pPr>
            <w:r w:rsidRPr="00B715AF">
              <w:t>wholesaling GLOW</w:t>
            </w:r>
            <w:r w:rsidR="00AB4C39" w:rsidRPr="00B715AF">
              <w:t>S</w:t>
            </w:r>
            <w:r w:rsidRPr="00B715AF">
              <w:t xml:space="preserve"> during a </w:t>
            </w:r>
            <w:r w:rsidR="001E68DF" w:rsidRPr="00B715AF">
              <w:t>reporting period</w:t>
            </w:r>
          </w:p>
        </w:tc>
        <w:tc>
          <w:tcPr>
            <w:tcW w:w="1701" w:type="dxa"/>
            <w:tcBorders>
              <w:bottom w:val="single" w:sz="2" w:space="0" w:color="auto"/>
            </w:tcBorders>
            <w:shd w:val="clear" w:color="auto" w:fill="auto"/>
          </w:tcPr>
          <w:p w:rsidR="005502B9" w:rsidRPr="00B715AF" w:rsidRDefault="005502B9" w:rsidP="0012461C">
            <w:pPr>
              <w:pStyle w:val="Tabletext"/>
            </w:pPr>
            <w:r w:rsidRPr="00B715AF">
              <w:t>the regulated entity who undertakes the wholesaling</w:t>
            </w:r>
          </w:p>
        </w:tc>
        <w:tc>
          <w:tcPr>
            <w:tcW w:w="3543" w:type="dxa"/>
            <w:tcBorders>
              <w:bottom w:val="single" w:sz="2" w:space="0" w:color="auto"/>
            </w:tcBorders>
            <w:shd w:val="clear" w:color="auto" w:fill="auto"/>
          </w:tcPr>
          <w:p w:rsidR="005502B9" w:rsidRPr="00B715AF" w:rsidRDefault="005502B9" w:rsidP="00F143D4">
            <w:pPr>
              <w:pStyle w:val="Tabletext"/>
            </w:pPr>
            <w:r w:rsidRPr="00B715AF">
              <w:t>the quantity of GLOW</w:t>
            </w:r>
            <w:r w:rsidR="00AB4C39" w:rsidRPr="00B715AF">
              <w:t>S</w:t>
            </w:r>
            <w:r w:rsidRPr="00B715AF">
              <w:t xml:space="preserve"> the regulated entity wholesales in Australia during the </w:t>
            </w:r>
            <w:r w:rsidR="001E68DF" w:rsidRPr="00B715AF">
              <w:t>reporting period</w:t>
            </w:r>
            <w:r w:rsidRPr="00B715AF">
              <w:t>, broken down by each State marketing area</w:t>
            </w:r>
          </w:p>
        </w:tc>
      </w:tr>
      <w:tr w:rsidR="008B6A35" w:rsidRPr="00B715AF" w:rsidTr="008B6A35">
        <w:tc>
          <w:tcPr>
            <w:tcW w:w="704" w:type="dxa"/>
            <w:tcBorders>
              <w:bottom w:val="single" w:sz="2" w:space="0" w:color="auto"/>
            </w:tcBorders>
            <w:shd w:val="clear" w:color="auto" w:fill="auto"/>
          </w:tcPr>
          <w:p w:rsidR="008B6A35" w:rsidRPr="00B715AF" w:rsidRDefault="008B6A35" w:rsidP="008B6A35">
            <w:pPr>
              <w:pStyle w:val="Tabletext"/>
            </w:pPr>
            <w:r w:rsidRPr="00B715AF">
              <w:t>11</w:t>
            </w:r>
          </w:p>
        </w:tc>
        <w:tc>
          <w:tcPr>
            <w:tcW w:w="2126" w:type="dxa"/>
            <w:tcBorders>
              <w:bottom w:val="single" w:sz="2" w:space="0" w:color="auto"/>
            </w:tcBorders>
            <w:shd w:val="clear" w:color="auto" w:fill="auto"/>
          </w:tcPr>
          <w:p w:rsidR="008B6A35" w:rsidRPr="00B715AF" w:rsidRDefault="008B6A35" w:rsidP="008B6A35">
            <w:pPr>
              <w:pStyle w:val="Tabletext"/>
            </w:pPr>
            <w:r w:rsidRPr="00B715AF">
              <w:t>wholesaling any of the following during a reporting period:</w:t>
            </w:r>
          </w:p>
          <w:p w:rsidR="008B6A35" w:rsidRPr="00B715AF" w:rsidRDefault="008B6A35" w:rsidP="008B6A35">
            <w:pPr>
              <w:pStyle w:val="Tablea"/>
            </w:pPr>
            <w:r w:rsidRPr="00B715AF">
              <w:t>(a) crude oil;</w:t>
            </w:r>
          </w:p>
          <w:p w:rsidR="008B6A35" w:rsidRPr="00B715AF" w:rsidRDefault="008B6A35" w:rsidP="008B6A35">
            <w:pPr>
              <w:pStyle w:val="Tablea"/>
            </w:pPr>
            <w:r w:rsidRPr="00B715AF">
              <w:t>(b) condensate;</w:t>
            </w:r>
          </w:p>
          <w:p w:rsidR="008B6A35" w:rsidRPr="00B715AF" w:rsidRDefault="008B6A35" w:rsidP="008B6A35">
            <w:pPr>
              <w:pStyle w:val="Tablea"/>
            </w:pPr>
            <w:r w:rsidRPr="00B715AF">
              <w:t>(c) natural gas liquid;</w:t>
            </w:r>
          </w:p>
          <w:p w:rsidR="008B6A35" w:rsidRPr="00B715AF" w:rsidRDefault="008B6A35" w:rsidP="008B6A35">
            <w:pPr>
              <w:pStyle w:val="Tablea"/>
            </w:pPr>
            <w:r w:rsidRPr="00B715AF">
              <w:t>(d) refinery feedstock (other)</w:t>
            </w:r>
          </w:p>
        </w:tc>
        <w:tc>
          <w:tcPr>
            <w:tcW w:w="1701" w:type="dxa"/>
            <w:tcBorders>
              <w:bottom w:val="single" w:sz="2" w:space="0" w:color="auto"/>
            </w:tcBorders>
            <w:shd w:val="clear" w:color="auto" w:fill="auto"/>
          </w:tcPr>
          <w:p w:rsidR="008B6A35" w:rsidRPr="00B715AF" w:rsidRDefault="008B6A35" w:rsidP="008B6A35">
            <w:pPr>
              <w:pStyle w:val="Tabletext"/>
            </w:pPr>
            <w:r w:rsidRPr="00B715AF">
              <w:t>the regulated entity who undertakes the wholesaling</w:t>
            </w:r>
          </w:p>
        </w:tc>
        <w:tc>
          <w:tcPr>
            <w:tcW w:w="3543" w:type="dxa"/>
            <w:tcBorders>
              <w:bottom w:val="single" w:sz="2" w:space="0" w:color="auto"/>
            </w:tcBorders>
            <w:shd w:val="clear" w:color="auto" w:fill="auto"/>
          </w:tcPr>
          <w:p w:rsidR="008B6A35" w:rsidRPr="00B715AF" w:rsidRDefault="008B6A35" w:rsidP="005911B7">
            <w:pPr>
              <w:pStyle w:val="Tabletext"/>
            </w:pPr>
            <w:r w:rsidRPr="00B715AF">
              <w:t>the total quantity of crude oil, condensate, natural gas liquid and refinery feedstock (other) the regulated entity wholesales in Australia during the reporting period, broken down by each State marketing area</w:t>
            </w:r>
          </w:p>
        </w:tc>
      </w:tr>
      <w:tr w:rsidR="00CB4093" w:rsidRPr="00B715AF" w:rsidTr="00DE2231">
        <w:tc>
          <w:tcPr>
            <w:tcW w:w="704" w:type="dxa"/>
            <w:tcBorders>
              <w:top w:val="single" w:sz="2" w:space="0" w:color="auto"/>
              <w:bottom w:val="single" w:sz="12" w:space="0" w:color="auto"/>
            </w:tcBorders>
            <w:shd w:val="clear" w:color="auto" w:fill="auto"/>
          </w:tcPr>
          <w:p w:rsidR="00CB4093" w:rsidRPr="00B715AF" w:rsidRDefault="008B6A35" w:rsidP="00E530F6">
            <w:pPr>
              <w:pStyle w:val="Tabletext"/>
            </w:pPr>
            <w:r w:rsidRPr="00B715AF">
              <w:t>12</w:t>
            </w:r>
          </w:p>
        </w:tc>
        <w:tc>
          <w:tcPr>
            <w:tcW w:w="2126" w:type="dxa"/>
            <w:tcBorders>
              <w:top w:val="single" w:sz="2" w:space="0" w:color="auto"/>
              <w:bottom w:val="single" w:sz="12" w:space="0" w:color="auto"/>
            </w:tcBorders>
            <w:shd w:val="clear" w:color="auto" w:fill="auto"/>
          </w:tcPr>
          <w:p w:rsidR="00CB4093" w:rsidRPr="00B715AF" w:rsidRDefault="00CB4093" w:rsidP="00E12BBF">
            <w:pPr>
              <w:pStyle w:val="Tabletext"/>
            </w:pPr>
            <w:r w:rsidRPr="00B715AF">
              <w:t>wholesaling any kind of covered product</w:t>
            </w:r>
            <w:r w:rsidR="000F700A" w:rsidRPr="00B715AF">
              <w:t xml:space="preserve"> </w:t>
            </w:r>
            <w:r w:rsidRPr="00B715AF">
              <w:t xml:space="preserve">during a </w:t>
            </w:r>
            <w:r w:rsidR="001E68DF" w:rsidRPr="00B715AF">
              <w:t>reporting period</w:t>
            </w:r>
            <w:r w:rsidR="001A3854" w:rsidRPr="00B715AF">
              <w:t xml:space="preserve">, </w:t>
            </w:r>
            <w:r w:rsidR="005810D1" w:rsidRPr="00B715AF">
              <w:t xml:space="preserve">other than a covered product mentioned in </w:t>
            </w:r>
            <w:r w:rsidR="001A3854" w:rsidRPr="00B715AF">
              <w:t>item</w:t>
            </w:r>
            <w:r w:rsidR="00B715AF" w:rsidRPr="00B715AF">
              <w:t> </w:t>
            </w:r>
            <w:r w:rsidR="001A3854" w:rsidRPr="00B715AF">
              <w:t>9, 10 or 11</w:t>
            </w:r>
          </w:p>
        </w:tc>
        <w:tc>
          <w:tcPr>
            <w:tcW w:w="1701" w:type="dxa"/>
            <w:tcBorders>
              <w:top w:val="single" w:sz="2" w:space="0" w:color="auto"/>
              <w:bottom w:val="single" w:sz="12" w:space="0" w:color="auto"/>
            </w:tcBorders>
            <w:shd w:val="clear" w:color="auto" w:fill="auto"/>
          </w:tcPr>
          <w:p w:rsidR="00CB4093" w:rsidRPr="00B715AF" w:rsidRDefault="00CB4093" w:rsidP="00E530F6">
            <w:pPr>
              <w:pStyle w:val="Tabletext"/>
            </w:pPr>
            <w:r w:rsidRPr="00B715AF">
              <w:t>the regulated entity who undertakes the wholesaling</w:t>
            </w:r>
          </w:p>
        </w:tc>
        <w:tc>
          <w:tcPr>
            <w:tcW w:w="3543" w:type="dxa"/>
            <w:tcBorders>
              <w:top w:val="single" w:sz="2" w:space="0" w:color="auto"/>
              <w:bottom w:val="single" w:sz="12" w:space="0" w:color="auto"/>
            </w:tcBorders>
            <w:shd w:val="clear" w:color="auto" w:fill="auto"/>
          </w:tcPr>
          <w:p w:rsidR="00CB4093" w:rsidRPr="00B715AF" w:rsidRDefault="00CB4093" w:rsidP="00404AFE">
            <w:pPr>
              <w:pStyle w:val="Tabletext"/>
            </w:pPr>
            <w:r w:rsidRPr="00B715AF">
              <w:t xml:space="preserve">the quantity of covered product </w:t>
            </w:r>
            <w:r w:rsidR="001E68DF" w:rsidRPr="00B715AF">
              <w:t xml:space="preserve">(other than </w:t>
            </w:r>
            <w:r w:rsidR="00404AFE" w:rsidRPr="00B715AF">
              <w:t>a covered product mentioned in item</w:t>
            </w:r>
            <w:r w:rsidR="00B715AF" w:rsidRPr="00B715AF">
              <w:t> </w:t>
            </w:r>
            <w:r w:rsidR="00404AFE" w:rsidRPr="00B715AF">
              <w:t>9, 10 or 11)</w:t>
            </w:r>
            <w:r w:rsidR="001E68DF" w:rsidRPr="00B715AF">
              <w:t xml:space="preserve"> </w:t>
            </w:r>
            <w:r w:rsidRPr="00B715AF">
              <w:t xml:space="preserve">the regulated entity wholesales in Australia during the </w:t>
            </w:r>
            <w:r w:rsidR="001E68DF" w:rsidRPr="00B715AF">
              <w:t>reporting period</w:t>
            </w:r>
            <w:r w:rsidRPr="00B715AF">
              <w:t>, broken down</w:t>
            </w:r>
            <w:r w:rsidR="00075F98" w:rsidRPr="00B715AF">
              <w:t xml:space="preserve"> </w:t>
            </w:r>
            <w:r w:rsidRPr="00B715AF">
              <w:t>by each State marketing area</w:t>
            </w:r>
          </w:p>
        </w:tc>
      </w:tr>
    </w:tbl>
    <w:p w:rsidR="00A22215" w:rsidRPr="00B715AF" w:rsidRDefault="00A22215" w:rsidP="00A22215">
      <w:pPr>
        <w:pStyle w:val="SubsectionHead"/>
      </w:pPr>
      <w:r w:rsidRPr="00B715AF">
        <w:t>Quantities and densities must be broken down into categories and subcategories of covered product</w:t>
      </w:r>
    </w:p>
    <w:p w:rsidR="00A22215" w:rsidRPr="00B715AF" w:rsidRDefault="00A22215" w:rsidP="00A22215">
      <w:pPr>
        <w:pStyle w:val="subsection"/>
      </w:pPr>
      <w:r w:rsidRPr="00B715AF">
        <w:tab/>
        <w:t>(2)</w:t>
      </w:r>
      <w:r w:rsidRPr="00B715AF">
        <w:tab/>
        <w:t xml:space="preserve">The quantities and densities mentioned in column 3 of the table in </w:t>
      </w:r>
      <w:r w:rsidR="00B715AF" w:rsidRPr="00B715AF">
        <w:t>subsection (</w:t>
      </w:r>
      <w:r w:rsidRPr="00B715AF">
        <w:t>1) must be broken down into the relevant categories and subcategories of covered product mentioned in Schedule</w:t>
      </w:r>
      <w:r w:rsidR="00B715AF" w:rsidRPr="00B715AF">
        <w:t> </w:t>
      </w:r>
      <w:r w:rsidRPr="00B715AF">
        <w:t>1.</w:t>
      </w:r>
    </w:p>
    <w:p w:rsidR="008B6A35" w:rsidRPr="00B715AF" w:rsidRDefault="00A22215" w:rsidP="00A22215">
      <w:pPr>
        <w:pStyle w:val="subsection"/>
      </w:pPr>
      <w:r w:rsidRPr="00B715AF">
        <w:tab/>
        <w:t>(3)</w:t>
      </w:r>
      <w:r w:rsidR="0009136E" w:rsidRPr="00B715AF">
        <w:tab/>
      </w:r>
      <w:r w:rsidR="00B715AF" w:rsidRPr="00B715AF">
        <w:t>Subsection (</w:t>
      </w:r>
      <w:r w:rsidR="0009136E" w:rsidRPr="00B715AF">
        <w:t xml:space="preserve">2) does not apply to </w:t>
      </w:r>
      <w:r w:rsidR="005911B7" w:rsidRPr="00B715AF">
        <w:t>a quantity</w:t>
      </w:r>
      <w:r w:rsidR="0009136E" w:rsidRPr="00B715AF">
        <w:t xml:space="preserve"> </w:t>
      </w:r>
      <w:r w:rsidRPr="00B715AF">
        <w:t>mentioned in</w:t>
      </w:r>
      <w:r w:rsidR="008B6A35" w:rsidRPr="00B715AF">
        <w:t>:</w:t>
      </w:r>
    </w:p>
    <w:p w:rsidR="00A22215" w:rsidRPr="00B715AF" w:rsidRDefault="008B6A35" w:rsidP="008B6A35">
      <w:pPr>
        <w:pStyle w:val="paragraph"/>
      </w:pPr>
      <w:r w:rsidRPr="00B715AF">
        <w:tab/>
        <w:t>(a)</w:t>
      </w:r>
      <w:r w:rsidRPr="00B715AF">
        <w:tab/>
      </w:r>
      <w:r w:rsidR="00B715AF" w:rsidRPr="00B715AF">
        <w:t>paragraph (</w:t>
      </w:r>
      <w:r w:rsidR="00A22215" w:rsidRPr="00B715AF">
        <w:t>d) of column 3 of item</w:t>
      </w:r>
      <w:r w:rsidR="00B715AF" w:rsidRPr="00B715AF">
        <w:t> </w:t>
      </w:r>
      <w:r w:rsidRPr="00B715AF">
        <w:t>7 of the table; or</w:t>
      </w:r>
    </w:p>
    <w:p w:rsidR="008B6A35" w:rsidRPr="00B715AF" w:rsidRDefault="008B6A35" w:rsidP="008B6A35">
      <w:pPr>
        <w:pStyle w:val="paragraph"/>
      </w:pPr>
      <w:r w:rsidRPr="00B715AF">
        <w:tab/>
        <w:t>(b)</w:t>
      </w:r>
      <w:r w:rsidRPr="00B715AF">
        <w:tab/>
        <w:t>column 3 of item</w:t>
      </w:r>
      <w:r w:rsidR="00B715AF" w:rsidRPr="00B715AF">
        <w:t> </w:t>
      </w:r>
      <w:r w:rsidRPr="00B715AF">
        <w:t>11 of the table.</w:t>
      </w:r>
    </w:p>
    <w:p w:rsidR="00A22215" w:rsidRPr="00B715AF" w:rsidRDefault="0009136E" w:rsidP="00A22215">
      <w:pPr>
        <w:pStyle w:val="SubsectionHead"/>
      </w:pPr>
      <w:r w:rsidRPr="00B715AF">
        <w:t>Crude oil etc. sold or exported before the start of the reporting period</w:t>
      </w:r>
    </w:p>
    <w:p w:rsidR="00A22215" w:rsidRPr="00B715AF" w:rsidRDefault="00A22215" w:rsidP="00A22215">
      <w:pPr>
        <w:pStyle w:val="subsection"/>
      </w:pPr>
      <w:r w:rsidRPr="00B715AF">
        <w:tab/>
        <w:t>(4)</w:t>
      </w:r>
      <w:r w:rsidRPr="00B715AF">
        <w:tab/>
        <w:t>Column 3 of item</w:t>
      </w:r>
      <w:r w:rsidR="00B715AF" w:rsidRPr="00B715AF">
        <w:t> </w:t>
      </w:r>
      <w:r w:rsidRPr="00B715AF">
        <w:t>1</w:t>
      </w:r>
      <w:r w:rsidR="001343D9" w:rsidRPr="00B715AF">
        <w:t>, and item</w:t>
      </w:r>
      <w:r w:rsidR="00B715AF" w:rsidRPr="00B715AF">
        <w:t> </w:t>
      </w:r>
      <w:r w:rsidR="001343D9" w:rsidRPr="00B715AF">
        <w:t>2,</w:t>
      </w:r>
      <w:r w:rsidRPr="00B715AF">
        <w:t xml:space="preserve"> of the table in </w:t>
      </w:r>
      <w:r w:rsidR="00B715AF" w:rsidRPr="00B715AF">
        <w:t>subsection (</w:t>
      </w:r>
      <w:r w:rsidR="003112F1" w:rsidRPr="00B715AF">
        <w:t>1) do</w:t>
      </w:r>
      <w:r w:rsidRPr="00B715AF">
        <w:t xml:space="preserve"> not apply to crude oil, condensate or liquefied petroleum gas that was sold or exported before the start of the reporting period.</w:t>
      </w:r>
    </w:p>
    <w:p w:rsidR="0009136E" w:rsidRPr="00B715AF" w:rsidRDefault="0009136E" w:rsidP="0009136E">
      <w:pPr>
        <w:pStyle w:val="SubsectionHead"/>
      </w:pPr>
      <w:r w:rsidRPr="00B715AF">
        <w:t>Thresholds</w:t>
      </w:r>
    </w:p>
    <w:p w:rsidR="00ED0102" w:rsidRPr="00B715AF" w:rsidRDefault="00ED0102" w:rsidP="00ED0102">
      <w:pPr>
        <w:pStyle w:val="subsection"/>
      </w:pPr>
      <w:r w:rsidRPr="00B715AF">
        <w:tab/>
        <w:t>(</w:t>
      </w:r>
      <w:r w:rsidR="0009136E" w:rsidRPr="00B715AF">
        <w:t>5</w:t>
      </w:r>
      <w:r w:rsidRPr="00B715AF">
        <w:t>)</w:t>
      </w:r>
      <w:r w:rsidRPr="00B715AF">
        <w:tab/>
        <w:t>For the purposes of subsection</w:t>
      </w:r>
      <w:r w:rsidR="00B715AF" w:rsidRPr="00B715AF">
        <w:t> </w:t>
      </w:r>
      <w:r w:rsidRPr="00B715AF">
        <w:t>13(2) of the Act, subsection</w:t>
      </w:r>
      <w:r w:rsidR="00B715AF" w:rsidRPr="00B715AF">
        <w:t> </w:t>
      </w:r>
      <w:r w:rsidRPr="00B715AF">
        <w:t xml:space="preserve">11(2) of the Act does not apply, in relation to a report mentioned in </w:t>
      </w:r>
      <w:r w:rsidR="00B715AF" w:rsidRPr="00B715AF">
        <w:t>subsection (</w:t>
      </w:r>
      <w:r w:rsidRPr="00B715AF">
        <w:t xml:space="preserve">1) of this section for a </w:t>
      </w:r>
      <w:r w:rsidR="001E68DF" w:rsidRPr="00B715AF">
        <w:t>reporting period</w:t>
      </w:r>
      <w:r w:rsidR="00C917BD" w:rsidRPr="00B715AF">
        <w:t xml:space="preserve"> in a financial year</w:t>
      </w:r>
      <w:r w:rsidRPr="00B715AF">
        <w:t>, in the following circumstances:</w:t>
      </w:r>
    </w:p>
    <w:p w:rsidR="00CB4093" w:rsidRPr="00B715AF" w:rsidRDefault="003A6626" w:rsidP="00CB4093">
      <w:pPr>
        <w:pStyle w:val="paragraph"/>
      </w:pPr>
      <w:r w:rsidRPr="00B715AF">
        <w:tab/>
        <w:t>(a)</w:t>
      </w:r>
      <w:r w:rsidRPr="00B715AF">
        <w:tab/>
      </w:r>
      <w:r w:rsidR="00CB4093" w:rsidRPr="00B715AF">
        <w:t>if item</w:t>
      </w:r>
      <w:r w:rsidR="00B715AF" w:rsidRPr="00B715AF">
        <w:t> </w:t>
      </w:r>
      <w:r w:rsidR="00CB4093" w:rsidRPr="00B715AF">
        <w:t xml:space="preserve">1 or 2 of the table </w:t>
      </w:r>
      <w:r w:rsidR="00BE5114" w:rsidRPr="00B715AF">
        <w:t xml:space="preserve">in </w:t>
      </w:r>
      <w:r w:rsidR="00B715AF" w:rsidRPr="00B715AF">
        <w:t>subsection (</w:t>
      </w:r>
      <w:r w:rsidR="00BE5114" w:rsidRPr="00B715AF">
        <w:t xml:space="preserve">1) </w:t>
      </w:r>
      <w:r w:rsidR="00CB4093" w:rsidRPr="00B715AF">
        <w:t xml:space="preserve">applies—the total weight of the crude oil, condensate and liquefied petroleum gas produced at the </w:t>
      </w:r>
      <w:r w:rsidR="00BE5114" w:rsidRPr="00B715AF">
        <w:t xml:space="preserve">Australian </w:t>
      </w:r>
      <w:r w:rsidR="00CB4093" w:rsidRPr="00B715AF">
        <w:t>field in the previous financial year was less than 3,000 tonnes;</w:t>
      </w:r>
    </w:p>
    <w:p w:rsidR="000878DB" w:rsidRPr="00B715AF" w:rsidRDefault="003A6626" w:rsidP="000878DB">
      <w:pPr>
        <w:pStyle w:val="paragraph"/>
      </w:pPr>
      <w:r w:rsidRPr="00B715AF">
        <w:tab/>
        <w:t>(b)</w:t>
      </w:r>
      <w:r w:rsidRPr="00B715AF">
        <w:tab/>
      </w:r>
      <w:r w:rsidR="000878DB" w:rsidRPr="00B715AF">
        <w:t>if item</w:t>
      </w:r>
      <w:r w:rsidR="00B715AF" w:rsidRPr="00B715AF">
        <w:t> </w:t>
      </w:r>
      <w:r w:rsidRPr="00B715AF">
        <w:t>3</w:t>
      </w:r>
      <w:r w:rsidR="000878DB" w:rsidRPr="00B715AF">
        <w:t xml:space="preserve"> or </w:t>
      </w:r>
      <w:r w:rsidRPr="00B715AF">
        <w:t>4</w:t>
      </w:r>
      <w:r w:rsidR="000878DB" w:rsidRPr="00B715AF">
        <w:t xml:space="preserve"> of the table</w:t>
      </w:r>
      <w:r w:rsidR="00594047" w:rsidRPr="00B715AF">
        <w:t xml:space="preserve"> applies</w:t>
      </w:r>
      <w:r w:rsidR="000878DB" w:rsidRPr="00B715AF">
        <w:t xml:space="preserve">—the total weight of the </w:t>
      </w:r>
      <w:r w:rsidR="000C0196" w:rsidRPr="00B715AF">
        <w:t xml:space="preserve">transport </w:t>
      </w:r>
      <w:r w:rsidR="000878DB" w:rsidRPr="00B715AF">
        <w:t>biofuel produced at the Australian biofuel plant in the previous financial year was less than 3,000 tonnes;</w:t>
      </w:r>
    </w:p>
    <w:p w:rsidR="00CB4093" w:rsidRPr="00B715AF" w:rsidRDefault="003A6626" w:rsidP="00AD0C93">
      <w:pPr>
        <w:pStyle w:val="paragraph"/>
      </w:pPr>
      <w:r w:rsidRPr="00B715AF">
        <w:tab/>
        <w:t>(c)</w:t>
      </w:r>
      <w:r w:rsidRPr="00B715AF">
        <w:tab/>
      </w:r>
      <w:r w:rsidR="00CB4093" w:rsidRPr="00B715AF">
        <w:t>if item</w:t>
      </w:r>
      <w:r w:rsidR="00B715AF" w:rsidRPr="00B715AF">
        <w:t> </w:t>
      </w:r>
      <w:r w:rsidRPr="00B715AF">
        <w:t>5</w:t>
      </w:r>
      <w:r w:rsidR="00CB4093" w:rsidRPr="00B715AF">
        <w:t xml:space="preserve"> or </w:t>
      </w:r>
      <w:r w:rsidRPr="00B715AF">
        <w:t>6</w:t>
      </w:r>
      <w:r w:rsidR="00CB4093" w:rsidRPr="00B715AF">
        <w:t xml:space="preserve"> of the table applies—the total weight of</w:t>
      </w:r>
      <w:r w:rsidR="00AD0C93" w:rsidRPr="00B715AF">
        <w:t xml:space="preserve"> </w:t>
      </w:r>
      <w:r w:rsidR="00952B62" w:rsidRPr="00B715AF">
        <w:t>plant product</w:t>
      </w:r>
      <w:r w:rsidR="00CB4093" w:rsidRPr="00B715AF">
        <w:t xml:space="preserve"> output from processing undertaken at the </w:t>
      </w:r>
      <w:r w:rsidR="00BE5114" w:rsidRPr="00B715AF">
        <w:t xml:space="preserve">Australian </w:t>
      </w:r>
      <w:r w:rsidR="00CB4093" w:rsidRPr="00B715AF">
        <w:t>plant</w:t>
      </w:r>
      <w:r w:rsidR="00AD0C93" w:rsidRPr="00B715AF">
        <w:t xml:space="preserve"> (non</w:t>
      </w:r>
      <w:r w:rsidR="00B715AF">
        <w:noBreakHyphen/>
      </w:r>
      <w:r w:rsidR="00AD0C93" w:rsidRPr="00B715AF">
        <w:t>biofuel)</w:t>
      </w:r>
      <w:r w:rsidR="00CB4093" w:rsidRPr="00B715AF">
        <w:t xml:space="preserve"> in the previous financial year was less than 3,000 tonnes;</w:t>
      </w:r>
    </w:p>
    <w:p w:rsidR="00CB4093" w:rsidRPr="00B715AF" w:rsidRDefault="003A6626" w:rsidP="00CB4093">
      <w:pPr>
        <w:pStyle w:val="paragraph"/>
      </w:pPr>
      <w:r w:rsidRPr="00B715AF">
        <w:tab/>
        <w:t>(d)</w:t>
      </w:r>
      <w:r w:rsidRPr="00B715AF">
        <w:tab/>
      </w:r>
      <w:r w:rsidR="00CB4093" w:rsidRPr="00B715AF">
        <w:t>if item</w:t>
      </w:r>
      <w:r w:rsidR="00B715AF" w:rsidRPr="00B715AF">
        <w:t> </w:t>
      </w:r>
      <w:r w:rsidRPr="00B715AF">
        <w:t>7</w:t>
      </w:r>
      <w:r w:rsidR="00CB4093" w:rsidRPr="00B715AF">
        <w:t xml:space="preserve"> or </w:t>
      </w:r>
      <w:r w:rsidRPr="00B715AF">
        <w:t>8</w:t>
      </w:r>
      <w:r w:rsidR="00CB4093" w:rsidRPr="00B715AF">
        <w:t xml:space="preserve"> of the table applies—the total weight of output </w:t>
      </w:r>
      <w:r w:rsidR="00233015" w:rsidRPr="00B715AF">
        <w:t xml:space="preserve">stock </w:t>
      </w:r>
      <w:r w:rsidR="00CB4093" w:rsidRPr="00B715AF">
        <w:t xml:space="preserve">from refining undertaken at the </w:t>
      </w:r>
      <w:r w:rsidR="00BE5114" w:rsidRPr="00B715AF">
        <w:t xml:space="preserve">Australian </w:t>
      </w:r>
      <w:r w:rsidR="00CB4093" w:rsidRPr="00B715AF">
        <w:t>refinery during the previous financial year was less than 3,000 tonnes;</w:t>
      </w:r>
    </w:p>
    <w:p w:rsidR="00CB4093" w:rsidRPr="00B715AF" w:rsidRDefault="003A6626" w:rsidP="00CB4093">
      <w:pPr>
        <w:pStyle w:val="paragraph"/>
      </w:pPr>
      <w:r w:rsidRPr="00B715AF">
        <w:tab/>
        <w:t>(e)</w:t>
      </w:r>
      <w:r w:rsidRPr="00B715AF">
        <w:tab/>
      </w:r>
      <w:r w:rsidR="00CB4093" w:rsidRPr="00B715AF">
        <w:t>if item</w:t>
      </w:r>
      <w:r w:rsidR="00B715AF" w:rsidRPr="00B715AF">
        <w:t> </w:t>
      </w:r>
      <w:r w:rsidRPr="00B715AF">
        <w:t>9</w:t>
      </w:r>
      <w:r w:rsidR="00AB4C39" w:rsidRPr="00B715AF">
        <w:t xml:space="preserve">, </w:t>
      </w:r>
      <w:r w:rsidRPr="00B715AF">
        <w:t>10</w:t>
      </w:r>
      <w:r w:rsidR="008B6A35" w:rsidRPr="00B715AF">
        <w:t>, 11 or 12</w:t>
      </w:r>
      <w:r w:rsidR="002F128C" w:rsidRPr="00B715AF">
        <w:t xml:space="preserve"> </w:t>
      </w:r>
      <w:r w:rsidR="00CB4093" w:rsidRPr="00B715AF">
        <w:t xml:space="preserve">of the table applies—the total weight of all covered products wholesaled by the </w:t>
      </w:r>
      <w:r w:rsidR="00C2161C" w:rsidRPr="00B715AF">
        <w:t xml:space="preserve">regulated </w:t>
      </w:r>
      <w:r w:rsidR="00CB4093" w:rsidRPr="00B715AF">
        <w:t>entity during the previous financial year was less than 3,000 tonnes.</w:t>
      </w:r>
    </w:p>
    <w:p w:rsidR="003A2315" w:rsidRPr="00B715AF" w:rsidRDefault="00A06430" w:rsidP="003A2315">
      <w:pPr>
        <w:pStyle w:val="ActHead5"/>
      </w:pPr>
      <w:bookmarkStart w:id="27" w:name="_Toc497725303"/>
      <w:r w:rsidRPr="00B715AF">
        <w:rPr>
          <w:rStyle w:val="CharSectno"/>
        </w:rPr>
        <w:t>17</w:t>
      </w:r>
      <w:r w:rsidR="003A2315" w:rsidRPr="00B715AF">
        <w:t xml:space="preserve">  Reports—holding stock</w:t>
      </w:r>
      <w:bookmarkEnd w:id="27"/>
    </w:p>
    <w:p w:rsidR="00075F98" w:rsidRPr="00B715AF" w:rsidRDefault="00075F98" w:rsidP="00075F98">
      <w:pPr>
        <w:pStyle w:val="subsection"/>
      </w:pPr>
      <w:r w:rsidRPr="00B715AF">
        <w:tab/>
        <w:t>(</w:t>
      </w:r>
      <w:r w:rsidR="00454C1E" w:rsidRPr="00B715AF">
        <w:t>1</w:t>
      </w:r>
      <w:r w:rsidRPr="00B715AF">
        <w:t>)</w:t>
      </w:r>
      <w:r w:rsidRPr="00B715AF">
        <w:tab/>
        <w:t>For the purposes of section</w:t>
      </w:r>
      <w:r w:rsidR="00B715AF" w:rsidRPr="00B715AF">
        <w:t> </w:t>
      </w:r>
      <w:r w:rsidRPr="00B715AF">
        <w:t>11 of the Act:</w:t>
      </w:r>
    </w:p>
    <w:p w:rsidR="00CD72D0" w:rsidRPr="00B715AF" w:rsidRDefault="00A2010E" w:rsidP="006F5005">
      <w:pPr>
        <w:pStyle w:val="paragraph"/>
      </w:pPr>
      <w:r w:rsidRPr="00B715AF">
        <w:tab/>
        <w:t>(a)</w:t>
      </w:r>
      <w:r w:rsidRPr="00B715AF">
        <w:tab/>
        <w:t xml:space="preserve">a report must be given under that section if a covered activity </w:t>
      </w:r>
      <w:r w:rsidR="008B43A4" w:rsidRPr="00B715AF">
        <w:t xml:space="preserve">of the kind </w:t>
      </w:r>
      <w:r w:rsidRPr="00B715AF">
        <w:t xml:space="preserve">mentioned in column 1 of an item of the following table </w:t>
      </w:r>
      <w:r w:rsidR="00D30A5F" w:rsidRPr="00B715AF">
        <w:t xml:space="preserve">(as affected by </w:t>
      </w:r>
      <w:r w:rsidR="00B715AF" w:rsidRPr="00B715AF">
        <w:t>subsection (</w:t>
      </w:r>
      <w:r w:rsidR="00D30A5F" w:rsidRPr="00B715AF">
        <w:t>2) or (3)</w:t>
      </w:r>
      <w:r w:rsidR="00F33FAA" w:rsidRPr="00B715AF">
        <w:t xml:space="preserve"> of this section</w:t>
      </w:r>
      <w:r w:rsidR="00D30A5F" w:rsidRPr="00B715AF">
        <w:t xml:space="preserve">) </w:t>
      </w:r>
      <w:r w:rsidRPr="00B715AF">
        <w:t>is undertaken</w:t>
      </w:r>
      <w:r w:rsidR="006F5005" w:rsidRPr="00B715AF">
        <w:t xml:space="preserve">, at the end of a reporting period, </w:t>
      </w:r>
      <w:r w:rsidR="00CD72D0" w:rsidRPr="00B715AF">
        <w:t>in relation to the kind of covered product mentioned in</w:t>
      </w:r>
      <w:r w:rsidRPr="00B715AF">
        <w:t xml:space="preserve"> column 1 of</w:t>
      </w:r>
      <w:r w:rsidR="00CD72D0" w:rsidRPr="00B715AF">
        <w:t xml:space="preserve"> that item</w:t>
      </w:r>
      <w:r w:rsidR="00F06FB6" w:rsidRPr="00B715AF">
        <w:t>;</w:t>
      </w:r>
      <w:r w:rsidR="00CD72D0" w:rsidRPr="00B715AF">
        <w:t xml:space="preserve"> and</w:t>
      </w:r>
    </w:p>
    <w:p w:rsidR="00075F98" w:rsidRPr="00B715AF" w:rsidRDefault="00075F98" w:rsidP="00CD72D0">
      <w:pPr>
        <w:pStyle w:val="paragraph"/>
      </w:pPr>
      <w:r w:rsidRPr="00B715AF">
        <w:tab/>
        <w:t>(b)</w:t>
      </w:r>
      <w:r w:rsidRPr="00B715AF">
        <w:tab/>
        <w:t xml:space="preserve">the report must be given by the person mentioned in column </w:t>
      </w:r>
      <w:r w:rsidR="00233015" w:rsidRPr="00B715AF">
        <w:t>2</w:t>
      </w:r>
      <w:r w:rsidRPr="00B715AF">
        <w:t xml:space="preserve"> of </w:t>
      </w:r>
      <w:r w:rsidR="008B43A4" w:rsidRPr="00B715AF">
        <w:t>the item</w:t>
      </w:r>
      <w:r w:rsidRPr="00B715AF">
        <w:t>; and</w:t>
      </w:r>
    </w:p>
    <w:p w:rsidR="00075F98" w:rsidRPr="00B715AF" w:rsidRDefault="00075F98" w:rsidP="00AE498C">
      <w:pPr>
        <w:pStyle w:val="paragraph"/>
      </w:pPr>
      <w:r w:rsidRPr="00B715AF">
        <w:tab/>
        <w:t>(</w:t>
      </w:r>
      <w:r w:rsidR="002500AF" w:rsidRPr="00B715AF">
        <w:t>c</w:t>
      </w:r>
      <w:r w:rsidRPr="00B715AF">
        <w:t>)</w:t>
      </w:r>
      <w:r w:rsidRPr="00B715AF">
        <w:tab/>
        <w:t>the report must include the fuel information me</w:t>
      </w:r>
      <w:r w:rsidR="00AE498C" w:rsidRPr="00B715AF">
        <w:t xml:space="preserve">ntioned in column </w:t>
      </w:r>
      <w:r w:rsidR="00233015" w:rsidRPr="00B715AF">
        <w:t>3</w:t>
      </w:r>
      <w:r w:rsidR="00AE498C" w:rsidRPr="00B715AF">
        <w:t xml:space="preserve"> of the item in relation</w:t>
      </w:r>
      <w:r w:rsidR="00E966F8" w:rsidRPr="00B715AF">
        <w:t xml:space="preserve"> to stock held, as mentioned in that item, at the end of the reporting period</w:t>
      </w:r>
      <w:r w:rsidRPr="00B715AF">
        <w:t>.</w:t>
      </w:r>
    </w:p>
    <w:p w:rsidR="003A2315" w:rsidRPr="00B715AF" w:rsidRDefault="003A2315" w:rsidP="003A2315">
      <w:pPr>
        <w:pStyle w:val="Tabletext"/>
      </w:pPr>
    </w:p>
    <w:tbl>
      <w:tblPr>
        <w:tblW w:w="821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2126"/>
        <w:gridCol w:w="2977"/>
      </w:tblGrid>
      <w:tr w:rsidR="003A2315" w:rsidRPr="00B715AF" w:rsidTr="006F5005">
        <w:trPr>
          <w:tblHeader/>
        </w:trPr>
        <w:tc>
          <w:tcPr>
            <w:tcW w:w="8217" w:type="dxa"/>
            <w:gridSpan w:val="4"/>
            <w:tcBorders>
              <w:top w:val="single" w:sz="12" w:space="0" w:color="auto"/>
              <w:bottom w:val="single" w:sz="6" w:space="0" w:color="auto"/>
            </w:tcBorders>
            <w:shd w:val="clear" w:color="auto" w:fill="auto"/>
          </w:tcPr>
          <w:p w:rsidR="003A2315" w:rsidRPr="00B715AF" w:rsidRDefault="003A2315" w:rsidP="00E530F6">
            <w:pPr>
              <w:pStyle w:val="TableHeading"/>
            </w:pPr>
            <w:r w:rsidRPr="00B715AF">
              <w:t>Reports—holding stock</w:t>
            </w:r>
          </w:p>
        </w:tc>
      </w:tr>
      <w:tr w:rsidR="006F5005" w:rsidRPr="00B715AF" w:rsidTr="006F5005">
        <w:trPr>
          <w:trHeight w:val="472"/>
          <w:tblHeader/>
        </w:trPr>
        <w:tc>
          <w:tcPr>
            <w:tcW w:w="714" w:type="dxa"/>
            <w:tcBorders>
              <w:top w:val="single" w:sz="6" w:space="0" w:color="auto"/>
              <w:bottom w:val="single" w:sz="12" w:space="0" w:color="auto"/>
            </w:tcBorders>
            <w:shd w:val="clear" w:color="auto" w:fill="auto"/>
          </w:tcPr>
          <w:p w:rsidR="006F5005" w:rsidRPr="00B715AF" w:rsidRDefault="006F5005" w:rsidP="00E530F6">
            <w:pPr>
              <w:pStyle w:val="TableHeading"/>
            </w:pPr>
            <w:r w:rsidRPr="00B715AF">
              <w:t>Item</w:t>
            </w:r>
          </w:p>
        </w:tc>
        <w:tc>
          <w:tcPr>
            <w:tcW w:w="2400" w:type="dxa"/>
            <w:tcBorders>
              <w:top w:val="single" w:sz="6" w:space="0" w:color="auto"/>
              <w:bottom w:val="single" w:sz="12" w:space="0" w:color="auto"/>
            </w:tcBorders>
            <w:shd w:val="clear" w:color="auto" w:fill="auto"/>
          </w:tcPr>
          <w:p w:rsidR="006F5005" w:rsidRPr="00B715AF" w:rsidRDefault="006F5005" w:rsidP="00AB556B">
            <w:pPr>
              <w:pStyle w:val="TableHeading"/>
            </w:pPr>
            <w:r w:rsidRPr="00B715AF">
              <w:t>Column 1</w:t>
            </w:r>
          </w:p>
          <w:p w:rsidR="006F5005" w:rsidRPr="00B715AF" w:rsidRDefault="006F5005" w:rsidP="00A2010E">
            <w:pPr>
              <w:pStyle w:val="TableHeading"/>
            </w:pPr>
            <w:r w:rsidRPr="00B715AF">
              <w:t>Covered activity</w:t>
            </w:r>
            <w:r w:rsidR="00D30A5F" w:rsidRPr="00B715AF">
              <w:t xml:space="preserve"> undertaken at the end of a reporting period</w:t>
            </w:r>
          </w:p>
        </w:tc>
        <w:tc>
          <w:tcPr>
            <w:tcW w:w="2126" w:type="dxa"/>
            <w:tcBorders>
              <w:top w:val="single" w:sz="6" w:space="0" w:color="auto"/>
              <w:bottom w:val="single" w:sz="12" w:space="0" w:color="auto"/>
            </w:tcBorders>
            <w:shd w:val="clear" w:color="auto" w:fill="auto"/>
          </w:tcPr>
          <w:p w:rsidR="006F5005" w:rsidRPr="00B715AF" w:rsidRDefault="006F5005" w:rsidP="00E530F6">
            <w:pPr>
              <w:pStyle w:val="TableHeading"/>
            </w:pPr>
            <w:r w:rsidRPr="00B715AF">
              <w:t>Column 2</w:t>
            </w:r>
          </w:p>
          <w:p w:rsidR="006F5005" w:rsidRPr="00B715AF" w:rsidRDefault="006F5005" w:rsidP="00E530F6">
            <w:pPr>
              <w:pStyle w:val="TableHeading"/>
            </w:pPr>
            <w:r w:rsidRPr="00B715AF">
              <w:t>Reporter</w:t>
            </w:r>
          </w:p>
        </w:tc>
        <w:tc>
          <w:tcPr>
            <w:tcW w:w="2977" w:type="dxa"/>
            <w:tcBorders>
              <w:top w:val="single" w:sz="6" w:space="0" w:color="auto"/>
              <w:bottom w:val="single" w:sz="12" w:space="0" w:color="auto"/>
            </w:tcBorders>
            <w:shd w:val="clear" w:color="auto" w:fill="auto"/>
          </w:tcPr>
          <w:p w:rsidR="006F5005" w:rsidRPr="00B715AF" w:rsidRDefault="006F5005" w:rsidP="00E530F6">
            <w:pPr>
              <w:pStyle w:val="TableHeading"/>
            </w:pPr>
            <w:r w:rsidRPr="00B715AF">
              <w:t>Column 3</w:t>
            </w:r>
          </w:p>
          <w:p w:rsidR="006F5005" w:rsidRPr="00B715AF" w:rsidRDefault="006F5005" w:rsidP="00AE498C">
            <w:pPr>
              <w:pStyle w:val="TableHeading"/>
            </w:pPr>
            <w:r w:rsidRPr="00B715AF">
              <w:t>Fuel information</w:t>
            </w:r>
          </w:p>
        </w:tc>
      </w:tr>
      <w:tr w:rsidR="006F5005" w:rsidRPr="00B715AF" w:rsidTr="006F5005">
        <w:tc>
          <w:tcPr>
            <w:tcW w:w="714" w:type="dxa"/>
            <w:tcBorders>
              <w:top w:val="single" w:sz="12" w:space="0" w:color="auto"/>
            </w:tcBorders>
            <w:shd w:val="clear" w:color="auto" w:fill="auto"/>
          </w:tcPr>
          <w:p w:rsidR="006F5005" w:rsidRPr="00B715AF" w:rsidRDefault="006F5005" w:rsidP="00E530F6">
            <w:pPr>
              <w:pStyle w:val="Tabletext"/>
            </w:pPr>
            <w:r w:rsidRPr="00B715AF">
              <w:t>1</w:t>
            </w:r>
          </w:p>
        </w:tc>
        <w:tc>
          <w:tcPr>
            <w:tcW w:w="2400" w:type="dxa"/>
            <w:tcBorders>
              <w:top w:val="single" w:sz="12" w:space="0" w:color="auto"/>
            </w:tcBorders>
            <w:shd w:val="clear" w:color="auto" w:fill="auto"/>
          </w:tcPr>
          <w:p w:rsidR="000E7D4E" w:rsidRPr="00B715AF" w:rsidRDefault="006F5005" w:rsidP="000E7D4E">
            <w:pPr>
              <w:pStyle w:val="Tabletext"/>
            </w:pPr>
            <w:r w:rsidRPr="00B715AF">
              <w:t>holding stock of any kind of covered product</w:t>
            </w:r>
            <w:r w:rsidR="000E7D4E" w:rsidRPr="00B715AF">
              <w:t>, unless:</w:t>
            </w:r>
          </w:p>
          <w:p w:rsidR="000E7D4E" w:rsidRPr="00B715AF" w:rsidRDefault="000E7D4E" w:rsidP="000E7D4E">
            <w:pPr>
              <w:pStyle w:val="Tablea"/>
            </w:pPr>
            <w:r w:rsidRPr="00B715AF">
              <w:t>(</w:t>
            </w:r>
            <w:r w:rsidR="00641D2D" w:rsidRPr="00B715AF">
              <w:t>a</w:t>
            </w:r>
            <w:r w:rsidRPr="00B715AF">
              <w:t>) item</w:t>
            </w:r>
            <w:r w:rsidR="00B715AF" w:rsidRPr="00B715AF">
              <w:t> </w:t>
            </w:r>
            <w:r w:rsidR="00641D2D" w:rsidRPr="00B715AF">
              <w:t xml:space="preserve">2 or </w:t>
            </w:r>
            <w:r w:rsidRPr="00B715AF">
              <w:t>5</w:t>
            </w:r>
            <w:r w:rsidR="00D977B2" w:rsidRPr="00B715AF">
              <w:t xml:space="preserve"> </w:t>
            </w:r>
            <w:r w:rsidRPr="00B715AF">
              <w:t>applies</w:t>
            </w:r>
            <w:r w:rsidR="00641D2D" w:rsidRPr="00B715AF">
              <w:t>; or</w:t>
            </w:r>
          </w:p>
          <w:p w:rsidR="00641D2D" w:rsidRPr="00B715AF" w:rsidRDefault="00641D2D" w:rsidP="00641D2D">
            <w:pPr>
              <w:pStyle w:val="Tablea"/>
            </w:pPr>
            <w:r w:rsidRPr="00B715AF">
              <w:t>(b) the covered product is on water</w:t>
            </w:r>
          </w:p>
        </w:tc>
        <w:tc>
          <w:tcPr>
            <w:tcW w:w="2126" w:type="dxa"/>
            <w:tcBorders>
              <w:top w:val="single" w:sz="12" w:space="0" w:color="auto"/>
            </w:tcBorders>
            <w:shd w:val="clear" w:color="auto" w:fill="auto"/>
          </w:tcPr>
          <w:p w:rsidR="006F5005" w:rsidRPr="00B715AF" w:rsidRDefault="006F5005" w:rsidP="00E530F6">
            <w:pPr>
              <w:pStyle w:val="Tabletext"/>
            </w:pPr>
            <w:r w:rsidRPr="00B715AF">
              <w:t>the regulated entity who holds the stock</w:t>
            </w:r>
          </w:p>
        </w:tc>
        <w:tc>
          <w:tcPr>
            <w:tcW w:w="2977" w:type="dxa"/>
            <w:tcBorders>
              <w:top w:val="single" w:sz="12" w:space="0" w:color="auto"/>
            </w:tcBorders>
            <w:shd w:val="clear" w:color="auto" w:fill="auto"/>
          </w:tcPr>
          <w:p w:rsidR="00560E04" w:rsidRPr="00B715AF" w:rsidRDefault="006F5005" w:rsidP="00F143D4">
            <w:pPr>
              <w:pStyle w:val="Tabletext"/>
            </w:pPr>
            <w:r w:rsidRPr="00B715AF">
              <w:t xml:space="preserve">the </w:t>
            </w:r>
            <w:r w:rsidR="00146ECF" w:rsidRPr="00B715AF">
              <w:t xml:space="preserve">quantity </w:t>
            </w:r>
            <w:r w:rsidRPr="00B715AF">
              <w:t>of the stock held by the regulated entity as mentioned in column</w:t>
            </w:r>
            <w:r w:rsidR="00F33FAA" w:rsidRPr="00B715AF">
              <w:t>s</w:t>
            </w:r>
            <w:r w:rsidRPr="00B715AF">
              <w:t xml:space="preserve"> 1</w:t>
            </w:r>
            <w:r w:rsidR="00F33FAA" w:rsidRPr="00B715AF">
              <w:t xml:space="preserve"> and 2</w:t>
            </w:r>
            <w:r w:rsidRPr="00B715AF">
              <w:t>, broken down</w:t>
            </w:r>
            <w:r w:rsidR="00560E04" w:rsidRPr="00B715AF">
              <w:t>:</w:t>
            </w:r>
          </w:p>
          <w:p w:rsidR="00560E04" w:rsidRPr="00B715AF" w:rsidRDefault="00560E04" w:rsidP="00560E04">
            <w:pPr>
              <w:pStyle w:val="Tablea"/>
            </w:pPr>
            <w:r w:rsidRPr="00B715AF">
              <w:t>(a) into the relevant categories and subcategories of covered product mentioned in Schedule</w:t>
            </w:r>
            <w:r w:rsidR="00B715AF" w:rsidRPr="00B715AF">
              <w:t> </w:t>
            </w:r>
            <w:r w:rsidRPr="00B715AF">
              <w:t>1; and</w:t>
            </w:r>
          </w:p>
          <w:p w:rsidR="00560E04" w:rsidRPr="00B715AF" w:rsidRDefault="00560E04" w:rsidP="00560E04">
            <w:pPr>
              <w:pStyle w:val="Tablea"/>
            </w:pPr>
            <w:r w:rsidRPr="00B715AF">
              <w:t xml:space="preserve">(b) </w:t>
            </w:r>
            <w:r w:rsidR="006F5005" w:rsidRPr="00B715AF">
              <w:t>by each State or Territory in which the stock is held</w:t>
            </w:r>
          </w:p>
        </w:tc>
      </w:tr>
      <w:tr w:rsidR="006F5005" w:rsidRPr="00B715AF" w:rsidTr="006F5005">
        <w:tc>
          <w:tcPr>
            <w:tcW w:w="714" w:type="dxa"/>
            <w:shd w:val="clear" w:color="auto" w:fill="auto"/>
          </w:tcPr>
          <w:p w:rsidR="006F5005" w:rsidRPr="00B715AF" w:rsidRDefault="006F5005" w:rsidP="002A404F">
            <w:pPr>
              <w:pStyle w:val="Tabletext"/>
            </w:pPr>
            <w:r w:rsidRPr="00B715AF">
              <w:t>2</w:t>
            </w:r>
          </w:p>
        </w:tc>
        <w:tc>
          <w:tcPr>
            <w:tcW w:w="2400" w:type="dxa"/>
            <w:shd w:val="clear" w:color="auto" w:fill="auto"/>
          </w:tcPr>
          <w:p w:rsidR="006F5005" w:rsidRPr="00B715AF" w:rsidRDefault="006F5005" w:rsidP="008D23EB">
            <w:pPr>
              <w:pStyle w:val="Tabletext"/>
            </w:pPr>
            <w:r w:rsidRPr="00B715AF">
              <w:t>holding a contractual</w:t>
            </w:r>
            <w:r w:rsidR="00233015" w:rsidRPr="00B715AF">
              <w:t xml:space="preserve"> right</w:t>
            </w:r>
            <w:r w:rsidRPr="00B715AF">
              <w:t xml:space="preserve"> to take possession of any kind of covered product in the circumstance prescribed by paragraph</w:t>
            </w:r>
            <w:r w:rsidR="00B715AF" w:rsidRPr="00B715AF">
              <w:t> </w:t>
            </w:r>
            <w:r w:rsidR="00A06430" w:rsidRPr="00B715AF">
              <w:t>7</w:t>
            </w:r>
            <w:r w:rsidRPr="00B715AF">
              <w:t>(a) (about stocks ke</w:t>
            </w:r>
            <w:r w:rsidR="00C11D9D" w:rsidRPr="00B715AF">
              <w:t>pt in storage outside Australia), unless the covered product is</w:t>
            </w:r>
            <w:r w:rsidR="008D23EB" w:rsidRPr="00B715AF">
              <w:t xml:space="preserve"> </w:t>
            </w:r>
            <w:r w:rsidR="00C11D9D" w:rsidRPr="00B715AF">
              <w:t>on water</w:t>
            </w:r>
          </w:p>
        </w:tc>
        <w:tc>
          <w:tcPr>
            <w:tcW w:w="2126" w:type="dxa"/>
            <w:shd w:val="clear" w:color="auto" w:fill="auto"/>
          </w:tcPr>
          <w:p w:rsidR="006F5005" w:rsidRPr="00B715AF" w:rsidRDefault="006F5005" w:rsidP="002A404F">
            <w:pPr>
              <w:pStyle w:val="Tabletext"/>
            </w:pPr>
            <w:r w:rsidRPr="00B715AF">
              <w:t>the regulated entity who holds the stock (by holding the contractual right)</w:t>
            </w:r>
          </w:p>
          <w:p w:rsidR="006F5005" w:rsidRPr="00B715AF" w:rsidRDefault="006F5005" w:rsidP="003312B2">
            <w:pPr>
              <w:pStyle w:val="notemargin"/>
            </w:pPr>
            <w:r w:rsidRPr="00B715AF">
              <w:t>Note:</w:t>
            </w:r>
            <w:r w:rsidRPr="00B715AF">
              <w:tab/>
              <w:t>The holder is also the owner of the stock.</w:t>
            </w:r>
          </w:p>
        </w:tc>
        <w:tc>
          <w:tcPr>
            <w:tcW w:w="2977" w:type="dxa"/>
            <w:shd w:val="clear" w:color="auto" w:fill="auto"/>
          </w:tcPr>
          <w:p w:rsidR="00560E04" w:rsidRPr="00B715AF" w:rsidRDefault="006F5005" w:rsidP="00F143D4">
            <w:pPr>
              <w:pStyle w:val="Tabletext"/>
            </w:pPr>
            <w:r w:rsidRPr="00B715AF">
              <w:t xml:space="preserve">the </w:t>
            </w:r>
            <w:r w:rsidR="00146ECF" w:rsidRPr="00B715AF">
              <w:t>quantity</w:t>
            </w:r>
            <w:r w:rsidRPr="00B715AF">
              <w:t xml:space="preserve"> of the stock held by the regulated entity as mentioned in column</w:t>
            </w:r>
            <w:r w:rsidR="00765CC5" w:rsidRPr="00B715AF">
              <w:t>s</w:t>
            </w:r>
            <w:r w:rsidRPr="00B715AF">
              <w:t xml:space="preserve"> 1</w:t>
            </w:r>
            <w:r w:rsidR="00765CC5" w:rsidRPr="00B715AF">
              <w:t xml:space="preserve"> and 2</w:t>
            </w:r>
            <w:r w:rsidRPr="00B715AF">
              <w:t>, broken down</w:t>
            </w:r>
            <w:r w:rsidR="003D45E8" w:rsidRPr="00B715AF">
              <w:t>:</w:t>
            </w:r>
          </w:p>
          <w:p w:rsidR="00560E04" w:rsidRPr="00B715AF" w:rsidRDefault="00560E04" w:rsidP="00560E04">
            <w:pPr>
              <w:pStyle w:val="Tablea"/>
            </w:pPr>
            <w:r w:rsidRPr="00B715AF">
              <w:t>(a) into the relevant categories and subcategories of covered product mentioned in Schedule</w:t>
            </w:r>
            <w:r w:rsidR="00B715AF" w:rsidRPr="00B715AF">
              <w:t> </w:t>
            </w:r>
            <w:r w:rsidRPr="00B715AF">
              <w:t>1; and</w:t>
            </w:r>
          </w:p>
          <w:p w:rsidR="006F5005" w:rsidRPr="00B715AF" w:rsidRDefault="00560E04" w:rsidP="00560E04">
            <w:pPr>
              <w:pStyle w:val="Tablea"/>
            </w:pPr>
            <w:r w:rsidRPr="00B715AF">
              <w:t>(b) by each country in which the stock is kept in storage</w:t>
            </w:r>
          </w:p>
        </w:tc>
      </w:tr>
      <w:tr w:rsidR="006F5005" w:rsidRPr="00B715AF" w:rsidTr="006F5005">
        <w:tc>
          <w:tcPr>
            <w:tcW w:w="714" w:type="dxa"/>
            <w:shd w:val="clear" w:color="auto" w:fill="auto"/>
          </w:tcPr>
          <w:p w:rsidR="006F5005" w:rsidRPr="00B715AF" w:rsidRDefault="00B7325C" w:rsidP="00E530F6">
            <w:pPr>
              <w:pStyle w:val="Tabletext"/>
            </w:pPr>
            <w:r w:rsidRPr="00B715AF">
              <w:t>3</w:t>
            </w:r>
          </w:p>
        </w:tc>
        <w:tc>
          <w:tcPr>
            <w:tcW w:w="2400" w:type="dxa"/>
            <w:shd w:val="clear" w:color="auto" w:fill="auto"/>
          </w:tcPr>
          <w:p w:rsidR="00025DE1" w:rsidRPr="00B715AF" w:rsidRDefault="006F5005" w:rsidP="00025DE1">
            <w:pPr>
              <w:pStyle w:val="Tabletext"/>
            </w:pPr>
            <w:r w:rsidRPr="00B715AF">
              <w:t>holding a contractual right to take possession of an</w:t>
            </w:r>
            <w:r w:rsidR="00025DE1" w:rsidRPr="00B715AF">
              <w:t xml:space="preserve">y of the following </w:t>
            </w:r>
            <w:r w:rsidRPr="00B715AF">
              <w:t>in the circumstan</w:t>
            </w:r>
            <w:r w:rsidR="00AF772E" w:rsidRPr="00B715AF">
              <w:t>ce prescribed by paragraph</w:t>
            </w:r>
            <w:r w:rsidR="00B715AF" w:rsidRPr="00B715AF">
              <w:t> </w:t>
            </w:r>
            <w:r w:rsidR="00A06430" w:rsidRPr="00B715AF">
              <w:t>7</w:t>
            </w:r>
            <w:r w:rsidRPr="00B715AF">
              <w:t>(</w:t>
            </w:r>
            <w:r w:rsidR="00B7325C" w:rsidRPr="00B715AF">
              <w:t>b</w:t>
            </w:r>
            <w:r w:rsidRPr="00B715AF">
              <w:t>)</w:t>
            </w:r>
            <w:r w:rsidR="00A6385A" w:rsidRPr="00B715AF">
              <w:t xml:space="preserve"> (about </w:t>
            </w:r>
            <w:r w:rsidR="00941170" w:rsidRPr="00B715AF">
              <w:t>covered products</w:t>
            </w:r>
            <w:r w:rsidR="00A6385A" w:rsidRPr="00B715AF">
              <w:t xml:space="preserve"> on water)</w:t>
            </w:r>
            <w:r w:rsidR="00025DE1" w:rsidRPr="00B715AF">
              <w:t>:</w:t>
            </w:r>
          </w:p>
          <w:p w:rsidR="00025DE1" w:rsidRPr="00B715AF" w:rsidRDefault="00025DE1" w:rsidP="00025DE1">
            <w:pPr>
              <w:pStyle w:val="Tablea"/>
            </w:pPr>
            <w:r w:rsidRPr="00B715AF">
              <w:t>(a) crude oil;</w:t>
            </w:r>
          </w:p>
          <w:p w:rsidR="00025DE1" w:rsidRPr="00B715AF" w:rsidRDefault="00025DE1" w:rsidP="00025DE1">
            <w:pPr>
              <w:pStyle w:val="Tablea"/>
            </w:pPr>
            <w:r w:rsidRPr="00B715AF">
              <w:t>(b) condensate;</w:t>
            </w:r>
          </w:p>
          <w:p w:rsidR="00025DE1" w:rsidRPr="00B715AF" w:rsidRDefault="00025DE1" w:rsidP="00025DE1">
            <w:pPr>
              <w:pStyle w:val="Tablea"/>
            </w:pPr>
            <w:r w:rsidRPr="00B715AF">
              <w:t>(c) liquefied petroleum gas;</w:t>
            </w:r>
          </w:p>
          <w:p w:rsidR="00025DE1" w:rsidRPr="00B715AF" w:rsidRDefault="00025DE1" w:rsidP="00025DE1">
            <w:pPr>
              <w:pStyle w:val="Tablea"/>
            </w:pPr>
            <w:r w:rsidRPr="00B715AF">
              <w:t>(d) natural gas liquid;</w:t>
            </w:r>
          </w:p>
          <w:p w:rsidR="00025DE1" w:rsidRPr="00B715AF" w:rsidRDefault="00025DE1" w:rsidP="00025DE1">
            <w:pPr>
              <w:pStyle w:val="Tablea"/>
            </w:pPr>
            <w:r w:rsidRPr="00B715AF">
              <w:t>(e) gasoline;</w:t>
            </w:r>
          </w:p>
          <w:p w:rsidR="00025DE1" w:rsidRPr="00B715AF" w:rsidRDefault="00025DE1" w:rsidP="00025DE1">
            <w:pPr>
              <w:pStyle w:val="Tablea"/>
            </w:pPr>
            <w:r w:rsidRPr="00B715AF">
              <w:t>(f) diesel;</w:t>
            </w:r>
          </w:p>
          <w:p w:rsidR="00025DE1" w:rsidRPr="00B715AF" w:rsidRDefault="00025DE1" w:rsidP="00025DE1">
            <w:pPr>
              <w:pStyle w:val="Tablea"/>
            </w:pPr>
            <w:r w:rsidRPr="00B715AF">
              <w:t>(g) kerosene;</w:t>
            </w:r>
          </w:p>
          <w:p w:rsidR="00025DE1" w:rsidRPr="00B715AF" w:rsidRDefault="00025DE1" w:rsidP="00025DE1">
            <w:pPr>
              <w:pStyle w:val="Tablea"/>
            </w:pPr>
            <w:r w:rsidRPr="00B715AF">
              <w:t>(h) fuel oil;</w:t>
            </w:r>
          </w:p>
          <w:p w:rsidR="00025DE1" w:rsidRPr="00B715AF" w:rsidRDefault="00025DE1" w:rsidP="00025DE1">
            <w:pPr>
              <w:pStyle w:val="Tablea"/>
            </w:pPr>
            <w:r w:rsidRPr="00B715AF">
              <w:t>(i) biofuel;</w:t>
            </w:r>
          </w:p>
          <w:p w:rsidR="00025DE1" w:rsidRPr="00B715AF" w:rsidRDefault="00025DE1" w:rsidP="00025DE1">
            <w:pPr>
              <w:pStyle w:val="Tablea"/>
            </w:pPr>
            <w:r w:rsidRPr="00B715AF">
              <w:t>(j) refinery feedstock (other</w:t>
            </w:r>
            <w:r w:rsidR="00DB3059" w:rsidRPr="00B715AF">
              <w:t>)</w:t>
            </w:r>
          </w:p>
        </w:tc>
        <w:tc>
          <w:tcPr>
            <w:tcW w:w="2126" w:type="dxa"/>
            <w:shd w:val="clear" w:color="auto" w:fill="auto"/>
          </w:tcPr>
          <w:p w:rsidR="006F5005" w:rsidRPr="00B715AF" w:rsidRDefault="006F5005" w:rsidP="003312B2">
            <w:pPr>
              <w:pStyle w:val="Tabletext"/>
            </w:pPr>
            <w:r w:rsidRPr="00B715AF">
              <w:t>the regulated entity who holds the stock (by holding the contractual right)</w:t>
            </w:r>
          </w:p>
        </w:tc>
        <w:tc>
          <w:tcPr>
            <w:tcW w:w="2977" w:type="dxa"/>
            <w:shd w:val="clear" w:color="auto" w:fill="auto"/>
          </w:tcPr>
          <w:p w:rsidR="001B6EA7" w:rsidRPr="00B715AF" w:rsidRDefault="00146ECF" w:rsidP="00236E1E">
            <w:pPr>
              <w:pStyle w:val="Tabletext"/>
            </w:pPr>
            <w:r w:rsidRPr="00B715AF">
              <w:t>the quantity</w:t>
            </w:r>
            <w:r w:rsidR="006F5005" w:rsidRPr="00B715AF">
              <w:t xml:space="preserve"> of the stock held by the regulated entity as mentioned in column</w:t>
            </w:r>
            <w:r w:rsidR="00F33FAA" w:rsidRPr="00B715AF">
              <w:t>s</w:t>
            </w:r>
            <w:r w:rsidR="006F5005" w:rsidRPr="00B715AF">
              <w:t xml:space="preserve"> 1</w:t>
            </w:r>
            <w:r w:rsidR="00F33FAA" w:rsidRPr="00B715AF">
              <w:t xml:space="preserve"> and 2</w:t>
            </w:r>
            <w:r w:rsidR="00560E04" w:rsidRPr="00B715AF">
              <w:t>, broken down:</w:t>
            </w:r>
          </w:p>
          <w:p w:rsidR="00560E04" w:rsidRPr="00B715AF" w:rsidRDefault="00560E04" w:rsidP="00560E04">
            <w:pPr>
              <w:pStyle w:val="Tablea"/>
            </w:pPr>
            <w:r w:rsidRPr="00B715AF">
              <w:t>(a) into the relevant categories (but not subcategories) of covered product mentioned in Schedule</w:t>
            </w:r>
            <w:r w:rsidR="00B715AF" w:rsidRPr="00B715AF">
              <w:t> </w:t>
            </w:r>
            <w:r w:rsidRPr="00B715AF">
              <w:t>1; and</w:t>
            </w:r>
          </w:p>
          <w:p w:rsidR="00560E04" w:rsidRPr="00B715AF" w:rsidRDefault="00560E04" w:rsidP="00571973">
            <w:pPr>
              <w:pStyle w:val="Tablea"/>
            </w:pPr>
            <w:r w:rsidRPr="00B715AF">
              <w:t xml:space="preserve">(b) as mentioned in </w:t>
            </w:r>
            <w:r w:rsidR="00B715AF" w:rsidRPr="00B715AF">
              <w:t>subsection (</w:t>
            </w:r>
            <w:r w:rsidR="00C226B9" w:rsidRPr="00B715AF">
              <w:t>4</w:t>
            </w:r>
            <w:r w:rsidRPr="00B715AF">
              <w:t>) of this section</w:t>
            </w:r>
          </w:p>
        </w:tc>
      </w:tr>
      <w:tr w:rsidR="006F5005" w:rsidRPr="00B715AF" w:rsidTr="006F5005">
        <w:tc>
          <w:tcPr>
            <w:tcW w:w="714" w:type="dxa"/>
            <w:tcBorders>
              <w:bottom w:val="single" w:sz="2" w:space="0" w:color="auto"/>
            </w:tcBorders>
            <w:shd w:val="clear" w:color="auto" w:fill="auto"/>
          </w:tcPr>
          <w:p w:rsidR="006F5005" w:rsidRPr="00B715AF" w:rsidRDefault="00B7325C" w:rsidP="00E530F6">
            <w:pPr>
              <w:pStyle w:val="Tabletext"/>
            </w:pPr>
            <w:r w:rsidRPr="00B715AF">
              <w:t>4</w:t>
            </w:r>
          </w:p>
        </w:tc>
        <w:tc>
          <w:tcPr>
            <w:tcW w:w="2400" w:type="dxa"/>
            <w:tcBorders>
              <w:bottom w:val="single" w:sz="2" w:space="0" w:color="auto"/>
            </w:tcBorders>
            <w:shd w:val="clear" w:color="auto" w:fill="auto"/>
          </w:tcPr>
          <w:p w:rsidR="006F5005" w:rsidRPr="00B715AF" w:rsidRDefault="006F5005" w:rsidP="00025DE1">
            <w:pPr>
              <w:pStyle w:val="Tabletext"/>
            </w:pPr>
            <w:r w:rsidRPr="00B715AF">
              <w:t xml:space="preserve">holding </w:t>
            </w:r>
            <w:r w:rsidR="0038522D" w:rsidRPr="00B715AF">
              <w:t xml:space="preserve">stock </w:t>
            </w:r>
            <w:r w:rsidRPr="00B715AF">
              <w:t>of an</w:t>
            </w:r>
            <w:r w:rsidR="00025DE1" w:rsidRPr="00B715AF">
              <w:t>y of the following</w:t>
            </w:r>
            <w:r w:rsidR="00A6385A" w:rsidRPr="00B715AF">
              <w:t xml:space="preserve"> covered products </w:t>
            </w:r>
            <w:r w:rsidR="0038522D" w:rsidRPr="00B715AF">
              <w:t>on water</w:t>
            </w:r>
            <w:r w:rsidR="00A6385A" w:rsidRPr="00B715AF">
              <w:t>, other than as mentioned in item</w:t>
            </w:r>
            <w:r w:rsidR="00B715AF" w:rsidRPr="00B715AF">
              <w:t> </w:t>
            </w:r>
            <w:r w:rsidR="00A6385A" w:rsidRPr="00B715AF">
              <w:t>3</w:t>
            </w:r>
            <w:r w:rsidR="00025DE1" w:rsidRPr="00B715AF">
              <w:t>:</w:t>
            </w:r>
          </w:p>
          <w:p w:rsidR="00025DE1" w:rsidRPr="00B715AF" w:rsidRDefault="00025DE1" w:rsidP="00025DE1">
            <w:pPr>
              <w:pStyle w:val="Tablea"/>
            </w:pPr>
            <w:r w:rsidRPr="00B715AF">
              <w:t>(a) crude oil;</w:t>
            </w:r>
          </w:p>
          <w:p w:rsidR="00025DE1" w:rsidRPr="00B715AF" w:rsidRDefault="00025DE1" w:rsidP="00025DE1">
            <w:pPr>
              <w:pStyle w:val="Tablea"/>
            </w:pPr>
            <w:r w:rsidRPr="00B715AF">
              <w:t>(b) condensate;</w:t>
            </w:r>
          </w:p>
          <w:p w:rsidR="00025DE1" w:rsidRPr="00B715AF" w:rsidRDefault="00025DE1" w:rsidP="00025DE1">
            <w:pPr>
              <w:pStyle w:val="Tablea"/>
            </w:pPr>
            <w:r w:rsidRPr="00B715AF">
              <w:t>(c) liquefied petroleum gas;</w:t>
            </w:r>
          </w:p>
          <w:p w:rsidR="00025DE1" w:rsidRPr="00B715AF" w:rsidRDefault="00025DE1" w:rsidP="00025DE1">
            <w:pPr>
              <w:pStyle w:val="Tablea"/>
            </w:pPr>
            <w:r w:rsidRPr="00B715AF">
              <w:t>(d) natural gas liquid;</w:t>
            </w:r>
          </w:p>
          <w:p w:rsidR="00025DE1" w:rsidRPr="00B715AF" w:rsidRDefault="00025DE1" w:rsidP="00025DE1">
            <w:pPr>
              <w:pStyle w:val="Tablea"/>
            </w:pPr>
            <w:r w:rsidRPr="00B715AF">
              <w:t>(e) gasoline;</w:t>
            </w:r>
          </w:p>
          <w:p w:rsidR="00025DE1" w:rsidRPr="00B715AF" w:rsidRDefault="00025DE1" w:rsidP="00025DE1">
            <w:pPr>
              <w:pStyle w:val="Tablea"/>
            </w:pPr>
            <w:r w:rsidRPr="00B715AF">
              <w:t>(f) diesel;</w:t>
            </w:r>
          </w:p>
          <w:p w:rsidR="00025DE1" w:rsidRPr="00B715AF" w:rsidRDefault="00025DE1" w:rsidP="00025DE1">
            <w:pPr>
              <w:pStyle w:val="Tablea"/>
            </w:pPr>
            <w:r w:rsidRPr="00B715AF">
              <w:t>(g) kerosene;</w:t>
            </w:r>
          </w:p>
          <w:p w:rsidR="00025DE1" w:rsidRPr="00B715AF" w:rsidRDefault="00025DE1" w:rsidP="00025DE1">
            <w:pPr>
              <w:pStyle w:val="Tablea"/>
            </w:pPr>
            <w:r w:rsidRPr="00B715AF">
              <w:t>(h) fuel oil;</w:t>
            </w:r>
          </w:p>
          <w:p w:rsidR="00025DE1" w:rsidRPr="00B715AF" w:rsidRDefault="00025DE1" w:rsidP="00025DE1">
            <w:pPr>
              <w:pStyle w:val="Tablea"/>
            </w:pPr>
            <w:r w:rsidRPr="00B715AF">
              <w:t>(i) biofuel;</w:t>
            </w:r>
          </w:p>
          <w:p w:rsidR="00025DE1" w:rsidRPr="00B715AF" w:rsidRDefault="00025DE1" w:rsidP="00025DE1">
            <w:pPr>
              <w:pStyle w:val="Tablea"/>
            </w:pPr>
            <w:r w:rsidRPr="00B715AF">
              <w:t>(j) refinery feedstock (other</w:t>
            </w:r>
            <w:r w:rsidR="000E7D4E" w:rsidRPr="00B715AF">
              <w:t>)</w:t>
            </w:r>
          </w:p>
        </w:tc>
        <w:tc>
          <w:tcPr>
            <w:tcW w:w="2126" w:type="dxa"/>
            <w:tcBorders>
              <w:bottom w:val="single" w:sz="2" w:space="0" w:color="auto"/>
            </w:tcBorders>
            <w:shd w:val="clear" w:color="auto" w:fill="auto"/>
          </w:tcPr>
          <w:p w:rsidR="006F5005" w:rsidRPr="00B715AF" w:rsidRDefault="006F5005" w:rsidP="00BE5858">
            <w:pPr>
              <w:pStyle w:val="Tabletext"/>
            </w:pPr>
            <w:r w:rsidRPr="00B715AF">
              <w:t>the person who owns the stock at the end of the reporting period</w:t>
            </w:r>
          </w:p>
        </w:tc>
        <w:tc>
          <w:tcPr>
            <w:tcW w:w="2977" w:type="dxa"/>
            <w:tcBorders>
              <w:bottom w:val="single" w:sz="2" w:space="0" w:color="auto"/>
            </w:tcBorders>
            <w:shd w:val="clear" w:color="auto" w:fill="auto"/>
          </w:tcPr>
          <w:p w:rsidR="00560E04" w:rsidRPr="00B715AF" w:rsidRDefault="00146ECF" w:rsidP="00560E04">
            <w:pPr>
              <w:pStyle w:val="Tabletext"/>
            </w:pPr>
            <w:r w:rsidRPr="00B715AF">
              <w:t>the quantity</w:t>
            </w:r>
            <w:r w:rsidR="006F5005" w:rsidRPr="00B715AF">
              <w:t xml:space="preserve"> of the stock owned by the person as mentioned in columns 1</w:t>
            </w:r>
            <w:r w:rsidR="00D30A5F" w:rsidRPr="00B715AF">
              <w:t xml:space="preserve"> and</w:t>
            </w:r>
            <w:r w:rsidR="006F5005" w:rsidRPr="00B715AF">
              <w:t xml:space="preserve"> 2</w:t>
            </w:r>
            <w:r w:rsidR="00560E04" w:rsidRPr="00B715AF">
              <w:t>, broken down:</w:t>
            </w:r>
          </w:p>
          <w:p w:rsidR="00560E04" w:rsidRPr="00B715AF" w:rsidRDefault="00560E04" w:rsidP="00560E04">
            <w:pPr>
              <w:pStyle w:val="Tablea"/>
            </w:pPr>
            <w:r w:rsidRPr="00B715AF">
              <w:t>(a) into the relevant categories (but not subcategories) of covered product mentioned in Schedule</w:t>
            </w:r>
            <w:r w:rsidR="00B715AF" w:rsidRPr="00B715AF">
              <w:t> </w:t>
            </w:r>
            <w:r w:rsidRPr="00B715AF">
              <w:t>1; and</w:t>
            </w:r>
          </w:p>
          <w:p w:rsidR="00A20205" w:rsidRPr="00B715AF" w:rsidRDefault="00560E04" w:rsidP="00C226B9">
            <w:pPr>
              <w:pStyle w:val="Tablea"/>
            </w:pPr>
            <w:r w:rsidRPr="00B715AF">
              <w:t xml:space="preserve">(b) as mentioned in </w:t>
            </w:r>
            <w:r w:rsidR="00B715AF" w:rsidRPr="00B715AF">
              <w:t>subsection (</w:t>
            </w:r>
            <w:r w:rsidR="00C226B9" w:rsidRPr="00B715AF">
              <w:t>4</w:t>
            </w:r>
            <w:r w:rsidRPr="00B715AF">
              <w:t>)</w:t>
            </w:r>
            <w:r w:rsidR="00C226B9" w:rsidRPr="00B715AF">
              <w:t xml:space="preserve"> </w:t>
            </w:r>
            <w:r w:rsidRPr="00B715AF">
              <w:t>of this section</w:t>
            </w:r>
          </w:p>
        </w:tc>
      </w:tr>
      <w:tr w:rsidR="006F5005" w:rsidRPr="00B715AF" w:rsidTr="006F5005">
        <w:tc>
          <w:tcPr>
            <w:tcW w:w="714" w:type="dxa"/>
            <w:tcBorders>
              <w:top w:val="single" w:sz="2" w:space="0" w:color="auto"/>
              <w:bottom w:val="single" w:sz="12" w:space="0" w:color="auto"/>
            </w:tcBorders>
            <w:shd w:val="clear" w:color="auto" w:fill="auto"/>
          </w:tcPr>
          <w:p w:rsidR="006F5005" w:rsidRPr="00B715AF" w:rsidRDefault="00B7325C" w:rsidP="00E530F6">
            <w:pPr>
              <w:pStyle w:val="Tabletext"/>
            </w:pPr>
            <w:r w:rsidRPr="00B715AF">
              <w:t>5</w:t>
            </w:r>
          </w:p>
        </w:tc>
        <w:tc>
          <w:tcPr>
            <w:tcW w:w="2400" w:type="dxa"/>
            <w:tcBorders>
              <w:top w:val="single" w:sz="2" w:space="0" w:color="auto"/>
              <w:bottom w:val="single" w:sz="12" w:space="0" w:color="auto"/>
            </w:tcBorders>
            <w:shd w:val="clear" w:color="auto" w:fill="auto"/>
          </w:tcPr>
          <w:p w:rsidR="006F5005" w:rsidRPr="00B715AF" w:rsidRDefault="006F5005" w:rsidP="00A2010E">
            <w:pPr>
              <w:pStyle w:val="Tabletext"/>
            </w:pPr>
            <w:r w:rsidRPr="00B715AF">
              <w:t>holding input stock, working stock or output stock at an Australia</w:t>
            </w:r>
            <w:r w:rsidR="00454C1E" w:rsidRPr="00B715AF">
              <w:t>n</w:t>
            </w:r>
            <w:r w:rsidRPr="00B715AF">
              <w:t xml:space="preserve"> GLOWS facility</w:t>
            </w:r>
          </w:p>
        </w:tc>
        <w:tc>
          <w:tcPr>
            <w:tcW w:w="2126" w:type="dxa"/>
            <w:tcBorders>
              <w:top w:val="single" w:sz="2" w:space="0" w:color="auto"/>
              <w:bottom w:val="single" w:sz="12" w:space="0" w:color="auto"/>
            </w:tcBorders>
            <w:shd w:val="clear" w:color="auto" w:fill="auto"/>
          </w:tcPr>
          <w:p w:rsidR="006F5005" w:rsidRPr="00B715AF" w:rsidRDefault="006F5005" w:rsidP="00647821">
            <w:pPr>
              <w:pStyle w:val="Tabletext"/>
            </w:pPr>
            <w:r w:rsidRPr="00B715AF">
              <w:t>the regulated entity who holds the stock</w:t>
            </w:r>
          </w:p>
        </w:tc>
        <w:tc>
          <w:tcPr>
            <w:tcW w:w="2977" w:type="dxa"/>
            <w:tcBorders>
              <w:top w:val="single" w:sz="2" w:space="0" w:color="auto"/>
              <w:bottom w:val="single" w:sz="12" w:space="0" w:color="auto"/>
            </w:tcBorders>
            <w:shd w:val="clear" w:color="auto" w:fill="auto"/>
          </w:tcPr>
          <w:p w:rsidR="00560E04" w:rsidRPr="00B715AF" w:rsidRDefault="00146ECF" w:rsidP="00F143D4">
            <w:pPr>
              <w:pStyle w:val="Tabletext"/>
            </w:pPr>
            <w:r w:rsidRPr="00B715AF">
              <w:t>the quantity</w:t>
            </w:r>
            <w:r w:rsidR="006F5005" w:rsidRPr="00B715AF">
              <w:t xml:space="preserve"> of stock held at the facility as mentioned in column</w:t>
            </w:r>
            <w:r w:rsidR="00F33FAA" w:rsidRPr="00B715AF">
              <w:t>s</w:t>
            </w:r>
            <w:r w:rsidR="006F5005" w:rsidRPr="00B715AF">
              <w:t xml:space="preserve"> 1</w:t>
            </w:r>
            <w:r w:rsidR="00F33FAA" w:rsidRPr="00B715AF">
              <w:t xml:space="preserve"> and 2</w:t>
            </w:r>
            <w:r w:rsidR="006F5005" w:rsidRPr="00B715AF">
              <w:t>, broken down into</w:t>
            </w:r>
            <w:r w:rsidR="00560E04" w:rsidRPr="00B715AF">
              <w:t>:</w:t>
            </w:r>
          </w:p>
          <w:p w:rsidR="00560E04" w:rsidRPr="00B715AF" w:rsidRDefault="00560E04" w:rsidP="00560E04">
            <w:pPr>
              <w:pStyle w:val="Tablea"/>
            </w:pPr>
            <w:r w:rsidRPr="00B715AF">
              <w:t>(a) the relevant categories and subcategories of covered product mentioned in Schedule</w:t>
            </w:r>
            <w:r w:rsidR="00B715AF" w:rsidRPr="00B715AF">
              <w:t> </w:t>
            </w:r>
            <w:r w:rsidRPr="00B715AF">
              <w:t>1; and</w:t>
            </w:r>
          </w:p>
          <w:p w:rsidR="00560E04" w:rsidRPr="00B715AF" w:rsidRDefault="00560E04" w:rsidP="00560E04">
            <w:pPr>
              <w:pStyle w:val="Tablea"/>
            </w:pPr>
            <w:r w:rsidRPr="00B715AF">
              <w:t xml:space="preserve">(b) </w:t>
            </w:r>
            <w:r w:rsidR="006F5005" w:rsidRPr="00B715AF">
              <w:t>input stock, working stock and output stock</w:t>
            </w:r>
          </w:p>
        </w:tc>
      </w:tr>
    </w:tbl>
    <w:p w:rsidR="00CF558F" w:rsidRPr="00B715AF" w:rsidRDefault="00CF558F" w:rsidP="00CF558F">
      <w:pPr>
        <w:pStyle w:val="SubsectionHead"/>
      </w:pPr>
      <w:r w:rsidRPr="00B715AF">
        <w:t>Prescribed circumstances</w:t>
      </w:r>
    </w:p>
    <w:p w:rsidR="006F5005" w:rsidRPr="00B715AF" w:rsidRDefault="006F5005" w:rsidP="007D17A3">
      <w:pPr>
        <w:pStyle w:val="subsection"/>
      </w:pPr>
      <w:r w:rsidRPr="00B715AF">
        <w:tab/>
        <w:t>(2)</w:t>
      </w:r>
      <w:r w:rsidRPr="00B715AF">
        <w:tab/>
        <w:t>Items</w:t>
      </w:r>
      <w:r w:rsidR="00B715AF" w:rsidRPr="00B715AF">
        <w:t> </w:t>
      </w:r>
      <w:r w:rsidRPr="00B715AF">
        <w:t xml:space="preserve">1 and </w:t>
      </w:r>
      <w:r w:rsidR="00B7325C" w:rsidRPr="00B715AF">
        <w:t>5</w:t>
      </w:r>
      <w:r w:rsidRPr="00B715AF">
        <w:t xml:space="preserve"> of the table </w:t>
      </w:r>
      <w:r w:rsidR="008B43A4" w:rsidRPr="00B715AF">
        <w:t xml:space="preserve">in </w:t>
      </w:r>
      <w:r w:rsidR="00B715AF" w:rsidRPr="00B715AF">
        <w:t>subsection (</w:t>
      </w:r>
      <w:r w:rsidR="008B43A4" w:rsidRPr="00B715AF">
        <w:t xml:space="preserve">1) </w:t>
      </w:r>
      <w:r w:rsidRPr="00B715AF">
        <w:t>apply to holding stock in Australia.</w:t>
      </w:r>
    </w:p>
    <w:p w:rsidR="006F5005" w:rsidRPr="00B715AF" w:rsidRDefault="006F5005" w:rsidP="007D17A3">
      <w:pPr>
        <w:pStyle w:val="subsection"/>
      </w:pPr>
      <w:r w:rsidRPr="00B715AF">
        <w:tab/>
        <w:t>(3)</w:t>
      </w:r>
      <w:r w:rsidRPr="00B715AF">
        <w:tab/>
        <w:t>Items</w:t>
      </w:r>
      <w:r w:rsidR="00B715AF" w:rsidRPr="00B715AF">
        <w:t> </w:t>
      </w:r>
      <w:r w:rsidRPr="00B715AF">
        <w:t>2</w:t>
      </w:r>
      <w:r w:rsidR="00B7325C" w:rsidRPr="00B715AF">
        <w:t>, 3 and 4</w:t>
      </w:r>
      <w:r w:rsidRPr="00B715AF">
        <w:t xml:space="preserve"> of the table apply to holding stock:</w:t>
      </w:r>
    </w:p>
    <w:p w:rsidR="007D17A3" w:rsidRPr="00B715AF" w:rsidRDefault="007D17A3" w:rsidP="007D17A3">
      <w:pPr>
        <w:pStyle w:val="paragraph"/>
      </w:pPr>
      <w:r w:rsidRPr="00B715AF">
        <w:tab/>
        <w:t>(a)</w:t>
      </w:r>
      <w:r w:rsidRPr="00B715AF">
        <w:tab/>
        <w:t>in Australia; or</w:t>
      </w:r>
    </w:p>
    <w:p w:rsidR="007D17A3" w:rsidRPr="00B715AF" w:rsidRDefault="007D17A3" w:rsidP="007D17A3">
      <w:pPr>
        <w:pStyle w:val="paragraph"/>
      </w:pPr>
      <w:r w:rsidRPr="00B715AF">
        <w:tab/>
        <w:t>(b)</w:t>
      </w:r>
      <w:r w:rsidRPr="00B715AF">
        <w:tab/>
        <w:t>outside Australia, in connection with business carried on in Australia by the regulated entity who holds the stock.</w:t>
      </w:r>
    </w:p>
    <w:p w:rsidR="0009136E" w:rsidRPr="00B715AF" w:rsidRDefault="00560E04" w:rsidP="0009136E">
      <w:pPr>
        <w:pStyle w:val="SubsectionHead"/>
      </w:pPr>
      <w:r w:rsidRPr="00B715AF">
        <w:t>Quantities of covered products on water</w:t>
      </w:r>
    </w:p>
    <w:p w:rsidR="00560E04" w:rsidRPr="00B715AF" w:rsidRDefault="00560E04" w:rsidP="00560E04">
      <w:pPr>
        <w:pStyle w:val="subsection"/>
      </w:pPr>
      <w:r w:rsidRPr="00B715AF">
        <w:tab/>
        <w:t>(4)</w:t>
      </w:r>
      <w:r w:rsidRPr="00B715AF">
        <w:tab/>
        <w:t>For the purpo</w:t>
      </w:r>
      <w:r w:rsidR="00BA35DA" w:rsidRPr="00B715AF">
        <w:t xml:space="preserve">ses of </w:t>
      </w:r>
      <w:r w:rsidR="00B715AF" w:rsidRPr="00B715AF">
        <w:t>paragraph (</w:t>
      </w:r>
      <w:r w:rsidR="00BA35DA" w:rsidRPr="00B715AF">
        <w:t>b) of column 3</w:t>
      </w:r>
      <w:r w:rsidRPr="00B715AF">
        <w:t xml:space="preserve"> of item</w:t>
      </w:r>
      <w:r w:rsidR="00B715AF" w:rsidRPr="00B715AF">
        <w:t> </w:t>
      </w:r>
      <w:r w:rsidRPr="00B715AF">
        <w:t xml:space="preserve">3 or 4 of the table in </w:t>
      </w:r>
      <w:r w:rsidR="00B715AF" w:rsidRPr="00B715AF">
        <w:t>subsection (</w:t>
      </w:r>
      <w:r w:rsidRPr="00B715AF">
        <w:t>1):</w:t>
      </w:r>
    </w:p>
    <w:p w:rsidR="00560E04" w:rsidRPr="00B715AF" w:rsidRDefault="00560E04" w:rsidP="00560E04">
      <w:pPr>
        <w:pStyle w:val="paragraph"/>
      </w:pPr>
      <w:r w:rsidRPr="00B715AF">
        <w:tab/>
        <w:t>(a)</w:t>
      </w:r>
      <w:r w:rsidRPr="00B715AF">
        <w:tab/>
      </w:r>
      <w:r w:rsidR="00B44979" w:rsidRPr="00B715AF">
        <w:t xml:space="preserve">the </w:t>
      </w:r>
      <w:r w:rsidRPr="00B715AF">
        <w:t>quanti</w:t>
      </w:r>
      <w:r w:rsidR="00B44979" w:rsidRPr="00B715AF">
        <w:t>ty</w:t>
      </w:r>
      <w:r w:rsidRPr="00B715AF">
        <w:t xml:space="preserve"> must be broken down into the categories mentioned in </w:t>
      </w:r>
      <w:r w:rsidR="00B715AF" w:rsidRPr="00B715AF">
        <w:t>subsection (</w:t>
      </w:r>
      <w:r w:rsidRPr="00B715AF">
        <w:t>5); and</w:t>
      </w:r>
    </w:p>
    <w:p w:rsidR="00747A35" w:rsidRPr="00B715AF" w:rsidRDefault="00C226B9" w:rsidP="00C226B9">
      <w:pPr>
        <w:pStyle w:val="paragraph"/>
      </w:pPr>
      <w:r w:rsidRPr="00B715AF">
        <w:tab/>
        <w:t>(b)</w:t>
      </w:r>
      <w:r w:rsidRPr="00B715AF">
        <w:tab/>
      </w:r>
      <w:r w:rsidR="00B44979" w:rsidRPr="00B715AF">
        <w:t>the</w:t>
      </w:r>
      <w:r w:rsidRPr="00B715AF">
        <w:t xml:space="preserve"> quanti</w:t>
      </w:r>
      <w:r w:rsidR="00B44979" w:rsidRPr="00B715AF">
        <w:t>ty (if any)</w:t>
      </w:r>
      <w:r w:rsidRPr="00B715AF">
        <w:t xml:space="preserve"> of stock </w:t>
      </w:r>
      <w:r w:rsidR="00747A35" w:rsidRPr="00B715AF">
        <w:t>kept in storage in ship</w:t>
      </w:r>
      <w:r w:rsidR="00560E04" w:rsidRPr="00B715AF">
        <w:t>s</w:t>
      </w:r>
      <w:r w:rsidR="00747A35" w:rsidRPr="00B715AF">
        <w:t xml:space="preserve"> in foreign port</w:t>
      </w:r>
      <w:r w:rsidR="00560E04" w:rsidRPr="00B715AF">
        <w:t>s</w:t>
      </w:r>
      <w:r w:rsidR="00747A35" w:rsidRPr="00B715AF">
        <w:t xml:space="preserve"> must be broken down by each country </w:t>
      </w:r>
      <w:r w:rsidR="00560E04" w:rsidRPr="00B715AF">
        <w:t>in which the ports are located.</w:t>
      </w:r>
    </w:p>
    <w:p w:rsidR="00964648" w:rsidRPr="00B715AF" w:rsidRDefault="00964648" w:rsidP="00964648">
      <w:pPr>
        <w:pStyle w:val="subsection"/>
      </w:pPr>
      <w:r w:rsidRPr="00B715AF">
        <w:tab/>
        <w:t>(</w:t>
      </w:r>
      <w:r w:rsidR="00C226B9" w:rsidRPr="00B715AF">
        <w:t>5</w:t>
      </w:r>
      <w:r w:rsidRPr="00B715AF">
        <w:t>)</w:t>
      </w:r>
      <w:r w:rsidRPr="00B715AF">
        <w:tab/>
        <w:t xml:space="preserve">For the purposes of </w:t>
      </w:r>
      <w:r w:rsidR="00B715AF" w:rsidRPr="00B715AF">
        <w:t>subsection (</w:t>
      </w:r>
      <w:r w:rsidR="00C226B9" w:rsidRPr="00B715AF">
        <w:t>4)</w:t>
      </w:r>
      <w:r w:rsidRPr="00B715AF">
        <w:t>, the categories are the following:</w:t>
      </w:r>
    </w:p>
    <w:p w:rsidR="00964648" w:rsidRPr="00B715AF" w:rsidRDefault="00964648" w:rsidP="00964648">
      <w:pPr>
        <w:pStyle w:val="paragraph"/>
      </w:pPr>
      <w:r w:rsidRPr="00B715AF">
        <w:tab/>
        <w:t>(a)</w:t>
      </w:r>
      <w:r w:rsidRPr="00B715AF">
        <w:tab/>
        <w:t>stock kept in storage in a ship in a foreign port;</w:t>
      </w:r>
    </w:p>
    <w:p w:rsidR="00964648" w:rsidRPr="00B715AF" w:rsidRDefault="00964648" w:rsidP="00964648">
      <w:pPr>
        <w:pStyle w:val="paragraph"/>
      </w:pPr>
      <w:r w:rsidRPr="00B715AF">
        <w:tab/>
        <w:t>(b)</w:t>
      </w:r>
      <w:r w:rsidRPr="00B715AF">
        <w:tab/>
        <w:t>stock:</w:t>
      </w:r>
    </w:p>
    <w:p w:rsidR="00964648" w:rsidRPr="00B715AF" w:rsidRDefault="00964648" w:rsidP="00964648">
      <w:pPr>
        <w:pStyle w:val="paragraphsub"/>
      </w:pPr>
      <w:r w:rsidRPr="00B715AF">
        <w:tab/>
        <w:t>(i)</w:t>
      </w:r>
      <w:r w:rsidRPr="00B715AF">
        <w:tab/>
        <w:t>kept in storage in a ship outside the outer limits of the exclusive economic zone; and</w:t>
      </w:r>
    </w:p>
    <w:p w:rsidR="00964648" w:rsidRPr="00B715AF" w:rsidRDefault="00964648" w:rsidP="00964648">
      <w:pPr>
        <w:pStyle w:val="paragraphsub"/>
      </w:pPr>
      <w:r w:rsidRPr="00B715AF">
        <w:tab/>
        <w:t>(ii)</w:t>
      </w:r>
      <w:r w:rsidRPr="00B715AF">
        <w:tab/>
        <w:t xml:space="preserve">to which </w:t>
      </w:r>
      <w:r w:rsidR="00B715AF" w:rsidRPr="00B715AF">
        <w:t>paragraph (</w:t>
      </w:r>
      <w:r w:rsidRPr="00B715AF">
        <w:t>a) of this subsection does not apply;</w:t>
      </w:r>
    </w:p>
    <w:p w:rsidR="00964648" w:rsidRPr="00B715AF" w:rsidRDefault="00964648" w:rsidP="00964648">
      <w:pPr>
        <w:pStyle w:val="paragraph"/>
      </w:pPr>
      <w:r w:rsidRPr="00B715AF">
        <w:tab/>
        <w:t>(c)</w:t>
      </w:r>
      <w:r w:rsidRPr="00B715AF">
        <w:tab/>
        <w:t>stock:</w:t>
      </w:r>
    </w:p>
    <w:p w:rsidR="00964648" w:rsidRPr="00B715AF" w:rsidRDefault="00964648" w:rsidP="00964648">
      <w:pPr>
        <w:pStyle w:val="paragraphsub"/>
      </w:pPr>
      <w:r w:rsidRPr="00B715AF">
        <w:tab/>
        <w:t>(i)</w:t>
      </w:r>
      <w:r w:rsidRPr="00B715AF">
        <w:tab/>
        <w:t>kept in storage in a ship within the outer limits of the exclusive economic zone; and</w:t>
      </w:r>
    </w:p>
    <w:p w:rsidR="00964648" w:rsidRPr="00B715AF" w:rsidRDefault="00964648" w:rsidP="00964648">
      <w:pPr>
        <w:pStyle w:val="paragraphsub"/>
      </w:pPr>
      <w:r w:rsidRPr="00B715AF">
        <w:tab/>
        <w:t>(ii)</w:t>
      </w:r>
      <w:r w:rsidRPr="00B715AF">
        <w:tab/>
        <w:t xml:space="preserve">to which </w:t>
      </w:r>
      <w:r w:rsidR="00B715AF" w:rsidRPr="00B715AF">
        <w:t>paragraph (</w:t>
      </w:r>
      <w:r w:rsidRPr="00B715AF">
        <w:t>d) does not apply;</w:t>
      </w:r>
    </w:p>
    <w:p w:rsidR="00964648" w:rsidRPr="00B715AF" w:rsidRDefault="00964648" w:rsidP="00964648">
      <w:pPr>
        <w:pStyle w:val="paragraph"/>
      </w:pPr>
      <w:r w:rsidRPr="00B715AF">
        <w:tab/>
        <w:t>(d)</w:t>
      </w:r>
      <w:r w:rsidRPr="00B715AF">
        <w:tab/>
        <w:t>stock kept in storage in a ship within the outer limits of the exclusive economic zone, if:</w:t>
      </w:r>
    </w:p>
    <w:p w:rsidR="00964648" w:rsidRPr="00B715AF" w:rsidRDefault="00964648" w:rsidP="00964648">
      <w:pPr>
        <w:pStyle w:val="paragraphsub"/>
      </w:pPr>
      <w:r w:rsidRPr="00B715AF">
        <w:tab/>
        <w:t>(i)</w:t>
      </w:r>
      <w:r w:rsidRPr="00B715AF">
        <w:tab/>
        <w:t>the ship is in an Australian port; or</w:t>
      </w:r>
    </w:p>
    <w:p w:rsidR="00964648" w:rsidRPr="00B715AF" w:rsidRDefault="00964648" w:rsidP="00964648">
      <w:pPr>
        <w:pStyle w:val="paragraphsub"/>
      </w:pPr>
      <w:r w:rsidRPr="00B715AF">
        <w:tab/>
        <w:t>(ii)</w:t>
      </w:r>
      <w:r w:rsidRPr="00B715AF">
        <w:tab/>
        <w:t>a notice of readiness has been given in relation to unloading the covered product at an Australian port; or</w:t>
      </w:r>
    </w:p>
    <w:p w:rsidR="00964648" w:rsidRPr="00B715AF" w:rsidRDefault="00964648" w:rsidP="00964648">
      <w:pPr>
        <w:pStyle w:val="paragraphsub"/>
      </w:pPr>
      <w:r w:rsidRPr="00B715AF">
        <w:tab/>
        <w:t>(iii)</w:t>
      </w:r>
      <w:r w:rsidRPr="00B715AF">
        <w:tab/>
        <w:t>the ship is travelling from one Australian port to another.</w:t>
      </w:r>
    </w:p>
    <w:p w:rsidR="005911B7" w:rsidRPr="00B715AF" w:rsidRDefault="008B6A35" w:rsidP="005911B7">
      <w:pPr>
        <w:pStyle w:val="subsection"/>
      </w:pPr>
      <w:r w:rsidRPr="00B715AF">
        <w:tab/>
        <w:t>(</w:t>
      </w:r>
      <w:r w:rsidR="00C226B9" w:rsidRPr="00B715AF">
        <w:t>6</w:t>
      </w:r>
      <w:r w:rsidRPr="00B715AF">
        <w:t>)</w:t>
      </w:r>
      <w:r w:rsidRPr="00B715AF">
        <w:tab/>
      </w:r>
      <w:r w:rsidR="00B63EB9" w:rsidRPr="00B715AF">
        <w:t>A</w:t>
      </w:r>
      <w:r w:rsidRPr="00B715AF">
        <w:t xml:space="preserve"> person who</w:t>
      </w:r>
      <w:r w:rsidR="005911B7" w:rsidRPr="00B715AF">
        <w:t xml:space="preserve"> </w:t>
      </w:r>
      <w:r w:rsidR="00B63EB9" w:rsidRPr="00B715AF">
        <w:t>m</w:t>
      </w:r>
      <w:r w:rsidRPr="00B715AF">
        <w:t xml:space="preserve">ust give </w:t>
      </w:r>
      <w:r w:rsidR="00B63EB9" w:rsidRPr="00B715AF">
        <w:t xml:space="preserve">a </w:t>
      </w:r>
      <w:r w:rsidRPr="00B715AF">
        <w:t>report under subsection</w:t>
      </w:r>
      <w:r w:rsidR="00B715AF" w:rsidRPr="00B715AF">
        <w:t> </w:t>
      </w:r>
      <w:r w:rsidRPr="00B715AF">
        <w:t xml:space="preserve">11(2) of the Act in relation to </w:t>
      </w:r>
      <w:r w:rsidR="00AE35F0" w:rsidRPr="00B715AF">
        <w:t xml:space="preserve">a covered activity </w:t>
      </w:r>
      <w:r w:rsidR="005911B7" w:rsidRPr="00B715AF">
        <w:t>may</w:t>
      </w:r>
      <w:r w:rsidR="00964648" w:rsidRPr="00B715AF">
        <w:t xml:space="preserve">, for the purposes of </w:t>
      </w:r>
      <w:r w:rsidR="00B715AF" w:rsidRPr="00B715AF">
        <w:t>paragraphs (</w:t>
      </w:r>
      <w:r w:rsidR="00C226B9" w:rsidRPr="00B715AF">
        <w:t>5</w:t>
      </w:r>
      <w:r w:rsidR="00964648" w:rsidRPr="00B715AF">
        <w:t xml:space="preserve">)(b) </w:t>
      </w:r>
      <w:r w:rsidR="00747A35" w:rsidRPr="00B715AF">
        <w:t>and</w:t>
      </w:r>
      <w:r w:rsidR="00964648" w:rsidRPr="00B715AF">
        <w:t xml:space="preserve"> (c) of this section,</w:t>
      </w:r>
      <w:r w:rsidR="005911B7" w:rsidRPr="00B715AF">
        <w:t xml:space="preserve"> treat </w:t>
      </w:r>
      <w:r w:rsidR="00747A35" w:rsidRPr="00B715AF">
        <w:t>a</w:t>
      </w:r>
      <w:r w:rsidR="005911B7" w:rsidRPr="00B715AF">
        <w:t xml:space="preserve"> ship </w:t>
      </w:r>
      <w:r w:rsidR="00B63EB9" w:rsidRPr="00B715AF">
        <w:t>in whi</w:t>
      </w:r>
      <w:r w:rsidR="005911B7" w:rsidRPr="00B715AF">
        <w:t>ch stock is kept in storage as being:</w:t>
      </w:r>
    </w:p>
    <w:p w:rsidR="00B63EB9" w:rsidRPr="00B715AF" w:rsidRDefault="005911B7" w:rsidP="005911B7">
      <w:pPr>
        <w:pStyle w:val="paragraph"/>
      </w:pPr>
      <w:r w:rsidRPr="00B715AF">
        <w:tab/>
        <w:t>(a)</w:t>
      </w:r>
      <w:r w:rsidRPr="00B715AF">
        <w:tab/>
        <w:t>outside the outer limits of the exclusive economic zone, if the person reasonably believes that the ship is outside the outer limits; or</w:t>
      </w:r>
    </w:p>
    <w:p w:rsidR="005911B7" w:rsidRPr="00B715AF" w:rsidRDefault="005911B7" w:rsidP="005911B7">
      <w:pPr>
        <w:pStyle w:val="paragraph"/>
      </w:pPr>
      <w:r w:rsidRPr="00B715AF">
        <w:tab/>
        <w:t>(b)</w:t>
      </w:r>
      <w:r w:rsidRPr="00B715AF">
        <w:tab/>
        <w:t>within the outer limits of the exclusive economic zone, if the person reasonably believes that the ship is within the outer limits.</w:t>
      </w:r>
    </w:p>
    <w:p w:rsidR="003A2315" w:rsidRPr="00B715AF" w:rsidRDefault="003A2315" w:rsidP="00ED0102">
      <w:pPr>
        <w:pStyle w:val="SubsectionHead"/>
      </w:pPr>
      <w:r w:rsidRPr="00B715AF">
        <w:t>Interaction with section</w:t>
      </w:r>
      <w:r w:rsidR="00B715AF" w:rsidRPr="00B715AF">
        <w:t> </w:t>
      </w:r>
      <w:r w:rsidR="00A06430" w:rsidRPr="00B715AF">
        <w:t>16</w:t>
      </w:r>
    </w:p>
    <w:p w:rsidR="003A2315" w:rsidRPr="00B715AF" w:rsidRDefault="00070D2D" w:rsidP="003A2315">
      <w:pPr>
        <w:pStyle w:val="subsection"/>
      </w:pPr>
      <w:r w:rsidRPr="00B715AF">
        <w:tab/>
        <w:t>(</w:t>
      </w:r>
      <w:r w:rsidR="00C226B9" w:rsidRPr="00B715AF">
        <w:t>7</w:t>
      </w:r>
      <w:r w:rsidR="003A2315" w:rsidRPr="00B715AF">
        <w:t>)</w:t>
      </w:r>
      <w:r w:rsidR="003A2315" w:rsidRPr="00B715AF">
        <w:tab/>
      </w:r>
      <w:r w:rsidR="00B715AF" w:rsidRPr="00B715AF">
        <w:t>Subsection (</w:t>
      </w:r>
      <w:r w:rsidR="00ED0102" w:rsidRPr="00B715AF">
        <w:t xml:space="preserve">1) </w:t>
      </w:r>
      <w:r w:rsidR="003A2315" w:rsidRPr="00B715AF">
        <w:t>does not apply to stock of a covered product held at a</w:t>
      </w:r>
      <w:r w:rsidR="00A2010E" w:rsidRPr="00B715AF">
        <w:t>n Australian</w:t>
      </w:r>
      <w:r w:rsidR="000878DB" w:rsidRPr="00B715AF">
        <w:t xml:space="preserve"> field, Australian biofuel plant, </w:t>
      </w:r>
      <w:r w:rsidR="00A2010E" w:rsidRPr="00B715AF">
        <w:t xml:space="preserve">Australian </w:t>
      </w:r>
      <w:r w:rsidR="003A2315" w:rsidRPr="00B715AF">
        <w:t>plant</w:t>
      </w:r>
      <w:r w:rsidR="00AD0C93" w:rsidRPr="00B715AF">
        <w:t xml:space="preserve"> (non</w:t>
      </w:r>
      <w:r w:rsidR="00B715AF">
        <w:noBreakHyphen/>
      </w:r>
      <w:r w:rsidR="00AD0C93" w:rsidRPr="00B715AF">
        <w:t>biofuel)</w:t>
      </w:r>
      <w:r w:rsidR="003A2315" w:rsidRPr="00B715AF">
        <w:t xml:space="preserve"> or </w:t>
      </w:r>
      <w:r w:rsidR="00A2010E" w:rsidRPr="00B715AF">
        <w:t xml:space="preserve">Australian </w:t>
      </w:r>
      <w:r w:rsidR="003A2315" w:rsidRPr="00B715AF">
        <w:t xml:space="preserve">refinery at the end of a </w:t>
      </w:r>
      <w:r w:rsidR="00F33FAA" w:rsidRPr="00B715AF">
        <w:t>reporting period</w:t>
      </w:r>
      <w:r w:rsidR="003A2315" w:rsidRPr="00B715AF">
        <w:t xml:space="preserve"> if the quantity of the covered product held at the field, plant or refinery at the end of the</w:t>
      </w:r>
      <w:r w:rsidR="00F33FAA" w:rsidRPr="00B715AF">
        <w:t xml:space="preserve"> reporting period</w:t>
      </w:r>
      <w:r w:rsidR="003A2315" w:rsidRPr="00B715AF">
        <w:t xml:space="preserve"> is fuel information that is required to be included in a report mentioned in section</w:t>
      </w:r>
      <w:r w:rsidR="00B715AF" w:rsidRPr="00B715AF">
        <w:t> </w:t>
      </w:r>
      <w:r w:rsidR="00A06430" w:rsidRPr="00B715AF">
        <w:t>16</w:t>
      </w:r>
      <w:r w:rsidR="003A2315" w:rsidRPr="00B715AF">
        <w:t>.</w:t>
      </w:r>
    </w:p>
    <w:p w:rsidR="003A2315" w:rsidRPr="00B715AF" w:rsidRDefault="003A2315" w:rsidP="003A2315">
      <w:pPr>
        <w:pStyle w:val="SubsectionHead"/>
      </w:pPr>
      <w:r w:rsidRPr="00B715AF">
        <w:t>Threshold</w:t>
      </w:r>
    </w:p>
    <w:p w:rsidR="003A2315" w:rsidRPr="00B715AF" w:rsidRDefault="003A2315" w:rsidP="003A2315">
      <w:pPr>
        <w:pStyle w:val="subsection"/>
      </w:pPr>
      <w:r w:rsidRPr="00B715AF">
        <w:tab/>
        <w:t>(</w:t>
      </w:r>
      <w:r w:rsidR="00C226B9" w:rsidRPr="00B715AF">
        <w:t>8</w:t>
      </w:r>
      <w:r w:rsidRPr="00B715AF">
        <w:t>)</w:t>
      </w:r>
      <w:r w:rsidRPr="00B715AF">
        <w:tab/>
        <w:t>For the purposes of subsection</w:t>
      </w:r>
      <w:r w:rsidR="00B715AF" w:rsidRPr="00B715AF">
        <w:t> </w:t>
      </w:r>
      <w:r w:rsidRPr="00B715AF">
        <w:t>13(2) of the Act, subsection</w:t>
      </w:r>
      <w:r w:rsidR="00B715AF" w:rsidRPr="00B715AF">
        <w:t> </w:t>
      </w:r>
      <w:r w:rsidRPr="00B715AF">
        <w:t xml:space="preserve">11(2) of the Act does not apply, in relation to a report mentioned in </w:t>
      </w:r>
      <w:r w:rsidR="00B715AF" w:rsidRPr="00B715AF">
        <w:t>subsection (</w:t>
      </w:r>
      <w:r w:rsidRPr="00B715AF">
        <w:t xml:space="preserve">1) of this section for a person for a </w:t>
      </w:r>
      <w:r w:rsidR="002854A7" w:rsidRPr="00B715AF">
        <w:t>reporting period</w:t>
      </w:r>
      <w:r w:rsidR="00C917BD" w:rsidRPr="00B715AF">
        <w:t xml:space="preserve"> in a financial year</w:t>
      </w:r>
      <w:r w:rsidRPr="00B715AF">
        <w:t>, if</w:t>
      </w:r>
      <w:r w:rsidR="003606E4" w:rsidRPr="00B715AF">
        <w:t xml:space="preserve"> both of the following circumstances apply</w:t>
      </w:r>
      <w:r w:rsidRPr="00B715AF">
        <w:t>:</w:t>
      </w:r>
    </w:p>
    <w:p w:rsidR="003A2315" w:rsidRPr="00B715AF" w:rsidRDefault="003A2315" w:rsidP="003A2315">
      <w:pPr>
        <w:pStyle w:val="paragraph"/>
      </w:pPr>
      <w:r w:rsidRPr="00B715AF">
        <w:tab/>
        <w:t>(a)</w:t>
      </w:r>
      <w:r w:rsidRPr="00B715AF">
        <w:tab/>
        <w:t>the total weight of all covered products wholesaled by the person during the previous financial year</w:t>
      </w:r>
      <w:r w:rsidR="003606E4" w:rsidRPr="00B715AF">
        <w:t xml:space="preserve"> was less than 3,000 tonnes;</w:t>
      </w:r>
    </w:p>
    <w:p w:rsidR="003A2315" w:rsidRPr="00B715AF" w:rsidRDefault="003A2315" w:rsidP="004B26E3">
      <w:pPr>
        <w:pStyle w:val="paragraph"/>
      </w:pPr>
      <w:r w:rsidRPr="00B715AF">
        <w:tab/>
        <w:t>(b)</w:t>
      </w:r>
      <w:r w:rsidRPr="00B715AF">
        <w:tab/>
        <w:t xml:space="preserve">the total weight of </w:t>
      </w:r>
      <w:r w:rsidR="004B26E3" w:rsidRPr="00B715AF">
        <w:t>stock</w:t>
      </w:r>
      <w:r w:rsidR="000A451E" w:rsidRPr="00B715AF">
        <w:t xml:space="preserve"> held that</w:t>
      </w:r>
      <w:r w:rsidR="004B26E3" w:rsidRPr="00B715AF">
        <w:t xml:space="preserve"> the person would have to include in the report for the reporting period </w:t>
      </w:r>
      <w:r w:rsidRPr="00B715AF">
        <w:t>is less than 3,000 tonnes.</w:t>
      </w:r>
    </w:p>
    <w:p w:rsidR="001E68DF" w:rsidRPr="00B715AF" w:rsidRDefault="00A06430" w:rsidP="005A551C">
      <w:pPr>
        <w:pStyle w:val="ActHead5"/>
      </w:pPr>
      <w:bookmarkStart w:id="28" w:name="_Toc497725304"/>
      <w:r w:rsidRPr="00B715AF">
        <w:rPr>
          <w:rStyle w:val="CharSectno"/>
        </w:rPr>
        <w:t>18</w:t>
      </w:r>
      <w:r w:rsidR="001E68DF" w:rsidRPr="00B715AF">
        <w:t xml:space="preserve">  Reporting periods</w:t>
      </w:r>
      <w:r w:rsidR="00C83795" w:rsidRPr="00B715AF">
        <w:t xml:space="preserve"> and giving reports</w:t>
      </w:r>
      <w:bookmarkEnd w:id="28"/>
    </w:p>
    <w:p w:rsidR="00C83795" w:rsidRPr="00B715AF" w:rsidRDefault="00C83795" w:rsidP="00C83795">
      <w:pPr>
        <w:pStyle w:val="SubsectionHead"/>
      </w:pPr>
      <w:r w:rsidRPr="00B715AF">
        <w:t>Reporting periods and when reports must be given</w:t>
      </w:r>
    </w:p>
    <w:p w:rsidR="00C83795" w:rsidRPr="00B715AF" w:rsidRDefault="001E68DF" w:rsidP="001E68DF">
      <w:pPr>
        <w:pStyle w:val="subsection"/>
      </w:pPr>
      <w:r w:rsidRPr="00B715AF">
        <w:tab/>
      </w:r>
      <w:r w:rsidR="00C83795" w:rsidRPr="00B715AF">
        <w:t>(1)</w:t>
      </w:r>
      <w:r w:rsidRPr="00B715AF">
        <w:tab/>
      </w:r>
      <w:r w:rsidR="00C917BD" w:rsidRPr="00B715AF">
        <w:t>The following paragraphs apply in relation to a covered activity mentioned in column 1 of an item of the following table</w:t>
      </w:r>
      <w:r w:rsidR="00C83795" w:rsidRPr="00B715AF">
        <w:t>:</w:t>
      </w:r>
    </w:p>
    <w:p w:rsidR="001E68DF" w:rsidRPr="00B715AF" w:rsidRDefault="00C83795" w:rsidP="00C83795">
      <w:pPr>
        <w:pStyle w:val="paragraph"/>
      </w:pPr>
      <w:r w:rsidRPr="00B715AF">
        <w:tab/>
        <w:t>(a)</w:t>
      </w:r>
      <w:r w:rsidRPr="00B715AF">
        <w:tab/>
      </w:r>
      <w:r w:rsidR="00C917BD" w:rsidRPr="00B715AF">
        <w:t xml:space="preserve">for the purposes of this instrument, </w:t>
      </w:r>
      <w:r w:rsidR="001E68DF" w:rsidRPr="00B715AF">
        <w:t xml:space="preserve">the </w:t>
      </w:r>
      <w:r w:rsidR="001E68DF" w:rsidRPr="00B715AF">
        <w:rPr>
          <w:b/>
          <w:i/>
        </w:rPr>
        <w:t>reporting period</w:t>
      </w:r>
      <w:r w:rsidR="001E68DF" w:rsidRPr="00B715AF">
        <w:t xml:space="preserve"> for </w:t>
      </w:r>
      <w:r w:rsidR="00C917BD" w:rsidRPr="00B715AF">
        <w:t>the</w:t>
      </w:r>
      <w:r w:rsidR="001E68DF" w:rsidRPr="00B715AF">
        <w:t xml:space="preserve"> covered activity</w:t>
      </w:r>
      <w:r w:rsidR="00C917BD" w:rsidRPr="00B715AF">
        <w:t xml:space="preserve"> is the period specified by column 2 of the item;</w:t>
      </w:r>
    </w:p>
    <w:p w:rsidR="00C83795" w:rsidRPr="00B715AF" w:rsidRDefault="00C83795" w:rsidP="00C83795">
      <w:pPr>
        <w:pStyle w:val="paragraph"/>
      </w:pPr>
      <w:r w:rsidRPr="00B715AF">
        <w:tab/>
        <w:t>(b)</w:t>
      </w:r>
      <w:r w:rsidRPr="00B715AF">
        <w:tab/>
        <w:t>for the purposes of paragraph</w:t>
      </w:r>
      <w:r w:rsidR="00B715AF" w:rsidRPr="00B715AF">
        <w:t> </w:t>
      </w:r>
      <w:r w:rsidRPr="00B715AF">
        <w:t xml:space="preserve">11(4)(c) of the Act, the period within which a report relating to </w:t>
      </w:r>
      <w:r w:rsidR="00C917BD" w:rsidRPr="00B715AF">
        <w:t>the</w:t>
      </w:r>
      <w:r w:rsidRPr="00B715AF">
        <w:t xml:space="preserve"> covered activity for a reporting period must be given to the Secretary</w:t>
      </w:r>
      <w:r w:rsidR="00C917BD" w:rsidRPr="00B715AF">
        <w:t xml:space="preserve"> is the period specified by column 3 of the item</w:t>
      </w:r>
      <w:r w:rsidRPr="00B715AF">
        <w:t>.</w:t>
      </w:r>
    </w:p>
    <w:p w:rsidR="001E68DF" w:rsidRPr="00B715AF" w:rsidRDefault="001E68DF" w:rsidP="001E68D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1417"/>
        <w:gridCol w:w="2835"/>
      </w:tblGrid>
      <w:tr w:rsidR="001E68DF" w:rsidRPr="00B715AF" w:rsidTr="00C83795">
        <w:trPr>
          <w:tblHeader/>
        </w:trPr>
        <w:tc>
          <w:tcPr>
            <w:tcW w:w="7933" w:type="dxa"/>
            <w:gridSpan w:val="4"/>
            <w:tcBorders>
              <w:top w:val="single" w:sz="12" w:space="0" w:color="auto"/>
              <w:bottom w:val="single" w:sz="6" w:space="0" w:color="auto"/>
            </w:tcBorders>
            <w:shd w:val="clear" w:color="auto" w:fill="auto"/>
          </w:tcPr>
          <w:p w:rsidR="001E68DF" w:rsidRPr="00B715AF" w:rsidRDefault="001E68DF" w:rsidP="001E68DF">
            <w:pPr>
              <w:pStyle w:val="TableHeading"/>
            </w:pPr>
            <w:r w:rsidRPr="00B715AF">
              <w:t>Reporting periods</w:t>
            </w:r>
          </w:p>
        </w:tc>
      </w:tr>
      <w:tr w:rsidR="00C83795" w:rsidRPr="00B715AF" w:rsidTr="00C83795">
        <w:trPr>
          <w:tblHeader/>
        </w:trPr>
        <w:tc>
          <w:tcPr>
            <w:tcW w:w="714" w:type="dxa"/>
            <w:tcBorders>
              <w:top w:val="single" w:sz="6" w:space="0" w:color="auto"/>
              <w:bottom w:val="single" w:sz="12" w:space="0" w:color="auto"/>
            </w:tcBorders>
            <w:shd w:val="clear" w:color="auto" w:fill="auto"/>
          </w:tcPr>
          <w:p w:rsidR="00C83795" w:rsidRPr="00B715AF" w:rsidRDefault="00C83795" w:rsidP="001E68DF">
            <w:pPr>
              <w:pStyle w:val="TableHeading"/>
            </w:pPr>
            <w:r w:rsidRPr="00B715AF">
              <w:t>Item</w:t>
            </w:r>
          </w:p>
        </w:tc>
        <w:tc>
          <w:tcPr>
            <w:tcW w:w="2967" w:type="dxa"/>
            <w:tcBorders>
              <w:top w:val="single" w:sz="6" w:space="0" w:color="auto"/>
              <w:bottom w:val="single" w:sz="12" w:space="0" w:color="auto"/>
            </w:tcBorders>
            <w:shd w:val="clear" w:color="auto" w:fill="auto"/>
          </w:tcPr>
          <w:p w:rsidR="00C83795" w:rsidRPr="00B715AF" w:rsidRDefault="00C83795" w:rsidP="001E68DF">
            <w:pPr>
              <w:pStyle w:val="TableHeading"/>
            </w:pPr>
            <w:r w:rsidRPr="00B715AF">
              <w:t>Column 1</w:t>
            </w:r>
          </w:p>
          <w:p w:rsidR="00C83795" w:rsidRPr="00B715AF" w:rsidRDefault="00C83795" w:rsidP="001E68DF">
            <w:pPr>
              <w:pStyle w:val="TableHeading"/>
            </w:pPr>
            <w:r w:rsidRPr="00B715AF">
              <w:t>Covered activity</w:t>
            </w:r>
          </w:p>
        </w:tc>
        <w:tc>
          <w:tcPr>
            <w:tcW w:w="1417" w:type="dxa"/>
            <w:tcBorders>
              <w:top w:val="single" w:sz="6" w:space="0" w:color="auto"/>
              <w:bottom w:val="single" w:sz="12" w:space="0" w:color="auto"/>
            </w:tcBorders>
            <w:shd w:val="clear" w:color="auto" w:fill="auto"/>
          </w:tcPr>
          <w:p w:rsidR="00C83795" w:rsidRPr="00B715AF" w:rsidRDefault="00C83795" w:rsidP="0046303A">
            <w:pPr>
              <w:pStyle w:val="TableHeading"/>
            </w:pPr>
            <w:r w:rsidRPr="00B715AF">
              <w:t>Column 2</w:t>
            </w:r>
          </w:p>
          <w:p w:rsidR="00C83795" w:rsidRPr="00B715AF" w:rsidRDefault="00C83795" w:rsidP="0046303A">
            <w:pPr>
              <w:pStyle w:val="TableHeading"/>
            </w:pPr>
            <w:r w:rsidRPr="00B715AF">
              <w:t>Reporting period</w:t>
            </w:r>
          </w:p>
        </w:tc>
        <w:tc>
          <w:tcPr>
            <w:tcW w:w="2835" w:type="dxa"/>
            <w:tcBorders>
              <w:top w:val="single" w:sz="6" w:space="0" w:color="auto"/>
              <w:bottom w:val="single" w:sz="12" w:space="0" w:color="auto"/>
            </w:tcBorders>
            <w:shd w:val="clear" w:color="auto" w:fill="auto"/>
          </w:tcPr>
          <w:p w:rsidR="00C83795" w:rsidRPr="00B715AF" w:rsidRDefault="00C83795" w:rsidP="001E68DF">
            <w:pPr>
              <w:pStyle w:val="TableHeading"/>
            </w:pPr>
            <w:r w:rsidRPr="00B715AF">
              <w:t>Column 3</w:t>
            </w:r>
          </w:p>
          <w:p w:rsidR="00C83795" w:rsidRPr="00B715AF" w:rsidRDefault="00C83795" w:rsidP="00C917BD">
            <w:pPr>
              <w:pStyle w:val="TableHeading"/>
            </w:pPr>
            <w:r w:rsidRPr="00B715AF">
              <w:t xml:space="preserve">Period within which </w:t>
            </w:r>
            <w:r w:rsidR="00DA7DB7" w:rsidRPr="00B715AF">
              <w:t xml:space="preserve">a </w:t>
            </w:r>
            <w:r w:rsidRPr="00B715AF">
              <w:t>report</w:t>
            </w:r>
            <w:r w:rsidR="00C917BD" w:rsidRPr="00B715AF">
              <w:t xml:space="preserve"> relating to the</w:t>
            </w:r>
            <w:r w:rsidR="00DA7DB7" w:rsidRPr="00B715AF">
              <w:t xml:space="preserve"> covered activity for </w:t>
            </w:r>
            <w:r w:rsidR="00C917BD" w:rsidRPr="00B715AF">
              <w:t>a</w:t>
            </w:r>
            <w:r w:rsidR="00DA7DB7" w:rsidRPr="00B715AF">
              <w:t xml:space="preserve"> reporting period</w:t>
            </w:r>
            <w:r w:rsidRPr="00B715AF">
              <w:t xml:space="preserve"> must be given</w:t>
            </w:r>
          </w:p>
        </w:tc>
      </w:tr>
      <w:tr w:rsidR="00C83795" w:rsidRPr="00B715AF" w:rsidTr="00C83795">
        <w:tc>
          <w:tcPr>
            <w:tcW w:w="714" w:type="dxa"/>
            <w:tcBorders>
              <w:top w:val="single" w:sz="12" w:space="0" w:color="auto"/>
            </w:tcBorders>
            <w:shd w:val="clear" w:color="auto" w:fill="auto"/>
          </w:tcPr>
          <w:p w:rsidR="00C83795" w:rsidRPr="00B715AF" w:rsidRDefault="00C83795" w:rsidP="001E68DF">
            <w:pPr>
              <w:pStyle w:val="Tabletext"/>
            </w:pPr>
            <w:r w:rsidRPr="00B715AF">
              <w:t>1</w:t>
            </w:r>
          </w:p>
        </w:tc>
        <w:tc>
          <w:tcPr>
            <w:tcW w:w="2967" w:type="dxa"/>
            <w:tcBorders>
              <w:top w:val="single" w:sz="12" w:space="0" w:color="auto"/>
            </w:tcBorders>
            <w:shd w:val="clear" w:color="auto" w:fill="auto"/>
          </w:tcPr>
          <w:p w:rsidR="00C83795" w:rsidRPr="00B715AF" w:rsidRDefault="00C83795" w:rsidP="001E68DF">
            <w:pPr>
              <w:pStyle w:val="Tabletext"/>
            </w:pPr>
            <w:r w:rsidRPr="00B715AF">
              <w:t>A covered activity not covered by another item of this table</w:t>
            </w:r>
          </w:p>
        </w:tc>
        <w:tc>
          <w:tcPr>
            <w:tcW w:w="1417" w:type="dxa"/>
            <w:tcBorders>
              <w:top w:val="single" w:sz="12" w:space="0" w:color="auto"/>
            </w:tcBorders>
            <w:shd w:val="clear" w:color="auto" w:fill="auto"/>
          </w:tcPr>
          <w:p w:rsidR="00C83795" w:rsidRPr="00B715AF" w:rsidRDefault="00C83795" w:rsidP="0046303A">
            <w:pPr>
              <w:pStyle w:val="Tabletext"/>
            </w:pPr>
            <w:r w:rsidRPr="00B715AF">
              <w:t>Calendar month</w:t>
            </w:r>
          </w:p>
        </w:tc>
        <w:tc>
          <w:tcPr>
            <w:tcW w:w="2835" w:type="dxa"/>
            <w:tcBorders>
              <w:top w:val="single" w:sz="12" w:space="0" w:color="auto"/>
            </w:tcBorders>
            <w:shd w:val="clear" w:color="auto" w:fill="auto"/>
          </w:tcPr>
          <w:p w:rsidR="00C83795" w:rsidRPr="00B715AF" w:rsidRDefault="00C83795" w:rsidP="0046303A">
            <w:pPr>
              <w:pStyle w:val="Tabletext"/>
            </w:pPr>
            <w:r w:rsidRPr="00B715AF">
              <w:t>15 days after the end of the reporting period</w:t>
            </w:r>
          </w:p>
        </w:tc>
      </w:tr>
      <w:tr w:rsidR="00C83795" w:rsidRPr="00B715AF" w:rsidTr="00C83795">
        <w:tc>
          <w:tcPr>
            <w:tcW w:w="714" w:type="dxa"/>
            <w:tcBorders>
              <w:bottom w:val="single" w:sz="2" w:space="0" w:color="auto"/>
            </w:tcBorders>
            <w:shd w:val="clear" w:color="auto" w:fill="auto"/>
          </w:tcPr>
          <w:p w:rsidR="00C83795" w:rsidRPr="00B715AF" w:rsidRDefault="00C83795" w:rsidP="001E68DF">
            <w:pPr>
              <w:pStyle w:val="Tabletext"/>
            </w:pPr>
            <w:r w:rsidRPr="00B715AF">
              <w:t>2</w:t>
            </w:r>
          </w:p>
        </w:tc>
        <w:tc>
          <w:tcPr>
            <w:tcW w:w="2967" w:type="dxa"/>
            <w:tcBorders>
              <w:bottom w:val="single" w:sz="2" w:space="0" w:color="auto"/>
            </w:tcBorders>
            <w:shd w:val="clear" w:color="auto" w:fill="auto"/>
          </w:tcPr>
          <w:p w:rsidR="00C83795" w:rsidRPr="00B715AF" w:rsidRDefault="00C83795" w:rsidP="001E68DF">
            <w:pPr>
              <w:pStyle w:val="Tablea"/>
            </w:pPr>
            <w:r w:rsidRPr="00B715AF">
              <w:t>(a) wholesaling petroleum coke; or</w:t>
            </w:r>
          </w:p>
          <w:p w:rsidR="00C83795" w:rsidRPr="00B715AF" w:rsidRDefault="00C83795" w:rsidP="00765CC5">
            <w:pPr>
              <w:pStyle w:val="Tablea"/>
            </w:pPr>
            <w:r w:rsidRPr="00B715AF">
              <w:t>(b) holding stock of petroleum coke, other than input stock or output stock held at an Australian refinery</w:t>
            </w:r>
          </w:p>
        </w:tc>
        <w:tc>
          <w:tcPr>
            <w:tcW w:w="1417" w:type="dxa"/>
            <w:tcBorders>
              <w:bottom w:val="single" w:sz="2" w:space="0" w:color="auto"/>
            </w:tcBorders>
            <w:shd w:val="clear" w:color="auto" w:fill="auto"/>
          </w:tcPr>
          <w:p w:rsidR="00C83795" w:rsidRPr="00B715AF" w:rsidRDefault="00C83795" w:rsidP="0046303A">
            <w:pPr>
              <w:pStyle w:val="Tabletext"/>
            </w:pPr>
            <w:r w:rsidRPr="00B715AF">
              <w:t>Financial year</w:t>
            </w:r>
          </w:p>
        </w:tc>
        <w:tc>
          <w:tcPr>
            <w:tcW w:w="2835" w:type="dxa"/>
            <w:tcBorders>
              <w:bottom w:val="single" w:sz="2" w:space="0" w:color="auto"/>
            </w:tcBorders>
            <w:shd w:val="clear" w:color="auto" w:fill="auto"/>
          </w:tcPr>
          <w:p w:rsidR="00C83795" w:rsidRPr="00B715AF" w:rsidRDefault="00C83795" w:rsidP="0046303A">
            <w:pPr>
              <w:pStyle w:val="Tabletext"/>
            </w:pPr>
            <w:r w:rsidRPr="00B715AF">
              <w:t>4 months after the end of the reporting period</w:t>
            </w:r>
          </w:p>
        </w:tc>
      </w:tr>
      <w:tr w:rsidR="00C83795" w:rsidRPr="00B715AF" w:rsidTr="00C83795">
        <w:tc>
          <w:tcPr>
            <w:tcW w:w="714" w:type="dxa"/>
            <w:tcBorders>
              <w:top w:val="single" w:sz="2" w:space="0" w:color="auto"/>
              <w:bottom w:val="single" w:sz="12" w:space="0" w:color="auto"/>
            </w:tcBorders>
            <w:shd w:val="clear" w:color="auto" w:fill="auto"/>
          </w:tcPr>
          <w:p w:rsidR="00C83795" w:rsidRPr="00B715AF" w:rsidRDefault="00C83795" w:rsidP="001E68DF">
            <w:pPr>
              <w:pStyle w:val="Tabletext"/>
            </w:pPr>
            <w:r w:rsidRPr="00B715AF">
              <w:t>3</w:t>
            </w:r>
          </w:p>
        </w:tc>
        <w:tc>
          <w:tcPr>
            <w:tcW w:w="2967" w:type="dxa"/>
            <w:tcBorders>
              <w:top w:val="single" w:sz="2" w:space="0" w:color="auto"/>
              <w:bottom w:val="single" w:sz="12" w:space="0" w:color="auto"/>
            </w:tcBorders>
            <w:shd w:val="clear" w:color="auto" w:fill="auto"/>
          </w:tcPr>
          <w:p w:rsidR="00C83795" w:rsidRPr="00B715AF" w:rsidRDefault="00C83795" w:rsidP="001E68DF">
            <w:pPr>
              <w:pStyle w:val="Tablea"/>
            </w:pPr>
            <w:r w:rsidRPr="00B715AF">
              <w:t>(a) wholesaling GLOWS; or</w:t>
            </w:r>
          </w:p>
          <w:p w:rsidR="00C83795" w:rsidRPr="00B715AF" w:rsidRDefault="00C83795" w:rsidP="001E68DF">
            <w:pPr>
              <w:pStyle w:val="Tablea"/>
            </w:pPr>
            <w:r w:rsidRPr="00B715AF">
              <w:t>(b) holding stock of GLOWS; or</w:t>
            </w:r>
          </w:p>
          <w:p w:rsidR="00C83795" w:rsidRPr="00B715AF" w:rsidRDefault="00C83795" w:rsidP="001E68DF">
            <w:pPr>
              <w:pStyle w:val="Tablea"/>
            </w:pPr>
            <w:r w:rsidRPr="00B715AF">
              <w:t>(c) holding input stock, working stock or output stock at a</w:t>
            </w:r>
            <w:r w:rsidR="00282CDD" w:rsidRPr="00B715AF">
              <w:t>n Australian</w:t>
            </w:r>
            <w:r w:rsidRPr="00B715AF">
              <w:t xml:space="preserve"> GLOWS facility</w:t>
            </w:r>
          </w:p>
        </w:tc>
        <w:tc>
          <w:tcPr>
            <w:tcW w:w="1417" w:type="dxa"/>
            <w:tcBorders>
              <w:top w:val="single" w:sz="2" w:space="0" w:color="auto"/>
              <w:bottom w:val="single" w:sz="12" w:space="0" w:color="auto"/>
            </w:tcBorders>
            <w:shd w:val="clear" w:color="auto" w:fill="auto"/>
          </w:tcPr>
          <w:p w:rsidR="00C83795" w:rsidRPr="00B715AF" w:rsidRDefault="00C83795" w:rsidP="0046303A">
            <w:pPr>
              <w:pStyle w:val="Tabletext"/>
            </w:pPr>
            <w:r w:rsidRPr="00B715AF">
              <w:t>Half</w:t>
            </w:r>
            <w:r w:rsidR="00B715AF">
              <w:noBreakHyphen/>
            </w:r>
            <w:r w:rsidRPr="00B715AF">
              <w:t>year</w:t>
            </w:r>
          </w:p>
        </w:tc>
        <w:tc>
          <w:tcPr>
            <w:tcW w:w="2835" w:type="dxa"/>
            <w:tcBorders>
              <w:top w:val="single" w:sz="2" w:space="0" w:color="auto"/>
              <w:bottom w:val="single" w:sz="12" w:space="0" w:color="auto"/>
            </w:tcBorders>
            <w:shd w:val="clear" w:color="auto" w:fill="auto"/>
          </w:tcPr>
          <w:p w:rsidR="00C83795" w:rsidRPr="00B715AF" w:rsidRDefault="00C83795" w:rsidP="0046303A">
            <w:pPr>
              <w:pStyle w:val="Tabletext"/>
            </w:pPr>
            <w:r w:rsidRPr="00B715AF">
              <w:t>31 days after the end of the reporting period</w:t>
            </w:r>
          </w:p>
        </w:tc>
      </w:tr>
    </w:tbl>
    <w:p w:rsidR="00C83795" w:rsidRPr="00B715AF" w:rsidRDefault="00C83795" w:rsidP="00C83795">
      <w:pPr>
        <w:pStyle w:val="subsection"/>
      </w:pPr>
      <w:r w:rsidRPr="00B715AF">
        <w:tab/>
        <w:t>(2)</w:t>
      </w:r>
      <w:r w:rsidRPr="00B715AF">
        <w:tab/>
        <w:t>Subsection</w:t>
      </w:r>
      <w:r w:rsidR="00B715AF" w:rsidRPr="00B715AF">
        <w:t> </w:t>
      </w:r>
      <w:r w:rsidRPr="00B715AF">
        <w:t xml:space="preserve">36(2) of the </w:t>
      </w:r>
      <w:r w:rsidRPr="00B715AF">
        <w:rPr>
          <w:i/>
        </w:rPr>
        <w:t>Acts Interpretation Act 1901</w:t>
      </w:r>
      <w:r w:rsidRPr="00B715AF">
        <w:t xml:space="preserve"> (about things required to be done by a Saturday, a Sunday or a holiday) does not apply to the requirement to give </w:t>
      </w:r>
      <w:r w:rsidR="00DA7DB7" w:rsidRPr="00B715AF">
        <w:t>a report under section</w:t>
      </w:r>
      <w:r w:rsidR="00B715AF" w:rsidRPr="00B715AF">
        <w:t> </w:t>
      </w:r>
      <w:r w:rsidR="00DA7DB7" w:rsidRPr="00B715AF">
        <w:t>11 of the Act</w:t>
      </w:r>
      <w:r w:rsidRPr="00B715AF">
        <w:t>.</w:t>
      </w:r>
    </w:p>
    <w:p w:rsidR="003A2315" w:rsidRPr="00B715AF" w:rsidRDefault="003A2315" w:rsidP="00C83795">
      <w:pPr>
        <w:pStyle w:val="SubsectionHead"/>
      </w:pPr>
      <w:r w:rsidRPr="00B715AF">
        <w:t>Report only needs to be given by one person</w:t>
      </w:r>
    </w:p>
    <w:p w:rsidR="003A2315" w:rsidRPr="00B715AF" w:rsidRDefault="003A2315" w:rsidP="003A2315">
      <w:pPr>
        <w:pStyle w:val="subsection"/>
      </w:pPr>
      <w:r w:rsidRPr="00B715AF">
        <w:tab/>
      </w:r>
      <w:r w:rsidR="00C83795" w:rsidRPr="00B715AF">
        <w:t>(3)</w:t>
      </w:r>
      <w:r w:rsidRPr="00B715AF">
        <w:tab/>
        <w:t>For the purposes of subsection</w:t>
      </w:r>
      <w:r w:rsidR="00B715AF" w:rsidRPr="00B715AF">
        <w:t> </w:t>
      </w:r>
      <w:r w:rsidRPr="00B715AF">
        <w:t>13(1) of the Act, subsection</w:t>
      </w:r>
      <w:r w:rsidR="00B715AF" w:rsidRPr="00B715AF">
        <w:t> </w:t>
      </w:r>
      <w:r w:rsidRPr="00B715AF">
        <w:t xml:space="preserve">11(2) of the Act does not apply, in relation to a report that a person would otherwise have to give for a </w:t>
      </w:r>
      <w:r w:rsidR="001E68DF" w:rsidRPr="00B715AF">
        <w:t>reporting period</w:t>
      </w:r>
      <w:r w:rsidRPr="00B715AF">
        <w:t>, if another person reports to the Secretary in accordance with subsection</w:t>
      </w:r>
      <w:r w:rsidR="00B715AF" w:rsidRPr="00B715AF">
        <w:t> </w:t>
      </w:r>
      <w:r w:rsidRPr="00B715AF">
        <w:t>11(2) of the Act the fuel information that would have to be included in that report.</w:t>
      </w:r>
    </w:p>
    <w:p w:rsidR="0045587B" w:rsidRPr="00B715AF" w:rsidRDefault="00A06430" w:rsidP="0045587B">
      <w:pPr>
        <w:pStyle w:val="ActHead5"/>
      </w:pPr>
      <w:bookmarkStart w:id="29" w:name="_Toc497725305"/>
      <w:r w:rsidRPr="00B715AF">
        <w:rPr>
          <w:rStyle w:val="CharSectno"/>
        </w:rPr>
        <w:t>19</w:t>
      </w:r>
      <w:r w:rsidR="0045587B" w:rsidRPr="00B715AF">
        <w:t xml:space="preserve">  Exception to duty to report—reporting to NOPTA or Western Australia</w:t>
      </w:r>
      <w:bookmarkEnd w:id="29"/>
    </w:p>
    <w:p w:rsidR="005D38A2" w:rsidRPr="00B715AF" w:rsidRDefault="005D38A2" w:rsidP="005D38A2">
      <w:pPr>
        <w:pStyle w:val="SubsectionHead"/>
      </w:pPr>
      <w:r w:rsidRPr="00B715AF">
        <w:t>Scope of this section</w:t>
      </w:r>
    </w:p>
    <w:p w:rsidR="004836EC" w:rsidRPr="00B715AF" w:rsidRDefault="004836EC" w:rsidP="008E6D87">
      <w:pPr>
        <w:pStyle w:val="subsection"/>
      </w:pPr>
      <w:r w:rsidRPr="00B715AF">
        <w:tab/>
        <w:t>(1)</w:t>
      </w:r>
      <w:r w:rsidRPr="00B715AF">
        <w:tab/>
        <w:t>This section applies if:</w:t>
      </w:r>
    </w:p>
    <w:p w:rsidR="00B87A43" w:rsidRPr="00B715AF" w:rsidRDefault="004836EC" w:rsidP="004836EC">
      <w:pPr>
        <w:pStyle w:val="paragraph"/>
      </w:pPr>
      <w:r w:rsidRPr="00B715AF">
        <w:tab/>
        <w:t>(a)</w:t>
      </w:r>
      <w:r w:rsidRPr="00B715AF">
        <w:tab/>
        <w:t xml:space="preserve">apart from </w:t>
      </w:r>
      <w:r w:rsidR="00B715AF" w:rsidRPr="00B715AF">
        <w:t>subsection (</w:t>
      </w:r>
      <w:r w:rsidR="005B77FF" w:rsidRPr="00B715AF">
        <w:t>4</w:t>
      </w:r>
      <w:r w:rsidR="00443793" w:rsidRPr="00B715AF">
        <w:t xml:space="preserve">) of this section, </w:t>
      </w:r>
      <w:r w:rsidRPr="00B715AF">
        <w:t xml:space="preserve">a person would have to give a report </w:t>
      </w:r>
      <w:r w:rsidR="009656D1" w:rsidRPr="00B715AF">
        <w:t xml:space="preserve">(the </w:t>
      </w:r>
      <w:r w:rsidR="000D3D09" w:rsidRPr="00B715AF">
        <w:rPr>
          <w:b/>
          <w:i/>
        </w:rPr>
        <w:t>current</w:t>
      </w:r>
      <w:r w:rsidR="009656D1" w:rsidRPr="00B715AF">
        <w:rPr>
          <w:b/>
          <w:i/>
        </w:rPr>
        <w:t xml:space="preserve"> report</w:t>
      </w:r>
      <w:r w:rsidR="009656D1" w:rsidRPr="00B715AF">
        <w:t xml:space="preserve">) </w:t>
      </w:r>
      <w:r w:rsidRPr="00B715AF">
        <w:t xml:space="preserve">for a </w:t>
      </w:r>
      <w:r w:rsidR="009914CF" w:rsidRPr="00B715AF">
        <w:t xml:space="preserve">calendar month </w:t>
      </w:r>
      <w:r w:rsidRPr="00B715AF">
        <w:t xml:space="preserve">under </w:t>
      </w:r>
      <w:r w:rsidR="006A2313" w:rsidRPr="00B715AF">
        <w:t>sub</w:t>
      </w:r>
      <w:r w:rsidRPr="00B715AF">
        <w:t>section</w:t>
      </w:r>
      <w:r w:rsidR="00B715AF" w:rsidRPr="00B715AF">
        <w:t> </w:t>
      </w:r>
      <w:r w:rsidRPr="00B715AF">
        <w:t>11(2) of the Act</w:t>
      </w:r>
      <w:r w:rsidR="00443793" w:rsidRPr="00B715AF">
        <w:t xml:space="preserve"> in relation to</w:t>
      </w:r>
      <w:r w:rsidR="00A234C0" w:rsidRPr="00B715AF">
        <w:t xml:space="preserve"> the covered activity of</w:t>
      </w:r>
      <w:r w:rsidR="00B87A43" w:rsidRPr="00B715AF">
        <w:t>:</w:t>
      </w:r>
    </w:p>
    <w:p w:rsidR="00B87A43" w:rsidRPr="00B715AF" w:rsidRDefault="00B87A43" w:rsidP="00B87A43">
      <w:pPr>
        <w:pStyle w:val="paragraphsub"/>
      </w:pPr>
      <w:r w:rsidRPr="00B715AF">
        <w:tab/>
        <w:t>(i)</w:t>
      </w:r>
      <w:r w:rsidRPr="00B715AF">
        <w:tab/>
        <w:t>producing crude oil, condensate or liquefied petroleum gas at an Australian field; or</w:t>
      </w:r>
    </w:p>
    <w:p w:rsidR="00B87A43" w:rsidRPr="00B715AF" w:rsidRDefault="00B87A43" w:rsidP="00B87A43">
      <w:pPr>
        <w:pStyle w:val="paragraphsub"/>
      </w:pPr>
      <w:r w:rsidRPr="00B715AF">
        <w:tab/>
        <w:t>(ii)</w:t>
      </w:r>
      <w:r w:rsidRPr="00B715AF">
        <w:tab/>
        <w:t>holding stock of crude oil, condensate or liquefied petroleum gas at an Australian field; and</w:t>
      </w:r>
    </w:p>
    <w:p w:rsidR="0080168C" w:rsidRPr="00B715AF" w:rsidRDefault="0080168C" w:rsidP="0080168C">
      <w:pPr>
        <w:pStyle w:val="paragraph"/>
      </w:pPr>
      <w:r w:rsidRPr="00B715AF">
        <w:tab/>
        <w:t>(</w:t>
      </w:r>
      <w:r w:rsidR="00443793" w:rsidRPr="00B715AF">
        <w:t>b</w:t>
      </w:r>
      <w:r w:rsidRPr="00B715AF">
        <w:t>)</w:t>
      </w:r>
      <w:r w:rsidRPr="00B715AF">
        <w:tab/>
        <w:t>a monthly product</w:t>
      </w:r>
      <w:r w:rsidR="00566EDB" w:rsidRPr="00B715AF">
        <w:t>ion</w:t>
      </w:r>
      <w:r w:rsidRPr="00B715AF">
        <w:t xml:space="preserve"> report in relation to the </w:t>
      </w:r>
      <w:r w:rsidR="009914CF" w:rsidRPr="00B715AF">
        <w:t>month</w:t>
      </w:r>
      <w:r w:rsidRPr="00B715AF">
        <w:t xml:space="preserve"> is given</w:t>
      </w:r>
      <w:r w:rsidR="00297B75" w:rsidRPr="00B715AF">
        <w:t>,</w:t>
      </w:r>
      <w:r w:rsidRPr="00B715AF">
        <w:t xml:space="preserve"> in accordance with any of the following</w:t>
      </w:r>
      <w:r w:rsidR="00297B75" w:rsidRPr="00B715AF">
        <w:t xml:space="preserve"> law</w:t>
      </w:r>
      <w:r w:rsidR="00F845AE" w:rsidRPr="00B715AF">
        <w:t>s</w:t>
      </w:r>
      <w:r w:rsidR="00B83C6A" w:rsidRPr="00B715AF">
        <w:t xml:space="preserve">, </w:t>
      </w:r>
      <w:r w:rsidRPr="00B715AF">
        <w:t>for the licence area in which the field is located:</w:t>
      </w:r>
    </w:p>
    <w:p w:rsidR="00653BD0" w:rsidRPr="00B715AF" w:rsidRDefault="0080168C" w:rsidP="00653BD0">
      <w:pPr>
        <w:pStyle w:val="paragraphsub"/>
      </w:pPr>
      <w:r w:rsidRPr="00B715AF">
        <w:tab/>
        <w:t>(i)</w:t>
      </w:r>
      <w:r w:rsidRPr="00B715AF">
        <w:tab/>
      </w:r>
      <w:r w:rsidR="00653BD0" w:rsidRPr="00B715AF">
        <w:t>regulation</w:t>
      </w:r>
      <w:r w:rsidR="00B715AF" w:rsidRPr="00B715AF">
        <w:t> </w:t>
      </w:r>
      <w:r w:rsidR="00653BD0" w:rsidRPr="00B715AF">
        <w:t xml:space="preserve">7.19 of the </w:t>
      </w:r>
      <w:r w:rsidR="00653BD0" w:rsidRPr="00B715AF">
        <w:rPr>
          <w:i/>
        </w:rPr>
        <w:t>Offshore Petroleum and Greenhouse Gas Storage (Resource Management and Administration) Regulations</w:t>
      </w:r>
      <w:r w:rsidR="00B715AF" w:rsidRPr="00B715AF">
        <w:rPr>
          <w:i/>
        </w:rPr>
        <w:t> </w:t>
      </w:r>
      <w:r w:rsidR="00653BD0" w:rsidRPr="00B715AF">
        <w:rPr>
          <w:i/>
        </w:rPr>
        <w:t>2011</w:t>
      </w:r>
      <w:r w:rsidR="00653BD0" w:rsidRPr="00B715AF">
        <w:t>;</w:t>
      </w:r>
    </w:p>
    <w:p w:rsidR="0080168C" w:rsidRPr="00B715AF" w:rsidRDefault="0080168C" w:rsidP="0080168C">
      <w:pPr>
        <w:pStyle w:val="paragraphsub"/>
      </w:pPr>
      <w:r w:rsidRPr="00B715AF">
        <w:tab/>
        <w:t>(ii)</w:t>
      </w:r>
      <w:r w:rsidRPr="00B715AF">
        <w:tab/>
        <w:t>regulation</w:t>
      </w:r>
      <w:r w:rsidR="00B715AF" w:rsidRPr="00B715AF">
        <w:t> </w:t>
      </w:r>
      <w:r w:rsidRPr="00B715AF">
        <w:t xml:space="preserve">79 of the </w:t>
      </w:r>
      <w:r w:rsidRPr="00B715AF">
        <w:rPr>
          <w:i/>
        </w:rPr>
        <w:t>Petroleum and Geothermal Energy Resources (Resource Management and Administration) Regulations</w:t>
      </w:r>
      <w:r w:rsidR="00B715AF" w:rsidRPr="00B715AF">
        <w:rPr>
          <w:i/>
        </w:rPr>
        <w:t> </w:t>
      </w:r>
      <w:r w:rsidRPr="00B715AF">
        <w:rPr>
          <w:i/>
        </w:rPr>
        <w:t>2015</w:t>
      </w:r>
      <w:r w:rsidRPr="00B715AF">
        <w:t xml:space="preserve"> (WA);</w:t>
      </w:r>
    </w:p>
    <w:p w:rsidR="0080168C" w:rsidRPr="00B715AF" w:rsidRDefault="0080168C" w:rsidP="0080168C">
      <w:pPr>
        <w:pStyle w:val="paragraphsub"/>
      </w:pPr>
      <w:r w:rsidRPr="00B715AF">
        <w:tab/>
        <w:t>(iii)</w:t>
      </w:r>
      <w:r w:rsidRPr="00B715AF">
        <w:tab/>
        <w:t>regulation</w:t>
      </w:r>
      <w:r w:rsidR="00B715AF" w:rsidRPr="00B715AF">
        <w:t> </w:t>
      </w:r>
      <w:r w:rsidRPr="00B715AF">
        <w:t xml:space="preserve">78 of the </w:t>
      </w:r>
      <w:r w:rsidRPr="00B715AF">
        <w:rPr>
          <w:i/>
        </w:rPr>
        <w:t>Petroleum (Submerged Lands) (Resource Management and Administration) Regulations</w:t>
      </w:r>
      <w:r w:rsidR="00B715AF" w:rsidRPr="00B715AF">
        <w:rPr>
          <w:i/>
        </w:rPr>
        <w:t> </w:t>
      </w:r>
      <w:r w:rsidRPr="00B715AF">
        <w:rPr>
          <w:i/>
        </w:rPr>
        <w:t>2015</w:t>
      </w:r>
      <w:r w:rsidR="00951210" w:rsidRPr="00B715AF">
        <w:t xml:space="preserve"> (WA); and</w:t>
      </w:r>
    </w:p>
    <w:p w:rsidR="00951210" w:rsidRPr="00B715AF" w:rsidRDefault="00951210" w:rsidP="00951210">
      <w:pPr>
        <w:pStyle w:val="paragraph"/>
      </w:pPr>
      <w:r w:rsidRPr="00B715AF">
        <w:tab/>
        <w:t>(c)</w:t>
      </w:r>
      <w:r w:rsidRPr="00B715AF">
        <w:tab/>
        <w:t xml:space="preserve">that report is declared under </w:t>
      </w:r>
      <w:r w:rsidR="00B715AF" w:rsidRPr="00B715AF">
        <w:t>subsection (</w:t>
      </w:r>
      <w:r w:rsidRPr="00B715AF">
        <w:t>2) to be an acceptable alternative report for the month.</w:t>
      </w:r>
    </w:p>
    <w:p w:rsidR="0080168C" w:rsidRPr="00B715AF" w:rsidRDefault="00951210" w:rsidP="00951210">
      <w:pPr>
        <w:pStyle w:val="subsection"/>
      </w:pPr>
      <w:r w:rsidRPr="00B715AF">
        <w:tab/>
        <w:t>(2)</w:t>
      </w:r>
      <w:r w:rsidRPr="00B715AF">
        <w:tab/>
        <w:t xml:space="preserve">For the purposes of </w:t>
      </w:r>
      <w:r w:rsidR="00B715AF" w:rsidRPr="00B715AF">
        <w:t>paragraph (</w:t>
      </w:r>
      <w:r w:rsidRPr="00B715AF">
        <w:t>1)(c), the Minister may, by notifiable instrument, declare that a monthly product</w:t>
      </w:r>
      <w:r w:rsidR="00566EDB" w:rsidRPr="00B715AF">
        <w:t>ion</w:t>
      </w:r>
      <w:r w:rsidRPr="00B715AF">
        <w:t xml:space="preserve"> report given in accordance with the law mentioned in </w:t>
      </w:r>
      <w:r w:rsidR="00B715AF" w:rsidRPr="00B715AF">
        <w:t>subparagraph (</w:t>
      </w:r>
      <w:r w:rsidR="0080168C" w:rsidRPr="00B715AF">
        <w:t>1)(b)</w:t>
      </w:r>
      <w:r w:rsidR="00894C3D" w:rsidRPr="00B715AF">
        <w:t xml:space="preserve">(i), </w:t>
      </w:r>
      <w:r w:rsidR="0080168C" w:rsidRPr="00B715AF">
        <w:t xml:space="preserve">(ii) or (iii) </w:t>
      </w:r>
      <w:r w:rsidR="004758B1" w:rsidRPr="00B715AF">
        <w:t>is</w:t>
      </w:r>
      <w:r w:rsidR="0080168C" w:rsidRPr="00B715AF">
        <w:t xml:space="preserve"> an acceptable alternative report for </w:t>
      </w:r>
      <w:r w:rsidRPr="00B715AF">
        <w:t>the</w:t>
      </w:r>
      <w:r w:rsidR="0080168C" w:rsidRPr="00B715AF">
        <w:t xml:space="preserve"> </w:t>
      </w:r>
      <w:r w:rsidR="009914CF" w:rsidRPr="00B715AF">
        <w:t>month</w:t>
      </w:r>
      <w:r w:rsidR="0080168C" w:rsidRPr="00B715AF">
        <w:t>.</w:t>
      </w:r>
    </w:p>
    <w:p w:rsidR="009656D1" w:rsidRPr="00B715AF" w:rsidRDefault="005B77FF" w:rsidP="009656D1">
      <w:pPr>
        <w:pStyle w:val="SubsectionHead"/>
      </w:pPr>
      <w:r w:rsidRPr="00B715AF">
        <w:t xml:space="preserve">Only density required to be reported </w:t>
      </w:r>
      <w:r w:rsidR="00B9304A" w:rsidRPr="00B715AF">
        <w:t>for</w:t>
      </w:r>
      <w:r w:rsidRPr="00B715AF">
        <w:t xml:space="preserve"> January</w:t>
      </w:r>
    </w:p>
    <w:p w:rsidR="009914CF" w:rsidRPr="00B715AF" w:rsidRDefault="009914CF" w:rsidP="009914CF">
      <w:pPr>
        <w:pStyle w:val="subsection"/>
      </w:pPr>
      <w:r w:rsidRPr="00B715AF">
        <w:tab/>
        <w:t>(3)</w:t>
      </w:r>
      <w:r w:rsidRPr="00B715AF">
        <w:tab/>
      </w:r>
      <w:r w:rsidR="005B77FF" w:rsidRPr="00B715AF">
        <w:t xml:space="preserve">If the month is January, then, </w:t>
      </w:r>
      <w:r w:rsidRPr="00B715AF">
        <w:t>for the purposes of paragraph</w:t>
      </w:r>
      <w:r w:rsidR="00B715AF" w:rsidRPr="00B715AF">
        <w:t> </w:t>
      </w:r>
      <w:r w:rsidRPr="00B715AF">
        <w:t>11(4)(a) of the Act, the current report:</w:t>
      </w:r>
    </w:p>
    <w:p w:rsidR="009914CF" w:rsidRPr="00B715AF" w:rsidRDefault="009914CF" w:rsidP="009914CF">
      <w:pPr>
        <w:pStyle w:val="paragraph"/>
      </w:pPr>
      <w:r w:rsidRPr="00B715AF">
        <w:tab/>
        <w:t>(a)</w:t>
      </w:r>
      <w:r w:rsidRPr="00B715AF">
        <w:tab/>
        <w:t xml:space="preserve">must include the average density of crude oil, condensate or liquefied petroleum gas (whichever is applicable) held, produced or consumed at, or delivered to, the field during the </w:t>
      </w:r>
      <w:r w:rsidR="005B77FF" w:rsidRPr="00B715AF">
        <w:t>month</w:t>
      </w:r>
      <w:r w:rsidRPr="00B715AF">
        <w:t>, broken down into the relevant categories and subcategories of covered product mentioned in Schedule</w:t>
      </w:r>
      <w:r w:rsidR="00B715AF" w:rsidRPr="00B715AF">
        <w:t> </w:t>
      </w:r>
      <w:r w:rsidRPr="00B715AF">
        <w:t>1 to this instrument; and</w:t>
      </w:r>
    </w:p>
    <w:p w:rsidR="009914CF" w:rsidRPr="00B715AF" w:rsidRDefault="009914CF" w:rsidP="009914CF">
      <w:pPr>
        <w:pStyle w:val="paragraph"/>
      </w:pPr>
      <w:r w:rsidRPr="00B715AF">
        <w:tab/>
        <w:t>(b)</w:t>
      </w:r>
      <w:r w:rsidRPr="00B715AF">
        <w:tab/>
        <w:t>is not required to include the other fuel information mentioned in column 3 of item</w:t>
      </w:r>
      <w:r w:rsidR="00B715AF" w:rsidRPr="00B715AF">
        <w:t> </w:t>
      </w:r>
      <w:r w:rsidRPr="00B715AF">
        <w:t>1 or 2 of the table in subsection</w:t>
      </w:r>
      <w:r w:rsidR="00B715AF" w:rsidRPr="00B715AF">
        <w:t> </w:t>
      </w:r>
      <w:r w:rsidR="00A06430" w:rsidRPr="00B715AF">
        <w:t>16</w:t>
      </w:r>
      <w:r w:rsidRPr="00B715AF">
        <w:t>(1).</w:t>
      </w:r>
    </w:p>
    <w:p w:rsidR="005B77FF" w:rsidRPr="00B715AF" w:rsidRDefault="005B77FF" w:rsidP="005B77FF">
      <w:pPr>
        <w:pStyle w:val="SubsectionHead"/>
      </w:pPr>
      <w:r w:rsidRPr="00B715AF">
        <w:t>No report required for other months</w:t>
      </w:r>
    </w:p>
    <w:p w:rsidR="005814BC" w:rsidRPr="00B715AF" w:rsidRDefault="009914CF" w:rsidP="005814BC">
      <w:pPr>
        <w:pStyle w:val="subsection"/>
      </w:pPr>
      <w:r w:rsidRPr="00B715AF">
        <w:tab/>
        <w:t>(4</w:t>
      </w:r>
      <w:r w:rsidR="005D38A2" w:rsidRPr="00B715AF">
        <w:t>)</w:t>
      </w:r>
      <w:r w:rsidR="005D38A2" w:rsidRPr="00B715AF">
        <w:tab/>
      </w:r>
      <w:r w:rsidR="006B1CD9" w:rsidRPr="00B715AF">
        <w:t>If the month is not January, then</w:t>
      </w:r>
      <w:r w:rsidRPr="00B715AF">
        <w:t>, f</w:t>
      </w:r>
      <w:r w:rsidR="005D38A2" w:rsidRPr="00B715AF">
        <w:t>or the purposes of subsection</w:t>
      </w:r>
      <w:r w:rsidR="00B715AF" w:rsidRPr="00B715AF">
        <w:t> </w:t>
      </w:r>
      <w:r w:rsidR="005D38A2" w:rsidRPr="00B715AF">
        <w:t>13(1) of the Act, subsection</w:t>
      </w:r>
      <w:r w:rsidR="00B715AF" w:rsidRPr="00B715AF">
        <w:t> </w:t>
      </w:r>
      <w:r w:rsidR="005D38A2" w:rsidRPr="00B715AF">
        <w:t xml:space="preserve">11(2) of the Act does not apply in relation to the </w:t>
      </w:r>
      <w:r w:rsidR="000D3D09" w:rsidRPr="00B715AF">
        <w:t xml:space="preserve">current </w:t>
      </w:r>
      <w:r w:rsidR="009656D1" w:rsidRPr="00B715AF">
        <w:t>report</w:t>
      </w:r>
      <w:r w:rsidR="005814BC" w:rsidRPr="00B715AF">
        <w:t xml:space="preserve"> if:</w:t>
      </w:r>
    </w:p>
    <w:p w:rsidR="005814BC" w:rsidRPr="00B715AF" w:rsidRDefault="005814BC" w:rsidP="005814BC">
      <w:pPr>
        <w:pStyle w:val="paragraph"/>
      </w:pPr>
      <w:r w:rsidRPr="00B715AF">
        <w:tab/>
        <w:t>(a)</w:t>
      </w:r>
      <w:r w:rsidRPr="00B715AF">
        <w:tab/>
        <w:t>a report was given in accordance with subsection</w:t>
      </w:r>
      <w:r w:rsidR="00B715AF" w:rsidRPr="00B715AF">
        <w:t> </w:t>
      </w:r>
      <w:r w:rsidRPr="00B715AF">
        <w:t>11(2) of the Act in relation to the covered activity and the field for the previous month; or</w:t>
      </w:r>
    </w:p>
    <w:p w:rsidR="005814BC" w:rsidRPr="00B715AF" w:rsidRDefault="005814BC" w:rsidP="005814BC">
      <w:pPr>
        <w:pStyle w:val="noteToPara"/>
      </w:pPr>
      <w:r w:rsidRPr="00B715AF">
        <w:t>Note:</w:t>
      </w:r>
      <w:r w:rsidRPr="00B715AF">
        <w:tab/>
        <w:t xml:space="preserve">If the previous month was January, </w:t>
      </w:r>
      <w:r w:rsidR="00B715AF" w:rsidRPr="00B715AF">
        <w:t>subsection (</w:t>
      </w:r>
      <w:r w:rsidRPr="00B715AF">
        <w:t>3) of this section m</w:t>
      </w:r>
      <w:r w:rsidR="001C309A" w:rsidRPr="00B715AF">
        <w:t>ight</w:t>
      </w:r>
      <w:r w:rsidRPr="00B715AF">
        <w:t xml:space="preserve"> have applied.</w:t>
      </w:r>
    </w:p>
    <w:p w:rsidR="005814BC" w:rsidRPr="00B715AF" w:rsidRDefault="005814BC" w:rsidP="005814BC">
      <w:pPr>
        <w:pStyle w:val="paragraph"/>
      </w:pPr>
      <w:r w:rsidRPr="00B715AF">
        <w:tab/>
        <w:t>(b)</w:t>
      </w:r>
      <w:r w:rsidRPr="00B715AF">
        <w:tab/>
      </w:r>
      <w:r w:rsidR="00FE4F6E" w:rsidRPr="00B715AF">
        <w:t xml:space="preserve">because of this subsection, </w:t>
      </w:r>
      <w:r w:rsidR="00282CDD" w:rsidRPr="00B715AF">
        <w:t>a</w:t>
      </w:r>
      <w:r w:rsidRPr="00B715AF">
        <w:t xml:space="preserve"> report was not required to be given</w:t>
      </w:r>
      <w:r w:rsidR="00282CDD" w:rsidRPr="00B715AF">
        <w:t xml:space="preserve"> in accordance with subsection</w:t>
      </w:r>
      <w:r w:rsidR="00B715AF" w:rsidRPr="00B715AF">
        <w:t> </w:t>
      </w:r>
      <w:r w:rsidR="00282CDD" w:rsidRPr="00B715AF">
        <w:t>11(2) of the Act in relation to the covered activity and the field for the previous month</w:t>
      </w:r>
      <w:r w:rsidRPr="00B715AF">
        <w:t>.</w:t>
      </w:r>
    </w:p>
    <w:p w:rsidR="00CD2412" w:rsidRPr="00B715AF" w:rsidRDefault="00CD2412" w:rsidP="00CD2412">
      <w:pPr>
        <w:pStyle w:val="ActHead3"/>
        <w:pageBreakBefore/>
      </w:pPr>
      <w:bookmarkStart w:id="30" w:name="_Toc497725306"/>
      <w:r w:rsidRPr="00B715AF">
        <w:rPr>
          <w:rStyle w:val="CharDivNo"/>
        </w:rPr>
        <w:t>Division</w:t>
      </w:r>
      <w:r w:rsidR="00B715AF" w:rsidRPr="00B715AF">
        <w:rPr>
          <w:rStyle w:val="CharDivNo"/>
        </w:rPr>
        <w:t> </w:t>
      </w:r>
      <w:r w:rsidR="00C63347" w:rsidRPr="00B715AF">
        <w:rPr>
          <w:rStyle w:val="CharDivNo"/>
        </w:rPr>
        <w:t>4</w:t>
      </w:r>
      <w:r w:rsidRPr="00B715AF">
        <w:t>—</w:t>
      </w:r>
      <w:r w:rsidRPr="00B715AF">
        <w:rPr>
          <w:rStyle w:val="CharDivText"/>
        </w:rPr>
        <w:t>Extended application of this Part</w:t>
      </w:r>
      <w:bookmarkEnd w:id="30"/>
    </w:p>
    <w:p w:rsidR="00187B4C" w:rsidRPr="00B715AF" w:rsidRDefault="00A06430" w:rsidP="00187B4C">
      <w:pPr>
        <w:pStyle w:val="ActHead5"/>
      </w:pPr>
      <w:bookmarkStart w:id="31" w:name="_Toc497725307"/>
      <w:r w:rsidRPr="00B715AF">
        <w:rPr>
          <w:rStyle w:val="CharSectno"/>
        </w:rPr>
        <w:t>20</w:t>
      </w:r>
      <w:r w:rsidR="00187B4C" w:rsidRPr="00B715AF">
        <w:t xml:space="preserve">  Extended application of this Part</w:t>
      </w:r>
      <w:bookmarkEnd w:id="31"/>
    </w:p>
    <w:p w:rsidR="00634C77" w:rsidRPr="00B715AF" w:rsidRDefault="00634C77" w:rsidP="00634C77">
      <w:pPr>
        <w:pStyle w:val="subsection"/>
      </w:pPr>
      <w:r w:rsidRPr="00B715AF">
        <w:tab/>
        <w:t>(1)</w:t>
      </w:r>
      <w:r w:rsidRPr="00B715AF">
        <w:tab/>
        <w:t>Without limiting the effect of this Part apart from this section, this Part also has effect as provided by this section.</w:t>
      </w:r>
    </w:p>
    <w:p w:rsidR="00634C77" w:rsidRPr="00B715AF" w:rsidRDefault="00634C77" w:rsidP="00634C77">
      <w:pPr>
        <w:pStyle w:val="subsection"/>
      </w:pPr>
      <w:r w:rsidRPr="00B715AF">
        <w:tab/>
        <w:t>(2)</w:t>
      </w:r>
      <w:r w:rsidRPr="00B715AF">
        <w:tab/>
        <w:t>To avoid doubt, no subsection of this section limits the operation of any other subsection of this section.</w:t>
      </w:r>
    </w:p>
    <w:p w:rsidR="00634C77" w:rsidRPr="00B715AF" w:rsidRDefault="00634C77" w:rsidP="00634C77">
      <w:pPr>
        <w:pStyle w:val="SubsectionHead"/>
      </w:pPr>
      <w:r w:rsidRPr="00B715AF">
        <w:t>Census and statistics power</w:t>
      </w:r>
    </w:p>
    <w:p w:rsidR="00634C77" w:rsidRPr="00B715AF" w:rsidRDefault="00634C77" w:rsidP="00634C77">
      <w:pPr>
        <w:pStyle w:val="subsection"/>
      </w:pPr>
      <w:r w:rsidRPr="00B715AF">
        <w:tab/>
        <w:t>(3)</w:t>
      </w:r>
      <w:r w:rsidRPr="00B715AF">
        <w:tab/>
        <w:t>This Part also has the effect it would have if:</w:t>
      </w:r>
    </w:p>
    <w:p w:rsidR="00634C77" w:rsidRPr="00B715AF" w:rsidRDefault="00634C77" w:rsidP="00634C77">
      <w:pPr>
        <w:pStyle w:val="paragraph"/>
      </w:pPr>
      <w:r w:rsidRPr="00B715AF">
        <w:tab/>
        <w:t>(a)</w:t>
      </w:r>
      <w:r w:rsidRPr="00B715AF">
        <w:tab/>
        <w:t>each reference in</w:t>
      </w:r>
      <w:r w:rsidR="00DB26F4" w:rsidRPr="00B715AF">
        <w:t xml:space="preserve"> </w:t>
      </w:r>
      <w:r w:rsidRPr="00B715AF">
        <w:t>this Part to a regulated entity included a reference to a person who is not a regulated entity; and</w:t>
      </w:r>
    </w:p>
    <w:p w:rsidR="00634C77" w:rsidRPr="00B715AF" w:rsidRDefault="00634C77" w:rsidP="00634C77">
      <w:pPr>
        <w:pStyle w:val="paragraph"/>
      </w:pPr>
      <w:r w:rsidRPr="00B715AF">
        <w:tab/>
        <w:t>(b)</w:t>
      </w:r>
      <w:r w:rsidRPr="00B715AF">
        <w:tab/>
        <w:t>each reference in this Part to fuel information were expressly confined to a reference to statistical fuel information.</w:t>
      </w:r>
    </w:p>
    <w:p w:rsidR="00634C77" w:rsidRPr="00B715AF" w:rsidRDefault="00634C77" w:rsidP="00634C77">
      <w:pPr>
        <w:pStyle w:val="SubsectionHead"/>
      </w:pPr>
      <w:r w:rsidRPr="00B715AF">
        <w:t>External affairs power</w:t>
      </w:r>
    </w:p>
    <w:p w:rsidR="00634C77" w:rsidRPr="00B715AF" w:rsidRDefault="00634C77" w:rsidP="00634C77">
      <w:pPr>
        <w:pStyle w:val="subsection"/>
      </w:pPr>
      <w:r w:rsidRPr="00B715AF">
        <w:tab/>
        <w:t>(4)</w:t>
      </w:r>
      <w:r w:rsidRPr="00B715AF">
        <w:tab/>
        <w:t>This Part also has the effect it would have if:</w:t>
      </w:r>
    </w:p>
    <w:p w:rsidR="00634C77" w:rsidRPr="00B715AF" w:rsidRDefault="00634C77" w:rsidP="00634C77">
      <w:pPr>
        <w:pStyle w:val="paragraph"/>
      </w:pPr>
      <w:r w:rsidRPr="00B715AF">
        <w:tab/>
        <w:t>(a)</w:t>
      </w:r>
      <w:r w:rsidRPr="00B715AF">
        <w:tab/>
        <w:t>each reference in this Part to a regulated entity included a reference to a person who is not a regulated entity; and</w:t>
      </w:r>
    </w:p>
    <w:p w:rsidR="00634C77" w:rsidRPr="00B715AF" w:rsidRDefault="00634C77" w:rsidP="00634C77">
      <w:pPr>
        <w:pStyle w:val="paragraph"/>
      </w:pPr>
      <w:r w:rsidRPr="00B715AF">
        <w:tab/>
        <w:t>(b)</w:t>
      </w:r>
      <w:r w:rsidRPr="00B715AF">
        <w:tab/>
        <w:t>each reference in this Part to fuel information were expressly confined to fuel information that is necessary to give effect to Australia</w:t>
      </w:r>
      <w:r w:rsidR="00E506C4" w:rsidRPr="00B715AF">
        <w:t>’</w:t>
      </w:r>
      <w:r w:rsidRPr="00B715AF">
        <w:t>s rights or obligations under:</w:t>
      </w:r>
    </w:p>
    <w:p w:rsidR="00634C77" w:rsidRPr="00B715AF" w:rsidRDefault="00634C77" w:rsidP="00634C77">
      <w:pPr>
        <w:pStyle w:val="paragraphsub"/>
      </w:pPr>
      <w:r w:rsidRPr="00B715AF">
        <w:tab/>
        <w:t>(i)</w:t>
      </w:r>
      <w:r w:rsidRPr="00B715AF">
        <w:tab/>
        <w:t>the Agreement; or</w:t>
      </w:r>
    </w:p>
    <w:p w:rsidR="00634C77" w:rsidRPr="00B715AF" w:rsidRDefault="00634C77" w:rsidP="00634C77">
      <w:pPr>
        <w:pStyle w:val="paragraphsub"/>
      </w:pPr>
      <w:r w:rsidRPr="00B715AF">
        <w:tab/>
        <w:t>(ii)</w:t>
      </w:r>
      <w:r w:rsidRPr="00B715AF">
        <w:tab/>
        <w:t>any other agreement with one or more countries.</w:t>
      </w:r>
    </w:p>
    <w:p w:rsidR="00634C77" w:rsidRPr="00B715AF" w:rsidRDefault="00634C77" w:rsidP="00634C77">
      <w:pPr>
        <w:pStyle w:val="subsection"/>
      </w:pPr>
      <w:r w:rsidRPr="00B715AF">
        <w:tab/>
        <w:t>(5)</w:t>
      </w:r>
      <w:r w:rsidRPr="00B715AF">
        <w:tab/>
        <w:t>This Part also has the effect it would have if:</w:t>
      </w:r>
    </w:p>
    <w:p w:rsidR="00634C77" w:rsidRPr="00B715AF" w:rsidRDefault="00634C77" w:rsidP="00634C77">
      <w:pPr>
        <w:pStyle w:val="paragraph"/>
      </w:pPr>
      <w:r w:rsidRPr="00B715AF">
        <w:tab/>
        <w:t>(a)</w:t>
      </w:r>
      <w:r w:rsidRPr="00B715AF">
        <w:tab/>
        <w:t>each reference in this Part to a regulated entity included a reference to a person who is not a regulated entity; and</w:t>
      </w:r>
    </w:p>
    <w:p w:rsidR="00634C77" w:rsidRPr="00B715AF" w:rsidRDefault="00634C77" w:rsidP="00634C77">
      <w:pPr>
        <w:pStyle w:val="paragraph"/>
      </w:pPr>
      <w:r w:rsidRPr="00B715AF">
        <w:tab/>
        <w:t>(b)</w:t>
      </w:r>
      <w:r w:rsidRPr="00B715AF">
        <w:tab/>
        <w:t>the following provisions were omitted:</w:t>
      </w:r>
    </w:p>
    <w:p w:rsidR="00634C77" w:rsidRPr="00B715AF" w:rsidRDefault="00634C77" w:rsidP="00634C77">
      <w:pPr>
        <w:pStyle w:val="paragraphsub"/>
      </w:pPr>
      <w:r w:rsidRPr="00B715AF">
        <w:tab/>
        <w:t>(i)</w:t>
      </w:r>
      <w:r w:rsidRPr="00B715AF">
        <w:tab/>
        <w:t>sections</w:t>
      </w:r>
      <w:r w:rsidR="00B715AF" w:rsidRPr="00B715AF">
        <w:t> </w:t>
      </w:r>
      <w:r w:rsidR="00A06430" w:rsidRPr="00B715AF">
        <w:t>11</w:t>
      </w:r>
      <w:r w:rsidRPr="00B715AF">
        <w:t xml:space="preserve"> and </w:t>
      </w:r>
      <w:r w:rsidR="00A06430" w:rsidRPr="00B715AF">
        <w:t>12</w:t>
      </w:r>
      <w:r w:rsidRPr="00B715AF">
        <w:t>;</w:t>
      </w:r>
    </w:p>
    <w:p w:rsidR="00571AAC" w:rsidRPr="00B715AF" w:rsidRDefault="00571AAC" w:rsidP="00634C77">
      <w:pPr>
        <w:pStyle w:val="paragraphsub"/>
      </w:pPr>
      <w:r w:rsidRPr="00B715AF">
        <w:tab/>
        <w:t>(i</w:t>
      </w:r>
      <w:r w:rsidR="00F334F8" w:rsidRPr="00B715AF">
        <w:t>i</w:t>
      </w:r>
      <w:r w:rsidRPr="00B715AF">
        <w:t>)</w:t>
      </w:r>
      <w:r w:rsidRPr="00B715AF">
        <w:tab/>
        <w:t>subsection</w:t>
      </w:r>
      <w:r w:rsidR="00B715AF" w:rsidRPr="00B715AF">
        <w:t> </w:t>
      </w:r>
      <w:r w:rsidR="00A06430" w:rsidRPr="00B715AF">
        <w:t>14</w:t>
      </w:r>
      <w:r w:rsidRPr="00B715AF">
        <w:t>(2);</w:t>
      </w:r>
    </w:p>
    <w:p w:rsidR="00634C77" w:rsidRPr="00B715AF" w:rsidRDefault="00634C77" w:rsidP="00634C77">
      <w:pPr>
        <w:pStyle w:val="paragraphsub"/>
      </w:pPr>
      <w:r w:rsidRPr="00B715AF">
        <w:tab/>
        <w:t>(ii</w:t>
      </w:r>
      <w:r w:rsidR="00F334F8" w:rsidRPr="00B715AF">
        <w:t>i</w:t>
      </w:r>
      <w:r w:rsidRPr="00B715AF">
        <w:t>)</w:t>
      </w:r>
      <w:r w:rsidRPr="00B715AF">
        <w:tab/>
        <w:t>section</w:t>
      </w:r>
      <w:r w:rsidR="00B715AF" w:rsidRPr="00B715AF">
        <w:t> </w:t>
      </w:r>
      <w:r w:rsidR="00A06430" w:rsidRPr="00B715AF">
        <w:t>16</w:t>
      </w:r>
      <w:r w:rsidRPr="00B715AF">
        <w:t>;</w:t>
      </w:r>
    </w:p>
    <w:p w:rsidR="00634C77" w:rsidRPr="00B715AF" w:rsidRDefault="00634C77" w:rsidP="00634C77">
      <w:pPr>
        <w:pStyle w:val="paragraphsub"/>
      </w:pPr>
      <w:r w:rsidRPr="00B715AF">
        <w:tab/>
        <w:t>(i</w:t>
      </w:r>
      <w:r w:rsidR="00F334F8" w:rsidRPr="00B715AF">
        <w:t>v</w:t>
      </w:r>
      <w:r w:rsidRPr="00B715AF">
        <w:t>)</w:t>
      </w:r>
      <w:r w:rsidRPr="00B715AF">
        <w:tab/>
        <w:t>items</w:t>
      </w:r>
      <w:r w:rsidR="00B715AF" w:rsidRPr="00B715AF">
        <w:t> </w:t>
      </w:r>
      <w:r w:rsidRPr="00B715AF">
        <w:t xml:space="preserve">1 and </w:t>
      </w:r>
      <w:r w:rsidR="00B7325C" w:rsidRPr="00B715AF">
        <w:t>5</w:t>
      </w:r>
      <w:r w:rsidRPr="00B715AF">
        <w:t xml:space="preserve"> of the table in subsection</w:t>
      </w:r>
      <w:r w:rsidR="00B715AF" w:rsidRPr="00B715AF">
        <w:t> </w:t>
      </w:r>
      <w:r w:rsidR="00A06430" w:rsidRPr="00B715AF">
        <w:t>17</w:t>
      </w:r>
      <w:r w:rsidRPr="00B715AF">
        <w:t>(1);</w:t>
      </w:r>
    </w:p>
    <w:p w:rsidR="00CC63FE" w:rsidRPr="00B715AF" w:rsidRDefault="00D30A5F" w:rsidP="00CC63FE">
      <w:pPr>
        <w:pStyle w:val="paragraphsub"/>
      </w:pPr>
      <w:r w:rsidRPr="00B715AF">
        <w:tab/>
        <w:t>(</w:t>
      </w:r>
      <w:r w:rsidR="00F334F8" w:rsidRPr="00B715AF">
        <w:t>v</w:t>
      </w:r>
      <w:r w:rsidRPr="00B715AF">
        <w:t>)</w:t>
      </w:r>
      <w:r w:rsidRPr="00B715AF">
        <w:tab/>
        <w:t>subsection</w:t>
      </w:r>
      <w:r w:rsidR="00B715AF" w:rsidRPr="00B715AF">
        <w:t> </w:t>
      </w:r>
      <w:r w:rsidR="00A06430" w:rsidRPr="00B715AF">
        <w:t>17</w:t>
      </w:r>
      <w:r w:rsidRPr="00B715AF">
        <w:t>(2)</w:t>
      </w:r>
      <w:r w:rsidR="00CC63FE" w:rsidRPr="00B715AF">
        <w:t>,</w:t>
      </w:r>
      <w:r w:rsidRPr="00B715AF">
        <w:t xml:space="preserve"> paragraph</w:t>
      </w:r>
      <w:r w:rsidR="00B715AF" w:rsidRPr="00B715AF">
        <w:t> </w:t>
      </w:r>
      <w:r w:rsidR="00A06430" w:rsidRPr="00B715AF">
        <w:t>17</w:t>
      </w:r>
      <w:r w:rsidRPr="00B715AF">
        <w:t>(3)(a)</w:t>
      </w:r>
      <w:r w:rsidR="00CC63FE" w:rsidRPr="00B715AF">
        <w:t xml:space="preserve"> and subsection</w:t>
      </w:r>
      <w:r w:rsidR="00B715AF" w:rsidRPr="00B715AF">
        <w:t> </w:t>
      </w:r>
      <w:r w:rsidR="00A06430" w:rsidRPr="00B715AF">
        <w:t>17</w:t>
      </w:r>
      <w:r w:rsidR="00CC63FE" w:rsidRPr="00B715AF">
        <w:t>(</w:t>
      </w:r>
      <w:r w:rsidR="001C0779" w:rsidRPr="00B715AF">
        <w:t>7</w:t>
      </w:r>
      <w:r w:rsidR="00CC63FE" w:rsidRPr="00B715AF">
        <w:t>);</w:t>
      </w:r>
    </w:p>
    <w:p w:rsidR="00A50165" w:rsidRPr="00B715AF" w:rsidRDefault="00CC63FE" w:rsidP="00634C77">
      <w:pPr>
        <w:pStyle w:val="paragraphsub"/>
      </w:pPr>
      <w:r w:rsidRPr="00B715AF">
        <w:tab/>
        <w:t>(v</w:t>
      </w:r>
      <w:r w:rsidR="00F334F8" w:rsidRPr="00B715AF">
        <w:t>i</w:t>
      </w:r>
      <w:r w:rsidRPr="00B715AF">
        <w:t>)</w:t>
      </w:r>
      <w:r w:rsidRPr="00B715AF">
        <w:tab/>
      </w:r>
      <w:r w:rsidR="00B715AF" w:rsidRPr="00B715AF">
        <w:t>paragraph (</w:t>
      </w:r>
      <w:r w:rsidR="00233015" w:rsidRPr="00B715AF">
        <w:t xml:space="preserve">a) of </w:t>
      </w:r>
      <w:r w:rsidRPr="00B715AF">
        <w:t xml:space="preserve">column 1 of </w:t>
      </w:r>
      <w:r w:rsidR="00233015" w:rsidRPr="00B715AF">
        <w:t>item</w:t>
      </w:r>
      <w:r w:rsidR="00B715AF" w:rsidRPr="00B715AF">
        <w:t> </w:t>
      </w:r>
      <w:r w:rsidR="00233015" w:rsidRPr="00B715AF">
        <w:t>2, and item</w:t>
      </w:r>
      <w:r w:rsidR="00B715AF" w:rsidRPr="00B715AF">
        <w:t> </w:t>
      </w:r>
      <w:r w:rsidR="00233015" w:rsidRPr="00B715AF">
        <w:t>3</w:t>
      </w:r>
      <w:r w:rsidR="001379CD" w:rsidRPr="00B715AF">
        <w:t>,</w:t>
      </w:r>
      <w:r w:rsidR="00233015" w:rsidRPr="00B715AF">
        <w:t xml:space="preserve"> of the table in </w:t>
      </w:r>
      <w:r w:rsidRPr="00B715AF">
        <w:t>sub</w:t>
      </w:r>
      <w:r w:rsidR="00D30A5F" w:rsidRPr="00B715AF">
        <w:t>section</w:t>
      </w:r>
      <w:r w:rsidR="00B715AF" w:rsidRPr="00B715AF">
        <w:t> </w:t>
      </w:r>
      <w:r w:rsidR="00A06430" w:rsidRPr="00B715AF">
        <w:t>18</w:t>
      </w:r>
      <w:r w:rsidRPr="00B715AF">
        <w:t>(1)</w:t>
      </w:r>
      <w:r w:rsidR="00571AAC" w:rsidRPr="00B715AF">
        <w:t>;</w:t>
      </w:r>
    </w:p>
    <w:p w:rsidR="00571AAC" w:rsidRPr="00B715AF" w:rsidRDefault="00A50165" w:rsidP="00634C77">
      <w:pPr>
        <w:pStyle w:val="paragraphsub"/>
      </w:pPr>
      <w:r w:rsidRPr="00B715AF">
        <w:tab/>
        <w:t>(vii)</w:t>
      </w:r>
      <w:r w:rsidRPr="00B715AF">
        <w:tab/>
        <w:t>section</w:t>
      </w:r>
      <w:r w:rsidR="00B715AF" w:rsidRPr="00B715AF">
        <w:t> </w:t>
      </w:r>
      <w:r w:rsidR="00797472" w:rsidRPr="00B715AF">
        <w:t>19</w:t>
      </w:r>
      <w:r w:rsidRPr="00B715AF">
        <w:t>;</w:t>
      </w:r>
      <w:r w:rsidR="00571AAC" w:rsidRPr="00B715AF">
        <w:t xml:space="preserve"> and</w:t>
      </w:r>
    </w:p>
    <w:p w:rsidR="00571AAC" w:rsidRPr="00B715AF" w:rsidRDefault="00571AAC" w:rsidP="00571AAC">
      <w:pPr>
        <w:pStyle w:val="paragraph"/>
      </w:pPr>
      <w:r w:rsidRPr="00B715AF">
        <w:tab/>
        <w:t>(c)</w:t>
      </w:r>
      <w:r w:rsidRPr="00B715AF">
        <w:tab/>
        <w:t xml:space="preserve">a reference in this Part </w:t>
      </w:r>
      <w:r w:rsidR="00E12BBF" w:rsidRPr="00B715AF">
        <w:t xml:space="preserve">to </w:t>
      </w:r>
      <w:r w:rsidR="0038522D" w:rsidRPr="00B715AF">
        <w:t xml:space="preserve">a covered product on </w:t>
      </w:r>
      <w:r w:rsidRPr="00B715AF">
        <w:t xml:space="preserve">water did not include a reference to </w:t>
      </w:r>
      <w:r w:rsidR="0038522D" w:rsidRPr="00B715AF">
        <w:t xml:space="preserve">a covered product </w:t>
      </w:r>
      <w:r w:rsidR="001B31B3" w:rsidRPr="00B715AF">
        <w:t xml:space="preserve">kept in storage </w:t>
      </w:r>
      <w:r w:rsidRPr="00B715AF">
        <w:t>in a ship that is in an Australian port.</w:t>
      </w:r>
    </w:p>
    <w:p w:rsidR="00634C77" w:rsidRPr="00B715AF" w:rsidRDefault="00634C77" w:rsidP="00634C77">
      <w:pPr>
        <w:pStyle w:val="SubsectionHead"/>
      </w:pPr>
      <w:r w:rsidRPr="00B715AF">
        <w:t>Trade and commerce power</w:t>
      </w:r>
    </w:p>
    <w:p w:rsidR="00634C77" w:rsidRPr="00B715AF" w:rsidRDefault="00634C77" w:rsidP="00634C77">
      <w:pPr>
        <w:pStyle w:val="subsection"/>
      </w:pPr>
      <w:r w:rsidRPr="00B715AF">
        <w:tab/>
        <w:t>(6)</w:t>
      </w:r>
      <w:r w:rsidRPr="00B715AF">
        <w:tab/>
        <w:t>This Part also has the effect it would have if:</w:t>
      </w:r>
    </w:p>
    <w:p w:rsidR="00634C77" w:rsidRPr="00B715AF" w:rsidRDefault="00634C77" w:rsidP="00634C77">
      <w:pPr>
        <w:pStyle w:val="paragraph"/>
      </w:pPr>
      <w:r w:rsidRPr="00B715AF">
        <w:tab/>
        <w:t>(a)</w:t>
      </w:r>
      <w:r w:rsidRPr="00B715AF">
        <w:tab/>
        <w:t>each reference in this Part to a regulated entity included a reference to a person who is not a regulated entity; and</w:t>
      </w:r>
    </w:p>
    <w:p w:rsidR="002500AF" w:rsidRPr="00B715AF" w:rsidRDefault="002500AF" w:rsidP="002500AF">
      <w:pPr>
        <w:pStyle w:val="paragraph"/>
      </w:pPr>
      <w:r w:rsidRPr="00B715AF">
        <w:tab/>
        <w:t>(</w:t>
      </w:r>
      <w:r w:rsidR="00634C77" w:rsidRPr="00B715AF">
        <w:t>b</w:t>
      </w:r>
      <w:r w:rsidRPr="00B715AF">
        <w:t>)</w:t>
      </w:r>
      <w:r w:rsidRPr="00B715AF">
        <w:tab/>
        <w:t xml:space="preserve">each reference in </w:t>
      </w:r>
      <w:r w:rsidR="00634C77" w:rsidRPr="00B715AF">
        <w:t xml:space="preserve">this Part </w:t>
      </w:r>
      <w:r w:rsidRPr="00B715AF">
        <w:t>to a covered activity were a reference to a covered activity undertaken in the course of or in relation to constitutional trade and commerce.</w:t>
      </w:r>
    </w:p>
    <w:p w:rsidR="00D41FD3" w:rsidRPr="00B715AF" w:rsidRDefault="00D41FD3" w:rsidP="00D41FD3">
      <w:pPr>
        <w:pStyle w:val="ActHead2"/>
        <w:pageBreakBefore/>
      </w:pPr>
      <w:bookmarkStart w:id="32" w:name="_Toc497725308"/>
      <w:r w:rsidRPr="00B715AF">
        <w:rPr>
          <w:rStyle w:val="CharPartNo"/>
        </w:rPr>
        <w:t>Part</w:t>
      </w:r>
      <w:r w:rsidR="00B715AF" w:rsidRPr="00B715AF">
        <w:rPr>
          <w:rStyle w:val="CharPartNo"/>
        </w:rPr>
        <w:t> </w:t>
      </w:r>
      <w:r w:rsidR="004C6EDE" w:rsidRPr="00B715AF">
        <w:rPr>
          <w:rStyle w:val="CharPartNo"/>
        </w:rPr>
        <w:t>3</w:t>
      </w:r>
      <w:r w:rsidRPr="00B715AF">
        <w:t>—</w:t>
      </w:r>
      <w:r w:rsidR="003F7B36" w:rsidRPr="00B715AF">
        <w:rPr>
          <w:rStyle w:val="CharPartText"/>
        </w:rPr>
        <w:t>Application and t</w:t>
      </w:r>
      <w:r w:rsidRPr="00B715AF">
        <w:rPr>
          <w:rStyle w:val="CharPartText"/>
        </w:rPr>
        <w:t>ransitional provisions</w:t>
      </w:r>
      <w:bookmarkEnd w:id="32"/>
    </w:p>
    <w:p w:rsidR="00D41FD3" w:rsidRPr="00B715AF" w:rsidRDefault="00D41FD3" w:rsidP="00D41FD3">
      <w:pPr>
        <w:pStyle w:val="ActHead3"/>
      </w:pPr>
      <w:bookmarkStart w:id="33" w:name="_Toc497725309"/>
      <w:r w:rsidRPr="00B715AF">
        <w:rPr>
          <w:rStyle w:val="CharDivNo"/>
        </w:rPr>
        <w:t>Division</w:t>
      </w:r>
      <w:r w:rsidR="00B715AF" w:rsidRPr="00B715AF">
        <w:rPr>
          <w:rStyle w:val="CharDivNo"/>
        </w:rPr>
        <w:t> </w:t>
      </w:r>
      <w:r w:rsidRPr="00B715AF">
        <w:rPr>
          <w:rStyle w:val="CharDivNo"/>
        </w:rPr>
        <w:t>1</w:t>
      </w:r>
      <w:r w:rsidRPr="00B715AF">
        <w:t>—</w:t>
      </w:r>
      <w:r w:rsidRPr="00B715AF">
        <w:rPr>
          <w:rStyle w:val="CharDivText"/>
        </w:rPr>
        <w:t>Application of this instrument</w:t>
      </w:r>
      <w:bookmarkEnd w:id="33"/>
    </w:p>
    <w:p w:rsidR="00A67AAC" w:rsidRPr="00B715AF" w:rsidRDefault="00A06430" w:rsidP="00A67AAC">
      <w:pPr>
        <w:pStyle w:val="ActHead5"/>
      </w:pPr>
      <w:bookmarkStart w:id="34" w:name="_Toc497725310"/>
      <w:r w:rsidRPr="00B715AF">
        <w:rPr>
          <w:rStyle w:val="CharSectno"/>
        </w:rPr>
        <w:t>21</w:t>
      </w:r>
      <w:r w:rsidR="00D41FD3" w:rsidRPr="00B715AF">
        <w:t xml:space="preserve">  Application of this instrument</w:t>
      </w:r>
      <w:bookmarkEnd w:id="34"/>
    </w:p>
    <w:p w:rsidR="00376334" w:rsidRPr="00B715AF" w:rsidRDefault="00CC63FE" w:rsidP="00CC63FE">
      <w:pPr>
        <w:pStyle w:val="SubsectionHead"/>
      </w:pPr>
      <w:r w:rsidRPr="00B715AF">
        <w:t>Reporting periods start on or after 1</w:t>
      </w:r>
      <w:r w:rsidR="00B715AF" w:rsidRPr="00B715AF">
        <w:t> </w:t>
      </w:r>
      <w:r w:rsidRPr="00B715AF">
        <w:t>January 2018</w:t>
      </w:r>
    </w:p>
    <w:p w:rsidR="001F6660" w:rsidRPr="00B715AF" w:rsidRDefault="00D41FD3" w:rsidP="001F6660">
      <w:pPr>
        <w:pStyle w:val="subsection"/>
      </w:pPr>
      <w:r w:rsidRPr="00B715AF">
        <w:tab/>
      </w:r>
      <w:r w:rsidR="00EA61BA" w:rsidRPr="00B715AF">
        <w:t>(1)</w:t>
      </w:r>
      <w:r w:rsidRPr="00B715AF">
        <w:tab/>
        <w:t>Part</w:t>
      </w:r>
      <w:r w:rsidR="00B715AF" w:rsidRPr="00B715AF">
        <w:t> </w:t>
      </w:r>
      <w:r w:rsidRPr="00B715AF">
        <w:t xml:space="preserve">2 of this instrument </w:t>
      </w:r>
      <w:r w:rsidR="002F267E" w:rsidRPr="00B715AF">
        <w:t>a</w:t>
      </w:r>
      <w:r w:rsidRPr="00B715AF">
        <w:t>pplies to</w:t>
      </w:r>
      <w:r w:rsidR="001F6660" w:rsidRPr="00B715AF">
        <w:t xml:space="preserve"> </w:t>
      </w:r>
      <w:r w:rsidR="001E68DF" w:rsidRPr="00B715AF">
        <w:t>reporting periods</w:t>
      </w:r>
      <w:r w:rsidR="002F267E" w:rsidRPr="00B715AF">
        <w:t xml:space="preserve"> starting </w:t>
      </w:r>
      <w:r w:rsidRPr="00B715AF">
        <w:t>on or after 1</w:t>
      </w:r>
      <w:r w:rsidR="00B715AF" w:rsidRPr="00B715AF">
        <w:t> </w:t>
      </w:r>
      <w:r w:rsidRPr="00B715AF">
        <w:t>J</w:t>
      </w:r>
      <w:r w:rsidR="002F267E" w:rsidRPr="00B715AF">
        <w:t>anuary 2018</w:t>
      </w:r>
      <w:r w:rsidR="001F6660" w:rsidRPr="00B715AF">
        <w:t>.</w:t>
      </w:r>
    </w:p>
    <w:p w:rsidR="00CC63FE" w:rsidRPr="00B715AF" w:rsidRDefault="00CC63FE" w:rsidP="00CC63FE">
      <w:pPr>
        <w:pStyle w:val="SubsectionHead"/>
      </w:pPr>
      <w:r w:rsidRPr="00B715AF">
        <w:t>First reporting period for petroleum coke is half</w:t>
      </w:r>
      <w:r w:rsidR="00B715AF">
        <w:noBreakHyphen/>
      </w:r>
      <w:r w:rsidRPr="00B715AF">
        <w:t>year starting on 1</w:t>
      </w:r>
      <w:r w:rsidR="00B715AF" w:rsidRPr="00B715AF">
        <w:t> </w:t>
      </w:r>
      <w:r w:rsidRPr="00B715AF">
        <w:t>January 2018</w:t>
      </w:r>
    </w:p>
    <w:p w:rsidR="004D41DF" w:rsidRPr="00B715AF" w:rsidRDefault="00CC63FE" w:rsidP="004D41DF">
      <w:pPr>
        <w:pStyle w:val="subsection"/>
      </w:pPr>
      <w:r w:rsidRPr="00B715AF">
        <w:tab/>
        <w:t>(2)</w:t>
      </w:r>
      <w:r w:rsidRPr="00B715AF">
        <w:tab/>
        <w:t>The reference in column 2 of item</w:t>
      </w:r>
      <w:r w:rsidR="00B715AF" w:rsidRPr="00B715AF">
        <w:t> </w:t>
      </w:r>
      <w:r w:rsidRPr="00B715AF">
        <w:t>2 of the table in subsection</w:t>
      </w:r>
      <w:r w:rsidR="00B715AF" w:rsidRPr="00B715AF">
        <w:t> </w:t>
      </w:r>
      <w:r w:rsidR="00A06430" w:rsidRPr="00B715AF">
        <w:t>18</w:t>
      </w:r>
      <w:r w:rsidRPr="00B715AF">
        <w:t xml:space="preserve">(1) </w:t>
      </w:r>
      <w:r w:rsidR="004D41DF" w:rsidRPr="00B715AF">
        <w:t>to a financial year is taken to include a reference to the half</w:t>
      </w:r>
      <w:r w:rsidR="00B715AF">
        <w:noBreakHyphen/>
      </w:r>
      <w:r w:rsidR="004D41DF" w:rsidRPr="00B715AF">
        <w:t>year starting on 1</w:t>
      </w:r>
      <w:r w:rsidR="00B715AF" w:rsidRPr="00B715AF">
        <w:t> </w:t>
      </w:r>
      <w:r w:rsidR="004D41DF" w:rsidRPr="00B715AF">
        <w:t>January 2018.</w:t>
      </w:r>
    </w:p>
    <w:p w:rsidR="00342F19" w:rsidRPr="00B715AF" w:rsidRDefault="00342F19" w:rsidP="00342F19">
      <w:pPr>
        <w:pStyle w:val="SubsectionHead"/>
      </w:pPr>
      <w:r w:rsidRPr="00B715AF">
        <w:t xml:space="preserve">Reports not required for </w:t>
      </w:r>
      <w:r w:rsidR="00C917BD" w:rsidRPr="00B715AF">
        <w:t xml:space="preserve">fields etc. </w:t>
      </w:r>
      <w:r w:rsidR="00E47C38" w:rsidRPr="00B715AF">
        <w:t>until the</w:t>
      </w:r>
      <w:r w:rsidR="00C917BD" w:rsidRPr="00B715AF">
        <w:t xml:space="preserve">y </w:t>
      </w:r>
      <w:r w:rsidR="00E47C38" w:rsidRPr="00B715AF">
        <w:t>produce etc. covered product</w:t>
      </w:r>
      <w:r w:rsidR="00273E16" w:rsidRPr="00B715AF">
        <w:t>s</w:t>
      </w:r>
      <w:r w:rsidR="00E47C38" w:rsidRPr="00B715AF">
        <w:t xml:space="preserve"> </w:t>
      </w:r>
      <w:r w:rsidRPr="00B715AF">
        <w:t>on or after 1</w:t>
      </w:r>
      <w:r w:rsidR="00B715AF" w:rsidRPr="00B715AF">
        <w:t> </w:t>
      </w:r>
      <w:r w:rsidRPr="00B715AF">
        <w:t>January 2018</w:t>
      </w:r>
    </w:p>
    <w:p w:rsidR="00E47C38" w:rsidRPr="00B715AF" w:rsidRDefault="002F267E" w:rsidP="00FF57E4">
      <w:pPr>
        <w:pStyle w:val="subsection"/>
      </w:pPr>
      <w:r w:rsidRPr="00B715AF">
        <w:tab/>
        <w:t>(</w:t>
      </w:r>
      <w:r w:rsidR="004D41DF" w:rsidRPr="00B715AF">
        <w:t>3</w:t>
      </w:r>
      <w:r w:rsidR="00FF57E4" w:rsidRPr="00B715AF">
        <w:t>)</w:t>
      </w:r>
      <w:r w:rsidR="00FF57E4" w:rsidRPr="00B715AF">
        <w:tab/>
      </w:r>
      <w:r w:rsidR="00E47C38" w:rsidRPr="00B715AF">
        <w:t>Sections</w:t>
      </w:r>
      <w:r w:rsidR="00B715AF" w:rsidRPr="00B715AF">
        <w:t> </w:t>
      </w:r>
      <w:r w:rsidR="00A06430" w:rsidRPr="00B715AF">
        <w:t>11</w:t>
      </w:r>
      <w:r w:rsidR="00E47C38" w:rsidRPr="00B715AF">
        <w:t xml:space="preserve"> and </w:t>
      </w:r>
      <w:r w:rsidR="00A06430" w:rsidRPr="00B715AF">
        <w:t>12</w:t>
      </w:r>
      <w:r w:rsidR="00E47C38" w:rsidRPr="00B715AF">
        <w:t xml:space="preserve"> apply to undertaking any of the following covered activities on or after 1</w:t>
      </w:r>
      <w:r w:rsidR="00B715AF" w:rsidRPr="00B715AF">
        <w:t> </w:t>
      </w:r>
      <w:r w:rsidR="00E47C38" w:rsidRPr="00B715AF">
        <w:t>January 2018:</w:t>
      </w:r>
    </w:p>
    <w:p w:rsidR="00E47C38" w:rsidRPr="00B715AF" w:rsidRDefault="00E47C38" w:rsidP="00E47C38">
      <w:pPr>
        <w:pStyle w:val="paragraph"/>
      </w:pPr>
      <w:r w:rsidRPr="00B715AF">
        <w:tab/>
        <w:t>(a)</w:t>
      </w:r>
      <w:r w:rsidRPr="00B715AF">
        <w:tab/>
        <w:t>producing crude oil, condensate, liquefied petroleum gas</w:t>
      </w:r>
      <w:r w:rsidR="00B10820" w:rsidRPr="00B715AF">
        <w:t>;</w:t>
      </w:r>
    </w:p>
    <w:p w:rsidR="00E47C38" w:rsidRPr="00B715AF" w:rsidRDefault="00E47C38" w:rsidP="00E47C38">
      <w:pPr>
        <w:pStyle w:val="paragraph"/>
      </w:pPr>
      <w:r w:rsidRPr="00B715AF">
        <w:tab/>
        <w:t>(b)</w:t>
      </w:r>
      <w:r w:rsidRPr="00B715AF">
        <w:tab/>
        <w:t>producing transport biofuel</w:t>
      </w:r>
      <w:r w:rsidR="00B10820" w:rsidRPr="00B715AF">
        <w:t>;</w:t>
      </w:r>
    </w:p>
    <w:p w:rsidR="00571AAC" w:rsidRPr="00B715AF" w:rsidRDefault="00E47C38" w:rsidP="00571AAC">
      <w:pPr>
        <w:pStyle w:val="paragraph"/>
      </w:pPr>
      <w:r w:rsidRPr="00B715AF">
        <w:tab/>
        <w:t>(c)</w:t>
      </w:r>
      <w:r w:rsidRPr="00B715AF">
        <w:tab/>
        <w:t xml:space="preserve">processing </w:t>
      </w:r>
      <w:r w:rsidR="00952B62" w:rsidRPr="00B715AF">
        <w:t>plant product</w:t>
      </w:r>
      <w:r w:rsidR="00B10820" w:rsidRPr="00B715AF">
        <w:t>;</w:t>
      </w:r>
    </w:p>
    <w:p w:rsidR="00E47C38" w:rsidRPr="00B715AF" w:rsidRDefault="00E47C38" w:rsidP="00571AAC">
      <w:pPr>
        <w:pStyle w:val="paragraph"/>
      </w:pPr>
      <w:r w:rsidRPr="00B715AF">
        <w:tab/>
        <w:t>(d)</w:t>
      </w:r>
      <w:r w:rsidRPr="00B715AF">
        <w:tab/>
        <w:t>refining a covered product</w:t>
      </w:r>
      <w:r w:rsidR="00B10820" w:rsidRPr="00B715AF">
        <w:t>;</w:t>
      </w:r>
    </w:p>
    <w:p w:rsidR="00E47C38" w:rsidRPr="00B715AF" w:rsidRDefault="00E47C38" w:rsidP="00E47C38">
      <w:pPr>
        <w:pStyle w:val="paragraph"/>
      </w:pPr>
      <w:r w:rsidRPr="00B715AF">
        <w:tab/>
        <w:t>(e)</w:t>
      </w:r>
      <w:r w:rsidRPr="00B715AF">
        <w:tab/>
        <w:t>recycling or re</w:t>
      </w:r>
      <w:r w:rsidR="00B715AF">
        <w:noBreakHyphen/>
      </w:r>
      <w:r w:rsidRPr="00B715AF">
        <w:t>refining GLOWS.</w:t>
      </w:r>
    </w:p>
    <w:p w:rsidR="00634C77" w:rsidRPr="00B715AF" w:rsidRDefault="00634C77">
      <w:pPr>
        <w:sectPr w:rsidR="00634C77" w:rsidRPr="00B715AF" w:rsidSect="004B3AF0">
          <w:headerReference w:type="even" r:id="rId21"/>
          <w:headerReference w:type="default" r:id="rId22"/>
          <w:footerReference w:type="even" r:id="rId23"/>
          <w:footerReference w:type="default" r:id="rId24"/>
          <w:footerReference w:type="first" r:id="rId25"/>
          <w:pgSz w:w="11907" w:h="16839" w:code="9"/>
          <w:pgMar w:top="1440" w:right="1797" w:bottom="1440" w:left="1797" w:header="720" w:footer="709" w:gutter="0"/>
          <w:pgNumType w:start="1"/>
          <w:cols w:space="720"/>
          <w:docGrid w:linePitch="299"/>
        </w:sectPr>
      </w:pPr>
    </w:p>
    <w:p w:rsidR="00634C77" w:rsidRPr="00B715AF" w:rsidRDefault="00634C77" w:rsidP="00634C77">
      <w:pPr>
        <w:pStyle w:val="ActHead1"/>
      </w:pPr>
      <w:bookmarkStart w:id="35" w:name="_Toc497725311"/>
      <w:r w:rsidRPr="00B715AF">
        <w:rPr>
          <w:rStyle w:val="CharChapNo"/>
        </w:rPr>
        <w:t>Schedule</w:t>
      </w:r>
      <w:r w:rsidR="00B715AF" w:rsidRPr="00B715AF">
        <w:rPr>
          <w:rStyle w:val="CharChapNo"/>
        </w:rPr>
        <w:t> </w:t>
      </w:r>
      <w:r w:rsidRPr="00B715AF">
        <w:rPr>
          <w:rStyle w:val="CharChapNo"/>
        </w:rPr>
        <w:t>1</w:t>
      </w:r>
      <w:r w:rsidRPr="00B715AF">
        <w:t>—</w:t>
      </w:r>
      <w:r w:rsidRPr="00B715AF">
        <w:rPr>
          <w:rStyle w:val="CharChapText"/>
        </w:rPr>
        <w:t>Categories and subcategories of covered product</w:t>
      </w:r>
      <w:bookmarkEnd w:id="35"/>
    </w:p>
    <w:p w:rsidR="00634C77" w:rsidRPr="00B715AF" w:rsidRDefault="00634C77" w:rsidP="00634C77">
      <w:pPr>
        <w:pStyle w:val="notemargin"/>
      </w:pPr>
      <w:r w:rsidRPr="00B715AF">
        <w:t>Note:</w:t>
      </w:r>
      <w:r w:rsidRPr="00B715AF">
        <w:tab/>
        <w:t>See sections</w:t>
      </w:r>
      <w:r w:rsidR="00B715AF" w:rsidRPr="00B715AF">
        <w:t> </w:t>
      </w:r>
      <w:r w:rsidR="00A06430" w:rsidRPr="00B715AF">
        <w:t>16</w:t>
      </w:r>
      <w:r w:rsidRPr="00B715AF">
        <w:t xml:space="preserve"> and </w:t>
      </w:r>
      <w:r w:rsidR="00A06430" w:rsidRPr="00B715AF">
        <w:t>17</w:t>
      </w:r>
      <w:r w:rsidRPr="00B715AF">
        <w:t>.</w:t>
      </w:r>
    </w:p>
    <w:p w:rsidR="00634C77" w:rsidRPr="00B715AF" w:rsidRDefault="00634C77" w:rsidP="00634C77">
      <w:pPr>
        <w:pStyle w:val="Header"/>
      </w:pPr>
      <w:bookmarkStart w:id="36" w:name="f_Check_Lines_below"/>
      <w:bookmarkEnd w:id="36"/>
      <w:r w:rsidRPr="00B715AF">
        <w:rPr>
          <w:rStyle w:val="CharPartNo"/>
        </w:rPr>
        <w:t xml:space="preserve"> </w:t>
      </w:r>
      <w:r w:rsidRPr="00B715AF">
        <w:rPr>
          <w:rStyle w:val="CharPartText"/>
        </w:rPr>
        <w:t xml:space="preserve"> </w:t>
      </w:r>
    </w:p>
    <w:p w:rsidR="00634C77" w:rsidRPr="00B715AF" w:rsidRDefault="00634C77" w:rsidP="00634C77">
      <w:pPr>
        <w:pStyle w:val="Header"/>
      </w:pPr>
      <w:r w:rsidRPr="00B715AF">
        <w:rPr>
          <w:rStyle w:val="CharDivNo"/>
        </w:rPr>
        <w:t xml:space="preserve"> </w:t>
      </w:r>
      <w:r w:rsidRPr="00B715AF">
        <w:rPr>
          <w:rStyle w:val="CharDivText"/>
        </w:rPr>
        <w:t xml:space="preserve"> </w:t>
      </w:r>
    </w:p>
    <w:p w:rsidR="00634C77" w:rsidRPr="00B715AF" w:rsidRDefault="00634C77" w:rsidP="00634C77">
      <w:pPr>
        <w:pStyle w:val="ActHead5"/>
      </w:pPr>
      <w:bookmarkStart w:id="37" w:name="_Toc497725312"/>
      <w:r w:rsidRPr="00B715AF">
        <w:rPr>
          <w:rStyle w:val="CharSectno"/>
        </w:rPr>
        <w:t>1</w:t>
      </w:r>
      <w:r w:rsidRPr="00B715AF">
        <w:t xml:space="preserve">  Categories and subcategories of covered product</w:t>
      </w:r>
      <w:bookmarkEnd w:id="37"/>
    </w:p>
    <w:p w:rsidR="00CF3D43" w:rsidRPr="00B715AF" w:rsidRDefault="00CF3D43" w:rsidP="00634C77">
      <w:pPr>
        <w:pStyle w:val="subsection"/>
      </w:pPr>
      <w:r w:rsidRPr="00B715AF">
        <w:tab/>
        <w:t>(1)</w:t>
      </w:r>
      <w:r w:rsidRPr="00B715AF">
        <w:tab/>
        <w:t>Each item of the following table has the following effects:</w:t>
      </w:r>
    </w:p>
    <w:p w:rsidR="00634C77" w:rsidRPr="00B715AF" w:rsidRDefault="00CF3D43" w:rsidP="00CF3D43">
      <w:pPr>
        <w:pStyle w:val="paragraph"/>
      </w:pPr>
      <w:r w:rsidRPr="00B715AF">
        <w:tab/>
        <w:t>(a)</w:t>
      </w:r>
      <w:r w:rsidRPr="00B715AF">
        <w:tab/>
        <w:t>c</w:t>
      </w:r>
      <w:r w:rsidR="00634C77" w:rsidRPr="00B715AF">
        <w:t xml:space="preserve">olumn 1 of </w:t>
      </w:r>
      <w:r w:rsidRPr="00B715AF">
        <w:t xml:space="preserve">the item </w:t>
      </w:r>
      <w:r w:rsidR="00634C77" w:rsidRPr="00B715AF">
        <w:t>sets ou</w:t>
      </w:r>
      <w:r w:rsidRPr="00B715AF">
        <w:t>t a category of covered product;</w:t>
      </w:r>
    </w:p>
    <w:p w:rsidR="0009136E" w:rsidRPr="00B715AF" w:rsidRDefault="00CF3D43" w:rsidP="00CF3D43">
      <w:pPr>
        <w:pStyle w:val="paragraph"/>
      </w:pPr>
      <w:r w:rsidRPr="00B715AF">
        <w:tab/>
        <w:t>(b)</w:t>
      </w:r>
      <w:r w:rsidRPr="00B715AF">
        <w:tab/>
        <w:t>e</w:t>
      </w:r>
      <w:r w:rsidR="00634C77" w:rsidRPr="00B715AF">
        <w:t xml:space="preserve">ach </w:t>
      </w:r>
      <w:r w:rsidR="00B715AF" w:rsidRPr="00B715AF">
        <w:t>paragraph (</w:t>
      </w:r>
      <w:r w:rsidR="00634C77" w:rsidRPr="00B715AF">
        <w:t>if any) of column 2 of the item sets out a subcategory of that category of covered product</w:t>
      </w:r>
      <w:r w:rsidR="00F143D4" w:rsidRPr="00B715AF">
        <w:t>,</w:t>
      </w:r>
      <w:r w:rsidR="0009136E" w:rsidRPr="00B715AF">
        <w:t xml:space="preserve"> for the purposes of a report to which </w:t>
      </w:r>
      <w:r w:rsidR="00B715AF" w:rsidRPr="00B715AF">
        <w:t>paragraphs (</w:t>
      </w:r>
      <w:r w:rsidR="00B855C1" w:rsidRPr="00B715AF">
        <w:t>c</w:t>
      </w:r>
      <w:r w:rsidR="0009136E" w:rsidRPr="00B715AF">
        <w:t>)</w:t>
      </w:r>
      <w:r w:rsidR="005911B7" w:rsidRPr="00B715AF">
        <w:t xml:space="preserve"> and (</w:t>
      </w:r>
      <w:r w:rsidR="00B855C1" w:rsidRPr="00B715AF">
        <w:t>d</w:t>
      </w:r>
      <w:r w:rsidR="005911B7" w:rsidRPr="00B715AF">
        <w:t>)</w:t>
      </w:r>
      <w:r w:rsidRPr="00B715AF">
        <w:t xml:space="preserve"> do not apply;</w:t>
      </w:r>
    </w:p>
    <w:p w:rsidR="00D977B2" w:rsidRPr="00B715AF" w:rsidRDefault="00CF3D43" w:rsidP="00CF3D43">
      <w:pPr>
        <w:pStyle w:val="paragraph"/>
      </w:pPr>
      <w:r w:rsidRPr="00B715AF">
        <w:tab/>
        <w:t>(c)</w:t>
      </w:r>
      <w:r w:rsidRPr="00B715AF">
        <w:tab/>
        <w:t>e</w:t>
      </w:r>
      <w:r w:rsidR="0009136E" w:rsidRPr="00B715AF">
        <w:t xml:space="preserve">ach </w:t>
      </w:r>
      <w:r w:rsidR="00B715AF" w:rsidRPr="00B715AF">
        <w:t>paragraph (</w:t>
      </w:r>
      <w:r w:rsidR="0009136E" w:rsidRPr="00B715AF">
        <w:t>if any) of column 3 of the item sets out a subcategory of that category of covered product</w:t>
      </w:r>
      <w:r w:rsidR="00F143D4" w:rsidRPr="00B715AF">
        <w:t>,</w:t>
      </w:r>
      <w:r w:rsidR="0009136E" w:rsidRPr="00B715AF">
        <w:t xml:space="preserve"> for the purposes of a </w:t>
      </w:r>
      <w:r w:rsidR="00EE2905" w:rsidRPr="00B715AF">
        <w:t>report</w:t>
      </w:r>
      <w:r w:rsidR="00D977B2" w:rsidRPr="00B715AF">
        <w:t xml:space="preserve"> </w:t>
      </w:r>
      <w:r w:rsidR="00396AD6" w:rsidRPr="00B715AF">
        <w:t xml:space="preserve">relating </w:t>
      </w:r>
      <w:r w:rsidR="00D977B2" w:rsidRPr="00B715AF">
        <w:t>to a covered activity</w:t>
      </w:r>
      <w:r w:rsidR="00EE2905" w:rsidRPr="00B715AF">
        <w:t xml:space="preserve"> </w:t>
      </w:r>
      <w:r w:rsidR="00D977B2" w:rsidRPr="00B715AF">
        <w:t>to which item</w:t>
      </w:r>
      <w:r w:rsidR="00B715AF" w:rsidRPr="00B715AF">
        <w:t> </w:t>
      </w:r>
      <w:r w:rsidR="00D977B2" w:rsidRPr="00B715AF">
        <w:t>7 or 8 of the table in subsection</w:t>
      </w:r>
      <w:r w:rsidR="00B715AF" w:rsidRPr="00B715AF">
        <w:t> </w:t>
      </w:r>
      <w:r w:rsidR="00D977B2" w:rsidRPr="00B715AF">
        <w:t>16(1) of this instrument (about</w:t>
      </w:r>
      <w:r w:rsidRPr="00B715AF">
        <w:t xml:space="preserve"> Australian refineries) applies;</w:t>
      </w:r>
    </w:p>
    <w:p w:rsidR="008D4149" w:rsidRPr="00B715AF" w:rsidRDefault="008D4149" w:rsidP="00CF3D43">
      <w:pPr>
        <w:pStyle w:val="paragraph"/>
      </w:pPr>
      <w:r w:rsidRPr="00B715AF">
        <w:tab/>
        <w:t>(</w:t>
      </w:r>
      <w:r w:rsidR="00CF3D43" w:rsidRPr="00B715AF">
        <w:t>d)</w:t>
      </w:r>
      <w:r w:rsidR="00CF3D43" w:rsidRPr="00B715AF">
        <w:tab/>
        <w:t>e</w:t>
      </w:r>
      <w:r w:rsidRPr="00B715AF">
        <w:t xml:space="preserve">ach </w:t>
      </w:r>
      <w:r w:rsidR="00B715AF" w:rsidRPr="00B715AF">
        <w:t>paragraph (</w:t>
      </w:r>
      <w:r w:rsidRPr="00B715AF">
        <w:t xml:space="preserve">if any) of column 4 of the item sets out a subcategory of that category of covered product, for the purposes of a report relating to </w:t>
      </w:r>
      <w:r w:rsidR="00D977B2" w:rsidRPr="00B715AF">
        <w:t>a</w:t>
      </w:r>
      <w:r w:rsidRPr="00B715AF">
        <w:t xml:space="preserve"> covered activity </w:t>
      </w:r>
      <w:r w:rsidR="00D977B2" w:rsidRPr="00B715AF">
        <w:t>to which item</w:t>
      </w:r>
      <w:r w:rsidR="00B715AF" w:rsidRPr="00B715AF">
        <w:t> </w:t>
      </w:r>
      <w:r w:rsidR="00D977B2" w:rsidRPr="00B715AF">
        <w:t>1, 2 or 5 of the table in subsection</w:t>
      </w:r>
      <w:r w:rsidR="00B715AF" w:rsidRPr="00B715AF">
        <w:t> </w:t>
      </w:r>
      <w:r w:rsidR="00D977B2" w:rsidRPr="00B715AF">
        <w:t>17(1) of this instrument (about holding stock) applies</w:t>
      </w:r>
      <w:r w:rsidR="005911B7" w:rsidRPr="00B715AF">
        <w:t>.</w:t>
      </w:r>
    </w:p>
    <w:p w:rsidR="00634C77" w:rsidRPr="00B715AF" w:rsidRDefault="00634C77" w:rsidP="00634C77">
      <w:pPr>
        <w:pStyle w:val="Tabletext"/>
      </w:pPr>
    </w:p>
    <w:tbl>
      <w:tblPr>
        <w:tblW w:w="860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77"/>
        <w:gridCol w:w="1586"/>
        <w:gridCol w:w="2114"/>
        <w:gridCol w:w="2114"/>
        <w:gridCol w:w="2114"/>
      </w:tblGrid>
      <w:tr w:rsidR="00634C77" w:rsidRPr="00B715AF" w:rsidTr="008D4149">
        <w:trPr>
          <w:tblHeader/>
        </w:trPr>
        <w:tc>
          <w:tcPr>
            <w:tcW w:w="8605" w:type="dxa"/>
            <w:gridSpan w:val="5"/>
            <w:tcBorders>
              <w:top w:val="single" w:sz="12" w:space="0" w:color="auto"/>
              <w:bottom w:val="single" w:sz="6" w:space="0" w:color="auto"/>
            </w:tcBorders>
            <w:shd w:val="clear" w:color="auto" w:fill="auto"/>
          </w:tcPr>
          <w:p w:rsidR="00634C77" w:rsidRPr="00B715AF" w:rsidRDefault="00634C77" w:rsidP="00AB556B">
            <w:pPr>
              <w:pStyle w:val="TableHeading"/>
              <w:rPr>
                <w:rStyle w:val="CharPartText"/>
              </w:rPr>
            </w:pPr>
            <w:r w:rsidRPr="00B715AF">
              <w:t>Categories and subcategories of covered product</w:t>
            </w:r>
          </w:p>
        </w:tc>
      </w:tr>
      <w:tr w:rsidR="008B6A35" w:rsidRPr="00B715AF" w:rsidTr="008D4149">
        <w:trPr>
          <w:tblHeader/>
        </w:trPr>
        <w:tc>
          <w:tcPr>
            <w:tcW w:w="677" w:type="dxa"/>
            <w:tcBorders>
              <w:top w:val="single" w:sz="6" w:space="0" w:color="auto"/>
              <w:bottom w:val="single" w:sz="12" w:space="0" w:color="auto"/>
            </w:tcBorders>
            <w:shd w:val="clear" w:color="auto" w:fill="auto"/>
          </w:tcPr>
          <w:p w:rsidR="008B6A35" w:rsidRPr="00B715AF" w:rsidRDefault="008B6A35" w:rsidP="00AB556B">
            <w:pPr>
              <w:pStyle w:val="TableHeading"/>
              <w:rPr>
                <w:rStyle w:val="CharPartText"/>
              </w:rPr>
            </w:pPr>
            <w:r w:rsidRPr="00B715AF">
              <w:t>Item</w:t>
            </w:r>
          </w:p>
        </w:tc>
        <w:tc>
          <w:tcPr>
            <w:tcW w:w="1586" w:type="dxa"/>
            <w:tcBorders>
              <w:top w:val="single" w:sz="6" w:space="0" w:color="auto"/>
              <w:bottom w:val="single" w:sz="12" w:space="0" w:color="auto"/>
            </w:tcBorders>
            <w:shd w:val="clear" w:color="auto" w:fill="auto"/>
          </w:tcPr>
          <w:p w:rsidR="008B6A35" w:rsidRPr="00B715AF" w:rsidRDefault="008B6A35" w:rsidP="00AB556B">
            <w:pPr>
              <w:pStyle w:val="TableHeading"/>
            </w:pPr>
            <w:r w:rsidRPr="00B715AF">
              <w:t>Column 1</w:t>
            </w:r>
          </w:p>
          <w:p w:rsidR="008B6A35" w:rsidRPr="00B715AF" w:rsidRDefault="008B6A35" w:rsidP="00AB556B">
            <w:pPr>
              <w:pStyle w:val="TableHeading"/>
              <w:rPr>
                <w:rStyle w:val="CharPartText"/>
              </w:rPr>
            </w:pPr>
            <w:r w:rsidRPr="00B715AF">
              <w:t>Categories</w:t>
            </w:r>
          </w:p>
        </w:tc>
        <w:tc>
          <w:tcPr>
            <w:tcW w:w="2114" w:type="dxa"/>
            <w:tcBorders>
              <w:top w:val="single" w:sz="6" w:space="0" w:color="auto"/>
              <w:bottom w:val="single" w:sz="12" w:space="0" w:color="auto"/>
            </w:tcBorders>
            <w:shd w:val="clear" w:color="auto" w:fill="auto"/>
          </w:tcPr>
          <w:p w:rsidR="008B6A35" w:rsidRPr="00B715AF" w:rsidRDefault="008B6A35" w:rsidP="003816E1">
            <w:pPr>
              <w:pStyle w:val="TableHeading"/>
            </w:pPr>
            <w:r w:rsidRPr="00B715AF">
              <w:t>Column 2</w:t>
            </w:r>
          </w:p>
          <w:p w:rsidR="008B6A35" w:rsidRPr="00B715AF" w:rsidRDefault="008B6A35" w:rsidP="003816E1">
            <w:pPr>
              <w:pStyle w:val="TableHeading"/>
              <w:rPr>
                <w:rStyle w:val="CharPartText"/>
              </w:rPr>
            </w:pPr>
            <w:r w:rsidRPr="00B715AF">
              <w:t>Subcategories—general</w:t>
            </w:r>
          </w:p>
        </w:tc>
        <w:tc>
          <w:tcPr>
            <w:tcW w:w="2114" w:type="dxa"/>
            <w:tcBorders>
              <w:top w:val="single" w:sz="6" w:space="0" w:color="auto"/>
              <w:bottom w:val="single" w:sz="12" w:space="0" w:color="auto"/>
            </w:tcBorders>
            <w:shd w:val="clear" w:color="auto" w:fill="auto"/>
          </w:tcPr>
          <w:p w:rsidR="008B6A35" w:rsidRPr="00B715AF" w:rsidRDefault="008B6A35" w:rsidP="008B6A35">
            <w:pPr>
              <w:pStyle w:val="TableHeading"/>
            </w:pPr>
            <w:r w:rsidRPr="00B715AF">
              <w:t>Column 3</w:t>
            </w:r>
          </w:p>
          <w:p w:rsidR="008B6A35" w:rsidRPr="00B715AF" w:rsidRDefault="008B6A35" w:rsidP="00396AD6">
            <w:pPr>
              <w:pStyle w:val="TableHeading"/>
            </w:pPr>
            <w:r w:rsidRPr="00B715AF">
              <w:t>Subcategories—</w:t>
            </w:r>
            <w:r w:rsidR="00396AD6" w:rsidRPr="00B715AF">
              <w:t>refineries</w:t>
            </w:r>
          </w:p>
        </w:tc>
        <w:tc>
          <w:tcPr>
            <w:tcW w:w="2114" w:type="dxa"/>
            <w:tcBorders>
              <w:top w:val="single" w:sz="6" w:space="0" w:color="auto"/>
              <w:bottom w:val="single" w:sz="12" w:space="0" w:color="auto"/>
            </w:tcBorders>
            <w:shd w:val="clear" w:color="auto" w:fill="auto"/>
          </w:tcPr>
          <w:p w:rsidR="008B6A35" w:rsidRPr="00B715AF" w:rsidRDefault="008B6A35" w:rsidP="008B6A35">
            <w:pPr>
              <w:pStyle w:val="TableHeading"/>
            </w:pPr>
            <w:r w:rsidRPr="00B715AF">
              <w:t>Column 4</w:t>
            </w:r>
          </w:p>
          <w:p w:rsidR="008B6A35" w:rsidRPr="00B715AF" w:rsidRDefault="008B6A35" w:rsidP="008B6A35">
            <w:pPr>
              <w:pStyle w:val="TableHeading"/>
              <w:rPr>
                <w:rStyle w:val="CharPartText"/>
              </w:rPr>
            </w:pPr>
            <w:r w:rsidRPr="00B715AF">
              <w:t>Subcategories—holding stock</w:t>
            </w:r>
          </w:p>
        </w:tc>
      </w:tr>
      <w:tr w:rsidR="008B6A35" w:rsidRPr="00B715AF" w:rsidTr="008D4149">
        <w:tc>
          <w:tcPr>
            <w:tcW w:w="677" w:type="dxa"/>
            <w:tcBorders>
              <w:top w:val="single" w:sz="12" w:space="0" w:color="auto"/>
            </w:tcBorders>
            <w:shd w:val="clear" w:color="auto" w:fill="auto"/>
          </w:tcPr>
          <w:p w:rsidR="008B6A35" w:rsidRPr="00B715AF" w:rsidRDefault="008B6A35" w:rsidP="00AB556B">
            <w:pPr>
              <w:pStyle w:val="Tabletext"/>
              <w:rPr>
                <w:rStyle w:val="CharPartText"/>
              </w:rPr>
            </w:pPr>
            <w:r w:rsidRPr="00B715AF">
              <w:t>1</w:t>
            </w:r>
          </w:p>
        </w:tc>
        <w:tc>
          <w:tcPr>
            <w:tcW w:w="1586" w:type="dxa"/>
            <w:tcBorders>
              <w:top w:val="single" w:sz="12" w:space="0" w:color="auto"/>
            </w:tcBorders>
            <w:shd w:val="clear" w:color="auto" w:fill="auto"/>
          </w:tcPr>
          <w:p w:rsidR="008B6A35" w:rsidRPr="00B715AF" w:rsidRDefault="008B6A35" w:rsidP="00AB556B">
            <w:pPr>
              <w:pStyle w:val="Tabletext"/>
              <w:rPr>
                <w:rStyle w:val="CharPartText"/>
              </w:rPr>
            </w:pPr>
            <w:r w:rsidRPr="00B715AF">
              <w:t>Crude oil</w:t>
            </w:r>
          </w:p>
        </w:tc>
        <w:tc>
          <w:tcPr>
            <w:tcW w:w="2114" w:type="dxa"/>
            <w:tcBorders>
              <w:top w:val="single" w:sz="12" w:space="0" w:color="auto"/>
            </w:tcBorders>
            <w:shd w:val="clear" w:color="auto" w:fill="auto"/>
          </w:tcPr>
          <w:p w:rsidR="008B6A35" w:rsidRPr="00B715AF" w:rsidRDefault="008B6A35" w:rsidP="003816E1">
            <w:pPr>
              <w:pStyle w:val="Tabletext"/>
              <w:rPr>
                <w:rStyle w:val="CharPartText"/>
              </w:rPr>
            </w:pPr>
          </w:p>
        </w:tc>
        <w:tc>
          <w:tcPr>
            <w:tcW w:w="2114" w:type="dxa"/>
            <w:tcBorders>
              <w:top w:val="single" w:sz="12" w:space="0" w:color="auto"/>
            </w:tcBorders>
            <w:shd w:val="clear" w:color="auto" w:fill="auto"/>
          </w:tcPr>
          <w:p w:rsidR="008B6A35" w:rsidRPr="00B715AF" w:rsidRDefault="008B6A35" w:rsidP="008B6A35">
            <w:pPr>
              <w:pStyle w:val="Tabletext"/>
              <w:rPr>
                <w:rStyle w:val="CharPartText"/>
              </w:rPr>
            </w:pPr>
          </w:p>
        </w:tc>
        <w:tc>
          <w:tcPr>
            <w:tcW w:w="2114" w:type="dxa"/>
            <w:tcBorders>
              <w:top w:val="single" w:sz="12" w:space="0" w:color="auto"/>
            </w:tcBorders>
            <w:shd w:val="clear" w:color="auto" w:fill="auto"/>
          </w:tcPr>
          <w:p w:rsidR="008B6A35" w:rsidRPr="00B715AF" w:rsidRDefault="008B6A35" w:rsidP="008B6A35">
            <w:pPr>
              <w:pStyle w:val="Tabletext"/>
              <w:rPr>
                <w:rStyle w:val="CharPartText"/>
              </w:rPr>
            </w:pPr>
          </w:p>
        </w:tc>
      </w:tr>
      <w:tr w:rsidR="008B6A35" w:rsidRPr="00B715AF" w:rsidTr="008D4149">
        <w:tc>
          <w:tcPr>
            <w:tcW w:w="677" w:type="dxa"/>
            <w:shd w:val="clear" w:color="auto" w:fill="auto"/>
          </w:tcPr>
          <w:p w:rsidR="008B6A35" w:rsidRPr="00B715AF" w:rsidRDefault="008B6A35" w:rsidP="00AB556B">
            <w:pPr>
              <w:pStyle w:val="Tabletext"/>
              <w:rPr>
                <w:rStyle w:val="CharPartText"/>
              </w:rPr>
            </w:pPr>
            <w:r w:rsidRPr="00B715AF">
              <w:t>2</w:t>
            </w:r>
          </w:p>
        </w:tc>
        <w:tc>
          <w:tcPr>
            <w:tcW w:w="1586" w:type="dxa"/>
            <w:shd w:val="clear" w:color="auto" w:fill="auto"/>
          </w:tcPr>
          <w:p w:rsidR="008B6A35" w:rsidRPr="00B715AF" w:rsidRDefault="008B6A35" w:rsidP="00AB556B">
            <w:pPr>
              <w:pStyle w:val="Tabletext"/>
            </w:pPr>
            <w:r w:rsidRPr="00B715AF">
              <w:t>Condensate</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shd w:val="clear" w:color="auto" w:fill="auto"/>
          </w:tcPr>
          <w:p w:rsidR="008B6A35" w:rsidRPr="00B715AF" w:rsidRDefault="008B6A35" w:rsidP="00AB556B">
            <w:pPr>
              <w:pStyle w:val="Tabletext"/>
            </w:pPr>
            <w:r w:rsidRPr="00B715AF">
              <w:t>3</w:t>
            </w:r>
          </w:p>
        </w:tc>
        <w:tc>
          <w:tcPr>
            <w:tcW w:w="1586" w:type="dxa"/>
            <w:shd w:val="clear" w:color="auto" w:fill="auto"/>
          </w:tcPr>
          <w:p w:rsidR="008B6A35" w:rsidRPr="00B715AF" w:rsidRDefault="008B6A35" w:rsidP="00AB556B">
            <w:pPr>
              <w:pStyle w:val="Tabletext"/>
            </w:pPr>
            <w:r w:rsidRPr="00B715AF">
              <w:t>Liquefied petroleum gas</w:t>
            </w:r>
          </w:p>
        </w:tc>
        <w:tc>
          <w:tcPr>
            <w:tcW w:w="2114" w:type="dxa"/>
            <w:shd w:val="clear" w:color="auto" w:fill="auto"/>
          </w:tcPr>
          <w:p w:rsidR="008B6A35" w:rsidRPr="00B715AF" w:rsidRDefault="008B6A35" w:rsidP="003816E1">
            <w:pPr>
              <w:pStyle w:val="Tablea"/>
            </w:pPr>
            <w:r w:rsidRPr="00B715AF">
              <w:t>(a) propane;</w:t>
            </w:r>
          </w:p>
          <w:p w:rsidR="008B6A35" w:rsidRPr="00B715AF" w:rsidRDefault="008B6A35" w:rsidP="003816E1">
            <w:pPr>
              <w:pStyle w:val="Tablea"/>
            </w:pPr>
            <w:r w:rsidRPr="00B715AF">
              <w:t>(b) butane;</w:t>
            </w:r>
          </w:p>
          <w:p w:rsidR="008B6A35" w:rsidRPr="00B715AF" w:rsidRDefault="008B6A35" w:rsidP="003816E1">
            <w:pPr>
              <w:pStyle w:val="Tablea"/>
            </w:pPr>
            <w:r w:rsidRPr="00B715AF">
              <w:t>(c) mixture of propane and butane</w:t>
            </w:r>
          </w:p>
          <w:p w:rsidR="008B6A35" w:rsidRPr="00B715AF" w:rsidRDefault="008B6A35" w:rsidP="007B0138">
            <w:pPr>
              <w:pStyle w:val="notemargin"/>
            </w:pPr>
            <w:r w:rsidRPr="00B715AF">
              <w:t>Note:</w:t>
            </w:r>
            <w:r w:rsidRPr="00B715AF">
              <w:tab/>
              <w:t xml:space="preserve">For reports relating to wholesaling, see </w:t>
            </w:r>
            <w:r w:rsidR="00B715AF" w:rsidRPr="00B715AF">
              <w:t>subclause (</w:t>
            </w:r>
            <w:r w:rsidR="00E8080E" w:rsidRPr="00B715AF">
              <w:t>2</w:t>
            </w:r>
            <w:r w:rsidRPr="00B715AF">
              <w:t>).</w:t>
            </w:r>
          </w:p>
        </w:tc>
        <w:tc>
          <w:tcPr>
            <w:tcW w:w="2114" w:type="dxa"/>
            <w:shd w:val="clear" w:color="auto" w:fill="auto"/>
          </w:tcPr>
          <w:p w:rsidR="008B6A35" w:rsidRPr="00B715AF" w:rsidRDefault="008B6A35" w:rsidP="008B6A35">
            <w:pPr>
              <w:pStyle w:val="Tablea"/>
            </w:pPr>
            <w:r w:rsidRPr="00B715AF">
              <w:t>(a) propane;</w:t>
            </w:r>
          </w:p>
          <w:p w:rsidR="008B6A35" w:rsidRPr="00B715AF" w:rsidRDefault="008B6A35" w:rsidP="008B6A35">
            <w:pPr>
              <w:pStyle w:val="Tablea"/>
            </w:pPr>
            <w:r w:rsidRPr="00B715AF">
              <w:t>(b) butane;</w:t>
            </w:r>
          </w:p>
          <w:p w:rsidR="008B6A35" w:rsidRPr="00B715AF" w:rsidRDefault="008B6A35" w:rsidP="008B6A35">
            <w:pPr>
              <w:pStyle w:val="Tablea"/>
            </w:pPr>
            <w:r w:rsidRPr="00B715AF">
              <w:t>(c) mixture of propane and butane</w:t>
            </w:r>
          </w:p>
        </w:tc>
        <w:tc>
          <w:tcPr>
            <w:tcW w:w="2114" w:type="dxa"/>
            <w:shd w:val="clear" w:color="auto" w:fill="auto"/>
          </w:tcPr>
          <w:p w:rsidR="008B6A35" w:rsidRPr="00B715AF" w:rsidRDefault="008B6A35" w:rsidP="008B6A35">
            <w:pPr>
              <w:pStyle w:val="Tablea"/>
            </w:pPr>
            <w:r w:rsidRPr="00B715AF">
              <w:t>(a) propane;</w:t>
            </w:r>
          </w:p>
          <w:p w:rsidR="008B6A35" w:rsidRPr="00B715AF" w:rsidRDefault="008B6A35" w:rsidP="008B6A35">
            <w:pPr>
              <w:pStyle w:val="Tablea"/>
            </w:pPr>
            <w:r w:rsidRPr="00B715AF">
              <w:t>(b) butane;</w:t>
            </w:r>
          </w:p>
          <w:p w:rsidR="008B6A35" w:rsidRPr="00B715AF" w:rsidRDefault="008B6A35" w:rsidP="008B6A35">
            <w:pPr>
              <w:pStyle w:val="Tablea"/>
            </w:pPr>
            <w:r w:rsidRPr="00B715AF">
              <w:t>(c) mixture of propane and butane</w:t>
            </w:r>
          </w:p>
        </w:tc>
      </w:tr>
      <w:tr w:rsidR="008B6A35" w:rsidRPr="00B715AF" w:rsidTr="008D4149">
        <w:tc>
          <w:tcPr>
            <w:tcW w:w="677" w:type="dxa"/>
            <w:shd w:val="clear" w:color="auto" w:fill="auto"/>
          </w:tcPr>
          <w:p w:rsidR="008B6A35" w:rsidRPr="00B715AF" w:rsidRDefault="008B6A35" w:rsidP="00AB556B">
            <w:pPr>
              <w:pStyle w:val="Tabletext"/>
            </w:pPr>
            <w:r w:rsidRPr="00B715AF">
              <w:t>4</w:t>
            </w:r>
          </w:p>
        </w:tc>
        <w:tc>
          <w:tcPr>
            <w:tcW w:w="1586" w:type="dxa"/>
            <w:shd w:val="clear" w:color="auto" w:fill="auto"/>
          </w:tcPr>
          <w:p w:rsidR="008B6A35" w:rsidRPr="00B715AF" w:rsidRDefault="008B6A35" w:rsidP="008B6A35">
            <w:pPr>
              <w:pStyle w:val="Tabletext"/>
            </w:pPr>
            <w:r w:rsidRPr="00B715AF">
              <w:t>Natural gas liquid</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shd w:val="clear" w:color="auto" w:fill="auto"/>
          </w:tcPr>
          <w:p w:rsidR="008B6A35" w:rsidRPr="00B715AF" w:rsidRDefault="008B6A35" w:rsidP="00AB556B">
            <w:pPr>
              <w:pStyle w:val="Tabletext"/>
            </w:pPr>
            <w:r w:rsidRPr="00B715AF">
              <w:t>5</w:t>
            </w:r>
          </w:p>
        </w:tc>
        <w:tc>
          <w:tcPr>
            <w:tcW w:w="1586" w:type="dxa"/>
            <w:shd w:val="clear" w:color="auto" w:fill="auto"/>
          </w:tcPr>
          <w:p w:rsidR="008B6A35" w:rsidRPr="00B715AF" w:rsidRDefault="008B6A35" w:rsidP="00AB556B">
            <w:pPr>
              <w:pStyle w:val="Tabletext"/>
            </w:pPr>
            <w:r w:rsidRPr="00B715AF">
              <w:t>Gasoline</w:t>
            </w:r>
          </w:p>
        </w:tc>
        <w:tc>
          <w:tcPr>
            <w:tcW w:w="2114" w:type="dxa"/>
            <w:shd w:val="clear" w:color="auto" w:fill="auto"/>
          </w:tcPr>
          <w:p w:rsidR="008B6A35" w:rsidRPr="00B715AF" w:rsidRDefault="008B6A35" w:rsidP="003816E1">
            <w:pPr>
              <w:pStyle w:val="Tablea"/>
            </w:pPr>
            <w:r w:rsidRPr="00B715AF">
              <w:t>(a) regular unleaded—less than RON 95;</w:t>
            </w:r>
          </w:p>
          <w:p w:rsidR="008B6A35" w:rsidRPr="00B715AF" w:rsidRDefault="008B6A35" w:rsidP="003816E1">
            <w:pPr>
              <w:pStyle w:val="Tablea"/>
            </w:pPr>
            <w:r w:rsidRPr="00B715AF">
              <w:t>(b) premium unleaded—RON 95 to less than RON 98;</w:t>
            </w:r>
          </w:p>
          <w:p w:rsidR="008B6A35" w:rsidRPr="00B715AF" w:rsidRDefault="008B6A35" w:rsidP="003816E1">
            <w:pPr>
              <w:pStyle w:val="Tablea"/>
            </w:pPr>
            <w:r w:rsidRPr="00B715AF">
              <w:t>(c) premium unleaded—RON 98 or higher;</w:t>
            </w:r>
          </w:p>
          <w:p w:rsidR="008B6A35" w:rsidRPr="00B715AF" w:rsidRDefault="008B6A35" w:rsidP="003816E1">
            <w:pPr>
              <w:pStyle w:val="Tablea"/>
            </w:pPr>
            <w:r w:rsidRPr="00B715AF">
              <w:t>(d) gasoline and ethanol blend—E10;</w:t>
            </w:r>
          </w:p>
          <w:p w:rsidR="008B6A35" w:rsidRPr="00B715AF" w:rsidRDefault="008B6A35" w:rsidP="003816E1">
            <w:pPr>
              <w:pStyle w:val="Tablea"/>
            </w:pPr>
            <w:r w:rsidRPr="00B715AF">
              <w:t>(e) gasoline and ethanol blend—E85;</w:t>
            </w:r>
          </w:p>
          <w:p w:rsidR="008B6A35" w:rsidRPr="00B715AF" w:rsidRDefault="008B6A35" w:rsidP="003816E1">
            <w:pPr>
              <w:pStyle w:val="Tablea"/>
            </w:pPr>
            <w:r w:rsidRPr="00B715AF">
              <w:t>(f) gasoline and ethanol blend—other;</w:t>
            </w:r>
          </w:p>
          <w:p w:rsidR="008B6A35" w:rsidRPr="00B715AF" w:rsidRDefault="008B6A35" w:rsidP="003816E1">
            <w:pPr>
              <w:pStyle w:val="Tablea"/>
            </w:pPr>
            <w:r w:rsidRPr="00B715AF">
              <w:t>(g) aviation gasoline—domestic;</w:t>
            </w:r>
          </w:p>
          <w:p w:rsidR="008B6A35" w:rsidRPr="00B715AF" w:rsidRDefault="008B6A35" w:rsidP="003816E1">
            <w:pPr>
              <w:pStyle w:val="Tablea"/>
            </w:pPr>
            <w:r w:rsidRPr="00B715AF">
              <w:t>(h) aviation gasoline—international;</w:t>
            </w:r>
          </w:p>
          <w:p w:rsidR="008B6A35" w:rsidRPr="00B715AF" w:rsidRDefault="008B6A35" w:rsidP="003816E1">
            <w:pPr>
              <w:pStyle w:val="Tablea"/>
            </w:pPr>
            <w:r w:rsidRPr="00B715AF">
              <w:t>(i) gasoline—other</w:t>
            </w:r>
          </w:p>
        </w:tc>
        <w:tc>
          <w:tcPr>
            <w:tcW w:w="2114" w:type="dxa"/>
            <w:shd w:val="clear" w:color="auto" w:fill="auto"/>
          </w:tcPr>
          <w:p w:rsidR="008B6A35" w:rsidRPr="00B715AF" w:rsidRDefault="008B6A35" w:rsidP="008B6A35">
            <w:pPr>
              <w:pStyle w:val="Tablea"/>
            </w:pPr>
            <w:r w:rsidRPr="00B715AF">
              <w:t>(a) regular unleaded—less than RON 95;</w:t>
            </w:r>
          </w:p>
          <w:p w:rsidR="008B6A35" w:rsidRPr="00B715AF" w:rsidRDefault="008B6A35" w:rsidP="008B6A35">
            <w:pPr>
              <w:pStyle w:val="Tablea"/>
            </w:pPr>
            <w:r w:rsidRPr="00B715AF">
              <w:t>(b) premium unleaded—RON 95 to less than RON 98;</w:t>
            </w:r>
          </w:p>
          <w:p w:rsidR="008B6A35" w:rsidRPr="00B715AF" w:rsidRDefault="008B6A35" w:rsidP="008B6A35">
            <w:pPr>
              <w:pStyle w:val="Tablea"/>
            </w:pPr>
            <w:r w:rsidRPr="00B715AF">
              <w:t>(c) premium unleaded—RON 98 or higher;</w:t>
            </w:r>
          </w:p>
          <w:p w:rsidR="008B6A35" w:rsidRPr="00B715AF" w:rsidRDefault="008B6A35" w:rsidP="008B6A35">
            <w:pPr>
              <w:pStyle w:val="Tablea"/>
            </w:pPr>
            <w:r w:rsidRPr="00B715AF">
              <w:t>(d) gasoline and ethanol blend;</w:t>
            </w:r>
          </w:p>
          <w:p w:rsidR="008B6A35" w:rsidRPr="00B715AF" w:rsidRDefault="008B6A35" w:rsidP="008B6A35">
            <w:pPr>
              <w:pStyle w:val="Tablea"/>
            </w:pPr>
            <w:r w:rsidRPr="00B715AF">
              <w:t>(e) aviation gasoline;</w:t>
            </w:r>
          </w:p>
          <w:p w:rsidR="008B6A35" w:rsidRPr="00B715AF" w:rsidRDefault="008B6A35" w:rsidP="008B6A35">
            <w:pPr>
              <w:pStyle w:val="Tablea"/>
            </w:pPr>
            <w:r w:rsidRPr="00B715AF">
              <w:t>(f) gasoline—other</w:t>
            </w:r>
          </w:p>
        </w:tc>
        <w:tc>
          <w:tcPr>
            <w:tcW w:w="2114" w:type="dxa"/>
            <w:shd w:val="clear" w:color="auto" w:fill="auto"/>
          </w:tcPr>
          <w:p w:rsidR="008B6A35" w:rsidRPr="00B715AF" w:rsidRDefault="008B6A35" w:rsidP="008B6A35">
            <w:pPr>
              <w:pStyle w:val="Tablea"/>
            </w:pPr>
            <w:r w:rsidRPr="00B715AF">
              <w:t>(a) regular unleaded—less than RON 95;</w:t>
            </w:r>
          </w:p>
          <w:p w:rsidR="008B6A35" w:rsidRPr="00B715AF" w:rsidRDefault="008B6A35" w:rsidP="008B6A35">
            <w:pPr>
              <w:pStyle w:val="Tablea"/>
            </w:pPr>
            <w:r w:rsidRPr="00B715AF">
              <w:t>(b) premium unleaded—RON 95 to less than RON 98;</w:t>
            </w:r>
          </w:p>
          <w:p w:rsidR="008B6A35" w:rsidRPr="00B715AF" w:rsidRDefault="008B6A35" w:rsidP="008B6A35">
            <w:pPr>
              <w:pStyle w:val="Tablea"/>
            </w:pPr>
            <w:r w:rsidRPr="00B715AF">
              <w:t>(c) premium unleaded—RON 98 or higher;</w:t>
            </w:r>
          </w:p>
          <w:p w:rsidR="008B6A35" w:rsidRPr="00B715AF" w:rsidRDefault="008B6A35" w:rsidP="008B6A35">
            <w:pPr>
              <w:pStyle w:val="Tablea"/>
            </w:pPr>
            <w:r w:rsidRPr="00B715AF">
              <w:t>(d) gasoline and ethanol blend—E10;</w:t>
            </w:r>
          </w:p>
          <w:p w:rsidR="008B6A35" w:rsidRPr="00B715AF" w:rsidRDefault="008B6A35" w:rsidP="008B6A35">
            <w:pPr>
              <w:pStyle w:val="Tablea"/>
            </w:pPr>
            <w:r w:rsidRPr="00B715AF">
              <w:t>(e) gasoline and ethanol blend—E85;</w:t>
            </w:r>
          </w:p>
          <w:p w:rsidR="008B6A35" w:rsidRPr="00B715AF" w:rsidRDefault="008B6A35" w:rsidP="008B6A35">
            <w:pPr>
              <w:pStyle w:val="Tablea"/>
            </w:pPr>
            <w:r w:rsidRPr="00B715AF">
              <w:t>(f) gasoline and ethanol blend—other;</w:t>
            </w:r>
          </w:p>
          <w:p w:rsidR="008B6A35" w:rsidRPr="00B715AF" w:rsidRDefault="008B6A35" w:rsidP="008B6A35">
            <w:pPr>
              <w:pStyle w:val="Tablea"/>
            </w:pPr>
            <w:r w:rsidRPr="00B715AF">
              <w:t>(g) aviation gasoline</w:t>
            </w:r>
          </w:p>
          <w:p w:rsidR="008B6A35" w:rsidRPr="00B715AF" w:rsidRDefault="008B6A35" w:rsidP="008B6A35">
            <w:pPr>
              <w:pStyle w:val="Tablea"/>
            </w:pPr>
            <w:r w:rsidRPr="00B715AF">
              <w:t>(h) gasoline—other</w:t>
            </w:r>
          </w:p>
        </w:tc>
      </w:tr>
      <w:tr w:rsidR="008B6A35" w:rsidRPr="00B715AF" w:rsidTr="008D4149">
        <w:tc>
          <w:tcPr>
            <w:tcW w:w="677" w:type="dxa"/>
            <w:shd w:val="clear" w:color="auto" w:fill="auto"/>
          </w:tcPr>
          <w:p w:rsidR="008B6A35" w:rsidRPr="00B715AF" w:rsidRDefault="008B6A35" w:rsidP="00AB556B">
            <w:pPr>
              <w:pStyle w:val="Tabletext"/>
            </w:pPr>
            <w:r w:rsidRPr="00B715AF">
              <w:t>6</w:t>
            </w:r>
          </w:p>
        </w:tc>
        <w:tc>
          <w:tcPr>
            <w:tcW w:w="1586" w:type="dxa"/>
            <w:shd w:val="clear" w:color="auto" w:fill="auto"/>
          </w:tcPr>
          <w:p w:rsidR="008B6A35" w:rsidRPr="00B715AF" w:rsidRDefault="008B6A35" w:rsidP="00AB556B">
            <w:pPr>
              <w:pStyle w:val="Tabletext"/>
            </w:pPr>
            <w:r w:rsidRPr="00B715AF">
              <w:t>Diesel</w:t>
            </w:r>
          </w:p>
        </w:tc>
        <w:tc>
          <w:tcPr>
            <w:tcW w:w="2114" w:type="dxa"/>
            <w:shd w:val="clear" w:color="auto" w:fill="auto"/>
          </w:tcPr>
          <w:p w:rsidR="008B6A35" w:rsidRPr="00B715AF" w:rsidRDefault="008B6A35" w:rsidP="003816E1">
            <w:pPr>
              <w:pStyle w:val="Tablea"/>
            </w:pPr>
            <w:r w:rsidRPr="00B715AF">
              <w:t>(a) regular diesel;</w:t>
            </w:r>
          </w:p>
          <w:p w:rsidR="008B6A35" w:rsidRPr="00B715AF" w:rsidRDefault="008B6A35" w:rsidP="003816E1">
            <w:pPr>
              <w:pStyle w:val="Tablea"/>
            </w:pPr>
            <w:r w:rsidRPr="00B715AF">
              <w:t>(b) premium diesel;</w:t>
            </w:r>
          </w:p>
          <w:p w:rsidR="008B6A35" w:rsidRPr="00B715AF" w:rsidRDefault="008B6A35" w:rsidP="003816E1">
            <w:pPr>
              <w:pStyle w:val="Tablea"/>
            </w:pPr>
            <w:r w:rsidRPr="00B715AF">
              <w:t>(c) diesel and biodiesel blend—B5;</w:t>
            </w:r>
          </w:p>
          <w:p w:rsidR="008B6A35" w:rsidRPr="00B715AF" w:rsidRDefault="008B6A35" w:rsidP="003816E1">
            <w:pPr>
              <w:pStyle w:val="Tablea"/>
            </w:pPr>
            <w:r w:rsidRPr="00B715AF">
              <w:t>(d) diesel and biodiesel blend—B10;</w:t>
            </w:r>
          </w:p>
          <w:p w:rsidR="008B6A35" w:rsidRPr="00B715AF" w:rsidRDefault="008B6A35" w:rsidP="003816E1">
            <w:pPr>
              <w:pStyle w:val="Tablea"/>
            </w:pPr>
            <w:r w:rsidRPr="00B715AF">
              <w:t>(e) diesel and biodiesel blend—B20;</w:t>
            </w:r>
          </w:p>
          <w:p w:rsidR="008B6A35" w:rsidRPr="00B715AF" w:rsidRDefault="008B6A35" w:rsidP="003816E1">
            <w:pPr>
              <w:pStyle w:val="Tablea"/>
            </w:pPr>
            <w:r w:rsidRPr="00B715AF">
              <w:t>(f) diesel and biodiesel blend—other;</w:t>
            </w:r>
          </w:p>
          <w:p w:rsidR="008B6A35" w:rsidRPr="00B715AF" w:rsidRDefault="008B6A35" w:rsidP="003816E1">
            <w:pPr>
              <w:pStyle w:val="Tablea"/>
            </w:pPr>
            <w:r w:rsidRPr="00B715AF">
              <w:t>(g) marine diesel—international;</w:t>
            </w:r>
          </w:p>
          <w:p w:rsidR="008B6A35" w:rsidRPr="00B715AF" w:rsidRDefault="008B6A35" w:rsidP="003816E1">
            <w:pPr>
              <w:pStyle w:val="Tablea"/>
            </w:pPr>
            <w:r w:rsidRPr="00B715AF">
              <w:t>(h) marine diesel—domestic;</w:t>
            </w:r>
          </w:p>
          <w:p w:rsidR="008B6A35" w:rsidRPr="00B715AF" w:rsidRDefault="008B6A35" w:rsidP="003816E1">
            <w:pPr>
              <w:pStyle w:val="Tablea"/>
            </w:pPr>
            <w:r w:rsidRPr="00B715AF">
              <w:t>(i) diesel—other</w:t>
            </w:r>
          </w:p>
        </w:tc>
        <w:tc>
          <w:tcPr>
            <w:tcW w:w="2114" w:type="dxa"/>
            <w:shd w:val="clear" w:color="auto" w:fill="auto"/>
          </w:tcPr>
          <w:p w:rsidR="008B6A35" w:rsidRPr="00B715AF" w:rsidRDefault="008B6A35" w:rsidP="008B6A35">
            <w:pPr>
              <w:pStyle w:val="Tablea"/>
            </w:pPr>
            <w:r w:rsidRPr="00B715AF">
              <w:t>(a) regular diesel;</w:t>
            </w:r>
          </w:p>
          <w:p w:rsidR="008B6A35" w:rsidRPr="00B715AF" w:rsidRDefault="008B6A35" w:rsidP="008B6A35">
            <w:pPr>
              <w:pStyle w:val="Tablea"/>
            </w:pPr>
            <w:r w:rsidRPr="00B715AF">
              <w:t>(b) premium diesel;</w:t>
            </w:r>
          </w:p>
          <w:p w:rsidR="008B6A35" w:rsidRPr="00B715AF" w:rsidRDefault="008B6A35" w:rsidP="008B6A35">
            <w:pPr>
              <w:pStyle w:val="Tablea"/>
            </w:pPr>
            <w:r w:rsidRPr="00B715AF">
              <w:t>(c) diesel and biodiesel blend;</w:t>
            </w:r>
          </w:p>
          <w:p w:rsidR="008B6A35" w:rsidRPr="00B715AF" w:rsidRDefault="008B6A35" w:rsidP="008B6A35">
            <w:pPr>
              <w:pStyle w:val="Tablea"/>
            </w:pPr>
            <w:r w:rsidRPr="00B715AF">
              <w:t>(d) diesel—other</w:t>
            </w:r>
          </w:p>
        </w:tc>
        <w:tc>
          <w:tcPr>
            <w:tcW w:w="2114" w:type="dxa"/>
            <w:shd w:val="clear" w:color="auto" w:fill="auto"/>
          </w:tcPr>
          <w:p w:rsidR="008B6A35" w:rsidRPr="00B715AF" w:rsidRDefault="008B6A35" w:rsidP="008B6A35">
            <w:pPr>
              <w:pStyle w:val="Tablea"/>
            </w:pPr>
            <w:r w:rsidRPr="00B715AF">
              <w:t>(a) regular diesel;</w:t>
            </w:r>
          </w:p>
          <w:p w:rsidR="008B6A35" w:rsidRPr="00B715AF" w:rsidRDefault="008B6A35" w:rsidP="008B6A35">
            <w:pPr>
              <w:pStyle w:val="Tablea"/>
            </w:pPr>
            <w:r w:rsidRPr="00B715AF">
              <w:t>(b) premium diesel;</w:t>
            </w:r>
          </w:p>
          <w:p w:rsidR="008B6A35" w:rsidRPr="00B715AF" w:rsidRDefault="008B6A35" w:rsidP="008B6A35">
            <w:pPr>
              <w:pStyle w:val="Tablea"/>
            </w:pPr>
            <w:r w:rsidRPr="00B715AF">
              <w:t>(c) diesel and biodiesel blend—B5;</w:t>
            </w:r>
          </w:p>
          <w:p w:rsidR="008B6A35" w:rsidRPr="00B715AF" w:rsidRDefault="008B6A35" w:rsidP="008B6A35">
            <w:pPr>
              <w:pStyle w:val="Tablea"/>
            </w:pPr>
            <w:r w:rsidRPr="00B715AF">
              <w:t>(d) diesel and biodiesel blend—B10;</w:t>
            </w:r>
          </w:p>
          <w:p w:rsidR="008B6A35" w:rsidRPr="00B715AF" w:rsidRDefault="008B6A35" w:rsidP="008B6A35">
            <w:pPr>
              <w:pStyle w:val="Tablea"/>
            </w:pPr>
            <w:r w:rsidRPr="00B715AF">
              <w:t>(e) diesel and biodiesel blend—B20;</w:t>
            </w:r>
          </w:p>
          <w:p w:rsidR="008B6A35" w:rsidRPr="00B715AF" w:rsidRDefault="008B6A35" w:rsidP="008B6A35">
            <w:pPr>
              <w:pStyle w:val="Tablea"/>
            </w:pPr>
            <w:r w:rsidRPr="00B715AF">
              <w:t>(f) diesel and biodiesel blend—other;</w:t>
            </w:r>
          </w:p>
          <w:p w:rsidR="008B6A35" w:rsidRPr="00B715AF" w:rsidRDefault="008B6A35" w:rsidP="008B6A35">
            <w:pPr>
              <w:pStyle w:val="Tablea"/>
            </w:pPr>
            <w:r w:rsidRPr="00B715AF">
              <w:t>(g) marine diesel;</w:t>
            </w:r>
          </w:p>
          <w:p w:rsidR="008B6A35" w:rsidRPr="00B715AF" w:rsidRDefault="008B6A35" w:rsidP="008B6A35">
            <w:pPr>
              <w:pStyle w:val="Tablea"/>
            </w:pPr>
            <w:r w:rsidRPr="00B715AF">
              <w:t>(h) diesel—other</w:t>
            </w:r>
          </w:p>
        </w:tc>
      </w:tr>
      <w:tr w:rsidR="008B6A35" w:rsidRPr="00B715AF" w:rsidTr="008D4149">
        <w:tc>
          <w:tcPr>
            <w:tcW w:w="677" w:type="dxa"/>
            <w:shd w:val="clear" w:color="auto" w:fill="auto"/>
          </w:tcPr>
          <w:p w:rsidR="008B6A35" w:rsidRPr="00B715AF" w:rsidRDefault="008B6A35" w:rsidP="00AB556B">
            <w:pPr>
              <w:pStyle w:val="Tabletext"/>
            </w:pPr>
            <w:r w:rsidRPr="00B715AF">
              <w:t>7</w:t>
            </w:r>
          </w:p>
        </w:tc>
        <w:tc>
          <w:tcPr>
            <w:tcW w:w="1586" w:type="dxa"/>
            <w:shd w:val="clear" w:color="auto" w:fill="auto"/>
          </w:tcPr>
          <w:p w:rsidR="008B6A35" w:rsidRPr="00B715AF" w:rsidRDefault="008B6A35" w:rsidP="00AB556B">
            <w:pPr>
              <w:pStyle w:val="Tabletext"/>
            </w:pPr>
            <w:r w:rsidRPr="00B715AF">
              <w:t>Kerosene</w:t>
            </w:r>
          </w:p>
        </w:tc>
        <w:tc>
          <w:tcPr>
            <w:tcW w:w="2114" w:type="dxa"/>
            <w:shd w:val="clear" w:color="auto" w:fill="auto"/>
          </w:tcPr>
          <w:p w:rsidR="008B6A35" w:rsidRPr="00B715AF" w:rsidRDefault="008B6A35" w:rsidP="003816E1">
            <w:pPr>
              <w:pStyle w:val="Tablea"/>
            </w:pPr>
            <w:r w:rsidRPr="00B715AF">
              <w:t>(a) jet fuel—international;</w:t>
            </w:r>
          </w:p>
          <w:p w:rsidR="008B6A35" w:rsidRPr="00B715AF" w:rsidRDefault="008B6A35" w:rsidP="003816E1">
            <w:pPr>
              <w:pStyle w:val="Tablea"/>
            </w:pPr>
            <w:r w:rsidRPr="00B715AF">
              <w:t>(b) jet fuel—domestic;</w:t>
            </w:r>
          </w:p>
          <w:p w:rsidR="008B6A35" w:rsidRPr="00B715AF" w:rsidRDefault="008B6A35" w:rsidP="003816E1">
            <w:pPr>
              <w:pStyle w:val="Tablea"/>
            </w:pPr>
            <w:r w:rsidRPr="00B715AF">
              <w:t>(c) kerosene—other</w:t>
            </w:r>
          </w:p>
        </w:tc>
        <w:tc>
          <w:tcPr>
            <w:tcW w:w="2114" w:type="dxa"/>
            <w:shd w:val="clear" w:color="auto" w:fill="auto"/>
          </w:tcPr>
          <w:p w:rsidR="008B6A35" w:rsidRPr="00B715AF" w:rsidRDefault="008B6A35" w:rsidP="008B6A35">
            <w:pPr>
              <w:pStyle w:val="Tablea"/>
            </w:pPr>
            <w:r w:rsidRPr="00B715AF">
              <w:t>(a) jet fuel;</w:t>
            </w:r>
          </w:p>
          <w:p w:rsidR="008B6A35" w:rsidRPr="00B715AF" w:rsidRDefault="008B6A35" w:rsidP="008B6A35">
            <w:pPr>
              <w:pStyle w:val="Tablea"/>
            </w:pPr>
            <w:r w:rsidRPr="00B715AF">
              <w:t>(b) kerosene—other</w:t>
            </w:r>
          </w:p>
        </w:tc>
        <w:tc>
          <w:tcPr>
            <w:tcW w:w="2114" w:type="dxa"/>
            <w:shd w:val="clear" w:color="auto" w:fill="auto"/>
          </w:tcPr>
          <w:p w:rsidR="008B6A35" w:rsidRPr="00B715AF" w:rsidRDefault="008B6A35" w:rsidP="008B6A35">
            <w:pPr>
              <w:pStyle w:val="Tablea"/>
            </w:pPr>
            <w:r w:rsidRPr="00B715AF">
              <w:t>(a) jet fuel;</w:t>
            </w:r>
          </w:p>
          <w:p w:rsidR="008B6A35" w:rsidRPr="00B715AF" w:rsidRDefault="008B6A35" w:rsidP="008B6A35">
            <w:pPr>
              <w:pStyle w:val="Tablea"/>
            </w:pPr>
            <w:r w:rsidRPr="00B715AF">
              <w:t>(b) kerosene—other</w:t>
            </w:r>
          </w:p>
        </w:tc>
      </w:tr>
      <w:tr w:rsidR="008B6A35" w:rsidRPr="00B715AF" w:rsidTr="008D4149">
        <w:tc>
          <w:tcPr>
            <w:tcW w:w="677" w:type="dxa"/>
            <w:shd w:val="clear" w:color="auto" w:fill="auto"/>
          </w:tcPr>
          <w:p w:rsidR="008B6A35" w:rsidRPr="00B715AF" w:rsidRDefault="008B6A35" w:rsidP="00AB556B">
            <w:pPr>
              <w:pStyle w:val="Tabletext"/>
            </w:pPr>
            <w:r w:rsidRPr="00B715AF">
              <w:t>8</w:t>
            </w:r>
          </w:p>
        </w:tc>
        <w:tc>
          <w:tcPr>
            <w:tcW w:w="1586" w:type="dxa"/>
            <w:shd w:val="clear" w:color="auto" w:fill="auto"/>
          </w:tcPr>
          <w:p w:rsidR="008B6A35" w:rsidRPr="00B715AF" w:rsidRDefault="008B6A35" w:rsidP="00AB556B">
            <w:pPr>
              <w:pStyle w:val="Tabletext"/>
            </w:pPr>
            <w:r w:rsidRPr="00B715AF">
              <w:t>Fuel oil</w:t>
            </w:r>
          </w:p>
        </w:tc>
        <w:tc>
          <w:tcPr>
            <w:tcW w:w="2114" w:type="dxa"/>
            <w:shd w:val="clear" w:color="auto" w:fill="auto"/>
          </w:tcPr>
          <w:p w:rsidR="008B6A35" w:rsidRPr="00B715AF" w:rsidRDefault="008B6A35" w:rsidP="003816E1">
            <w:pPr>
              <w:pStyle w:val="Tablea"/>
            </w:pPr>
            <w:r w:rsidRPr="00B715AF">
              <w:t>(a) marine—high sulphur and international;</w:t>
            </w:r>
          </w:p>
          <w:p w:rsidR="008B6A35" w:rsidRPr="00B715AF" w:rsidRDefault="008B6A35" w:rsidP="003816E1">
            <w:pPr>
              <w:pStyle w:val="Tablea"/>
            </w:pPr>
            <w:r w:rsidRPr="00B715AF">
              <w:t>(b) marine—high sulphur and domestic;</w:t>
            </w:r>
          </w:p>
          <w:p w:rsidR="008B6A35" w:rsidRPr="00B715AF" w:rsidRDefault="008B6A35" w:rsidP="003816E1">
            <w:pPr>
              <w:pStyle w:val="Tablea"/>
            </w:pPr>
            <w:r w:rsidRPr="00B715AF">
              <w:t>(c) inland—high sulphur;</w:t>
            </w:r>
          </w:p>
          <w:p w:rsidR="008B6A35" w:rsidRPr="00B715AF" w:rsidRDefault="008B6A35" w:rsidP="003816E1">
            <w:pPr>
              <w:pStyle w:val="Tablea"/>
            </w:pPr>
            <w:r w:rsidRPr="00B715AF">
              <w:t>(d) marine—low sulphur and international;</w:t>
            </w:r>
          </w:p>
          <w:p w:rsidR="008B6A35" w:rsidRPr="00B715AF" w:rsidRDefault="008B6A35" w:rsidP="003816E1">
            <w:pPr>
              <w:pStyle w:val="Tablea"/>
            </w:pPr>
            <w:r w:rsidRPr="00B715AF">
              <w:t>(e) marine—low sulphur and domestic;</w:t>
            </w:r>
          </w:p>
          <w:p w:rsidR="008B6A35" w:rsidRPr="00B715AF" w:rsidRDefault="008B6A35" w:rsidP="003816E1">
            <w:pPr>
              <w:pStyle w:val="Tablea"/>
            </w:pPr>
            <w:r w:rsidRPr="00B715AF">
              <w:t>(f) inland—low sulphur</w:t>
            </w:r>
          </w:p>
        </w:tc>
        <w:tc>
          <w:tcPr>
            <w:tcW w:w="2114" w:type="dxa"/>
            <w:shd w:val="clear" w:color="auto" w:fill="auto"/>
          </w:tcPr>
          <w:p w:rsidR="008B6A35" w:rsidRPr="00B715AF" w:rsidRDefault="008B6A35" w:rsidP="008B6A35">
            <w:pPr>
              <w:pStyle w:val="Tablea"/>
            </w:pPr>
            <w:r w:rsidRPr="00B715AF">
              <w:t>(a) low sulphur;</w:t>
            </w:r>
          </w:p>
          <w:p w:rsidR="008B6A35" w:rsidRPr="00B715AF" w:rsidRDefault="008B6A35" w:rsidP="008B6A35">
            <w:pPr>
              <w:pStyle w:val="Tablea"/>
            </w:pPr>
            <w:r w:rsidRPr="00B715AF">
              <w:t>(b) high sulphur</w:t>
            </w:r>
          </w:p>
        </w:tc>
        <w:tc>
          <w:tcPr>
            <w:tcW w:w="2114" w:type="dxa"/>
            <w:shd w:val="clear" w:color="auto" w:fill="auto"/>
          </w:tcPr>
          <w:p w:rsidR="009C1D60" w:rsidRPr="00B715AF" w:rsidRDefault="009C1D60" w:rsidP="009C1D60">
            <w:pPr>
              <w:pStyle w:val="Tablea"/>
            </w:pPr>
            <w:r w:rsidRPr="00B715AF">
              <w:t>(a) low sulphur;</w:t>
            </w:r>
          </w:p>
          <w:p w:rsidR="008B6A35" w:rsidRPr="00B715AF" w:rsidRDefault="009C1D60" w:rsidP="009C1D60">
            <w:pPr>
              <w:pStyle w:val="Tablea"/>
            </w:pPr>
            <w:r w:rsidRPr="00B715AF">
              <w:t>(b) high sulphur</w:t>
            </w:r>
          </w:p>
        </w:tc>
      </w:tr>
      <w:tr w:rsidR="008B6A35" w:rsidRPr="00B715AF" w:rsidTr="008D4149">
        <w:tc>
          <w:tcPr>
            <w:tcW w:w="677" w:type="dxa"/>
            <w:shd w:val="clear" w:color="auto" w:fill="auto"/>
          </w:tcPr>
          <w:p w:rsidR="008B6A35" w:rsidRPr="00B715AF" w:rsidRDefault="008B6A35" w:rsidP="00AB556B">
            <w:pPr>
              <w:pStyle w:val="Tabletext"/>
            </w:pPr>
            <w:r w:rsidRPr="00B715AF">
              <w:t>9</w:t>
            </w:r>
          </w:p>
        </w:tc>
        <w:tc>
          <w:tcPr>
            <w:tcW w:w="1586" w:type="dxa"/>
            <w:shd w:val="clear" w:color="auto" w:fill="auto"/>
          </w:tcPr>
          <w:p w:rsidR="008B6A35" w:rsidRPr="00B715AF" w:rsidRDefault="008B6A35" w:rsidP="00AB556B">
            <w:pPr>
              <w:pStyle w:val="Tabletext"/>
            </w:pPr>
            <w:r w:rsidRPr="00B715AF">
              <w:t>Heating oil</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shd w:val="clear" w:color="auto" w:fill="auto"/>
          </w:tcPr>
          <w:p w:rsidR="008B6A35" w:rsidRPr="00B715AF" w:rsidRDefault="008B6A35" w:rsidP="00AB556B">
            <w:pPr>
              <w:pStyle w:val="Tabletext"/>
            </w:pPr>
            <w:r w:rsidRPr="00B715AF">
              <w:t>10</w:t>
            </w:r>
          </w:p>
        </w:tc>
        <w:tc>
          <w:tcPr>
            <w:tcW w:w="1586" w:type="dxa"/>
            <w:shd w:val="clear" w:color="auto" w:fill="auto"/>
          </w:tcPr>
          <w:p w:rsidR="008B6A35" w:rsidRPr="00B715AF" w:rsidRDefault="008B6A35" w:rsidP="00AB556B">
            <w:pPr>
              <w:pStyle w:val="Tabletext"/>
            </w:pPr>
            <w:r w:rsidRPr="00B715AF">
              <w:t>Biofuel</w:t>
            </w:r>
          </w:p>
        </w:tc>
        <w:tc>
          <w:tcPr>
            <w:tcW w:w="2114" w:type="dxa"/>
            <w:shd w:val="clear" w:color="auto" w:fill="auto"/>
          </w:tcPr>
          <w:p w:rsidR="008B6A35" w:rsidRPr="00B715AF" w:rsidRDefault="008B6A35" w:rsidP="003816E1">
            <w:pPr>
              <w:pStyle w:val="Tablea"/>
            </w:pPr>
            <w:r w:rsidRPr="00B715AF">
              <w:t>(a) ethanol;</w:t>
            </w:r>
          </w:p>
          <w:p w:rsidR="008B6A35" w:rsidRPr="00B715AF" w:rsidRDefault="008B6A35" w:rsidP="003816E1">
            <w:pPr>
              <w:pStyle w:val="Tablea"/>
            </w:pPr>
            <w:r w:rsidRPr="00B715AF">
              <w:t>(b) biodiesel—B100;</w:t>
            </w:r>
          </w:p>
          <w:p w:rsidR="008B6A35" w:rsidRPr="00B715AF" w:rsidRDefault="008B6A35" w:rsidP="003816E1">
            <w:pPr>
              <w:pStyle w:val="Tablea"/>
            </w:pPr>
            <w:r w:rsidRPr="00B715AF">
              <w:t>(c) renewable diesel;</w:t>
            </w:r>
          </w:p>
          <w:p w:rsidR="008B6A35" w:rsidRPr="00B715AF" w:rsidRDefault="008B6A35" w:rsidP="006E7156">
            <w:pPr>
              <w:pStyle w:val="Tablea"/>
            </w:pPr>
            <w:r w:rsidRPr="00B715AF">
              <w:t>(d) biofuel—other</w:t>
            </w:r>
          </w:p>
        </w:tc>
        <w:tc>
          <w:tcPr>
            <w:tcW w:w="2114" w:type="dxa"/>
            <w:shd w:val="clear" w:color="auto" w:fill="auto"/>
          </w:tcPr>
          <w:p w:rsidR="008B6A35" w:rsidRPr="00B715AF" w:rsidRDefault="008B6A35" w:rsidP="008B6A35">
            <w:pPr>
              <w:pStyle w:val="Tablea"/>
            </w:pPr>
            <w:r w:rsidRPr="00B715AF">
              <w:t>(a) ethanol;</w:t>
            </w:r>
          </w:p>
          <w:p w:rsidR="008B6A35" w:rsidRPr="00B715AF" w:rsidRDefault="008B6A35" w:rsidP="008B6A35">
            <w:pPr>
              <w:pStyle w:val="Tablea"/>
            </w:pPr>
            <w:r w:rsidRPr="00B715AF">
              <w:t>(b) biodiesel—B100;</w:t>
            </w:r>
          </w:p>
          <w:p w:rsidR="008B6A35" w:rsidRPr="00B715AF" w:rsidRDefault="008B6A35" w:rsidP="008B6A35">
            <w:pPr>
              <w:pStyle w:val="Tablea"/>
            </w:pPr>
            <w:r w:rsidRPr="00B715AF">
              <w:t>(c) renewable diesel;</w:t>
            </w:r>
          </w:p>
          <w:p w:rsidR="008B6A35" w:rsidRPr="00B715AF" w:rsidRDefault="008B6A35" w:rsidP="008B6A35">
            <w:pPr>
              <w:pStyle w:val="Tablea"/>
            </w:pPr>
            <w:r w:rsidRPr="00B715AF">
              <w:t>(d) biofuel—other</w:t>
            </w:r>
          </w:p>
        </w:tc>
        <w:tc>
          <w:tcPr>
            <w:tcW w:w="2114" w:type="dxa"/>
            <w:shd w:val="clear" w:color="auto" w:fill="auto"/>
          </w:tcPr>
          <w:p w:rsidR="008B6A35" w:rsidRPr="00B715AF" w:rsidRDefault="008B6A35" w:rsidP="008B6A35">
            <w:pPr>
              <w:pStyle w:val="Tablea"/>
            </w:pPr>
            <w:r w:rsidRPr="00B715AF">
              <w:t>(a) ethanol;</w:t>
            </w:r>
          </w:p>
          <w:p w:rsidR="008B6A35" w:rsidRPr="00B715AF" w:rsidRDefault="008B6A35" w:rsidP="008B6A35">
            <w:pPr>
              <w:pStyle w:val="Tablea"/>
            </w:pPr>
            <w:r w:rsidRPr="00B715AF">
              <w:t>(b) biodiesel—B100;</w:t>
            </w:r>
          </w:p>
          <w:p w:rsidR="008B6A35" w:rsidRPr="00B715AF" w:rsidRDefault="008B6A35" w:rsidP="008B6A35">
            <w:pPr>
              <w:pStyle w:val="Tablea"/>
            </w:pPr>
            <w:r w:rsidRPr="00B715AF">
              <w:t>(c) renewable diesel;</w:t>
            </w:r>
          </w:p>
          <w:p w:rsidR="008B6A35" w:rsidRPr="00B715AF" w:rsidRDefault="008B6A35" w:rsidP="008B6A35">
            <w:pPr>
              <w:pStyle w:val="Tablea"/>
            </w:pPr>
            <w:r w:rsidRPr="00B715AF">
              <w:t>(d) biofuel—other</w:t>
            </w:r>
          </w:p>
        </w:tc>
      </w:tr>
      <w:tr w:rsidR="008B6A35" w:rsidRPr="00B715AF" w:rsidTr="008D4149">
        <w:tc>
          <w:tcPr>
            <w:tcW w:w="677" w:type="dxa"/>
            <w:shd w:val="clear" w:color="auto" w:fill="auto"/>
          </w:tcPr>
          <w:p w:rsidR="008B6A35" w:rsidRPr="00B715AF" w:rsidRDefault="008B6A35" w:rsidP="00AB556B">
            <w:pPr>
              <w:pStyle w:val="Tabletext"/>
            </w:pPr>
            <w:r w:rsidRPr="00B715AF">
              <w:t>11</w:t>
            </w:r>
          </w:p>
        </w:tc>
        <w:tc>
          <w:tcPr>
            <w:tcW w:w="1586" w:type="dxa"/>
            <w:shd w:val="clear" w:color="auto" w:fill="auto"/>
          </w:tcPr>
          <w:p w:rsidR="008B6A35" w:rsidRPr="00B715AF" w:rsidRDefault="008B6A35" w:rsidP="00AB556B">
            <w:pPr>
              <w:pStyle w:val="Tabletext"/>
            </w:pPr>
            <w:r w:rsidRPr="00B715AF">
              <w:t>Hydrogen</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shd w:val="clear" w:color="auto" w:fill="auto"/>
          </w:tcPr>
          <w:p w:rsidR="008B6A35" w:rsidRPr="00B715AF" w:rsidRDefault="008B6A35" w:rsidP="00AB556B">
            <w:pPr>
              <w:pStyle w:val="Tabletext"/>
            </w:pPr>
            <w:r w:rsidRPr="00B715AF">
              <w:t>12</w:t>
            </w:r>
          </w:p>
        </w:tc>
        <w:tc>
          <w:tcPr>
            <w:tcW w:w="1586" w:type="dxa"/>
            <w:shd w:val="clear" w:color="auto" w:fill="auto"/>
          </w:tcPr>
          <w:p w:rsidR="008B6A35" w:rsidRPr="00B715AF" w:rsidRDefault="008B6A35" w:rsidP="00AB556B">
            <w:pPr>
              <w:pStyle w:val="Tabletext"/>
            </w:pPr>
            <w:r w:rsidRPr="00B715AF">
              <w:t>Ammonia that is intended to be transformed into hydrogen for use as a transport fuel</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shd w:val="clear" w:color="auto" w:fill="auto"/>
          </w:tcPr>
          <w:p w:rsidR="008B6A35" w:rsidRPr="00B715AF" w:rsidRDefault="008B6A35" w:rsidP="00AB556B">
            <w:pPr>
              <w:pStyle w:val="Tabletext"/>
            </w:pPr>
            <w:r w:rsidRPr="00B715AF">
              <w:t>13</w:t>
            </w:r>
          </w:p>
        </w:tc>
        <w:tc>
          <w:tcPr>
            <w:tcW w:w="1586" w:type="dxa"/>
            <w:shd w:val="clear" w:color="auto" w:fill="auto"/>
          </w:tcPr>
          <w:p w:rsidR="008B6A35" w:rsidRPr="00B715AF" w:rsidRDefault="008B6A35" w:rsidP="00AB556B">
            <w:pPr>
              <w:pStyle w:val="Tabletext"/>
            </w:pPr>
            <w:r w:rsidRPr="00B715AF">
              <w:t>Petroleum coke</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shd w:val="clear" w:color="auto" w:fill="auto"/>
          </w:tcPr>
          <w:p w:rsidR="008B6A35" w:rsidRPr="00B715AF" w:rsidRDefault="008B6A35" w:rsidP="00AB556B">
            <w:pPr>
              <w:pStyle w:val="Tabletext"/>
            </w:pPr>
            <w:r w:rsidRPr="00B715AF">
              <w:t>14</w:t>
            </w:r>
          </w:p>
        </w:tc>
        <w:tc>
          <w:tcPr>
            <w:tcW w:w="1586" w:type="dxa"/>
            <w:shd w:val="clear" w:color="auto" w:fill="auto"/>
          </w:tcPr>
          <w:p w:rsidR="008B6A35" w:rsidRPr="00B715AF" w:rsidRDefault="008B6A35" w:rsidP="00AB556B">
            <w:pPr>
              <w:pStyle w:val="Tabletext"/>
            </w:pPr>
            <w:r w:rsidRPr="00B715AF">
              <w:t>Bitumen</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shd w:val="clear" w:color="auto" w:fill="auto"/>
          </w:tcPr>
          <w:p w:rsidR="008B6A35" w:rsidRPr="00B715AF" w:rsidRDefault="008B6A35" w:rsidP="00AB556B">
            <w:pPr>
              <w:pStyle w:val="Tabletext"/>
            </w:pPr>
            <w:r w:rsidRPr="00B715AF">
              <w:t>15</w:t>
            </w:r>
          </w:p>
        </w:tc>
        <w:tc>
          <w:tcPr>
            <w:tcW w:w="1586" w:type="dxa"/>
            <w:shd w:val="clear" w:color="auto" w:fill="auto"/>
          </w:tcPr>
          <w:p w:rsidR="008B6A35" w:rsidRPr="00B715AF" w:rsidRDefault="008B6A35" w:rsidP="00AB556B">
            <w:pPr>
              <w:pStyle w:val="Tabletext"/>
            </w:pPr>
            <w:r w:rsidRPr="00B715AF">
              <w:t>Lubricating oil base stock</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shd w:val="clear" w:color="auto" w:fill="auto"/>
          </w:tcPr>
          <w:p w:rsidR="008B6A35" w:rsidRPr="00B715AF" w:rsidRDefault="008B6A35" w:rsidP="00AB556B">
            <w:pPr>
              <w:pStyle w:val="Tabletext"/>
            </w:pPr>
            <w:r w:rsidRPr="00B715AF">
              <w:t>16</w:t>
            </w:r>
          </w:p>
        </w:tc>
        <w:tc>
          <w:tcPr>
            <w:tcW w:w="1586" w:type="dxa"/>
            <w:shd w:val="clear" w:color="auto" w:fill="auto"/>
          </w:tcPr>
          <w:p w:rsidR="008B6A35" w:rsidRPr="00B715AF" w:rsidRDefault="008B6A35" w:rsidP="00AB556B">
            <w:pPr>
              <w:pStyle w:val="Tabletext"/>
            </w:pPr>
            <w:r w:rsidRPr="00B715AF">
              <w:t>Lubricant</w:t>
            </w:r>
          </w:p>
        </w:tc>
        <w:tc>
          <w:tcPr>
            <w:tcW w:w="2114" w:type="dxa"/>
            <w:shd w:val="clear" w:color="auto" w:fill="auto"/>
          </w:tcPr>
          <w:p w:rsidR="008B6A35" w:rsidRPr="00B715AF" w:rsidRDefault="008B6A35" w:rsidP="00676E71">
            <w:pPr>
              <w:pStyle w:val="Tablea"/>
            </w:pPr>
            <w:r w:rsidRPr="00B715AF">
              <w:t>(a) automotive gasoline engine oil;</w:t>
            </w:r>
          </w:p>
          <w:p w:rsidR="008B6A35" w:rsidRPr="00B715AF" w:rsidRDefault="008B6A35" w:rsidP="00676E71">
            <w:pPr>
              <w:pStyle w:val="Tablea"/>
            </w:pPr>
            <w:r w:rsidRPr="00B715AF">
              <w:t>(b) automotive diesel engine oil;</w:t>
            </w:r>
          </w:p>
          <w:p w:rsidR="008B6A35" w:rsidRPr="00B715AF" w:rsidRDefault="008B6A35" w:rsidP="00676E71">
            <w:pPr>
              <w:pStyle w:val="Tablea"/>
            </w:pPr>
            <w:r w:rsidRPr="00B715AF">
              <w:t>(c) automotive transmission fluid;</w:t>
            </w:r>
          </w:p>
          <w:p w:rsidR="008B6A35" w:rsidRPr="00B715AF" w:rsidRDefault="008B6A35" w:rsidP="00676E71">
            <w:pPr>
              <w:pStyle w:val="Tablea"/>
            </w:pPr>
            <w:r w:rsidRPr="00B715AF">
              <w:t>(d) automotive gear oil;</w:t>
            </w:r>
          </w:p>
          <w:p w:rsidR="008B6A35" w:rsidRPr="00B715AF" w:rsidRDefault="008B6A35" w:rsidP="00676E71">
            <w:pPr>
              <w:pStyle w:val="Tablea"/>
            </w:pPr>
            <w:r w:rsidRPr="00B715AF">
              <w:t>(e) automotive oil—other;</w:t>
            </w:r>
          </w:p>
          <w:p w:rsidR="008B6A35" w:rsidRPr="00B715AF" w:rsidRDefault="008B6A35" w:rsidP="00676E71">
            <w:pPr>
              <w:pStyle w:val="Tablea"/>
            </w:pPr>
            <w:r w:rsidRPr="00B715AF">
              <w:t>(f) transport oil—other than automotive;</w:t>
            </w:r>
          </w:p>
          <w:p w:rsidR="008B6A35" w:rsidRPr="00B715AF" w:rsidRDefault="008B6A35" w:rsidP="00676E71">
            <w:pPr>
              <w:pStyle w:val="Tablea"/>
            </w:pPr>
            <w:r w:rsidRPr="00B715AF">
              <w:t>(g) industrial gear oil;</w:t>
            </w:r>
          </w:p>
          <w:p w:rsidR="008B6A35" w:rsidRPr="00B715AF" w:rsidRDefault="008B6A35" w:rsidP="00676E71">
            <w:pPr>
              <w:pStyle w:val="Tablea"/>
            </w:pPr>
            <w:r w:rsidRPr="00B715AF">
              <w:t>(h) industrial hydraulic oil;</w:t>
            </w:r>
          </w:p>
          <w:p w:rsidR="008B6A35" w:rsidRPr="00B715AF" w:rsidRDefault="008B6A35" w:rsidP="00676E71">
            <w:pPr>
              <w:pStyle w:val="Tablea"/>
            </w:pPr>
            <w:r w:rsidRPr="00B715AF">
              <w:t>(i) industrial oil—other;</w:t>
            </w:r>
          </w:p>
          <w:p w:rsidR="008B6A35" w:rsidRPr="00B715AF" w:rsidRDefault="008B6A35" w:rsidP="003816E1">
            <w:pPr>
              <w:pStyle w:val="Tablea"/>
            </w:pPr>
            <w:r w:rsidRPr="00B715AF">
              <w:t>(j) grease (including petroleum jelly);</w:t>
            </w:r>
          </w:p>
          <w:p w:rsidR="008B6A35" w:rsidRPr="00B715AF" w:rsidRDefault="008B6A35" w:rsidP="003816E1">
            <w:pPr>
              <w:pStyle w:val="Tablea"/>
            </w:pPr>
            <w:r w:rsidRPr="00B715AF">
              <w:t>(k) lubricant—other</w:t>
            </w:r>
          </w:p>
        </w:tc>
        <w:tc>
          <w:tcPr>
            <w:tcW w:w="2114" w:type="dxa"/>
            <w:shd w:val="clear" w:color="auto" w:fill="auto"/>
          </w:tcPr>
          <w:p w:rsidR="008B6A35" w:rsidRPr="00B715AF" w:rsidRDefault="008B6A35" w:rsidP="008B6A35">
            <w:pPr>
              <w:pStyle w:val="Tablea"/>
            </w:pPr>
            <w:r w:rsidRPr="00B715AF">
              <w:t>(a) grease (including petroleum jelly);</w:t>
            </w:r>
          </w:p>
          <w:p w:rsidR="008B6A35" w:rsidRPr="00B715AF" w:rsidRDefault="008B6A35" w:rsidP="008B6A35">
            <w:pPr>
              <w:pStyle w:val="Tablea"/>
            </w:pPr>
            <w:r w:rsidRPr="00B715AF">
              <w:t>(b) lubricant—other</w:t>
            </w:r>
          </w:p>
        </w:tc>
        <w:tc>
          <w:tcPr>
            <w:tcW w:w="2114" w:type="dxa"/>
            <w:shd w:val="clear" w:color="auto" w:fill="auto"/>
          </w:tcPr>
          <w:p w:rsidR="008B6A35" w:rsidRPr="00B715AF" w:rsidRDefault="008B6A35" w:rsidP="008B6A35">
            <w:pPr>
              <w:pStyle w:val="Tablea"/>
            </w:pPr>
            <w:r w:rsidRPr="00B715AF">
              <w:t>(a) automotive gasoline engine oil;</w:t>
            </w:r>
          </w:p>
          <w:p w:rsidR="008B6A35" w:rsidRPr="00B715AF" w:rsidRDefault="008B6A35" w:rsidP="008B6A35">
            <w:pPr>
              <w:pStyle w:val="Tablea"/>
            </w:pPr>
            <w:r w:rsidRPr="00B715AF">
              <w:t>(b) automotive diesel engine oil;</w:t>
            </w:r>
          </w:p>
          <w:p w:rsidR="008B6A35" w:rsidRPr="00B715AF" w:rsidRDefault="008B6A35" w:rsidP="008B6A35">
            <w:pPr>
              <w:pStyle w:val="Tablea"/>
            </w:pPr>
            <w:r w:rsidRPr="00B715AF">
              <w:t>(c) automotive transmission fluid;</w:t>
            </w:r>
          </w:p>
          <w:p w:rsidR="008B6A35" w:rsidRPr="00B715AF" w:rsidRDefault="008B6A35" w:rsidP="008B6A35">
            <w:pPr>
              <w:pStyle w:val="Tablea"/>
            </w:pPr>
            <w:r w:rsidRPr="00B715AF">
              <w:t>(d) automotive gear oil;</w:t>
            </w:r>
          </w:p>
          <w:p w:rsidR="008B6A35" w:rsidRPr="00B715AF" w:rsidRDefault="008B6A35" w:rsidP="008B6A35">
            <w:pPr>
              <w:pStyle w:val="Tablea"/>
            </w:pPr>
            <w:r w:rsidRPr="00B715AF">
              <w:t>(e) automotive oil—other;</w:t>
            </w:r>
          </w:p>
          <w:p w:rsidR="008B6A35" w:rsidRPr="00B715AF" w:rsidRDefault="008B6A35" w:rsidP="008B6A35">
            <w:pPr>
              <w:pStyle w:val="Tablea"/>
            </w:pPr>
            <w:r w:rsidRPr="00B715AF">
              <w:t>(f) transport oil—other than automotive;</w:t>
            </w:r>
          </w:p>
          <w:p w:rsidR="008B6A35" w:rsidRPr="00B715AF" w:rsidRDefault="008B6A35" w:rsidP="008B6A35">
            <w:pPr>
              <w:pStyle w:val="Tablea"/>
            </w:pPr>
            <w:r w:rsidRPr="00B715AF">
              <w:t>(g) industrial gear oil;</w:t>
            </w:r>
          </w:p>
          <w:p w:rsidR="008B6A35" w:rsidRPr="00B715AF" w:rsidRDefault="008B6A35" w:rsidP="008B6A35">
            <w:pPr>
              <w:pStyle w:val="Tablea"/>
            </w:pPr>
            <w:r w:rsidRPr="00B715AF">
              <w:t>(h) industrial hydraulic oil;</w:t>
            </w:r>
          </w:p>
          <w:p w:rsidR="008B6A35" w:rsidRPr="00B715AF" w:rsidRDefault="008B6A35" w:rsidP="008B6A35">
            <w:pPr>
              <w:pStyle w:val="Tablea"/>
            </w:pPr>
            <w:r w:rsidRPr="00B715AF">
              <w:t>(i) industrial oil—other;</w:t>
            </w:r>
          </w:p>
          <w:p w:rsidR="008B6A35" w:rsidRPr="00B715AF" w:rsidRDefault="008B6A35" w:rsidP="008B6A35">
            <w:pPr>
              <w:pStyle w:val="Tablea"/>
            </w:pPr>
            <w:r w:rsidRPr="00B715AF">
              <w:t>(j) grease (including petroleum jelly);</w:t>
            </w:r>
          </w:p>
          <w:p w:rsidR="008B6A35" w:rsidRPr="00B715AF" w:rsidRDefault="008B6A35" w:rsidP="008B6A35">
            <w:pPr>
              <w:pStyle w:val="Tablea"/>
            </w:pPr>
            <w:r w:rsidRPr="00B715AF">
              <w:t>(k) lubricant—other</w:t>
            </w:r>
          </w:p>
        </w:tc>
      </w:tr>
      <w:tr w:rsidR="008B6A35" w:rsidRPr="00B715AF" w:rsidTr="008D4149">
        <w:tc>
          <w:tcPr>
            <w:tcW w:w="677" w:type="dxa"/>
            <w:shd w:val="clear" w:color="auto" w:fill="auto"/>
          </w:tcPr>
          <w:p w:rsidR="008B6A35" w:rsidRPr="00B715AF" w:rsidRDefault="008B6A35" w:rsidP="00AB556B">
            <w:pPr>
              <w:pStyle w:val="Tabletext"/>
            </w:pPr>
            <w:r w:rsidRPr="00B715AF">
              <w:t>17</w:t>
            </w:r>
          </w:p>
        </w:tc>
        <w:tc>
          <w:tcPr>
            <w:tcW w:w="1586" w:type="dxa"/>
            <w:shd w:val="clear" w:color="auto" w:fill="auto"/>
          </w:tcPr>
          <w:p w:rsidR="008B6A35" w:rsidRPr="00B715AF" w:rsidRDefault="008B6A35" w:rsidP="00AB556B">
            <w:pPr>
              <w:pStyle w:val="Tabletext"/>
            </w:pPr>
            <w:r w:rsidRPr="00B715AF">
              <w:t>Petroleum</w:t>
            </w:r>
            <w:r w:rsidR="00B715AF">
              <w:noBreakHyphen/>
            </w:r>
            <w:r w:rsidRPr="00B715AF">
              <w:t>based solvent</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shd w:val="clear" w:color="auto" w:fill="auto"/>
          </w:tcPr>
          <w:p w:rsidR="008B6A35" w:rsidRPr="00B715AF" w:rsidRDefault="008B6A35" w:rsidP="00AB556B">
            <w:pPr>
              <w:pStyle w:val="Tabletext"/>
            </w:pPr>
            <w:r w:rsidRPr="00B715AF">
              <w:t>18</w:t>
            </w:r>
          </w:p>
        </w:tc>
        <w:tc>
          <w:tcPr>
            <w:tcW w:w="1586" w:type="dxa"/>
            <w:shd w:val="clear" w:color="auto" w:fill="auto"/>
          </w:tcPr>
          <w:p w:rsidR="008B6A35" w:rsidRPr="00B715AF" w:rsidRDefault="008B6A35" w:rsidP="00AB556B">
            <w:pPr>
              <w:pStyle w:val="Tabletext"/>
            </w:pPr>
            <w:r w:rsidRPr="00B715AF">
              <w:t>Paraffin wax</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shd w:val="clear" w:color="auto" w:fill="auto"/>
          </w:tcPr>
          <w:p w:rsidR="008B6A35" w:rsidRPr="00B715AF" w:rsidRDefault="008B6A35" w:rsidP="00AB556B">
            <w:pPr>
              <w:pStyle w:val="Tabletext"/>
            </w:pPr>
            <w:r w:rsidRPr="00B715AF">
              <w:t>19</w:t>
            </w:r>
          </w:p>
        </w:tc>
        <w:tc>
          <w:tcPr>
            <w:tcW w:w="1586" w:type="dxa"/>
            <w:shd w:val="clear" w:color="auto" w:fill="auto"/>
          </w:tcPr>
          <w:p w:rsidR="008B6A35" w:rsidRPr="00B715AF" w:rsidRDefault="008B6A35" w:rsidP="00AB556B">
            <w:pPr>
              <w:pStyle w:val="Tabletext"/>
            </w:pPr>
            <w:r w:rsidRPr="00B715AF">
              <w:t>Naphtha</w:t>
            </w:r>
          </w:p>
        </w:tc>
        <w:tc>
          <w:tcPr>
            <w:tcW w:w="2114" w:type="dxa"/>
            <w:shd w:val="clear" w:color="auto" w:fill="auto"/>
          </w:tcPr>
          <w:p w:rsidR="008B6A35" w:rsidRPr="00B715AF" w:rsidRDefault="008B6A35" w:rsidP="003816E1">
            <w:pPr>
              <w:pStyle w:val="Tabletext"/>
            </w:pPr>
          </w:p>
        </w:tc>
        <w:tc>
          <w:tcPr>
            <w:tcW w:w="2114" w:type="dxa"/>
            <w:shd w:val="clear" w:color="auto" w:fill="auto"/>
          </w:tcPr>
          <w:p w:rsidR="008B6A35" w:rsidRPr="00B715AF" w:rsidRDefault="008B6A35" w:rsidP="008B6A35">
            <w:pPr>
              <w:pStyle w:val="Tabletext"/>
            </w:pPr>
          </w:p>
        </w:tc>
        <w:tc>
          <w:tcPr>
            <w:tcW w:w="2114" w:type="dxa"/>
            <w:shd w:val="clear" w:color="auto" w:fill="auto"/>
          </w:tcPr>
          <w:p w:rsidR="008B6A35" w:rsidRPr="00B715AF" w:rsidRDefault="008B6A35" w:rsidP="008B6A35">
            <w:pPr>
              <w:pStyle w:val="Tabletext"/>
            </w:pPr>
          </w:p>
        </w:tc>
      </w:tr>
      <w:tr w:rsidR="008B6A35" w:rsidRPr="00B715AF" w:rsidTr="008D4149">
        <w:tc>
          <w:tcPr>
            <w:tcW w:w="677" w:type="dxa"/>
            <w:tcBorders>
              <w:bottom w:val="single" w:sz="2" w:space="0" w:color="auto"/>
            </w:tcBorders>
            <w:shd w:val="clear" w:color="auto" w:fill="auto"/>
          </w:tcPr>
          <w:p w:rsidR="008B6A35" w:rsidRPr="00B715AF" w:rsidRDefault="008B6A35" w:rsidP="000C5157">
            <w:pPr>
              <w:pStyle w:val="Tabletext"/>
            </w:pPr>
            <w:r w:rsidRPr="00B715AF">
              <w:t>20</w:t>
            </w:r>
          </w:p>
        </w:tc>
        <w:tc>
          <w:tcPr>
            <w:tcW w:w="1586" w:type="dxa"/>
            <w:tcBorders>
              <w:bottom w:val="single" w:sz="2" w:space="0" w:color="auto"/>
            </w:tcBorders>
            <w:shd w:val="clear" w:color="auto" w:fill="auto"/>
          </w:tcPr>
          <w:p w:rsidR="008B6A35" w:rsidRPr="00B715AF" w:rsidRDefault="008B6A35" w:rsidP="00B65FF9">
            <w:pPr>
              <w:pStyle w:val="Tabletext"/>
            </w:pPr>
            <w:r w:rsidRPr="00B715AF">
              <w:t>Refining</w:t>
            </w:r>
            <w:r w:rsidR="00B715AF">
              <w:noBreakHyphen/>
            </w:r>
            <w:r w:rsidRPr="00B715AF">
              <w:t>related gas (other)</w:t>
            </w:r>
          </w:p>
        </w:tc>
        <w:tc>
          <w:tcPr>
            <w:tcW w:w="2114" w:type="dxa"/>
            <w:tcBorders>
              <w:bottom w:val="single" w:sz="2" w:space="0" w:color="auto"/>
            </w:tcBorders>
            <w:shd w:val="clear" w:color="auto" w:fill="auto"/>
          </w:tcPr>
          <w:p w:rsidR="008B6A35" w:rsidRPr="00B715AF" w:rsidRDefault="008B6A35" w:rsidP="003816E1">
            <w:pPr>
              <w:pStyle w:val="Tablea"/>
            </w:pPr>
          </w:p>
        </w:tc>
        <w:tc>
          <w:tcPr>
            <w:tcW w:w="2114" w:type="dxa"/>
            <w:tcBorders>
              <w:bottom w:val="single" w:sz="2" w:space="0" w:color="auto"/>
            </w:tcBorders>
            <w:shd w:val="clear" w:color="auto" w:fill="auto"/>
          </w:tcPr>
          <w:p w:rsidR="008B6A35" w:rsidRPr="00B715AF" w:rsidRDefault="008B6A35" w:rsidP="008B6A35">
            <w:pPr>
              <w:pStyle w:val="Tablea"/>
            </w:pPr>
            <w:r w:rsidRPr="00B715AF">
              <w:t>(a) methane;</w:t>
            </w:r>
          </w:p>
          <w:p w:rsidR="008B6A35" w:rsidRPr="00B715AF" w:rsidRDefault="008B6A35" w:rsidP="008B6A35">
            <w:pPr>
              <w:pStyle w:val="Tablea"/>
            </w:pPr>
            <w:r w:rsidRPr="00B715AF">
              <w:t>(b) ethane;</w:t>
            </w:r>
          </w:p>
          <w:p w:rsidR="008B6A35" w:rsidRPr="00B715AF" w:rsidRDefault="008B6A35" w:rsidP="008B6A35">
            <w:pPr>
              <w:pStyle w:val="Tablea"/>
            </w:pPr>
            <w:r w:rsidRPr="00B715AF">
              <w:t>(c) refinery gas;</w:t>
            </w:r>
          </w:p>
          <w:p w:rsidR="008B6A35" w:rsidRPr="00B715AF" w:rsidRDefault="008B6A35" w:rsidP="008B6A35">
            <w:pPr>
              <w:pStyle w:val="Tablea"/>
            </w:pPr>
            <w:r w:rsidRPr="00B715AF">
              <w:t>(d) refining</w:t>
            </w:r>
            <w:r w:rsidR="00B715AF">
              <w:noBreakHyphen/>
            </w:r>
            <w:r w:rsidRPr="00B715AF">
              <w:t>related gas (other)—other</w:t>
            </w:r>
          </w:p>
        </w:tc>
        <w:tc>
          <w:tcPr>
            <w:tcW w:w="2114" w:type="dxa"/>
            <w:tcBorders>
              <w:bottom w:val="single" w:sz="2" w:space="0" w:color="auto"/>
            </w:tcBorders>
            <w:shd w:val="clear" w:color="auto" w:fill="auto"/>
          </w:tcPr>
          <w:p w:rsidR="008B6A35" w:rsidRPr="00B715AF" w:rsidRDefault="008B6A35" w:rsidP="008B6A35">
            <w:pPr>
              <w:pStyle w:val="Tablea"/>
            </w:pPr>
          </w:p>
        </w:tc>
      </w:tr>
      <w:tr w:rsidR="008B6A35" w:rsidRPr="00B715AF" w:rsidTr="008D4149">
        <w:tc>
          <w:tcPr>
            <w:tcW w:w="677" w:type="dxa"/>
            <w:tcBorders>
              <w:top w:val="single" w:sz="2" w:space="0" w:color="auto"/>
              <w:bottom w:val="single" w:sz="12" w:space="0" w:color="auto"/>
            </w:tcBorders>
            <w:shd w:val="clear" w:color="auto" w:fill="auto"/>
          </w:tcPr>
          <w:p w:rsidR="008B6A35" w:rsidRPr="00B715AF" w:rsidRDefault="008B6A35" w:rsidP="00AB556B">
            <w:pPr>
              <w:pStyle w:val="Tabletext"/>
            </w:pPr>
            <w:r w:rsidRPr="00B715AF">
              <w:t>21</w:t>
            </w:r>
          </w:p>
        </w:tc>
        <w:tc>
          <w:tcPr>
            <w:tcW w:w="1586" w:type="dxa"/>
            <w:tcBorders>
              <w:top w:val="single" w:sz="2" w:space="0" w:color="auto"/>
              <w:bottom w:val="single" w:sz="12" w:space="0" w:color="auto"/>
            </w:tcBorders>
            <w:shd w:val="clear" w:color="auto" w:fill="auto"/>
          </w:tcPr>
          <w:p w:rsidR="008B6A35" w:rsidRPr="00B715AF" w:rsidRDefault="008B6A35" w:rsidP="00B65FF9">
            <w:pPr>
              <w:pStyle w:val="Tabletext"/>
            </w:pPr>
            <w:r w:rsidRPr="00B715AF">
              <w:t>Refinery feedstock (other)</w:t>
            </w:r>
          </w:p>
        </w:tc>
        <w:tc>
          <w:tcPr>
            <w:tcW w:w="2114" w:type="dxa"/>
            <w:tcBorders>
              <w:top w:val="single" w:sz="2" w:space="0" w:color="auto"/>
              <w:bottom w:val="single" w:sz="12" w:space="0" w:color="auto"/>
            </w:tcBorders>
            <w:shd w:val="clear" w:color="auto" w:fill="auto"/>
          </w:tcPr>
          <w:p w:rsidR="008B6A35" w:rsidRPr="00B715AF" w:rsidRDefault="008B6A35" w:rsidP="003816E1">
            <w:pPr>
              <w:pStyle w:val="Tabletext"/>
            </w:pPr>
          </w:p>
        </w:tc>
        <w:tc>
          <w:tcPr>
            <w:tcW w:w="2114" w:type="dxa"/>
            <w:tcBorders>
              <w:top w:val="single" w:sz="2" w:space="0" w:color="auto"/>
              <w:bottom w:val="single" w:sz="12" w:space="0" w:color="auto"/>
            </w:tcBorders>
            <w:shd w:val="clear" w:color="auto" w:fill="auto"/>
          </w:tcPr>
          <w:p w:rsidR="008B6A35" w:rsidRPr="00B715AF" w:rsidRDefault="008B6A35" w:rsidP="008B6A35">
            <w:pPr>
              <w:pStyle w:val="Tablea"/>
            </w:pPr>
            <w:r w:rsidRPr="00B715AF">
              <w:t>(a) additive or oxygenate;</w:t>
            </w:r>
          </w:p>
          <w:p w:rsidR="008B6A35" w:rsidRPr="00B715AF" w:rsidRDefault="008B6A35" w:rsidP="008B6A35">
            <w:pPr>
              <w:pStyle w:val="Tablea"/>
            </w:pPr>
            <w:r w:rsidRPr="00B715AF">
              <w:t>(b) non</w:t>
            </w:r>
            <w:r w:rsidR="00B715AF">
              <w:noBreakHyphen/>
            </w:r>
            <w:r w:rsidRPr="00B715AF">
              <w:t>hydrocarbon blendstock—other</w:t>
            </w:r>
          </w:p>
          <w:p w:rsidR="008B6A35" w:rsidRPr="00B715AF" w:rsidRDefault="008B6A35" w:rsidP="008B6A35">
            <w:pPr>
              <w:pStyle w:val="Tablea"/>
            </w:pPr>
            <w:r w:rsidRPr="00B715AF">
              <w:t>(c) hydrocarbon blendstock—other</w:t>
            </w:r>
          </w:p>
          <w:p w:rsidR="008B6A35" w:rsidRPr="00B715AF" w:rsidRDefault="008B6A35" w:rsidP="008B6A35">
            <w:pPr>
              <w:pStyle w:val="Tablea"/>
            </w:pPr>
            <w:r w:rsidRPr="00B715AF">
              <w:t>(d) refinery feedstock (other)—other</w:t>
            </w:r>
          </w:p>
        </w:tc>
        <w:tc>
          <w:tcPr>
            <w:tcW w:w="2114" w:type="dxa"/>
            <w:tcBorders>
              <w:top w:val="single" w:sz="2" w:space="0" w:color="auto"/>
              <w:bottom w:val="single" w:sz="12" w:space="0" w:color="auto"/>
            </w:tcBorders>
            <w:shd w:val="clear" w:color="auto" w:fill="auto"/>
          </w:tcPr>
          <w:p w:rsidR="008B6A35" w:rsidRPr="00B715AF" w:rsidRDefault="008B6A35" w:rsidP="008B6A35">
            <w:pPr>
              <w:pStyle w:val="Tabletext"/>
            </w:pPr>
          </w:p>
        </w:tc>
      </w:tr>
    </w:tbl>
    <w:p w:rsidR="00B915FA" w:rsidRPr="00B715AF" w:rsidRDefault="003374C3" w:rsidP="00B915FA">
      <w:pPr>
        <w:pStyle w:val="subsection"/>
      </w:pPr>
      <w:bookmarkStart w:id="38" w:name="OPCSB_NonAmendSchClausesA4"/>
      <w:r w:rsidRPr="00B715AF">
        <w:tab/>
        <w:t>(</w:t>
      </w:r>
      <w:r w:rsidR="00CF3D43" w:rsidRPr="00B715AF">
        <w:t>2</w:t>
      </w:r>
      <w:r w:rsidR="006516FA" w:rsidRPr="00B715AF">
        <w:t>)</w:t>
      </w:r>
      <w:r w:rsidR="006516FA" w:rsidRPr="00B715AF">
        <w:tab/>
      </w:r>
      <w:r w:rsidR="00B915FA" w:rsidRPr="00B715AF">
        <w:t>F</w:t>
      </w:r>
      <w:r w:rsidR="006516FA" w:rsidRPr="00B715AF">
        <w:t>or the purposes of a report relating to wholesaling</w:t>
      </w:r>
      <w:r w:rsidR="00B915FA" w:rsidRPr="00B715AF">
        <w:t>:</w:t>
      </w:r>
    </w:p>
    <w:p w:rsidR="00827C35" w:rsidRPr="00B715AF" w:rsidRDefault="00827C35" w:rsidP="00827C35">
      <w:pPr>
        <w:pStyle w:val="paragraph"/>
      </w:pPr>
      <w:r w:rsidRPr="00B715AF">
        <w:tab/>
        <w:t>(a)</w:t>
      </w:r>
      <w:r w:rsidRPr="00B715AF">
        <w:tab/>
        <w:t>the subcategories of liquefied petroleum gas are the following:</w:t>
      </w:r>
    </w:p>
    <w:p w:rsidR="00827C35" w:rsidRPr="00B715AF" w:rsidRDefault="00827C35" w:rsidP="00827C35">
      <w:pPr>
        <w:pStyle w:val="paragraphsub"/>
      </w:pPr>
      <w:r w:rsidRPr="00B715AF">
        <w:tab/>
        <w:t>(i)</w:t>
      </w:r>
      <w:r w:rsidRPr="00B715AF">
        <w:tab/>
        <w:t>automotive;</w:t>
      </w:r>
    </w:p>
    <w:p w:rsidR="00827C35" w:rsidRPr="00B715AF" w:rsidRDefault="00827C35" w:rsidP="00827C35">
      <w:pPr>
        <w:pStyle w:val="paragraphsub"/>
      </w:pPr>
      <w:r w:rsidRPr="00B715AF">
        <w:tab/>
        <w:t>(ii)</w:t>
      </w:r>
      <w:r w:rsidRPr="00B715AF">
        <w:tab/>
        <w:t>non</w:t>
      </w:r>
      <w:r w:rsidR="00B715AF">
        <w:noBreakHyphen/>
      </w:r>
      <w:r w:rsidRPr="00B715AF">
        <w:t>automotive; and</w:t>
      </w:r>
    </w:p>
    <w:p w:rsidR="00B915FA" w:rsidRPr="00B715AF" w:rsidRDefault="00B915FA" w:rsidP="00B915FA">
      <w:pPr>
        <w:pStyle w:val="paragraph"/>
      </w:pPr>
      <w:r w:rsidRPr="00B715AF">
        <w:tab/>
        <w:t>(</w:t>
      </w:r>
      <w:r w:rsidR="00827C35" w:rsidRPr="00B715AF">
        <w:t>b</w:t>
      </w:r>
      <w:r w:rsidRPr="00B715AF">
        <w:t>)</w:t>
      </w:r>
      <w:r w:rsidRPr="00B715AF">
        <w:tab/>
        <w:t>column 2 of item</w:t>
      </w:r>
      <w:r w:rsidR="00B715AF" w:rsidRPr="00B715AF">
        <w:t> </w:t>
      </w:r>
      <w:r w:rsidRPr="00B715AF">
        <w:t xml:space="preserve">3 of the table </w:t>
      </w:r>
      <w:r w:rsidR="00827C35" w:rsidRPr="00B715AF">
        <w:t xml:space="preserve">in </w:t>
      </w:r>
      <w:r w:rsidR="00B715AF" w:rsidRPr="00B715AF">
        <w:t>subclause (</w:t>
      </w:r>
      <w:r w:rsidR="00CF3D43" w:rsidRPr="00B715AF">
        <w:t>1</w:t>
      </w:r>
      <w:r w:rsidR="00827C35" w:rsidRPr="00B715AF">
        <w:t>) does not apply.</w:t>
      </w:r>
    </w:p>
    <w:p w:rsidR="0076026D" w:rsidRPr="00B715AF" w:rsidRDefault="00CF3D43" w:rsidP="0076026D">
      <w:pPr>
        <w:pStyle w:val="subsection"/>
      </w:pPr>
      <w:r w:rsidRPr="00B715AF">
        <w:tab/>
        <w:t>(3</w:t>
      </w:r>
      <w:r w:rsidR="0076026D" w:rsidRPr="00B715AF">
        <w:t>)</w:t>
      </w:r>
      <w:r w:rsidR="0076026D" w:rsidRPr="00B715AF">
        <w:tab/>
        <w:t>In this instrument:</w:t>
      </w:r>
    </w:p>
    <w:p w:rsidR="0076026D" w:rsidRPr="00B715AF" w:rsidRDefault="0076026D" w:rsidP="0076026D">
      <w:pPr>
        <w:pStyle w:val="Definition"/>
      </w:pPr>
      <w:r w:rsidRPr="00B715AF">
        <w:rPr>
          <w:b/>
          <w:i/>
        </w:rPr>
        <w:t>domestic</w:t>
      </w:r>
      <w:r w:rsidRPr="00B715AF">
        <w:t>, in relation to a subcategory of covered product mentioned in the table in this clause, means not international.</w:t>
      </w:r>
    </w:p>
    <w:p w:rsidR="0076026D" w:rsidRPr="00B715AF" w:rsidRDefault="0076026D" w:rsidP="0076026D">
      <w:pPr>
        <w:pStyle w:val="Definition"/>
      </w:pPr>
      <w:r w:rsidRPr="00B715AF">
        <w:rPr>
          <w:b/>
          <w:i/>
        </w:rPr>
        <w:t>high sulphur</w:t>
      </w:r>
      <w:r w:rsidRPr="00B715AF">
        <w:t>, in relation to fuel oil, means having a sulphur content of at least 1%.</w:t>
      </w:r>
    </w:p>
    <w:p w:rsidR="0076026D" w:rsidRPr="00B715AF" w:rsidRDefault="0076026D" w:rsidP="0076026D">
      <w:pPr>
        <w:pStyle w:val="Definition"/>
      </w:pPr>
      <w:r w:rsidRPr="00B715AF">
        <w:rPr>
          <w:b/>
          <w:i/>
        </w:rPr>
        <w:t>international</w:t>
      </w:r>
      <w:r w:rsidRPr="00B715AF">
        <w:t>, in relation to a subcategory of covered product mentioned in the table in this clause, means supplied, or intended to be supplied, to a seagoing ship, or an aircraft, for use:</w:t>
      </w:r>
    </w:p>
    <w:p w:rsidR="0076026D" w:rsidRPr="00B715AF" w:rsidRDefault="0076026D" w:rsidP="0076026D">
      <w:pPr>
        <w:pStyle w:val="paragraph"/>
      </w:pPr>
      <w:r w:rsidRPr="00B715AF">
        <w:tab/>
        <w:t>(a)</w:t>
      </w:r>
      <w:r w:rsidRPr="00B715AF">
        <w:tab/>
        <w:t>outside Australia; or</w:t>
      </w:r>
    </w:p>
    <w:p w:rsidR="0076026D" w:rsidRPr="00B715AF" w:rsidRDefault="0076026D" w:rsidP="0076026D">
      <w:pPr>
        <w:pStyle w:val="paragraph"/>
      </w:pPr>
      <w:r w:rsidRPr="00B715AF">
        <w:tab/>
        <w:t>(b)</w:t>
      </w:r>
      <w:r w:rsidRPr="00B715AF">
        <w:tab/>
        <w:t>in departing Australia.</w:t>
      </w:r>
    </w:p>
    <w:p w:rsidR="0076026D" w:rsidRPr="00B715AF" w:rsidRDefault="0076026D" w:rsidP="0076026D">
      <w:pPr>
        <w:pStyle w:val="Definition"/>
      </w:pPr>
      <w:r w:rsidRPr="00B715AF">
        <w:rPr>
          <w:b/>
          <w:i/>
        </w:rPr>
        <w:t>low sulphur</w:t>
      </w:r>
      <w:r w:rsidRPr="00B715AF">
        <w:t>, in relation to fuel oil, means having a sulphur content of less than 1%.</w:t>
      </w:r>
    </w:p>
    <w:p w:rsidR="0076026D" w:rsidRPr="00B715AF" w:rsidRDefault="0076026D" w:rsidP="0046303A">
      <w:pPr>
        <w:sectPr w:rsidR="0076026D" w:rsidRPr="00B715AF" w:rsidSect="004B3AF0">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cols w:space="720"/>
          <w:docGrid w:linePitch="299"/>
        </w:sectPr>
      </w:pPr>
    </w:p>
    <w:bookmarkEnd w:id="38"/>
    <w:p w:rsidR="00634C77" w:rsidRPr="00B715AF" w:rsidRDefault="00634C77">
      <w:pPr>
        <w:rPr>
          <w:b/>
          <w:i/>
        </w:rPr>
      </w:pPr>
    </w:p>
    <w:sectPr w:rsidR="00634C77" w:rsidRPr="00B715AF" w:rsidSect="004B3AF0">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DA2" w:rsidRDefault="00C22DA2" w:rsidP="00715914">
      <w:pPr>
        <w:spacing w:line="240" w:lineRule="auto"/>
      </w:pPr>
      <w:r>
        <w:separator/>
      </w:r>
    </w:p>
  </w:endnote>
  <w:endnote w:type="continuationSeparator" w:id="0">
    <w:p w:rsidR="00C22DA2" w:rsidRDefault="00C22DA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AF0" w:rsidRPr="004B3AF0" w:rsidRDefault="004B3AF0" w:rsidP="004B3AF0">
    <w:pPr>
      <w:pStyle w:val="Footer"/>
      <w:rPr>
        <w:i/>
        <w:sz w:val="18"/>
      </w:rPr>
    </w:pPr>
    <w:r w:rsidRPr="004B3AF0">
      <w:rPr>
        <w:i/>
        <w:sz w:val="18"/>
      </w:rPr>
      <w:t>OPC62434 - C</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D1021D" w:rsidRDefault="00C22DA2" w:rsidP="0080163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2DA2" w:rsidTr="0046303A">
      <w:tc>
        <w:tcPr>
          <w:tcW w:w="1384" w:type="dxa"/>
          <w:tcBorders>
            <w:top w:val="nil"/>
            <w:left w:val="nil"/>
            <w:bottom w:val="nil"/>
            <w:right w:val="nil"/>
          </w:tcBorders>
        </w:tcPr>
        <w:p w:rsidR="00C22DA2" w:rsidRDefault="00C22DA2" w:rsidP="0046303A">
          <w:pPr>
            <w:spacing w:line="0" w:lineRule="atLeast"/>
            <w:rPr>
              <w:sz w:val="18"/>
            </w:rPr>
          </w:pPr>
        </w:p>
      </w:tc>
      <w:tc>
        <w:tcPr>
          <w:tcW w:w="6379" w:type="dxa"/>
          <w:tcBorders>
            <w:top w:val="nil"/>
            <w:left w:val="nil"/>
            <w:bottom w:val="nil"/>
            <w:right w:val="nil"/>
          </w:tcBorders>
        </w:tcPr>
        <w:p w:rsidR="00C22DA2" w:rsidRDefault="00C22DA2" w:rsidP="0046303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709" w:type="dxa"/>
          <w:tcBorders>
            <w:top w:val="nil"/>
            <w:left w:val="nil"/>
            <w:bottom w:val="nil"/>
            <w:right w:val="nil"/>
          </w:tcBorders>
        </w:tcPr>
        <w:p w:rsidR="00C22DA2" w:rsidRDefault="00C22DA2" w:rsidP="0046303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2806">
            <w:rPr>
              <w:i/>
              <w:noProof/>
              <w:sz w:val="18"/>
            </w:rPr>
            <w:t>23</w:t>
          </w:r>
          <w:r w:rsidRPr="00ED79B6">
            <w:rPr>
              <w:i/>
              <w:sz w:val="18"/>
            </w:rPr>
            <w:fldChar w:fldCharType="end"/>
          </w:r>
        </w:p>
      </w:tc>
    </w:tr>
  </w:tbl>
  <w:p w:rsidR="00C22DA2" w:rsidRPr="004B3AF0" w:rsidRDefault="004B3AF0" w:rsidP="004B3AF0">
    <w:pPr>
      <w:rPr>
        <w:rFonts w:cs="Times New Roman"/>
        <w:i/>
        <w:sz w:val="18"/>
      </w:rPr>
    </w:pPr>
    <w:r w:rsidRPr="004B3AF0">
      <w:rPr>
        <w:rFonts w:cs="Times New Roman"/>
        <w:i/>
        <w:sz w:val="18"/>
      </w:rPr>
      <w:t>OPC62434 - 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E33C1C" w:rsidRDefault="00C22DA2" w:rsidP="00801635">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2DA2" w:rsidTr="0046303A">
      <w:tc>
        <w:tcPr>
          <w:tcW w:w="1384" w:type="dxa"/>
          <w:tcBorders>
            <w:top w:val="nil"/>
            <w:left w:val="nil"/>
            <w:bottom w:val="nil"/>
            <w:right w:val="nil"/>
          </w:tcBorders>
        </w:tcPr>
        <w:p w:rsidR="00C22DA2" w:rsidRDefault="00C22DA2" w:rsidP="0046303A">
          <w:pPr>
            <w:spacing w:line="0" w:lineRule="atLeast"/>
            <w:rPr>
              <w:sz w:val="18"/>
            </w:rPr>
          </w:pPr>
        </w:p>
      </w:tc>
      <w:tc>
        <w:tcPr>
          <w:tcW w:w="6379" w:type="dxa"/>
          <w:tcBorders>
            <w:top w:val="nil"/>
            <w:left w:val="nil"/>
            <w:bottom w:val="nil"/>
            <w:right w:val="nil"/>
          </w:tcBorders>
        </w:tcPr>
        <w:p w:rsidR="00C22DA2" w:rsidRDefault="00C22DA2" w:rsidP="0046303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709" w:type="dxa"/>
          <w:tcBorders>
            <w:top w:val="nil"/>
            <w:left w:val="nil"/>
            <w:bottom w:val="nil"/>
            <w:right w:val="nil"/>
          </w:tcBorders>
        </w:tcPr>
        <w:p w:rsidR="00C22DA2" w:rsidRDefault="00C22DA2" w:rsidP="0046303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068A">
            <w:rPr>
              <w:i/>
              <w:noProof/>
              <w:sz w:val="18"/>
            </w:rPr>
            <w:t>23</w:t>
          </w:r>
          <w:r w:rsidRPr="00ED79B6">
            <w:rPr>
              <w:i/>
              <w:sz w:val="18"/>
            </w:rPr>
            <w:fldChar w:fldCharType="end"/>
          </w:r>
        </w:p>
      </w:tc>
    </w:tr>
  </w:tbl>
  <w:p w:rsidR="00C22DA2" w:rsidRPr="00ED79B6" w:rsidRDefault="00C22DA2" w:rsidP="00801635">
    <w:pPr>
      <w:rPr>
        <w:i/>
        <w:sz w:val="18"/>
      </w:rPr>
    </w:pPr>
  </w:p>
  <w:p w:rsidR="00C22DA2" w:rsidRPr="004B3AF0" w:rsidRDefault="004B3AF0" w:rsidP="004B3AF0">
    <w:pPr>
      <w:pStyle w:val="Footer"/>
      <w:rPr>
        <w:i/>
        <w:sz w:val="18"/>
      </w:rPr>
    </w:pPr>
    <w:r w:rsidRPr="004B3AF0">
      <w:rPr>
        <w:i/>
        <w:sz w:val="18"/>
      </w:rPr>
      <w:t>OPC62434 - C</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E33C1C" w:rsidRDefault="00C22DA2" w:rsidP="00634C7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2DA2" w:rsidTr="000E363C">
      <w:tc>
        <w:tcPr>
          <w:tcW w:w="709" w:type="dxa"/>
          <w:tcBorders>
            <w:top w:val="nil"/>
            <w:left w:val="nil"/>
            <w:bottom w:val="nil"/>
            <w:right w:val="nil"/>
          </w:tcBorders>
        </w:tcPr>
        <w:p w:rsidR="00C22DA2" w:rsidRDefault="00C22DA2" w:rsidP="000825C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068A">
            <w:rPr>
              <w:i/>
              <w:noProof/>
              <w:sz w:val="18"/>
            </w:rPr>
            <w:t>23</w:t>
          </w:r>
          <w:r w:rsidRPr="00ED79B6">
            <w:rPr>
              <w:i/>
              <w:sz w:val="18"/>
            </w:rPr>
            <w:fldChar w:fldCharType="end"/>
          </w:r>
        </w:p>
      </w:tc>
      <w:tc>
        <w:tcPr>
          <w:tcW w:w="6379" w:type="dxa"/>
          <w:tcBorders>
            <w:top w:val="nil"/>
            <w:left w:val="nil"/>
            <w:bottom w:val="nil"/>
            <w:right w:val="nil"/>
          </w:tcBorders>
        </w:tcPr>
        <w:p w:rsidR="00C22DA2" w:rsidRDefault="00C22DA2" w:rsidP="000825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1384" w:type="dxa"/>
          <w:tcBorders>
            <w:top w:val="nil"/>
            <w:left w:val="nil"/>
            <w:bottom w:val="nil"/>
            <w:right w:val="nil"/>
          </w:tcBorders>
        </w:tcPr>
        <w:p w:rsidR="00C22DA2" w:rsidRDefault="00C22DA2" w:rsidP="000825CB">
          <w:pPr>
            <w:spacing w:line="0" w:lineRule="atLeast"/>
            <w:jc w:val="right"/>
            <w:rPr>
              <w:sz w:val="18"/>
            </w:rPr>
          </w:pPr>
        </w:p>
      </w:tc>
    </w:tr>
  </w:tbl>
  <w:p w:rsidR="00C22DA2" w:rsidRPr="004B3AF0" w:rsidRDefault="004B3AF0" w:rsidP="004B3AF0">
    <w:pPr>
      <w:rPr>
        <w:rFonts w:cs="Times New Roman"/>
        <w:i/>
        <w:sz w:val="18"/>
      </w:rPr>
    </w:pPr>
    <w:r w:rsidRPr="004B3AF0">
      <w:rPr>
        <w:rFonts w:cs="Times New Roman"/>
        <w:i/>
        <w:sz w:val="18"/>
      </w:rPr>
      <w:t>OPC62434 - C</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E33C1C" w:rsidRDefault="00C22DA2" w:rsidP="00634C7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2DA2" w:rsidTr="000825CB">
      <w:tc>
        <w:tcPr>
          <w:tcW w:w="1384" w:type="dxa"/>
          <w:tcBorders>
            <w:top w:val="nil"/>
            <w:left w:val="nil"/>
            <w:bottom w:val="nil"/>
            <w:right w:val="nil"/>
          </w:tcBorders>
        </w:tcPr>
        <w:p w:rsidR="00C22DA2" w:rsidRDefault="00C22DA2" w:rsidP="000825CB">
          <w:pPr>
            <w:spacing w:line="0" w:lineRule="atLeast"/>
            <w:rPr>
              <w:sz w:val="18"/>
            </w:rPr>
          </w:pPr>
        </w:p>
      </w:tc>
      <w:tc>
        <w:tcPr>
          <w:tcW w:w="6379" w:type="dxa"/>
          <w:tcBorders>
            <w:top w:val="nil"/>
            <w:left w:val="nil"/>
            <w:bottom w:val="nil"/>
            <w:right w:val="nil"/>
          </w:tcBorders>
        </w:tcPr>
        <w:p w:rsidR="00C22DA2" w:rsidRDefault="00C22DA2" w:rsidP="000825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709" w:type="dxa"/>
          <w:tcBorders>
            <w:top w:val="nil"/>
            <w:left w:val="nil"/>
            <w:bottom w:val="nil"/>
            <w:right w:val="nil"/>
          </w:tcBorders>
        </w:tcPr>
        <w:p w:rsidR="00C22DA2" w:rsidRDefault="00C22DA2" w:rsidP="000825C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068A">
            <w:rPr>
              <w:i/>
              <w:noProof/>
              <w:sz w:val="18"/>
            </w:rPr>
            <w:t>23</w:t>
          </w:r>
          <w:r w:rsidRPr="00ED79B6">
            <w:rPr>
              <w:i/>
              <w:sz w:val="18"/>
            </w:rPr>
            <w:fldChar w:fldCharType="end"/>
          </w:r>
        </w:p>
      </w:tc>
    </w:tr>
  </w:tbl>
  <w:p w:rsidR="00C22DA2" w:rsidRPr="004B3AF0" w:rsidRDefault="004B3AF0" w:rsidP="004B3AF0">
    <w:pPr>
      <w:rPr>
        <w:rFonts w:cs="Times New Roman"/>
        <w:i/>
        <w:sz w:val="18"/>
      </w:rPr>
    </w:pPr>
    <w:r w:rsidRPr="004B3AF0">
      <w:rPr>
        <w:rFonts w:cs="Times New Roman"/>
        <w:i/>
        <w:sz w:val="18"/>
      </w:rPr>
      <w:t>OPC62434 - C</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E33C1C" w:rsidRDefault="00C22DA2"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2DA2" w:rsidTr="00B33709">
      <w:tc>
        <w:tcPr>
          <w:tcW w:w="1384" w:type="dxa"/>
          <w:tcBorders>
            <w:top w:val="nil"/>
            <w:left w:val="nil"/>
            <w:bottom w:val="nil"/>
            <w:right w:val="nil"/>
          </w:tcBorders>
        </w:tcPr>
        <w:p w:rsidR="00C22DA2" w:rsidRDefault="00C22DA2" w:rsidP="000825CB">
          <w:pPr>
            <w:spacing w:line="0" w:lineRule="atLeast"/>
            <w:rPr>
              <w:sz w:val="18"/>
            </w:rPr>
          </w:pPr>
        </w:p>
      </w:tc>
      <w:tc>
        <w:tcPr>
          <w:tcW w:w="6379" w:type="dxa"/>
          <w:tcBorders>
            <w:top w:val="nil"/>
            <w:left w:val="nil"/>
            <w:bottom w:val="nil"/>
            <w:right w:val="nil"/>
          </w:tcBorders>
        </w:tcPr>
        <w:p w:rsidR="00C22DA2" w:rsidRDefault="00C22DA2" w:rsidP="000825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709" w:type="dxa"/>
          <w:tcBorders>
            <w:top w:val="nil"/>
            <w:left w:val="nil"/>
            <w:bottom w:val="nil"/>
            <w:right w:val="nil"/>
          </w:tcBorders>
        </w:tcPr>
        <w:p w:rsidR="00C22DA2" w:rsidRDefault="00C22DA2" w:rsidP="000825C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068A">
            <w:rPr>
              <w:i/>
              <w:noProof/>
              <w:sz w:val="18"/>
            </w:rPr>
            <w:t>23</w:t>
          </w:r>
          <w:r w:rsidRPr="00ED79B6">
            <w:rPr>
              <w:i/>
              <w:sz w:val="18"/>
            </w:rPr>
            <w:fldChar w:fldCharType="end"/>
          </w:r>
        </w:p>
      </w:tc>
    </w:tr>
  </w:tbl>
  <w:p w:rsidR="00C22DA2" w:rsidRPr="004B3AF0" w:rsidRDefault="004B3AF0" w:rsidP="004B3AF0">
    <w:pPr>
      <w:rPr>
        <w:rFonts w:cs="Times New Roman"/>
        <w:i/>
        <w:sz w:val="18"/>
      </w:rPr>
    </w:pPr>
    <w:r w:rsidRPr="004B3AF0">
      <w:rPr>
        <w:rFonts w:cs="Times New Roman"/>
        <w:i/>
        <w:sz w:val="18"/>
      </w:rPr>
      <w:t>OPC62434 -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Default="00C22DA2" w:rsidP="00634C77">
    <w:pPr>
      <w:pStyle w:val="Footer"/>
      <w:spacing w:before="120"/>
    </w:pPr>
  </w:p>
  <w:p w:rsidR="00C22DA2" w:rsidRPr="004B3AF0" w:rsidRDefault="004B3AF0" w:rsidP="004B3AF0">
    <w:pPr>
      <w:pStyle w:val="Footer"/>
      <w:rPr>
        <w:i/>
        <w:sz w:val="18"/>
      </w:rPr>
    </w:pPr>
    <w:r w:rsidRPr="004B3AF0">
      <w:rPr>
        <w:i/>
        <w:sz w:val="18"/>
      </w:rPr>
      <w:t>OPC62434 -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4B3AF0" w:rsidRDefault="004B3AF0" w:rsidP="004B3AF0">
    <w:pPr>
      <w:pStyle w:val="Footer"/>
      <w:tabs>
        <w:tab w:val="clear" w:pos="4153"/>
        <w:tab w:val="clear" w:pos="8306"/>
        <w:tab w:val="center" w:pos="4150"/>
        <w:tab w:val="right" w:pos="8307"/>
      </w:tabs>
      <w:spacing w:before="120"/>
      <w:rPr>
        <w:i/>
        <w:sz w:val="18"/>
      </w:rPr>
    </w:pPr>
    <w:r w:rsidRPr="004B3AF0">
      <w:rPr>
        <w:i/>
        <w:sz w:val="18"/>
      </w:rPr>
      <w:t>OPC62434 - 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E33C1C" w:rsidRDefault="00C22DA2" w:rsidP="00634C7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2DA2" w:rsidTr="000E363C">
      <w:tc>
        <w:tcPr>
          <w:tcW w:w="709" w:type="dxa"/>
          <w:tcBorders>
            <w:top w:val="nil"/>
            <w:left w:val="nil"/>
            <w:bottom w:val="nil"/>
            <w:right w:val="nil"/>
          </w:tcBorders>
        </w:tcPr>
        <w:p w:rsidR="00C22DA2" w:rsidRDefault="00C22DA2" w:rsidP="000825C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068A">
            <w:rPr>
              <w:i/>
              <w:noProof/>
              <w:sz w:val="18"/>
            </w:rPr>
            <w:t>xxiii</w:t>
          </w:r>
          <w:r w:rsidRPr="00ED79B6">
            <w:rPr>
              <w:i/>
              <w:sz w:val="18"/>
            </w:rPr>
            <w:fldChar w:fldCharType="end"/>
          </w:r>
        </w:p>
      </w:tc>
      <w:tc>
        <w:tcPr>
          <w:tcW w:w="6379" w:type="dxa"/>
          <w:tcBorders>
            <w:top w:val="nil"/>
            <w:left w:val="nil"/>
            <w:bottom w:val="nil"/>
            <w:right w:val="nil"/>
          </w:tcBorders>
        </w:tcPr>
        <w:p w:rsidR="00C22DA2" w:rsidRDefault="00C22DA2" w:rsidP="000825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1384" w:type="dxa"/>
          <w:tcBorders>
            <w:top w:val="nil"/>
            <w:left w:val="nil"/>
            <w:bottom w:val="nil"/>
            <w:right w:val="nil"/>
          </w:tcBorders>
        </w:tcPr>
        <w:p w:rsidR="00C22DA2" w:rsidRDefault="00C22DA2" w:rsidP="000825CB">
          <w:pPr>
            <w:spacing w:line="0" w:lineRule="atLeast"/>
            <w:jc w:val="right"/>
            <w:rPr>
              <w:sz w:val="18"/>
            </w:rPr>
          </w:pPr>
        </w:p>
      </w:tc>
    </w:tr>
  </w:tbl>
  <w:p w:rsidR="00C22DA2" w:rsidRPr="004B3AF0" w:rsidRDefault="004B3AF0" w:rsidP="004B3AF0">
    <w:pPr>
      <w:rPr>
        <w:rFonts w:cs="Times New Roman"/>
        <w:i/>
        <w:sz w:val="18"/>
      </w:rPr>
    </w:pPr>
    <w:r w:rsidRPr="004B3AF0">
      <w:rPr>
        <w:rFonts w:cs="Times New Roman"/>
        <w:i/>
        <w:sz w:val="18"/>
      </w:rPr>
      <w:t>OPC62434 -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E33C1C" w:rsidRDefault="00C22DA2" w:rsidP="00634C77">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C22DA2" w:rsidTr="00B33709">
      <w:tc>
        <w:tcPr>
          <w:tcW w:w="1383" w:type="dxa"/>
          <w:tcBorders>
            <w:top w:val="nil"/>
            <w:left w:val="nil"/>
            <w:bottom w:val="nil"/>
            <w:right w:val="nil"/>
          </w:tcBorders>
        </w:tcPr>
        <w:p w:rsidR="00C22DA2" w:rsidRDefault="00C22DA2" w:rsidP="000825CB">
          <w:pPr>
            <w:spacing w:line="0" w:lineRule="atLeast"/>
            <w:rPr>
              <w:sz w:val="18"/>
            </w:rPr>
          </w:pPr>
        </w:p>
      </w:tc>
      <w:tc>
        <w:tcPr>
          <w:tcW w:w="6380" w:type="dxa"/>
          <w:tcBorders>
            <w:top w:val="nil"/>
            <w:left w:val="nil"/>
            <w:bottom w:val="nil"/>
            <w:right w:val="nil"/>
          </w:tcBorders>
        </w:tcPr>
        <w:p w:rsidR="00C22DA2" w:rsidRDefault="00C22DA2" w:rsidP="000825C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709" w:type="dxa"/>
          <w:tcBorders>
            <w:top w:val="nil"/>
            <w:left w:val="nil"/>
            <w:bottom w:val="nil"/>
            <w:right w:val="nil"/>
          </w:tcBorders>
        </w:tcPr>
        <w:p w:rsidR="00C22DA2" w:rsidRDefault="00C22DA2" w:rsidP="000825C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2806">
            <w:rPr>
              <w:i/>
              <w:noProof/>
              <w:sz w:val="18"/>
            </w:rPr>
            <w:t>i</w:t>
          </w:r>
          <w:r w:rsidRPr="00ED79B6">
            <w:rPr>
              <w:i/>
              <w:sz w:val="18"/>
            </w:rPr>
            <w:fldChar w:fldCharType="end"/>
          </w:r>
        </w:p>
      </w:tc>
    </w:tr>
  </w:tbl>
  <w:p w:rsidR="00C22DA2" w:rsidRPr="004B3AF0" w:rsidRDefault="004B3AF0" w:rsidP="004B3AF0">
    <w:pPr>
      <w:rPr>
        <w:rFonts w:cs="Times New Roman"/>
        <w:i/>
        <w:sz w:val="18"/>
      </w:rPr>
    </w:pPr>
    <w:r w:rsidRPr="004B3AF0">
      <w:rPr>
        <w:rFonts w:cs="Times New Roman"/>
        <w:i/>
        <w:sz w:val="18"/>
      </w:rPr>
      <w:t>OPC62434 -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D1021D" w:rsidRDefault="00C22DA2" w:rsidP="00634C7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2DA2" w:rsidTr="000E363C">
      <w:tc>
        <w:tcPr>
          <w:tcW w:w="709" w:type="dxa"/>
          <w:tcBorders>
            <w:top w:val="nil"/>
            <w:left w:val="nil"/>
            <w:bottom w:val="nil"/>
            <w:right w:val="nil"/>
          </w:tcBorders>
        </w:tcPr>
        <w:p w:rsidR="00C22DA2" w:rsidRDefault="00C22DA2" w:rsidP="00AB556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2806">
            <w:rPr>
              <w:i/>
              <w:noProof/>
              <w:sz w:val="18"/>
            </w:rPr>
            <w:t>22</w:t>
          </w:r>
          <w:r w:rsidRPr="00ED79B6">
            <w:rPr>
              <w:i/>
              <w:sz w:val="18"/>
            </w:rPr>
            <w:fldChar w:fldCharType="end"/>
          </w:r>
        </w:p>
      </w:tc>
      <w:tc>
        <w:tcPr>
          <w:tcW w:w="6379" w:type="dxa"/>
          <w:tcBorders>
            <w:top w:val="nil"/>
            <w:left w:val="nil"/>
            <w:bottom w:val="nil"/>
            <w:right w:val="nil"/>
          </w:tcBorders>
        </w:tcPr>
        <w:p w:rsidR="00C22DA2" w:rsidRDefault="00C22DA2" w:rsidP="00AB55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1384" w:type="dxa"/>
          <w:tcBorders>
            <w:top w:val="nil"/>
            <w:left w:val="nil"/>
            <w:bottom w:val="nil"/>
            <w:right w:val="nil"/>
          </w:tcBorders>
        </w:tcPr>
        <w:p w:rsidR="00C22DA2" w:rsidRDefault="00C22DA2" w:rsidP="00AB556B">
          <w:pPr>
            <w:spacing w:line="0" w:lineRule="atLeast"/>
            <w:jc w:val="right"/>
            <w:rPr>
              <w:sz w:val="18"/>
            </w:rPr>
          </w:pPr>
        </w:p>
      </w:tc>
    </w:tr>
  </w:tbl>
  <w:p w:rsidR="00C22DA2" w:rsidRPr="004B3AF0" w:rsidRDefault="004B3AF0" w:rsidP="004B3AF0">
    <w:pPr>
      <w:rPr>
        <w:rFonts w:cs="Times New Roman"/>
        <w:i/>
        <w:sz w:val="18"/>
      </w:rPr>
    </w:pPr>
    <w:r w:rsidRPr="004B3AF0">
      <w:rPr>
        <w:rFonts w:cs="Times New Roman"/>
        <w:i/>
        <w:sz w:val="18"/>
      </w:rPr>
      <w:t>OPC62434 -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D1021D" w:rsidRDefault="00C22DA2" w:rsidP="00634C77">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2DA2" w:rsidTr="0046303A">
      <w:tc>
        <w:tcPr>
          <w:tcW w:w="1384" w:type="dxa"/>
          <w:tcBorders>
            <w:top w:val="nil"/>
            <w:left w:val="nil"/>
            <w:bottom w:val="nil"/>
            <w:right w:val="nil"/>
          </w:tcBorders>
        </w:tcPr>
        <w:p w:rsidR="00C22DA2" w:rsidRDefault="00C22DA2" w:rsidP="0046303A">
          <w:pPr>
            <w:spacing w:line="0" w:lineRule="atLeast"/>
            <w:rPr>
              <w:sz w:val="18"/>
            </w:rPr>
          </w:pPr>
        </w:p>
      </w:tc>
      <w:tc>
        <w:tcPr>
          <w:tcW w:w="6379" w:type="dxa"/>
          <w:tcBorders>
            <w:top w:val="nil"/>
            <w:left w:val="nil"/>
            <w:bottom w:val="nil"/>
            <w:right w:val="nil"/>
          </w:tcBorders>
        </w:tcPr>
        <w:p w:rsidR="00C22DA2" w:rsidRDefault="00C22DA2" w:rsidP="0046303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709" w:type="dxa"/>
          <w:tcBorders>
            <w:top w:val="nil"/>
            <w:left w:val="nil"/>
            <w:bottom w:val="nil"/>
            <w:right w:val="nil"/>
          </w:tcBorders>
        </w:tcPr>
        <w:p w:rsidR="00C22DA2" w:rsidRDefault="00C22DA2" w:rsidP="0046303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2806">
            <w:rPr>
              <w:i/>
              <w:noProof/>
              <w:sz w:val="18"/>
            </w:rPr>
            <w:t>1</w:t>
          </w:r>
          <w:r w:rsidRPr="00ED79B6">
            <w:rPr>
              <w:i/>
              <w:sz w:val="18"/>
            </w:rPr>
            <w:fldChar w:fldCharType="end"/>
          </w:r>
        </w:p>
      </w:tc>
    </w:tr>
  </w:tbl>
  <w:p w:rsidR="00C22DA2" w:rsidRPr="004B3AF0" w:rsidRDefault="004B3AF0" w:rsidP="004B3AF0">
    <w:pPr>
      <w:rPr>
        <w:rFonts w:cs="Times New Roman"/>
        <w:i/>
        <w:sz w:val="18"/>
      </w:rPr>
    </w:pPr>
    <w:r w:rsidRPr="004B3AF0">
      <w:rPr>
        <w:rFonts w:cs="Times New Roman"/>
        <w:i/>
        <w:sz w:val="18"/>
      </w:rPr>
      <w:t>OPC62434 -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E33C1C" w:rsidRDefault="00C22DA2" w:rsidP="00634C77">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22DA2" w:rsidTr="00AB556B">
      <w:tc>
        <w:tcPr>
          <w:tcW w:w="1384" w:type="dxa"/>
          <w:tcBorders>
            <w:top w:val="nil"/>
            <w:left w:val="nil"/>
            <w:bottom w:val="nil"/>
            <w:right w:val="nil"/>
          </w:tcBorders>
        </w:tcPr>
        <w:p w:rsidR="00C22DA2" w:rsidRDefault="00C22DA2" w:rsidP="00AB556B">
          <w:pPr>
            <w:spacing w:line="0" w:lineRule="atLeast"/>
            <w:rPr>
              <w:sz w:val="18"/>
            </w:rPr>
          </w:pPr>
        </w:p>
      </w:tc>
      <w:tc>
        <w:tcPr>
          <w:tcW w:w="6379" w:type="dxa"/>
          <w:tcBorders>
            <w:top w:val="nil"/>
            <w:left w:val="nil"/>
            <w:bottom w:val="nil"/>
            <w:right w:val="nil"/>
          </w:tcBorders>
        </w:tcPr>
        <w:p w:rsidR="00C22DA2" w:rsidRDefault="00C22DA2" w:rsidP="00AB556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709" w:type="dxa"/>
          <w:tcBorders>
            <w:top w:val="nil"/>
            <w:left w:val="nil"/>
            <w:bottom w:val="nil"/>
            <w:right w:val="nil"/>
          </w:tcBorders>
        </w:tcPr>
        <w:p w:rsidR="00C22DA2" w:rsidRDefault="00C22DA2" w:rsidP="00AB556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9068A">
            <w:rPr>
              <w:i/>
              <w:noProof/>
              <w:sz w:val="18"/>
            </w:rPr>
            <w:t>23</w:t>
          </w:r>
          <w:r w:rsidRPr="00ED79B6">
            <w:rPr>
              <w:i/>
              <w:sz w:val="18"/>
            </w:rPr>
            <w:fldChar w:fldCharType="end"/>
          </w:r>
        </w:p>
      </w:tc>
    </w:tr>
  </w:tbl>
  <w:p w:rsidR="00C22DA2" w:rsidRPr="00ED79B6" w:rsidRDefault="00C22DA2" w:rsidP="00634C77">
    <w:pPr>
      <w:rPr>
        <w:i/>
        <w:sz w:val="18"/>
      </w:rPr>
    </w:pPr>
  </w:p>
  <w:p w:rsidR="00C22DA2" w:rsidRPr="004B3AF0" w:rsidRDefault="004B3AF0" w:rsidP="004B3AF0">
    <w:pPr>
      <w:pStyle w:val="Footer"/>
      <w:rPr>
        <w:i/>
        <w:sz w:val="18"/>
      </w:rPr>
    </w:pPr>
    <w:r w:rsidRPr="004B3AF0">
      <w:rPr>
        <w:i/>
        <w:sz w:val="18"/>
      </w:rPr>
      <w:t>OPC62434 - 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FF448D" w:rsidRDefault="00C22DA2" w:rsidP="00801635">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22DA2" w:rsidTr="000E363C">
      <w:tc>
        <w:tcPr>
          <w:tcW w:w="709" w:type="dxa"/>
          <w:tcBorders>
            <w:top w:val="nil"/>
            <w:left w:val="nil"/>
            <w:bottom w:val="nil"/>
            <w:right w:val="nil"/>
          </w:tcBorders>
        </w:tcPr>
        <w:p w:rsidR="00C22DA2" w:rsidRDefault="00C22DA2" w:rsidP="0046303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2806">
            <w:rPr>
              <w:i/>
              <w:noProof/>
              <w:sz w:val="18"/>
            </w:rPr>
            <w:t>26</w:t>
          </w:r>
          <w:r w:rsidRPr="00ED79B6">
            <w:rPr>
              <w:i/>
              <w:sz w:val="18"/>
            </w:rPr>
            <w:fldChar w:fldCharType="end"/>
          </w:r>
        </w:p>
      </w:tc>
      <w:tc>
        <w:tcPr>
          <w:tcW w:w="6379" w:type="dxa"/>
          <w:tcBorders>
            <w:top w:val="nil"/>
            <w:left w:val="nil"/>
            <w:bottom w:val="nil"/>
            <w:right w:val="nil"/>
          </w:tcBorders>
        </w:tcPr>
        <w:p w:rsidR="00C22DA2" w:rsidRDefault="00C22DA2" w:rsidP="0046303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068A">
            <w:rPr>
              <w:i/>
              <w:sz w:val="18"/>
            </w:rPr>
            <w:t>Petroleum and Other Fuels Reporting Rules 2017</w:t>
          </w:r>
          <w:r w:rsidRPr="007A1328">
            <w:rPr>
              <w:i/>
              <w:sz w:val="18"/>
            </w:rPr>
            <w:fldChar w:fldCharType="end"/>
          </w:r>
        </w:p>
      </w:tc>
      <w:tc>
        <w:tcPr>
          <w:tcW w:w="1384" w:type="dxa"/>
          <w:tcBorders>
            <w:top w:val="nil"/>
            <w:left w:val="nil"/>
            <w:bottom w:val="nil"/>
            <w:right w:val="nil"/>
          </w:tcBorders>
        </w:tcPr>
        <w:p w:rsidR="00C22DA2" w:rsidRDefault="00C22DA2" w:rsidP="0046303A">
          <w:pPr>
            <w:spacing w:line="0" w:lineRule="atLeast"/>
            <w:jc w:val="right"/>
            <w:rPr>
              <w:sz w:val="18"/>
            </w:rPr>
          </w:pPr>
        </w:p>
      </w:tc>
    </w:tr>
  </w:tbl>
  <w:p w:rsidR="00C22DA2" w:rsidRPr="004B3AF0" w:rsidRDefault="004B3AF0" w:rsidP="004B3AF0">
    <w:pPr>
      <w:rPr>
        <w:rFonts w:cs="Times New Roman"/>
        <w:i/>
        <w:sz w:val="18"/>
      </w:rPr>
    </w:pPr>
    <w:r w:rsidRPr="004B3AF0">
      <w:rPr>
        <w:rFonts w:cs="Times New Roman"/>
        <w:i/>
        <w:sz w:val="18"/>
      </w:rPr>
      <w:t>OPC62434 -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DA2" w:rsidRDefault="00C22DA2" w:rsidP="00715914">
      <w:pPr>
        <w:spacing w:line="240" w:lineRule="auto"/>
      </w:pPr>
      <w:r>
        <w:separator/>
      </w:r>
    </w:p>
  </w:footnote>
  <w:footnote w:type="continuationSeparator" w:id="0">
    <w:p w:rsidR="00C22DA2" w:rsidRDefault="00C22DA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5F1388" w:rsidRDefault="00C22DA2"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D1021D" w:rsidRDefault="00C22DA2">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CE2806">
      <w:rPr>
        <w:noProof/>
        <w:sz w:val="20"/>
      </w:rPr>
      <w:t>Categories and subcategories of covered product</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CE2806">
      <w:rPr>
        <w:b/>
        <w:noProof/>
        <w:sz w:val="20"/>
      </w:rPr>
      <w:t>Schedule 1</w:t>
    </w:r>
    <w:r w:rsidRPr="00D1021D">
      <w:rPr>
        <w:b/>
        <w:sz w:val="20"/>
      </w:rPr>
      <w:fldChar w:fldCharType="end"/>
    </w:r>
  </w:p>
  <w:p w:rsidR="00C22DA2" w:rsidRPr="00D1021D" w:rsidRDefault="00C22DA2">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C22DA2" w:rsidRPr="00D1021D" w:rsidRDefault="00C22DA2">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C22DA2" w:rsidRPr="00D1021D" w:rsidRDefault="00C22DA2" w:rsidP="00801635">
    <w:pPr>
      <w:pBdr>
        <w:bottom w:val="single" w:sz="6" w:space="1" w:color="auto"/>
      </w:pBdr>
      <w:spacing w:after="12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Default="00C22DA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Default="00C22DA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89068A">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89068A">
      <w:rPr>
        <w:noProof/>
        <w:sz w:val="20"/>
      </w:rPr>
      <w:t>Categories and subcategories of covered product</w:t>
    </w:r>
    <w:r>
      <w:rPr>
        <w:sz w:val="20"/>
      </w:rPr>
      <w:fldChar w:fldCharType="end"/>
    </w:r>
  </w:p>
  <w:p w:rsidR="00C22DA2" w:rsidRDefault="00C22DA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22DA2" w:rsidRPr="007A1328" w:rsidRDefault="00C22DA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22DA2" w:rsidRPr="007A1328" w:rsidRDefault="00C22DA2" w:rsidP="00715914">
    <w:pPr>
      <w:rPr>
        <w:b/>
        <w:sz w:val="24"/>
      </w:rPr>
    </w:pPr>
  </w:p>
  <w:p w:rsidR="00C22DA2" w:rsidRPr="007A1328" w:rsidRDefault="00C22DA2" w:rsidP="00634C7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9068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9068A">
      <w:rPr>
        <w:noProof/>
        <w:sz w:val="24"/>
      </w:rPr>
      <w:t>1</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7A1328" w:rsidRDefault="00C22DA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9068A">
      <w:rPr>
        <w:noProof/>
        <w:sz w:val="20"/>
      </w:rPr>
      <w:t>Categories and subcategories of covered product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9068A">
      <w:rPr>
        <w:b/>
        <w:noProof/>
        <w:sz w:val="20"/>
      </w:rPr>
      <w:t>Schedule 1</w:t>
    </w:r>
    <w:r>
      <w:rPr>
        <w:b/>
        <w:sz w:val="20"/>
      </w:rPr>
      <w:fldChar w:fldCharType="end"/>
    </w:r>
  </w:p>
  <w:p w:rsidR="00C22DA2" w:rsidRPr="007A1328" w:rsidRDefault="00C22DA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22DA2" w:rsidRPr="007A1328" w:rsidRDefault="00C22DA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22DA2" w:rsidRPr="007A1328" w:rsidRDefault="00C22DA2" w:rsidP="00715914">
    <w:pPr>
      <w:jc w:val="right"/>
      <w:rPr>
        <w:b/>
        <w:sz w:val="24"/>
      </w:rPr>
    </w:pPr>
  </w:p>
  <w:p w:rsidR="00C22DA2" w:rsidRPr="007A1328" w:rsidRDefault="00C22DA2" w:rsidP="00634C7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9068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9068A">
      <w:rPr>
        <w:noProof/>
        <w:sz w:val="24"/>
      </w:rPr>
      <w:t>1</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7A1328" w:rsidRDefault="00C22DA2"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5F1388" w:rsidRDefault="00C22DA2"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5F1388" w:rsidRDefault="00C22DA2"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ED79B6" w:rsidRDefault="00C22DA2"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ED79B6" w:rsidRDefault="00C22DA2"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ED79B6" w:rsidRDefault="00C22DA2"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D1021D" w:rsidRDefault="00C22DA2">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C22DA2" w:rsidRPr="00D1021D" w:rsidRDefault="00C22DA2">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CE2806">
      <w:rPr>
        <w:b/>
        <w:noProof/>
        <w:sz w:val="20"/>
      </w:rPr>
      <w:t>Part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CE2806">
      <w:rPr>
        <w:noProof/>
        <w:sz w:val="20"/>
      </w:rPr>
      <w:t>Application and transitional provisions</w:t>
    </w:r>
    <w:r w:rsidRPr="00D1021D">
      <w:rPr>
        <w:sz w:val="20"/>
      </w:rPr>
      <w:fldChar w:fldCharType="end"/>
    </w:r>
  </w:p>
  <w:p w:rsidR="00C22DA2" w:rsidRPr="00D1021D" w:rsidRDefault="00C22DA2">
    <w:pPr>
      <w:rPr>
        <w:sz w:val="20"/>
      </w:rPr>
    </w:pPr>
    <w:r w:rsidRPr="00D1021D">
      <w:rPr>
        <w:b/>
        <w:sz w:val="20"/>
      </w:rPr>
      <w:fldChar w:fldCharType="begin"/>
    </w:r>
    <w:r w:rsidRPr="00D1021D">
      <w:rPr>
        <w:b/>
        <w:sz w:val="20"/>
      </w:rPr>
      <w:instrText xml:space="preserve"> STYLEREF CharDivNo </w:instrText>
    </w:r>
    <w:r w:rsidRPr="00D1021D">
      <w:rPr>
        <w:b/>
        <w:sz w:val="20"/>
      </w:rPr>
      <w:fldChar w:fldCharType="separate"/>
    </w:r>
    <w:r w:rsidR="00CE2806">
      <w:rPr>
        <w:b/>
        <w:noProof/>
        <w:sz w:val="20"/>
      </w:rPr>
      <w:t>Division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separate"/>
    </w:r>
    <w:r w:rsidR="00CE2806">
      <w:rPr>
        <w:noProof/>
        <w:sz w:val="20"/>
      </w:rPr>
      <w:t>Application of this instrument</w:t>
    </w:r>
    <w:r w:rsidRPr="00D1021D">
      <w:rPr>
        <w:sz w:val="20"/>
      </w:rPr>
      <w:fldChar w:fldCharType="end"/>
    </w:r>
  </w:p>
  <w:p w:rsidR="00C22DA2" w:rsidRPr="00D1021D" w:rsidRDefault="00C22DA2">
    <w:pPr>
      <w:rPr>
        <w:b/>
      </w:rPr>
    </w:pPr>
  </w:p>
  <w:p w:rsidR="00C22DA2" w:rsidRPr="00D1021D" w:rsidRDefault="00C22DA2" w:rsidP="00634C77">
    <w:pPr>
      <w:pBdr>
        <w:bottom w:val="single" w:sz="6" w:space="1" w:color="auto"/>
      </w:pBdr>
      <w:spacing w:after="120"/>
    </w:pPr>
    <w:r w:rsidRPr="00D1021D">
      <w:rPr>
        <w:sz w:val="24"/>
      </w:rPr>
      <w:fldChar w:fldCharType="begin"/>
    </w:r>
    <w:r w:rsidRPr="00D1021D">
      <w:rPr>
        <w:sz w:val="24"/>
      </w:rPr>
      <w:instrText xml:space="preserve"> DOCPROPERTY  Header </w:instrText>
    </w:r>
    <w:r w:rsidRPr="00D1021D">
      <w:rPr>
        <w:sz w:val="24"/>
      </w:rPr>
      <w:fldChar w:fldCharType="separate"/>
    </w:r>
    <w:r w:rsidR="0089068A">
      <w:rPr>
        <w:sz w:val="24"/>
      </w:rPr>
      <w:t>Section</w:t>
    </w:r>
    <w:r w:rsidRPr="00D1021D">
      <w:rPr>
        <w:sz w:val="24"/>
      </w:rPr>
      <w:fldChar w:fldCharType="end"/>
    </w:r>
    <w:r w:rsidRPr="00D1021D">
      <w:t xml:space="preserve"> </w:t>
    </w:r>
    <w:fldSimple w:instr=" STYLEREF CharSectno ">
      <w:r w:rsidR="00CE2806">
        <w:rPr>
          <w:noProof/>
        </w:rPr>
        <w:t>21</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D1021D" w:rsidRDefault="00C22DA2">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end"/>
    </w:r>
  </w:p>
  <w:p w:rsidR="00C22DA2" w:rsidRPr="00D1021D" w:rsidRDefault="00C22DA2">
    <w:pPr>
      <w:jc w:val="right"/>
      <w:rPr>
        <w:b/>
        <w:sz w:val="20"/>
      </w:rPr>
    </w:pPr>
    <w:r w:rsidRPr="00D1021D">
      <w:rPr>
        <w:sz w:val="20"/>
      </w:rPr>
      <w:fldChar w:fldCharType="begin"/>
    </w:r>
    <w:r w:rsidRPr="00D1021D">
      <w:rPr>
        <w:sz w:val="20"/>
      </w:rPr>
      <w:instrText xml:space="preserve"> STYLEREF CharPartText </w:instrText>
    </w:r>
    <w:r w:rsidR="00CE2806">
      <w:rPr>
        <w:sz w:val="20"/>
      </w:rPr>
      <w:fldChar w:fldCharType="separate"/>
    </w:r>
    <w:r w:rsidR="00CE2806">
      <w:rPr>
        <w:noProof/>
        <w:sz w:val="20"/>
      </w:rPr>
      <w:t>Preliminary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CE2806">
      <w:rPr>
        <w:b/>
        <w:sz w:val="20"/>
      </w:rPr>
      <w:fldChar w:fldCharType="separate"/>
    </w:r>
    <w:r w:rsidR="00CE2806">
      <w:rPr>
        <w:b/>
        <w:noProof/>
        <w:sz w:val="20"/>
      </w:rPr>
      <w:t>Part 1</w:t>
    </w:r>
    <w:r w:rsidRPr="00D1021D">
      <w:rPr>
        <w:b/>
        <w:sz w:val="20"/>
      </w:rPr>
      <w:fldChar w:fldCharType="end"/>
    </w:r>
  </w:p>
  <w:p w:rsidR="00C22DA2" w:rsidRPr="00D1021D" w:rsidRDefault="00C22DA2">
    <w:pPr>
      <w:jc w:val="right"/>
      <w:rPr>
        <w:sz w:val="20"/>
      </w:rPr>
    </w:pPr>
    <w:r w:rsidRPr="00D1021D">
      <w:rPr>
        <w:sz w:val="20"/>
      </w:rPr>
      <w:fldChar w:fldCharType="begin"/>
    </w:r>
    <w:r w:rsidRPr="00D1021D">
      <w:rPr>
        <w:sz w:val="20"/>
      </w:rPr>
      <w:instrText xml:space="preserve"> STYLEREF CharDivText </w:instrText>
    </w:r>
    <w:r w:rsidR="00CE2806">
      <w:rPr>
        <w:sz w:val="20"/>
      </w:rPr>
      <w:fldChar w:fldCharType="separate"/>
    </w:r>
    <w:r w:rsidR="00CE2806">
      <w:rPr>
        <w:noProof/>
        <w:sz w:val="20"/>
      </w:rPr>
      <w:t>Preliminary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00CE2806">
      <w:rPr>
        <w:b/>
        <w:sz w:val="20"/>
      </w:rPr>
      <w:fldChar w:fldCharType="separate"/>
    </w:r>
    <w:r w:rsidR="00CE2806">
      <w:rPr>
        <w:b/>
        <w:noProof/>
        <w:sz w:val="20"/>
      </w:rPr>
      <w:t>Division 1</w:t>
    </w:r>
    <w:r w:rsidRPr="00D1021D">
      <w:rPr>
        <w:b/>
        <w:sz w:val="20"/>
      </w:rPr>
      <w:fldChar w:fldCharType="end"/>
    </w:r>
  </w:p>
  <w:p w:rsidR="00C22DA2" w:rsidRPr="00D1021D" w:rsidRDefault="00C22DA2">
    <w:pPr>
      <w:jc w:val="right"/>
      <w:rPr>
        <w:b/>
      </w:rPr>
    </w:pPr>
  </w:p>
  <w:p w:rsidR="00C22DA2" w:rsidRDefault="00C22DA2" w:rsidP="00634C77">
    <w:pPr>
      <w:pBdr>
        <w:bottom w:val="single" w:sz="6" w:space="1" w:color="auto"/>
      </w:pBdr>
      <w:spacing w:after="120"/>
      <w:jc w:val="right"/>
    </w:pPr>
    <w:r w:rsidRPr="00D1021D">
      <w:rPr>
        <w:sz w:val="24"/>
      </w:rPr>
      <w:fldChar w:fldCharType="begin"/>
    </w:r>
    <w:r w:rsidRPr="00D1021D">
      <w:rPr>
        <w:sz w:val="24"/>
      </w:rPr>
      <w:instrText xml:space="preserve"> DOCPROPERTY  Header </w:instrText>
    </w:r>
    <w:r w:rsidRPr="00D1021D">
      <w:rPr>
        <w:sz w:val="24"/>
      </w:rPr>
      <w:fldChar w:fldCharType="separate"/>
    </w:r>
    <w:r w:rsidR="0089068A">
      <w:rPr>
        <w:sz w:val="24"/>
      </w:rPr>
      <w:t>Section</w:t>
    </w:r>
    <w:r w:rsidRPr="00D1021D">
      <w:rPr>
        <w:sz w:val="24"/>
      </w:rPr>
      <w:fldChar w:fldCharType="end"/>
    </w:r>
    <w:r w:rsidRPr="00D1021D">
      <w:t xml:space="preserve"> </w:t>
    </w:r>
    <w:fldSimple w:instr=" STYLEREF CharSectno ">
      <w:r w:rsidR="00CE2806">
        <w:rPr>
          <w:noProof/>
        </w:rPr>
        <w:t>1</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DA2" w:rsidRPr="00D1021D" w:rsidRDefault="00C22DA2">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CE2806">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CE2806">
      <w:rPr>
        <w:noProof/>
        <w:sz w:val="20"/>
      </w:rPr>
      <w:t>Categories and subcategories of covered product</w:t>
    </w:r>
    <w:r w:rsidRPr="00D1021D">
      <w:rPr>
        <w:sz w:val="20"/>
      </w:rPr>
      <w:fldChar w:fldCharType="end"/>
    </w:r>
  </w:p>
  <w:p w:rsidR="00C22DA2" w:rsidRPr="00D1021D" w:rsidRDefault="00C22DA2">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C22DA2" w:rsidRPr="00D1021D" w:rsidRDefault="00C22DA2">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C22DA2" w:rsidRPr="00D1021D" w:rsidRDefault="00C22DA2" w:rsidP="00801635">
    <w:pPr>
      <w:pBdr>
        <w:bottom w:val="single" w:sz="6" w:space="1" w:color="auto"/>
      </w:pBd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65456429"/>
    <w:multiLevelType w:val="multilevel"/>
    <w:tmpl w:val="E898CC72"/>
    <w:numStyleLink w:val="KeyPoints"/>
  </w:abstractNum>
  <w:abstractNum w:abstractNumId="13">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52"/>
    <w:rsid w:val="00003A5E"/>
    <w:rsid w:val="00004470"/>
    <w:rsid w:val="000136AF"/>
    <w:rsid w:val="000138E5"/>
    <w:rsid w:val="000150B5"/>
    <w:rsid w:val="00025723"/>
    <w:rsid w:val="00025DE1"/>
    <w:rsid w:val="0002631C"/>
    <w:rsid w:val="00026331"/>
    <w:rsid w:val="00030BA8"/>
    <w:rsid w:val="0003234A"/>
    <w:rsid w:val="00036276"/>
    <w:rsid w:val="0003738D"/>
    <w:rsid w:val="00040022"/>
    <w:rsid w:val="000437C1"/>
    <w:rsid w:val="00043A15"/>
    <w:rsid w:val="00047A8F"/>
    <w:rsid w:val="0005198C"/>
    <w:rsid w:val="0005365D"/>
    <w:rsid w:val="00054772"/>
    <w:rsid w:val="00055A28"/>
    <w:rsid w:val="00055B29"/>
    <w:rsid w:val="000609C3"/>
    <w:rsid w:val="000614BF"/>
    <w:rsid w:val="00070885"/>
    <w:rsid w:val="00070D2D"/>
    <w:rsid w:val="00074315"/>
    <w:rsid w:val="00075F98"/>
    <w:rsid w:val="00076BDB"/>
    <w:rsid w:val="00077280"/>
    <w:rsid w:val="00077527"/>
    <w:rsid w:val="000825CB"/>
    <w:rsid w:val="000849B7"/>
    <w:rsid w:val="00085DC4"/>
    <w:rsid w:val="00085FBE"/>
    <w:rsid w:val="000878DB"/>
    <w:rsid w:val="00087D09"/>
    <w:rsid w:val="00090A66"/>
    <w:rsid w:val="00090B73"/>
    <w:rsid w:val="0009136E"/>
    <w:rsid w:val="000942BC"/>
    <w:rsid w:val="000A1522"/>
    <w:rsid w:val="000A177F"/>
    <w:rsid w:val="000A2491"/>
    <w:rsid w:val="000A451E"/>
    <w:rsid w:val="000A5A2F"/>
    <w:rsid w:val="000A7858"/>
    <w:rsid w:val="000B112D"/>
    <w:rsid w:val="000B4A6C"/>
    <w:rsid w:val="000B58FA"/>
    <w:rsid w:val="000C0196"/>
    <w:rsid w:val="000C1C36"/>
    <w:rsid w:val="000C5157"/>
    <w:rsid w:val="000D05EF"/>
    <w:rsid w:val="000D0D8C"/>
    <w:rsid w:val="000D0F12"/>
    <w:rsid w:val="000D1912"/>
    <w:rsid w:val="000D3D09"/>
    <w:rsid w:val="000D45B2"/>
    <w:rsid w:val="000D4681"/>
    <w:rsid w:val="000D7D7C"/>
    <w:rsid w:val="000E2261"/>
    <w:rsid w:val="000E363C"/>
    <w:rsid w:val="000E71CF"/>
    <w:rsid w:val="000E7D4E"/>
    <w:rsid w:val="000F21C1"/>
    <w:rsid w:val="000F700A"/>
    <w:rsid w:val="000F73F8"/>
    <w:rsid w:val="00101D92"/>
    <w:rsid w:val="0010367D"/>
    <w:rsid w:val="00106AD4"/>
    <w:rsid w:val="0010745C"/>
    <w:rsid w:val="0010789A"/>
    <w:rsid w:val="00114A73"/>
    <w:rsid w:val="00117E7E"/>
    <w:rsid w:val="00123A50"/>
    <w:rsid w:val="00123F1B"/>
    <w:rsid w:val="0012461C"/>
    <w:rsid w:val="00131A5E"/>
    <w:rsid w:val="00132CEB"/>
    <w:rsid w:val="001343D9"/>
    <w:rsid w:val="001379CD"/>
    <w:rsid w:val="00142763"/>
    <w:rsid w:val="00142B62"/>
    <w:rsid w:val="001444D3"/>
    <w:rsid w:val="0014539C"/>
    <w:rsid w:val="00145A08"/>
    <w:rsid w:val="001465D2"/>
    <w:rsid w:val="00146ECF"/>
    <w:rsid w:val="001500CD"/>
    <w:rsid w:val="00152381"/>
    <w:rsid w:val="001537EE"/>
    <w:rsid w:val="0015444B"/>
    <w:rsid w:val="001575CC"/>
    <w:rsid w:val="00157B8B"/>
    <w:rsid w:val="00157E5A"/>
    <w:rsid w:val="0016525B"/>
    <w:rsid w:val="0016662B"/>
    <w:rsid w:val="00166C2F"/>
    <w:rsid w:val="001809D7"/>
    <w:rsid w:val="001848B6"/>
    <w:rsid w:val="00186986"/>
    <w:rsid w:val="00187B4C"/>
    <w:rsid w:val="00192145"/>
    <w:rsid w:val="00192639"/>
    <w:rsid w:val="001939E1"/>
    <w:rsid w:val="00194707"/>
    <w:rsid w:val="00194C3E"/>
    <w:rsid w:val="00195382"/>
    <w:rsid w:val="00197F0C"/>
    <w:rsid w:val="001A07EA"/>
    <w:rsid w:val="001A32E5"/>
    <w:rsid w:val="001A3854"/>
    <w:rsid w:val="001A5B10"/>
    <w:rsid w:val="001B31B3"/>
    <w:rsid w:val="001B5AC8"/>
    <w:rsid w:val="001B64F5"/>
    <w:rsid w:val="001B6EA7"/>
    <w:rsid w:val="001B7377"/>
    <w:rsid w:val="001C06B1"/>
    <w:rsid w:val="001C0779"/>
    <w:rsid w:val="001C0C72"/>
    <w:rsid w:val="001C1088"/>
    <w:rsid w:val="001C12F7"/>
    <w:rsid w:val="001C309A"/>
    <w:rsid w:val="001C5E5B"/>
    <w:rsid w:val="001C61C5"/>
    <w:rsid w:val="001C69C4"/>
    <w:rsid w:val="001C737A"/>
    <w:rsid w:val="001D0F49"/>
    <w:rsid w:val="001D2426"/>
    <w:rsid w:val="001D37EF"/>
    <w:rsid w:val="001D4B44"/>
    <w:rsid w:val="001D67C3"/>
    <w:rsid w:val="001E0617"/>
    <w:rsid w:val="001E12E8"/>
    <w:rsid w:val="001E3590"/>
    <w:rsid w:val="001E508D"/>
    <w:rsid w:val="001E68DF"/>
    <w:rsid w:val="001E7251"/>
    <w:rsid w:val="001E7407"/>
    <w:rsid w:val="001F16AC"/>
    <w:rsid w:val="001F412A"/>
    <w:rsid w:val="001F470A"/>
    <w:rsid w:val="001F5D5E"/>
    <w:rsid w:val="001F6219"/>
    <w:rsid w:val="001F6660"/>
    <w:rsid w:val="001F6CD4"/>
    <w:rsid w:val="00201239"/>
    <w:rsid w:val="00201877"/>
    <w:rsid w:val="00201CAF"/>
    <w:rsid w:val="00202B8E"/>
    <w:rsid w:val="00206215"/>
    <w:rsid w:val="00206C4D"/>
    <w:rsid w:val="0021053C"/>
    <w:rsid w:val="0021478C"/>
    <w:rsid w:val="00215AF1"/>
    <w:rsid w:val="00215D63"/>
    <w:rsid w:val="00216233"/>
    <w:rsid w:val="002168B2"/>
    <w:rsid w:val="00222E24"/>
    <w:rsid w:val="00224050"/>
    <w:rsid w:val="002251C9"/>
    <w:rsid w:val="002321E8"/>
    <w:rsid w:val="00233015"/>
    <w:rsid w:val="00233AEF"/>
    <w:rsid w:val="00233B56"/>
    <w:rsid w:val="00234E50"/>
    <w:rsid w:val="00236E1E"/>
    <w:rsid w:val="00236EEC"/>
    <w:rsid w:val="00237326"/>
    <w:rsid w:val="0024010F"/>
    <w:rsid w:val="00240749"/>
    <w:rsid w:val="00240A35"/>
    <w:rsid w:val="00240FEE"/>
    <w:rsid w:val="00242533"/>
    <w:rsid w:val="00243018"/>
    <w:rsid w:val="002500AF"/>
    <w:rsid w:val="0025440D"/>
    <w:rsid w:val="00254DA9"/>
    <w:rsid w:val="002557F0"/>
    <w:rsid w:val="00255AE4"/>
    <w:rsid w:val="002564A4"/>
    <w:rsid w:val="002571CC"/>
    <w:rsid w:val="002608D3"/>
    <w:rsid w:val="0026134E"/>
    <w:rsid w:val="002632FF"/>
    <w:rsid w:val="0026736C"/>
    <w:rsid w:val="00271D59"/>
    <w:rsid w:val="00272580"/>
    <w:rsid w:val="00273E16"/>
    <w:rsid w:val="00275D2B"/>
    <w:rsid w:val="00277659"/>
    <w:rsid w:val="00281308"/>
    <w:rsid w:val="00281A40"/>
    <w:rsid w:val="00282CDD"/>
    <w:rsid w:val="00284719"/>
    <w:rsid w:val="002854A7"/>
    <w:rsid w:val="00290E9D"/>
    <w:rsid w:val="00293A01"/>
    <w:rsid w:val="00297B75"/>
    <w:rsid w:val="00297E8F"/>
    <w:rsid w:val="00297ECB"/>
    <w:rsid w:val="002A404F"/>
    <w:rsid w:val="002A479D"/>
    <w:rsid w:val="002A6606"/>
    <w:rsid w:val="002A7BCF"/>
    <w:rsid w:val="002B1B8E"/>
    <w:rsid w:val="002B4493"/>
    <w:rsid w:val="002B584D"/>
    <w:rsid w:val="002B5B1E"/>
    <w:rsid w:val="002C1386"/>
    <w:rsid w:val="002C616A"/>
    <w:rsid w:val="002D0249"/>
    <w:rsid w:val="002D043A"/>
    <w:rsid w:val="002D1C23"/>
    <w:rsid w:val="002D6224"/>
    <w:rsid w:val="002D63D2"/>
    <w:rsid w:val="002E1C12"/>
    <w:rsid w:val="002E2AE0"/>
    <w:rsid w:val="002E2B2A"/>
    <w:rsid w:val="002E3F4B"/>
    <w:rsid w:val="002E5D39"/>
    <w:rsid w:val="002E5F15"/>
    <w:rsid w:val="002F128C"/>
    <w:rsid w:val="002F17F7"/>
    <w:rsid w:val="002F267E"/>
    <w:rsid w:val="002F3652"/>
    <w:rsid w:val="00304F8B"/>
    <w:rsid w:val="00306BA5"/>
    <w:rsid w:val="003112F1"/>
    <w:rsid w:val="00311854"/>
    <w:rsid w:val="00314D9D"/>
    <w:rsid w:val="00316DC9"/>
    <w:rsid w:val="0032158D"/>
    <w:rsid w:val="00322663"/>
    <w:rsid w:val="003268AF"/>
    <w:rsid w:val="003312B2"/>
    <w:rsid w:val="003354D2"/>
    <w:rsid w:val="00335BC6"/>
    <w:rsid w:val="00336C2D"/>
    <w:rsid w:val="003374C3"/>
    <w:rsid w:val="0034018D"/>
    <w:rsid w:val="003415D3"/>
    <w:rsid w:val="00341738"/>
    <w:rsid w:val="00342147"/>
    <w:rsid w:val="00342F19"/>
    <w:rsid w:val="0034363F"/>
    <w:rsid w:val="00344701"/>
    <w:rsid w:val="00345271"/>
    <w:rsid w:val="00352B0F"/>
    <w:rsid w:val="003548B4"/>
    <w:rsid w:val="00355AFA"/>
    <w:rsid w:val="00355E10"/>
    <w:rsid w:val="00356690"/>
    <w:rsid w:val="003566B6"/>
    <w:rsid w:val="00360459"/>
    <w:rsid w:val="003606E4"/>
    <w:rsid w:val="00361CE9"/>
    <w:rsid w:val="00363A1A"/>
    <w:rsid w:val="00363D47"/>
    <w:rsid w:val="00366224"/>
    <w:rsid w:val="003706B5"/>
    <w:rsid w:val="00376334"/>
    <w:rsid w:val="00376AA3"/>
    <w:rsid w:val="00380E2C"/>
    <w:rsid w:val="003816E1"/>
    <w:rsid w:val="003823A0"/>
    <w:rsid w:val="0038522D"/>
    <w:rsid w:val="00391C3C"/>
    <w:rsid w:val="003928D6"/>
    <w:rsid w:val="0039649F"/>
    <w:rsid w:val="00396AD6"/>
    <w:rsid w:val="003A2315"/>
    <w:rsid w:val="003A359D"/>
    <w:rsid w:val="003A4B8A"/>
    <w:rsid w:val="003A6544"/>
    <w:rsid w:val="003A6626"/>
    <w:rsid w:val="003B08CB"/>
    <w:rsid w:val="003B30FA"/>
    <w:rsid w:val="003B4D74"/>
    <w:rsid w:val="003B589C"/>
    <w:rsid w:val="003B764B"/>
    <w:rsid w:val="003C488C"/>
    <w:rsid w:val="003C52DD"/>
    <w:rsid w:val="003C6231"/>
    <w:rsid w:val="003D0BFE"/>
    <w:rsid w:val="003D1053"/>
    <w:rsid w:val="003D142A"/>
    <w:rsid w:val="003D3D61"/>
    <w:rsid w:val="003D45E8"/>
    <w:rsid w:val="003D477D"/>
    <w:rsid w:val="003D5700"/>
    <w:rsid w:val="003E023F"/>
    <w:rsid w:val="003E18F5"/>
    <w:rsid w:val="003E341B"/>
    <w:rsid w:val="003E4B37"/>
    <w:rsid w:val="003E4C09"/>
    <w:rsid w:val="003E50E7"/>
    <w:rsid w:val="003E697E"/>
    <w:rsid w:val="003F1D94"/>
    <w:rsid w:val="003F4139"/>
    <w:rsid w:val="003F7B36"/>
    <w:rsid w:val="004005FA"/>
    <w:rsid w:val="00400D77"/>
    <w:rsid w:val="00401E98"/>
    <w:rsid w:val="00404AFE"/>
    <w:rsid w:val="004116CD"/>
    <w:rsid w:val="00411ECD"/>
    <w:rsid w:val="00412283"/>
    <w:rsid w:val="00412A1F"/>
    <w:rsid w:val="004144EC"/>
    <w:rsid w:val="00415A66"/>
    <w:rsid w:val="00417EB9"/>
    <w:rsid w:val="00424CA9"/>
    <w:rsid w:val="004304E9"/>
    <w:rsid w:val="0043119A"/>
    <w:rsid w:val="00431E9B"/>
    <w:rsid w:val="004331B7"/>
    <w:rsid w:val="00435406"/>
    <w:rsid w:val="00436541"/>
    <w:rsid w:val="004379E3"/>
    <w:rsid w:val="0044015E"/>
    <w:rsid w:val="00441D5A"/>
    <w:rsid w:val="0044291A"/>
    <w:rsid w:val="00443793"/>
    <w:rsid w:val="00444ABD"/>
    <w:rsid w:val="004502FC"/>
    <w:rsid w:val="004512AE"/>
    <w:rsid w:val="004519DD"/>
    <w:rsid w:val="0045483C"/>
    <w:rsid w:val="00454C1E"/>
    <w:rsid w:val="0045587B"/>
    <w:rsid w:val="00456296"/>
    <w:rsid w:val="00460136"/>
    <w:rsid w:val="004615CB"/>
    <w:rsid w:val="00461C81"/>
    <w:rsid w:val="0046303A"/>
    <w:rsid w:val="004632C5"/>
    <w:rsid w:val="00467661"/>
    <w:rsid w:val="00467776"/>
    <w:rsid w:val="004705B7"/>
    <w:rsid w:val="004728BE"/>
    <w:rsid w:val="00472DBE"/>
    <w:rsid w:val="00474A19"/>
    <w:rsid w:val="00474FF8"/>
    <w:rsid w:val="004758B1"/>
    <w:rsid w:val="00475D82"/>
    <w:rsid w:val="00480ACE"/>
    <w:rsid w:val="004836EC"/>
    <w:rsid w:val="00484AC1"/>
    <w:rsid w:val="00486837"/>
    <w:rsid w:val="004903B3"/>
    <w:rsid w:val="00493B00"/>
    <w:rsid w:val="00494422"/>
    <w:rsid w:val="004954C4"/>
    <w:rsid w:val="004956D3"/>
    <w:rsid w:val="00496EA7"/>
    <w:rsid w:val="00496F97"/>
    <w:rsid w:val="004A2FE3"/>
    <w:rsid w:val="004A64CB"/>
    <w:rsid w:val="004B0A5E"/>
    <w:rsid w:val="004B1312"/>
    <w:rsid w:val="004B26E3"/>
    <w:rsid w:val="004B3AF0"/>
    <w:rsid w:val="004B3F51"/>
    <w:rsid w:val="004B5C06"/>
    <w:rsid w:val="004C1909"/>
    <w:rsid w:val="004C1CA7"/>
    <w:rsid w:val="004C6AE8"/>
    <w:rsid w:val="004C6EDE"/>
    <w:rsid w:val="004D2664"/>
    <w:rsid w:val="004D41DF"/>
    <w:rsid w:val="004D5C89"/>
    <w:rsid w:val="004D7242"/>
    <w:rsid w:val="004D7723"/>
    <w:rsid w:val="004E063A"/>
    <w:rsid w:val="004E0FA9"/>
    <w:rsid w:val="004E4784"/>
    <w:rsid w:val="004E5E14"/>
    <w:rsid w:val="004E7BEC"/>
    <w:rsid w:val="004F0417"/>
    <w:rsid w:val="004F0A96"/>
    <w:rsid w:val="004F15BD"/>
    <w:rsid w:val="004F1696"/>
    <w:rsid w:val="004F4B5D"/>
    <w:rsid w:val="00500E38"/>
    <w:rsid w:val="00501C2E"/>
    <w:rsid w:val="00505D3D"/>
    <w:rsid w:val="00506AF6"/>
    <w:rsid w:val="00510C44"/>
    <w:rsid w:val="00512767"/>
    <w:rsid w:val="0051560C"/>
    <w:rsid w:val="00516B8D"/>
    <w:rsid w:val="00520553"/>
    <w:rsid w:val="00520A87"/>
    <w:rsid w:val="00521F49"/>
    <w:rsid w:val="00521F95"/>
    <w:rsid w:val="005226CE"/>
    <w:rsid w:val="00523C1F"/>
    <w:rsid w:val="00524DF9"/>
    <w:rsid w:val="00526446"/>
    <w:rsid w:val="005265CF"/>
    <w:rsid w:val="00531546"/>
    <w:rsid w:val="00535212"/>
    <w:rsid w:val="005368CA"/>
    <w:rsid w:val="00537FBC"/>
    <w:rsid w:val="005437A9"/>
    <w:rsid w:val="00544EF2"/>
    <w:rsid w:val="00545C3A"/>
    <w:rsid w:val="005477EA"/>
    <w:rsid w:val="005502B9"/>
    <w:rsid w:val="00551F90"/>
    <w:rsid w:val="00553BDD"/>
    <w:rsid w:val="00556D79"/>
    <w:rsid w:val="005574D1"/>
    <w:rsid w:val="005577CA"/>
    <w:rsid w:val="00557F69"/>
    <w:rsid w:val="00560E04"/>
    <w:rsid w:val="00566EDB"/>
    <w:rsid w:val="005676B2"/>
    <w:rsid w:val="00571973"/>
    <w:rsid w:val="00571AAC"/>
    <w:rsid w:val="00572AE4"/>
    <w:rsid w:val="005810D1"/>
    <w:rsid w:val="005814BC"/>
    <w:rsid w:val="00584811"/>
    <w:rsid w:val="00585784"/>
    <w:rsid w:val="00587190"/>
    <w:rsid w:val="00591043"/>
    <w:rsid w:val="005911B7"/>
    <w:rsid w:val="00592E11"/>
    <w:rsid w:val="00593AA6"/>
    <w:rsid w:val="00594047"/>
    <w:rsid w:val="00594161"/>
    <w:rsid w:val="00594749"/>
    <w:rsid w:val="005A551C"/>
    <w:rsid w:val="005A5C23"/>
    <w:rsid w:val="005A5EDF"/>
    <w:rsid w:val="005B0D36"/>
    <w:rsid w:val="005B3597"/>
    <w:rsid w:val="005B4067"/>
    <w:rsid w:val="005B4AA0"/>
    <w:rsid w:val="005B4D94"/>
    <w:rsid w:val="005B77FF"/>
    <w:rsid w:val="005C012D"/>
    <w:rsid w:val="005C3F41"/>
    <w:rsid w:val="005C49BD"/>
    <w:rsid w:val="005D27CE"/>
    <w:rsid w:val="005D2D09"/>
    <w:rsid w:val="005D2E12"/>
    <w:rsid w:val="005D38A2"/>
    <w:rsid w:val="005D70BF"/>
    <w:rsid w:val="005D72C1"/>
    <w:rsid w:val="005E0CC0"/>
    <w:rsid w:val="005E173D"/>
    <w:rsid w:val="005E77CB"/>
    <w:rsid w:val="00600219"/>
    <w:rsid w:val="006007FB"/>
    <w:rsid w:val="00603290"/>
    <w:rsid w:val="00603DC4"/>
    <w:rsid w:val="00612732"/>
    <w:rsid w:val="00620076"/>
    <w:rsid w:val="00623C0D"/>
    <w:rsid w:val="00623F11"/>
    <w:rsid w:val="00624560"/>
    <w:rsid w:val="0063188E"/>
    <w:rsid w:val="0063259D"/>
    <w:rsid w:val="00634C77"/>
    <w:rsid w:val="00636355"/>
    <w:rsid w:val="00641D2D"/>
    <w:rsid w:val="00643518"/>
    <w:rsid w:val="006454F1"/>
    <w:rsid w:val="00647821"/>
    <w:rsid w:val="006516FA"/>
    <w:rsid w:val="00653BD0"/>
    <w:rsid w:val="00656597"/>
    <w:rsid w:val="006576DE"/>
    <w:rsid w:val="00661DF0"/>
    <w:rsid w:val="006626D0"/>
    <w:rsid w:val="0066278C"/>
    <w:rsid w:val="006646A1"/>
    <w:rsid w:val="00670EA1"/>
    <w:rsid w:val="00671E0A"/>
    <w:rsid w:val="00672BC4"/>
    <w:rsid w:val="00676961"/>
    <w:rsid w:val="00676D1D"/>
    <w:rsid w:val="00676E71"/>
    <w:rsid w:val="00677CC2"/>
    <w:rsid w:val="0068026D"/>
    <w:rsid w:val="00680BD6"/>
    <w:rsid w:val="00681A2C"/>
    <w:rsid w:val="00684113"/>
    <w:rsid w:val="00684B4F"/>
    <w:rsid w:val="006905DE"/>
    <w:rsid w:val="006912F0"/>
    <w:rsid w:val="0069207B"/>
    <w:rsid w:val="006939A1"/>
    <w:rsid w:val="00697BD7"/>
    <w:rsid w:val="00697C81"/>
    <w:rsid w:val="006A2313"/>
    <w:rsid w:val="006A7B35"/>
    <w:rsid w:val="006B1CD9"/>
    <w:rsid w:val="006B5789"/>
    <w:rsid w:val="006B630B"/>
    <w:rsid w:val="006B762E"/>
    <w:rsid w:val="006C30C5"/>
    <w:rsid w:val="006C5A22"/>
    <w:rsid w:val="006C5A34"/>
    <w:rsid w:val="006C7F8C"/>
    <w:rsid w:val="006D1C5F"/>
    <w:rsid w:val="006D26A3"/>
    <w:rsid w:val="006D330E"/>
    <w:rsid w:val="006E0527"/>
    <w:rsid w:val="006E0684"/>
    <w:rsid w:val="006E4641"/>
    <w:rsid w:val="006E6246"/>
    <w:rsid w:val="006E7156"/>
    <w:rsid w:val="006F1978"/>
    <w:rsid w:val="006F318F"/>
    <w:rsid w:val="006F3EEE"/>
    <w:rsid w:val="006F4175"/>
    <w:rsid w:val="006F4226"/>
    <w:rsid w:val="006F4FBE"/>
    <w:rsid w:val="006F5005"/>
    <w:rsid w:val="0070017E"/>
    <w:rsid w:val="00700B2C"/>
    <w:rsid w:val="007033A8"/>
    <w:rsid w:val="007044F3"/>
    <w:rsid w:val="00704837"/>
    <w:rsid w:val="007050A2"/>
    <w:rsid w:val="00707BC4"/>
    <w:rsid w:val="0071054C"/>
    <w:rsid w:val="00710B67"/>
    <w:rsid w:val="00713084"/>
    <w:rsid w:val="00714F20"/>
    <w:rsid w:val="0071590F"/>
    <w:rsid w:val="00715914"/>
    <w:rsid w:val="00716C10"/>
    <w:rsid w:val="00721A3D"/>
    <w:rsid w:val="00721B24"/>
    <w:rsid w:val="00724CED"/>
    <w:rsid w:val="00726E58"/>
    <w:rsid w:val="00731E00"/>
    <w:rsid w:val="0073245A"/>
    <w:rsid w:val="00737664"/>
    <w:rsid w:val="007407E8"/>
    <w:rsid w:val="007440B7"/>
    <w:rsid w:val="00747A35"/>
    <w:rsid w:val="007500C8"/>
    <w:rsid w:val="00751799"/>
    <w:rsid w:val="0075255C"/>
    <w:rsid w:val="00754657"/>
    <w:rsid w:val="00756272"/>
    <w:rsid w:val="0076026D"/>
    <w:rsid w:val="00760957"/>
    <w:rsid w:val="00760BE1"/>
    <w:rsid w:val="0076164A"/>
    <w:rsid w:val="007651C5"/>
    <w:rsid w:val="00765CC5"/>
    <w:rsid w:val="00765EB0"/>
    <w:rsid w:val="0076681A"/>
    <w:rsid w:val="0076725C"/>
    <w:rsid w:val="007715C9"/>
    <w:rsid w:val="00771613"/>
    <w:rsid w:val="00774EDD"/>
    <w:rsid w:val="007757EC"/>
    <w:rsid w:val="00781EC7"/>
    <w:rsid w:val="00783E89"/>
    <w:rsid w:val="00784A4C"/>
    <w:rsid w:val="00786A9E"/>
    <w:rsid w:val="007910F4"/>
    <w:rsid w:val="00793915"/>
    <w:rsid w:val="00796188"/>
    <w:rsid w:val="00797472"/>
    <w:rsid w:val="007B0138"/>
    <w:rsid w:val="007C2253"/>
    <w:rsid w:val="007C2F21"/>
    <w:rsid w:val="007C4B9A"/>
    <w:rsid w:val="007D0266"/>
    <w:rsid w:val="007D17A3"/>
    <w:rsid w:val="007D321B"/>
    <w:rsid w:val="007D437C"/>
    <w:rsid w:val="007D5A63"/>
    <w:rsid w:val="007D69F9"/>
    <w:rsid w:val="007D736B"/>
    <w:rsid w:val="007D76DC"/>
    <w:rsid w:val="007D7B81"/>
    <w:rsid w:val="007E0A19"/>
    <w:rsid w:val="007E163D"/>
    <w:rsid w:val="007E25F4"/>
    <w:rsid w:val="007E667A"/>
    <w:rsid w:val="007E6C45"/>
    <w:rsid w:val="007F28C9"/>
    <w:rsid w:val="007F6C2C"/>
    <w:rsid w:val="00801635"/>
    <w:rsid w:val="0080168C"/>
    <w:rsid w:val="008018F2"/>
    <w:rsid w:val="00803587"/>
    <w:rsid w:val="00806247"/>
    <w:rsid w:val="008117E9"/>
    <w:rsid w:val="00822D75"/>
    <w:rsid w:val="00824498"/>
    <w:rsid w:val="008264E4"/>
    <w:rsid w:val="008266C8"/>
    <w:rsid w:val="00827C35"/>
    <w:rsid w:val="00831DD5"/>
    <w:rsid w:val="00833F96"/>
    <w:rsid w:val="00834A02"/>
    <w:rsid w:val="008431E6"/>
    <w:rsid w:val="008432D2"/>
    <w:rsid w:val="00845EEC"/>
    <w:rsid w:val="008516FE"/>
    <w:rsid w:val="00856445"/>
    <w:rsid w:val="00856A31"/>
    <w:rsid w:val="00864B24"/>
    <w:rsid w:val="00867B37"/>
    <w:rsid w:val="00871052"/>
    <w:rsid w:val="00874C35"/>
    <w:rsid w:val="008754D0"/>
    <w:rsid w:val="00881DB9"/>
    <w:rsid w:val="008855C9"/>
    <w:rsid w:val="00886456"/>
    <w:rsid w:val="0089068A"/>
    <w:rsid w:val="00891714"/>
    <w:rsid w:val="00891C37"/>
    <w:rsid w:val="00892345"/>
    <w:rsid w:val="00892546"/>
    <w:rsid w:val="008925B9"/>
    <w:rsid w:val="00893508"/>
    <w:rsid w:val="00894716"/>
    <w:rsid w:val="00894C3D"/>
    <w:rsid w:val="008A0358"/>
    <w:rsid w:val="008A1179"/>
    <w:rsid w:val="008A46E1"/>
    <w:rsid w:val="008A4F43"/>
    <w:rsid w:val="008A5F72"/>
    <w:rsid w:val="008B1C2F"/>
    <w:rsid w:val="008B213D"/>
    <w:rsid w:val="008B2706"/>
    <w:rsid w:val="008B4273"/>
    <w:rsid w:val="008B43A4"/>
    <w:rsid w:val="008B486F"/>
    <w:rsid w:val="008B6A35"/>
    <w:rsid w:val="008C4BD9"/>
    <w:rsid w:val="008C619D"/>
    <w:rsid w:val="008C7B7B"/>
    <w:rsid w:val="008D0EE0"/>
    <w:rsid w:val="008D23EB"/>
    <w:rsid w:val="008D4149"/>
    <w:rsid w:val="008E28A0"/>
    <w:rsid w:val="008E4700"/>
    <w:rsid w:val="008E6067"/>
    <w:rsid w:val="008E6D87"/>
    <w:rsid w:val="008E75C6"/>
    <w:rsid w:val="008F44CF"/>
    <w:rsid w:val="008F54E7"/>
    <w:rsid w:val="008F7091"/>
    <w:rsid w:val="00903422"/>
    <w:rsid w:val="009034D2"/>
    <w:rsid w:val="00905CB9"/>
    <w:rsid w:val="00906460"/>
    <w:rsid w:val="009113F9"/>
    <w:rsid w:val="00911518"/>
    <w:rsid w:val="00911B2F"/>
    <w:rsid w:val="00913DC1"/>
    <w:rsid w:val="00915DF9"/>
    <w:rsid w:val="00923B4A"/>
    <w:rsid w:val="009254C3"/>
    <w:rsid w:val="00925F23"/>
    <w:rsid w:val="00925F34"/>
    <w:rsid w:val="009317BD"/>
    <w:rsid w:val="00932377"/>
    <w:rsid w:val="009323FD"/>
    <w:rsid w:val="00932CC9"/>
    <w:rsid w:val="00933CB6"/>
    <w:rsid w:val="00936816"/>
    <w:rsid w:val="00937096"/>
    <w:rsid w:val="00940F29"/>
    <w:rsid w:val="00941170"/>
    <w:rsid w:val="00947D5A"/>
    <w:rsid w:val="009505DF"/>
    <w:rsid w:val="00951210"/>
    <w:rsid w:val="00952B62"/>
    <w:rsid w:val="009532A5"/>
    <w:rsid w:val="00964648"/>
    <w:rsid w:val="009654E6"/>
    <w:rsid w:val="009656D1"/>
    <w:rsid w:val="00965F29"/>
    <w:rsid w:val="00967211"/>
    <w:rsid w:val="00967AA0"/>
    <w:rsid w:val="00970A8A"/>
    <w:rsid w:val="00971017"/>
    <w:rsid w:val="00972DAC"/>
    <w:rsid w:val="00973A07"/>
    <w:rsid w:val="00975365"/>
    <w:rsid w:val="00975A86"/>
    <w:rsid w:val="0097663F"/>
    <w:rsid w:val="00976F31"/>
    <w:rsid w:val="0098196D"/>
    <w:rsid w:val="00982242"/>
    <w:rsid w:val="00983854"/>
    <w:rsid w:val="00985893"/>
    <w:rsid w:val="009868E9"/>
    <w:rsid w:val="009914CF"/>
    <w:rsid w:val="009920D5"/>
    <w:rsid w:val="00994D10"/>
    <w:rsid w:val="009974B3"/>
    <w:rsid w:val="009A3FCA"/>
    <w:rsid w:val="009A4B94"/>
    <w:rsid w:val="009B03EB"/>
    <w:rsid w:val="009B4006"/>
    <w:rsid w:val="009B6DE8"/>
    <w:rsid w:val="009B72D7"/>
    <w:rsid w:val="009C1D60"/>
    <w:rsid w:val="009C5FB2"/>
    <w:rsid w:val="009D2DA5"/>
    <w:rsid w:val="009D320E"/>
    <w:rsid w:val="009D3C1E"/>
    <w:rsid w:val="009D420B"/>
    <w:rsid w:val="009D4D5A"/>
    <w:rsid w:val="009D5BAA"/>
    <w:rsid w:val="009E0A72"/>
    <w:rsid w:val="009E5788"/>
    <w:rsid w:val="009E5CFC"/>
    <w:rsid w:val="009F0916"/>
    <w:rsid w:val="009F1B27"/>
    <w:rsid w:val="009F3454"/>
    <w:rsid w:val="009F3952"/>
    <w:rsid w:val="009F4DCA"/>
    <w:rsid w:val="009F5071"/>
    <w:rsid w:val="009F69B3"/>
    <w:rsid w:val="009F7544"/>
    <w:rsid w:val="00A0428B"/>
    <w:rsid w:val="00A06430"/>
    <w:rsid w:val="00A079CB"/>
    <w:rsid w:val="00A11F93"/>
    <w:rsid w:val="00A12128"/>
    <w:rsid w:val="00A153D7"/>
    <w:rsid w:val="00A15616"/>
    <w:rsid w:val="00A17DA4"/>
    <w:rsid w:val="00A2010E"/>
    <w:rsid w:val="00A20205"/>
    <w:rsid w:val="00A22215"/>
    <w:rsid w:val="00A22C98"/>
    <w:rsid w:val="00A231E2"/>
    <w:rsid w:val="00A234C0"/>
    <w:rsid w:val="00A269E1"/>
    <w:rsid w:val="00A26C29"/>
    <w:rsid w:val="00A33078"/>
    <w:rsid w:val="00A33346"/>
    <w:rsid w:val="00A37191"/>
    <w:rsid w:val="00A37ED4"/>
    <w:rsid w:val="00A42809"/>
    <w:rsid w:val="00A42F82"/>
    <w:rsid w:val="00A445A3"/>
    <w:rsid w:val="00A45A8B"/>
    <w:rsid w:val="00A50165"/>
    <w:rsid w:val="00A565CD"/>
    <w:rsid w:val="00A56A9A"/>
    <w:rsid w:val="00A613D5"/>
    <w:rsid w:val="00A6213F"/>
    <w:rsid w:val="00A6385A"/>
    <w:rsid w:val="00A64912"/>
    <w:rsid w:val="00A65B2D"/>
    <w:rsid w:val="00A65E02"/>
    <w:rsid w:val="00A666FC"/>
    <w:rsid w:val="00A67AAC"/>
    <w:rsid w:val="00A70989"/>
    <w:rsid w:val="00A70A74"/>
    <w:rsid w:val="00A752E8"/>
    <w:rsid w:val="00A77BF9"/>
    <w:rsid w:val="00A83D12"/>
    <w:rsid w:val="00A95FE8"/>
    <w:rsid w:val="00A96AB8"/>
    <w:rsid w:val="00A9762F"/>
    <w:rsid w:val="00AA0F32"/>
    <w:rsid w:val="00AA259D"/>
    <w:rsid w:val="00AA2CCC"/>
    <w:rsid w:val="00AA62F3"/>
    <w:rsid w:val="00AA75B5"/>
    <w:rsid w:val="00AA76CF"/>
    <w:rsid w:val="00AB1ECA"/>
    <w:rsid w:val="00AB3064"/>
    <w:rsid w:val="00AB4C39"/>
    <w:rsid w:val="00AB556B"/>
    <w:rsid w:val="00AC0761"/>
    <w:rsid w:val="00AC57FC"/>
    <w:rsid w:val="00AD0C93"/>
    <w:rsid w:val="00AD1631"/>
    <w:rsid w:val="00AD5641"/>
    <w:rsid w:val="00AD5D0D"/>
    <w:rsid w:val="00AD7889"/>
    <w:rsid w:val="00AE27EA"/>
    <w:rsid w:val="00AE2C84"/>
    <w:rsid w:val="00AE35F0"/>
    <w:rsid w:val="00AE498C"/>
    <w:rsid w:val="00AF021B"/>
    <w:rsid w:val="00AF06CF"/>
    <w:rsid w:val="00AF23C0"/>
    <w:rsid w:val="00AF772E"/>
    <w:rsid w:val="00AF78E7"/>
    <w:rsid w:val="00AF7BD0"/>
    <w:rsid w:val="00B00174"/>
    <w:rsid w:val="00B0163A"/>
    <w:rsid w:val="00B03193"/>
    <w:rsid w:val="00B04B72"/>
    <w:rsid w:val="00B05BF0"/>
    <w:rsid w:val="00B05CF4"/>
    <w:rsid w:val="00B077E8"/>
    <w:rsid w:val="00B07CDB"/>
    <w:rsid w:val="00B10820"/>
    <w:rsid w:val="00B16055"/>
    <w:rsid w:val="00B16A31"/>
    <w:rsid w:val="00B171B1"/>
    <w:rsid w:val="00B176E8"/>
    <w:rsid w:val="00B17DFD"/>
    <w:rsid w:val="00B20AA9"/>
    <w:rsid w:val="00B21734"/>
    <w:rsid w:val="00B231C0"/>
    <w:rsid w:val="00B253E6"/>
    <w:rsid w:val="00B27C22"/>
    <w:rsid w:val="00B308FE"/>
    <w:rsid w:val="00B31BBD"/>
    <w:rsid w:val="00B33709"/>
    <w:rsid w:val="00B33B3C"/>
    <w:rsid w:val="00B33E23"/>
    <w:rsid w:val="00B35FC5"/>
    <w:rsid w:val="00B44979"/>
    <w:rsid w:val="00B45037"/>
    <w:rsid w:val="00B50ADC"/>
    <w:rsid w:val="00B5397C"/>
    <w:rsid w:val="00B543AF"/>
    <w:rsid w:val="00B54A69"/>
    <w:rsid w:val="00B54DA3"/>
    <w:rsid w:val="00B566B1"/>
    <w:rsid w:val="00B57AC5"/>
    <w:rsid w:val="00B62838"/>
    <w:rsid w:val="00B63834"/>
    <w:rsid w:val="00B63EB9"/>
    <w:rsid w:val="00B650D6"/>
    <w:rsid w:val="00B65FF9"/>
    <w:rsid w:val="00B704E3"/>
    <w:rsid w:val="00B708E3"/>
    <w:rsid w:val="00B715AF"/>
    <w:rsid w:val="00B72734"/>
    <w:rsid w:val="00B72DE0"/>
    <w:rsid w:val="00B7325C"/>
    <w:rsid w:val="00B763AC"/>
    <w:rsid w:val="00B7737F"/>
    <w:rsid w:val="00B80199"/>
    <w:rsid w:val="00B802E4"/>
    <w:rsid w:val="00B82AC7"/>
    <w:rsid w:val="00B83204"/>
    <w:rsid w:val="00B83C6A"/>
    <w:rsid w:val="00B848D5"/>
    <w:rsid w:val="00B84D7D"/>
    <w:rsid w:val="00B855C1"/>
    <w:rsid w:val="00B85738"/>
    <w:rsid w:val="00B872A9"/>
    <w:rsid w:val="00B87897"/>
    <w:rsid w:val="00B87A43"/>
    <w:rsid w:val="00B915FA"/>
    <w:rsid w:val="00B9304A"/>
    <w:rsid w:val="00B94F4B"/>
    <w:rsid w:val="00B96539"/>
    <w:rsid w:val="00BA0551"/>
    <w:rsid w:val="00BA0F38"/>
    <w:rsid w:val="00BA120A"/>
    <w:rsid w:val="00BA220B"/>
    <w:rsid w:val="00BA35DA"/>
    <w:rsid w:val="00BA3885"/>
    <w:rsid w:val="00BA3A57"/>
    <w:rsid w:val="00BA502F"/>
    <w:rsid w:val="00BA6118"/>
    <w:rsid w:val="00BA691F"/>
    <w:rsid w:val="00BB091F"/>
    <w:rsid w:val="00BB20DE"/>
    <w:rsid w:val="00BB4E1A"/>
    <w:rsid w:val="00BC015E"/>
    <w:rsid w:val="00BC090B"/>
    <w:rsid w:val="00BC359D"/>
    <w:rsid w:val="00BC6AF8"/>
    <w:rsid w:val="00BC6F71"/>
    <w:rsid w:val="00BC76AC"/>
    <w:rsid w:val="00BC7BC0"/>
    <w:rsid w:val="00BD0ECB"/>
    <w:rsid w:val="00BD2409"/>
    <w:rsid w:val="00BD2432"/>
    <w:rsid w:val="00BD42E9"/>
    <w:rsid w:val="00BD4B44"/>
    <w:rsid w:val="00BD63C4"/>
    <w:rsid w:val="00BE2155"/>
    <w:rsid w:val="00BE2213"/>
    <w:rsid w:val="00BE5056"/>
    <w:rsid w:val="00BE5114"/>
    <w:rsid w:val="00BE5858"/>
    <w:rsid w:val="00BE719A"/>
    <w:rsid w:val="00BE720A"/>
    <w:rsid w:val="00BF096F"/>
    <w:rsid w:val="00BF0D73"/>
    <w:rsid w:val="00BF237D"/>
    <w:rsid w:val="00BF2465"/>
    <w:rsid w:val="00BF4044"/>
    <w:rsid w:val="00BF7477"/>
    <w:rsid w:val="00BF7C58"/>
    <w:rsid w:val="00C01993"/>
    <w:rsid w:val="00C03124"/>
    <w:rsid w:val="00C045C3"/>
    <w:rsid w:val="00C05609"/>
    <w:rsid w:val="00C07269"/>
    <w:rsid w:val="00C07C44"/>
    <w:rsid w:val="00C10261"/>
    <w:rsid w:val="00C11D9D"/>
    <w:rsid w:val="00C120DA"/>
    <w:rsid w:val="00C16E64"/>
    <w:rsid w:val="00C20E10"/>
    <w:rsid w:val="00C2161C"/>
    <w:rsid w:val="00C223ED"/>
    <w:rsid w:val="00C226B9"/>
    <w:rsid w:val="00C22DA2"/>
    <w:rsid w:val="00C24F34"/>
    <w:rsid w:val="00C25B16"/>
    <w:rsid w:val="00C25E7F"/>
    <w:rsid w:val="00C266DF"/>
    <w:rsid w:val="00C2746F"/>
    <w:rsid w:val="00C318AC"/>
    <w:rsid w:val="00C31B02"/>
    <w:rsid w:val="00C324A0"/>
    <w:rsid w:val="00C3300F"/>
    <w:rsid w:val="00C3660C"/>
    <w:rsid w:val="00C40DB7"/>
    <w:rsid w:val="00C42BF8"/>
    <w:rsid w:val="00C42F99"/>
    <w:rsid w:val="00C43045"/>
    <w:rsid w:val="00C46735"/>
    <w:rsid w:val="00C47105"/>
    <w:rsid w:val="00C50043"/>
    <w:rsid w:val="00C5132C"/>
    <w:rsid w:val="00C52FEC"/>
    <w:rsid w:val="00C52FF2"/>
    <w:rsid w:val="00C53402"/>
    <w:rsid w:val="00C538C4"/>
    <w:rsid w:val="00C5444D"/>
    <w:rsid w:val="00C55585"/>
    <w:rsid w:val="00C57DBE"/>
    <w:rsid w:val="00C6016F"/>
    <w:rsid w:val="00C63347"/>
    <w:rsid w:val="00C64801"/>
    <w:rsid w:val="00C667FF"/>
    <w:rsid w:val="00C67708"/>
    <w:rsid w:val="00C7573B"/>
    <w:rsid w:val="00C76899"/>
    <w:rsid w:val="00C826BA"/>
    <w:rsid w:val="00C83795"/>
    <w:rsid w:val="00C84022"/>
    <w:rsid w:val="00C84735"/>
    <w:rsid w:val="00C853DA"/>
    <w:rsid w:val="00C86409"/>
    <w:rsid w:val="00C874C7"/>
    <w:rsid w:val="00C91763"/>
    <w:rsid w:val="00C917BD"/>
    <w:rsid w:val="00C93C03"/>
    <w:rsid w:val="00C95956"/>
    <w:rsid w:val="00CA0F3D"/>
    <w:rsid w:val="00CA17B7"/>
    <w:rsid w:val="00CA24FC"/>
    <w:rsid w:val="00CA5B41"/>
    <w:rsid w:val="00CA623F"/>
    <w:rsid w:val="00CA672A"/>
    <w:rsid w:val="00CB0147"/>
    <w:rsid w:val="00CB0681"/>
    <w:rsid w:val="00CB231B"/>
    <w:rsid w:val="00CB2C8E"/>
    <w:rsid w:val="00CB3A2D"/>
    <w:rsid w:val="00CB3F37"/>
    <w:rsid w:val="00CB4093"/>
    <w:rsid w:val="00CB53C7"/>
    <w:rsid w:val="00CB54BF"/>
    <w:rsid w:val="00CB602E"/>
    <w:rsid w:val="00CB7D37"/>
    <w:rsid w:val="00CC128A"/>
    <w:rsid w:val="00CC45FC"/>
    <w:rsid w:val="00CC4E34"/>
    <w:rsid w:val="00CC63FE"/>
    <w:rsid w:val="00CD06ED"/>
    <w:rsid w:val="00CD1746"/>
    <w:rsid w:val="00CD2412"/>
    <w:rsid w:val="00CD3E1A"/>
    <w:rsid w:val="00CD72D0"/>
    <w:rsid w:val="00CE051D"/>
    <w:rsid w:val="00CE0E5B"/>
    <w:rsid w:val="00CE1335"/>
    <w:rsid w:val="00CE22EA"/>
    <w:rsid w:val="00CE2806"/>
    <w:rsid w:val="00CE3EFE"/>
    <w:rsid w:val="00CE493D"/>
    <w:rsid w:val="00CE5C60"/>
    <w:rsid w:val="00CF0716"/>
    <w:rsid w:val="00CF07FA"/>
    <w:rsid w:val="00CF0BB2"/>
    <w:rsid w:val="00CF1CA9"/>
    <w:rsid w:val="00CF1DCA"/>
    <w:rsid w:val="00CF338B"/>
    <w:rsid w:val="00CF3D43"/>
    <w:rsid w:val="00CF3EE8"/>
    <w:rsid w:val="00CF558F"/>
    <w:rsid w:val="00CF6C8C"/>
    <w:rsid w:val="00D01EE2"/>
    <w:rsid w:val="00D041E4"/>
    <w:rsid w:val="00D050E6"/>
    <w:rsid w:val="00D12D35"/>
    <w:rsid w:val="00D13441"/>
    <w:rsid w:val="00D13C22"/>
    <w:rsid w:val="00D141A3"/>
    <w:rsid w:val="00D150E7"/>
    <w:rsid w:val="00D23599"/>
    <w:rsid w:val="00D23DA3"/>
    <w:rsid w:val="00D26C44"/>
    <w:rsid w:val="00D30A5F"/>
    <w:rsid w:val="00D32E2B"/>
    <w:rsid w:val="00D32F65"/>
    <w:rsid w:val="00D33D92"/>
    <w:rsid w:val="00D340E0"/>
    <w:rsid w:val="00D37E38"/>
    <w:rsid w:val="00D41FD3"/>
    <w:rsid w:val="00D44927"/>
    <w:rsid w:val="00D44F59"/>
    <w:rsid w:val="00D4653E"/>
    <w:rsid w:val="00D47881"/>
    <w:rsid w:val="00D50E11"/>
    <w:rsid w:val="00D51B1F"/>
    <w:rsid w:val="00D52DC2"/>
    <w:rsid w:val="00D53BCC"/>
    <w:rsid w:val="00D576B3"/>
    <w:rsid w:val="00D63791"/>
    <w:rsid w:val="00D64543"/>
    <w:rsid w:val="00D70581"/>
    <w:rsid w:val="00D70641"/>
    <w:rsid w:val="00D70DFB"/>
    <w:rsid w:val="00D734DE"/>
    <w:rsid w:val="00D7360A"/>
    <w:rsid w:val="00D75898"/>
    <w:rsid w:val="00D766DF"/>
    <w:rsid w:val="00D80E97"/>
    <w:rsid w:val="00D82069"/>
    <w:rsid w:val="00D83616"/>
    <w:rsid w:val="00D83A30"/>
    <w:rsid w:val="00D83D9D"/>
    <w:rsid w:val="00D93C67"/>
    <w:rsid w:val="00D94121"/>
    <w:rsid w:val="00D977B2"/>
    <w:rsid w:val="00DA186E"/>
    <w:rsid w:val="00DA4116"/>
    <w:rsid w:val="00DA73CC"/>
    <w:rsid w:val="00DA7DB7"/>
    <w:rsid w:val="00DB251C"/>
    <w:rsid w:val="00DB26F4"/>
    <w:rsid w:val="00DB2F2D"/>
    <w:rsid w:val="00DB3059"/>
    <w:rsid w:val="00DB4630"/>
    <w:rsid w:val="00DB5249"/>
    <w:rsid w:val="00DB5D8E"/>
    <w:rsid w:val="00DC0997"/>
    <w:rsid w:val="00DC0FBD"/>
    <w:rsid w:val="00DC3706"/>
    <w:rsid w:val="00DC4F88"/>
    <w:rsid w:val="00DD37D5"/>
    <w:rsid w:val="00DD4738"/>
    <w:rsid w:val="00DE0A0F"/>
    <w:rsid w:val="00DE2231"/>
    <w:rsid w:val="00DE3B91"/>
    <w:rsid w:val="00DE3E57"/>
    <w:rsid w:val="00DE57E7"/>
    <w:rsid w:val="00DF1720"/>
    <w:rsid w:val="00DF2ADF"/>
    <w:rsid w:val="00DF3F2A"/>
    <w:rsid w:val="00DF43D6"/>
    <w:rsid w:val="00DF509A"/>
    <w:rsid w:val="00DF5250"/>
    <w:rsid w:val="00DF6A5B"/>
    <w:rsid w:val="00DF7FFC"/>
    <w:rsid w:val="00E003B8"/>
    <w:rsid w:val="00E0531F"/>
    <w:rsid w:val="00E05704"/>
    <w:rsid w:val="00E077DC"/>
    <w:rsid w:val="00E10F59"/>
    <w:rsid w:val="00E10FCA"/>
    <w:rsid w:val="00E11E44"/>
    <w:rsid w:val="00E12BBF"/>
    <w:rsid w:val="00E140E3"/>
    <w:rsid w:val="00E245CA"/>
    <w:rsid w:val="00E24D65"/>
    <w:rsid w:val="00E26FF9"/>
    <w:rsid w:val="00E3270E"/>
    <w:rsid w:val="00E338EF"/>
    <w:rsid w:val="00E406ED"/>
    <w:rsid w:val="00E46777"/>
    <w:rsid w:val="00E47C38"/>
    <w:rsid w:val="00E506C4"/>
    <w:rsid w:val="00E51BF2"/>
    <w:rsid w:val="00E530F6"/>
    <w:rsid w:val="00E53FF8"/>
    <w:rsid w:val="00E544BB"/>
    <w:rsid w:val="00E561BD"/>
    <w:rsid w:val="00E662CB"/>
    <w:rsid w:val="00E70409"/>
    <w:rsid w:val="00E7210F"/>
    <w:rsid w:val="00E73D6A"/>
    <w:rsid w:val="00E749B8"/>
    <w:rsid w:val="00E74DC7"/>
    <w:rsid w:val="00E74E41"/>
    <w:rsid w:val="00E755A1"/>
    <w:rsid w:val="00E802FA"/>
    <w:rsid w:val="00E8075A"/>
    <w:rsid w:val="00E8080E"/>
    <w:rsid w:val="00E81966"/>
    <w:rsid w:val="00E81DB8"/>
    <w:rsid w:val="00E85E1A"/>
    <w:rsid w:val="00E94D5E"/>
    <w:rsid w:val="00E966F8"/>
    <w:rsid w:val="00E96782"/>
    <w:rsid w:val="00E968EF"/>
    <w:rsid w:val="00E96C22"/>
    <w:rsid w:val="00EA2557"/>
    <w:rsid w:val="00EA3132"/>
    <w:rsid w:val="00EA39D5"/>
    <w:rsid w:val="00EA61BA"/>
    <w:rsid w:val="00EA6919"/>
    <w:rsid w:val="00EA6994"/>
    <w:rsid w:val="00EA7100"/>
    <w:rsid w:val="00EA7F9F"/>
    <w:rsid w:val="00EB07F6"/>
    <w:rsid w:val="00EB1274"/>
    <w:rsid w:val="00EB16F8"/>
    <w:rsid w:val="00EB6228"/>
    <w:rsid w:val="00EC2D12"/>
    <w:rsid w:val="00EC51F2"/>
    <w:rsid w:val="00EC64D9"/>
    <w:rsid w:val="00ED0102"/>
    <w:rsid w:val="00ED1E85"/>
    <w:rsid w:val="00ED2BB6"/>
    <w:rsid w:val="00ED2F4D"/>
    <w:rsid w:val="00ED34E1"/>
    <w:rsid w:val="00ED3B8D"/>
    <w:rsid w:val="00ED4FAC"/>
    <w:rsid w:val="00ED579A"/>
    <w:rsid w:val="00EE2905"/>
    <w:rsid w:val="00EE3A3B"/>
    <w:rsid w:val="00EE6D1C"/>
    <w:rsid w:val="00EE7F35"/>
    <w:rsid w:val="00EF1F11"/>
    <w:rsid w:val="00EF2AB5"/>
    <w:rsid w:val="00EF2E3A"/>
    <w:rsid w:val="00EF361F"/>
    <w:rsid w:val="00EF65B7"/>
    <w:rsid w:val="00EF6819"/>
    <w:rsid w:val="00EF7EBA"/>
    <w:rsid w:val="00F0009A"/>
    <w:rsid w:val="00F00C95"/>
    <w:rsid w:val="00F047BB"/>
    <w:rsid w:val="00F06FB6"/>
    <w:rsid w:val="00F072A7"/>
    <w:rsid w:val="00F078DC"/>
    <w:rsid w:val="00F07C4E"/>
    <w:rsid w:val="00F1072A"/>
    <w:rsid w:val="00F11751"/>
    <w:rsid w:val="00F14399"/>
    <w:rsid w:val="00F143D4"/>
    <w:rsid w:val="00F15021"/>
    <w:rsid w:val="00F15F10"/>
    <w:rsid w:val="00F21833"/>
    <w:rsid w:val="00F2463C"/>
    <w:rsid w:val="00F255E6"/>
    <w:rsid w:val="00F2564C"/>
    <w:rsid w:val="00F25D77"/>
    <w:rsid w:val="00F32BA8"/>
    <w:rsid w:val="00F33149"/>
    <w:rsid w:val="00F334F8"/>
    <w:rsid w:val="00F33FAA"/>
    <w:rsid w:val="00F349F1"/>
    <w:rsid w:val="00F37F78"/>
    <w:rsid w:val="00F41676"/>
    <w:rsid w:val="00F42CAD"/>
    <w:rsid w:val="00F43495"/>
    <w:rsid w:val="00F4350D"/>
    <w:rsid w:val="00F45D81"/>
    <w:rsid w:val="00F47C81"/>
    <w:rsid w:val="00F516F8"/>
    <w:rsid w:val="00F52723"/>
    <w:rsid w:val="00F551EA"/>
    <w:rsid w:val="00F557C8"/>
    <w:rsid w:val="00F567F7"/>
    <w:rsid w:val="00F62036"/>
    <w:rsid w:val="00F6371F"/>
    <w:rsid w:val="00F64B16"/>
    <w:rsid w:val="00F65B52"/>
    <w:rsid w:val="00F677E9"/>
    <w:rsid w:val="00F67BCA"/>
    <w:rsid w:val="00F72B86"/>
    <w:rsid w:val="00F73BD6"/>
    <w:rsid w:val="00F74152"/>
    <w:rsid w:val="00F81F90"/>
    <w:rsid w:val="00F83989"/>
    <w:rsid w:val="00F845AE"/>
    <w:rsid w:val="00F85099"/>
    <w:rsid w:val="00F85213"/>
    <w:rsid w:val="00F92EA8"/>
    <w:rsid w:val="00F9379C"/>
    <w:rsid w:val="00F9632C"/>
    <w:rsid w:val="00F96443"/>
    <w:rsid w:val="00F97690"/>
    <w:rsid w:val="00FA0424"/>
    <w:rsid w:val="00FA10C2"/>
    <w:rsid w:val="00FA1E52"/>
    <w:rsid w:val="00FA4617"/>
    <w:rsid w:val="00FA757B"/>
    <w:rsid w:val="00FB164E"/>
    <w:rsid w:val="00FB377E"/>
    <w:rsid w:val="00FB7105"/>
    <w:rsid w:val="00FC2E95"/>
    <w:rsid w:val="00FC49C7"/>
    <w:rsid w:val="00FD451E"/>
    <w:rsid w:val="00FE3C2C"/>
    <w:rsid w:val="00FE4688"/>
    <w:rsid w:val="00FE4F6E"/>
    <w:rsid w:val="00FF0E9F"/>
    <w:rsid w:val="00FF1E86"/>
    <w:rsid w:val="00FF3410"/>
    <w:rsid w:val="00FF57E4"/>
    <w:rsid w:val="00FF6C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15AF"/>
    <w:pPr>
      <w:spacing w:line="260" w:lineRule="atLeast"/>
    </w:pPr>
    <w:rPr>
      <w:sz w:val="22"/>
    </w:rPr>
  </w:style>
  <w:style w:type="paragraph" w:styleId="Heading1">
    <w:name w:val="heading 1"/>
    <w:basedOn w:val="Normal"/>
    <w:next w:val="Normal"/>
    <w:link w:val="Heading1Char"/>
    <w:uiPriority w:val="9"/>
    <w:qFormat/>
    <w:rsid w:val="00B715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715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15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15A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15A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15A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15A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15A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715A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715AF"/>
  </w:style>
  <w:style w:type="paragraph" w:customStyle="1" w:styleId="OPCParaBase">
    <w:name w:val="OPCParaBase"/>
    <w:qFormat/>
    <w:rsid w:val="00B715AF"/>
    <w:pPr>
      <w:spacing w:line="260" w:lineRule="atLeast"/>
    </w:pPr>
    <w:rPr>
      <w:rFonts w:eastAsia="Times New Roman" w:cs="Times New Roman"/>
      <w:sz w:val="22"/>
      <w:lang w:eastAsia="en-AU"/>
    </w:rPr>
  </w:style>
  <w:style w:type="paragraph" w:customStyle="1" w:styleId="ShortT">
    <w:name w:val="ShortT"/>
    <w:basedOn w:val="OPCParaBase"/>
    <w:next w:val="Normal"/>
    <w:qFormat/>
    <w:rsid w:val="00B715AF"/>
    <w:pPr>
      <w:spacing w:line="240" w:lineRule="auto"/>
    </w:pPr>
    <w:rPr>
      <w:b/>
      <w:sz w:val="40"/>
    </w:rPr>
  </w:style>
  <w:style w:type="paragraph" w:customStyle="1" w:styleId="ActHead1">
    <w:name w:val="ActHead 1"/>
    <w:aliases w:val="c"/>
    <w:basedOn w:val="OPCParaBase"/>
    <w:next w:val="Normal"/>
    <w:qFormat/>
    <w:rsid w:val="00B715A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715A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715A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15A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715A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15A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15A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15A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15A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15AF"/>
  </w:style>
  <w:style w:type="paragraph" w:customStyle="1" w:styleId="Blocks">
    <w:name w:val="Blocks"/>
    <w:aliases w:val="bb"/>
    <w:basedOn w:val="OPCParaBase"/>
    <w:qFormat/>
    <w:rsid w:val="00B715AF"/>
    <w:pPr>
      <w:spacing w:line="240" w:lineRule="auto"/>
    </w:pPr>
    <w:rPr>
      <w:sz w:val="24"/>
    </w:rPr>
  </w:style>
  <w:style w:type="paragraph" w:customStyle="1" w:styleId="BoxText">
    <w:name w:val="BoxText"/>
    <w:aliases w:val="bt"/>
    <w:basedOn w:val="OPCParaBase"/>
    <w:qFormat/>
    <w:rsid w:val="00B715A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15AF"/>
    <w:rPr>
      <w:b/>
    </w:rPr>
  </w:style>
  <w:style w:type="paragraph" w:customStyle="1" w:styleId="BoxHeadItalic">
    <w:name w:val="BoxHeadItalic"/>
    <w:aliases w:val="bhi"/>
    <w:basedOn w:val="BoxText"/>
    <w:next w:val="BoxStep"/>
    <w:qFormat/>
    <w:rsid w:val="00B715AF"/>
    <w:rPr>
      <w:i/>
    </w:rPr>
  </w:style>
  <w:style w:type="paragraph" w:customStyle="1" w:styleId="BoxList">
    <w:name w:val="BoxList"/>
    <w:aliases w:val="bl"/>
    <w:basedOn w:val="BoxText"/>
    <w:qFormat/>
    <w:rsid w:val="00B715AF"/>
    <w:pPr>
      <w:ind w:left="1559" w:hanging="425"/>
    </w:pPr>
  </w:style>
  <w:style w:type="paragraph" w:customStyle="1" w:styleId="BoxNote">
    <w:name w:val="BoxNote"/>
    <w:aliases w:val="bn"/>
    <w:basedOn w:val="BoxText"/>
    <w:qFormat/>
    <w:rsid w:val="00B715AF"/>
    <w:pPr>
      <w:tabs>
        <w:tab w:val="left" w:pos="1985"/>
      </w:tabs>
      <w:spacing w:before="122" w:line="198" w:lineRule="exact"/>
      <w:ind w:left="2948" w:hanging="1814"/>
    </w:pPr>
    <w:rPr>
      <w:sz w:val="18"/>
    </w:rPr>
  </w:style>
  <w:style w:type="paragraph" w:customStyle="1" w:styleId="BoxPara">
    <w:name w:val="BoxPara"/>
    <w:aliases w:val="bp"/>
    <w:basedOn w:val="BoxText"/>
    <w:qFormat/>
    <w:rsid w:val="00B715AF"/>
    <w:pPr>
      <w:tabs>
        <w:tab w:val="right" w:pos="2268"/>
      </w:tabs>
      <w:ind w:left="2552" w:hanging="1418"/>
    </w:pPr>
  </w:style>
  <w:style w:type="paragraph" w:customStyle="1" w:styleId="BoxStep">
    <w:name w:val="BoxStep"/>
    <w:aliases w:val="bs"/>
    <w:basedOn w:val="BoxText"/>
    <w:qFormat/>
    <w:rsid w:val="00B715AF"/>
    <w:pPr>
      <w:ind w:left="1985" w:hanging="851"/>
    </w:pPr>
  </w:style>
  <w:style w:type="character" w:customStyle="1" w:styleId="CharAmPartNo">
    <w:name w:val="CharAmPartNo"/>
    <w:basedOn w:val="OPCCharBase"/>
    <w:uiPriority w:val="1"/>
    <w:qFormat/>
    <w:rsid w:val="00B715AF"/>
  </w:style>
  <w:style w:type="character" w:customStyle="1" w:styleId="CharAmPartText">
    <w:name w:val="CharAmPartText"/>
    <w:basedOn w:val="OPCCharBase"/>
    <w:uiPriority w:val="1"/>
    <w:qFormat/>
    <w:rsid w:val="00B715AF"/>
  </w:style>
  <w:style w:type="character" w:customStyle="1" w:styleId="CharAmSchNo">
    <w:name w:val="CharAmSchNo"/>
    <w:basedOn w:val="OPCCharBase"/>
    <w:uiPriority w:val="1"/>
    <w:qFormat/>
    <w:rsid w:val="00B715AF"/>
  </w:style>
  <w:style w:type="character" w:customStyle="1" w:styleId="CharAmSchText">
    <w:name w:val="CharAmSchText"/>
    <w:basedOn w:val="OPCCharBase"/>
    <w:uiPriority w:val="1"/>
    <w:qFormat/>
    <w:rsid w:val="00B715AF"/>
  </w:style>
  <w:style w:type="character" w:customStyle="1" w:styleId="CharBoldItalic">
    <w:name w:val="CharBoldItalic"/>
    <w:basedOn w:val="OPCCharBase"/>
    <w:uiPriority w:val="1"/>
    <w:qFormat/>
    <w:rsid w:val="00B715AF"/>
    <w:rPr>
      <w:b/>
      <w:i/>
    </w:rPr>
  </w:style>
  <w:style w:type="character" w:customStyle="1" w:styleId="CharChapNo">
    <w:name w:val="CharChapNo"/>
    <w:basedOn w:val="OPCCharBase"/>
    <w:qFormat/>
    <w:rsid w:val="00B715AF"/>
  </w:style>
  <w:style w:type="character" w:customStyle="1" w:styleId="CharChapText">
    <w:name w:val="CharChapText"/>
    <w:basedOn w:val="OPCCharBase"/>
    <w:qFormat/>
    <w:rsid w:val="00B715AF"/>
  </w:style>
  <w:style w:type="character" w:customStyle="1" w:styleId="CharDivNo">
    <w:name w:val="CharDivNo"/>
    <w:basedOn w:val="OPCCharBase"/>
    <w:qFormat/>
    <w:rsid w:val="00B715AF"/>
  </w:style>
  <w:style w:type="character" w:customStyle="1" w:styleId="CharDivText">
    <w:name w:val="CharDivText"/>
    <w:basedOn w:val="OPCCharBase"/>
    <w:qFormat/>
    <w:rsid w:val="00B715AF"/>
  </w:style>
  <w:style w:type="character" w:customStyle="1" w:styleId="CharItalic">
    <w:name w:val="CharItalic"/>
    <w:basedOn w:val="OPCCharBase"/>
    <w:uiPriority w:val="1"/>
    <w:qFormat/>
    <w:rsid w:val="00B715AF"/>
    <w:rPr>
      <w:i/>
    </w:rPr>
  </w:style>
  <w:style w:type="character" w:customStyle="1" w:styleId="CharPartNo">
    <w:name w:val="CharPartNo"/>
    <w:basedOn w:val="OPCCharBase"/>
    <w:qFormat/>
    <w:rsid w:val="00B715AF"/>
  </w:style>
  <w:style w:type="character" w:customStyle="1" w:styleId="CharPartText">
    <w:name w:val="CharPartText"/>
    <w:basedOn w:val="OPCCharBase"/>
    <w:qFormat/>
    <w:rsid w:val="00B715AF"/>
  </w:style>
  <w:style w:type="character" w:customStyle="1" w:styleId="CharSectno">
    <w:name w:val="CharSectno"/>
    <w:basedOn w:val="OPCCharBase"/>
    <w:qFormat/>
    <w:rsid w:val="00B715AF"/>
  </w:style>
  <w:style w:type="character" w:customStyle="1" w:styleId="CharSubdNo">
    <w:name w:val="CharSubdNo"/>
    <w:basedOn w:val="OPCCharBase"/>
    <w:uiPriority w:val="1"/>
    <w:qFormat/>
    <w:rsid w:val="00B715AF"/>
  </w:style>
  <w:style w:type="character" w:customStyle="1" w:styleId="CharSubdText">
    <w:name w:val="CharSubdText"/>
    <w:basedOn w:val="OPCCharBase"/>
    <w:uiPriority w:val="1"/>
    <w:qFormat/>
    <w:rsid w:val="00B715AF"/>
  </w:style>
  <w:style w:type="paragraph" w:customStyle="1" w:styleId="CTA--">
    <w:name w:val="CTA --"/>
    <w:basedOn w:val="OPCParaBase"/>
    <w:next w:val="Normal"/>
    <w:rsid w:val="00B715AF"/>
    <w:pPr>
      <w:spacing w:before="60" w:line="240" w:lineRule="atLeast"/>
      <w:ind w:left="142" w:hanging="142"/>
    </w:pPr>
    <w:rPr>
      <w:sz w:val="20"/>
    </w:rPr>
  </w:style>
  <w:style w:type="paragraph" w:customStyle="1" w:styleId="CTA-">
    <w:name w:val="CTA -"/>
    <w:basedOn w:val="OPCParaBase"/>
    <w:rsid w:val="00B715AF"/>
    <w:pPr>
      <w:spacing w:before="60" w:line="240" w:lineRule="atLeast"/>
      <w:ind w:left="85" w:hanging="85"/>
    </w:pPr>
    <w:rPr>
      <w:sz w:val="20"/>
    </w:rPr>
  </w:style>
  <w:style w:type="paragraph" w:customStyle="1" w:styleId="CTA---">
    <w:name w:val="CTA ---"/>
    <w:basedOn w:val="OPCParaBase"/>
    <w:next w:val="Normal"/>
    <w:rsid w:val="00B715AF"/>
    <w:pPr>
      <w:spacing w:before="60" w:line="240" w:lineRule="atLeast"/>
      <w:ind w:left="198" w:hanging="198"/>
    </w:pPr>
    <w:rPr>
      <w:sz w:val="20"/>
    </w:rPr>
  </w:style>
  <w:style w:type="paragraph" w:customStyle="1" w:styleId="CTA----">
    <w:name w:val="CTA ----"/>
    <w:basedOn w:val="OPCParaBase"/>
    <w:next w:val="Normal"/>
    <w:rsid w:val="00B715AF"/>
    <w:pPr>
      <w:spacing w:before="60" w:line="240" w:lineRule="atLeast"/>
      <w:ind w:left="255" w:hanging="255"/>
    </w:pPr>
    <w:rPr>
      <w:sz w:val="20"/>
    </w:rPr>
  </w:style>
  <w:style w:type="paragraph" w:customStyle="1" w:styleId="CTA1a">
    <w:name w:val="CTA 1(a)"/>
    <w:basedOn w:val="OPCParaBase"/>
    <w:rsid w:val="00B715AF"/>
    <w:pPr>
      <w:tabs>
        <w:tab w:val="right" w:pos="414"/>
      </w:tabs>
      <w:spacing w:before="40" w:line="240" w:lineRule="atLeast"/>
      <w:ind w:left="675" w:hanging="675"/>
    </w:pPr>
    <w:rPr>
      <w:sz w:val="20"/>
    </w:rPr>
  </w:style>
  <w:style w:type="paragraph" w:customStyle="1" w:styleId="CTA1ai">
    <w:name w:val="CTA 1(a)(i)"/>
    <w:basedOn w:val="OPCParaBase"/>
    <w:rsid w:val="00B715AF"/>
    <w:pPr>
      <w:tabs>
        <w:tab w:val="right" w:pos="1004"/>
      </w:tabs>
      <w:spacing w:before="40" w:line="240" w:lineRule="atLeast"/>
      <w:ind w:left="1253" w:hanging="1253"/>
    </w:pPr>
    <w:rPr>
      <w:sz w:val="20"/>
    </w:rPr>
  </w:style>
  <w:style w:type="paragraph" w:customStyle="1" w:styleId="CTA2a">
    <w:name w:val="CTA 2(a)"/>
    <w:basedOn w:val="OPCParaBase"/>
    <w:rsid w:val="00B715AF"/>
    <w:pPr>
      <w:tabs>
        <w:tab w:val="right" w:pos="482"/>
      </w:tabs>
      <w:spacing w:before="40" w:line="240" w:lineRule="atLeast"/>
      <w:ind w:left="748" w:hanging="748"/>
    </w:pPr>
    <w:rPr>
      <w:sz w:val="20"/>
    </w:rPr>
  </w:style>
  <w:style w:type="paragraph" w:customStyle="1" w:styleId="CTA2ai">
    <w:name w:val="CTA 2(a)(i)"/>
    <w:basedOn w:val="OPCParaBase"/>
    <w:rsid w:val="00B715AF"/>
    <w:pPr>
      <w:tabs>
        <w:tab w:val="right" w:pos="1089"/>
      </w:tabs>
      <w:spacing w:before="40" w:line="240" w:lineRule="atLeast"/>
      <w:ind w:left="1327" w:hanging="1327"/>
    </w:pPr>
    <w:rPr>
      <w:sz w:val="20"/>
    </w:rPr>
  </w:style>
  <w:style w:type="paragraph" w:customStyle="1" w:styleId="CTA3a">
    <w:name w:val="CTA 3(a)"/>
    <w:basedOn w:val="OPCParaBase"/>
    <w:rsid w:val="00B715AF"/>
    <w:pPr>
      <w:tabs>
        <w:tab w:val="right" w:pos="556"/>
      </w:tabs>
      <w:spacing w:before="40" w:line="240" w:lineRule="atLeast"/>
      <w:ind w:left="805" w:hanging="805"/>
    </w:pPr>
    <w:rPr>
      <w:sz w:val="20"/>
    </w:rPr>
  </w:style>
  <w:style w:type="paragraph" w:customStyle="1" w:styleId="CTA3ai">
    <w:name w:val="CTA 3(a)(i)"/>
    <w:basedOn w:val="OPCParaBase"/>
    <w:rsid w:val="00B715AF"/>
    <w:pPr>
      <w:tabs>
        <w:tab w:val="right" w:pos="1140"/>
      </w:tabs>
      <w:spacing w:before="40" w:line="240" w:lineRule="atLeast"/>
      <w:ind w:left="1361" w:hanging="1361"/>
    </w:pPr>
    <w:rPr>
      <w:sz w:val="20"/>
    </w:rPr>
  </w:style>
  <w:style w:type="paragraph" w:customStyle="1" w:styleId="CTA4a">
    <w:name w:val="CTA 4(a)"/>
    <w:basedOn w:val="OPCParaBase"/>
    <w:rsid w:val="00B715AF"/>
    <w:pPr>
      <w:tabs>
        <w:tab w:val="right" w:pos="624"/>
      </w:tabs>
      <w:spacing w:before="40" w:line="240" w:lineRule="atLeast"/>
      <w:ind w:left="873" w:hanging="873"/>
    </w:pPr>
    <w:rPr>
      <w:sz w:val="20"/>
    </w:rPr>
  </w:style>
  <w:style w:type="paragraph" w:customStyle="1" w:styleId="CTA4ai">
    <w:name w:val="CTA 4(a)(i)"/>
    <w:basedOn w:val="OPCParaBase"/>
    <w:rsid w:val="00B715AF"/>
    <w:pPr>
      <w:tabs>
        <w:tab w:val="right" w:pos="1213"/>
      </w:tabs>
      <w:spacing w:before="40" w:line="240" w:lineRule="atLeast"/>
      <w:ind w:left="1452" w:hanging="1452"/>
    </w:pPr>
    <w:rPr>
      <w:sz w:val="20"/>
    </w:rPr>
  </w:style>
  <w:style w:type="paragraph" w:customStyle="1" w:styleId="CTACAPS">
    <w:name w:val="CTA CAPS"/>
    <w:basedOn w:val="OPCParaBase"/>
    <w:rsid w:val="00B715AF"/>
    <w:pPr>
      <w:spacing w:before="60" w:line="240" w:lineRule="atLeast"/>
    </w:pPr>
    <w:rPr>
      <w:sz w:val="20"/>
    </w:rPr>
  </w:style>
  <w:style w:type="paragraph" w:customStyle="1" w:styleId="CTAright">
    <w:name w:val="CTA right"/>
    <w:basedOn w:val="OPCParaBase"/>
    <w:rsid w:val="00B715AF"/>
    <w:pPr>
      <w:spacing w:before="60" w:line="240" w:lineRule="auto"/>
      <w:jc w:val="right"/>
    </w:pPr>
    <w:rPr>
      <w:sz w:val="20"/>
    </w:rPr>
  </w:style>
  <w:style w:type="paragraph" w:customStyle="1" w:styleId="subsection">
    <w:name w:val="subsection"/>
    <w:aliases w:val="ss,Subsection"/>
    <w:basedOn w:val="OPCParaBase"/>
    <w:link w:val="subsectionChar"/>
    <w:rsid w:val="00B715AF"/>
    <w:pPr>
      <w:tabs>
        <w:tab w:val="right" w:pos="1021"/>
      </w:tabs>
      <w:spacing w:before="180" w:line="240" w:lineRule="auto"/>
      <w:ind w:left="1134" w:hanging="1134"/>
    </w:pPr>
  </w:style>
  <w:style w:type="paragraph" w:customStyle="1" w:styleId="Definition">
    <w:name w:val="Definition"/>
    <w:aliases w:val="dd"/>
    <w:basedOn w:val="OPCParaBase"/>
    <w:rsid w:val="00B715AF"/>
    <w:pPr>
      <w:spacing w:before="180" w:line="240" w:lineRule="auto"/>
      <w:ind w:left="1134"/>
    </w:pPr>
  </w:style>
  <w:style w:type="paragraph" w:customStyle="1" w:styleId="EndNotespara">
    <w:name w:val="EndNotes(para)"/>
    <w:aliases w:val="eta"/>
    <w:basedOn w:val="OPCParaBase"/>
    <w:next w:val="EndNotessubpara"/>
    <w:rsid w:val="00B715A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15A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715A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15AF"/>
    <w:pPr>
      <w:tabs>
        <w:tab w:val="right" w:pos="1412"/>
      </w:tabs>
      <w:spacing w:before="60" w:line="240" w:lineRule="auto"/>
      <w:ind w:left="1525" w:hanging="1525"/>
    </w:pPr>
    <w:rPr>
      <w:sz w:val="20"/>
    </w:rPr>
  </w:style>
  <w:style w:type="paragraph" w:customStyle="1" w:styleId="Formula">
    <w:name w:val="Formula"/>
    <w:basedOn w:val="OPCParaBase"/>
    <w:rsid w:val="00B715AF"/>
    <w:pPr>
      <w:spacing w:line="240" w:lineRule="auto"/>
      <w:ind w:left="1134"/>
    </w:pPr>
    <w:rPr>
      <w:sz w:val="20"/>
    </w:rPr>
  </w:style>
  <w:style w:type="paragraph" w:styleId="Header">
    <w:name w:val="header"/>
    <w:basedOn w:val="OPCParaBase"/>
    <w:link w:val="HeaderChar"/>
    <w:unhideWhenUsed/>
    <w:rsid w:val="00B715A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715AF"/>
    <w:rPr>
      <w:rFonts w:eastAsia="Times New Roman" w:cs="Times New Roman"/>
      <w:sz w:val="16"/>
      <w:lang w:eastAsia="en-AU"/>
    </w:rPr>
  </w:style>
  <w:style w:type="paragraph" w:customStyle="1" w:styleId="House">
    <w:name w:val="House"/>
    <w:basedOn w:val="OPCParaBase"/>
    <w:rsid w:val="00B715AF"/>
    <w:pPr>
      <w:spacing w:line="240" w:lineRule="auto"/>
    </w:pPr>
    <w:rPr>
      <w:sz w:val="28"/>
    </w:rPr>
  </w:style>
  <w:style w:type="paragraph" w:customStyle="1" w:styleId="Item">
    <w:name w:val="Item"/>
    <w:aliases w:val="i"/>
    <w:basedOn w:val="OPCParaBase"/>
    <w:next w:val="ItemHead"/>
    <w:rsid w:val="00B715AF"/>
    <w:pPr>
      <w:keepLines/>
      <w:spacing w:before="80" w:line="240" w:lineRule="auto"/>
      <w:ind w:left="709"/>
    </w:pPr>
  </w:style>
  <w:style w:type="paragraph" w:customStyle="1" w:styleId="ItemHead">
    <w:name w:val="ItemHead"/>
    <w:aliases w:val="ih"/>
    <w:basedOn w:val="OPCParaBase"/>
    <w:next w:val="Item"/>
    <w:rsid w:val="00B715A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15AF"/>
    <w:pPr>
      <w:spacing w:line="240" w:lineRule="auto"/>
    </w:pPr>
    <w:rPr>
      <w:b/>
      <w:sz w:val="32"/>
    </w:rPr>
  </w:style>
  <w:style w:type="paragraph" w:customStyle="1" w:styleId="notedraft">
    <w:name w:val="note(draft)"/>
    <w:aliases w:val="nd"/>
    <w:basedOn w:val="OPCParaBase"/>
    <w:rsid w:val="00B715AF"/>
    <w:pPr>
      <w:spacing w:before="240" w:line="240" w:lineRule="auto"/>
      <w:ind w:left="284" w:hanging="284"/>
    </w:pPr>
    <w:rPr>
      <w:i/>
      <w:sz w:val="24"/>
    </w:rPr>
  </w:style>
  <w:style w:type="paragraph" w:customStyle="1" w:styleId="notemargin">
    <w:name w:val="note(margin)"/>
    <w:aliases w:val="nm"/>
    <w:basedOn w:val="OPCParaBase"/>
    <w:rsid w:val="00B715AF"/>
    <w:pPr>
      <w:tabs>
        <w:tab w:val="left" w:pos="709"/>
      </w:tabs>
      <w:spacing w:before="122" w:line="198" w:lineRule="exact"/>
      <w:ind w:left="709" w:hanging="709"/>
    </w:pPr>
    <w:rPr>
      <w:sz w:val="18"/>
    </w:rPr>
  </w:style>
  <w:style w:type="paragraph" w:customStyle="1" w:styleId="noteToPara">
    <w:name w:val="noteToPara"/>
    <w:aliases w:val="ntp"/>
    <w:basedOn w:val="OPCParaBase"/>
    <w:rsid w:val="00B715AF"/>
    <w:pPr>
      <w:spacing w:before="122" w:line="198" w:lineRule="exact"/>
      <w:ind w:left="2353" w:hanging="709"/>
    </w:pPr>
    <w:rPr>
      <w:sz w:val="18"/>
    </w:rPr>
  </w:style>
  <w:style w:type="paragraph" w:customStyle="1" w:styleId="noteParlAmend">
    <w:name w:val="note(ParlAmend)"/>
    <w:aliases w:val="npp"/>
    <w:basedOn w:val="OPCParaBase"/>
    <w:next w:val="ParlAmend"/>
    <w:rsid w:val="00B715AF"/>
    <w:pPr>
      <w:spacing w:line="240" w:lineRule="auto"/>
      <w:jc w:val="right"/>
    </w:pPr>
    <w:rPr>
      <w:rFonts w:ascii="Arial" w:hAnsi="Arial"/>
      <w:b/>
      <w:i/>
    </w:rPr>
  </w:style>
  <w:style w:type="paragraph" w:customStyle="1" w:styleId="Page1">
    <w:name w:val="Page1"/>
    <w:basedOn w:val="OPCParaBase"/>
    <w:rsid w:val="00B715AF"/>
    <w:pPr>
      <w:spacing w:before="5600" w:line="240" w:lineRule="auto"/>
    </w:pPr>
    <w:rPr>
      <w:b/>
      <w:sz w:val="32"/>
    </w:rPr>
  </w:style>
  <w:style w:type="paragraph" w:customStyle="1" w:styleId="PageBreak">
    <w:name w:val="PageBreak"/>
    <w:aliases w:val="pb"/>
    <w:basedOn w:val="OPCParaBase"/>
    <w:rsid w:val="00B715AF"/>
    <w:pPr>
      <w:spacing w:line="240" w:lineRule="auto"/>
    </w:pPr>
    <w:rPr>
      <w:sz w:val="20"/>
    </w:rPr>
  </w:style>
  <w:style w:type="paragraph" w:customStyle="1" w:styleId="paragraphsub">
    <w:name w:val="paragraph(sub)"/>
    <w:aliases w:val="aa"/>
    <w:basedOn w:val="OPCParaBase"/>
    <w:rsid w:val="00B715AF"/>
    <w:pPr>
      <w:tabs>
        <w:tab w:val="right" w:pos="1985"/>
      </w:tabs>
      <w:spacing w:before="40" w:line="240" w:lineRule="auto"/>
      <w:ind w:left="2098" w:hanging="2098"/>
    </w:pPr>
  </w:style>
  <w:style w:type="paragraph" w:customStyle="1" w:styleId="paragraphsub-sub">
    <w:name w:val="paragraph(sub-sub)"/>
    <w:aliases w:val="aaa"/>
    <w:basedOn w:val="OPCParaBase"/>
    <w:rsid w:val="00B715AF"/>
    <w:pPr>
      <w:tabs>
        <w:tab w:val="right" w:pos="2722"/>
      </w:tabs>
      <w:spacing w:before="40" w:line="240" w:lineRule="auto"/>
      <w:ind w:left="2835" w:hanging="2835"/>
    </w:pPr>
  </w:style>
  <w:style w:type="paragraph" w:customStyle="1" w:styleId="paragraph">
    <w:name w:val="paragraph"/>
    <w:aliases w:val="a"/>
    <w:basedOn w:val="OPCParaBase"/>
    <w:link w:val="paragraphChar"/>
    <w:rsid w:val="00B715AF"/>
    <w:pPr>
      <w:tabs>
        <w:tab w:val="right" w:pos="1531"/>
      </w:tabs>
      <w:spacing w:before="40" w:line="240" w:lineRule="auto"/>
      <w:ind w:left="1644" w:hanging="1644"/>
    </w:pPr>
  </w:style>
  <w:style w:type="paragraph" w:customStyle="1" w:styleId="ParlAmend">
    <w:name w:val="ParlAmend"/>
    <w:aliases w:val="pp"/>
    <w:basedOn w:val="OPCParaBase"/>
    <w:rsid w:val="00B715AF"/>
    <w:pPr>
      <w:spacing w:before="240" w:line="240" w:lineRule="atLeast"/>
      <w:ind w:hanging="567"/>
    </w:pPr>
    <w:rPr>
      <w:sz w:val="24"/>
    </w:rPr>
  </w:style>
  <w:style w:type="paragraph" w:customStyle="1" w:styleId="Penalty">
    <w:name w:val="Penalty"/>
    <w:basedOn w:val="OPCParaBase"/>
    <w:rsid w:val="00B715AF"/>
    <w:pPr>
      <w:tabs>
        <w:tab w:val="left" w:pos="2977"/>
      </w:tabs>
      <w:spacing w:before="180" w:line="240" w:lineRule="auto"/>
      <w:ind w:left="1985" w:hanging="851"/>
    </w:pPr>
  </w:style>
  <w:style w:type="paragraph" w:customStyle="1" w:styleId="Portfolio">
    <w:name w:val="Portfolio"/>
    <w:basedOn w:val="OPCParaBase"/>
    <w:rsid w:val="00B715AF"/>
    <w:pPr>
      <w:spacing w:line="240" w:lineRule="auto"/>
    </w:pPr>
    <w:rPr>
      <w:i/>
      <w:sz w:val="20"/>
    </w:rPr>
  </w:style>
  <w:style w:type="paragraph" w:customStyle="1" w:styleId="Preamble">
    <w:name w:val="Preamble"/>
    <w:basedOn w:val="OPCParaBase"/>
    <w:next w:val="Normal"/>
    <w:rsid w:val="00B715A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15AF"/>
    <w:pPr>
      <w:spacing w:line="240" w:lineRule="auto"/>
    </w:pPr>
    <w:rPr>
      <w:i/>
      <w:sz w:val="20"/>
    </w:rPr>
  </w:style>
  <w:style w:type="paragraph" w:customStyle="1" w:styleId="Session">
    <w:name w:val="Session"/>
    <w:basedOn w:val="OPCParaBase"/>
    <w:rsid w:val="00B715AF"/>
    <w:pPr>
      <w:spacing w:line="240" w:lineRule="auto"/>
    </w:pPr>
    <w:rPr>
      <w:sz w:val="28"/>
    </w:rPr>
  </w:style>
  <w:style w:type="paragraph" w:customStyle="1" w:styleId="Sponsor">
    <w:name w:val="Sponsor"/>
    <w:basedOn w:val="OPCParaBase"/>
    <w:rsid w:val="00B715AF"/>
    <w:pPr>
      <w:spacing w:line="240" w:lineRule="auto"/>
    </w:pPr>
    <w:rPr>
      <w:i/>
    </w:rPr>
  </w:style>
  <w:style w:type="paragraph" w:customStyle="1" w:styleId="Subitem">
    <w:name w:val="Subitem"/>
    <w:aliases w:val="iss"/>
    <w:basedOn w:val="OPCParaBase"/>
    <w:rsid w:val="00B715AF"/>
    <w:pPr>
      <w:spacing w:before="180" w:line="240" w:lineRule="auto"/>
      <w:ind w:left="709" w:hanging="709"/>
    </w:pPr>
  </w:style>
  <w:style w:type="paragraph" w:customStyle="1" w:styleId="SubitemHead">
    <w:name w:val="SubitemHead"/>
    <w:aliases w:val="issh"/>
    <w:basedOn w:val="OPCParaBase"/>
    <w:rsid w:val="00B715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15AF"/>
    <w:pPr>
      <w:spacing w:before="40" w:line="240" w:lineRule="auto"/>
      <w:ind w:left="1134"/>
    </w:pPr>
  </w:style>
  <w:style w:type="paragraph" w:customStyle="1" w:styleId="SubsectionHead">
    <w:name w:val="SubsectionHead"/>
    <w:aliases w:val="ssh"/>
    <w:basedOn w:val="OPCParaBase"/>
    <w:next w:val="subsection"/>
    <w:rsid w:val="00B715AF"/>
    <w:pPr>
      <w:keepNext/>
      <w:keepLines/>
      <w:spacing w:before="240" w:line="240" w:lineRule="auto"/>
      <w:ind w:left="1134"/>
    </w:pPr>
    <w:rPr>
      <w:i/>
    </w:rPr>
  </w:style>
  <w:style w:type="paragraph" w:customStyle="1" w:styleId="Tablea">
    <w:name w:val="Table(a)"/>
    <w:aliases w:val="ta"/>
    <w:basedOn w:val="OPCParaBase"/>
    <w:rsid w:val="00B715AF"/>
    <w:pPr>
      <w:spacing w:before="60" w:line="240" w:lineRule="auto"/>
      <w:ind w:left="284" w:hanging="284"/>
    </w:pPr>
    <w:rPr>
      <w:sz w:val="20"/>
    </w:rPr>
  </w:style>
  <w:style w:type="paragraph" w:customStyle="1" w:styleId="TableAA">
    <w:name w:val="Table(AA)"/>
    <w:aliases w:val="taaa"/>
    <w:basedOn w:val="OPCParaBase"/>
    <w:rsid w:val="00B715A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15A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715AF"/>
    <w:pPr>
      <w:spacing w:before="60" w:line="240" w:lineRule="atLeast"/>
    </w:pPr>
    <w:rPr>
      <w:sz w:val="20"/>
    </w:rPr>
  </w:style>
  <w:style w:type="paragraph" w:customStyle="1" w:styleId="TLPBoxTextnote">
    <w:name w:val="TLPBoxText(note"/>
    <w:aliases w:val="right)"/>
    <w:basedOn w:val="OPCParaBase"/>
    <w:rsid w:val="00B715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15A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15AF"/>
    <w:pPr>
      <w:spacing w:before="122" w:line="198" w:lineRule="exact"/>
      <w:ind w:left="1985" w:hanging="851"/>
      <w:jc w:val="right"/>
    </w:pPr>
    <w:rPr>
      <w:sz w:val="18"/>
    </w:rPr>
  </w:style>
  <w:style w:type="paragraph" w:customStyle="1" w:styleId="TLPTableBullet">
    <w:name w:val="TLPTableBullet"/>
    <w:aliases w:val="ttb"/>
    <w:basedOn w:val="OPCParaBase"/>
    <w:rsid w:val="00B715AF"/>
    <w:pPr>
      <w:spacing w:line="240" w:lineRule="exact"/>
      <w:ind w:left="284" w:hanging="284"/>
    </w:pPr>
    <w:rPr>
      <w:sz w:val="20"/>
    </w:rPr>
  </w:style>
  <w:style w:type="paragraph" w:styleId="TOC1">
    <w:name w:val="toc 1"/>
    <w:basedOn w:val="OPCParaBase"/>
    <w:next w:val="Normal"/>
    <w:uiPriority w:val="39"/>
    <w:unhideWhenUsed/>
    <w:rsid w:val="00B715A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715A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715A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715A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715A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715A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715A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715A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715A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715AF"/>
    <w:pPr>
      <w:keepLines/>
      <w:spacing w:before="240" w:after="120" w:line="240" w:lineRule="auto"/>
      <w:ind w:left="794"/>
    </w:pPr>
    <w:rPr>
      <w:b/>
      <w:kern w:val="28"/>
      <w:sz w:val="20"/>
    </w:rPr>
  </w:style>
  <w:style w:type="paragraph" w:customStyle="1" w:styleId="TofSectsHeading">
    <w:name w:val="TofSects(Heading)"/>
    <w:basedOn w:val="OPCParaBase"/>
    <w:rsid w:val="00B715AF"/>
    <w:pPr>
      <w:spacing w:before="240" w:after="120" w:line="240" w:lineRule="auto"/>
    </w:pPr>
    <w:rPr>
      <w:b/>
      <w:sz w:val="24"/>
    </w:rPr>
  </w:style>
  <w:style w:type="paragraph" w:customStyle="1" w:styleId="TofSectsSection">
    <w:name w:val="TofSects(Section)"/>
    <w:basedOn w:val="OPCParaBase"/>
    <w:rsid w:val="00B715AF"/>
    <w:pPr>
      <w:keepLines/>
      <w:spacing w:before="40" w:line="240" w:lineRule="auto"/>
      <w:ind w:left="1588" w:hanging="794"/>
    </w:pPr>
    <w:rPr>
      <w:kern w:val="28"/>
      <w:sz w:val="18"/>
    </w:rPr>
  </w:style>
  <w:style w:type="paragraph" w:customStyle="1" w:styleId="TofSectsSubdiv">
    <w:name w:val="TofSects(Subdiv)"/>
    <w:basedOn w:val="OPCParaBase"/>
    <w:rsid w:val="00B715AF"/>
    <w:pPr>
      <w:keepLines/>
      <w:spacing w:before="80" w:line="240" w:lineRule="auto"/>
      <w:ind w:left="1588" w:hanging="794"/>
    </w:pPr>
    <w:rPr>
      <w:kern w:val="28"/>
    </w:rPr>
  </w:style>
  <w:style w:type="paragraph" w:customStyle="1" w:styleId="WRStyle">
    <w:name w:val="WR Style"/>
    <w:aliases w:val="WR"/>
    <w:basedOn w:val="OPCParaBase"/>
    <w:rsid w:val="00B715AF"/>
    <w:pPr>
      <w:spacing w:before="240" w:line="240" w:lineRule="auto"/>
      <w:ind w:left="284" w:hanging="284"/>
    </w:pPr>
    <w:rPr>
      <w:b/>
      <w:i/>
      <w:kern w:val="28"/>
      <w:sz w:val="24"/>
    </w:rPr>
  </w:style>
  <w:style w:type="paragraph" w:customStyle="1" w:styleId="notepara">
    <w:name w:val="note(para)"/>
    <w:aliases w:val="na"/>
    <w:basedOn w:val="OPCParaBase"/>
    <w:rsid w:val="00B715AF"/>
    <w:pPr>
      <w:spacing w:before="40" w:line="198" w:lineRule="exact"/>
      <w:ind w:left="2354" w:hanging="369"/>
    </w:pPr>
    <w:rPr>
      <w:sz w:val="18"/>
    </w:rPr>
  </w:style>
  <w:style w:type="paragraph" w:styleId="Footer">
    <w:name w:val="footer"/>
    <w:link w:val="FooterChar"/>
    <w:rsid w:val="00B715A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715AF"/>
    <w:rPr>
      <w:rFonts w:eastAsia="Times New Roman" w:cs="Times New Roman"/>
      <w:sz w:val="22"/>
      <w:szCs w:val="24"/>
      <w:lang w:eastAsia="en-AU"/>
    </w:rPr>
  </w:style>
  <w:style w:type="character" w:styleId="LineNumber">
    <w:name w:val="line number"/>
    <w:basedOn w:val="OPCCharBase"/>
    <w:uiPriority w:val="99"/>
    <w:semiHidden/>
    <w:unhideWhenUsed/>
    <w:rsid w:val="00B715AF"/>
    <w:rPr>
      <w:sz w:val="16"/>
    </w:rPr>
  </w:style>
  <w:style w:type="table" w:customStyle="1" w:styleId="CFlag">
    <w:name w:val="CFlag"/>
    <w:basedOn w:val="TableNormal"/>
    <w:uiPriority w:val="99"/>
    <w:rsid w:val="00B715AF"/>
    <w:rPr>
      <w:rFonts w:eastAsia="Times New Roman" w:cs="Times New Roman"/>
      <w:lang w:eastAsia="en-AU"/>
    </w:rPr>
    <w:tblPr/>
  </w:style>
  <w:style w:type="paragraph" w:styleId="BalloonText">
    <w:name w:val="Balloon Text"/>
    <w:basedOn w:val="Normal"/>
    <w:link w:val="BalloonTextChar"/>
    <w:uiPriority w:val="99"/>
    <w:semiHidden/>
    <w:unhideWhenUsed/>
    <w:rsid w:val="00B715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5AF"/>
    <w:rPr>
      <w:rFonts w:ascii="Tahoma" w:hAnsi="Tahoma" w:cs="Tahoma"/>
      <w:sz w:val="16"/>
      <w:szCs w:val="16"/>
    </w:rPr>
  </w:style>
  <w:style w:type="table" w:styleId="TableGrid">
    <w:name w:val="Table Grid"/>
    <w:basedOn w:val="TableNormal"/>
    <w:uiPriority w:val="59"/>
    <w:rsid w:val="00B71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715AF"/>
    <w:rPr>
      <w:b/>
      <w:sz w:val="28"/>
      <w:szCs w:val="32"/>
    </w:rPr>
  </w:style>
  <w:style w:type="paragraph" w:customStyle="1" w:styleId="LegislationMadeUnder">
    <w:name w:val="LegislationMadeUnder"/>
    <w:basedOn w:val="OPCParaBase"/>
    <w:next w:val="Normal"/>
    <w:rsid w:val="00B715AF"/>
    <w:rPr>
      <w:i/>
      <w:sz w:val="32"/>
      <w:szCs w:val="32"/>
    </w:rPr>
  </w:style>
  <w:style w:type="paragraph" w:customStyle="1" w:styleId="SignCoverPageEnd">
    <w:name w:val="SignCoverPageEnd"/>
    <w:basedOn w:val="OPCParaBase"/>
    <w:next w:val="Normal"/>
    <w:rsid w:val="00B715A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715AF"/>
    <w:pPr>
      <w:pBdr>
        <w:top w:val="single" w:sz="4" w:space="1" w:color="auto"/>
      </w:pBdr>
      <w:spacing w:before="360"/>
      <w:ind w:right="397"/>
      <w:jc w:val="both"/>
    </w:pPr>
  </w:style>
  <w:style w:type="paragraph" w:customStyle="1" w:styleId="NotesHeading1">
    <w:name w:val="NotesHeading 1"/>
    <w:basedOn w:val="OPCParaBase"/>
    <w:next w:val="Normal"/>
    <w:rsid w:val="00B715AF"/>
    <w:pPr>
      <w:outlineLvl w:val="0"/>
    </w:pPr>
    <w:rPr>
      <w:b/>
      <w:sz w:val="28"/>
      <w:szCs w:val="28"/>
    </w:rPr>
  </w:style>
  <w:style w:type="paragraph" w:customStyle="1" w:styleId="NotesHeading2">
    <w:name w:val="NotesHeading 2"/>
    <w:basedOn w:val="OPCParaBase"/>
    <w:next w:val="Normal"/>
    <w:rsid w:val="00B715AF"/>
    <w:rPr>
      <w:b/>
      <w:sz w:val="28"/>
      <w:szCs w:val="28"/>
    </w:rPr>
  </w:style>
  <w:style w:type="paragraph" w:customStyle="1" w:styleId="CompiledActNo">
    <w:name w:val="CompiledActNo"/>
    <w:basedOn w:val="OPCParaBase"/>
    <w:next w:val="Normal"/>
    <w:rsid w:val="00B715AF"/>
    <w:rPr>
      <w:b/>
      <w:sz w:val="24"/>
      <w:szCs w:val="24"/>
    </w:rPr>
  </w:style>
  <w:style w:type="paragraph" w:customStyle="1" w:styleId="ENotesText">
    <w:name w:val="ENotesText"/>
    <w:aliases w:val="Ent"/>
    <w:basedOn w:val="OPCParaBase"/>
    <w:next w:val="Normal"/>
    <w:rsid w:val="00B715AF"/>
    <w:pPr>
      <w:spacing w:before="120"/>
    </w:pPr>
  </w:style>
  <w:style w:type="paragraph" w:customStyle="1" w:styleId="CompiledMadeUnder">
    <w:name w:val="CompiledMadeUnder"/>
    <w:basedOn w:val="OPCParaBase"/>
    <w:next w:val="Normal"/>
    <w:rsid w:val="00B715AF"/>
    <w:rPr>
      <w:i/>
      <w:sz w:val="24"/>
      <w:szCs w:val="24"/>
    </w:rPr>
  </w:style>
  <w:style w:type="paragraph" w:customStyle="1" w:styleId="Paragraphsub-sub-sub">
    <w:name w:val="Paragraph(sub-sub-sub)"/>
    <w:aliases w:val="aaaa"/>
    <w:basedOn w:val="OPCParaBase"/>
    <w:rsid w:val="00B715AF"/>
    <w:pPr>
      <w:tabs>
        <w:tab w:val="right" w:pos="3402"/>
      </w:tabs>
      <w:spacing w:before="40" w:line="240" w:lineRule="auto"/>
      <w:ind w:left="3402" w:hanging="3402"/>
    </w:pPr>
  </w:style>
  <w:style w:type="paragraph" w:customStyle="1" w:styleId="TableTextEndNotes">
    <w:name w:val="TableTextEndNotes"/>
    <w:aliases w:val="Tten"/>
    <w:basedOn w:val="Normal"/>
    <w:rsid w:val="00B715AF"/>
    <w:pPr>
      <w:spacing w:before="60" w:line="240" w:lineRule="auto"/>
    </w:pPr>
    <w:rPr>
      <w:rFonts w:cs="Arial"/>
      <w:sz w:val="20"/>
      <w:szCs w:val="22"/>
    </w:rPr>
  </w:style>
  <w:style w:type="paragraph" w:customStyle="1" w:styleId="NoteToSubpara">
    <w:name w:val="NoteToSubpara"/>
    <w:aliases w:val="nts"/>
    <w:basedOn w:val="OPCParaBase"/>
    <w:rsid w:val="00B715AF"/>
    <w:pPr>
      <w:spacing w:before="40" w:line="198" w:lineRule="exact"/>
      <w:ind w:left="2835" w:hanging="709"/>
    </w:pPr>
    <w:rPr>
      <w:sz w:val="18"/>
    </w:rPr>
  </w:style>
  <w:style w:type="paragraph" w:customStyle="1" w:styleId="ENoteTableHeading">
    <w:name w:val="ENoteTableHeading"/>
    <w:aliases w:val="enth"/>
    <w:basedOn w:val="OPCParaBase"/>
    <w:rsid w:val="00B715AF"/>
    <w:pPr>
      <w:keepNext/>
      <w:spacing w:before="60" w:line="240" w:lineRule="atLeast"/>
    </w:pPr>
    <w:rPr>
      <w:rFonts w:ascii="Arial" w:hAnsi="Arial"/>
      <w:b/>
      <w:sz w:val="16"/>
    </w:rPr>
  </w:style>
  <w:style w:type="paragraph" w:customStyle="1" w:styleId="ENoteTTi">
    <w:name w:val="ENoteTTi"/>
    <w:aliases w:val="entti"/>
    <w:basedOn w:val="OPCParaBase"/>
    <w:rsid w:val="00B715AF"/>
    <w:pPr>
      <w:keepNext/>
      <w:spacing w:before="60" w:line="240" w:lineRule="atLeast"/>
      <w:ind w:left="170"/>
    </w:pPr>
    <w:rPr>
      <w:sz w:val="16"/>
    </w:rPr>
  </w:style>
  <w:style w:type="paragraph" w:customStyle="1" w:styleId="ENotesHeading1">
    <w:name w:val="ENotesHeading 1"/>
    <w:aliases w:val="Enh1"/>
    <w:basedOn w:val="OPCParaBase"/>
    <w:next w:val="Normal"/>
    <w:rsid w:val="00B715AF"/>
    <w:pPr>
      <w:spacing w:before="120"/>
      <w:outlineLvl w:val="1"/>
    </w:pPr>
    <w:rPr>
      <w:b/>
      <w:sz w:val="28"/>
      <w:szCs w:val="28"/>
    </w:rPr>
  </w:style>
  <w:style w:type="paragraph" w:customStyle="1" w:styleId="ENotesHeading2">
    <w:name w:val="ENotesHeading 2"/>
    <w:aliases w:val="Enh2"/>
    <w:basedOn w:val="OPCParaBase"/>
    <w:next w:val="Normal"/>
    <w:rsid w:val="00B715AF"/>
    <w:pPr>
      <w:spacing w:before="120" w:after="120"/>
      <w:outlineLvl w:val="2"/>
    </w:pPr>
    <w:rPr>
      <w:b/>
      <w:sz w:val="24"/>
      <w:szCs w:val="28"/>
    </w:rPr>
  </w:style>
  <w:style w:type="paragraph" w:customStyle="1" w:styleId="ENoteTTIndentHeading">
    <w:name w:val="ENoteTTIndentHeading"/>
    <w:aliases w:val="enTTHi"/>
    <w:basedOn w:val="OPCParaBase"/>
    <w:rsid w:val="00B715A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15AF"/>
    <w:pPr>
      <w:spacing w:before="60" w:line="240" w:lineRule="atLeast"/>
    </w:pPr>
    <w:rPr>
      <w:sz w:val="16"/>
    </w:rPr>
  </w:style>
  <w:style w:type="paragraph" w:customStyle="1" w:styleId="MadeunderText">
    <w:name w:val="MadeunderText"/>
    <w:basedOn w:val="OPCParaBase"/>
    <w:next w:val="CompiledMadeUnder"/>
    <w:rsid w:val="00B715AF"/>
    <w:pPr>
      <w:spacing w:before="240"/>
    </w:pPr>
    <w:rPr>
      <w:sz w:val="24"/>
      <w:szCs w:val="24"/>
    </w:rPr>
  </w:style>
  <w:style w:type="paragraph" w:customStyle="1" w:styleId="ENotesHeading3">
    <w:name w:val="ENotesHeading 3"/>
    <w:aliases w:val="Enh3"/>
    <w:basedOn w:val="OPCParaBase"/>
    <w:next w:val="Normal"/>
    <w:rsid w:val="00B715AF"/>
    <w:pPr>
      <w:keepNext/>
      <w:spacing w:before="120" w:line="240" w:lineRule="auto"/>
      <w:outlineLvl w:val="4"/>
    </w:pPr>
    <w:rPr>
      <w:b/>
      <w:szCs w:val="24"/>
    </w:rPr>
  </w:style>
  <w:style w:type="character" w:customStyle="1" w:styleId="CharSubPartTextCASA">
    <w:name w:val="CharSubPartText(CASA)"/>
    <w:basedOn w:val="OPCCharBase"/>
    <w:uiPriority w:val="1"/>
    <w:rsid w:val="00B715AF"/>
  </w:style>
  <w:style w:type="character" w:customStyle="1" w:styleId="CharSubPartNoCASA">
    <w:name w:val="CharSubPartNo(CASA)"/>
    <w:basedOn w:val="OPCCharBase"/>
    <w:uiPriority w:val="1"/>
    <w:rsid w:val="00B715AF"/>
  </w:style>
  <w:style w:type="paragraph" w:customStyle="1" w:styleId="ENoteTTIndentHeadingSub">
    <w:name w:val="ENoteTTIndentHeadingSub"/>
    <w:aliases w:val="enTTHis"/>
    <w:basedOn w:val="OPCParaBase"/>
    <w:rsid w:val="00B715AF"/>
    <w:pPr>
      <w:keepNext/>
      <w:spacing w:before="60" w:line="240" w:lineRule="atLeast"/>
      <w:ind w:left="340"/>
    </w:pPr>
    <w:rPr>
      <w:b/>
      <w:sz w:val="16"/>
    </w:rPr>
  </w:style>
  <w:style w:type="paragraph" w:customStyle="1" w:styleId="ENoteTTiSub">
    <w:name w:val="ENoteTTiSub"/>
    <w:aliases w:val="enttis"/>
    <w:basedOn w:val="OPCParaBase"/>
    <w:rsid w:val="00B715AF"/>
    <w:pPr>
      <w:keepNext/>
      <w:spacing w:before="60" w:line="240" w:lineRule="atLeast"/>
      <w:ind w:left="340"/>
    </w:pPr>
    <w:rPr>
      <w:sz w:val="16"/>
    </w:rPr>
  </w:style>
  <w:style w:type="paragraph" w:customStyle="1" w:styleId="SubDivisionMigration">
    <w:name w:val="SubDivisionMigration"/>
    <w:aliases w:val="sdm"/>
    <w:basedOn w:val="OPCParaBase"/>
    <w:rsid w:val="00B715A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715A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715A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B715A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715AF"/>
    <w:rPr>
      <w:sz w:val="22"/>
    </w:rPr>
  </w:style>
  <w:style w:type="paragraph" w:customStyle="1" w:styleId="SOTextNote">
    <w:name w:val="SO TextNote"/>
    <w:aliases w:val="sont"/>
    <w:basedOn w:val="SOText"/>
    <w:qFormat/>
    <w:rsid w:val="00B715AF"/>
    <w:pPr>
      <w:spacing w:before="122" w:line="198" w:lineRule="exact"/>
      <w:ind w:left="1843" w:hanging="709"/>
    </w:pPr>
    <w:rPr>
      <w:sz w:val="18"/>
    </w:rPr>
  </w:style>
  <w:style w:type="paragraph" w:customStyle="1" w:styleId="SOPara">
    <w:name w:val="SO Para"/>
    <w:aliases w:val="soa"/>
    <w:basedOn w:val="SOText"/>
    <w:link w:val="SOParaChar"/>
    <w:qFormat/>
    <w:rsid w:val="00B715AF"/>
    <w:pPr>
      <w:tabs>
        <w:tab w:val="right" w:pos="1786"/>
      </w:tabs>
      <w:spacing w:before="40"/>
      <w:ind w:left="2070" w:hanging="936"/>
    </w:pPr>
  </w:style>
  <w:style w:type="character" w:customStyle="1" w:styleId="SOParaChar">
    <w:name w:val="SO Para Char"/>
    <w:aliases w:val="soa Char"/>
    <w:basedOn w:val="DefaultParagraphFont"/>
    <w:link w:val="SOPara"/>
    <w:rsid w:val="00B715AF"/>
    <w:rPr>
      <w:sz w:val="22"/>
    </w:rPr>
  </w:style>
  <w:style w:type="paragraph" w:customStyle="1" w:styleId="FileName">
    <w:name w:val="FileName"/>
    <w:basedOn w:val="Normal"/>
    <w:rsid w:val="00B715AF"/>
  </w:style>
  <w:style w:type="paragraph" w:customStyle="1" w:styleId="TableHeading">
    <w:name w:val="TableHeading"/>
    <w:aliases w:val="th"/>
    <w:basedOn w:val="OPCParaBase"/>
    <w:next w:val="Tabletext"/>
    <w:rsid w:val="00B715AF"/>
    <w:pPr>
      <w:keepNext/>
      <w:spacing w:before="60" w:line="240" w:lineRule="atLeast"/>
    </w:pPr>
    <w:rPr>
      <w:b/>
      <w:sz w:val="20"/>
    </w:rPr>
  </w:style>
  <w:style w:type="paragraph" w:customStyle="1" w:styleId="SOHeadBold">
    <w:name w:val="SO HeadBold"/>
    <w:aliases w:val="sohb"/>
    <w:basedOn w:val="SOText"/>
    <w:next w:val="SOText"/>
    <w:link w:val="SOHeadBoldChar"/>
    <w:qFormat/>
    <w:rsid w:val="00B715AF"/>
    <w:rPr>
      <w:b/>
    </w:rPr>
  </w:style>
  <w:style w:type="character" w:customStyle="1" w:styleId="SOHeadBoldChar">
    <w:name w:val="SO HeadBold Char"/>
    <w:aliases w:val="sohb Char"/>
    <w:basedOn w:val="DefaultParagraphFont"/>
    <w:link w:val="SOHeadBold"/>
    <w:rsid w:val="00B715AF"/>
    <w:rPr>
      <w:b/>
      <w:sz w:val="22"/>
    </w:rPr>
  </w:style>
  <w:style w:type="paragraph" w:customStyle="1" w:styleId="SOHeadItalic">
    <w:name w:val="SO HeadItalic"/>
    <w:aliases w:val="sohi"/>
    <w:basedOn w:val="SOText"/>
    <w:next w:val="SOText"/>
    <w:link w:val="SOHeadItalicChar"/>
    <w:qFormat/>
    <w:rsid w:val="00B715AF"/>
    <w:rPr>
      <w:i/>
    </w:rPr>
  </w:style>
  <w:style w:type="character" w:customStyle="1" w:styleId="SOHeadItalicChar">
    <w:name w:val="SO HeadItalic Char"/>
    <w:aliases w:val="sohi Char"/>
    <w:basedOn w:val="DefaultParagraphFont"/>
    <w:link w:val="SOHeadItalic"/>
    <w:rsid w:val="00B715AF"/>
    <w:rPr>
      <w:i/>
      <w:sz w:val="22"/>
    </w:rPr>
  </w:style>
  <w:style w:type="paragraph" w:customStyle="1" w:styleId="SOBullet">
    <w:name w:val="SO Bullet"/>
    <w:aliases w:val="sotb"/>
    <w:basedOn w:val="SOText"/>
    <w:link w:val="SOBulletChar"/>
    <w:qFormat/>
    <w:rsid w:val="00B715AF"/>
    <w:pPr>
      <w:ind w:left="1559" w:hanging="425"/>
    </w:pPr>
  </w:style>
  <w:style w:type="character" w:customStyle="1" w:styleId="SOBulletChar">
    <w:name w:val="SO Bullet Char"/>
    <w:aliases w:val="sotb Char"/>
    <w:basedOn w:val="DefaultParagraphFont"/>
    <w:link w:val="SOBullet"/>
    <w:rsid w:val="00B715AF"/>
    <w:rPr>
      <w:sz w:val="22"/>
    </w:rPr>
  </w:style>
  <w:style w:type="paragraph" w:customStyle="1" w:styleId="SOBulletNote">
    <w:name w:val="SO BulletNote"/>
    <w:aliases w:val="sonb"/>
    <w:basedOn w:val="SOTextNote"/>
    <w:link w:val="SOBulletNoteChar"/>
    <w:qFormat/>
    <w:rsid w:val="00B715AF"/>
    <w:pPr>
      <w:tabs>
        <w:tab w:val="left" w:pos="1560"/>
      </w:tabs>
      <w:ind w:left="2268" w:hanging="1134"/>
    </w:pPr>
  </w:style>
  <w:style w:type="character" w:customStyle="1" w:styleId="SOBulletNoteChar">
    <w:name w:val="SO BulletNote Char"/>
    <w:aliases w:val="sonb Char"/>
    <w:basedOn w:val="DefaultParagraphFont"/>
    <w:link w:val="SOBulletNote"/>
    <w:rsid w:val="00B715AF"/>
    <w:rPr>
      <w:sz w:val="18"/>
    </w:rPr>
  </w:style>
  <w:style w:type="paragraph" w:customStyle="1" w:styleId="SOText2">
    <w:name w:val="SO Text2"/>
    <w:aliases w:val="sot2"/>
    <w:basedOn w:val="Normal"/>
    <w:next w:val="SOText"/>
    <w:link w:val="SOText2Char"/>
    <w:rsid w:val="00B715A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15AF"/>
    <w:rPr>
      <w:sz w:val="22"/>
    </w:rPr>
  </w:style>
  <w:style w:type="paragraph" w:customStyle="1" w:styleId="SubPartCASA">
    <w:name w:val="SubPart(CASA)"/>
    <w:aliases w:val="csp"/>
    <w:basedOn w:val="OPCParaBase"/>
    <w:next w:val="ActHead3"/>
    <w:rsid w:val="00B715A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715AF"/>
    <w:rPr>
      <w:rFonts w:eastAsia="Times New Roman" w:cs="Times New Roman"/>
      <w:sz w:val="22"/>
      <w:lang w:eastAsia="en-AU"/>
    </w:rPr>
  </w:style>
  <w:style w:type="character" w:customStyle="1" w:styleId="notetextChar">
    <w:name w:val="note(text) Char"/>
    <w:aliases w:val="n Char"/>
    <w:basedOn w:val="DefaultParagraphFont"/>
    <w:link w:val="notetext"/>
    <w:rsid w:val="00B715AF"/>
    <w:rPr>
      <w:rFonts w:eastAsia="Times New Roman" w:cs="Times New Roman"/>
      <w:sz w:val="18"/>
      <w:lang w:eastAsia="en-AU"/>
    </w:rPr>
  </w:style>
  <w:style w:type="character" w:customStyle="1" w:styleId="Heading1Char">
    <w:name w:val="Heading 1 Char"/>
    <w:basedOn w:val="DefaultParagraphFont"/>
    <w:link w:val="Heading1"/>
    <w:uiPriority w:val="9"/>
    <w:rsid w:val="00B715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15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715A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715A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715A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715A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715A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715A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715AF"/>
    <w:rPr>
      <w:rFonts w:asciiTheme="majorHAnsi" w:eastAsiaTheme="majorEastAsia" w:hAnsiTheme="majorHAnsi" w:cstheme="majorBidi"/>
      <w:i/>
      <w:iCs/>
      <w:color w:val="404040" w:themeColor="text1" w:themeTint="BF"/>
    </w:rPr>
  </w:style>
  <w:style w:type="numbering" w:customStyle="1" w:styleId="KeyPoints">
    <w:name w:val="Key Points"/>
    <w:basedOn w:val="NoList"/>
    <w:uiPriority w:val="99"/>
    <w:rsid w:val="00B84D7D"/>
    <w:pPr>
      <w:numPr>
        <w:numId w:val="13"/>
      </w:numPr>
    </w:pPr>
  </w:style>
  <w:style w:type="paragraph" w:styleId="ListNumber">
    <w:name w:val="List Number"/>
    <w:basedOn w:val="Normal"/>
    <w:uiPriority w:val="99"/>
    <w:qFormat/>
    <w:rsid w:val="00B84D7D"/>
    <w:pPr>
      <w:numPr>
        <w:numId w:val="14"/>
      </w:numPr>
      <w:spacing w:after="200" w:line="276" w:lineRule="auto"/>
    </w:pPr>
    <w:rPr>
      <w:rFonts w:ascii="Arial" w:eastAsia="Calibri" w:hAnsi="Arial" w:cs="Times New Roman"/>
      <w:szCs w:val="22"/>
    </w:rPr>
  </w:style>
  <w:style w:type="paragraph" w:styleId="ListNumber2">
    <w:name w:val="List Number 2"/>
    <w:basedOn w:val="Normal"/>
    <w:uiPriority w:val="99"/>
    <w:rsid w:val="00B84D7D"/>
    <w:pPr>
      <w:numPr>
        <w:ilvl w:val="1"/>
        <w:numId w:val="14"/>
      </w:numPr>
      <w:spacing w:after="200" w:line="276" w:lineRule="auto"/>
    </w:pPr>
    <w:rPr>
      <w:rFonts w:ascii="Arial" w:eastAsia="Calibri" w:hAnsi="Arial" w:cs="Times New Roman"/>
      <w:szCs w:val="22"/>
    </w:rPr>
  </w:style>
  <w:style w:type="paragraph" w:styleId="ListNumber3">
    <w:name w:val="List Number 3"/>
    <w:basedOn w:val="Normal"/>
    <w:uiPriority w:val="99"/>
    <w:rsid w:val="00B84D7D"/>
    <w:pPr>
      <w:numPr>
        <w:ilvl w:val="2"/>
        <w:numId w:val="14"/>
      </w:numPr>
      <w:spacing w:after="200" w:line="276" w:lineRule="auto"/>
    </w:pPr>
    <w:rPr>
      <w:rFonts w:ascii="Arial" w:eastAsia="Calibri" w:hAnsi="Arial" w:cs="Times New Roman"/>
      <w:szCs w:val="22"/>
    </w:rPr>
  </w:style>
  <w:style w:type="paragraph" w:styleId="ListNumber4">
    <w:name w:val="List Number 4"/>
    <w:basedOn w:val="Normal"/>
    <w:uiPriority w:val="99"/>
    <w:rsid w:val="00B84D7D"/>
    <w:pPr>
      <w:numPr>
        <w:ilvl w:val="3"/>
        <w:numId w:val="14"/>
      </w:numPr>
      <w:spacing w:after="200" w:line="276" w:lineRule="auto"/>
    </w:pPr>
    <w:rPr>
      <w:rFonts w:ascii="Arial" w:eastAsia="Calibri" w:hAnsi="Arial" w:cs="Times New Roman"/>
      <w:szCs w:val="22"/>
    </w:rPr>
  </w:style>
  <w:style w:type="paragraph" w:styleId="ListNumber5">
    <w:name w:val="List Number 5"/>
    <w:basedOn w:val="Normal"/>
    <w:uiPriority w:val="99"/>
    <w:rsid w:val="00B84D7D"/>
    <w:pPr>
      <w:numPr>
        <w:ilvl w:val="4"/>
        <w:numId w:val="14"/>
      </w:numPr>
      <w:spacing w:after="200" w:line="276" w:lineRule="auto"/>
    </w:pPr>
    <w:rPr>
      <w:rFonts w:ascii="Arial" w:eastAsia="Calibri" w:hAnsi="Arial" w:cs="Times New Roman"/>
      <w:szCs w:val="22"/>
    </w:rPr>
  </w:style>
  <w:style w:type="character" w:customStyle="1" w:styleId="paragraphChar">
    <w:name w:val="paragraph Char"/>
    <w:aliases w:val="a Char"/>
    <w:basedOn w:val="DefaultParagraphFont"/>
    <w:link w:val="paragraph"/>
    <w:rsid w:val="00634C77"/>
    <w:rPr>
      <w:rFonts w:eastAsia="Times New Roman" w:cs="Times New Roman"/>
      <w:sz w:val="22"/>
      <w:lang w:eastAsia="en-AU"/>
    </w:rPr>
  </w:style>
  <w:style w:type="character" w:styleId="CommentReference">
    <w:name w:val="annotation reference"/>
    <w:uiPriority w:val="99"/>
    <w:semiHidden/>
    <w:unhideWhenUsed/>
    <w:rsid w:val="001E68DF"/>
    <w:rPr>
      <w:sz w:val="16"/>
      <w:szCs w:val="16"/>
    </w:rPr>
  </w:style>
  <w:style w:type="paragraph" w:styleId="CommentText">
    <w:name w:val="annotation text"/>
    <w:basedOn w:val="Normal"/>
    <w:link w:val="CommentTextChar"/>
    <w:uiPriority w:val="99"/>
    <w:semiHidden/>
    <w:unhideWhenUsed/>
    <w:rsid w:val="001E68DF"/>
    <w:rPr>
      <w:rFonts w:eastAsia="Calibri" w:cs="Times New Roman"/>
      <w:sz w:val="20"/>
    </w:rPr>
  </w:style>
  <w:style w:type="character" w:customStyle="1" w:styleId="CommentTextChar">
    <w:name w:val="Comment Text Char"/>
    <w:basedOn w:val="DefaultParagraphFont"/>
    <w:link w:val="CommentText"/>
    <w:uiPriority w:val="99"/>
    <w:semiHidden/>
    <w:rsid w:val="001E68DF"/>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15AF"/>
    <w:pPr>
      <w:spacing w:line="260" w:lineRule="atLeast"/>
    </w:pPr>
    <w:rPr>
      <w:sz w:val="22"/>
    </w:rPr>
  </w:style>
  <w:style w:type="paragraph" w:styleId="Heading1">
    <w:name w:val="heading 1"/>
    <w:basedOn w:val="Normal"/>
    <w:next w:val="Normal"/>
    <w:link w:val="Heading1Char"/>
    <w:uiPriority w:val="9"/>
    <w:qFormat/>
    <w:rsid w:val="00B715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715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15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15A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15A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15A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15A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15A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715A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715AF"/>
  </w:style>
  <w:style w:type="paragraph" w:customStyle="1" w:styleId="OPCParaBase">
    <w:name w:val="OPCParaBase"/>
    <w:qFormat/>
    <w:rsid w:val="00B715AF"/>
    <w:pPr>
      <w:spacing w:line="260" w:lineRule="atLeast"/>
    </w:pPr>
    <w:rPr>
      <w:rFonts w:eastAsia="Times New Roman" w:cs="Times New Roman"/>
      <w:sz w:val="22"/>
      <w:lang w:eastAsia="en-AU"/>
    </w:rPr>
  </w:style>
  <w:style w:type="paragraph" w:customStyle="1" w:styleId="ShortT">
    <w:name w:val="ShortT"/>
    <w:basedOn w:val="OPCParaBase"/>
    <w:next w:val="Normal"/>
    <w:qFormat/>
    <w:rsid w:val="00B715AF"/>
    <w:pPr>
      <w:spacing w:line="240" w:lineRule="auto"/>
    </w:pPr>
    <w:rPr>
      <w:b/>
      <w:sz w:val="40"/>
    </w:rPr>
  </w:style>
  <w:style w:type="paragraph" w:customStyle="1" w:styleId="ActHead1">
    <w:name w:val="ActHead 1"/>
    <w:aliases w:val="c"/>
    <w:basedOn w:val="OPCParaBase"/>
    <w:next w:val="Normal"/>
    <w:qFormat/>
    <w:rsid w:val="00B715A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715A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715A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715A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715A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715A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715A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715A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715A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715AF"/>
  </w:style>
  <w:style w:type="paragraph" w:customStyle="1" w:styleId="Blocks">
    <w:name w:val="Blocks"/>
    <w:aliases w:val="bb"/>
    <w:basedOn w:val="OPCParaBase"/>
    <w:qFormat/>
    <w:rsid w:val="00B715AF"/>
    <w:pPr>
      <w:spacing w:line="240" w:lineRule="auto"/>
    </w:pPr>
    <w:rPr>
      <w:sz w:val="24"/>
    </w:rPr>
  </w:style>
  <w:style w:type="paragraph" w:customStyle="1" w:styleId="BoxText">
    <w:name w:val="BoxText"/>
    <w:aliases w:val="bt"/>
    <w:basedOn w:val="OPCParaBase"/>
    <w:qFormat/>
    <w:rsid w:val="00B715A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715AF"/>
    <w:rPr>
      <w:b/>
    </w:rPr>
  </w:style>
  <w:style w:type="paragraph" w:customStyle="1" w:styleId="BoxHeadItalic">
    <w:name w:val="BoxHeadItalic"/>
    <w:aliases w:val="bhi"/>
    <w:basedOn w:val="BoxText"/>
    <w:next w:val="BoxStep"/>
    <w:qFormat/>
    <w:rsid w:val="00B715AF"/>
    <w:rPr>
      <w:i/>
    </w:rPr>
  </w:style>
  <w:style w:type="paragraph" w:customStyle="1" w:styleId="BoxList">
    <w:name w:val="BoxList"/>
    <w:aliases w:val="bl"/>
    <w:basedOn w:val="BoxText"/>
    <w:qFormat/>
    <w:rsid w:val="00B715AF"/>
    <w:pPr>
      <w:ind w:left="1559" w:hanging="425"/>
    </w:pPr>
  </w:style>
  <w:style w:type="paragraph" w:customStyle="1" w:styleId="BoxNote">
    <w:name w:val="BoxNote"/>
    <w:aliases w:val="bn"/>
    <w:basedOn w:val="BoxText"/>
    <w:qFormat/>
    <w:rsid w:val="00B715AF"/>
    <w:pPr>
      <w:tabs>
        <w:tab w:val="left" w:pos="1985"/>
      </w:tabs>
      <w:spacing w:before="122" w:line="198" w:lineRule="exact"/>
      <w:ind w:left="2948" w:hanging="1814"/>
    </w:pPr>
    <w:rPr>
      <w:sz w:val="18"/>
    </w:rPr>
  </w:style>
  <w:style w:type="paragraph" w:customStyle="1" w:styleId="BoxPara">
    <w:name w:val="BoxPara"/>
    <w:aliases w:val="bp"/>
    <w:basedOn w:val="BoxText"/>
    <w:qFormat/>
    <w:rsid w:val="00B715AF"/>
    <w:pPr>
      <w:tabs>
        <w:tab w:val="right" w:pos="2268"/>
      </w:tabs>
      <w:ind w:left="2552" w:hanging="1418"/>
    </w:pPr>
  </w:style>
  <w:style w:type="paragraph" w:customStyle="1" w:styleId="BoxStep">
    <w:name w:val="BoxStep"/>
    <w:aliases w:val="bs"/>
    <w:basedOn w:val="BoxText"/>
    <w:qFormat/>
    <w:rsid w:val="00B715AF"/>
    <w:pPr>
      <w:ind w:left="1985" w:hanging="851"/>
    </w:pPr>
  </w:style>
  <w:style w:type="character" w:customStyle="1" w:styleId="CharAmPartNo">
    <w:name w:val="CharAmPartNo"/>
    <w:basedOn w:val="OPCCharBase"/>
    <w:uiPriority w:val="1"/>
    <w:qFormat/>
    <w:rsid w:val="00B715AF"/>
  </w:style>
  <w:style w:type="character" w:customStyle="1" w:styleId="CharAmPartText">
    <w:name w:val="CharAmPartText"/>
    <w:basedOn w:val="OPCCharBase"/>
    <w:uiPriority w:val="1"/>
    <w:qFormat/>
    <w:rsid w:val="00B715AF"/>
  </w:style>
  <w:style w:type="character" w:customStyle="1" w:styleId="CharAmSchNo">
    <w:name w:val="CharAmSchNo"/>
    <w:basedOn w:val="OPCCharBase"/>
    <w:uiPriority w:val="1"/>
    <w:qFormat/>
    <w:rsid w:val="00B715AF"/>
  </w:style>
  <w:style w:type="character" w:customStyle="1" w:styleId="CharAmSchText">
    <w:name w:val="CharAmSchText"/>
    <w:basedOn w:val="OPCCharBase"/>
    <w:uiPriority w:val="1"/>
    <w:qFormat/>
    <w:rsid w:val="00B715AF"/>
  </w:style>
  <w:style w:type="character" w:customStyle="1" w:styleId="CharBoldItalic">
    <w:name w:val="CharBoldItalic"/>
    <w:basedOn w:val="OPCCharBase"/>
    <w:uiPriority w:val="1"/>
    <w:qFormat/>
    <w:rsid w:val="00B715AF"/>
    <w:rPr>
      <w:b/>
      <w:i/>
    </w:rPr>
  </w:style>
  <w:style w:type="character" w:customStyle="1" w:styleId="CharChapNo">
    <w:name w:val="CharChapNo"/>
    <w:basedOn w:val="OPCCharBase"/>
    <w:qFormat/>
    <w:rsid w:val="00B715AF"/>
  </w:style>
  <w:style w:type="character" w:customStyle="1" w:styleId="CharChapText">
    <w:name w:val="CharChapText"/>
    <w:basedOn w:val="OPCCharBase"/>
    <w:qFormat/>
    <w:rsid w:val="00B715AF"/>
  </w:style>
  <w:style w:type="character" w:customStyle="1" w:styleId="CharDivNo">
    <w:name w:val="CharDivNo"/>
    <w:basedOn w:val="OPCCharBase"/>
    <w:qFormat/>
    <w:rsid w:val="00B715AF"/>
  </w:style>
  <w:style w:type="character" w:customStyle="1" w:styleId="CharDivText">
    <w:name w:val="CharDivText"/>
    <w:basedOn w:val="OPCCharBase"/>
    <w:qFormat/>
    <w:rsid w:val="00B715AF"/>
  </w:style>
  <w:style w:type="character" w:customStyle="1" w:styleId="CharItalic">
    <w:name w:val="CharItalic"/>
    <w:basedOn w:val="OPCCharBase"/>
    <w:uiPriority w:val="1"/>
    <w:qFormat/>
    <w:rsid w:val="00B715AF"/>
    <w:rPr>
      <w:i/>
    </w:rPr>
  </w:style>
  <w:style w:type="character" w:customStyle="1" w:styleId="CharPartNo">
    <w:name w:val="CharPartNo"/>
    <w:basedOn w:val="OPCCharBase"/>
    <w:qFormat/>
    <w:rsid w:val="00B715AF"/>
  </w:style>
  <w:style w:type="character" w:customStyle="1" w:styleId="CharPartText">
    <w:name w:val="CharPartText"/>
    <w:basedOn w:val="OPCCharBase"/>
    <w:qFormat/>
    <w:rsid w:val="00B715AF"/>
  </w:style>
  <w:style w:type="character" w:customStyle="1" w:styleId="CharSectno">
    <w:name w:val="CharSectno"/>
    <w:basedOn w:val="OPCCharBase"/>
    <w:qFormat/>
    <w:rsid w:val="00B715AF"/>
  </w:style>
  <w:style w:type="character" w:customStyle="1" w:styleId="CharSubdNo">
    <w:name w:val="CharSubdNo"/>
    <w:basedOn w:val="OPCCharBase"/>
    <w:uiPriority w:val="1"/>
    <w:qFormat/>
    <w:rsid w:val="00B715AF"/>
  </w:style>
  <w:style w:type="character" w:customStyle="1" w:styleId="CharSubdText">
    <w:name w:val="CharSubdText"/>
    <w:basedOn w:val="OPCCharBase"/>
    <w:uiPriority w:val="1"/>
    <w:qFormat/>
    <w:rsid w:val="00B715AF"/>
  </w:style>
  <w:style w:type="paragraph" w:customStyle="1" w:styleId="CTA--">
    <w:name w:val="CTA --"/>
    <w:basedOn w:val="OPCParaBase"/>
    <w:next w:val="Normal"/>
    <w:rsid w:val="00B715AF"/>
    <w:pPr>
      <w:spacing w:before="60" w:line="240" w:lineRule="atLeast"/>
      <w:ind w:left="142" w:hanging="142"/>
    </w:pPr>
    <w:rPr>
      <w:sz w:val="20"/>
    </w:rPr>
  </w:style>
  <w:style w:type="paragraph" w:customStyle="1" w:styleId="CTA-">
    <w:name w:val="CTA -"/>
    <w:basedOn w:val="OPCParaBase"/>
    <w:rsid w:val="00B715AF"/>
    <w:pPr>
      <w:spacing w:before="60" w:line="240" w:lineRule="atLeast"/>
      <w:ind w:left="85" w:hanging="85"/>
    </w:pPr>
    <w:rPr>
      <w:sz w:val="20"/>
    </w:rPr>
  </w:style>
  <w:style w:type="paragraph" w:customStyle="1" w:styleId="CTA---">
    <w:name w:val="CTA ---"/>
    <w:basedOn w:val="OPCParaBase"/>
    <w:next w:val="Normal"/>
    <w:rsid w:val="00B715AF"/>
    <w:pPr>
      <w:spacing w:before="60" w:line="240" w:lineRule="atLeast"/>
      <w:ind w:left="198" w:hanging="198"/>
    </w:pPr>
    <w:rPr>
      <w:sz w:val="20"/>
    </w:rPr>
  </w:style>
  <w:style w:type="paragraph" w:customStyle="1" w:styleId="CTA----">
    <w:name w:val="CTA ----"/>
    <w:basedOn w:val="OPCParaBase"/>
    <w:next w:val="Normal"/>
    <w:rsid w:val="00B715AF"/>
    <w:pPr>
      <w:spacing w:before="60" w:line="240" w:lineRule="atLeast"/>
      <w:ind w:left="255" w:hanging="255"/>
    </w:pPr>
    <w:rPr>
      <w:sz w:val="20"/>
    </w:rPr>
  </w:style>
  <w:style w:type="paragraph" w:customStyle="1" w:styleId="CTA1a">
    <w:name w:val="CTA 1(a)"/>
    <w:basedOn w:val="OPCParaBase"/>
    <w:rsid w:val="00B715AF"/>
    <w:pPr>
      <w:tabs>
        <w:tab w:val="right" w:pos="414"/>
      </w:tabs>
      <w:spacing w:before="40" w:line="240" w:lineRule="atLeast"/>
      <w:ind w:left="675" w:hanging="675"/>
    </w:pPr>
    <w:rPr>
      <w:sz w:val="20"/>
    </w:rPr>
  </w:style>
  <w:style w:type="paragraph" w:customStyle="1" w:styleId="CTA1ai">
    <w:name w:val="CTA 1(a)(i)"/>
    <w:basedOn w:val="OPCParaBase"/>
    <w:rsid w:val="00B715AF"/>
    <w:pPr>
      <w:tabs>
        <w:tab w:val="right" w:pos="1004"/>
      </w:tabs>
      <w:spacing w:before="40" w:line="240" w:lineRule="atLeast"/>
      <w:ind w:left="1253" w:hanging="1253"/>
    </w:pPr>
    <w:rPr>
      <w:sz w:val="20"/>
    </w:rPr>
  </w:style>
  <w:style w:type="paragraph" w:customStyle="1" w:styleId="CTA2a">
    <w:name w:val="CTA 2(a)"/>
    <w:basedOn w:val="OPCParaBase"/>
    <w:rsid w:val="00B715AF"/>
    <w:pPr>
      <w:tabs>
        <w:tab w:val="right" w:pos="482"/>
      </w:tabs>
      <w:spacing w:before="40" w:line="240" w:lineRule="atLeast"/>
      <w:ind w:left="748" w:hanging="748"/>
    </w:pPr>
    <w:rPr>
      <w:sz w:val="20"/>
    </w:rPr>
  </w:style>
  <w:style w:type="paragraph" w:customStyle="1" w:styleId="CTA2ai">
    <w:name w:val="CTA 2(a)(i)"/>
    <w:basedOn w:val="OPCParaBase"/>
    <w:rsid w:val="00B715AF"/>
    <w:pPr>
      <w:tabs>
        <w:tab w:val="right" w:pos="1089"/>
      </w:tabs>
      <w:spacing w:before="40" w:line="240" w:lineRule="atLeast"/>
      <w:ind w:left="1327" w:hanging="1327"/>
    </w:pPr>
    <w:rPr>
      <w:sz w:val="20"/>
    </w:rPr>
  </w:style>
  <w:style w:type="paragraph" w:customStyle="1" w:styleId="CTA3a">
    <w:name w:val="CTA 3(a)"/>
    <w:basedOn w:val="OPCParaBase"/>
    <w:rsid w:val="00B715AF"/>
    <w:pPr>
      <w:tabs>
        <w:tab w:val="right" w:pos="556"/>
      </w:tabs>
      <w:spacing w:before="40" w:line="240" w:lineRule="atLeast"/>
      <w:ind w:left="805" w:hanging="805"/>
    </w:pPr>
    <w:rPr>
      <w:sz w:val="20"/>
    </w:rPr>
  </w:style>
  <w:style w:type="paragraph" w:customStyle="1" w:styleId="CTA3ai">
    <w:name w:val="CTA 3(a)(i)"/>
    <w:basedOn w:val="OPCParaBase"/>
    <w:rsid w:val="00B715AF"/>
    <w:pPr>
      <w:tabs>
        <w:tab w:val="right" w:pos="1140"/>
      </w:tabs>
      <w:spacing w:before="40" w:line="240" w:lineRule="atLeast"/>
      <w:ind w:left="1361" w:hanging="1361"/>
    </w:pPr>
    <w:rPr>
      <w:sz w:val="20"/>
    </w:rPr>
  </w:style>
  <w:style w:type="paragraph" w:customStyle="1" w:styleId="CTA4a">
    <w:name w:val="CTA 4(a)"/>
    <w:basedOn w:val="OPCParaBase"/>
    <w:rsid w:val="00B715AF"/>
    <w:pPr>
      <w:tabs>
        <w:tab w:val="right" w:pos="624"/>
      </w:tabs>
      <w:spacing w:before="40" w:line="240" w:lineRule="atLeast"/>
      <w:ind w:left="873" w:hanging="873"/>
    </w:pPr>
    <w:rPr>
      <w:sz w:val="20"/>
    </w:rPr>
  </w:style>
  <w:style w:type="paragraph" w:customStyle="1" w:styleId="CTA4ai">
    <w:name w:val="CTA 4(a)(i)"/>
    <w:basedOn w:val="OPCParaBase"/>
    <w:rsid w:val="00B715AF"/>
    <w:pPr>
      <w:tabs>
        <w:tab w:val="right" w:pos="1213"/>
      </w:tabs>
      <w:spacing w:before="40" w:line="240" w:lineRule="atLeast"/>
      <w:ind w:left="1452" w:hanging="1452"/>
    </w:pPr>
    <w:rPr>
      <w:sz w:val="20"/>
    </w:rPr>
  </w:style>
  <w:style w:type="paragraph" w:customStyle="1" w:styleId="CTACAPS">
    <w:name w:val="CTA CAPS"/>
    <w:basedOn w:val="OPCParaBase"/>
    <w:rsid w:val="00B715AF"/>
    <w:pPr>
      <w:spacing w:before="60" w:line="240" w:lineRule="atLeast"/>
    </w:pPr>
    <w:rPr>
      <w:sz w:val="20"/>
    </w:rPr>
  </w:style>
  <w:style w:type="paragraph" w:customStyle="1" w:styleId="CTAright">
    <w:name w:val="CTA right"/>
    <w:basedOn w:val="OPCParaBase"/>
    <w:rsid w:val="00B715AF"/>
    <w:pPr>
      <w:spacing w:before="60" w:line="240" w:lineRule="auto"/>
      <w:jc w:val="right"/>
    </w:pPr>
    <w:rPr>
      <w:sz w:val="20"/>
    </w:rPr>
  </w:style>
  <w:style w:type="paragraph" w:customStyle="1" w:styleId="subsection">
    <w:name w:val="subsection"/>
    <w:aliases w:val="ss,Subsection"/>
    <w:basedOn w:val="OPCParaBase"/>
    <w:link w:val="subsectionChar"/>
    <w:rsid w:val="00B715AF"/>
    <w:pPr>
      <w:tabs>
        <w:tab w:val="right" w:pos="1021"/>
      </w:tabs>
      <w:spacing w:before="180" w:line="240" w:lineRule="auto"/>
      <w:ind w:left="1134" w:hanging="1134"/>
    </w:pPr>
  </w:style>
  <w:style w:type="paragraph" w:customStyle="1" w:styleId="Definition">
    <w:name w:val="Definition"/>
    <w:aliases w:val="dd"/>
    <w:basedOn w:val="OPCParaBase"/>
    <w:rsid w:val="00B715AF"/>
    <w:pPr>
      <w:spacing w:before="180" w:line="240" w:lineRule="auto"/>
      <w:ind w:left="1134"/>
    </w:pPr>
  </w:style>
  <w:style w:type="paragraph" w:customStyle="1" w:styleId="EndNotespara">
    <w:name w:val="EndNotes(para)"/>
    <w:aliases w:val="eta"/>
    <w:basedOn w:val="OPCParaBase"/>
    <w:next w:val="EndNotessubpara"/>
    <w:rsid w:val="00B715A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715A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715A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715AF"/>
    <w:pPr>
      <w:tabs>
        <w:tab w:val="right" w:pos="1412"/>
      </w:tabs>
      <w:spacing w:before="60" w:line="240" w:lineRule="auto"/>
      <w:ind w:left="1525" w:hanging="1525"/>
    </w:pPr>
    <w:rPr>
      <w:sz w:val="20"/>
    </w:rPr>
  </w:style>
  <w:style w:type="paragraph" w:customStyle="1" w:styleId="Formula">
    <w:name w:val="Formula"/>
    <w:basedOn w:val="OPCParaBase"/>
    <w:rsid w:val="00B715AF"/>
    <w:pPr>
      <w:spacing w:line="240" w:lineRule="auto"/>
      <w:ind w:left="1134"/>
    </w:pPr>
    <w:rPr>
      <w:sz w:val="20"/>
    </w:rPr>
  </w:style>
  <w:style w:type="paragraph" w:styleId="Header">
    <w:name w:val="header"/>
    <w:basedOn w:val="OPCParaBase"/>
    <w:link w:val="HeaderChar"/>
    <w:unhideWhenUsed/>
    <w:rsid w:val="00B715A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715AF"/>
    <w:rPr>
      <w:rFonts w:eastAsia="Times New Roman" w:cs="Times New Roman"/>
      <w:sz w:val="16"/>
      <w:lang w:eastAsia="en-AU"/>
    </w:rPr>
  </w:style>
  <w:style w:type="paragraph" w:customStyle="1" w:styleId="House">
    <w:name w:val="House"/>
    <w:basedOn w:val="OPCParaBase"/>
    <w:rsid w:val="00B715AF"/>
    <w:pPr>
      <w:spacing w:line="240" w:lineRule="auto"/>
    </w:pPr>
    <w:rPr>
      <w:sz w:val="28"/>
    </w:rPr>
  </w:style>
  <w:style w:type="paragraph" w:customStyle="1" w:styleId="Item">
    <w:name w:val="Item"/>
    <w:aliases w:val="i"/>
    <w:basedOn w:val="OPCParaBase"/>
    <w:next w:val="ItemHead"/>
    <w:rsid w:val="00B715AF"/>
    <w:pPr>
      <w:keepLines/>
      <w:spacing w:before="80" w:line="240" w:lineRule="auto"/>
      <w:ind w:left="709"/>
    </w:pPr>
  </w:style>
  <w:style w:type="paragraph" w:customStyle="1" w:styleId="ItemHead">
    <w:name w:val="ItemHead"/>
    <w:aliases w:val="ih"/>
    <w:basedOn w:val="OPCParaBase"/>
    <w:next w:val="Item"/>
    <w:rsid w:val="00B715A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715AF"/>
    <w:pPr>
      <w:spacing w:line="240" w:lineRule="auto"/>
    </w:pPr>
    <w:rPr>
      <w:b/>
      <w:sz w:val="32"/>
    </w:rPr>
  </w:style>
  <w:style w:type="paragraph" w:customStyle="1" w:styleId="notedraft">
    <w:name w:val="note(draft)"/>
    <w:aliases w:val="nd"/>
    <w:basedOn w:val="OPCParaBase"/>
    <w:rsid w:val="00B715AF"/>
    <w:pPr>
      <w:spacing w:before="240" w:line="240" w:lineRule="auto"/>
      <w:ind w:left="284" w:hanging="284"/>
    </w:pPr>
    <w:rPr>
      <w:i/>
      <w:sz w:val="24"/>
    </w:rPr>
  </w:style>
  <w:style w:type="paragraph" w:customStyle="1" w:styleId="notemargin">
    <w:name w:val="note(margin)"/>
    <w:aliases w:val="nm"/>
    <w:basedOn w:val="OPCParaBase"/>
    <w:rsid w:val="00B715AF"/>
    <w:pPr>
      <w:tabs>
        <w:tab w:val="left" w:pos="709"/>
      </w:tabs>
      <w:spacing w:before="122" w:line="198" w:lineRule="exact"/>
      <w:ind w:left="709" w:hanging="709"/>
    </w:pPr>
    <w:rPr>
      <w:sz w:val="18"/>
    </w:rPr>
  </w:style>
  <w:style w:type="paragraph" w:customStyle="1" w:styleId="noteToPara">
    <w:name w:val="noteToPara"/>
    <w:aliases w:val="ntp"/>
    <w:basedOn w:val="OPCParaBase"/>
    <w:rsid w:val="00B715AF"/>
    <w:pPr>
      <w:spacing w:before="122" w:line="198" w:lineRule="exact"/>
      <w:ind w:left="2353" w:hanging="709"/>
    </w:pPr>
    <w:rPr>
      <w:sz w:val="18"/>
    </w:rPr>
  </w:style>
  <w:style w:type="paragraph" w:customStyle="1" w:styleId="noteParlAmend">
    <w:name w:val="note(ParlAmend)"/>
    <w:aliases w:val="npp"/>
    <w:basedOn w:val="OPCParaBase"/>
    <w:next w:val="ParlAmend"/>
    <w:rsid w:val="00B715AF"/>
    <w:pPr>
      <w:spacing w:line="240" w:lineRule="auto"/>
      <w:jc w:val="right"/>
    </w:pPr>
    <w:rPr>
      <w:rFonts w:ascii="Arial" w:hAnsi="Arial"/>
      <w:b/>
      <w:i/>
    </w:rPr>
  </w:style>
  <w:style w:type="paragraph" w:customStyle="1" w:styleId="Page1">
    <w:name w:val="Page1"/>
    <w:basedOn w:val="OPCParaBase"/>
    <w:rsid w:val="00B715AF"/>
    <w:pPr>
      <w:spacing w:before="5600" w:line="240" w:lineRule="auto"/>
    </w:pPr>
    <w:rPr>
      <w:b/>
      <w:sz w:val="32"/>
    </w:rPr>
  </w:style>
  <w:style w:type="paragraph" w:customStyle="1" w:styleId="PageBreak">
    <w:name w:val="PageBreak"/>
    <w:aliases w:val="pb"/>
    <w:basedOn w:val="OPCParaBase"/>
    <w:rsid w:val="00B715AF"/>
    <w:pPr>
      <w:spacing w:line="240" w:lineRule="auto"/>
    </w:pPr>
    <w:rPr>
      <w:sz w:val="20"/>
    </w:rPr>
  </w:style>
  <w:style w:type="paragraph" w:customStyle="1" w:styleId="paragraphsub">
    <w:name w:val="paragraph(sub)"/>
    <w:aliases w:val="aa"/>
    <w:basedOn w:val="OPCParaBase"/>
    <w:rsid w:val="00B715AF"/>
    <w:pPr>
      <w:tabs>
        <w:tab w:val="right" w:pos="1985"/>
      </w:tabs>
      <w:spacing w:before="40" w:line="240" w:lineRule="auto"/>
      <w:ind w:left="2098" w:hanging="2098"/>
    </w:pPr>
  </w:style>
  <w:style w:type="paragraph" w:customStyle="1" w:styleId="paragraphsub-sub">
    <w:name w:val="paragraph(sub-sub)"/>
    <w:aliases w:val="aaa"/>
    <w:basedOn w:val="OPCParaBase"/>
    <w:rsid w:val="00B715AF"/>
    <w:pPr>
      <w:tabs>
        <w:tab w:val="right" w:pos="2722"/>
      </w:tabs>
      <w:spacing w:before="40" w:line="240" w:lineRule="auto"/>
      <w:ind w:left="2835" w:hanging="2835"/>
    </w:pPr>
  </w:style>
  <w:style w:type="paragraph" w:customStyle="1" w:styleId="paragraph">
    <w:name w:val="paragraph"/>
    <w:aliases w:val="a"/>
    <w:basedOn w:val="OPCParaBase"/>
    <w:link w:val="paragraphChar"/>
    <w:rsid w:val="00B715AF"/>
    <w:pPr>
      <w:tabs>
        <w:tab w:val="right" w:pos="1531"/>
      </w:tabs>
      <w:spacing w:before="40" w:line="240" w:lineRule="auto"/>
      <w:ind w:left="1644" w:hanging="1644"/>
    </w:pPr>
  </w:style>
  <w:style w:type="paragraph" w:customStyle="1" w:styleId="ParlAmend">
    <w:name w:val="ParlAmend"/>
    <w:aliases w:val="pp"/>
    <w:basedOn w:val="OPCParaBase"/>
    <w:rsid w:val="00B715AF"/>
    <w:pPr>
      <w:spacing w:before="240" w:line="240" w:lineRule="atLeast"/>
      <w:ind w:hanging="567"/>
    </w:pPr>
    <w:rPr>
      <w:sz w:val="24"/>
    </w:rPr>
  </w:style>
  <w:style w:type="paragraph" w:customStyle="1" w:styleId="Penalty">
    <w:name w:val="Penalty"/>
    <w:basedOn w:val="OPCParaBase"/>
    <w:rsid w:val="00B715AF"/>
    <w:pPr>
      <w:tabs>
        <w:tab w:val="left" w:pos="2977"/>
      </w:tabs>
      <w:spacing w:before="180" w:line="240" w:lineRule="auto"/>
      <w:ind w:left="1985" w:hanging="851"/>
    </w:pPr>
  </w:style>
  <w:style w:type="paragraph" w:customStyle="1" w:styleId="Portfolio">
    <w:name w:val="Portfolio"/>
    <w:basedOn w:val="OPCParaBase"/>
    <w:rsid w:val="00B715AF"/>
    <w:pPr>
      <w:spacing w:line="240" w:lineRule="auto"/>
    </w:pPr>
    <w:rPr>
      <w:i/>
      <w:sz w:val="20"/>
    </w:rPr>
  </w:style>
  <w:style w:type="paragraph" w:customStyle="1" w:styleId="Preamble">
    <w:name w:val="Preamble"/>
    <w:basedOn w:val="OPCParaBase"/>
    <w:next w:val="Normal"/>
    <w:rsid w:val="00B715A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715AF"/>
    <w:pPr>
      <w:spacing w:line="240" w:lineRule="auto"/>
    </w:pPr>
    <w:rPr>
      <w:i/>
      <w:sz w:val="20"/>
    </w:rPr>
  </w:style>
  <w:style w:type="paragraph" w:customStyle="1" w:styleId="Session">
    <w:name w:val="Session"/>
    <w:basedOn w:val="OPCParaBase"/>
    <w:rsid w:val="00B715AF"/>
    <w:pPr>
      <w:spacing w:line="240" w:lineRule="auto"/>
    </w:pPr>
    <w:rPr>
      <w:sz w:val="28"/>
    </w:rPr>
  </w:style>
  <w:style w:type="paragraph" w:customStyle="1" w:styleId="Sponsor">
    <w:name w:val="Sponsor"/>
    <w:basedOn w:val="OPCParaBase"/>
    <w:rsid w:val="00B715AF"/>
    <w:pPr>
      <w:spacing w:line="240" w:lineRule="auto"/>
    </w:pPr>
    <w:rPr>
      <w:i/>
    </w:rPr>
  </w:style>
  <w:style w:type="paragraph" w:customStyle="1" w:styleId="Subitem">
    <w:name w:val="Subitem"/>
    <w:aliases w:val="iss"/>
    <w:basedOn w:val="OPCParaBase"/>
    <w:rsid w:val="00B715AF"/>
    <w:pPr>
      <w:spacing w:before="180" w:line="240" w:lineRule="auto"/>
      <w:ind w:left="709" w:hanging="709"/>
    </w:pPr>
  </w:style>
  <w:style w:type="paragraph" w:customStyle="1" w:styleId="SubitemHead">
    <w:name w:val="SubitemHead"/>
    <w:aliases w:val="issh"/>
    <w:basedOn w:val="OPCParaBase"/>
    <w:rsid w:val="00B715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715AF"/>
    <w:pPr>
      <w:spacing w:before="40" w:line="240" w:lineRule="auto"/>
      <w:ind w:left="1134"/>
    </w:pPr>
  </w:style>
  <w:style w:type="paragraph" w:customStyle="1" w:styleId="SubsectionHead">
    <w:name w:val="SubsectionHead"/>
    <w:aliases w:val="ssh"/>
    <w:basedOn w:val="OPCParaBase"/>
    <w:next w:val="subsection"/>
    <w:rsid w:val="00B715AF"/>
    <w:pPr>
      <w:keepNext/>
      <w:keepLines/>
      <w:spacing w:before="240" w:line="240" w:lineRule="auto"/>
      <w:ind w:left="1134"/>
    </w:pPr>
    <w:rPr>
      <w:i/>
    </w:rPr>
  </w:style>
  <w:style w:type="paragraph" w:customStyle="1" w:styleId="Tablea">
    <w:name w:val="Table(a)"/>
    <w:aliases w:val="ta"/>
    <w:basedOn w:val="OPCParaBase"/>
    <w:rsid w:val="00B715AF"/>
    <w:pPr>
      <w:spacing w:before="60" w:line="240" w:lineRule="auto"/>
      <w:ind w:left="284" w:hanging="284"/>
    </w:pPr>
    <w:rPr>
      <w:sz w:val="20"/>
    </w:rPr>
  </w:style>
  <w:style w:type="paragraph" w:customStyle="1" w:styleId="TableAA">
    <w:name w:val="Table(AA)"/>
    <w:aliases w:val="taaa"/>
    <w:basedOn w:val="OPCParaBase"/>
    <w:rsid w:val="00B715A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715A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715AF"/>
    <w:pPr>
      <w:spacing w:before="60" w:line="240" w:lineRule="atLeast"/>
    </w:pPr>
    <w:rPr>
      <w:sz w:val="20"/>
    </w:rPr>
  </w:style>
  <w:style w:type="paragraph" w:customStyle="1" w:styleId="TLPBoxTextnote">
    <w:name w:val="TLPBoxText(note"/>
    <w:aliases w:val="right)"/>
    <w:basedOn w:val="OPCParaBase"/>
    <w:rsid w:val="00B715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715A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715AF"/>
    <w:pPr>
      <w:spacing w:before="122" w:line="198" w:lineRule="exact"/>
      <w:ind w:left="1985" w:hanging="851"/>
      <w:jc w:val="right"/>
    </w:pPr>
    <w:rPr>
      <w:sz w:val="18"/>
    </w:rPr>
  </w:style>
  <w:style w:type="paragraph" w:customStyle="1" w:styleId="TLPTableBullet">
    <w:name w:val="TLPTableBullet"/>
    <w:aliases w:val="ttb"/>
    <w:basedOn w:val="OPCParaBase"/>
    <w:rsid w:val="00B715AF"/>
    <w:pPr>
      <w:spacing w:line="240" w:lineRule="exact"/>
      <w:ind w:left="284" w:hanging="284"/>
    </w:pPr>
    <w:rPr>
      <w:sz w:val="20"/>
    </w:rPr>
  </w:style>
  <w:style w:type="paragraph" w:styleId="TOC1">
    <w:name w:val="toc 1"/>
    <w:basedOn w:val="OPCParaBase"/>
    <w:next w:val="Normal"/>
    <w:uiPriority w:val="39"/>
    <w:unhideWhenUsed/>
    <w:rsid w:val="00B715A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715A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715A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715A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715A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715A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715A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715A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715A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715AF"/>
    <w:pPr>
      <w:keepLines/>
      <w:spacing w:before="240" w:after="120" w:line="240" w:lineRule="auto"/>
      <w:ind w:left="794"/>
    </w:pPr>
    <w:rPr>
      <w:b/>
      <w:kern w:val="28"/>
      <w:sz w:val="20"/>
    </w:rPr>
  </w:style>
  <w:style w:type="paragraph" w:customStyle="1" w:styleId="TofSectsHeading">
    <w:name w:val="TofSects(Heading)"/>
    <w:basedOn w:val="OPCParaBase"/>
    <w:rsid w:val="00B715AF"/>
    <w:pPr>
      <w:spacing w:before="240" w:after="120" w:line="240" w:lineRule="auto"/>
    </w:pPr>
    <w:rPr>
      <w:b/>
      <w:sz w:val="24"/>
    </w:rPr>
  </w:style>
  <w:style w:type="paragraph" w:customStyle="1" w:styleId="TofSectsSection">
    <w:name w:val="TofSects(Section)"/>
    <w:basedOn w:val="OPCParaBase"/>
    <w:rsid w:val="00B715AF"/>
    <w:pPr>
      <w:keepLines/>
      <w:spacing w:before="40" w:line="240" w:lineRule="auto"/>
      <w:ind w:left="1588" w:hanging="794"/>
    </w:pPr>
    <w:rPr>
      <w:kern w:val="28"/>
      <w:sz w:val="18"/>
    </w:rPr>
  </w:style>
  <w:style w:type="paragraph" w:customStyle="1" w:styleId="TofSectsSubdiv">
    <w:name w:val="TofSects(Subdiv)"/>
    <w:basedOn w:val="OPCParaBase"/>
    <w:rsid w:val="00B715AF"/>
    <w:pPr>
      <w:keepLines/>
      <w:spacing w:before="80" w:line="240" w:lineRule="auto"/>
      <w:ind w:left="1588" w:hanging="794"/>
    </w:pPr>
    <w:rPr>
      <w:kern w:val="28"/>
    </w:rPr>
  </w:style>
  <w:style w:type="paragraph" w:customStyle="1" w:styleId="WRStyle">
    <w:name w:val="WR Style"/>
    <w:aliases w:val="WR"/>
    <w:basedOn w:val="OPCParaBase"/>
    <w:rsid w:val="00B715AF"/>
    <w:pPr>
      <w:spacing w:before="240" w:line="240" w:lineRule="auto"/>
      <w:ind w:left="284" w:hanging="284"/>
    </w:pPr>
    <w:rPr>
      <w:b/>
      <w:i/>
      <w:kern w:val="28"/>
      <w:sz w:val="24"/>
    </w:rPr>
  </w:style>
  <w:style w:type="paragraph" w:customStyle="1" w:styleId="notepara">
    <w:name w:val="note(para)"/>
    <w:aliases w:val="na"/>
    <w:basedOn w:val="OPCParaBase"/>
    <w:rsid w:val="00B715AF"/>
    <w:pPr>
      <w:spacing w:before="40" w:line="198" w:lineRule="exact"/>
      <w:ind w:left="2354" w:hanging="369"/>
    </w:pPr>
    <w:rPr>
      <w:sz w:val="18"/>
    </w:rPr>
  </w:style>
  <w:style w:type="paragraph" w:styleId="Footer">
    <w:name w:val="footer"/>
    <w:link w:val="FooterChar"/>
    <w:rsid w:val="00B715A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715AF"/>
    <w:rPr>
      <w:rFonts w:eastAsia="Times New Roman" w:cs="Times New Roman"/>
      <w:sz w:val="22"/>
      <w:szCs w:val="24"/>
      <w:lang w:eastAsia="en-AU"/>
    </w:rPr>
  </w:style>
  <w:style w:type="character" w:styleId="LineNumber">
    <w:name w:val="line number"/>
    <w:basedOn w:val="OPCCharBase"/>
    <w:uiPriority w:val="99"/>
    <w:semiHidden/>
    <w:unhideWhenUsed/>
    <w:rsid w:val="00B715AF"/>
    <w:rPr>
      <w:sz w:val="16"/>
    </w:rPr>
  </w:style>
  <w:style w:type="table" w:customStyle="1" w:styleId="CFlag">
    <w:name w:val="CFlag"/>
    <w:basedOn w:val="TableNormal"/>
    <w:uiPriority w:val="99"/>
    <w:rsid w:val="00B715AF"/>
    <w:rPr>
      <w:rFonts w:eastAsia="Times New Roman" w:cs="Times New Roman"/>
      <w:lang w:eastAsia="en-AU"/>
    </w:rPr>
    <w:tblPr/>
  </w:style>
  <w:style w:type="paragraph" w:styleId="BalloonText">
    <w:name w:val="Balloon Text"/>
    <w:basedOn w:val="Normal"/>
    <w:link w:val="BalloonTextChar"/>
    <w:uiPriority w:val="99"/>
    <w:semiHidden/>
    <w:unhideWhenUsed/>
    <w:rsid w:val="00B715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5AF"/>
    <w:rPr>
      <w:rFonts w:ascii="Tahoma" w:hAnsi="Tahoma" w:cs="Tahoma"/>
      <w:sz w:val="16"/>
      <w:szCs w:val="16"/>
    </w:rPr>
  </w:style>
  <w:style w:type="table" w:styleId="TableGrid">
    <w:name w:val="Table Grid"/>
    <w:basedOn w:val="TableNormal"/>
    <w:uiPriority w:val="59"/>
    <w:rsid w:val="00B71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715AF"/>
    <w:rPr>
      <w:b/>
      <w:sz w:val="28"/>
      <w:szCs w:val="32"/>
    </w:rPr>
  </w:style>
  <w:style w:type="paragraph" w:customStyle="1" w:styleId="LegislationMadeUnder">
    <w:name w:val="LegislationMadeUnder"/>
    <w:basedOn w:val="OPCParaBase"/>
    <w:next w:val="Normal"/>
    <w:rsid w:val="00B715AF"/>
    <w:rPr>
      <w:i/>
      <w:sz w:val="32"/>
      <w:szCs w:val="32"/>
    </w:rPr>
  </w:style>
  <w:style w:type="paragraph" w:customStyle="1" w:styleId="SignCoverPageEnd">
    <w:name w:val="SignCoverPageEnd"/>
    <w:basedOn w:val="OPCParaBase"/>
    <w:next w:val="Normal"/>
    <w:rsid w:val="00B715A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715AF"/>
    <w:pPr>
      <w:pBdr>
        <w:top w:val="single" w:sz="4" w:space="1" w:color="auto"/>
      </w:pBdr>
      <w:spacing w:before="360"/>
      <w:ind w:right="397"/>
      <w:jc w:val="both"/>
    </w:pPr>
  </w:style>
  <w:style w:type="paragraph" w:customStyle="1" w:styleId="NotesHeading1">
    <w:name w:val="NotesHeading 1"/>
    <w:basedOn w:val="OPCParaBase"/>
    <w:next w:val="Normal"/>
    <w:rsid w:val="00B715AF"/>
    <w:pPr>
      <w:outlineLvl w:val="0"/>
    </w:pPr>
    <w:rPr>
      <w:b/>
      <w:sz w:val="28"/>
      <w:szCs w:val="28"/>
    </w:rPr>
  </w:style>
  <w:style w:type="paragraph" w:customStyle="1" w:styleId="NotesHeading2">
    <w:name w:val="NotesHeading 2"/>
    <w:basedOn w:val="OPCParaBase"/>
    <w:next w:val="Normal"/>
    <w:rsid w:val="00B715AF"/>
    <w:rPr>
      <w:b/>
      <w:sz w:val="28"/>
      <w:szCs w:val="28"/>
    </w:rPr>
  </w:style>
  <w:style w:type="paragraph" w:customStyle="1" w:styleId="CompiledActNo">
    <w:name w:val="CompiledActNo"/>
    <w:basedOn w:val="OPCParaBase"/>
    <w:next w:val="Normal"/>
    <w:rsid w:val="00B715AF"/>
    <w:rPr>
      <w:b/>
      <w:sz w:val="24"/>
      <w:szCs w:val="24"/>
    </w:rPr>
  </w:style>
  <w:style w:type="paragraph" w:customStyle="1" w:styleId="ENotesText">
    <w:name w:val="ENotesText"/>
    <w:aliases w:val="Ent"/>
    <w:basedOn w:val="OPCParaBase"/>
    <w:next w:val="Normal"/>
    <w:rsid w:val="00B715AF"/>
    <w:pPr>
      <w:spacing w:before="120"/>
    </w:pPr>
  </w:style>
  <w:style w:type="paragraph" w:customStyle="1" w:styleId="CompiledMadeUnder">
    <w:name w:val="CompiledMadeUnder"/>
    <w:basedOn w:val="OPCParaBase"/>
    <w:next w:val="Normal"/>
    <w:rsid w:val="00B715AF"/>
    <w:rPr>
      <w:i/>
      <w:sz w:val="24"/>
      <w:szCs w:val="24"/>
    </w:rPr>
  </w:style>
  <w:style w:type="paragraph" w:customStyle="1" w:styleId="Paragraphsub-sub-sub">
    <w:name w:val="Paragraph(sub-sub-sub)"/>
    <w:aliases w:val="aaaa"/>
    <w:basedOn w:val="OPCParaBase"/>
    <w:rsid w:val="00B715AF"/>
    <w:pPr>
      <w:tabs>
        <w:tab w:val="right" w:pos="3402"/>
      </w:tabs>
      <w:spacing w:before="40" w:line="240" w:lineRule="auto"/>
      <w:ind w:left="3402" w:hanging="3402"/>
    </w:pPr>
  </w:style>
  <w:style w:type="paragraph" w:customStyle="1" w:styleId="TableTextEndNotes">
    <w:name w:val="TableTextEndNotes"/>
    <w:aliases w:val="Tten"/>
    <w:basedOn w:val="Normal"/>
    <w:rsid w:val="00B715AF"/>
    <w:pPr>
      <w:spacing w:before="60" w:line="240" w:lineRule="auto"/>
    </w:pPr>
    <w:rPr>
      <w:rFonts w:cs="Arial"/>
      <w:sz w:val="20"/>
      <w:szCs w:val="22"/>
    </w:rPr>
  </w:style>
  <w:style w:type="paragraph" w:customStyle="1" w:styleId="NoteToSubpara">
    <w:name w:val="NoteToSubpara"/>
    <w:aliases w:val="nts"/>
    <w:basedOn w:val="OPCParaBase"/>
    <w:rsid w:val="00B715AF"/>
    <w:pPr>
      <w:spacing w:before="40" w:line="198" w:lineRule="exact"/>
      <w:ind w:left="2835" w:hanging="709"/>
    </w:pPr>
    <w:rPr>
      <w:sz w:val="18"/>
    </w:rPr>
  </w:style>
  <w:style w:type="paragraph" w:customStyle="1" w:styleId="ENoteTableHeading">
    <w:name w:val="ENoteTableHeading"/>
    <w:aliases w:val="enth"/>
    <w:basedOn w:val="OPCParaBase"/>
    <w:rsid w:val="00B715AF"/>
    <w:pPr>
      <w:keepNext/>
      <w:spacing w:before="60" w:line="240" w:lineRule="atLeast"/>
    </w:pPr>
    <w:rPr>
      <w:rFonts w:ascii="Arial" w:hAnsi="Arial"/>
      <w:b/>
      <w:sz w:val="16"/>
    </w:rPr>
  </w:style>
  <w:style w:type="paragraph" w:customStyle="1" w:styleId="ENoteTTi">
    <w:name w:val="ENoteTTi"/>
    <w:aliases w:val="entti"/>
    <w:basedOn w:val="OPCParaBase"/>
    <w:rsid w:val="00B715AF"/>
    <w:pPr>
      <w:keepNext/>
      <w:spacing w:before="60" w:line="240" w:lineRule="atLeast"/>
      <w:ind w:left="170"/>
    </w:pPr>
    <w:rPr>
      <w:sz w:val="16"/>
    </w:rPr>
  </w:style>
  <w:style w:type="paragraph" w:customStyle="1" w:styleId="ENotesHeading1">
    <w:name w:val="ENotesHeading 1"/>
    <w:aliases w:val="Enh1"/>
    <w:basedOn w:val="OPCParaBase"/>
    <w:next w:val="Normal"/>
    <w:rsid w:val="00B715AF"/>
    <w:pPr>
      <w:spacing w:before="120"/>
      <w:outlineLvl w:val="1"/>
    </w:pPr>
    <w:rPr>
      <w:b/>
      <w:sz w:val="28"/>
      <w:szCs w:val="28"/>
    </w:rPr>
  </w:style>
  <w:style w:type="paragraph" w:customStyle="1" w:styleId="ENotesHeading2">
    <w:name w:val="ENotesHeading 2"/>
    <w:aliases w:val="Enh2"/>
    <w:basedOn w:val="OPCParaBase"/>
    <w:next w:val="Normal"/>
    <w:rsid w:val="00B715AF"/>
    <w:pPr>
      <w:spacing w:before="120" w:after="120"/>
      <w:outlineLvl w:val="2"/>
    </w:pPr>
    <w:rPr>
      <w:b/>
      <w:sz w:val="24"/>
      <w:szCs w:val="28"/>
    </w:rPr>
  </w:style>
  <w:style w:type="paragraph" w:customStyle="1" w:styleId="ENoteTTIndentHeading">
    <w:name w:val="ENoteTTIndentHeading"/>
    <w:aliases w:val="enTTHi"/>
    <w:basedOn w:val="OPCParaBase"/>
    <w:rsid w:val="00B715A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715AF"/>
    <w:pPr>
      <w:spacing w:before="60" w:line="240" w:lineRule="atLeast"/>
    </w:pPr>
    <w:rPr>
      <w:sz w:val="16"/>
    </w:rPr>
  </w:style>
  <w:style w:type="paragraph" w:customStyle="1" w:styleId="MadeunderText">
    <w:name w:val="MadeunderText"/>
    <w:basedOn w:val="OPCParaBase"/>
    <w:next w:val="CompiledMadeUnder"/>
    <w:rsid w:val="00B715AF"/>
    <w:pPr>
      <w:spacing w:before="240"/>
    </w:pPr>
    <w:rPr>
      <w:sz w:val="24"/>
      <w:szCs w:val="24"/>
    </w:rPr>
  </w:style>
  <w:style w:type="paragraph" w:customStyle="1" w:styleId="ENotesHeading3">
    <w:name w:val="ENotesHeading 3"/>
    <w:aliases w:val="Enh3"/>
    <w:basedOn w:val="OPCParaBase"/>
    <w:next w:val="Normal"/>
    <w:rsid w:val="00B715AF"/>
    <w:pPr>
      <w:keepNext/>
      <w:spacing w:before="120" w:line="240" w:lineRule="auto"/>
      <w:outlineLvl w:val="4"/>
    </w:pPr>
    <w:rPr>
      <w:b/>
      <w:szCs w:val="24"/>
    </w:rPr>
  </w:style>
  <w:style w:type="character" w:customStyle="1" w:styleId="CharSubPartTextCASA">
    <w:name w:val="CharSubPartText(CASA)"/>
    <w:basedOn w:val="OPCCharBase"/>
    <w:uiPriority w:val="1"/>
    <w:rsid w:val="00B715AF"/>
  </w:style>
  <w:style w:type="character" w:customStyle="1" w:styleId="CharSubPartNoCASA">
    <w:name w:val="CharSubPartNo(CASA)"/>
    <w:basedOn w:val="OPCCharBase"/>
    <w:uiPriority w:val="1"/>
    <w:rsid w:val="00B715AF"/>
  </w:style>
  <w:style w:type="paragraph" w:customStyle="1" w:styleId="ENoteTTIndentHeadingSub">
    <w:name w:val="ENoteTTIndentHeadingSub"/>
    <w:aliases w:val="enTTHis"/>
    <w:basedOn w:val="OPCParaBase"/>
    <w:rsid w:val="00B715AF"/>
    <w:pPr>
      <w:keepNext/>
      <w:spacing w:before="60" w:line="240" w:lineRule="atLeast"/>
      <w:ind w:left="340"/>
    </w:pPr>
    <w:rPr>
      <w:b/>
      <w:sz w:val="16"/>
    </w:rPr>
  </w:style>
  <w:style w:type="paragraph" w:customStyle="1" w:styleId="ENoteTTiSub">
    <w:name w:val="ENoteTTiSub"/>
    <w:aliases w:val="enttis"/>
    <w:basedOn w:val="OPCParaBase"/>
    <w:rsid w:val="00B715AF"/>
    <w:pPr>
      <w:keepNext/>
      <w:spacing w:before="60" w:line="240" w:lineRule="atLeast"/>
      <w:ind w:left="340"/>
    </w:pPr>
    <w:rPr>
      <w:sz w:val="16"/>
    </w:rPr>
  </w:style>
  <w:style w:type="paragraph" w:customStyle="1" w:styleId="SubDivisionMigration">
    <w:name w:val="SubDivisionMigration"/>
    <w:aliases w:val="sdm"/>
    <w:basedOn w:val="OPCParaBase"/>
    <w:rsid w:val="00B715A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715A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715A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B715A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715AF"/>
    <w:rPr>
      <w:sz w:val="22"/>
    </w:rPr>
  </w:style>
  <w:style w:type="paragraph" w:customStyle="1" w:styleId="SOTextNote">
    <w:name w:val="SO TextNote"/>
    <w:aliases w:val="sont"/>
    <w:basedOn w:val="SOText"/>
    <w:qFormat/>
    <w:rsid w:val="00B715AF"/>
    <w:pPr>
      <w:spacing w:before="122" w:line="198" w:lineRule="exact"/>
      <w:ind w:left="1843" w:hanging="709"/>
    </w:pPr>
    <w:rPr>
      <w:sz w:val="18"/>
    </w:rPr>
  </w:style>
  <w:style w:type="paragraph" w:customStyle="1" w:styleId="SOPara">
    <w:name w:val="SO Para"/>
    <w:aliases w:val="soa"/>
    <w:basedOn w:val="SOText"/>
    <w:link w:val="SOParaChar"/>
    <w:qFormat/>
    <w:rsid w:val="00B715AF"/>
    <w:pPr>
      <w:tabs>
        <w:tab w:val="right" w:pos="1786"/>
      </w:tabs>
      <w:spacing w:before="40"/>
      <w:ind w:left="2070" w:hanging="936"/>
    </w:pPr>
  </w:style>
  <w:style w:type="character" w:customStyle="1" w:styleId="SOParaChar">
    <w:name w:val="SO Para Char"/>
    <w:aliases w:val="soa Char"/>
    <w:basedOn w:val="DefaultParagraphFont"/>
    <w:link w:val="SOPara"/>
    <w:rsid w:val="00B715AF"/>
    <w:rPr>
      <w:sz w:val="22"/>
    </w:rPr>
  </w:style>
  <w:style w:type="paragraph" w:customStyle="1" w:styleId="FileName">
    <w:name w:val="FileName"/>
    <w:basedOn w:val="Normal"/>
    <w:rsid w:val="00B715AF"/>
  </w:style>
  <w:style w:type="paragraph" w:customStyle="1" w:styleId="TableHeading">
    <w:name w:val="TableHeading"/>
    <w:aliases w:val="th"/>
    <w:basedOn w:val="OPCParaBase"/>
    <w:next w:val="Tabletext"/>
    <w:rsid w:val="00B715AF"/>
    <w:pPr>
      <w:keepNext/>
      <w:spacing w:before="60" w:line="240" w:lineRule="atLeast"/>
    </w:pPr>
    <w:rPr>
      <w:b/>
      <w:sz w:val="20"/>
    </w:rPr>
  </w:style>
  <w:style w:type="paragraph" w:customStyle="1" w:styleId="SOHeadBold">
    <w:name w:val="SO HeadBold"/>
    <w:aliases w:val="sohb"/>
    <w:basedOn w:val="SOText"/>
    <w:next w:val="SOText"/>
    <w:link w:val="SOHeadBoldChar"/>
    <w:qFormat/>
    <w:rsid w:val="00B715AF"/>
    <w:rPr>
      <w:b/>
    </w:rPr>
  </w:style>
  <w:style w:type="character" w:customStyle="1" w:styleId="SOHeadBoldChar">
    <w:name w:val="SO HeadBold Char"/>
    <w:aliases w:val="sohb Char"/>
    <w:basedOn w:val="DefaultParagraphFont"/>
    <w:link w:val="SOHeadBold"/>
    <w:rsid w:val="00B715AF"/>
    <w:rPr>
      <w:b/>
      <w:sz w:val="22"/>
    </w:rPr>
  </w:style>
  <w:style w:type="paragraph" w:customStyle="1" w:styleId="SOHeadItalic">
    <w:name w:val="SO HeadItalic"/>
    <w:aliases w:val="sohi"/>
    <w:basedOn w:val="SOText"/>
    <w:next w:val="SOText"/>
    <w:link w:val="SOHeadItalicChar"/>
    <w:qFormat/>
    <w:rsid w:val="00B715AF"/>
    <w:rPr>
      <w:i/>
    </w:rPr>
  </w:style>
  <w:style w:type="character" w:customStyle="1" w:styleId="SOHeadItalicChar">
    <w:name w:val="SO HeadItalic Char"/>
    <w:aliases w:val="sohi Char"/>
    <w:basedOn w:val="DefaultParagraphFont"/>
    <w:link w:val="SOHeadItalic"/>
    <w:rsid w:val="00B715AF"/>
    <w:rPr>
      <w:i/>
      <w:sz w:val="22"/>
    </w:rPr>
  </w:style>
  <w:style w:type="paragraph" w:customStyle="1" w:styleId="SOBullet">
    <w:name w:val="SO Bullet"/>
    <w:aliases w:val="sotb"/>
    <w:basedOn w:val="SOText"/>
    <w:link w:val="SOBulletChar"/>
    <w:qFormat/>
    <w:rsid w:val="00B715AF"/>
    <w:pPr>
      <w:ind w:left="1559" w:hanging="425"/>
    </w:pPr>
  </w:style>
  <w:style w:type="character" w:customStyle="1" w:styleId="SOBulletChar">
    <w:name w:val="SO Bullet Char"/>
    <w:aliases w:val="sotb Char"/>
    <w:basedOn w:val="DefaultParagraphFont"/>
    <w:link w:val="SOBullet"/>
    <w:rsid w:val="00B715AF"/>
    <w:rPr>
      <w:sz w:val="22"/>
    </w:rPr>
  </w:style>
  <w:style w:type="paragraph" w:customStyle="1" w:styleId="SOBulletNote">
    <w:name w:val="SO BulletNote"/>
    <w:aliases w:val="sonb"/>
    <w:basedOn w:val="SOTextNote"/>
    <w:link w:val="SOBulletNoteChar"/>
    <w:qFormat/>
    <w:rsid w:val="00B715AF"/>
    <w:pPr>
      <w:tabs>
        <w:tab w:val="left" w:pos="1560"/>
      </w:tabs>
      <w:ind w:left="2268" w:hanging="1134"/>
    </w:pPr>
  </w:style>
  <w:style w:type="character" w:customStyle="1" w:styleId="SOBulletNoteChar">
    <w:name w:val="SO BulletNote Char"/>
    <w:aliases w:val="sonb Char"/>
    <w:basedOn w:val="DefaultParagraphFont"/>
    <w:link w:val="SOBulletNote"/>
    <w:rsid w:val="00B715AF"/>
    <w:rPr>
      <w:sz w:val="18"/>
    </w:rPr>
  </w:style>
  <w:style w:type="paragraph" w:customStyle="1" w:styleId="SOText2">
    <w:name w:val="SO Text2"/>
    <w:aliases w:val="sot2"/>
    <w:basedOn w:val="Normal"/>
    <w:next w:val="SOText"/>
    <w:link w:val="SOText2Char"/>
    <w:rsid w:val="00B715A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715AF"/>
    <w:rPr>
      <w:sz w:val="22"/>
    </w:rPr>
  </w:style>
  <w:style w:type="paragraph" w:customStyle="1" w:styleId="SubPartCASA">
    <w:name w:val="SubPart(CASA)"/>
    <w:aliases w:val="csp"/>
    <w:basedOn w:val="OPCParaBase"/>
    <w:next w:val="ActHead3"/>
    <w:rsid w:val="00B715A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715AF"/>
    <w:rPr>
      <w:rFonts w:eastAsia="Times New Roman" w:cs="Times New Roman"/>
      <w:sz w:val="22"/>
      <w:lang w:eastAsia="en-AU"/>
    </w:rPr>
  </w:style>
  <w:style w:type="character" w:customStyle="1" w:styleId="notetextChar">
    <w:name w:val="note(text) Char"/>
    <w:aliases w:val="n Char"/>
    <w:basedOn w:val="DefaultParagraphFont"/>
    <w:link w:val="notetext"/>
    <w:rsid w:val="00B715AF"/>
    <w:rPr>
      <w:rFonts w:eastAsia="Times New Roman" w:cs="Times New Roman"/>
      <w:sz w:val="18"/>
      <w:lang w:eastAsia="en-AU"/>
    </w:rPr>
  </w:style>
  <w:style w:type="character" w:customStyle="1" w:styleId="Heading1Char">
    <w:name w:val="Heading 1 Char"/>
    <w:basedOn w:val="DefaultParagraphFont"/>
    <w:link w:val="Heading1"/>
    <w:uiPriority w:val="9"/>
    <w:rsid w:val="00B715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715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715A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715A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715A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715A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715A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715A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715AF"/>
    <w:rPr>
      <w:rFonts w:asciiTheme="majorHAnsi" w:eastAsiaTheme="majorEastAsia" w:hAnsiTheme="majorHAnsi" w:cstheme="majorBidi"/>
      <w:i/>
      <w:iCs/>
      <w:color w:val="404040" w:themeColor="text1" w:themeTint="BF"/>
    </w:rPr>
  </w:style>
  <w:style w:type="numbering" w:customStyle="1" w:styleId="KeyPoints">
    <w:name w:val="Key Points"/>
    <w:basedOn w:val="NoList"/>
    <w:uiPriority w:val="99"/>
    <w:rsid w:val="00B84D7D"/>
    <w:pPr>
      <w:numPr>
        <w:numId w:val="13"/>
      </w:numPr>
    </w:pPr>
  </w:style>
  <w:style w:type="paragraph" w:styleId="ListNumber">
    <w:name w:val="List Number"/>
    <w:basedOn w:val="Normal"/>
    <w:uiPriority w:val="99"/>
    <w:qFormat/>
    <w:rsid w:val="00B84D7D"/>
    <w:pPr>
      <w:numPr>
        <w:numId w:val="14"/>
      </w:numPr>
      <w:spacing w:after="200" w:line="276" w:lineRule="auto"/>
    </w:pPr>
    <w:rPr>
      <w:rFonts w:ascii="Arial" w:eastAsia="Calibri" w:hAnsi="Arial" w:cs="Times New Roman"/>
      <w:szCs w:val="22"/>
    </w:rPr>
  </w:style>
  <w:style w:type="paragraph" w:styleId="ListNumber2">
    <w:name w:val="List Number 2"/>
    <w:basedOn w:val="Normal"/>
    <w:uiPriority w:val="99"/>
    <w:rsid w:val="00B84D7D"/>
    <w:pPr>
      <w:numPr>
        <w:ilvl w:val="1"/>
        <w:numId w:val="14"/>
      </w:numPr>
      <w:spacing w:after="200" w:line="276" w:lineRule="auto"/>
    </w:pPr>
    <w:rPr>
      <w:rFonts w:ascii="Arial" w:eastAsia="Calibri" w:hAnsi="Arial" w:cs="Times New Roman"/>
      <w:szCs w:val="22"/>
    </w:rPr>
  </w:style>
  <w:style w:type="paragraph" w:styleId="ListNumber3">
    <w:name w:val="List Number 3"/>
    <w:basedOn w:val="Normal"/>
    <w:uiPriority w:val="99"/>
    <w:rsid w:val="00B84D7D"/>
    <w:pPr>
      <w:numPr>
        <w:ilvl w:val="2"/>
        <w:numId w:val="14"/>
      </w:numPr>
      <w:spacing w:after="200" w:line="276" w:lineRule="auto"/>
    </w:pPr>
    <w:rPr>
      <w:rFonts w:ascii="Arial" w:eastAsia="Calibri" w:hAnsi="Arial" w:cs="Times New Roman"/>
      <w:szCs w:val="22"/>
    </w:rPr>
  </w:style>
  <w:style w:type="paragraph" w:styleId="ListNumber4">
    <w:name w:val="List Number 4"/>
    <w:basedOn w:val="Normal"/>
    <w:uiPriority w:val="99"/>
    <w:rsid w:val="00B84D7D"/>
    <w:pPr>
      <w:numPr>
        <w:ilvl w:val="3"/>
        <w:numId w:val="14"/>
      </w:numPr>
      <w:spacing w:after="200" w:line="276" w:lineRule="auto"/>
    </w:pPr>
    <w:rPr>
      <w:rFonts w:ascii="Arial" w:eastAsia="Calibri" w:hAnsi="Arial" w:cs="Times New Roman"/>
      <w:szCs w:val="22"/>
    </w:rPr>
  </w:style>
  <w:style w:type="paragraph" w:styleId="ListNumber5">
    <w:name w:val="List Number 5"/>
    <w:basedOn w:val="Normal"/>
    <w:uiPriority w:val="99"/>
    <w:rsid w:val="00B84D7D"/>
    <w:pPr>
      <w:numPr>
        <w:ilvl w:val="4"/>
        <w:numId w:val="14"/>
      </w:numPr>
      <w:spacing w:after="200" w:line="276" w:lineRule="auto"/>
    </w:pPr>
    <w:rPr>
      <w:rFonts w:ascii="Arial" w:eastAsia="Calibri" w:hAnsi="Arial" w:cs="Times New Roman"/>
      <w:szCs w:val="22"/>
    </w:rPr>
  </w:style>
  <w:style w:type="character" w:customStyle="1" w:styleId="paragraphChar">
    <w:name w:val="paragraph Char"/>
    <w:aliases w:val="a Char"/>
    <w:basedOn w:val="DefaultParagraphFont"/>
    <w:link w:val="paragraph"/>
    <w:rsid w:val="00634C77"/>
    <w:rPr>
      <w:rFonts w:eastAsia="Times New Roman" w:cs="Times New Roman"/>
      <w:sz w:val="22"/>
      <w:lang w:eastAsia="en-AU"/>
    </w:rPr>
  </w:style>
  <w:style w:type="character" w:styleId="CommentReference">
    <w:name w:val="annotation reference"/>
    <w:uiPriority w:val="99"/>
    <w:semiHidden/>
    <w:unhideWhenUsed/>
    <w:rsid w:val="001E68DF"/>
    <w:rPr>
      <w:sz w:val="16"/>
      <w:szCs w:val="16"/>
    </w:rPr>
  </w:style>
  <w:style w:type="paragraph" w:styleId="CommentText">
    <w:name w:val="annotation text"/>
    <w:basedOn w:val="Normal"/>
    <w:link w:val="CommentTextChar"/>
    <w:uiPriority w:val="99"/>
    <w:semiHidden/>
    <w:unhideWhenUsed/>
    <w:rsid w:val="001E68DF"/>
    <w:rPr>
      <w:rFonts w:eastAsia="Calibri" w:cs="Times New Roman"/>
      <w:sz w:val="20"/>
    </w:rPr>
  </w:style>
  <w:style w:type="character" w:customStyle="1" w:styleId="CommentTextChar">
    <w:name w:val="Comment Text Char"/>
    <w:basedOn w:val="DefaultParagraphFont"/>
    <w:link w:val="CommentText"/>
    <w:uiPriority w:val="99"/>
    <w:semiHidden/>
    <w:rsid w:val="001E68DF"/>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47492-9FBA-4DCB-851A-36AB673A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30</Pages>
  <Words>6647</Words>
  <Characters>37889</Characters>
  <Application>Microsoft Office Word</Application>
  <DocSecurity>4</DocSecurity>
  <PresentationFormat/>
  <Lines>315</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2017-11-01T04:37:00Z</cp:lastPrinted>
  <dcterms:created xsi:type="dcterms:W3CDTF">2017-11-13T22:46:00Z</dcterms:created>
  <dcterms:modified xsi:type="dcterms:W3CDTF">2017-11-13T22:46:00Z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Petroleum and Other Fuels Reporting Rules 2017</vt:lpwstr>
  </property>
  <property fmtid="{D5CDD505-2E9C-101B-9397-08002B2CF9AE}" pid="4" name="Header">
    <vt:lpwstr>Section</vt:lpwstr>
  </property>
  <property fmtid="{D5CDD505-2E9C-101B-9397-08002B2CF9AE}" pid="5" name="Class">
    <vt:lpwstr>Rule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OPC62434</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Petroleum and Other Fuels Reporting Act 2017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C</vt:lpwstr>
  </property>
  <property fmtid="{D5CDD505-2E9C-101B-9397-08002B2CF9AE}" pid="18" name="CounterSign">
    <vt:lpwstr/>
  </property>
  <property fmtid="{D5CDD505-2E9C-101B-9397-08002B2CF9AE}" pid="19" name="DateMade">
    <vt:lpwstr>9 November 2017</vt:lpwstr>
  </property>
</Properties>
</file>