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66D54" w14:textId="77777777" w:rsidR="002206A2" w:rsidRPr="002206A2" w:rsidRDefault="002206A2" w:rsidP="002206A2">
      <w:pPr>
        <w:jc w:val="center"/>
        <w:rPr>
          <w:b/>
        </w:rPr>
      </w:pPr>
      <w:r w:rsidRPr="002206A2">
        <w:rPr>
          <w:b/>
        </w:rPr>
        <w:t xml:space="preserve">EXPLANATORY STATEMENT </w:t>
      </w:r>
    </w:p>
    <w:p w14:paraId="0B6CE8FD" w14:textId="77777777" w:rsidR="00BA610E" w:rsidRDefault="00BA610E" w:rsidP="00BA610E">
      <w:pPr>
        <w:jc w:val="center"/>
      </w:pPr>
    </w:p>
    <w:p w14:paraId="6C32F199" w14:textId="77777777" w:rsidR="00BA610E" w:rsidRDefault="00BA610E" w:rsidP="002206A2"/>
    <w:p w14:paraId="796B638E" w14:textId="77777777" w:rsidR="00BA610E" w:rsidRPr="000474F7" w:rsidRDefault="002B64AD" w:rsidP="00BA610E">
      <w:pPr>
        <w:jc w:val="center"/>
        <w:rPr>
          <w:b/>
          <w:i/>
        </w:rPr>
      </w:pPr>
      <w:r w:rsidRPr="000474F7">
        <w:rPr>
          <w:b/>
          <w:i/>
        </w:rPr>
        <w:t>Petroleum and Other Fuels Reporting Act 201</w:t>
      </w:r>
      <w:r w:rsidR="005E02B8">
        <w:rPr>
          <w:b/>
          <w:i/>
        </w:rPr>
        <w:t>7</w:t>
      </w:r>
    </w:p>
    <w:p w14:paraId="27D72ADC" w14:textId="77777777" w:rsidR="00BA610E" w:rsidRPr="00E36D96" w:rsidRDefault="002B64AD" w:rsidP="00E36D96">
      <w:pPr>
        <w:pStyle w:val="Heading9"/>
        <w:rPr>
          <w:i/>
        </w:rPr>
      </w:pPr>
      <w:bookmarkStart w:id="0" w:name="_GoBack"/>
      <w:r w:rsidRPr="002B64AD">
        <w:rPr>
          <w:i/>
        </w:rPr>
        <w:t xml:space="preserve">Petroleum </w:t>
      </w:r>
      <w:r>
        <w:rPr>
          <w:i/>
        </w:rPr>
        <w:t>a</w:t>
      </w:r>
      <w:r w:rsidRPr="002B64AD">
        <w:rPr>
          <w:i/>
        </w:rPr>
        <w:t>nd Other Fuels Reporting Rules 201</w:t>
      </w:r>
      <w:r w:rsidR="005E02B8">
        <w:rPr>
          <w:i/>
        </w:rPr>
        <w:t>7</w:t>
      </w:r>
      <w:bookmarkEnd w:id="0"/>
      <w:r w:rsidRPr="002B64AD">
        <w:rPr>
          <w:i/>
        </w:rPr>
        <w:t xml:space="preserve"> </w:t>
      </w:r>
    </w:p>
    <w:p w14:paraId="0493FF89" w14:textId="77777777" w:rsidR="002206A2" w:rsidRDefault="002206A2" w:rsidP="00BA610E">
      <w:pPr>
        <w:jc w:val="center"/>
      </w:pPr>
    </w:p>
    <w:p w14:paraId="3CBED46E" w14:textId="77777777" w:rsidR="00444710" w:rsidRPr="00444710" w:rsidRDefault="002B64AD" w:rsidP="00790EE1">
      <w:pPr>
        <w:spacing w:after="200"/>
        <w:rPr>
          <w:b/>
        </w:rPr>
      </w:pPr>
      <w:r>
        <w:rPr>
          <w:b/>
        </w:rPr>
        <w:t>Legislative basis</w:t>
      </w:r>
      <w:r w:rsidR="00444710" w:rsidRPr="00444710">
        <w:rPr>
          <w:b/>
        </w:rPr>
        <w:t xml:space="preserve"> </w:t>
      </w:r>
    </w:p>
    <w:p w14:paraId="7FE8597F" w14:textId="77777777" w:rsidR="00444710" w:rsidRPr="00444710" w:rsidRDefault="002B64AD" w:rsidP="000474F7">
      <w:pPr>
        <w:spacing w:before="240" w:after="200"/>
      </w:pPr>
      <w:r>
        <w:t>Section 41</w:t>
      </w:r>
      <w:r w:rsidR="00430C9F">
        <w:t xml:space="preserve"> </w:t>
      </w:r>
      <w:r>
        <w:t xml:space="preserve">of the </w:t>
      </w:r>
      <w:r w:rsidRPr="00723100">
        <w:rPr>
          <w:i/>
        </w:rPr>
        <w:t xml:space="preserve">Petroleum and Other Fuels Reporting </w:t>
      </w:r>
      <w:r>
        <w:rPr>
          <w:i/>
        </w:rPr>
        <w:t>Act 201</w:t>
      </w:r>
      <w:r w:rsidR="005E02B8">
        <w:rPr>
          <w:i/>
        </w:rPr>
        <w:t>7</w:t>
      </w:r>
      <w:r>
        <w:rPr>
          <w:i/>
        </w:rPr>
        <w:t xml:space="preserve"> </w:t>
      </w:r>
      <w:r>
        <w:t>(the Act) provides that the relevant Minister may, by legislative instrument, make legislative rules prescribing matters required or permitted by the Act to be prescribed by legislative rules, or necessary or convenient to be prescribed for carrying out or giving effect to the Act. T</w:t>
      </w:r>
      <w:r w:rsidR="00444710">
        <w:t xml:space="preserve">he Minister for the Environment and Energy, the Hon. Josh Frydenberg MP </w:t>
      </w:r>
      <w:r w:rsidR="00790EE1">
        <w:t xml:space="preserve">(the Minister) </w:t>
      </w:r>
      <w:r>
        <w:t>is the relevant Minister</w:t>
      </w:r>
      <w:r w:rsidR="00444710">
        <w:t>.</w:t>
      </w:r>
    </w:p>
    <w:p w14:paraId="0FBE5FAA" w14:textId="77777777" w:rsidR="00BA610E" w:rsidRDefault="00BB7EA9" w:rsidP="00790EE1">
      <w:pPr>
        <w:spacing w:after="200"/>
        <w:rPr>
          <w:b/>
          <w:bCs/>
        </w:rPr>
      </w:pPr>
      <w:r>
        <w:rPr>
          <w:b/>
        </w:rPr>
        <w:t>Purpose of the Instrument</w:t>
      </w:r>
    </w:p>
    <w:p w14:paraId="1568C06C" w14:textId="77777777" w:rsidR="00F32A9A" w:rsidRDefault="00F32A9A" w:rsidP="00790EE1">
      <w:pPr>
        <w:spacing w:after="200"/>
      </w:pPr>
      <w:r>
        <w:t xml:space="preserve">The Act establishes a mandatory reporting regime for fuel </w:t>
      </w:r>
      <w:r w:rsidR="00AD4D4B">
        <w:t xml:space="preserve">and fuel-related </w:t>
      </w:r>
      <w:r>
        <w:t xml:space="preserve">information. The information collected under mandatory reporting will be used to monitor energy security, facilitate compliance with international reporting and stockholding obligations, and enable the publication of aggregate statistics for the use of business, investors, academics and government. </w:t>
      </w:r>
    </w:p>
    <w:p w14:paraId="6EAAA388" w14:textId="77777777" w:rsidR="00F32A9A" w:rsidRPr="000474F7" w:rsidRDefault="00F32A9A" w:rsidP="000474F7">
      <w:pPr>
        <w:spacing w:after="200"/>
      </w:pPr>
      <w:r w:rsidRPr="000474F7">
        <w:t>The Act provides that the Minister may</w:t>
      </w:r>
      <w:r w:rsidR="00430C9F">
        <w:t xml:space="preserve"> make</w:t>
      </w:r>
      <w:r w:rsidRPr="000474F7">
        <w:t xml:space="preserve"> </w:t>
      </w:r>
      <w:r w:rsidR="00430C9F">
        <w:t>r</w:t>
      </w:r>
      <w:r w:rsidRPr="000474F7">
        <w:t>ules covering matters such as:</w:t>
      </w:r>
    </w:p>
    <w:p w14:paraId="2350905E" w14:textId="77777777" w:rsidR="00F32A9A" w:rsidRPr="000474F7" w:rsidRDefault="00F32A9A" w:rsidP="000474F7">
      <w:pPr>
        <w:pStyle w:val="ListParagraph"/>
        <w:numPr>
          <w:ilvl w:val="0"/>
          <w:numId w:val="25"/>
        </w:numPr>
        <w:spacing w:after="200"/>
      </w:pPr>
      <w:r w:rsidRPr="000474F7">
        <w:t>who has an obligation to report information to the Secretary</w:t>
      </w:r>
      <w:r w:rsidR="00D5532D">
        <w:t xml:space="preserve"> of the Department responsible for administering the Act</w:t>
      </w:r>
      <w:r w:rsidRPr="000474F7">
        <w:t>;</w:t>
      </w:r>
    </w:p>
    <w:p w14:paraId="64BF38A4" w14:textId="77777777" w:rsidR="00F32A9A" w:rsidRPr="000474F7" w:rsidRDefault="00D5532D" w:rsidP="000474F7">
      <w:pPr>
        <w:pStyle w:val="ListParagraph"/>
        <w:numPr>
          <w:ilvl w:val="0"/>
          <w:numId w:val="25"/>
        </w:numPr>
        <w:spacing w:after="200"/>
      </w:pPr>
      <w:r>
        <w:t>specifying additional</w:t>
      </w:r>
      <w:r w:rsidR="00F32A9A" w:rsidRPr="000474F7">
        <w:t xml:space="preserve"> covered </w:t>
      </w:r>
      <w:r w:rsidRPr="000474F7">
        <w:t>activit</w:t>
      </w:r>
      <w:r>
        <w:t>ies</w:t>
      </w:r>
      <w:r w:rsidR="00F32A9A" w:rsidRPr="000474F7">
        <w:t>;</w:t>
      </w:r>
    </w:p>
    <w:p w14:paraId="16ECEB42" w14:textId="77777777" w:rsidR="00F32A9A" w:rsidRPr="000474F7" w:rsidRDefault="00D5532D" w:rsidP="000474F7">
      <w:pPr>
        <w:pStyle w:val="ListParagraph"/>
        <w:numPr>
          <w:ilvl w:val="0"/>
          <w:numId w:val="25"/>
        </w:numPr>
        <w:spacing w:after="200"/>
      </w:pPr>
      <w:r>
        <w:t>specifying additional</w:t>
      </w:r>
      <w:r w:rsidRPr="000474F7">
        <w:t xml:space="preserve"> </w:t>
      </w:r>
      <w:r w:rsidR="00F32A9A" w:rsidRPr="000474F7">
        <w:t>covered product</w:t>
      </w:r>
      <w:r>
        <w:t>s</w:t>
      </w:r>
      <w:r w:rsidR="00F32A9A" w:rsidRPr="000474F7">
        <w:t>;</w:t>
      </w:r>
    </w:p>
    <w:p w14:paraId="1A0A0A3C" w14:textId="77777777" w:rsidR="00F32A9A" w:rsidRPr="000474F7" w:rsidRDefault="00F32A9A" w:rsidP="000474F7">
      <w:pPr>
        <w:pStyle w:val="ListParagraph"/>
        <w:numPr>
          <w:ilvl w:val="0"/>
          <w:numId w:val="25"/>
        </w:numPr>
        <w:spacing w:after="200"/>
      </w:pPr>
      <w:r w:rsidRPr="000474F7">
        <w:t>when reports must be provided to the Secretary;</w:t>
      </w:r>
    </w:p>
    <w:p w14:paraId="0E376FAC" w14:textId="77777777" w:rsidR="00F32A9A" w:rsidRPr="000474F7" w:rsidRDefault="00650FB0" w:rsidP="000474F7">
      <w:pPr>
        <w:pStyle w:val="ListParagraph"/>
        <w:numPr>
          <w:ilvl w:val="0"/>
          <w:numId w:val="25"/>
        </w:numPr>
        <w:spacing w:after="200"/>
      </w:pPr>
      <w:r>
        <w:t>exceptions</w:t>
      </w:r>
      <w:r w:rsidRPr="000474F7">
        <w:t xml:space="preserve"> </w:t>
      </w:r>
      <w:r w:rsidR="00F32A9A" w:rsidRPr="000474F7">
        <w:t xml:space="preserve">from the reporting obligation; </w:t>
      </w:r>
    </w:p>
    <w:p w14:paraId="7FC3E515" w14:textId="77777777" w:rsidR="00F32A9A" w:rsidRPr="000474F7" w:rsidRDefault="00F32A9A" w:rsidP="000474F7">
      <w:pPr>
        <w:pStyle w:val="ListParagraph"/>
        <w:numPr>
          <w:ilvl w:val="0"/>
          <w:numId w:val="25"/>
        </w:numPr>
        <w:spacing w:after="200"/>
      </w:pPr>
      <w:r w:rsidRPr="000474F7">
        <w:t>any reporting threshold;</w:t>
      </w:r>
    </w:p>
    <w:p w14:paraId="19386166" w14:textId="77777777" w:rsidR="00F32A9A" w:rsidRPr="000474F7" w:rsidRDefault="00D07499" w:rsidP="000474F7">
      <w:pPr>
        <w:pStyle w:val="ListParagraph"/>
        <w:numPr>
          <w:ilvl w:val="0"/>
          <w:numId w:val="25"/>
        </w:numPr>
        <w:spacing w:after="200"/>
      </w:pPr>
      <w:r>
        <w:t>any reporting conditions</w:t>
      </w:r>
      <w:r w:rsidR="00F32A9A" w:rsidRPr="000474F7">
        <w:t>; and</w:t>
      </w:r>
    </w:p>
    <w:p w14:paraId="22FD48D1" w14:textId="77777777" w:rsidR="00F32A9A" w:rsidRPr="000474F7" w:rsidRDefault="00F32A9A" w:rsidP="000474F7">
      <w:pPr>
        <w:pStyle w:val="numberedparagraph0"/>
        <w:numPr>
          <w:ilvl w:val="0"/>
          <w:numId w:val="25"/>
        </w:numPr>
        <w:shd w:val="clear" w:color="auto" w:fill="FFFFFF"/>
        <w:spacing w:line="276" w:lineRule="auto"/>
        <w:rPr>
          <w:lang w:eastAsia="en-US"/>
        </w:rPr>
      </w:pPr>
      <w:r w:rsidRPr="000474F7">
        <w:rPr>
          <w:lang w:eastAsia="en-US"/>
        </w:rPr>
        <w:t xml:space="preserve">any other matters necessary or convenient to be prescribed for the carrying out or giving effect to </w:t>
      </w:r>
      <w:r w:rsidR="00650FB0">
        <w:rPr>
          <w:lang w:eastAsia="en-US"/>
        </w:rPr>
        <w:t>the Act</w:t>
      </w:r>
      <w:r w:rsidRPr="000474F7">
        <w:rPr>
          <w:lang w:eastAsia="en-US"/>
        </w:rPr>
        <w:t>.</w:t>
      </w:r>
    </w:p>
    <w:p w14:paraId="69DF4DB2" w14:textId="77777777" w:rsidR="00444710" w:rsidRDefault="00723100" w:rsidP="00790EE1">
      <w:pPr>
        <w:spacing w:after="200"/>
      </w:pPr>
      <w:r>
        <w:t>The Rule</w:t>
      </w:r>
      <w:r w:rsidR="00F32A9A">
        <w:t xml:space="preserve">s </w:t>
      </w:r>
      <w:r>
        <w:t>set out the pe</w:t>
      </w:r>
      <w:r w:rsidR="00790EE1">
        <w:t>rsons</w:t>
      </w:r>
      <w:r w:rsidR="00650FB0">
        <w:t xml:space="preserve"> who must report</w:t>
      </w:r>
      <w:r w:rsidR="00790EE1">
        <w:t>,</w:t>
      </w:r>
      <w:r w:rsidR="00650FB0">
        <w:t xml:space="preserve"> and the</w:t>
      </w:r>
      <w:r w:rsidR="00790EE1">
        <w:t xml:space="preserve"> activities and products prescribed </w:t>
      </w:r>
      <w:r w:rsidR="00DA0049">
        <w:t xml:space="preserve">as reportable </w:t>
      </w:r>
      <w:r w:rsidR="00790EE1">
        <w:t>by the Minister</w:t>
      </w:r>
      <w:r w:rsidR="00650FB0">
        <w:t>,</w:t>
      </w:r>
      <w:r w:rsidR="00790EE1">
        <w:t xml:space="preserve"> under</w:t>
      </w:r>
      <w:r>
        <w:t xml:space="preserve"> sections 11 and 12 of the Act. </w:t>
      </w:r>
      <w:r w:rsidR="00790EE1">
        <w:t>Persons prescribed by the Minister have</w:t>
      </w:r>
      <w:r>
        <w:t xml:space="preserve"> an obligation to report </w:t>
      </w:r>
      <w:r w:rsidR="00DA0049">
        <w:t>information</w:t>
      </w:r>
      <w:r>
        <w:t xml:space="preserve"> on their operations to the</w:t>
      </w:r>
      <w:r w:rsidR="00790EE1">
        <w:t xml:space="preserve"> Secretary of the</w:t>
      </w:r>
      <w:r>
        <w:t xml:space="preserve"> Department of the Environment and Energy </w:t>
      </w:r>
      <w:r w:rsidR="00790EE1">
        <w:t xml:space="preserve">(the Secretary). The Department of the Environment and Energy (the Department) </w:t>
      </w:r>
      <w:r w:rsidR="00D07499">
        <w:t>will</w:t>
      </w:r>
      <w:r w:rsidR="00790EE1">
        <w:t xml:space="preserve"> use this </w:t>
      </w:r>
      <w:r w:rsidR="00DA0049">
        <w:t>information</w:t>
      </w:r>
      <w:r w:rsidR="00790EE1">
        <w:t xml:space="preserve"> to produce </w:t>
      </w:r>
      <w:r>
        <w:t xml:space="preserve">statistics </w:t>
      </w:r>
      <w:r w:rsidR="00790EE1">
        <w:t xml:space="preserve">on fuels and fuel-related products </w:t>
      </w:r>
      <w:r>
        <w:t xml:space="preserve">in accordance with the objectives of the Act. </w:t>
      </w:r>
    </w:p>
    <w:p w14:paraId="36B4825A" w14:textId="77777777" w:rsidR="00723100" w:rsidRDefault="00790EE1" w:rsidP="00790EE1">
      <w:pPr>
        <w:spacing w:after="200"/>
      </w:pPr>
      <w:r>
        <w:t>The</w:t>
      </w:r>
      <w:r w:rsidR="00444710">
        <w:t xml:space="preserve"> </w:t>
      </w:r>
      <w:r>
        <w:t xml:space="preserve">data collected by the Department </w:t>
      </w:r>
      <w:r w:rsidR="00D07499">
        <w:t>will</w:t>
      </w:r>
      <w:r>
        <w:t xml:space="preserve"> be used to </w:t>
      </w:r>
      <w:r w:rsidR="007E434B">
        <w:t>compile</w:t>
      </w:r>
      <w:r>
        <w:t xml:space="preserve"> the</w:t>
      </w:r>
      <w:r w:rsidR="00444710">
        <w:t xml:space="preserve"> Australian Petroleum Statistics (APS), a statistical report which </w:t>
      </w:r>
      <w:r>
        <w:t>provides</w:t>
      </w:r>
      <w:r w:rsidR="00444710">
        <w:t xml:space="preserve"> </w:t>
      </w:r>
      <w:r>
        <w:t>information</w:t>
      </w:r>
      <w:r w:rsidR="00444710">
        <w:t xml:space="preserve"> on the production, refining, wholesaling and storage of petroleum and other fuels. The </w:t>
      </w:r>
      <w:r>
        <w:t>data</w:t>
      </w:r>
      <w:r w:rsidR="00444710">
        <w:t xml:space="preserve"> </w:t>
      </w:r>
      <w:r w:rsidR="00D07499">
        <w:t>will</w:t>
      </w:r>
      <w:r w:rsidR="00444710">
        <w:t xml:space="preserve"> also be used to monitor energy security and compile reports to the International</w:t>
      </w:r>
      <w:r w:rsidR="00F64353">
        <w:t xml:space="preserve"> Energy Agency (IEA) on</w:t>
      </w:r>
      <w:r>
        <w:t xml:space="preserve"> </w:t>
      </w:r>
      <w:r w:rsidR="00444710">
        <w:t>compliance with the obligation</w:t>
      </w:r>
      <w:r>
        <w:t xml:space="preserve"> in the </w:t>
      </w:r>
      <w:r w:rsidRPr="00790EE1">
        <w:rPr>
          <w:i/>
        </w:rPr>
        <w:t>Agreement on an International Energy Program</w:t>
      </w:r>
      <w:r>
        <w:t xml:space="preserve"> (IEP Treaty) to hold stock</w:t>
      </w:r>
      <w:r w:rsidR="00DA0049">
        <w:t>s</w:t>
      </w:r>
      <w:r w:rsidR="00444710">
        <w:t xml:space="preserve"> equivalent to 90 days of the previous year’s </w:t>
      </w:r>
      <w:r w:rsidR="007E434B">
        <w:t xml:space="preserve">average daily </w:t>
      </w:r>
      <w:r w:rsidR="00444710">
        <w:t>net imports</w:t>
      </w:r>
      <w:r w:rsidR="007E434B">
        <w:t xml:space="preserve"> of petroleum</w:t>
      </w:r>
      <w:r w:rsidR="00444710">
        <w:t xml:space="preserve">. </w:t>
      </w:r>
    </w:p>
    <w:p w14:paraId="45F9849F" w14:textId="77777777" w:rsidR="001C5213" w:rsidRDefault="00723100" w:rsidP="00B91A39">
      <w:pPr>
        <w:keepLines/>
        <w:spacing w:after="200"/>
      </w:pPr>
      <w:r>
        <w:lastRenderedPageBreak/>
        <w:t>The Rule</w:t>
      </w:r>
      <w:r w:rsidR="00854D76">
        <w:t>s</w:t>
      </w:r>
      <w:r>
        <w:t xml:space="preserve"> provide for additional activities and products </w:t>
      </w:r>
      <w:r w:rsidR="00DA0049">
        <w:t xml:space="preserve">to </w:t>
      </w:r>
      <w:r>
        <w:t>be covered by the reporting obligation. The activit</w:t>
      </w:r>
      <w:r w:rsidR="001C5213">
        <w:t>y</w:t>
      </w:r>
      <w:r>
        <w:t xml:space="preserve"> of </w:t>
      </w:r>
      <w:r w:rsidRPr="00EC64D9">
        <w:t>operating a fuel storage terminal</w:t>
      </w:r>
      <w:r>
        <w:t xml:space="preserve"> </w:t>
      </w:r>
      <w:r w:rsidR="00D07499">
        <w:t xml:space="preserve">for covered products </w:t>
      </w:r>
      <w:r w:rsidRPr="00EC64D9">
        <w:t>that is connected to a refinery or a port by a pipeline</w:t>
      </w:r>
      <w:r w:rsidR="001C5213">
        <w:t xml:space="preserve"> </w:t>
      </w:r>
      <w:r w:rsidR="00D07499">
        <w:t>is</w:t>
      </w:r>
      <w:r w:rsidR="001C5213">
        <w:t xml:space="preserve"> added as a covered activity, but </w:t>
      </w:r>
      <w:r w:rsidR="00D07499">
        <w:t>is</w:t>
      </w:r>
      <w:r w:rsidR="001C5213">
        <w:t xml:space="preserve"> not prescribed as reportable. The activity of </w:t>
      </w:r>
      <w:r w:rsidR="001C5213" w:rsidRPr="00EC64D9">
        <w:t>processing natural gas liquid</w:t>
      </w:r>
      <w:r w:rsidR="001C5213">
        <w:t xml:space="preserve"> </w:t>
      </w:r>
      <w:r w:rsidR="00D07499">
        <w:t>is</w:t>
      </w:r>
      <w:r w:rsidR="001C5213">
        <w:t xml:space="preserve"> added and prescribed as reportable. The Rules also add natural gas, ammonia, </w:t>
      </w:r>
      <w:r w:rsidR="00EB508D">
        <w:t xml:space="preserve">and certain </w:t>
      </w:r>
      <w:r w:rsidR="00960B4D">
        <w:t>refining-related gas</w:t>
      </w:r>
      <w:r w:rsidR="00EB508D">
        <w:t>es</w:t>
      </w:r>
      <w:r w:rsidR="001C5213">
        <w:t xml:space="preserve"> and refinery feedstocks</w:t>
      </w:r>
      <w:r w:rsidR="00EB508D">
        <w:t>,</w:t>
      </w:r>
      <w:r w:rsidR="001C5213">
        <w:t xml:space="preserve"> as covered products. Most forms of natural gas </w:t>
      </w:r>
      <w:r w:rsidR="00D07499">
        <w:t>are</w:t>
      </w:r>
      <w:r w:rsidR="001C5213">
        <w:t xml:space="preserve"> </w:t>
      </w:r>
      <w:r w:rsidR="00DA0049">
        <w:t>not prescribed as reportable</w:t>
      </w:r>
      <w:r w:rsidR="00D07499">
        <w:t xml:space="preserve"> except in relation to refining</w:t>
      </w:r>
      <w:r w:rsidR="00DA0049">
        <w:t>.</w:t>
      </w:r>
    </w:p>
    <w:p w14:paraId="10619E02" w14:textId="77777777" w:rsidR="002206A2" w:rsidRDefault="004A473E" w:rsidP="00790EE1">
      <w:pPr>
        <w:spacing w:after="200"/>
      </w:pPr>
      <w:r>
        <w:t xml:space="preserve">The Rules also set out </w:t>
      </w:r>
      <w:r w:rsidR="001C5213">
        <w:t xml:space="preserve">the </w:t>
      </w:r>
      <w:r>
        <w:t xml:space="preserve">details of the reporting process. </w:t>
      </w:r>
      <w:r w:rsidR="001C5213">
        <w:t>They</w:t>
      </w:r>
      <w:r>
        <w:t xml:space="preserve"> prescribe the reporting </w:t>
      </w:r>
      <w:r w:rsidR="001C5213">
        <w:t>deadline</w:t>
      </w:r>
      <w:r>
        <w:t xml:space="preserve">, which for most activities is fifteen days </w:t>
      </w:r>
      <w:r w:rsidR="001C5213">
        <w:t>after</w:t>
      </w:r>
      <w:r>
        <w:t xml:space="preserve"> the end of the relevant </w:t>
      </w:r>
      <w:r w:rsidR="001C5213">
        <w:t xml:space="preserve">calendar </w:t>
      </w:r>
      <w:r>
        <w:t xml:space="preserve">month. </w:t>
      </w:r>
      <w:r w:rsidR="001C5213">
        <w:t>The Rules</w:t>
      </w:r>
      <w:r w:rsidR="00DA0049">
        <w:t xml:space="preserve"> </w:t>
      </w:r>
      <w:r w:rsidR="001C5213">
        <w:t>provide reduced reporting requirements or longer reporting periods</w:t>
      </w:r>
      <w:r w:rsidR="007E434B">
        <w:t xml:space="preserve"> and reporting deadlines</w:t>
      </w:r>
      <w:r w:rsidR="001C5213">
        <w:t xml:space="preserve"> for </w:t>
      </w:r>
      <w:r w:rsidR="00DA0049">
        <w:t>certain</w:t>
      </w:r>
      <w:r w:rsidR="001C5213">
        <w:t xml:space="preserve"> products, such as petroleum coke and lubricant. </w:t>
      </w:r>
      <w:r>
        <w:t>Schedule 1 of the Rules sets out the reporting categories</w:t>
      </w:r>
      <w:r w:rsidR="001C5213">
        <w:t xml:space="preserve"> and subcategories</w:t>
      </w:r>
      <w:r>
        <w:t xml:space="preserve"> for products. </w:t>
      </w:r>
      <w:r w:rsidR="001C5213">
        <w:t xml:space="preserve">Reporters must </w:t>
      </w:r>
      <w:r w:rsidR="00DA0049">
        <w:t>report</w:t>
      </w:r>
      <w:r w:rsidR="001C5213">
        <w:t xml:space="preserve"> the prescribed fuel information in these categories and subcategories to meet their reporting oblig</w:t>
      </w:r>
      <w:r w:rsidR="00DA0049">
        <w:t>ation</w:t>
      </w:r>
      <w:r w:rsidR="001C5213">
        <w:t xml:space="preserve">.  </w:t>
      </w:r>
    </w:p>
    <w:p w14:paraId="0BF768D4" w14:textId="46FF81C2" w:rsidR="00BB7EA9" w:rsidRPr="000474F7" w:rsidRDefault="00BB7EA9" w:rsidP="00790EE1">
      <w:pPr>
        <w:spacing w:after="200"/>
        <w:rPr>
          <w:b/>
        </w:rPr>
      </w:pPr>
      <w:r w:rsidRPr="000474F7">
        <w:rPr>
          <w:b/>
        </w:rPr>
        <w:t>Detailed description of the Rule</w:t>
      </w:r>
      <w:r w:rsidR="000B0E0B">
        <w:rPr>
          <w:b/>
        </w:rPr>
        <w:t>s</w:t>
      </w:r>
    </w:p>
    <w:p w14:paraId="2D7D460A" w14:textId="53E146D4" w:rsidR="00BB7EA9" w:rsidRDefault="00BB7EA9" w:rsidP="00790EE1">
      <w:pPr>
        <w:spacing w:after="200"/>
      </w:pPr>
      <w:r w:rsidRPr="000474F7">
        <w:rPr>
          <w:u w:val="single"/>
        </w:rPr>
        <w:t>Attachment A</w:t>
      </w:r>
      <w:r>
        <w:t xml:space="preserve"> outlines and describes the sections in the Rule</w:t>
      </w:r>
      <w:r w:rsidR="000B0E0B">
        <w:t>s</w:t>
      </w:r>
      <w:r>
        <w:t>.</w:t>
      </w:r>
    </w:p>
    <w:p w14:paraId="39F4A9E0" w14:textId="77777777" w:rsidR="002206A2" w:rsidRPr="00444710" w:rsidRDefault="00077427" w:rsidP="00790EE1">
      <w:pPr>
        <w:spacing w:after="200"/>
        <w:rPr>
          <w:b/>
        </w:rPr>
      </w:pPr>
      <w:r>
        <w:rPr>
          <w:b/>
        </w:rPr>
        <w:t>Public Consultation</w:t>
      </w:r>
    </w:p>
    <w:p w14:paraId="7A25D1B6" w14:textId="77777777" w:rsidR="002206A2" w:rsidRDefault="00444710" w:rsidP="00790EE1">
      <w:pPr>
        <w:spacing w:after="200"/>
      </w:pPr>
      <w:r>
        <w:t xml:space="preserve">The creation of a mandatory reporting requirement for petroleum and other fuels has been subject to discussion with industry, government </w:t>
      </w:r>
      <w:r w:rsidR="001C5213">
        <w:t>and international stakeholders</w:t>
      </w:r>
      <w:r w:rsidR="00EB508D">
        <w:t>,</w:t>
      </w:r>
      <w:r w:rsidR="001C5213">
        <w:t xml:space="preserve"> </w:t>
      </w:r>
      <w:r>
        <w:t>such as the International Energ</w:t>
      </w:r>
      <w:r w:rsidR="001C5213">
        <w:t>y Agency</w:t>
      </w:r>
      <w:r w:rsidR="00EB508D">
        <w:t>,</w:t>
      </w:r>
      <w:r>
        <w:t xml:space="preserve"> since 2013.</w:t>
      </w:r>
    </w:p>
    <w:p w14:paraId="17EB1D12" w14:textId="77777777" w:rsidR="00444710" w:rsidRDefault="00444710" w:rsidP="00790EE1">
      <w:pPr>
        <w:spacing w:after="200"/>
      </w:pPr>
      <w:r>
        <w:t>The Department released a public consultation paper on mandatory reporting in September</w:t>
      </w:r>
      <w:r w:rsidR="00EB508D">
        <w:t> </w:t>
      </w:r>
      <w:r>
        <w:t xml:space="preserve">2016, conducting consultation sessions in Perth, Melbourne, Sydney and Brisbane with industry stakeholders in October 2016. Separate consultation was undertaken with Commonwealth, state and territory agencies which use the </w:t>
      </w:r>
      <w:r w:rsidR="00F64353">
        <w:t xml:space="preserve">APS or collect similar information. In response to the feedback </w:t>
      </w:r>
      <w:r w:rsidR="00DA0049">
        <w:t>received</w:t>
      </w:r>
      <w:r w:rsidR="00F64353">
        <w:t xml:space="preserve"> </w:t>
      </w:r>
      <w:r w:rsidR="00DA0049">
        <w:t xml:space="preserve">by the Department </w:t>
      </w:r>
      <w:r w:rsidR="00F64353">
        <w:t>during this process, a Preferred Design Paper was released in December 2016.</w:t>
      </w:r>
    </w:p>
    <w:p w14:paraId="31C6E906" w14:textId="004B2066" w:rsidR="00F64353" w:rsidRDefault="00F64353" w:rsidP="00790EE1">
      <w:pPr>
        <w:spacing w:after="200"/>
      </w:pPr>
      <w:r>
        <w:t>The Department conducted further consultation on biofuels, petroleum coke and petroleum</w:t>
      </w:r>
      <w:r w:rsidR="001C5213">
        <w:noBreakHyphen/>
      </w:r>
      <w:r>
        <w:t>based greases, lubricants, base oils, waxes and solvents in 2017 to respond to product</w:t>
      </w:r>
      <w:r w:rsidR="00EB508D">
        <w:t>-</w:t>
      </w:r>
      <w:r>
        <w:t xml:space="preserve">specific issues </w:t>
      </w:r>
      <w:r w:rsidR="00DA0049">
        <w:t>raised</w:t>
      </w:r>
      <w:r>
        <w:t xml:space="preserve"> in the earlier consultation</w:t>
      </w:r>
      <w:r w:rsidR="00DA0049">
        <w:t xml:space="preserve"> process</w:t>
      </w:r>
      <w:r>
        <w:t xml:space="preserve">. This included the release of discussion papers on these products in February 2017. As a result of the feedback received from stakeholders, </w:t>
      </w:r>
      <w:r w:rsidR="00DA0049">
        <w:t>tailored</w:t>
      </w:r>
      <w:r>
        <w:t xml:space="preserve"> reporting requirements are provided in these Rules for those products.  </w:t>
      </w:r>
    </w:p>
    <w:p w14:paraId="36E64879" w14:textId="77777777" w:rsidR="00D77D33" w:rsidRDefault="00F64353" w:rsidP="009C5771">
      <w:pPr>
        <w:spacing w:after="200"/>
      </w:pPr>
      <w:r>
        <w:t>A</w:t>
      </w:r>
      <w:r w:rsidR="00D07499">
        <w:t>n exposure</w:t>
      </w:r>
      <w:r>
        <w:t xml:space="preserve"> draft of the Rules </w:t>
      </w:r>
      <w:r w:rsidR="00DA0049">
        <w:t>was</w:t>
      </w:r>
      <w:r>
        <w:t xml:space="preserve"> released for </w:t>
      </w:r>
      <w:r w:rsidR="00D07499">
        <w:t xml:space="preserve">public </w:t>
      </w:r>
      <w:r>
        <w:t xml:space="preserve">consultation in </w:t>
      </w:r>
      <w:r w:rsidR="009C5771">
        <w:t xml:space="preserve">June 2017. </w:t>
      </w:r>
      <w:r w:rsidR="00D07499">
        <w:t xml:space="preserve">The Rules were revised by the Department to reflect </w:t>
      </w:r>
      <w:r w:rsidR="009C5771">
        <w:t xml:space="preserve">feedback from industry stakeholders. </w:t>
      </w:r>
    </w:p>
    <w:p w14:paraId="3B7713C3" w14:textId="77777777" w:rsidR="00645447" w:rsidRDefault="00645447" w:rsidP="009C5771">
      <w:pPr>
        <w:spacing w:after="200"/>
        <w:rPr>
          <w:b/>
        </w:rPr>
      </w:pPr>
      <w:r>
        <w:rPr>
          <w:b/>
        </w:rPr>
        <w:t>Human Rights Implications</w:t>
      </w:r>
    </w:p>
    <w:p w14:paraId="623DF675" w14:textId="77777777" w:rsidR="00A00EC9" w:rsidRDefault="001870D8" w:rsidP="001870D8">
      <w:pPr>
        <w:spacing w:after="200"/>
      </w:pPr>
      <w:r>
        <w:t>T</w:t>
      </w:r>
      <w:r w:rsidR="00645447">
        <w:t xml:space="preserve">he </w:t>
      </w:r>
      <w:r w:rsidR="00645447" w:rsidRPr="00645447">
        <w:rPr>
          <w:i/>
        </w:rPr>
        <w:t xml:space="preserve">Petroleum and Other Fuels Reporting </w:t>
      </w:r>
      <w:r w:rsidR="00645447">
        <w:rPr>
          <w:i/>
        </w:rPr>
        <w:t>Act</w:t>
      </w:r>
      <w:r w:rsidR="00645447" w:rsidRPr="00645447">
        <w:rPr>
          <w:i/>
        </w:rPr>
        <w:t xml:space="preserve"> 2017</w:t>
      </w:r>
      <w:r w:rsidR="00645447">
        <w:t xml:space="preserve"> (the Act) </w:t>
      </w:r>
      <w:r w:rsidR="00D07499">
        <w:t>establishes a framework for</w:t>
      </w:r>
      <w:r>
        <w:t xml:space="preserve"> mandatory reporting </w:t>
      </w:r>
      <w:r w:rsidR="00D07499">
        <w:t xml:space="preserve">of fuel information in relation to petroleum and related products. </w:t>
      </w:r>
      <w:r w:rsidR="00A00EC9">
        <w:t xml:space="preserve">The Explanatory Memorandum to the Act identified </w:t>
      </w:r>
      <w:r w:rsidR="00D07499">
        <w:t xml:space="preserve">three </w:t>
      </w:r>
      <w:r w:rsidR="00A00EC9">
        <w:t xml:space="preserve">human rights implications under the Act, </w:t>
      </w:r>
      <w:r w:rsidR="00D07499">
        <w:t xml:space="preserve">being the </w:t>
      </w:r>
      <w:r w:rsidR="00A00EC9">
        <w:t>right to privacy, right to freedom of expression and the right to the presumption of innocence.</w:t>
      </w:r>
      <w:r w:rsidR="00D07499">
        <w:t xml:space="preserve"> The Explanatory Memorandum concluded that these limitations were reasonable, necessary and proportionate.</w:t>
      </w:r>
      <w:r w:rsidR="00A00EC9">
        <w:t xml:space="preserve"> </w:t>
      </w:r>
    </w:p>
    <w:p w14:paraId="7E24BF71" w14:textId="77777777" w:rsidR="00A00EC9" w:rsidRDefault="00A00EC9" w:rsidP="001870D8">
      <w:pPr>
        <w:spacing w:after="200"/>
      </w:pPr>
      <w:r>
        <w:t xml:space="preserve">The </w:t>
      </w:r>
      <w:r w:rsidRPr="00A00EC9">
        <w:rPr>
          <w:i/>
        </w:rPr>
        <w:t>Petroleum and Other Fuels Reporting Rules</w:t>
      </w:r>
      <w:r>
        <w:rPr>
          <w:i/>
        </w:rPr>
        <w:t xml:space="preserve"> 2017</w:t>
      </w:r>
      <w:r>
        <w:t xml:space="preserve"> (Rules) are a legislative instrument made under </w:t>
      </w:r>
      <w:r w:rsidR="00D07499">
        <w:t>section 41 of the</w:t>
      </w:r>
      <w:r>
        <w:t xml:space="preserve"> Act</w:t>
      </w:r>
      <w:r w:rsidR="00D07499">
        <w:t>.</w:t>
      </w:r>
      <w:r>
        <w:t xml:space="preserve"> The Rules set out the detailed reporting requirements</w:t>
      </w:r>
      <w:r w:rsidR="00D07499">
        <w:t xml:space="preserve"> of the </w:t>
      </w:r>
      <w:r w:rsidR="00D07499">
        <w:lastRenderedPageBreak/>
        <w:t xml:space="preserve">mandatory reporting regime, including </w:t>
      </w:r>
      <w:r>
        <w:t>who must report, what must be reported and when</w:t>
      </w:r>
      <w:r w:rsidR="00D07499">
        <w:t xml:space="preserve"> information must be provided</w:t>
      </w:r>
      <w:r>
        <w:t xml:space="preserve">. </w:t>
      </w:r>
    </w:p>
    <w:p w14:paraId="62D14331" w14:textId="77777777" w:rsidR="00843226" w:rsidRDefault="00A00EC9" w:rsidP="001870D8">
      <w:pPr>
        <w:spacing w:after="200"/>
      </w:pPr>
      <w:r>
        <w:t xml:space="preserve">The Rules do not engage any additional human rights implications </w:t>
      </w:r>
      <w:r w:rsidR="00667315">
        <w:t>beyond</w:t>
      </w:r>
      <w:r>
        <w:t xml:space="preserve"> those addressed in the </w:t>
      </w:r>
      <w:r w:rsidR="00667315">
        <w:t xml:space="preserve">Explanatory Memorandum to the Act. </w:t>
      </w:r>
      <w:r w:rsidR="00F65449">
        <w:t>The fuel information prescribed as reportable in the Rules concerns the operation of businesses engaged in the production, processing, refining, wholesaling or storage of petroleum.</w:t>
      </w:r>
      <w:r w:rsidR="0012521B">
        <w:t xml:space="preserve"> </w:t>
      </w:r>
      <w:r w:rsidR="00843226">
        <w:t>Much</w:t>
      </w:r>
      <w:r w:rsidR="0012521B">
        <w:t xml:space="preserve"> of </w:t>
      </w:r>
      <w:r w:rsidR="00D07499">
        <w:t>the</w:t>
      </w:r>
      <w:r w:rsidR="0012521B">
        <w:t xml:space="preserve"> information</w:t>
      </w:r>
      <w:r w:rsidR="00D07499">
        <w:t xml:space="preserve"> pr</w:t>
      </w:r>
      <w:r w:rsidR="00EB508D">
        <w:t>e</w:t>
      </w:r>
      <w:r w:rsidR="00D07499">
        <w:t>scribed</w:t>
      </w:r>
      <w:r w:rsidR="00843226">
        <w:t xml:space="preserve"> as reportable</w:t>
      </w:r>
      <w:r w:rsidR="0012521B">
        <w:t xml:space="preserve"> will be commercially sensitive and </w:t>
      </w:r>
      <w:r w:rsidR="00843226">
        <w:t xml:space="preserve">some prescribed information </w:t>
      </w:r>
      <w:r w:rsidR="00D07499">
        <w:t xml:space="preserve">could </w:t>
      </w:r>
      <w:r w:rsidR="00843226">
        <w:t>constitute</w:t>
      </w:r>
      <w:r w:rsidR="0012521B">
        <w:t xml:space="preserve"> </w:t>
      </w:r>
      <w:r w:rsidR="00F65449">
        <w:t xml:space="preserve">personal information within the meaning of the </w:t>
      </w:r>
      <w:r w:rsidR="00F65449" w:rsidRPr="00F65449">
        <w:rPr>
          <w:i/>
        </w:rPr>
        <w:t>Privacy Act 1988</w:t>
      </w:r>
      <w:r w:rsidR="00F65449">
        <w:t xml:space="preserve">. </w:t>
      </w:r>
    </w:p>
    <w:p w14:paraId="110B936F" w14:textId="77777777" w:rsidR="00D07499" w:rsidRDefault="00843226" w:rsidP="001870D8">
      <w:pPr>
        <w:spacing w:after="200"/>
      </w:pPr>
      <w:r>
        <w:t xml:space="preserve">Any tangential collection of personal information as a result of the Rules </w:t>
      </w:r>
      <w:r w:rsidR="00D07499">
        <w:t>is necessary to achieve the objectives of the Act</w:t>
      </w:r>
      <w:r>
        <w:t>,</w:t>
      </w:r>
      <w:r w:rsidR="00D07499">
        <w:t xml:space="preserve"> and the prescribed reporting </w:t>
      </w:r>
      <w:r>
        <w:t xml:space="preserve">requirements are reasonable and proportionate, based on industry feedback on the most effective and least burdensome way to obtain the necessary fuel information. All personal information collected under the Rules will be protected information under the Act, with penalties applicable in the event of an unauthorised disclosure. </w:t>
      </w:r>
    </w:p>
    <w:p w14:paraId="0423BAA2" w14:textId="77777777" w:rsidR="001870D8" w:rsidRDefault="001870D8" w:rsidP="009C5771">
      <w:pPr>
        <w:spacing w:after="200"/>
      </w:pPr>
    </w:p>
    <w:p w14:paraId="69BB79E5" w14:textId="77777777" w:rsidR="00BA610E" w:rsidRPr="00F64353" w:rsidRDefault="00BA610E" w:rsidP="00645447">
      <w:pPr>
        <w:rPr>
          <w:rFonts w:eastAsia="Calibri"/>
          <w:b/>
          <w:bCs/>
          <w:color w:val="000000"/>
          <w:sz w:val="28"/>
          <w:szCs w:val="28"/>
        </w:rPr>
      </w:pPr>
      <w:r>
        <w:br w:type="page"/>
      </w:r>
    </w:p>
    <w:p w14:paraId="58402400" w14:textId="77777777" w:rsidR="00BA610E" w:rsidRPr="0058522D" w:rsidRDefault="00BA610E" w:rsidP="00833584">
      <w:pPr>
        <w:spacing w:after="200" w:line="276" w:lineRule="auto"/>
        <w:jc w:val="center"/>
        <w:rPr>
          <w:b/>
          <w:bCs/>
        </w:rPr>
      </w:pPr>
      <w:r w:rsidRPr="00E679B3">
        <w:rPr>
          <w:b/>
          <w:bCs/>
        </w:rPr>
        <w:lastRenderedPageBreak/>
        <w:t xml:space="preserve">PETROLEUM AND </w:t>
      </w:r>
      <w:r w:rsidR="0058522D">
        <w:rPr>
          <w:b/>
          <w:bCs/>
        </w:rPr>
        <w:t xml:space="preserve">OTHER FUELS REPORTING </w:t>
      </w:r>
      <w:r w:rsidR="00F64353">
        <w:rPr>
          <w:b/>
          <w:bCs/>
        </w:rPr>
        <w:t>RULES</w:t>
      </w:r>
      <w:r w:rsidR="0058522D">
        <w:rPr>
          <w:b/>
          <w:bCs/>
        </w:rPr>
        <w:t xml:space="preserve"> 201</w:t>
      </w:r>
      <w:r w:rsidR="00312A06">
        <w:rPr>
          <w:b/>
          <w:bCs/>
        </w:rPr>
        <w:t>7</w:t>
      </w:r>
    </w:p>
    <w:p w14:paraId="2FB1FDBA" w14:textId="77777777" w:rsidR="00BA610E" w:rsidRPr="00E679B3" w:rsidRDefault="00BA610E" w:rsidP="00833584">
      <w:pPr>
        <w:spacing w:after="200" w:line="276" w:lineRule="auto"/>
        <w:rPr>
          <w:b/>
          <w:bCs/>
        </w:rPr>
      </w:pPr>
      <w:r w:rsidRPr="00E679B3">
        <w:rPr>
          <w:b/>
          <w:bCs/>
        </w:rPr>
        <w:t>NOTES ON CLAUSES</w:t>
      </w:r>
    </w:p>
    <w:p w14:paraId="5A5F875C" w14:textId="77777777" w:rsidR="00BA610E" w:rsidRPr="00E679B3" w:rsidRDefault="00BA610E" w:rsidP="00833584">
      <w:pPr>
        <w:pStyle w:val="Parts"/>
        <w:spacing w:before="0" w:after="200" w:line="276" w:lineRule="auto"/>
      </w:pPr>
      <w:r w:rsidRPr="00E679B3">
        <w:t>Part 1</w:t>
      </w:r>
      <w:r w:rsidR="000E4F97">
        <w:t xml:space="preserve"> </w:t>
      </w:r>
      <w:r w:rsidRPr="00E679B3">
        <w:t>–</w:t>
      </w:r>
      <w:r w:rsidR="000E4F97">
        <w:t xml:space="preserve"> </w:t>
      </w:r>
      <w:r w:rsidRPr="00E679B3">
        <w:t>Preliminary</w:t>
      </w:r>
    </w:p>
    <w:p w14:paraId="1DD8B681" w14:textId="77777777" w:rsidR="00BA610E" w:rsidRPr="0049444E" w:rsidRDefault="00BA610E" w:rsidP="00833584">
      <w:pPr>
        <w:pStyle w:val="Clauses"/>
        <w:spacing w:after="200" w:line="276" w:lineRule="auto"/>
        <w:ind w:left="720" w:hanging="720"/>
      </w:pPr>
      <w:r w:rsidRPr="0049444E">
        <w:t>1</w:t>
      </w:r>
      <w:r w:rsidR="004913D6">
        <w:t xml:space="preserve"> – </w:t>
      </w:r>
      <w:r w:rsidR="0038588E" w:rsidRPr="0049444E">
        <w:t>Name</w:t>
      </w:r>
      <w:r w:rsidRPr="0049444E">
        <w:t xml:space="preserve"> </w:t>
      </w:r>
    </w:p>
    <w:p w14:paraId="1DDE43CA" w14:textId="77777777" w:rsidR="00BA610E" w:rsidRPr="00E679B3" w:rsidRDefault="000B0E0B" w:rsidP="00833584">
      <w:pPr>
        <w:pStyle w:val="Numberedparagraph"/>
        <w:spacing w:after="200" w:line="276" w:lineRule="auto"/>
        <w:ind w:left="720" w:hanging="720"/>
        <w:rPr>
          <w:rFonts w:cs="Times New Roman"/>
        </w:rPr>
      </w:pPr>
      <w:r>
        <w:rPr>
          <w:rFonts w:cs="Times New Roman"/>
        </w:rPr>
        <w:t>Section 1 provides that the name of the Rules is</w:t>
      </w:r>
      <w:r w:rsidR="00947DA9">
        <w:rPr>
          <w:rFonts w:cs="Times New Roman"/>
        </w:rPr>
        <w:t xml:space="preserve"> the </w:t>
      </w:r>
      <w:r w:rsidR="00947DA9" w:rsidRPr="00074257">
        <w:rPr>
          <w:rFonts w:cs="Times New Roman"/>
          <w:i/>
        </w:rPr>
        <w:t xml:space="preserve">Petroleum and Other Fuels Reporting </w:t>
      </w:r>
      <w:r w:rsidR="0038588E" w:rsidRPr="00074257">
        <w:rPr>
          <w:rFonts w:cs="Times New Roman"/>
          <w:i/>
        </w:rPr>
        <w:t>Rules</w:t>
      </w:r>
      <w:r w:rsidR="00947DA9" w:rsidRPr="00074257">
        <w:rPr>
          <w:rFonts w:cs="Times New Roman"/>
          <w:i/>
        </w:rPr>
        <w:t xml:space="preserve"> 2017</w:t>
      </w:r>
      <w:r w:rsidR="00BA610E" w:rsidRPr="00E679B3">
        <w:rPr>
          <w:rFonts w:cs="Times New Roman"/>
        </w:rPr>
        <w:t xml:space="preserve">. </w:t>
      </w:r>
    </w:p>
    <w:p w14:paraId="72DB5673" w14:textId="77777777" w:rsidR="00BA610E" w:rsidRPr="00E679B3" w:rsidRDefault="00077427" w:rsidP="00833584">
      <w:pPr>
        <w:pStyle w:val="Clauses"/>
        <w:spacing w:after="200" w:line="276" w:lineRule="auto"/>
        <w:ind w:left="720" w:hanging="720"/>
      </w:pPr>
      <w:r>
        <w:t>2</w:t>
      </w:r>
      <w:r w:rsidR="004913D6">
        <w:t xml:space="preserve"> – </w:t>
      </w:r>
      <w:r w:rsidR="00BA610E" w:rsidRPr="00E679B3">
        <w:t xml:space="preserve">Commencement </w:t>
      </w:r>
    </w:p>
    <w:p w14:paraId="63907136" w14:textId="77777777" w:rsidR="00E679B3" w:rsidRDefault="00077427" w:rsidP="00833584">
      <w:pPr>
        <w:pStyle w:val="Numberedparagraph"/>
        <w:spacing w:after="200" w:line="276" w:lineRule="auto"/>
        <w:ind w:left="720" w:hanging="720"/>
        <w:rPr>
          <w:rFonts w:cs="Times New Roman"/>
        </w:rPr>
      </w:pPr>
      <w:r>
        <w:rPr>
          <w:rFonts w:cs="Times New Roman"/>
        </w:rPr>
        <w:t>Section 2</w:t>
      </w:r>
      <w:r w:rsidR="00947DA9">
        <w:rPr>
          <w:rFonts w:cs="Times New Roman"/>
        </w:rPr>
        <w:t xml:space="preserve"> </w:t>
      </w:r>
      <w:r w:rsidR="0021543D">
        <w:rPr>
          <w:rFonts w:cs="Times New Roman"/>
        </w:rPr>
        <w:t>provide</w:t>
      </w:r>
      <w:r>
        <w:rPr>
          <w:rFonts w:cs="Times New Roman"/>
        </w:rPr>
        <w:t>s</w:t>
      </w:r>
      <w:r w:rsidR="00E679B3" w:rsidRPr="00E679B3">
        <w:rPr>
          <w:rFonts w:cs="Times New Roman"/>
        </w:rPr>
        <w:t xml:space="preserve"> that the </w:t>
      </w:r>
      <w:r w:rsidR="000B0E0B">
        <w:rPr>
          <w:rFonts w:cs="Times New Roman"/>
        </w:rPr>
        <w:t>Rule</w:t>
      </w:r>
      <w:r w:rsidR="00F93A76">
        <w:rPr>
          <w:rFonts w:cs="Times New Roman"/>
        </w:rPr>
        <w:t>s</w:t>
      </w:r>
      <w:r w:rsidR="000B0E0B">
        <w:rPr>
          <w:rFonts w:cs="Times New Roman"/>
        </w:rPr>
        <w:t xml:space="preserve"> </w:t>
      </w:r>
      <w:r w:rsidR="00E679B3" w:rsidRPr="00E679B3">
        <w:rPr>
          <w:rFonts w:cs="Times New Roman"/>
        </w:rPr>
        <w:t xml:space="preserve">commence </w:t>
      </w:r>
      <w:r w:rsidR="0021543D">
        <w:rPr>
          <w:rFonts w:cs="Times New Roman"/>
        </w:rPr>
        <w:t xml:space="preserve">one day after </w:t>
      </w:r>
      <w:r w:rsidR="003C7B6E">
        <w:rPr>
          <w:rFonts w:cs="Times New Roman"/>
        </w:rPr>
        <w:t>they are</w:t>
      </w:r>
      <w:r w:rsidR="0038588E">
        <w:rPr>
          <w:rFonts w:cs="Times New Roman"/>
        </w:rPr>
        <w:t xml:space="preserve"> </w:t>
      </w:r>
      <w:r w:rsidR="00470EEC">
        <w:rPr>
          <w:rFonts w:cs="Times New Roman"/>
        </w:rPr>
        <w:t>registered</w:t>
      </w:r>
      <w:r w:rsidR="0038588E">
        <w:rPr>
          <w:rFonts w:cs="Times New Roman"/>
        </w:rPr>
        <w:t>.</w:t>
      </w:r>
    </w:p>
    <w:p w14:paraId="37541323" w14:textId="77777777" w:rsidR="00CB7813" w:rsidRPr="00074257" w:rsidRDefault="00077427" w:rsidP="00833584">
      <w:pPr>
        <w:pStyle w:val="Numberedparagraph"/>
        <w:spacing w:after="200" w:line="276" w:lineRule="auto"/>
        <w:ind w:left="720" w:hanging="720"/>
        <w:rPr>
          <w:rFonts w:cs="Times New Roman"/>
        </w:rPr>
      </w:pPr>
      <w:r>
        <w:rPr>
          <w:rFonts w:cs="Times New Roman"/>
        </w:rPr>
        <w:t>Section</w:t>
      </w:r>
      <w:r w:rsidRPr="00390479">
        <w:rPr>
          <w:rFonts w:cs="Times New Roman"/>
        </w:rPr>
        <w:t xml:space="preserve"> </w:t>
      </w:r>
      <w:r w:rsidR="00CB7813" w:rsidRPr="00390479">
        <w:rPr>
          <w:rFonts w:cs="Times New Roman"/>
        </w:rPr>
        <w:t xml:space="preserve">3 of the </w:t>
      </w:r>
      <w:r w:rsidR="00CB7813" w:rsidRPr="00074257">
        <w:rPr>
          <w:rFonts w:cs="Times New Roman"/>
          <w:i/>
        </w:rPr>
        <w:t xml:space="preserve">Petroleum and Other Fuels Reporting (Consequential Amendments and Transitional Provisions) </w:t>
      </w:r>
      <w:r w:rsidR="00074257" w:rsidRPr="00074257">
        <w:rPr>
          <w:rFonts w:cs="Times New Roman"/>
          <w:i/>
        </w:rPr>
        <w:t>Act</w:t>
      </w:r>
      <w:r w:rsidR="00CB7813" w:rsidRPr="00074257">
        <w:rPr>
          <w:rFonts w:cs="Times New Roman"/>
          <w:i/>
        </w:rPr>
        <w:t xml:space="preserve"> 2017</w:t>
      </w:r>
      <w:r w:rsidR="00CB7813" w:rsidRPr="00390479">
        <w:rPr>
          <w:rFonts w:cs="Times New Roman"/>
        </w:rPr>
        <w:t xml:space="preserve"> </w:t>
      </w:r>
      <w:r w:rsidR="00BC47DF">
        <w:rPr>
          <w:rFonts w:cs="Times New Roman"/>
        </w:rPr>
        <w:t xml:space="preserve">(Consequential Amendments) </w:t>
      </w:r>
      <w:r w:rsidR="00CB7813" w:rsidRPr="00390479">
        <w:rPr>
          <w:rFonts w:cs="Times New Roman"/>
        </w:rPr>
        <w:t xml:space="preserve">provides that the obligation to report information under </w:t>
      </w:r>
      <w:r w:rsidR="0038588E">
        <w:rPr>
          <w:rFonts w:cs="Times New Roman"/>
        </w:rPr>
        <w:t xml:space="preserve">the </w:t>
      </w:r>
      <w:r w:rsidR="00074257" w:rsidRPr="00723100">
        <w:rPr>
          <w:i/>
        </w:rPr>
        <w:t xml:space="preserve">Petroleum and Other Fuels Reporting </w:t>
      </w:r>
      <w:r w:rsidR="00074257">
        <w:rPr>
          <w:i/>
        </w:rPr>
        <w:t>Act</w:t>
      </w:r>
      <w:r w:rsidR="00074257" w:rsidRPr="00723100">
        <w:rPr>
          <w:i/>
        </w:rPr>
        <w:t xml:space="preserve"> 2017</w:t>
      </w:r>
      <w:r w:rsidR="00074257">
        <w:rPr>
          <w:i/>
        </w:rPr>
        <w:t xml:space="preserve"> </w:t>
      </w:r>
      <w:r w:rsidR="00074257">
        <w:t xml:space="preserve">(the Act) </w:t>
      </w:r>
      <w:r w:rsidR="00CB7813" w:rsidRPr="00074257">
        <w:rPr>
          <w:rFonts w:cs="Times New Roman"/>
        </w:rPr>
        <w:t xml:space="preserve">will commence on 1 January 2018 or the day </w:t>
      </w:r>
      <w:r w:rsidR="006465E3" w:rsidRPr="00074257">
        <w:rPr>
          <w:rFonts w:cs="Times New Roman"/>
        </w:rPr>
        <w:t xml:space="preserve">that </w:t>
      </w:r>
      <w:r w:rsidR="00CB7813" w:rsidRPr="00074257">
        <w:rPr>
          <w:rFonts w:cs="Times New Roman"/>
        </w:rPr>
        <w:t xml:space="preserve">the </w:t>
      </w:r>
      <w:r w:rsidR="00470EEC">
        <w:rPr>
          <w:rFonts w:cs="Times New Roman"/>
        </w:rPr>
        <w:t>Rules</w:t>
      </w:r>
      <w:r w:rsidR="00CB7813" w:rsidRPr="00074257">
        <w:rPr>
          <w:rFonts w:cs="Times New Roman"/>
        </w:rPr>
        <w:t xml:space="preserve"> commence</w:t>
      </w:r>
      <w:r w:rsidR="00074257">
        <w:rPr>
          <w:rFonts w:cs="Times New Roman"/>
        </w:rPr>
        <w:t>, whichever is earlier</w:t>
      </w:r>
      <w:r w:rsidR="00CB7813" w:rsidRPr="00074257">
        <w:rPr>
          <w:rFonts w:cs="Times New Roman"/>
        </w:rPr>
        <w:t xml:space="preserve">. </w:t>
      </w:r>
    </w:p>
    <w:p w14:paraId="2F6EFC7C" w14:textId="77777777" w:rsidR="00E679B3" w:rsidRPr="00421A3C" w:rsidRDefault="00421A60" w:rsidP="00833584">
      <w:pPr>
        <w:pStyle w:val="Numberedparagraph"/>
        <w:numPr>
          <w:ilvl w:val="0"/>
          <w:numId w:val="0"/>
        </w:numPr>
        <w:spacing w:after="200" w:line="276" w:lineRule="auto"/>
        <w:ind w:left="720" w:hanging="720"/>
        <w:rPr>
          <w:rFonts w:cs="Times New Roman"/>
          <w:b/>
        </w:rPr>
      </w:pPr>
      <w:r>
        <w:rPr>
          <w:rFonts w:cs="Times New Roman"/>
          <w:b/>
        </w:rPr>
        <w:t>3</w:t>
      </w:r>
      <w:r w:rsidR="00E679B3" w:rsidRPr="00421A3C">
        <w:rPr>
          <w:rFonts w:cs="Times New Roman"/>
          <w:b/>
        </w:rPr>
        <w:t xml:space="preserve"> – </w:t>
      </w:r>
      <w:r w:rsidR="00074257">
        <w:rPr>
          <w:rFonts w:cs="Times New Roman"/>
          <w:b/>
        </w:rPr>
        <w:t>Authority</w:t>
      </w:r>
    </w:p>
    <w:p w14:paraId="4FD8E18F" w14:textId="77777777" w:rsidR="00335223" w:rsidRDefault="000B0E0B" w:rsidP="00833584">
      <w:pPr>
        <w:pStyle w:val="Numberedparagraph"/>
        <w:spacing w:after="200" w:line="276" w:lineRule="auto"/>
        <w:ind w:left="720" w:hanging="720"/>
        <w:rPr>
          <w:rFonts w:cs="Times New Roman"/>
        </w:rPr>
      </w:pPr>
      <w:r>
        <w:rPr>
          <w:rFonts w:cs="Times New Roman"/>
        </w:rPr>
        <w:t xml:space="preserve">Section </w:t>
      </w:r>
      <w:r w:rsidR="004913D6">
        <w:rPr>
          <w:rFonts w:cs="Times New Roman"/>
        </w:rPr>
        <w:t>3</w:t>
      </w:r>
      <w:r w:rsidR="00947DA9">
        <w:rPr>
          <w:rFonts w:cs="Times New Roman"/>
        </w:rPr>
        <w:t xml:space="preserve"> </w:t>
      </w:r>
      <w:r>
        <w:rPr>
          <w:rFonts w:cs="Times New Roman"/>
        </w:rPr>
        <w:t>provides</w:t>
      </w:r>
      <w:r w:rsidR="004913D6">
        <w:rPr>
          <w:rFonts w:cs="Times New Roman"/>
        </w:rPr>
        <w:t xml:space="preserve"> that</w:t>
      </w:r>
      <w:r>
        <w:rPr>
          <w:rFonts w:cs="Times New Roman"/>
        </w:rPr>
        <w:t xml:space="preserve"> the Rule</w:t>
      </w:r>
      <w:r w:rsidR="004913D6">
        <w:rPr>
          <w:rFonts w:cs="Times New Roman"/>
        </w:rPr>
        <w:t>s</w:t>
      </w:r>
      <w:r>
        <w:rPr>
          <w:rFonts w:cs="Times New Roman"/>
        </w:rPr>
        <w:t xml:space="preserve"> </w:t>
      </w:r>
      <w:r w:rsidR="004913D6">
        <w:rPr>
          <w:rFonts w:cs="Times New Roman"/>
        </w:rPr>
        <w:t>are</w:t>
      </w:r>
      <w:r>
        <w:rPr>
          <w:rFonts w:cs="Times New Roman"/>
        </w:rPr>
        <w:t xml:space="preserve"> </w:t>
      </w:r>
      <w:r w:rsidR="00F04C18">
        <w:rPr>
          <w:rFonts w:cs="Times New Roman"/>
        </w:rPr>
        <w:t xml:space="preserve">made under the Act. </w:t>
      </w:r>
      <w:r>
        <w:rPr>
          <w:rFonts w:cs="Times New Roman"/>
        </w:rPr>
        <w:t xml:space="preserve">In particular, section 41 of the Act </w:t>
      </w:r>
      <w:r w:rsidR="00767016">
        <w:rPr>
          <w:rFonts w:cs="Times New Roman"/>
        </w:rPr>
        <w:t>confers</w:t>
      </w:r>
      <w:r>
        <w:rPr>
          <w:rFonts w:cs="Times New Roman"/>
        </w:rPr>
        <w:t xml:space="preserve"> power </w:t>
      </w:r>
      <w:r w:rsidR="00767016">
        <w:rPr>
          <w:rFonts w:cs="Times New Roman"/>
        </w:rPr>
        <w:t xml:space="preserve">on </w:t>
      </w:r>
      <w:r>
        <w:rPr>
          <w:rFonts w:cs="Times New Roman"/>
        </w:rPr>
        <w:t>the Minster to make legislative rules.</w:t>
      </w:r>
    </w:p>
    <w:p w14:paraId="4E5213D9" w14:textId="77777777" w:rsidR="006D4269" w:rsidRDefault="006D4269" w:rsidP="00833584">
      <w:pPr>
        <w:pStyle w:val="ListNumber"/>
        <w:numPr>
          <w:ilvl w:val="0"/>
          <w:numId w:val="0"/>
        </w:numPr>
        <w:spacing w:after="200" w:line="276" w:lineRule="auto"/>
        <w:ind w:left="720" w:hanging="720"/>
        <w:rPr>
          <w:b/>
        </w:rPr>
      </w:pPr>
      <w:r>
        <w:rPr>
          <w:b/>
        </w:rPr>
        <w:t xml:space="preserve">Division 2 – Definitions </w:t>
      </w:r>
    </w:p>
    <w:p w14:paraId="3DD05110" w14:textId="77777777" w:rsidR="000D3C53" w:rsidRPr="000D3C53" w:rsidRDefault="000D3C53" w:rsidP="000D3C53">
      <w:pPr>
        <w:pStyle w:val="Numberedparagraph"/>
        <w:spacing w:after="200" w:line="276" w:lineRule="auto"/>
        <w:ind w:left="720" w:hanging="720"/>
        <w:rPr>
          <w:rFonts w:cs="Times New Roman"/>
        </w:rPr>
      </w:pPr>
      <w:r>
        <w:rPr>
          <w:rFonts w:cs="Times New Roman"/>
        </w:rPr>
        <w:t>This Division defines and clarifies the meaning of a number of terms</w:t>
      </w:r>
      <w:r w:rsidR="00CF024E">
        <w:rPr>
          <w:rFonts w:cs="Times New Roman"/>
        </w:rPr>
        <w:t xml:space="preserve"> and phrases</w:t>
      </w:r>
      <w:r>
        <w:rPr>
          <w:rFonts w:cs="Times New Roman"/>
        </w:rPr>
        <w:t xml:space="preserve">. This includes </w:t>
      </w:r>
      <w:r w:rsidR="00D94C21">
        <w:rPr>
          <w:rFonts w:cs="Times New Roman"/>
        </w:rPr>
        <w:t>prescribing</w:t>
      </w:r>
      <w:r>
        <w:rPr>
          <w:rFonts w:cs="Times New Roman"/>
        </w:rPr>
        <w:t xml:space="preserve"> new covered activities and covered products, and prescribing the circumstances where holding a contractual right to take possession of a covered product meets the definition of holding stock. </w:t>
      </w:r>
    </w:p>
    <w:p w14:paraId="7BC2957F" w14:textId="77777777" w:rsidR="00BA610E" w:rsidRPr="00421A3C" w:rsidRDefault="00421A60" w:rsidP="00833584">
      <w:pPr>
        <w:pStyle w:val="ListNumber"/>
        <w:numPr>
          <w:ilvl w:val="0"/>
          <w:numId w:val="0"/>
        </w:numPr>
        <w:spacing w:after="200" w:line="276" w:lineRule="auto"/>
        <w:ind w:left="720" w:hanging="720"/>
        <w:rPr>
          <w:b/>
        </w:rPr>
      </w:pPr>
      <w:r>
        <w:rPr>
          <w:b/>
        </w:rPr>
        <w:t>4</w:t>
      </w:r>
      <w:r w:rsidR="00B23271">
        <w:rPr>
          <w:b/>
        </w:rPr>
        <w:t xml:space="preserve"> – </w:t>
      </w:r>
      <w:r w:rsidR="00F04C18">
        <w:rPr>
          <w:b/>
        </w:rPr>
        <w:t>Definitions</w:t>
      </w:r>
    </w:p>
    <w:p w14:paraId="72EE1C4C" w14:textId="77777777" w:rsidR="00F04C18" w:rsidRDefault="00077427" w:rsidP="00833584">
      <w:pPr>
        <w:pStyle w:val="Numberedparagraph"/>
        <w:spacing w:after="200" w:line="276" w:lineRule="auto"/>
        <w:ind w:left="709" w:hanging="709"/>
      </w:pPr>
      <w:r>
        <w:t>Section 4</w:t>
      </w:r>
      <w:r w:rsidR="00F04C18" w:rsidRPr="00AA637E">
        <w:t xml:space="preserve"> </w:t>
      </w:r>
      <w:r w:rsidR="00AA6A06">
        <w:t xml:space="preserve">of the Rules </w:t>
      </w:r>
      <w:r w:rsidR="00F04C18">
        <w:t>provide</w:t>
      </w:r>
      <w:r w:rsidR="00AA6A06">
        <w:t>s</w:t>
      </w:r>
      <w:r w:rsidR="00F04C18" w:rsidRPr="00AA637E">
        <w:t xml:space="preserve"> definitions </w:t>
      </w:r>
      <w:r w:rsidR="00F04C18">
        <w:t>of certain terms</w:t>
      </w:r>
      <w:r w:rsidR="00CF024E">
        <w:t xml:space="preserve"> and phrases</w:t>
      </w:r>
      <w:r w:rsidR="00F04C18">
        <w:t xml:space="preserve"> </w:t>
      </w:r>
      <w:r w:rsidR="00F04C18" w:rsidRPr="00AA637E">
        <w:t xml:space="preserve">to support the operation of the </w:t>
      </w:r>
      <w:r w:rsidR="004913D6">
        <w:t>R</w:t>
      </w:r>
      <w:r w:rsidR="00F04C18">
        <w:t>ules</w:t>
      </w:r>
      <w:r w:rsidR="00F04C18" w:rsidRPr="00AA637E">
        <w:t xml:space="preserve">. </w:t>
      </w:r>
    </w:p>
    <w:p w14:paraId="33C096DB" w14:textId="77777777" w:rsidR="00F04C18" w:rsidRDefault="00470EEC" w:rsidP="00833584">
      <w:pPr>
        <w:pStyle w:val="Numberedparagraph"/>
        <w:spacing w:after="200" w:line="276" w:lineRule="auto"/>
        <w:ind w:left="709" w:hanging="709"/>
      </w:pPr>
      <w:r>
        <w:t>The</w:t>
      </w:r>
      <w:r w:rsidR="00F04C18" w:rsidRPr="00AA637E">
        <w:t xml:space="preserve"> definitions are discussed </w:t>
      </w:r>
      <w:r w:rsidR="00F04C18">
        <w:t>in</w:t>
      </w:r>
      <w:r w:rsidR="00F04C18" w:rsidRPr="00AA637E">
        <w:t xml:space="preserve"> th</w:t>
      </w:r>
      <w:r w:rsidR="00F04C18">
        <w:t>is</w:t>
      </w:r>
      <w:r w:rsidR="00F04C18" w:rsidRPr="00AA637E">
        <w:t xml:space="preserve"> </w:t>
      </w:r>
      <w:r w:rsidR="00F04C18">
        <w:t>e</w:t>
      </w:r>
      <w:r w:rsidR="00F04C18" w:rsidRPr="00AA637E">
        <w:t xml:space="preserve">xplanatory </w:t>
      </w:r>
      <w:r>
        <w:t>statement</w:t>
      </w:r>
      <w:r w:rsidR="00F04C18" w:rsidRPr="00AA637E">
        <w:t xml:space="preserve"> where they ar</w:t>
      </w:r>
      <w:r w:rsidR="00F04C18">
        <w:t>e relevant to explaining the operation of</w:t>
      </w:r>
      <w:r w:rsidR="00F04C18" w:rsidRPr="00AA637E">
        <w:t xml:space="preserve"> </w:t>
      </w:r>
      <w:r w:rsidR="00F04C18">
        <w:t>specific</w:t>
      </w:r>
      <w:r w:rsidR="00F04C18" w:rsidRPr="00AA637E">
        <w:t xml:space="preserve"> </w:t>
      </w:r>
      <w:r w:rsidR="00BB332B">
        <w:t>section</w:t>
      </w:r>
      <w:r w:rsidR="00F04C18">
        <w:t>s</w:t>
      </w:r>
      <w:r w:rsidR="00F04C18" w:rsidRPr="00AA637E">
        <w:t xml:space="preserve">. </w:t>
      </w:r>
    </w:p>
    <w:p w14:paraId="7E682426" w14:textId="77777777" w:rsidR="00E679B3" w:rsidRPr="00421A3C" w:rsidRDefault="00421A60" w:rsidP="00833584">
      <w:pPr>
        <w:pStyle w:val="ListNumber"/>
        <w:numPr>
          <w:ilvl w:val="0"/>
          <w:numId w:val="0"/>
        </w:numPr>
        <w:spacing w:after="200" w:line="276" w:lineRule="auto"/>
        <w:ind w:left="720" w:hanging="720"/>
        <w:rPr>
          <w:b/>
        </w:rPr>
      </w:pPr>
      <w:r>
        <w:rPr>
          <w:b/>
        </w:rPr>
        <w:t>5</w:t>
      </w:r>
      <w:r w:rsidR="00E679B3" w:rsidRPr="00421A3C">
        <w:rPr>
          <w:b/>
        </w:rPr>
        <w:t xml:space="preserve"> – </w:t>
      </w:r>
      <w:r w:rsidR="00F04C18">
        <w:rPr>
          <w:b/>
        </w:rPr>
        <w:t>Covered Activities</w:t>
      </w:r>
    </w:p>
    <w:p w14:paraId="7C3FC8C7" w14:textId="77777777" w:rsidR="00421A3C" w:rsidRDefault="00077427" w:rsidP="00833584">
      <w:pPr>
        <w:pStyle w:val="Numberedparagraph"/>
        <w:spacing w:after="200" w:line="276" w:lineRule="auto"/>
        <w:ind w:left="709" w:hanging="709"/>
      </w:pPr>
      <w:r>
        <w:t>Section 5</w:t>
      </w:r>
      <w:r w:rsidR="00421A3C" w:rsidRPr="00AA637E">
        <w:t xml:space="preserve"> </w:t>
      </w:r>
      <w:r w:rsidR="00AA6A06">
        <w:t xml:space="preserve">of the Rules </w:t>
      </w:r>
      <w:r w:rsidR="00F04C18">
        <w:t>provide</w:t>
      </w:r>
      <w:r w:rsidR="00AA6A06">
        <w:t>s</w:t>
      </w:r>
      <w:r w:rsidR="00F04C18">
        <w:t xml:space="preserve"> for additional activities to be added to the definition of covered activities in </w:t>
      </w:r>
      <w:r w:rsidR="00BC0BBE">
        <w:t>sub</w:t>
      </w:r>
      <w:r w:rsidR="00F04C18">
        <w:t>section 5(1) of the Act</w:t>
      </w:r>
      <w:r w:rsidR="00061691">
        <w:t xml:space="preserve"> (to the extent that they are not covered by other paragraphs of that definition)</w:t>
      </w:r>
      <w:r w:rsidR="00F04C18">
        <w:t xml:space="preserve">. </w:t>
      </w:r>
    </w:p>
    <w:p w14:paraId="3606679D" w14:textId="77777777" w:rsidR="00E679B3" w:rsidRDefault="00C12C7B" w:rsidP="00833584">
      <w:pPr>
        <w:pStyle w:val="Numberedparagraph"/>
        <w:spacing w:after="200" w:line="276" w:lineRule="auto"/>
        <w:ind w:left="709" w:hanging="709"/>
      </w:pPr>
      <w:r>
        <w:t>Section 5 prescribe</w:t>
      </w:r>
      <w:r w:rsidR="00AA6A06">
        <w:t>s</w:t>
      </w:r>
      <w:r>
        <w:t xml:space="preserve"> t</w:t>
      </w:r>
      <w:r w:rsidR="00F04C18">
        <w:t>he activity of “</w:t>
      </w:r>
      <w:r w:rsidR="00F04C18" w:rsidRPr="00EC64D9">
        <w:t>operating a fuel storage terminal</w:t>
      </w:r>
      <w:r w:rsidR="006B29F3">
        <w:t>, for covered products,</w:t>
      </w:r>
      <w:r w:rsidR="00F04C18" w:rsidRPr="00EC64D9">
        <w:t xml:space="preserve"> that is connected to a refinery or a port by a pipeline</w:t>
      </w:r>
      <w:r w:rsidR="00F04C18">
        <w:t xml:space="preserve">” </w:t>
      </w:r>
      <w:r>
        <w:t xml:space="preserve">as a covered activity. </w:t>
      </w:r>
      <w:r w:rsidR="007809DC">
        <w:t>This</w:t>
      </w:r>
      <w:r>
        <w:t xml:space="preserve"> will </w:t>
      </w:r>
      <w:r w:rsidR="00F04C18">
        <w:t xml:space="preserve">enable data-sharing between the Department </w:t>
      </w:r>
      <w:r w:rsidR="00470EEC">
        <w:t xml:space="preserve">of the Environment and Energy (the Department) </w:t>
      </w:r>
      <w:r w:rsidR="00F04C18">
        <w:t xml:space="preserve">and the Australian Competition and Consumer Commission (ACCC). The ACCC collects information on this activity as part of its fuel industry monitoring </w:t>
      </w:r>
      <w:r w:rsidR="00F04C18">
        <w:lastRenderedPageBreak/>
        <w:t>role</w:t>
      </w:r>
      <w:r w:rsidR="00470EEC">
        <w:t>.</w:t>
      </w:r>
      <w:r w:rsidR="00F04C18">
        <w:t xml:space="preserve"> </w:t>
      </w:r>
      <w:r w:rsidR="00470EEC">
        <w:t>A</w:t>
      </w:r>
      <w:r w:rsidR="00F04C18">
        <w:t xml:space="preserve">dding </w:t>
      </w:r>
      <w:r w:rsidR="00470EEC">
        <w:t>this</w:t>
      </w:r>
      <w:r w:rsidR="00F04C18">
        <w:t xml:space="preserve"> as a covered activity is intended to </w:t>
      </w:r>
      <w:r w:rsidR="00470EEC">
        <w:t>ensure</w:t>
      </w:r>
      <w:r w:rsidR="00F04C18">
        <w:t xml:space="preserve"> that this information </w:t>
      </w:r>
      <w:r w:rsidR="00470EEC">
        <w:t>can</w:t>
      </w:r>
      <w:r w:rsidR="00F04C18">
        <w:t xml:space="preserve"> be shared with the Department</w:t>
      </w:r>
      <w:r w:rsidR="00470EEC">
        <w:t xml:space="preserve">, which intends to use </w:t>
      </w:r>
      <w:r w:rsidR="00916780">
        <w:t>the information</w:t>
      </w:r>
      <w:r w:rsidR="00470EEC">
        <w:t xml:space="preserve"> to validate and support the statistics that would be produced from the data prescribed as reportable in the Rules</w:t>
      </w:r>
      <w:r w:rsidR="00F04C18">
        <w:t xml:space="preserve">. The ACCC consulted with terminal operators which would be </w:t>
      </w:r>
      <w:r w:rsidR="00470EEC">
        <w:t>affected</w:t>
      </w:r>
      <w:r w:rsidR="00F04C18">
        <w:t xml:space="preserve"> by data-sharing in February 2017</w:t>
      </w:r>
      <w:r w:rsidR="00470EEC">
        <w:t xml:space="preserve"> and </w:t>
      </w:r>
      <w:r w:rsidR="00916780">
        <w:t xml:space="preserve">the proposed sharing of data was supported. </w:t>
      </w:r>
    </w:p>
    <w:p w14:paraId="2EC1CC7A" w14:textId="5D269ACE" w:rsidR="009C5771" w:rsidRDefault="00C12C7B" w:rsidP="009C5771">
      <w:pPr>
        <w:pStyle w:val="Numberedparagraph"/>
        <w:spacing w:after="200" w:line="276" w:lineRule="auto"/>
        <w:ind w:left="709" w:hanging="709"/>
      </w:pPr>
      <w:r>
        <w:t>Section 5 prescribe</w:t>
      </w:r>
      <w:r w:rsidR="00AA6A06">
        <w:t>s</w:t>
      </w:r>
      <w:r>
        <w:t xml:space="preserve"> </w:t>
      </w:r>
      <w:r w:rsidR="004E6441">
        <w:t>as a covered activity</w:t>
      </w:r>
      <w:r w:rsidR="004E6441" w:rsidDel="00C12C7B">
        <w:t xml:space="preserve"> </w:t>
      </w:r>
      <w:r w:rsidR="00F04C18">
        <w:t>“</w:t>
      </w:r>
      <w:r w:rsidR="00F04C18" w:rsidRPr="00EC64D9">
        <w:t xml:space="preserve">processing </w:t>
      </w:r>
      <w:r w:rsidR="009C5771">
        <w:t>plant product</w:t>
      </w:r>
      <w:r w:rsidR="00F04C18">
        <w:t>”</w:t>
      </w:r>
      <w:r>
        <w:t xml:space="preserve">. </w:t>
      </w:r>
      <w:r w:rsidR="009C5771">
        <w:t xml:space="preserve">Plant product is defined in section 4 as liquefied petroleum gas (LPG), naphtha or natural gas liquid (NGL). Each plant product is a covered product and used in the production of transport fuels. </w:t>
      </w:r>
    </w:p>
    <w:p w14:paraId="5BCE2103" w14:textId="77777777" w:rsidR="009C5771" w:rsidRDefault="009C5771" w:rsidP="009C5771">
      <w:pPr>
        <w:pStyle w:val="Numberedparagraph"/>
        <w:spacing w:after="200" w:line="276" w:lineRule="auto"/>
        <w:ind w:left="709" w:hanging="709"/>
      </w:pPr>
      <w:r>
        <w:t xml:space="preserve">The processing of plant product is closely related to both producing and refining transport fuels. This created the potential for confusion over how plant product should be reported. To remove the potential for confusion, processing plant product has been prescribed as a new covered activity and a separate reporting obligation is provided in relation to it in subsection 16(1) of the Rules. </w:t>
      </w:r>
    </w:p>
    <w:p w14:paraId="0DD54EE1" w14:textId="598AE2FE" w:rsidR="00215155" w:rsidRDefault="00215155" w:rsidP="003A5BDE">
      <w:pPr>
        <w:pStyle w:val="Numberedparagraph"/>
        <w:spacing w:after="200" w:line="276" w:lineRule="auto"/>
        <w:ind w:left="709" w:hanging="709"/>
      </w:pPr>
      <w:r>
        <w:t xml:space="preserve">The </w:t>
      </w:r>
      <w:r w:rsidRPr="00C72116">
        <w:t>term</w:t>
      </w:r>
      <w:r w:rsidR="001635C4" w:rsidRPr="00C72116">
        <w:t xml:space="preserve"> </w:t>
      </w:r>
      <w:r w:rsidR="006F522E" w:rsidRPr="00C72116">
        <w:t>NGL</w:t>
      </w:r>
      <w:r w:rsidRPr="00C72116">
        <w:t xml:space="preserve"> and</w:t>
      </w:r>
      <w:r w:rsidR="001635C4" w:rsidRPr="00C72116">
        <w:t xml:space="preserve"> the phrase</w:t>
      </w:r>
      <w:r w:rsidRPr="00C72116">
        <w:t xml:space="preserve"> </w:t>
      </w:r>
      <w:r w:rsidR="003A5BDE" w:rsidRPr="00C72116">
        <w:t xml:space="preserve">natural gas </w:t>
      </w:r>
      <w:r w:rsidRPr="00C72116">
        <w:t>condensate</w:t>
      </w:r>
      <w:r>
        <w:t xml:space="preserve"> a</w:t>
      </w:r>
      <w:r w:rsidR="00061691">
        <w:t>re</w:t>
      </w:r>
      <w:r>
        <w:t xml:space="preserve"> used interchangeably and sometimes inconsistently in the petroleum industry. </w:t>
      </w:r>
      <w:r w:rsidR="004E6441" w:rsidRPr="000474F7">
        <w:t>In</w:t>
      </w:r>
      <w:r w:rsidRPr="000B4DD6">
        <w:t xml:space="preserve"> the Rules,</w:t>
      </w:r>
      <w:r w:rsidR="004E6441" w:rsidRPr="000474F7">
        <w:t xml:space="preserve"> the term</w:t>
      </w:r>
      <w:r w:rsidRPr="000B4DD6">
        <w:t xml:space="preserve"> </w:t>
      </w:r>
      <w:r w:rsidR="007C06CB" w:rsidRPr="000B4DD6">
        <w:t xml:space="preserve">NGL </w:t>
      </w:r>
      <w:r w:rsidR="004E6441" w:rsidRPr="000474F7">
        <w:t>is intended to cover</w:t>
      </w:r>
      <w:r w:rsidR="003A5BDE">
        <w:t xml:space="preserve"> a</w:t>
      </w:r>
      <w:r w:rsidR="007C06CB" w:rsidRPr="000B4DD6">
        <w:t xml:space="preserve"> liquid hydrocarbon product produced in </w:t>
      </w:r>
      <w:r w:rsidR="006F522E">
        <w:t>Australian plants (non</w:t>
      </w:r>
      <w:r w:rsidR="006F522E">
        <w:noBreakHyphen/>
        <w:t>biofuel)</w:t>
      </w:r>
      <w:r w:rsidR="007C06CB" w:rsidRPr="000B4DD6">
        <w:t xml:space="preserve"> from the o</w:t>
      </w:r>
      <w:r w:rsidR="007C06CB" w:rsidRPr="003A5BDE">
        <w:t xml:space="preserve">utput of natural gas </w:t>
      </w:r>
      <w:r w:rsidR="006F522E">
        <w:t>fields</w:t>
      </w:r>
      <w:r w:rsidRPr="003A5BDE">
        <w:t>.</w:t>
      </w:r>
      <w:r w:rsidR="00CE6D87">
        <w:t xml:space="preserve"> </w:t>
      </w:r>
      <w:r w:rsidRPr="003A5BDE">
        <w:t xml:space="preserve">NGL </w:t>
      </w:r>
      <w:r w:rsidR="00C165EF">
        <w:t>is</w:t>
      </w:r>
      <w:r w:rsidR="00C165EF" w:rsidRPr="003A5BDE">
        <w:t xml:space="preserve"> </w:t>
      </w:r>
      <w:r w:rsidRPr="003A5BDE">
        <w:t>also referred to as</w:t>
      </w:r>
      <w:r w:rsidR="007C06CB" w:rsidRPr="003A5BDE">
        <w:t xml:space="preserve"> ‘plant condensate’ </w:t>
      </w:r>
      <w:r w:rsidR="006F522E">
        <w:t xml:space="preserve">by some industry stakeholders, </w:t>
      </w:r>
      <w:r w:rsidR="007C06CB" w:rsidRPr="003A5BDE">
        <w:t>which is distinct from ‘</w:t>
      </w:r>
      <w:r w:rsidRPr="003A5BDE">
        <w:t>lease</w:t>
      </w:r>
      <w:r w:rsidR="007C06CB" w:rsidRPr="003A5BDE">
        <w:t xml:space="preserve"> condensate’</w:t>
      </w:r>
      <w:r w:rsidRPr="003A5BDE">
        <w:t xml:space="preserve"> or ‘field condensate’,</w:t>
      </w:r>
      <w:r w:rsidR="007C06CB" w:rsidRPr="00CE6D87">
        <w:t xml:space="preserve"> </w:t>
      </w:r>
      <w:r w:rsidRPr="00CE6D87">
        <w:t>the latter two being</w:t>
      </w:r>
      <w:r w:rsidR="007C06CB" w:rsidRPr="000B4DD6">
        <w:t xml:space="preserve"> condensate </w:t>
      </w:r>
      <w:r w:rsidRPr="000B4DD6">
        <w:t>extracted directly, without processing,</w:t>
      </w:r>
      <w:r w:rsidR="007C06CB" w:rsidRPr="000B4DD6">
        <w:t xml:space="preserve"> </w:t>
      </w:r>
      <w:r w:rsidRPr="000B4DD6">
        <w:t>from</w:t>
      </w:r>
      <w:r w:rsidR="007C06CB" w:rsidRPr="000B4DD6">
        <w:t xml:space="preserve"> oil or gas well</w:t>
      </w:r>
      <w:r w:rsidRPr="000B4DD6">
        <w:t>s</w:t>
      </w:r>
      <w:r w:rsidR="007C06CB" w:rsidRPr="000B4DD6">
        <w:t>.</w:t>
      </w:r>
      <w:r w:rsidR="003A5BDE">
        <w:t xml:space="preserve"> </w:t>
      </w:r>
      <w:r>
        <w:t>Where the Rules prescribe a reporting obligat</w:t>
      </w:r>
      <w:r w:rsidR="007E434B">
        <w:t>ion in relation to processing</w:t>
      </w:r>
      <w:r>
        <w:t xml:space="preserve"> NGL, this is intended to cover only liquid hydrocarbon product produced in </w:t>
      </w:r>
      <w:r w:rsidR="00447B03">
        <w:t>Australian plants (non</w:t>
      </w:r>
      <w:r w:rsidR="00447B03">
        <w:noBreakHyphen/>
        <w:t>biofuel)</w:t>
      </w:r>
      <w:r>
        <w:t xml:space="preserve">. Where the Rules prescribe a reporting obligation in relation to producing condensate, this is intended to cover all condensate extracted directly from </w:t>
      </w:r>
      <w:r w:rsidR="00447B03">
        <w:t>an Australian field</w:t>
      </w:r>
      <w:r>
        <w:t xml:space="preserve"> without processing.</w:t>
      </w:r>
    </w:p>
    <w:p w14:paraId="4B3FB899" w14:textId="77777777" w:rsidR="00447B03" w:rsidRDefault="00447B03" w:rsidP="003A5BDE">
      <w:pPr>
        <w:pStyle w:val="Numberedparagraph"/>
        <w:spacing w:after="200" w:line="276" w:lineRule="auto"/>
        <w:ind w:left="709" w:hanging="709"/>
      </w:pPr>
      <w:r>
        <w:t>Australian plants (non</w:t>
      </w:r>
      <w:r>
        <w:noBreakHyphen/>
        <w:t xml:space="preserve">biofuel) and Australian field are defined at section 11. </w:t>
      </w:r>
    </w:p>
    <w:p w14:paraId="66999B86" w14:textId="77777777" w:rsidR="00E679B3" w:rsidRPr="00421A3C" w:rsidRDefault="00421A60" w:rsidP="00833584">
      <w:pPr>
        <w:pStyle w:val="ListNumber"/>
        <w:numPr>
          <w:ilvl w:val="0"/>
          <w:numId w:val="0"/>
        </w:numPr>
        <w:spacing w:after="200" w:line="276" w:lineRule="auto"/>
        <w:ind w:left="720" w:hanging="720"/>
        <w:rPr>
          <w:b/>
        </w:rPr>
      </w:pPr>
      <w:r w:rsidRPr="005A2914">
        <w:rPr>
          <w:b/>
        </w:rPr>
        <w:t>6</w:t>
      </w:r>
      <w:r w:rsidR="00E679B3" w:rsidRPr="005A2914">
        <w:rPr>
          <w:b/>
        </w:rPr>
        <w:t xml:space="preserve"> – </w:t>
      </w:r>
      <w:r w:rsidR="00BC47DF">
        <w:rPr>
          <w:b/>
        </w:rPr>
        <w:t>Covered Product</w:t>
      </w:r>
    </w:p>
    <w:p w14:paraId="2DF04AA2" w14:textId="77777777" w:rsidR="00BC47DF" w:rsidRDefault="001E1A57" w:rsidP="00833584">
      <w:pPr>
        <w:pStyle w:val="Numberedparagraph"/>
        <w:spacing w:after="200" w:line="276" w:lineRule="auto"/>
        <w:ind w:left="709" w:hanging="709"/>
      </w:pPr>
      <w:r>
        <w:t>Section 6 of the Rule</w:t>
      </w:r>
      <w:r w:rsidR="00AA6A06">
        <w:t>s</w:t>
      </w:r>
      <w:r>
        <w:t xml:space="preserve"> prescribe</w:t>
      </w:r>
      <w:r w:rsidR="003C7B6E">
        <w:t>s</w:t>
      </w:r>
      <w:r>
        <w:t xml:space="preserve"> </w:t>
      </w:r>
      <w:r w:rsidR="00BC47DF">
        <w:t xml:space="preserve">additional products </w:t>
      </w:r>
      <w:r>
        <w:t xml:space="preserve">for </w:t>
      </w:r>
      <w:r w:rsidR="00BC47DF">
        <w:t xml:space="preserve">the </w:t>
      </w:r>
      <w:r>
        <w:t xml:space="preserve">purposes of the </w:t>
      </w:r>
      <w:r w:rsidR="00BC47DF">
        <w:t xml:space="preserve">definition of covered products in </w:t>
      </w:r>
      <w:r w:rsidR="003A5BDE">
        <w:t>sub</w:t>
      </w:r>
      <w:r w:rsidR="00BC47DF">
        <w:t>section 5(1) of the Act</w:t>
      </w:r>
      <w:r>
        <w:t xml:space="preserve"> (to the extent that </w:t>
      </w:r>
      <w:r w:rsidR="00CE6D87">
        <w:t>they are</w:t>
      </w:r>
      <w:r>
        <w:t xml:space="preserve"> not already covered by another paragraph of that definition)</w:t>
      </w:r>
      <w:r w:rsidR="00BC47DF">
        <w:t xml:space="preserve">. </w:t>
      </w:r>
    </w:p>
    <w:p w14:paraId="766BF25A" w14:textId="403314D2" w:rsidR="00BC47DF" w:rsidRDefault="003C7B6E" w:rsidP="00833584">
      <w:pPr>
        <w:pStyle w:val="Numberedparagraph"/>
        <w:spacing w:after="200" w:line="276" w:lineRule="auto"/>
        <w:ind w:left="720" w:hanging="720"/>
        <w:rPr>
          <w:rFonts w:cs="Times New Roman"/>
        </w:rPr>
      </w:pPr>
      <w:r>
        <w:rPr>
          <w:rFonts w:cs="Times New Roman"/>
        </w:rPr>
        <w:t xml:space="preserve">This section </w:t>
      </w:r>
      <w:r w:rsidR="001E1A57">
        <w:rPr>
          <w:rFonts w:cs="Times New Roman"/>
        </w:rPr>
        <w:t>prescribe</w:t>
      </w:r>
      <w:r>
        <w:rPr>
          <w:rFonts w:cs="Times New Roman"/>
        </w:rPr>
        <w:t>s</w:t>
      </w:r>
      <w:r w:rsidR="001E1A57">
        <w:rPr>
          <w:rFonts w:cs="Times New Roman"/>
        </w:rPr>
        <w:t xml:space="preserve"> </w:t>
      </w:r>
      <w:r w:rsidR="00CE6D87">
        <w:rPr>
          <w:rFonts w:cs="Times New Roman"/>
        </w:rPr>
        <w:t xml:space="preserve">natural </w:t>
      </w:r>
      <w:r w:rsidR="00BC47DF">
        <w:rPr>
          <w:rFonts w:cs="Times New Roman"/>
        </w:rPr>
        <w:t>gas</w:t>
      </w:r>
      <w:r w:rsidR="001E1A57">
        <w:rPr>
          <w:rFonts w:cs="Times New Roman"/>
        </w:rPr>
        <w:t xml:space="preserve"> </w:t>
      </w:r>
      <w:r w:rsidR="00BC47DF">
        <w:rPr>
          <w:rFonts w:cs="Times New Roman"/>
        </w:rPr>
        <w:t xml:space="preserve">as a covered product. Natural gas is defined in </w:t>
      </w:r>
      <w:r>
        <w:rPr>
          <w:rFonts w:cs="Times New Roman"/>
        </w:rPr>
        <w:t>section</w:t>
      </w:r>
      <w:r w:rsidR="004913D6">
        <w:rPr>
          <w:rFonts w:cs="Times New Roman"/>
        </w:rPr>
        <w:t xml:space="preserve"> </w:t>
      </w:r>
      <w:r w:rsidR="00BC47DF">
        <w:rPr>
          <w:rFonts w:cs="Times New Roman"/>
        </w:rPr>
        <w:t xml:space="preserve">4 as including NGL, compressed natural gas (CNG), liquefied natural gas (LNG), methane and ethane. </w:t>
      </w:r>
    </w:p>
    <w:p w14:paraId="263D6E2B" w14:textId="11C3D564" w:rsidR="009C5771" w:rsidRDefault="00BC47DF" w:rsidP="007E434B">
      <w:pPr>
        <w:pStyle w:val="Numberedparagraph"/>
        <w:tabs>
          <w:tab w:val="left" w:pos="2977"/>
        </w:tabs>
        <w:spacing w:after="200" w:line="276" w:lineRule="auto"/>
        <w:ind w:left="720" w:hanging="720"/>
        <w:rPr>
          <w:rFonts w:cs="Times New Roman"/>
        </w:rPr>
      </w:pPr>
      <w:r>
        <w:rPr>
          <w:rFonts w:cs="Times New Roman"/>
        </w:rPr>
        <w:t>The inclusion of natural gas as a covered product make</w:t>
      </w:r>
      <w:r w:rsidR="001E1A57">
        <w:rPr>
          <w:rFonts w:cs="Times New Roman"/>
        </w:rPr>
        <w:t>s it</w:t>
      </w:r>
      <w:r>
        <w:rPr>
          <w:rFonts w:cs="Times New Roman"/>
        </w:rPr>
        <w:t xml:space="preserve"> clear that the </w:t>
      </w:r>
      <w:r w:rsidR="00C133FC">
        <w:rPr>
          <w:rFonts w:cs="Times New Roman"/>
        </w:rPr>
        <w:t xml:space="preserve">Secretary of the Department of Environment and Energy (the Secretary) has </w:t>
      </w:r>
      <w:r>
        <w:rPr>
          <w:rFonts w:cs="Times New Roman"/>
        </w:rPr>
        <w:t xml:space="preserve">powers and responsibilities in relation to the collection and publication of fuel information </w:t>
      </w:r>
      <w:r w:rsidR="00702F83">
        <w:rPr>
          <w:rFonts w:cs="Times New Roman"/>
        </w:rPr>
        <w:t>related to</w:t>
      </w:r>
      <w:r>
        <w:rPr>
          <w:rFonts w:cs="Times New Roman"/>
        </w:rPr>
        <w:t xml:space="preserve"> natural gas. </w:t>
      </w:r>
      <w:r w:rsidR="001E1A57">
        <w:rPr>
          <w:rFonts w:cs="Times New Roman"/>
        </w:rPr>
        <w:t xml:space="preserve">By prescribing natural gas as a covered product </w:t>
      </w:r>
      <w:r>
        <w:rPr>
          <w:rFonts w:cs="Times New Roman"/>
        </w:rPr>
        <w:t>the data</w:t>
      </w:r>
      <w:r>
        <w:rPr>
          <w:rFonts w:cs="Times New Roman"/>
        </w:rPr>
        <w:noBreakHyphen/>
        <w:t xml:space="preserve">sharing authorisations in the Act and Consequential Amendments apply to </w:t>
      </w:r>
      <w:r w:rsidR="00916780">
        <w:rPr>
          <w:rFonts w:cs="Times New Roman"/>
        </w:rPr>
        <w:t xml:space="preserve">information in relation to </w:t>
      </w:r>
      <w:r>
        <w:rPr>
          <w:rFonts w:cs="Times New Roman"/>
        </w:rPr>
        <w:t>natural gas.</w:t>
      </w:r>
      <w:r w:rsidR="00447B03">
        <w:rPr>
          <w:rFonts w:cs="Times New Roman"/>
        </w:rPr>
        <w:t xml:space="preserve"> This allows sharing o</w:t>
      </w:r>
      <w:r w:rsidR="00444359">
        <w:rPr>
          <w:rFonts w:cs="Times New Roman"/>
        </w:rPr>
        <w:t>f</w:t>
      </w:r>
      <w:r w:rsidR="00447B03">
        <w:rPr>
          <w:rFonts w:cs="Times New Roman"/>
        </w:rPr>
        <w:t xml:space="preserve"> natural gas data to take place under the Act. </w:t>
      </w:r>
    </w:p>
    <w:p w14:paraId="1DB82AAF" w14:textId="00D8D04A" w:rsidR="00BC47DF" w:rsidRDefault="0010332B" w:rsidP="00833584">
      <w:pPr>
        <w:pStyle w:val="Numberedparagraph"/>
        <w:spacing w:after="200" w:line="276" w:lineRule="auto"/>
        <w:ind w:left="720" w:hanging="720"/>
        <w:rPr>
          <w:rFonts w:cs="Times New Roman"/>
        </w:rPr>
      </w:pPr>
      <w:r>
        <w:rPr>
          <w:rFonts w:cs="Times New Roman"/>
        </w:rPr>
        <w:lastRenderedPageBreak/>
        <w:t>Section 14</w:t>
      </w:r>
      <w:r w:rsidR="000D3AFF">
        <w:rPr>
          <w:rFonts w:cs="Times New Roman"/>
        </w:rPr>
        <w:t xml:space="preserve"> of the Rules excludes </w:t>
      </w:r>
      <w:r w:rsidR="009C5771">
        <w:rPr>
          <w:rFonts w:cs="Times New Roman"/>
        </w:rPr>
        <w:t>most forms of natural gas from the reporting obligation</w:t>
      </w:r>
      <w:r w:rsidR="000D3AFF">
        <w:rPr>
          <w:rFonts w:cs="Times New Roman"/>
        </w:rPr>
        <w:t>s in the Act</w:t>
      </w:r>
      <w:r w:rsidR="009C5771">
        <w:rPr>
          <w:rFonts w:cs="Times New Roman"/>
        </w:rPr>
        <w:t xml:space="preserve">. However, NGL </w:t>
      </w:r>
      <w:r w:rsidR="00C165EF">
        <w:rPr>
          <w:rFonts w:cs="Times New Roman"/>
        </w:rPr>
        <w:t xml:space="preserve">is </w:t>
      </w:r>
      <w:r w:rsidR="009C5771">
        <w:rPr>
          <w:rFonts w:cs="Times New Roman"/>
        </w:rPr>
        <w:t xml:space="preserve">reportable across all </w:t>
      </w:r>
      <w:r w:rsidR="000D3AFF">
        <w:rPr>
          <w:rFonts w:cs="Times New Roman"/>
        </w:rPr>
        <w:t>relevant</w:t>
      </w:r>
      <w:r w:rsidR="009C5771">
        <w:rPr>
          <w:rFonts w:cs="Times New Roman"/>
        </w:rPr>
        <w:t xml:space="preserve"> activities and </w:t>
      </w:r>
      <w:r w:rsidR="000D3AFF">
        <w:rPr>
          <w:rFonts w:cs="Times New Roman"/>
        </w:rPr>
        <w:t xml:space="preserve">certain gases are reportable </w:t>
      </w:r>
      <w:r w:rsidR="00447B03">
        <w:rPr>
          <w:rFonts w:cs="Times New Roman"/>
        </w:rPr>
        <w:t xml:space="preserve">in a refining report </w:t>
      </w:r>
      <w:r w:rsidR="000D3AFF">
        <w:rPr>
          <w:rFonts w:cs="Times New Roman"/>
        </w:rPr>
        <w:t xml:space="preserve">when used </w:t>
      </w:r>
      <w:r w:rsidR="00447B03">
        <w:rPr>
          <w:rFonts w:cs="Times New Roman"/>
        </w:rPr>
        <w:t xml:space="preserve">in </w:t>
      </w:r>
      <w:r w:rsidR="000D3AFF">
        <w:rPr>
          <w:rFonts w:cs="Times New Roman"/>
        </w:rPr>
        <w:t xml:space="preserve">or produced as a result of refining petroleum. </w:t>
      </w:r>
    </w:p>
    <w:p w14:paraId="3D4A44DB" w14:textId="77777777" w:rsidR="00273E45" w:rsidRPr="00CF50AA" w:rsidRDefault="00273E45" w:rsidP="00833584">
      <w:pPr>
        <w:pStyle w:val="Numberedparagraph"/>
        <w:spacing w:after="200" w:line="276" w:lineRule="auto"/>
        <w:ind w:left="720" w:hanging="720"/>
        <w:rPr>
          <w:rFonts w:cs="Times New Roman"/>
        </w:rPr>
      </w:pPr>
      <w:r w:rsidRPr="00CF50AA">
        <w:rPr>
          <w:rFonts w:cs="Times New Roman"/>
        </w:rPr>
        <w:t xml:space="preserve">The </w:t>
      </w:r>
      <w:r w:rsidR="000F4237">
        <w:rPr>
          <w:rFonts w:cs="Times New Roman"/>
        </w:rPr>
        <w:t>inclusion</w:t>
      </w:r>
      <w:r w:rsidRPr="00CF50AA">
        <w:rPr>
          <w:rFonts w:cs="Times New Roman"/>
        </w:rPr>
        <w:t xml:space="preserve"> of natural gas, </w:t>
      </w:r>
      <w:r w:rsidR="00CF50AA" w:rsidRPr="000474F7">
        <w:rPr>
          <w:rFonts w:cs="Times New Roman"/>
        </w:rPr>
        <w:t xml:space="preserve">being </w:t>
      </w:r>
      <w:r w:rsidRPr="00CF50AA">
        <w:rPr>
          <w:rFonts w:cs="Times New Roman"/>
        </w:rPr>
        <w:t xml:space="preserve">a fuel, </w:t>
      </w:r>
      <w:r w:rsidR="00CF50AA" w:rsidRPr="00CF50AA">
        <w:rPr>
          <w:rFonts w:cs="Times New Roman"/>
        </w:rPr>
        <w:t>w</w:t>
      </w:r>
      <w:r w:rsidR="000F4237">
        <w:rPr>
          <w:rFonts w:cs="Times New Roman"/>
        </w:rPr>
        <w:t>ould</w:t>
      </w:r>
      <w:r w:rsidR="00CF50AA" w:rsidRPr="00CF50AA">
        <w:rPr>
          <w:rFonts w:cs="Times New Roman"/>
        </w:rPr>
        <w:t xml:space="preserve"> </w:t>
      </w:r>
      <w:r w:rsidRPr="00CF50AA">
        <w:rPr>
          <w:rFonts w:cs="Times New Roman"/>
        </w:rPr>
        <w:t xml:space="preserve">assist in </w:t>
      </w:r>
      <w:r w:rsidR="000F4237">
        <w:rPr>
          <w:rFonts w:cs="Times New Roman"/>
        </w:rPr>
        <w:t>delivering upon</w:t>
      </w:r>
      <w:r w:rsidRPr="00CF50AA">
        <w:rPr>
          <w:rFonts w:cs="Times New Roman"/>
        </w:rPr>
        <w:t xml:space="preserve"> all three objectives provided in section 3 of the Act. </w:t>
      </w:r>
    </w:p>
    <w:p w14:paraId="654051C2" w14:textId="77777777" w:rsidR="00892551" w:rsidRDefault="001318DE" w:rsidP="00833584">
      <w:pPr>
        <w:pStyle w:val="Numberedparagraph"/>
        <w:spacing w:after="200" w:line="276" w:lineRule="auto"/>
        <w:ind w:left="720" w:hanging="720"/>
        <w:rPr>
          <w:rFonts w:cs="Times New Roman"/>
        </w:rPr>
      </w:pPr>
      <w:r>
        <w:rPr>
          <w:rFonts w:cs="Times New Roman"/>
        </w:rPr>
        <w:t>Section 6</w:t>
      </w:r>
      <w:r w:rsidR="001E1A57">
        <w:rPr>
          <w:rFonts w:cs="Times New Roman"/>
        </w:rPr>
        <w:t xml:space="preserve"> </w:t>
      </w:r>
      <w:r w:rsidR="003C7B6E">
        <w:rPr>
          <w:rFonts w:cs="Times New Roman"/>
        </w:rPr>
        <w:t xml:space="preserve">also </w:t>
      </w:r>
      <w:r w:rsidR="001E1A57">
        <w:rPr>
          <w:rFonts w:cs="Times New Roman"/>
        </w:rPr>
        <w:t>prescribe</w:t>
      </w:r>
      <w:r w:rsidR="003C7B6E">
        <w:rPr>
          <w:rFonts w:cs="Times New Roman"/>
        </w:rPr>
        <w:t>s</w:t>
      </w:r>
      <w:r w:rsidR="001E1A57">
        <w:rPr>
          <w:rFonts w:cs="Times New Roman"/>
        </w:rPr>
        <w:t xml:space="preserve"> </w:t>
      </w:r>
      <w:r w:rsidR="004913D6">
        <w:rPr>
          <w:rFonts w:cs="Times New Roman"/>
        </w:rPr>
        <w:t>a</w:t>
      </w:r>
      <w:r w:rsidR="00E14688">
        <w:rPr>
          <w:rFonts w:cs="Times New Roman"/>
        </w:rPr>
        <w:t xml:space="preserve">mmonia as a covered product where it is intended to be transformed </w:t>
      </w:r>
      <w:r w:rsidR="0013463D">
        <w:rPr>
          <w:rFonts w:cs="Times New Roman"/>
        </w:rPr>
        <w:t xml:space="preserve">at a later time </w:t>
      </w:r>
      <w:r w:rsidR="00E14688">
        <w:rPr>
          <w:rFonts w:cs="Times New Roman"/>
        </w:rPr>
        <w:t xml:space="preserve">into hydrogen for use as a transport fuel. Due to the difficulty of storing and transporting hydrogen, </w:t>
      </w:r>
      <w:r w:rsidR="006E6550">
        <w:rPr>
          <w:rFonts w:cs="Times New Roman"/>
        </w:rPr>
        <w:t>some businesses may</w:t>
      </w:r>
      <w:r w:rsidR="0013463D">
        <w:rPr>
          <w:rFonts w:cs="Times New Roman"/>
        </w:rPr>
        <w:t xml:space="preserve"> use ammonia as </w:t>
      </w:r>
      <w:r w:rsidR="006E6550">
        <w:rPr>
          <w:rFonts w:cs="Times New Roman"/>
        </w:rPr>
        <w:t>a form</w:t>
      </w:r>
      <w:r w:rsidR="0013463D">
        <w:rPr>
          <w:rFonts w:cs="Times New Roman"/>
        </w:rPr>
        <w:t xml:space="preserve"> of storage, with the ammonia converted into hydrogen and nitrogen before </w:t>
      </w:r>
      <w:r w:rsidR="00916780">
        <w:rPr>
          <w:rFonts w:cs="Times New Roman"/>
        </w:rPr>
        <w:t xml:space="preserve">the hydrogen is </w:t>
      </w:r>
      <w:r w:rsidR="0013463D">
        <w:rPr>
          <w:rFonts w:cs="Times New Roman"/>
        </w:rPr>
        <w:t>use</w:t>
      </w:r>
      <w:r w:rsidR="00916780">
        <w:rPr>
          <w:rFonts w:cs="Times New Roman"/>
        </w:rPr>
        <w:t>d</w:t>
      </w:r>
      <w:r w:rsidR="006E6550">
        <w:rPr>
          <w:rFonts w:cs="Times New Roman"/>
        </w:rPr>
        <w:t xml:space="preserve"> as a transport fuel</w:t>
      </w:r>
      <w:r w:rsidR="0013463D">
        <w:rPr>
          <w:rFonts w:cs="Times New Roman"/>
        </w:rPr>
        <w:t>. The coverage of ammonia is intended to ensure that the use of hydrogen in the transport fuel supply chain can be properly captured.</w:t>
      </w:r>
    </w:p>
    <w:p w14:paraId="6F8D7543" w14:textId="77777777" w:rsidR="00273E45" w:rsidRPr="00CF50AA" w:rsidRDefault="00273E45" w:rsidP="00833584">
      <w:pPr>
        <w:pStyle w:val="Numberedparagraph"/>
        <w:spacing w:after="200" w:line="276" w:lineRule="auto"/>
        <w:ind w:left="720" w:hanging="720"/>
        <w:rPr>
          <w:rFonts w:cs="Times New Roman"/>
        </w:rPr>
      </w:pPr>
      <w:r w:rsidRPr="00CF50AA">
        <w:rPr>
          <w:rFonts w:cs="Times New Roman"/>
        </w:rPr>
        <w:t xml:space="preserve">The inclusion of ammonia, </w:t>
      </w:r>
      <w:r w:rsidR="00CF50AA" w:rsidRPr="000474F7">
        <w:rPr>
          <w:rFonts w:cs="Times New Roman"/>
        </w:rPr>
        <w:t xml:space="preserve">being </w:t>
      </w:r>
      <w:r w:rsidRPr="00CF50AA">
        <w:rPr>
          <w:rFonts w:cs="Times New Roman"/>
        </w:rPr>
        <w:t xml:space="preserve">a fuel, </w:t>
      </w:r>
      <w:r w:rsidR="000F4237" w:rsidRPr="000F4237">
        <w:rPr>
          <w:rFonts w:cs="Times New Roman"/>
        </w:rPr>
        <w:t>would</w:t>
      </w:r>
      <w:r w:rsidR="00CF50AA" w:rsidRPr="000474F7">
        <w:rPr>
          <w:rFonts w:cs="Times New Roman"/>
        </w:rPr>
        <w:t xml:space="preserve"> assi</w:t>
      </w:r>
      <w:r w:rsidR="000F4237">
        <w:rPr>
          <w:rFonts w:cs="Times New Roman"/>
        </w:rPr>
        <w:t>s</w:t>
      </w:r>
      <w:r w:rsidR="00CF50AA" w:rsidRPr="000474F7">
        <w:rPr>
          <w:rFonts w:cs="Times New Roman"/>
        </w:rPr>
        <w:t xml:space="preserve">t in </w:t>
      </w:r>
      <w:r w:rsidR="000F4237">
        <w:rPr>
          <w:rFonts w:cs="Times New Roman"/>
        </w:rPr>
        <w:t>delivering upon</w:t>
      </w:r>
      <w:r w:rsidR="00CF50AA" w:rsidRPr="00CF50AA">
        <w:rPr>
          <w:rFonts w:cs="Times New Roman"/>
        </w:rPr>
        <w:t xml:space="preserve"> </w:t>
      </w:r>
      <w:r w:rsidRPr="00CF50AA">
        <w:rPr>
          <w:rFonts w:cs="Times New Roman"/>
        </w:rPr>
        <w:t xml:space="preserve">the first and third objectives provided in section 3 of the Act. </w:t>
      </w:r>
    </w:p>
    <w:p w14:paraId="20D879DC" w14:textId="767C515C" w:rsidR="00FE00D0" w:rsidRDefault="000D3AFF" w:rsidP="001C5006">
      <w:pPr>
        <w:pStyle w:val="Numberedparagraph"/>
        <w:spacing w:after="200" w:line="276" w:lineRule="auto"/>
        <w:ind w:left="720" w:hanging="720"/>
        <w:rPr>
          <w:rFonts w:cs="Times New Roman"/>
        </w:rPr>
      </w:pPr>
      <w:r>
        <w:rPr>
          <w:rFonts w:cs="Times New Roman"/>
        </w:rPr>
        <w:t>Section 6 also prescribes refining</w:t>
      </w:r>
      <w:r w:rsidR="00831D14">
        <w:rPr>
          <w:rFonts w:cs="Times New Roman"/>
        </w:rPr>
        <w:t>-</w:t>
      </w:r>
      <w:r>
        <w:rPr>
          <w:rFonts w:cs="Times New Roman"/>
        </w:rPr>
        <w:t>related gas</w:t>
      </w:r>
      <w:r w:rsidR="00FE00D0">
        <w:rPr>
          <w:rFonts w:cs="Times New Roman"/>
        </w:rPr>
        <w:t xml:space="preserve"> (other)</w:t>
      </w:r>
      <w:r>
        <w:rPr>
          <w:rFonts w:cs="Times New Roman"/>
        </w:rPr>
        <w:t xml:space="preserve"> as a covered product. This is intended to ensure that Australia is able to develop</w:t>
      </w:r>
      <w:r w:rsidR="00447B03">
        <w:rPr>
          <w:rFonts w:cs="Times New Roman"/>
        </w:rPr>
        <w:t xml:space="preserve"> and report</w:t>
      </w:r>
      <w:r>
        <w:rPr>
          <w:rFonts w:cs="Times New Roman"/>
        </w:rPr>
        <w:t xml:space="preserve"> statistics on refining activity </w:t>
      </w:r>
      <w:r w:rsidR="00447B03">
        <w:rPr>
          <w:rFonts w:cs="Times New Roman"/>
        </w:rPr>
        <w:t>as required</w:t>
      </w:r>
      <w:r>
        <w:rPr>
          <w:rFonts w:cs="Times New Roman"/>
        </w:rPr>
        <w:t xml:space="preserve"> under the</w:t>
      </w:r>
      <w:r w:rsidR="00447B03">
        <w:rPr>
          <w:rFonts w:cs="Times New Roman"/>
        </w:rPr>
        <w:t xml:space="preserve"> </w:t>
      </w:r>
      <w:r w:rsidR="00447B03">
        <w:rPr>
          <w:rFonts w:cs="Times New Roman"/>
          <w:i/>
        </w:rPr>
        <w:t>Agreement on an International Energy Program</w:t>
      </w:r>
      <w:r>
        <w:rPr>
          <w:rFonts w:cs="Times New Roman"/>
        </w:rPr>
        <w:t xml:space="preserve"> </w:t>
      </w:r>
      <w:r w:rsidR="00447B03">
        <w:rPr>
          <w:rFonts w:cs="Times New Roman"/>
        </w:rPr>
        <w:t>(</w:t>
      </w:r>
      <w:r>
        <w:rPr>
          <w:rFonts w:cs="Times New Roman"/>
        </w:rPr>
        <w:t>IEP</w:t>
      </w:r>
      <w:r w:rsidR="003C1A1E">
        <w:rPr>
          <w:rFonts w:cs="Times New Roman"/>
        </w:rPr>
        <w:t> </w:t>
      </w:r>
      <w:r>
        <w:rPr>
          <w:rFonts w:cs="Times New Roman"/>
        </w:rPr>
        <w:t>Treaty</w:t>
      </w:r>
      <w:r w:rsidR="00447B03">
        <w:rPr>
          <w:rFonts w:cs="Times New Roman"/>
        </w:rPr>
        <w:t>)</w:t>
      </w:r>
      <w:r>
        <w:rPr>
          <w:rFonts w:cs="Times New Roman"/>
        </w:rPr>
        <w:t>.</w:t>
      </w:r>
      <w:r w:rsidR="008757E9">
        <w:rPr>
          <w:rFonts w:cs="Times New Roman"/>
        </w:rPr>
        <w:t xml:space="preserve"> </w:t>
      </w:r>
    </w:p>
    <w:p w14:paraId="2BC7C3C4" w14:textId="77777777" w:rsidR="00FE00D0" w:rsidRPr="00D75C06" w:rsidRDefault="00FE00D0" w:rsidP="00D75C06">
      <w:pPr>
        <w:pStyle w:val="Numberedparagraph"/>
        <w:spacing w:after="200" w:line="276" w:lineRule="auto"/>
        <w:ind w:left="720" w:hanging="720"/>
        <w:rPr>
          <w:rFonts w:cs="Times New Roman"/>
        </w:rPr>
      </w:pPr>
      <w:r>
        <w:rPr>
          <w:rFonts w:cs="Times New Roman"/>
        </w:rPr>
        <w:t xml:space="preserve">Refining-related gas (other) is defined in section 4 as a fuel that is an input into or output from the refining of crude oil or condensate at a refinery, where it is not otherwise covered by Schedule 1. There are a range of gases that may be related to the refining of petroleum, including methane, ethane, refinery gas, butane and propane. As some refining-related gases are subcategories of other covered products, such as LPG, the category of refining-related gas (other) is intended to capture gases that are only reportable in relation to refining activities. </w:t>
      </w:r>
    </w:p>
    <w:p w14:paraId="29ADFDB0" w14:textId="5ADAFA31" w:rsidR="000D3AFF" w:rsidRPr="001C5006" w:rsidRDefault="001C5006" w:rsidP="001C5006">
      <w:pPr>
        <w:pStyle w:val="Numberedparagraph"/>
        <w:spacing w:after="200" w:line="276" w:lineRule="auto"/>
        <w:ind w:left="720" w:hanging="720"/>
        <w:rPr>
          <w:rFonts w:cs="Times New Roman"/>
        </w:rPr>
      </w:pPr>
      <w:r>
        <w:rPr>
          <w:rFonts w:cs="Times New Roman"/>
        </w:rPr>
        <w:t xml:space="preserve">Due to the application of section </w:t>
      </w:r>
      <w:r w:rsidR="0010332B">
        <w:rPr>
          <w:rFonts w:cs="Times New Roman"/>
        </w:rPr>
        <w:t>14</w:t>
      </w:r>
      <w:r>
        <w:rPr>
          <w:rFonts w:cs="Times New Roman"/>
        </w:rPr>
        <w:t>, refining</w:t>
      </w:r>
      <w:r>
        <w:rPr>
          <w:rFonts w:cs="Times New Roman"/>
        </w:rPr>
        <w:noBreakHyphen/>
        <w:t>related gas</w:t>
      </w:r>
      <w:r w:rsidR="00447B03">
        <w:rPr>
          <w:rFonts w:cs="Times New Roman"/>
        </w:rPr>
        <w:t>es</w:t>
      </w:r>
      <w:r>
        <w:rPr>
          <w:rFonts w:cs="Times New Roman"/>
        </w:rPr>
        <w:t xml:space="preserve"> </w:t>
      </w:r>
      <w:r w:rsidR="00447B03">
        <w:rPr>
          <w:rFonts w:cs="Times New Roman"/>
        </w:rPr>
        <w:t>are</w:t>
      </w:r>
      <w:r>
        <w:rPr>
          <w:rFonts w:cs="Times New Roman"/>
        </w:rPr>
        <w:t xml:space="preserve"> not reportable for any activity </w:t>
      </w:r>
      <w:r w:rsidR="00447B03">
        <w:rPr>
          <w:rFonts w:cs="Times New Roman"/>
        </w:rPr>
        <w:t>except for</w:t>
      </w:r>
      <w:r>
        <w:rPr>
          <w:rFonts w:cs="Times New Roman"/>
        </w:rPr>
        <w:t xml:space="preserve"> refining. This means that the production or wholesaling of methane is not reportable</w:t>
      </w:r>
      <w:r w:rsidR="00447B03">
        <w:rPr>
          <w:rFonts w:cs="Times New Roman"/>
        </w:rPr>
        <w:t xml:space="preserve"> under the Rules</w:t>
      </w:r>
      <w:r>
        <w:rPr>
          <w:rFonts w:cs="Times New Roman"/>
        </w:rPr>
        <w:t xml:space="preserve">. </w:t>
      </w:r>
    </w:p>
    <w:p w14:paraId="12EA075B" w14:textId="77777777" w:rsidR="008757E9" w:rsidRDefault="008757E9" w:rsidP="00833584">
      <w:pPr>
        <w:pStyle w:val="Numberedparagraph"/>
        <w:spacing w:after="200" w:line="276" w:lineRule="auto"/>
        <w:ind w:left="720" w:hanging="720"/>
        <w:rPr>
          <w:rFonts w:cs="Times New Roman"/>
        </w:rPr>
      </w:pPr>
      <w:r>
        <w:rPr>
          <w:rFonts w:cs="Times New Roman"/>
        </w:rPr>
        <w:t>Schedule 1 lists four subcategories of ‘refining</w:t>
      </w:r>
      <w:r>
        <w:rPr>
          <w:rFonts w:cs="Times New Roman"/>
        </w:rPr>
        <w:noBreakHyphen/>
        <w:t>related gas (other)’ as reportable. These are methane, ethane, refinery gas and refining-related gas (other)</w:t>
      </w:r>
      <w:r w:rsidR="00625CD2">
        <w:rPr>
          <w:rFonts w:cs="Times New Roman"/>
        </w:rPr>
        <w:t>—</w:t>
      </w:r>
      <w:r>
        <w:rPr>
          <w:rFonts w:cs="Times New Roman"/>
        </w:rPr>
        <w:t>other. This is not a comprehensive list of the gases that may be reportable in a refining report</w:t>
      </w:r>
      <w:r w:rsidR="00447B03">
        <w:rPr>
          <w:rFonts w:cs="Times New Roman"/>
        </w:rPr>
        <w:t>.</w:t>
      </w:r>
      <w:r>
        <w:rPr>
          <w:rFonts w:cs="Times New Roman"/>
        </w:rPr>
        <w:t xml:space="preserve"> </w:t>
      </w:r>
      <w:r w:rsidR="00447B03">
        <w:rPr>
          <w:rFonts w:cs="Times New Roman"/>
        </w:rPr>
        <w:t>O</w:t>
      </w:r>
      <w:r>
        <w:rPr>
          <w:rFonts w:cs="Times New Roman"/>
        </w:rPr>
        <w:t xml:space="preserve">ther gases listed elsewhere in the Schedule are reportable in a refining report where they are used as an input or are an output. For example, butane and propane, </w:t>
      </w:r>
      <w:r w:rsidR="00447B03">
        <w:rPr>
          <w:rFonts w:cs="Times New Roman"/>
        </w:rPr>
        <w:t>which are subcategories of LPG, are also</w:t>
      </w:r>
      <w:r>
        <w:rPr>
          <w:rFonts w:cs="Times New Roman"/>
        </w:rPr>
        <w:t xml:space="preserve"> reportable in refining reports</w:t>
      </w:r>
      <w:r w:rsidR="00447B03">
        <w:rPr>
          <w:rFonts w:cs="Times New Roman"/>
        </w:rPr>
        <w:t xml:space="preserve"> where relevant</w:t>
      </w:r>
      <w:r>
        <w:rPr>
          <w:rFonts w:cs="Times New Roman"/>
        </w:rPr>
        <w:t>.</w:t>
      </w:r>
    </w:p>
    <w:p w14:paraId="3728ED4D" w14:textId="77777777" w:rsidR="001C5006" w:rsidRDefault="001C5006" w:rsidP="00833584">
      <w:pPr>
        <w:pStyle w:val="Numberedparagraph"/>
        <w:spacing w:after="200" w:line="276" w:lineRule="auto"/>
        <w:ind w:left="720" w:hanging="720"/>
        <w:rPr>
          <w:rFonts w:cs="Times New Roman"/>
        </w:rPr>
      </w:pPr>
      <w:r w:rsidRPr="00CF50AA">
        <w:rPr>
          <w:rFonts w:cs="Times New Roman"/>
        </w:rPr>
        <w:t xml:space="preserve">The inclusion of </w:t>
      </w:r>
      <w:r>
        <w:rPr>
          <w:rFonts w:cs="Times New Roman"/>
        </w:rPr>
        <w:t>refining-related gases</w:t>
      </w:r>
      <w:r w:rsidRPr="00CF50AA">
        <w:rPr>
          <w:rFonts w:cs="Times New Roman"/>
        </w:rPr>
        <w:t xml:space="preserve">, </w:t>
      </w:r>
      <w:r>
        <w:rPr>
          <w:rFonts w:cs="Times New Roman"/>
        </w:rPr>
        <w:t>being</w:t>
      </w:r>
      <w:r w:rsidRPr="00CF50AA">
        <w:rPr>
          <w:rFonts w:cs="Times New Roman"/>
        </w:rPr>
        <w:t xml:space="preserve"> fuel</w:t>
      </w:r>
      <w:r>
        <w:rPr>
          <w:rFonts w:cs="Times New Roman"/>
        </w:rPr>
        <w:t>s</w:t>
      </w:r>
      <w:r w:rsidRPr="00CF50AA">
        <w:rPr>
          <w:rFonts w:cs="Times New Roman"/>
        </w:rPr>
        <w:t xml:space="preserve">, </w:t>
      </w:r>
      <w:r w:rsidRPr="000F4237">
        <w:rPr>
          <w:rFonts w:cs="Times New Roman"/>
        </w:rPr>
        <w:t>would</w:t>
      </w:r>
      <w:r w:rsidRPr="000474F7">
        <w:rPr>
          <w:rFonts w:cs="Times New Roman"/>
        </w:rPr>
        <w:t xml:space="preserve"> assi</w:t>
      </w:r>
      <w:r>
        <w:rPr>
          <w:rFonts w:cs="Times New Roman"/>
        </w:rPr>
        <w:t>s</w:t>
      </w:r>
      <w:r w:rsidRPr="000474F7">
        <w:rPr>
          <w:rFonts w:cs="Times New Roman"/>
        </w:rPr>
        <w:t xml:space="preserve">t in </w:t>
      </w:r>
      <w:r>
        <w:rPr>
          <w:rFonts w:cs="Times New Roman"/>
        </w:rPr>
        <w:t>delivering upon</w:t>
      </w:r>
      <w:r w:rsidRPr="00CF50AA">
        <w:rPr>
          <w:rFonts w:cs="Times New Roman"/>
        </w:rPr>
        <w:t xml:space="preserve"> the </w:t>
      </w:r>
      <w:r>
        <w:rPr>
          <w:rFonts w:cs="Times New Roman"/>
        </w:rPr>
        <w:t>second objective</w:t>
      </w:r>
      <w:r w:rsidRPr="00CF50AA">
        <w:rPr>
          <w:rFonts w:cs="Times New Roman"/>
        </w:rPr>
        <w:t xml:space="preserve"> provided in section 3 of the Act</w:t>
      </w:r>
      <w:r w:rsidR="0038291B">
        <w:rPr>
          <w:rFonts w:cs="Times New Roman"/>
        </w:rPr>
        <w:t>.</w:t>
      </w:r>
    </w:p>
    <w:p w14:paraId="38246223" w14:textId="77777777" w:rsidR="000D3AFF" w:rsidRDefault="000F4237" w:rsidP="00833584">
      <w:pPr>
        <w:pStyle w:val="Numberedparagraph"/>
        <w:spacing w:after="200" w:line="276" w:lineRule="auto"/>
        <w:ind w:left="720" w:hanging="720"/>
        <w:rPr>
          <w:rFonts w:cs="Times New Roman"/>
        </w:rPr>
      </w:pPr>
      <w:r>
        <w:rPr>
          <w:rFonts w:cs="Times New Roman"/>
        </w:rPr>
        <w:t xml:space="preserve">Section 6 </w:t>
      </w:r>
      <w:r w:rsidR="003C7B6E">
        <w:rPr>
          <w:rFonts w:cs="Times New Roman"/>
        </w:rPr>
        <w:t xml:space="preserve">also </w:t>
      </w:r>
      <w:r>
        <w:rPr>
          <w:rFonts w:cs="Times New Roman"/>
        </w:rPr>
        <w:t>prescribe</w:t>
      </w:r>
      <w:r w:rsidR="003C7B6E">
        <w:rPr>
          <w:rFonts w:cs="Times New Roman"/>
        </w:rPr>
        <w:t>s</w:t>
      </w:r>
      <w:r>
        <w:rPr>
          <w:rFonts w:cs="Times New Roman"/>
        </w:rPr>
        <w:t xml:space="preserve"> other </w:t>
      </w:r>
      <w:r w:rsidR="00273E45">
        <w:rPr>
          <w:rFonts w:cs="Times New Roman"/>
        </w:rPr>
        <w:t xml:space="preserve">refinery feedstock as a covered product. This is intended to ensure that Australia is able to develop </w:t>
      </w:r>
      <w:r w:rsidR="00447B03">
        <w:rPr>
          <w:rFonts w:cs="Times New Roman"/>
        </w:rPr>
        <w:t xml:space="preserve">and report </w:t>
      </w:r>
      <w:r w:rsidR="00273E45">
        <w:rPr>
          <w:rFonts w:cs="Times New Roman"/>
        </w:rPr>
        <w:t xml:space="preserve">statistics on </w:t>
      </w:r>
      <w:r w:rsidR="006E6550">
        <w:rPr>
          <w:rFonts w:cs="Times New Roman"/>
        </w:rPr>
        <w:t>refining activity</w:t>
      </w:r>
      <w:r w:rsidR="00273E45">
        <w:rPr>
          <w:rFonts w:cs="Times New Roman"/>
        </w:rPr>
        <w:t xml:space="preserve"> </w:t>
      </w:r>
      <w:r w:rsidR="00447B03">
        <w:rPr>
          <w:rFonts w:cs="Times New Roman"/>
        </w:rPr>
        <w:t xml:space="preserve">required </w:t>
      </w:r>
      <w:r w:rsidR="006E6550">
        <w:rPr>
          <w:rFonts w:cs="Times New Roman"/>
        </w:rPr>
        <w:t>under the IEP Treaty</w:t>
      </w:r>
      <w:r w:rsidR="00273E45">
        <w:rPr>
          <w:rFonts w:cs="Times New Roman"/>
        </w:rPr>
        <w:t xml:space="preserve">. </w:t>
      </w:r>
      <w:r w:rsidR="00931D21">
        <w:rPr>
          <w:rFonts w:cs="Times New Roman"/>
        </w:rPr>
        <w:t xml:space="preserve">Other refinery feedstocks may be </w:t>
      </w:r>
      <w:r w:rsidR="000D3AFF">
        <w:rPr>
          <w:rFonts w:cs="Times New Roman"/>
        </w:rPr>
        <w:t xml:space="preserve">fuels or fuel-related products. </w:t>
      </w:r>
    </w:p>
    <w:p w14:paraId="66D5B746" w14:textId="77777777" w:rsidR="001865C7" w:rsidRPr="00D75C06" w:rsidRDefault="001865C7" w:rsidP="00D75C06">
      <w:pPr>
        <w:pStyle w:val="Numberedparagraph"/>
        <w:spacing w:line="276" w:lineRule="auto"/>
        <w:ind w:left="720" w:hanging="720"/>
      </w:pPr>
      <w:r>
        <w:lastRenderedPageBreak/>
        <w:t xml:space="preserve">Refinery feedstock (other) is defined in section 4 as fuel or fuel-related product that is transformed into another covered product at a refinery, and which is not otherwise covered by Schedule 1. </w:t>
      </w:r>
      <w:r w:rsidR="00D0405E">
        <w:t>Only liquids and solids</w:t>
      </w:r>
      <w:r>
        <w:t xml:space="preserve"> </w:t>
      </w:r>
      <w:r w:rsidR="00D0405E">
        <w:t xml:space="preserve">can fall </w:t>
      </w:r>
      <w:r>
        <w:t>within the definition of refinery feedstock (other)</w:t>
      </w:r>
      <w:r w:rsidR="00D0405E">
        <w:t xml:space="preserve"> due to the definition of refining-related gas (other). </w:t>
      </w:r>
    </w:p>
    <w:p w14:paraId="2FE4DB1D" w14:textId="77777777" w:rsidR="00273E45" w:rsidRDefault="008757E9" w:rsidP="00833584">
      <w:pPr>
        <w:pStyle w:val="Numberedparagraph"/>
        <w:spacing w:after="200" w:line="276" w:lineRule="auto"/>
        <w:ind w:left="720" w:hanging="720"/>
        <w:rPr>
          <w:rFonts w:cs="Times New Roman"/>
        </w:rPr>
      </w:pPr>
      <w:r>
        <w:rPr>
          <w:rFonts w:cs="Times New Roman"/>
        </w:rPr>
        <w:t>Schedule 1 lists f</w:t>
      </w:r>
      <w:r w:rsidR="000D3AFF">
        <w:rPr>
          <w:rFonts w:cs="Times New Roman"/>
        </w:rPr>
        <w:t xml:space="preserve">our subcategories of </w:t>
      </w:r>
      <w:r>
        <w:rPr>
          <w:rFonts w:cs="Times New Roman"/>
        </w:rPr>
        <w:t>‘</w:t>
      </w:r>
      <w:r w:rsidR="000D3AFF">
        <w:rPr>
          <w:rFonts w:cs="Times New Roman"/>
        </w:rPr>
        <w:t xml:space="preserve">refinery feedstock </w:t>
      </w:r>
      <w:r w:rsidR="00AB1A5D">
        <w:rPr>
          <w:rFonts w:cs="Times New Roman"/>
        </w:rPr>
        <w:t>(</w:t>
      </w:r>
      <w:r w:rsidR="000D3AFF">
        <w:rPr>
          <w:rFonts w:cs="Times New Roman"/>
        </w:rPr>
        <w:t>other</w:t>
      </w:r>
      <w:r w:rsidR="00AB1A5D">
        <w:rPr>
          <w:rFonts w:cs="Times New Roman"/>
        </w:rPr>
        <w:t>)</w:t>
      </w:r>
      <w:r>
        <w:rPr>
          <w:rFonts w:cs="Times New Roman"/>
        </w:rPr>
        <w:t>’</w:t>
      </w:r>
      <w:r w:rsidR="000D3AFF">
        <w:rPr>
          <w:rFonts w:cs="Times New Roman"/>
        </w:rPr>
        <w:t xml:space="preserve"> as reportable for refining reports</w:t>
      </w:r>
      <w:r>
        <w:rPr>
          <w:rFonts w:cs="Times New Roman"/>
        </w:rPr>
        <w:t xml:space="preserve"> only</w:t>
      </w:r>
      <w:r w:rsidR="000D3AFF">
        <w:rPr>
          <w:rFonts w:cs="Times New Roman"/>
        </w:rPr>
        <w:t>. These are additives and oxygenates, hydrocarbon blendstocks, non-hydrocarbon blendstocks and refinery feedstock</w:t>
      </w:r>
      <w:r w:rsidR="00AB1A5D">
        <w:rPr>
          <w:rFonts w:cs="Times New Roman"/>
        </w:rPr>
        <w:t xml:space="preserve"> (other)</w:t>
      </w:r>
      <w:r w:rsidR="00625CD2">
        <w:rPr>
          <w:rFonts w:cs="Times New Roman"/>
        </w:rPr>
        <w:t>—</w:t>
      </w:r>
      <w:r w:rsidR="00AB1A5D">
        <w:rPr>
          <w:rFonts w:cs="Times New Roman"/>
        </w:rPr>
        <w:t>other</w:t>
      </w:r>
      <w:r w:rsidR="000D3AFF">
        <w:rPr>
          <w:rFonts w:cs="Times New Roman"/>
        </w:rPr>
        <w:t xml:space="preserve">. These subcategories capture data required to be reported to the IEA on refining activities. </w:t>
      </w:r>
      <w:r w:rsidR="00447B03">
        <w:rPr>
          <w:rFonts w:cs="Times New Roman"/>
        </w:rPr>
        <w:t>The</w:t>
      </w:r>
      <w:r w:rsidR="00AB1A5D">
        <w:rPr>
          <w:rFonts w:cs="Times New Roman"/>
        </w:rPr>
        <w:t> </w:t>
      </w:r>
      <w:r w:rsidR="00447B03">
        <w:rPr>
          <w:rFonts w:cs="Times New Roman"/>
        </w:rPr>
        <w:t>subcategory of hydrocarbon blendstock</w:t>
      </w:r>
      <w:r w:rsidR="00702F83">
        <w:rPr>
          <w:rFonts w:cs="Times New Roman"/>
        </w:rPr>
        <w:t>s</w:t>
      </w:r>
      <w:r w:rsidR="00447B03">
        <w:rPr>
          <w:rFonts w:cs="Times New Roman"/>
        </w:rPr>
        <w:t xml:space="preserve"> is intended to capture any hydrocarbons not listed elsewhere in the Schedule. </w:t>
      </w:r>
      <w:r w:rsidR="000D3AFF">
        <w:rPr>
          <w:rFonts w:cs="Times New Roman"/>
        </w:rPr>
        <w:t>Where a blendstock is already prescribed as a covered product, it is reportable under that category. For example, a gasoline blendstock inputted into the refining process would be reportable as ‘gasoline</w:t>
      </w:r>
      <w:r w:rsidR="00625CD2">
        <w:rPr>
          <w:rFonts w:cs="Times New Roman"/>
        </w:rPr>
        <w:t>—</w:t>
      </w:r>
      <w:r w:rsidR="000D3AFF">
        <w:rPr>
          <w:rFonts w:cs="Times New Roman"/>
        </w:rPr>
        <w:t>other’, rather than ‘hydrocarbon blendstock’.</w:t>
      </w:r>
    </w:p>
    <w:p w14:paraId="79B6A379" w14:textId="77777777" w:rsidR="00273E45" w:rsidRDefault="00273E45" w:rsidP="00833584">
      <w:pPr>
        <w:pStyle w:val="Numberedparagraph"/>
        <w:spacing w:after="200" w:line="276" w:lineRule="auto"/>
        <w:ind w:left="720" w:hanging="720"/>
        <w:rPr>
          <w:rFonts w:cs="Times New Roman"/>
        </w:rPr>
      </w:pPr>
      <w:r>
        <w:rPr>
          <w:rFonts w:cs="Times New Roman"/>
        </w:rPr>
        <w:t>The inclusion of refinery feedstock</w:t>
      </w:r>
      <w:r w:rsidR="004913D6">
        <w:rPr>
          <w:rFonts w:cs="Times New Roman"/>
        </w:rPr>
        <w:t xml:space="preserve"> </w:t>
      </w:r>
      <w:r w:rsidR="00AB1A5D">
        <w:rPr>
          <w:rFonts w:cs="Times New Roman"/>
        </w:rPr>
        <w:t>(</w:t>
      </w:r>
      <w:r>
        <w:rPr>
          <w:rFonts w:cs="Times New Roman"/>
        </w:rPr>
        <w:t>other</w:t>
      </w:r>
      <w:r w:rsidR="00AB1A5D">
        <w:rPr>
          <w:rFonts w:cs="Times New Roman"/>
        </w:rPr>
        <w:t>)</w:t>
      </w:r>
      <w:r>
        <w:rPr>
          <w:rFonts w:cs="Times New Roman"/>
        </w:rPr>
        <w:t>, when it is a fuel</w:t>
      </w:r>
      <w:r w:rsidR="006E6550">
        <w:rPr>
          <w:rFonts w:cs="Times New Roman"/>
        </w:rPr>
        <w:t xml:space="preserve"> and when it is a fuel-related product</w:t>
      </w:r>
      <w:r>
        <w:rPr>
          <w:rFonts w:cs="Times New Roman"/>
        </w:rPr>
        <w:t xml:space="preserve">, </w:t>
      </w:r>
      <w:r w:rsidR="000F4237">
        <w:rPr>
          <w:rFonts w:cs="Times New Roman"/>
        </w:rPr>
        <w:t xml:space="preserve">would assist in the achievement of </w:t>
      </w:r>
      <w:r>
        <w:rPr>
          <w:rFonts w:cs="Times New Roman"/>
        </w:rPr>
        <w:t xml:space="preserve">the second objective provided in section 3 of the Act. </w:t>
      </w:r>
    </w:p>
    <w:p w14:paraId="6EAA6525" w14:textId="77777777" w:rsidR="00E679B3" w:rsidRPr="008374D0" w:rsidRDefault="00421A60" w:rsidP="00833584">
      <w:pPr>
        <w:pStyle w:val="ListNumber"/>
        <w:numPr>
          <w:ilvl w:val="0"/>
          <w:numId w:val="0"/>
        </w:numPr>
        <w:spacing w:after="200" w:line="276" w:lineRule="auto"/>
        <w:ind w:left="720" w:hanging="720"/>
        <w:rPr>
          <w:b/>
        </w:rPr>
      </w:pPr>
      <w:r>
        <w:rPr>
          <w:b/>
        </w:rPr>
        <w:t>7</w:t>
      </w:r>
      <w:r w:rsidR="00E679B3" w:rsidRPr="008374D0">
        <w:rPr>
          <w:b/>
        </w:rPr>
        <w:t xml:space="preserve"> – </w:t>
      </w:r>
      <w:r w:rsidR="00273E45">
        <w:rPr>
          <w:b/>
        </w:rPr>
        <w:t xml:space="preserve">Holding Stock – </w:t>
      </w:r>
      <w:r w:rsidR="00FA55F8">
        <w:rPr>
          <w:b/>
        </w:rPr>
        <w:t>c</w:t>
      </w:r>
      <w:r w:rsidR="00273E45">
        <w:rPr>
          <w:b/>
        </w:rPr>
        <w:t xml:space="preserve">ontractual </w:t>
      </w:r>
      <w:r w:rsidR="00FA55F8">
        <w:rPr>
          <w:b/>
        </w:rPr>
        <w:t>r</w:t>
      </w:r>
      <w:r w:rsidR="00273E45">
        <w:rPr>
          <w:b/>
        </w:rPr>
        <w:t>ights</w:t>
      </w:r>
    </w:p>
    <w:p w14:paraId="19F736F4" w14:textId="77777777" w:rsidR="00E679B3" w:rsidRDefault="00472FCC" w:rsidP="00833584">
      <w:pPr>
        <w:pStyle w:val="Numberedparagraph"/>
        <w:spacing w:after="200" w:line="276" w:lineRule="auto"/>
        <w:ind w:left="720" w:hanging="720"/>
        <w:rPr>
          <w:rFonts w:cs="Times New Roman"/>
        </w:rPr>
      </w:pPr>
      <w:r>
        <w:rPr>
          <w:rFonts w:cs="Times New Roman"/>
        </w:rPr>
        <w:t xml:space="preserve">Section 7 of the Rules </w:t>
      </w:r>
      <w:r w:rsidR="00AD5F43">
        <w:rPr>
          <w:rFonts w:cs="Times New Roman"/>
        </w:rPr>
        <w:t>prescribe</w:t>
      </w:r>
      <w:r>
        <w:rPr>
          <w:rFonts w:cs="Times New Roman"/>
        </w:rPr>
        <w:t>s</w:t>
      </w:r>
      <w:r w:rsidR="00AD5F43">
        <w:rPr>
          <w:rFonts w:cs="Times New Roman"/>
        </w:rPr>
        <w:t xml:space="preserve"> certain activities as being within the definition of holding a contractual right to take possession of a covered product for the purposes of the definition of holding stock </w:t>
      </w:r>
      <w:r w:rsidR="001C226D">
        <w:rPr>
          <w:rFonts w:cs="Times New Roman"/>
        </w:rPr>
        <w:t xml:space="preserve">in </w:t>
      </w:r>
      <w:r w:rsidR="00DB5C0A">
        <w:rPr>
          <w:rFonts w:cs="Times New Roman"/>
        </w:rPr>
        <w:t>sub</w:t>
      </w:r>
      <w:r w:rsidR="00AD5F43">
        <w:rPr>
          <w:rFonts w:cs="Times New Roman"/>
        </w:rPr>
        <w:t>section 5(1) of the Act. This would mean that the activities</w:t>
      </w:r>
      <w:r w:rsidR="00D94905">
        <w:rPr>
          <w:rFonts w:cs="Times New Roman"/>
        </w:rPr>
        <w:t xml:space="preserve"> are covered activities</w:t>
      </w:r>
      <w:r w:rsidR="001C08BF">
        <w:rPr>
          <w:rFonts w:cs="Times New Roman"/>
        </w:rPr>
        <w:t xml:space="preserve"> under the Act</w:t>
      </w:r>
      <w:r w:rsidR="00AD5F43">
        <w:rPr>
          <w:rFonts w:cs="Times New Roman"/>
        </w:rPr>
        <w:t xml:space="preserve">. </w:t>
      </w:r>
    </w:p>
    <w:p w14:paraId="3C03E184" w14:textId="77777777" w:rsidR="00215155" w:rsidRPr="003C7B6E" w:rsidRDefault="00472FCC" w:rsidP="00833584">
      <w:pPr>
        <w:pStyle w:val="Numberedparagraph"/>
        <w:spacing w:after="200" w:line="276" w:lineRule="auto"/>
        <w:ind w:left="720" w:hanging="720"/>
        <w:rPr>
          <w:rFonts w:cs="Times New Roman"/>
        </w:rPr>
      </w:pPr>
      <w:r w:rsidRPr="003C7B6E">
        <w:rPr>
          <w:rFonts w:cs="Times New Roman"/>
        </w:rPr>
        <w:t xml:space="preserve">Paragraph </w:t>
      </w:r>
      <w:r w:rsidR="001C226D" w:rsidRPr="003C7B6E">
        <w:rPr>
          <w:rFonts w:cs="Times New Roman"/>
        </w:rPr>
        <w:t>7</w:t>
      </w:r>
      <w:r w:rsidR="00AD5F43" w:rsidRPr="003C7B6E">
        <w:rPr>
          <w:rFonts w:cs="Times New Roman"/>
        </w:rPr>
        <w:t>(a) provide</w:t>
      </w:r>
      <w:r w:rsidRPr="003C7B6E">
        <w:rPr>
          <w:rFonts w:cs="Times New Roman"/>
        </w:rPr>
        <w:t>s</w:t>
      </w:r>
      <w:r w:rsidR="00AD5F43" w:rsidRPr="003C7B6E">
        <w:rPr>
          <w:rFonts w:cs="Times New Roman"/>
        </w:rPr>
        <w:t xml:space="preserve"> that where a person owns a covered product</w:t>
      </w:r>
      <w:r w:rsidR="001C226D" w:rsidRPr="003C7B6E">
        <w:rPr>
          <w:rFonts w:cs="Times New Roman"/>
        </w:rPr>
        <w:t xml:space="preserve"> </w:t>
      </w:r>
      <w:r w:rsidR="00AD5F43" w:rsidRPr="003C7B6E">
        <w:rPr>
          <w:rFonts w:cs="Times New Roman"/>
        </w:rPr>
        <w:t xml:space="preserve">stored </w:t>
      </w:r>
      <w:r w:rsidR="001C226D" w:rsidRPr="003C7B6E">
        <w:rPr>
          <w:rFonts w:cs="Times New Roman"/>
        </w:rPr>
        <w:t>outside of Australia</w:t>
      </w:r>
      <w:r w:rsidR="00AD5F43" w:rsidRPr="003C7B6E">
        <w:rPr>
          <w:rFonts w:cs="Times New Roman"/>
        </w:rPr>
        <w:t xml:space="preserve"> and has a </w:t>
      </w:r>
      <w:r w:rsidR="001C08BF" w:rsidRPr="000474F7">
        <w:rPr>
          <w:rFonts w:cs="Times New Roman"/>
        </w:rPr>
        <w:t xml:space="preserve">contractual </w:t>
      </w:r>
      <w:r w:rsidR="00AD5F43" w:rsidRPr="003C7B6E">
        <w:rPr>
          <w:rFonts w:cs="Times New Roman"/>
        </w:rPr>
        <w:t>right to remove the product from storage</w:t>
      </w:r>
      <w:r w:rsidRPr="003C7B6E">
        <w:rPr>
          <w:rFonts w:cs="Times New Roman"/>
        </w:rPr>
        <w:t>,</w:t>
      </w:r>
      <w:r w:rsidR="00AD5F43" w:rsidRPr="003C7B6E">
        <w:rPr>
          <w:rFonts w:cs="Times New Roman"/>
        </w:rPr>
        <w:t xml:space="preserve"> this </w:t>
      </w:r>
      <w:r w:rsidR="00D94905" w:rsidRPr="003C7B6E">
        <w:rPr>
          <w:rFonts w:cs="Times New Roman"/>
        </w:rPr>
        <w:t xml:space="preserve">falls within the meaning of </w:t>
      </w:r>
      <w:r w:rsidR="00AD5F43" w:rsidRPr="003C7B6E">
        <w:rPr>
          <w:rFonts w:cs="Times New Roman"/>
        </w:rPr>
        <w:t>holding a contractual right to take p</w:t>
      </w:r>
      <w:r w:rsidR="00582EB2" w:rsidRPr="003C7B6E">
        <w:rPr>
          <w:rFonts w:cs="Times New Roman"/>
        </w:rPr>
        <w:t>ossession of a covered product</w:t>
      </w:r>
      <w:r w:rsidR="00D94905" w:rsidRPr="003C7B6E">
        <w:rPr>
          <w:rFonts w:cs="Times New Roman"/>
        </w:rPr>
        <w:t xml:space="preserve">, and therefore the definition of holding stock at </w:t>
      </w:r>
      <w:r w:rsidR="00DB5C0A" w:rsidRPr="003C7B6E">
        <w:rPr>
          <w:rFonts w:cs="Times New Roman"/>
        </w:rPr>
        <w:t>sub</w:t>
      </w:r>
      <w:r w:rsidR="00D94905" w:rsidRPr="003C7B6E">
        <w:rPr>
          <w:rFonts w:cs="Times New Roman"/>
        </w:rPr>
        <w:t>section 5(1) of the Act</w:t>
      </w:r>
      <w:r w:rsidR="00582EB2" w:rsidRPr="003C7B6E">
        <w:rPr>
          <w:rFonts w:cs="Times New Roman"/>
        </w:rPr>
        <w:t xml:space="preserve">. </w:t>
      </w:r>
    </w:p>
    <w:p w14:paraId="7BEF6B9A" w14:textId="77777777" w:rsidR="00D94905" w:rsidRDefault="00582EB2" w:rsidP="00833584">
      <w:pPr>
        <w:pStyle w:val="Numberedparagraph"/>
        <w:spacing w:after="200" w:line="276" w:lineRule="auto"/>
        <w:ind w:left="720" w:hanging="720"/>
        <w:rPr>
          <w:rFonts w:cs="Times New Roman"/>
        </w:rPr>
      </w:pPr>
      <w:r>
        <w:rPr>
          <w:rFonts w:cs="Times New Roman"/>
        </w:rPr>
        <w:t>This means that where</w:t>
      </w:r>
      <w:r w:rsidR="00D94905">
        <w:rPr>
          <w:rFonts w:cs="Times New Roman"/>
        </w:rPr>
        <w:t>:</w:t>
      </w:r>
    </w:p>
    <w:p w14:paraId="2AFFED4E" w14:textId="77777777" w:rsidR="00D94905" w:rsidRDefault="001C08BF" w:rsidP="00D94905">
      <w:pPr>
        <w:pStyle w:val="Numberedparagraph"/>
        <w:numPr>
          <w:ilvl w:val="1"/>
          <w:numId w:val="7"/>
        </w:numPr>
        <w:spacing w:after="200" w:line="276" w:lineRule="auto"/>
        <w:rPr>
          <w:rFonts w:cs="Times New Roman"/>
        </w:rPr>
      </w:pPr>
      <w:r>
        <w:rPr>
          <w:rFonts w:cs="Times New Roman"/>
        </w:rPr>
        <w:t>an entity</w:t>
      </w:r>
      <w:r w:rsidR="00582EB2">
        <w:rPr>
          <w:rFonts w:cs="Times New Roman"/>
        </w:rPr>
        <w:t xml:space="preserve"> owns stock </w:t>
      </w:r>
      <w:r w:rsidR="00D94905">
        <w:rPr>
          <w:rFonts w:cs="Times New Roman"/>
        </w:rPr>
        <w:t xml:space="preserve">stored </w:t>
      </w:r>
      <w:r w:rsidR="00582EB2">
        <w:rPr>
          <w:rFonts w:cs="Times New Roman"/>
        </w:rPr>
        <w:t>overseas</w:t>
      </w:r>
      <w:r w:rsidR="00D94905">
        <w:rPr>
          <w:rFonts w:cs="Times New Roman"/>
        </w:rPr>
        <w:t>;</w:t>
      </w:r>
      <w:r w:rsidR="00582EB2">
        <w:rPr>
          <w:rFonts w:cs="Times New Roman"/>
        </w:rPr>
        <w:t xml:space="preserve"> </w:t>
      </w:r>
      <w:r w:rsidR="00215155">
        <w:rPr>
          <w:rFonts w:cs="Times New Roman"/>
        </w:rPr>
        <w:t>and</w:t>
      </w:r>
    </w:p>
    <w:p w14:paraId="373F94A4" w14:textId="77777777" w:rsidR="00D94905" w:rsidRDefault="00D94905" w:rsidP="00D94905">
      <w:pPr>
        <w:pStyle w:val="Numberedparagraph"/>
        <w:numPr>
          <w:ilvl w:val="1"/>
          <w:numId w:val="7"/>
        </w:numPr>
        <w:spacing w:after="200" w:line="276" w:lineRule="auto"/>
        <w:rPr>
          <w:rFonts w:cs="Times New Roman"/>
        </w:rPr>
      </w:pPr>
      <w:r>
        <w:rPr>
          <w:rFonts w:cs="Times New Roman"/>
        </w:rPr>
        <w:t>the stock is in the possession of another entity (including a foreign affiliate or subsidiary)</w:t>
      </w:r>
      <w:r w:rsidR="001C08BF">
        <w:rPr>
          <w:rFonts w:cs="Times New Roman"/>
        </w:rPr>
        <w:t xml:space="preserve"> under a contract</w:t>
      </w:r>
      <w:r>
        <w:rPr>
          <w:rFonts w:cs="Times New Roman"/>
        </w:rPr>
        <w:t>; and</w:t>
      </w:r>
    </w:p>
    <w:p w14:paraId="1D36201C" w14:textId="77777777" w:rsidR="00D94905" w:rsidRDefault="00D94905" w:rsidP="00D94905">
      <w:pPr>
        <w:pStyle w:val="Numberedparagraph"/>
        <w:numPr>
          <w:ilvl w:val="1"/>
          <w:numId w:val="7"/>
        </w:numPr>
        <w:spacing w:after="200" w:line="276" w:lineRule="auto"/>
        <w:rPr>
          <w:rFonts w:cs="Times New Roman"/>
        </w:rPr>
      </w:pPr>
      <w:r>
        <w:rPr>
          <w:rFonts w:cs="Times New Roman"/>
        </w:rPr>
        <w:t xml:space="preserve">the entity owning the stock has a right </w:t>
      </w:r>
      <w:r w:rsidR="00F93A76">
        <w:rPr>
          <w:rFonts w:cs="Times New Roman"/>
        </w:rPr>
        <w:t xml:space="preserve">under the contract </w:t>
      </w:r>
      <w:r>
        <w:rPr>
          <w:rFonts w:cs="Times New Roman"/>
        </w:rPr>
        <w:t xml:space="preserve">to remove it from storage, </w:t>
      </w:r>
    </w:p>
    <w:p w14:paraId="407AA56B" w14:textId="77777777" w:rsidR="00AD5F43" w:rsidRDefault="00AB1A5D" w:rsidP="00D94905">
      <w:pPr>
        <w:pStyle w:val="Numberedparagraph"/>
        <w:numPr>
          <w:ilvl w:val="0"/>
          <w:numId w:val="0"/>
        </w:numPr>
        <w:spacing w:after="200" w:line="276" w:lineRule="auto"/>
        <w:ind w:left="720"/>
        <w:rPr>
          <w:rFonts w:cs="Times New Roman"/>
        </w:rPr>
      </w:pPr>
      <w:r>
        <w:rPr>
          <w:rFonts w:cs="Times New Roman"/>
        </w:rPr>
        <w:t xml:space="preserve">then </w:t>
      </w:r>
      <w:r w:rsidR="00582EB2">
        <w:rPr>
          <w:rFonts w:cs="Times New Roman"/>
        </w:rPr>
        <w:t xml:space="preserve">this </w:t>
      </w:r>
      <w:r w:rsidR="00D94905">
        <w:rPr>
          <w:rFonts w:cs="Times New Roman"/>
        </w:rPr>
        <w:t xml:space="preserve">is a covered activity </w:t>
      </w:r>
      <w:r w:rsidR="007557E0">
        <w:rPr>
          <w:rFonts w:cs="Times New Roman"/>
        </w:rPr>
        <w:t>in relation to which a person</w:t>
      </w:r>
      <w:r w:rsidR="00F93A76">
        <w:rPr>
          <w:rFonts w:cs="Times New Roman"/>
        </w:rPr>
        <w:t xml:space="preserve"> </w:t>
      </w:r>
      <w:r w:rsidR="00472FCC">
        <w:rPr>
          <w:rFonts w:cs="Times New Roman"/>
        </w:rPr>
        <w:t xml:space="preserve">can be made subject to </w:t>
      </w:r>
      <w:r w:rsidR="004913D6">
        <w:rPr>
          <w:rFonts w:cs="Times New Roman"/>
        </w:rPr>
        <w:t>a reporting obligation</w:t>
      </w:r>
      <w:r w:rsidR="00D94905">
        <w:rPr>
          <w:rFonts w:cs="Times New Roman"/>
        </w:rPr>
        <w:t xml:space="preserve">. </w:t>
      </w:r>
    </w:p>
    <w:p w14:paraId="3C28CC25" w14:textId="77777777" w:rsidR="00215155" w:rsidRDefault="00472FCC" w:rsidP="00215155">
      <w:pPr>
        <w:pStyle w:val="Numberedparagraph"/>
        <w:spacing w:after="200" w:line="276" w:lineRule="auto"/>
        <w:ind w:left="720" w:hanging="720"/>
        <w:rPr>
          <w:rFonts w:cs="Times New Roman"/>
        </w:rPr>
      </w:pPr>
      <w:r>
        <w:rPr>
          <w:rFonts w:cs="Times New Roman"/>
        </w:rPr>
        <w:t>Reporting obligations for t</w:t>
      </w:r>
      <w:r w:rsidR="00215155">
        <w:rPr>
          <w:rFonts w:cs="Times New Roman"/>
        </w:rPr>
        <w:t xml:space="preserve">he holding of stock stored overseas as defined by </w:t>
      </w:r>
      <w:r w:rsidR="007557E0">
        <w:rPr>
          <w:rFonts w:cs="Times New Roman"/>
        </w:rPr>
        <w:t>paragraph </w:t>
      </w:r>
      <w:r w:rsidR="00215155">
        <w:rPr>
          <w:rFonts w:cs="Times New Roman"/>
        </w:rPr>
        <w:t>7(a)</w:t>
      </w:r>
      <w:r>
        <w:rPr>
          <w:rFonts w:cs="Times New Roman"/>
        </w:rPr>
        <w:t xml:space="preserve"> are </w:t>
      </w:r>
      <w:r w:rsidR="00215155">
        <w:rPr>
          <w:rFonts w:cs="Times New Roman"/>
        </w:rPr>
        <w:t xml:space="preserve">prescribed at table item 2 </w:t>
      </w:r>
      <w:r w:rsidR="00A44DAC">
        <w:rPr>
          <w:rFonts w:cs="Times New Roman"/>
        </w:rPr>
        <w:t xml:space="preserve">of </w:t>
      </w:r>
      <w:r>
        <w:rPr>
          <w:rFonts w:cs="Times New Roman"/>
        </w:rPr>
        <w:t xml:space="preserve">subsection </w:t>
      </w:r>
      <w:r w:rsidR="00215155">
        <w:rPr>
          <w:rFonts w:cs="Times New Roman"/>
        </w:rPr>
        <w:t>1</w:t>
      </w:r>
      <w:r w:rsidR="00B914C2">
        <w:rPr>
          <w:rFonts w:cs="Times New Roman"/>
        </w:rPr>
        <w:t>7</w:t>
      </w:r>
      <w:r w:rsidR="00215155">
        <w:rPr>
          <w:rFonts w:cs="Times New Roman"/>
        </w:rPr>
        <w:t>(1)</w:t>
      </w:r>
      <w:r>
        <w:rPr>
          <w:rFonts w:cs="Times New Roman"/>
        </w:rPr>
        <w:t xml:space="preserve"> of the Rules</w:t>
      </w:r>
      <w:r w:rsidR="00215155">
        <w:rPr>
          <w:rFonts w:cs="Times New Roman"/>
        </w:rPr>
        <w:t>.</w:t>
      </w:r>
    </w:p>
    <w:p w14:paraId="042C6BDB" w14:textId="77777777" w:rsidR="00215155" w:rsidRDefault="00215155" w:rsidP="00833584">
      <w:pPr>
        <w:pStyle w:val="Numberedparagraph"/>
        <w:spacing w:after="200" w:line="276" w:lineRule="auto"/>
        <w:ind w:left="720" w:hanging="720"/>
        <w:rPr>
          <w:rFonts w:cs="Times New Roman"/>
        </w:rPr>
      </w:pPr>
      <w:r>
        <w:rPr>
          <w:rFonts w:cs="Times New Roman"/>
        </w:rPr>
        <w:t xml:space="preserve">All the elements listed </w:t>
      </w:r>
      <w:r w:rsidR="00EE5AFA">
        <w:rPr>
          <w:rFonts w:cs="Times New Roman"/>
        </w:rPr>
        <w:t>above</w:t>
      </w:r>
      <w:r>
        <w:rPr>
          <w:rFonts w:cs="Times New Roman"/>
        </w:rPr>
        <w:t xml:space="preserve"> must be satisfied for </w:t>
      </w:r>
      <w:r w:rsidR="007557E0">
        <w:rPr>
          <w:rFonts w:cs="Times New Roman"/>
        </w:rPr>
        <w:t>a</w:t>
      </w:r>
      <w:r>
        <w:rPr>
          <w:rFonts w:cs="Times New Roman"/>
        </w:rPr>
        <w:t xml:space="preserve"> reporting obligation to </w:t>
      </w:r>
      <w:r w:rsidR="00F93A76">
        <w:rPr>
          <w:rFonts w:cs="Times New Roman"/>
        </w:rPr>
        <w:t>be able to be imposed under the Rules</w:t>
      </w:r>
      <w:r>
        <w:rPr>
          <w:rFonts w:cs="Times New Roman"/>
        </w:rPr>
        <w:t xml:space="preserve">. This means that the person must own the stock, store it in a facility operated by a separate legal entity, and have a right to remove the stock. </w:t>
      </w:r>
      <w:r w:rsidR="00432134">
        <w:rPr>
          <w:rFonts w:cs="Times New Roman"/>
        </w:rPr>
        <w:t xml:space="preserve">If any one of these elements is not satisfied, the stock is not required to be reported. </w:t>
      </w:r>
    </w:p>
    <w:p w14:paraId="37325DD1" w14:textId="39A4BFB0" w:rsidR="00EE5AFA" w:rsidRDefault="007557E0" w:rsidP="00833584">
      <w:pPr>
        <w:pStyle w:val="Numberedparagraph"/>
        <w:spacing w:after="200" w:line="276" w:lineRule="auto"/>
        <w:ind w:left="720" w:hanging="720"/>
        <w:rPr>
          <w:rFonts w:cs="Times New Roman"/>
        </w:rPr>
      </w:pPr>
      <w:r>
        <w:rPr>
          <w:rFonts w:cs="Times New Roman"/>
        </w:rPr>
        <w:lastRenderedPageBreak/>
        <w:t xml:space="preserve">Paragraph </w:t>
      </w:r>
      <w:r w:rsidR="00582EB2">
        <w:rPr>
          <w:rFonts w:cs="Times New Roman"/>
        </w:rPr>
        <w:t>7</w:t>
      </w:r>
      <w:r w:rsidR="008836C2">
        <w:rPr>
          <w:rFonts w:cs="Times New Roman"/>
        </w:rPr>
        <w:t>(</w:t>
      </w:r>
      <w:r w:rsidR="008D34BF">
        <w:rPr>
          <w:rFonts w:cs="Times New Roman"/>
        </w:rPr>
        <w:t>b</w:t>
      </w:r>
      <w:r w:rsidR="008836C2">
        <w:rPr>
          <w:rFonts w:cs="Times New Roman"/>
        </w:rPr>
        <w:t>)</w:t>
      </w:r>
      <w:r>
        <w:rPr>
          <w:rFonts w:cs="Times New Roman"/>
        </w:rPr>
        <w:t xml:space="preserve"> of the Rules</w:t>
      </w:r>
      <w:r w:rsidR="008836C2">
        <w:rPr>
          <w:rFonts w:cs="Times New Roman"/>
        </w:rPr>
        <w:t xml:space="preserve"> provide</w:t>
      </w:r>
      <w:r>
        <w:rPr>
          <w:rFonts w:cs="Times New Roman"/>
        </w:rPr>
        <w:t>s</w:t>
      </w:r>
      <w:r w:rsidR="008836C2">
        <w:rPr>
          <w:rFonts w:cs="Times New Roman"/>
        </w:rPr>
        <w:t xml:space="preserve"> that where a person has a right to receive </w:t>
      </w:r>
      <w:r w:rsidR="00FF5ED1">
        <w:rPr>
          <w:rFonts w:cs="Times New Roman"/>
        </w:rPr>
        <w:t xml:space="preserve">covered product </w:t>
      </w:r>
      <w:r w:rsidR="001C5006">
        <w:rPr>
          <w:rFonts w:cs="Times New Roman"/>
        </w:rPr>
        <w:t xml:space="preserve">on </w:t>
      </w:r>
      <w:r w:rsidR="00826D35">
        <w:rPr>
          <w:rFonts w:cs="Times New Roman"/>
        </w:rPr>
        <w:t>water that</w:t>
      </w:r>
      <w:r w:rsidR="008836C2">
        <w:rPr>
          <w:rFonts w:cs="Times New Roman"/>
        </w:rPr>
        <w:t xml:space="preserve"> this</w:t>
      </w:r>
      <w:r w:rsidR="001B46CF">
        <w:rPr>
          <w:rFonts w:cs="Times New Roman"/>
        </w:rPr>
        <w:t xml:space="preserve"> right</w:t>
      </w:r>
      <w:r w:rsidR="008836C2">
        <w:rPr>
          <w:rFonts w:cs="Times New Roman"/>
        </w:rPr>
        <w:t xml:space="preserve"> </w:t>
      </w:r>
      <w:r w:rsidR="00D94905">
        <w:rPr>
          <w:rFonts w:cs="Times New Roman"/>
        </w:rPr>
        <w:t>falls within the meaning of holding a contractual right to take possession of a covered product</w:t>
      </w:r>
      <w:r w:rsidR="008836C2">
        <w:rPr>
          <w:rFonts w:cs="Times New Roman"/>
        </w:rPr>
        <w:t xml:space="preserve">. </w:t>
      </w:r>
    </w:p>
    <w:p w14:paraId="2245E9AD" w14:textId="2FE6E856" w:rsidR="006F2FD5" w:rsidRDefault="001E6FEF" w:rsidP="00833584">
      <w:pPr>
        <w:pStyle w:val="Numberedparagraph"/>
        <w:spacing w:after="200" w:line="276" w:lineRule="auto"/>
        <w:ind w:left="720" w:hanging="720"/>
        <w:rPr>
          <w:rFonts w:cs="Times New Roman"/>
        </w:rPr>
      </w:pPr>
      <w:r>
        <w:rPr>
          <w:rFonts w:cs="Times New Roman"/>
        </w:rPr>
        <w:t xml:space="preserve">The inclusion of </w:t>
      </w:r>
      <w:r w:rsidR="00714D31">
        <w:rPr>
          <w:rFonts w:cs="Times New Roman"/>
        </w:rPr>
        <w:t xml:space="preserve">a contractual right to take possession of </w:t>
      </w:r>
      <w:r w:rsidR="00FF5ED1">
        <w:rPr>
          <w:rFonts w:cs="Times New Roman"/>
        </w:rPr>
        <w:t xml:space="preserve">covered product </w:t>
      </w:r>
      <w:r w:rsidR="001C5006">
        <w:rPr>
          <w:rFonts w:cs="Times New Roman"/>
        </w:rPr>
        <w:t>on water</w:t>
      </w:r>
      <w:r>
        <w:rPr>
          <w:rFonts w:cs="Times New Roman"/>
        </w:rPr>
        <w:t xml:space="preserve"> is intended to </w:t>
      </w:r>
      <w:r w:rsidR="00E02E45">
        <w:rPr>
          <w:rFonts w:cs="Times New Roman"/>
        </w:rPr>
        <w:t>ensure that</w:t>
      </w:r>
      <w:r w:rsidR="00714D31">
        <w:rPr>
          <w:rFonts w:cs="Times New Roman"/>
        </w:rPr>
        <w:t xml:space="preserve"> </w:t>
      </w:r>
      <w:r w:rsidR="00EE5AFA">
        <w:rPr>
          <w:rFonts w:cs="Times New Roman"/>
        </w:rPr>
        <w:t xml:space="preserve">stock </w:t>
      </w:r>
      <w:r w:rsidR="001B46CF">
        <w:rPr>
          <w:rFonts w:cs="Times New Roman"/>
        </w:rPr>
        <w:t>in transit to Australia</w:t>
      </w:r>
      <w:r w:rsidR="00EE5AFA">
        <w:rPr>
          <w:rFonts w:cs="Times New Roman"/>
        </w:rPr>
        <w:t xml:space="preserve"> is reportable by an Australian business regardless of </w:t>
      </w:r>
      <w:r w:rsidR="006F2FD5">
        <w:rPr>
          <w:rFonts w:cs="Times New Roman"/>
        </w:rPr>
        <w:t>who legally owns the stock</w:t>
      </w:r>
      <w:r w:rsidR="00E02E45">
        <w:rPr>
          <w:rFonts w:cs="Times New Roman"/>
        </w:rPr>
        <w:t>.</w:t>
      </w:r>
      <w:r w:rsidR="00EE5AFA">
        <w:rPr>
          <w:rFonts w:cs="Times New Roman"/>
        </w:rPr>
        <w:t xml:space="preserve"> There are a variety of structures </w:t>
      </w:r>
      <w:r w:rsidR="006F2FD5">
        <w:rPr>
          <w:rFonts w:cs="Times New Roman"/>
        </w:rPr>
        <w:t xml:space="preserve">used </w:t>
      </w:r>
      <w:r w:rsidR="001B46CF">
        <w:rPr>
          <w:rFonts w:cs="Times New Roman"/>
        </w:rPr>
        <w:t xml:space="preserve">for the transit of </w:t>
      </w:r>
      <w:r w:rsidR="00FF5ED1">
        <w:rPr>
          <w:rFonts w:cs="Times New Roman"/>
        </w:rPr>
        <w:t xml:space="preserve">petroleum and other fuels </w:t>
      </w:r>
      <w:r w:rsidR="00EE5AFA">
        <w:rPr>
          <w:rFonts w:cs="Times New Roman"/>
        </w:rPr>
        <w:t xml:space="preserve">and </w:t>
      </w:r>
      <w:r w:rsidR="001B46CF">
        <w:rPr>
          <w:rFonts w:cs="Times New Roman"/>
        </w:rPr>
        <w:t>the intention of this provision (in conjunction with sections 15 and 17) is to avoid</w:t>
      </w:r>
      <w:r w:rsidR="00EE5AFA">
        <w:rPr>
          <w:rFonts w:cs="Times New Roman"/>
        </w:rPr>
        <w:t xml:space="preserve"> </w:t>
      </w:r>
      <w:r w:rsidR="001B46CF">
        <w:rPr>
          <w:rFonts w:cs="Times New Roman"/>
        </w:rPr>
        <w:t>imposing</w:t>
      </w:r>
      <w:r w:rsidR="00EE5AFA">
        <w:rPr>
          <w:rFonts w:cs="Times New Roman"/>
        </w:rPr>
        <w:t xml:space="preserve"> </w:t>
      </w:r>
      <w:r w:rsidR="00E02E45">
        <w:rPr>
          <w:rFonts w:cs="Times New Roman"/>
        </w:rPr>
        <w:t xml:space="preserve">a reporting obligation on </w:t>
      </w:r>
      <w:r w:rsidR="00714D31">
        <w:rPr>
          <w:rFonts w:cs="Times New Roman"/>
        </w:rPr>
        <w:t xml:space="preserve">foreign oil and </w:t>
      </w:r>
      <w:r w:rsidR="00E02E45">
        <w:rPr>
          <w:rFonts w:cs="Times New Roman"/>
        </w:rPr>
        <w:t xml:space="preserve">shipping companies </w:t>
      </w:r>
      <w:r w:rsidR="00EE5AFA">
        <w:rPr>
          <w:rFonts w:cs="Times New Roman"/>
        </w:rPr>
        <w:t>that may not have</w:t>
      </w:r>
      <w:r w:rsidR="00714D31">
        <w:rPr>
          <w:rFonts w:cs="Times New Roman"/>
        </w:rPr>
        <w:t xml:space="preserve"> </w:t>
      </w:r>
      <w:r w:rsidR="00E02E45">
        <w:rPr>
          <w:rFonts w:cs="Times New Roman"/>
        </w:rPr>
        <w:t>an Australia</w:t>
      </w:r>
      <w:r w:rsidR="0038291B">
        <w:rPr>
          <w:rFonts w:cs="Times New Roman"/>
        </w:rPr>
        <w:t>n</w:t>
      </w:r>
      <w:r w:rsidR="00E02E45">
        <w:rPr>
          <w:rFonts w:cs="Times New Roman"/>
        </w:rPr>
        <w:t xml:space="preserve"> presence. </w:t>
      </w:r>
    </w:p>
    <w:p w14:paraId="6F226803" w14:textId="486BF7AC" w:rsidR="00E02E45" w:rsidRDefault="00E02E45" w:rsidP="00833584">
      <w:pPr>
        <w:pStyle w:val="Numberedparagraph"/>
        <w:spacing w:after="200" w:line="276" w:lineRule="auto"/>
        <w:ind w:left="720" w:hanging="720"/>
        <w:rPr>
          <w:rFonts w:cs="Times New Roman"/>
        </w:rPr>
      </w:pPr>
      <w:r>
        <w:rPr>
          <w:rFonts w:cs="Times New Roman"/>
        </w:rPr>
        <w:t xml:space="preserve">The IEA requires certain categories of </w:t>
      </w:r>
      <w:r w:rsidR="00FF5ED1">
        <w:rPr>
          <w:rFonts w:cs="Times New Roman"/>
        </w:rPr>
        <w:t xml:space="preserve">covered product </w:t>
      </w:r>
      <w:r>
        <w:rPr>
          <w:rFonts w:cs="Times New Roman"/>
        </w:rPr>
        <w:t>on water to be reported</w:t>
      </w:r>
      <w:r w:rsidR="00714D31">
        <w:rPr>
          <w:rFonts w:cs="Times New Roman"/>
        </w:rPr>
        <w:t xml:space="preserve"> under the IEP Treaty</w:t>
      </w:r>
      <w:r w:rsidR="001B46CF">
        <w:rPr>
          <w:rFonts w:cs="Times New Roman"/>
        </w:rPr>
        <w:t>.</w:t>
      </w:r>
      <w:r>
        <w:rPr>
          <w:rFonts w:cs="Times New Roman"/>
        </w:rPr>
        <w:t xml:space="preserve"> </w:t>
      </w:r>
      <w:r w:rsidR="001B46CF">
        <w:rPr>
          <w:rFonts w:cs="Times New Roman"/>
        </w:rPr>
        <w:t>C</w:t>
      </w:r>
      <w:r>
        <w:rPr>
          <w:rFonts w:cs="Times New Roman"/>
        </w:rPr>
        <w:t xml:space="preserve">apturing </w:t>
      </w:r>
      <w:r w:rsidR="001B46CF">
        <w:rPr>
          <w:rFonts w:cs="Times New Roman"/>
        </w:rPr>
        <w:t xml:space="preserve">the </w:t>
      </w:r>
      <w:r>
        <w:rPr>
          <w:rFonts w:cs="Times New Roman"/>
        </w:rPr>
        <w:t xml:space="preserve">other categories will </w:t>
      </w:r>
      <w:r w:rsidR="001B46CF">
        <w:rPr>
          <w:rFonts w:cs="Times New Roman"/>
        </w:rPr>
        <w:t xml:space="preserve">also </w:t>
      </w:r>
      <w:r>
        <w:rPr>
          <w:rFonts w:cs="Times New Roman"/>
        </w:rPr>
        <w:t xml:space="preserve">provide </w:t>
      </w:r>
      <w:r w:rsidR="001B46CF">
        <w:rPr>
          <w:rFonts w:cs="Times New Roman"/>
        </w:rPr>
        <w:t xml:space="preserve">fuel </w:t>
      </w:r>
      <w:r>
        <w:rPr>
          <w:rFonts w:cs="Times New Roman"/>
        </w:rPr>
        <w:t xml:space="preserve">information </w:t>
      </w:r>
      <w:r w:rsidR="00714D31">
        <w:rPr>
          <w:rFonts w:cs="Times New Roman"/>
        </w:rPr>
        <w:t xml:space="preserve">which is useful to </w:t>
      </w:r>
      <w:r w:rsidR="001B46CF">
        <w:rPr>
          <w:rFonts w:cs="Times New Roman"/>
        </w:rPr>
        <w:t>the Department for monitoring energy security</w:t>
      </w:r>
      <w:r>
        <w:rPr>
          <w:rFonts w:cs="Times New Roman"/>
        </w:rPr>
        <w:t>.</w:t>
      </w:r>
    </w:p>
    <w:p w14:paraId="15FD36F3" w14:textId="370413E0" w:rsidR="00582EB2" w:rsidRDefault="00EE6B79" w:rsidP="00833584">
      <w:pPr>
        <w:pStyle w:val="Numberedparagraph"/>
        <w:spacing w:after="200" w:line="276" w:lineRule="auto"/>
        <w:ind w:left="720" w:hanging="720"/>
        <w:rPr>
          <w:rFonts w:cs="Times New Roman"/>
        </w:rPr>
      </w:pPr>
      <w:r>
        <w:rPr>
          <w:rFonts w:cs="Times New Roman"/>
        </w:rPr>
        <w:t xml:space="preserve">Section </w:t>
      </w:r>
      <w:r w:rsidR="008836C2">
        <w:rPr>
          <w:rFonts w:cs="Times New Roman"/>
        </w:rPr>
        <w:t>4 provide</w:t>
      </w:r>
      <w:r w:rsidR="00BC28AA">
        <w:rPr>
          <w:rFonts w:cs="Times New Roman"/>
        </w:rPr>
        <w:t>s</w:t>
      </w:r>
      <w:r w:rsidR="008836C2">
        <w:rPr>
          <w:rFonts w:cs="Times New Roman"/>
        </w:rPr>
        <w:t xml:space="preserve"> that </w:t>
      </w:r>
      <w:r w:rsidR="00BC28AA">
        <w:rPr>
          <w:rFonts w:cs="Times New Roman"/>
        </w:rPr>
        <w:t xml:space="preserve">a </w:t>
      </w:r>
      <w:r w:rsidR="00FF5ED1">
        <w:rPr>
          <w:rFonts w:cs="Times New Roman"/>
        </w:rPr>
        <w:t xml:space="preserve">covered product </w:t>
      </w:r>
      <w:r w:rsidR="008836C2">
        <w:rPr>
          <w:rFonts w:cs="Times New Roman"/>
        </w:rPr>
        <w:t xml:space="preserve">is </w:t>
      </w:r>
      <w:r w:rsidR="001C5006">
        <w:rPr>
          <w:rFonts w:cs="Times New Roman"/>
        </w:rPr>
        <w:t>on water if</w:t>
      </w:r>
      <w:r w:rsidR="00582EB2">
        <w:rPr>
          <w:rFonts w:cs="Times New Roman"/>
        </w:rPr>
        <w:t>:</w:t>
      </w:r>
    </w:p>
    <w:p w14:paraId="2E31C57F" w14:textId="327B3777" w:rsidR="00582EB2" w:rsidRDefault="009F3CB1" w:rsidP="00833584">
      <w:pPr>
        <w:pStyle w:val="Numberedparagraph"/>
        <w:numPr>
          <w:ilvl w:val="1"/>
          <w:numId w:val="7"/>
        </w:numPr>
        <w:spacing w:after="200" w:line="276" w:lineRule="auto"/>
      </w:pPr>
      <w:r>
        <w:t>t</w:t>
      </w:r>
      <w:r w:rsidR="00582EB2">
        <w:t xml:space="preserve">he </w:t>
      </w:r>
      <w:r w:rsidR="00FF5ED1">
        <w:t xml:space="preserve">covered product </w:t>
      </w:r>
      <w:r w:rsidR="00582EB2">
        <w:t xml:space="preserve">is held </w:t>
      </w:r>
      <w:r w:rsidR="001C5006">
        <w:t>in storage in a seagoing</w:t>
      </w:r>
      <w:r w:rsidR="00582EB2">
        <w:t xml:space="preserve"> tanker ship (excluding the ship’s bunker</w:t>
      </w:r>
      <w:r w:rsidR="008B7279">
        <w:t xml:space="preserve"> and </w:t>
      </w:r>
      <w:r w:rsidR="00BC28AA">
        <w:t xml:space="preserve">any stock </w:t>
      </w:r>
      <w:r w:rsidR="00C72116">
        <w:t>that falls outside</w:t>
      </w:r>
      <w:r w:rsidR="00BC28AA">
        <w:t xml:space="preserve"> the definition of holding stock in </w:t>
      </w:r>
      <w:r w:rsidR="00C72116">
        <w:t xml:space="preserve">section 5 of </w:t>
      </w:r>
      <w:r w:rsidR="00BC28AA">
        <w:t>the Act</w:t>
      </w:r>
      <w:r w:rsidR="00582EB2">
        <w:t>);</w:t>
      </w:r>
      <w:r w:rsidR="00432134">
        <w:t xml:space="preserve"> and</w:t>
      </w:r>
    </w:p>
    <w:p w14:paraId="46725BF9" w14:textId="3C0BA7D2" w:rsidR="00582EB2" w:rsidRPr="000A35A6" w:rsidRDefault="009F3CB1" w:rsidP="001C5006">
      <w:pPr>
        <w:pStyle w:val="Numberedparagraph"/>
        <w:numPr>
          <w:ilvl w:val="1"/>
          <w:numId w:val="7"/>
        </w:numPr>
        <w:spacing w:after="200" w:line="276" w:lineRule="auto"/>
      </w:pPr>
      <w:r>
        <w:t>i</w:t>
      </w:r>
      <w:r w:rsidR="00582EB2">
        <w:t xml:space="preserve">t is intended that the </w:t>
      </w:r>
      <w:r w:rsidR="00FF5ED1">
        <w:t xml:space="preserve">covered product </w:t>
      </w:r>
      <w:r w:rsidR="00582EB2">
        <w:t xml:space="preserve">will be unloaded </w:t>
      </w:r>
      <w:r w:rsidR="001C5006">
        <w:t xml:space="preserve">at an Australian port. </w:t>
      </w:r>
    </w:p>
    <w:p w14:paraId="2C3F3A32" w14:textId="77777777" w:rsidR="00BC28AA" w:rsidRPr="00D75C06" w:rsidRDefault="00EE6B79" w:rsidP="00C72116">
      <w:pPr>
        <w:pStyle w:val="Numberedparagraph"/>
        <w:spacing w:after="200" w:line="276" w:lineRule="auto"/>
        <w:ind w:left="720" w:hanging="720"/>
        <w:rPr>
          <w:rFonts w:cs="Times New Roman"/>
        </w:rPr>
      </w:pPr>
      <w:r>
        <w:rPr>
          <w:rFonts w:cs="Times New Roman"/>
        </w:rPr>
        <w:t xml:space="preserve">Section </w:t>
      </w:r>
      <w:r w:rsidR="001E6FEF">
        <w:rPr>
          <w:rFonts w:cs="Times New Roman"/>
        </w:rPr>
        <w:t>4 defines fuel stored in a ship’s bunker as fuel stored for powering the ship.</w:t>
      </w:r>
      <w:r w:rsidR="000A35A6">
        <w:rPr>
          <w:rFonts w:cs="Times New Roman"/>
        </w:rPr>
        <w:t xml:space="preserve"> </w:t>
      </w:r>
      <w:r w:rsidR="00BC28AA">
        <w:t>Section 5 of the Act exclude</w:t>
      </w:r>
      <w:r w:rsidR="00C72116">
        <w:t>s</w:t>
      </w:r>
      <w:r w:rsidR="00BC28AA">
        <w:t xml:space="preserve"> storing a covered product in a personal vehicle </w:t>
      </w:r>
      <w:r w:rsidR="00C72116">
        <w:t>and</w:t>
      </w:r>
      <w:r w:rsidR="00BC28AA">
        <w:t xml:space="preserve"> keeping a covered product wholly or principally for private or </w:t>
      </w:r>
      <w:r w:rsidR="00C41FDF">
        <w:t xml:space="preserve">household (non-commercial) </w:t>
      </w:r>
      <w:r w:rsidR="00BC28AA">
        <w:t>domestic use</w:t>
      </w:r>
      <w:r w:rsidR="00C72116">
        <w:t xml:space="preserve"> from the definition of holding stock (see Explanatory Memorandum to the Act for further discussion). </w:t>
      </w:r>
      <w:r w:rsidR="00BC28AA">
        <w:t xml:space="preserve"> </w:t>
      </w:r>
      <w:r w:rsidR="00C72116">
        <w:t>Accordingly, fuel stored to power a</w:t>
      </w:r>
      <w:r w:rsidR="00EE62C2">
        <w:t>n</w:t>
      </w:r>
      <w:r w:rsidR="00C72116">
        <w:t xml:space="preserve"> oil tanker </w:t>
      </w:r>
      <w:r w:rsidR="00FE00D0">
        <w:t xml:space="preserve">ship </w:t>
      </w:r>
      <w:r w:rsidR="00C72116">
        <w:t>or for a non</w:t>
      </w:r>
      <w:r w:rsidR="00C72116">
        <w:noBreakHyphen/>
        <w:t xml:space="preserve">commercial use does not fall within the definition of </w:t>
      </w:r>
      <w:r w:rsidR="00886409">
        <w:t xml:space="preserve">covered product </w:t>
      </w:r>
      <w:r w:rsidR="00C41FDF">
        <w:t xml:space="preserve">stock held </w:t>
      </w:r>
      <w:r w:rsidR="00C72116">
        <w:t>on water.</w:t>
      </w:r>
    </w:p>
    <w:p w14:paraId="10A868BC" w14:textId="77777777" w:rsidR="00FE00D0" w:rsidRPr="00C72116" w:rsidRDefault="00FE00D0" w:rsidP="00C72116">
      <w:pPr>
        <w:pStyle w:val="Numberedparagraph"/>
        <w:spacing w:after="200" w:line="276" w:lineRule="auto"/>
        <w:ind w:left="720" w:hanging="720"/>
        <w:rPr>
          <w:rFonts w:cs="Times New Roman"/>
        </w:rPr>
      </w:pPr>
      <w:r>
        <w:t>The phrase ‘tanker ship’ is used in the Rules in the definition of “on water”, but is not itself defined in the Rules. The phrase tanker ship is used as a general term for any ship transporting covered products to Australia.</w:t>
      </w:r>
    </w:p>
    <w:p w14:paraId="27C69C3C" w14:textId="26320A18" w:rsidR="001B46CF" w:rsidRPr="001B46CF" w:rsidRDefault="007872AF" w:rsidP="001B46CF">
      <w:pPr>
        <w:pStyle w:val="Numberedparagraph"/>
        <w:spacing w:after="200" w:line="276" w:lineRule="auto"/>
        <w:ind w:left="720" w:hanging="720"/>
        <w:rPr>
          <w:rFonts w:cs="Times New Roman"/>
        </w:rPr>
      </w:pPr>
      <w:r w:rsidRPr="006F2FD5">
        <w:rPr>
          <w:rFonts w:cs="Times New Roman"/>
        </w:rPr>
        <w:t xml:space="preserve">Reporting requirements for the holding of </w:t>
      </w:r>
      <w:r w:rsidR="008B7279">
        <w:rPr>
          <w:rFonts w:cs="Times New Roman"/>
        </w:rPr>
        <w:t>covered product</w:t>
      </w:r>
      <w:r w:rsidR="00FF5ED1">
        <w:rPr>
          <w:rFonts w:cs="Times New Roman"/>
        </w:rPr>
        <w:t>s</w:t>
      </w:r>
      <w:r w:rsidR="008B7279">
        <w:rPr>
          <w:rFonts w:cs="Times New Roman"/>
        </w:rPr>
        <w:t xml:space="preserve"> on water</w:t>
      </w:r>
      <w:r w:rsidRPr="006F2FD5">
        <w:rPr>
          <w:rFonts w:cs="Times New Roman"/>
        </w:rPr>
        <w:t xml:space="preserve"> as defined by paragraph 7(b) are prescribed in table items </w:t>
      </w:r>
      <w:r w:rsidR="004913D6" w:rsidRPr="006F2FD5">
        <w:rPr>
          <w:rFonts w:cs="Times New Roman"/>
        </w:rPr>
        <w:t>3</w:t>
      </w:r>
      <w:r w:rsidRPr="006F2FD5">
        <w:rPr>
          <w:rFonts w:cs="Times New Roman"/>
        </w:rPr>
        <w:t xml:space="preserve"> and </w:t>
      </w:r>
      <w:r w:rsidR="004913D6" w:rsidRPr="006F2FD5">
        <w:rPr>
          <w:rFonts w:cs="Times New Roman"/>
        </w:rPr>
        <w:t>4</w:t>
      </w:r>
      <w:r w:rsidRPr="006F2FD5">
        <w:rPr>
          <w:rFonts w:cs="Times New Roman"/>
        </w:rPr>
        <w:t xml:space="preserve"> </w:t>
      </w:r>
      <w:r w:rsidR="00A44DAC" w:rsidRPr="006F2FD5">
        <w:rPr>
          <w:rFonts w:cs="Times New Roman"/>
        </w:rPr>
        <w:t>of</w:t>
      </w:r>
      <w:r w:rsidRPr="006F2FD5">
        <w:rPr>
          <w:rFonts w:cs="Times New Roman"/>
        </w:rPr>
        <w:t xml:space="preserve"> subsection 1</w:t>
      </w:r>
      <w:r w:rsidR="00B914C2" w:rsidRPr="006F2FD5">
        <w:rPr>
          <w:rFonts w:cs="Times New Roman"/>
        </w:rPr>
        <w:t>7</w:t>
      </w:r>
      <w:r w:rsidRPr="006F2FD5">
        <w:rPr>
          <w:rFonts w:cs="Times New Roman"/>
        </w:rPr>
        <w:t>(1) of the Rules.</w:t>
      </w:r>
      <w:r w:rsidR="006F2FD5">
        <w:rPr>
          <w:rFonts w:cs="Times New Roman"/>
        </w:rPr>
        <w:t xml:space="preserve"> </w:t>
      </w:r>
      <w:r w:rsidR="001B46CF">
        <w:rPr>
          <w:rFonts w:cs="Times New Roman"/>
        </w:rPr>
        <w:t>Section 15 provides that where one regulated entity has a reporting obligation due to holding stock in storage and another regulated entity has a reporting obligation due to holding the contractual right, it is the entity with the contractual right that must report</w:t>
      </w:r>
      <w:r w:rsidR="00C41FDF">
        <w:rPr>
          <w:rFonts w:cs="Times New Roman"/>
        </w:rPr>
        <w:t xml:space="preserve"> stock of that covered product</w:t>
      </w:r>
      <w:r w:rsidR="001B46CF">
        <w:rPr>
          <w:rFonts w:cs="Times New Roman"/>
        </w:rPr>
        <w:t xml:space="preserve">. </w:t>
      </w:r>
    </w:p>
    <w:p w14:paraId="09647C85" w14:textId="77777777" w:rsidR="00FA55F8" w:rsidRDefault="00FA55F8" w:rsidP="00833584">
      <w:pPr>
        <w:pStyle w:val="ListNumber"/>
        <w:keepNext/>
        <w:numPr>
          <w:ilvl w:val="0"/>
          <w:numId w:val="0"/>
        </w:numPr>
        <w:spacing w:after="200" w:line="276" w:lineRule="auto"/>
        <w:ind w:left="720" w:hanging="720"/>
        <w:rPr>
          <w:b/>
        </w:rPr>
      </w:pPr>
      <w:r>
        <w:rPr>
          <w:b/>
        </w:rPr>
        <w:t>Division 3 – Other provisions relating to the scope of this instrument</w:t>
      </w:r>
    </w:p>
    <w:p w14:paraId="6F09C22C" w14:textId="77777777" w:rsidR="00D94905" w:rsidRPr="00D94905" w:rsidRDefault="00D94905" w:rsidP="00D94905">
      <w:pPr>
        <w:pStyle w:val="Numberedparagraph"/>
        <w:spacing w:after="200" w:line="276" w:lineRule="auto"/>
        <w:ind w:left="720" w:hanging="720"/>
        <w:rPr>
          <w:rFonts w:cs="Times New Roman"/>
        </w:rPr>
      </w:pPr>
      <w:r>
        <w:rPr>
          <w:rFonts w:cs="Times New Roman"/>
        </w:rPr>
        <w:t xml:space="preserve">This Division </w:t>
      </w:r>
      <w:r w:rsidR="000D3C53">
        <w:rPr>
          <w:rFonts w:cs="Times New Roman"/>
        </w:rPr>
        <w:t xml:space="preserve">sets out two exemptions </w:t>
      </w:r>
      <w:r w:rsidR="0049444E">
        <w:rPr>
          <w:rFonts w:cs="Times New Roman"/>
        </w:rPr>
        <w:t xml:space="preserve">from </w:t>
      </w:r>
      <w:r w:rsidR="000D3C53">
        <w:rPr>
          <w:rFonts w:cs="Times New Roman"/>
        </w:rPr>
        <w:t xml:space="preserve">the reporting obligations prescribed in </w:t>
      </w:r>
      <w:r w:rsidR="007872AF">
        <w:rPr>
          <w:rFonts w:cs="Times New Roman"/>
        </w:rPr>
        <w:t xml:space="preserve">sections </w:t>
      </w:r>
      <w:r w:rsidR="000D3C53">
        <w:rPr>
          <w:rFonts w:cs="Times New Roman"/>
        </w:rPr>
        <w:t>1</w:t>
      </w:r>
      <w:r w:rsidR="00B914C2">
        <w:rPr>
          <w:rFonts w:cs="Times New Roman"/>
        </w:rPr>
        <w:t>6</w:t>
      </w:r>
      <w:r w:rsidR="000D3C53">
        <w:rPr>
          <w:rFonts w:cs="Times New Roman"/>
        </w:rPr>
        <w:t xml:space="preserve"> and 1</w:t>
      </w:r>
      <w:r w:rsidR="00B914C2">
        <w:rPr>
          <w:rFonts w:cs="Times New Roman"/>
        </w:rPr>
        <w:t>7</w:t>
      </w:r>
      <w:r w:rsidR="000D3C53">
        <w:rPr>
          <w:rFonts w:cs="Times New Roman"/>
        </w:rPr>
        <w:t>.</w:t>
      </w:r>
    </w:p>
    <w:p w14:paraId="646AF33D" w14:textId="77777777" w:rsidR="00FA55F8" w:rsidRDefault="006350B7" w:rsidP="00833584">
      <w:pPr>
        <w:pStyle w:val="ListNumber"/>
        <w:keepNext/>
        <w:numPr>
          <w:ilvl w:val="0"/>
          <w:numId w:val="0"/>
        </w:numPr>
        <w:spacing w:after="200" w:line="276" w:lineRule="auto"/>
        <w:ind w:left="720" w:hanging="720"/>
        <w:rPr>
          <w:b/>
        </w:rPr>
      </w:pPr>
      <w:r>
        <w:rPr>
          <w:b/>
        </w:rPr>
        <w:lastRenderedPageBreak/>
        <w:t>8</w:t>
      </w:r>
      <w:r w:rsidR="00FA55F8">
        <w:rPr>
          <w:b/>
        </w:rPr>
        <w:t xml:space="preserve"> – Wholesaling to which this instrument does not apply</w:t>
      </w:r>
    </w:p>
    <w:p w14:paraId="760262AB" w14:textId="412A37DE" w:rsidR="00FA55F8" w:rsidRDefault="007872AF" w:rsidP="00833584">
      <w:pPr>
        <w:pStyle w:val="Numberedparagraph"/>
        <w:spacing w:after="200" w:line="276" w:lineRule="auto"/>
        <w:ind w:left="720" w:hanging="720"/>
        <w:rPr>
          <w:rFonts w:cs="Times New Roman"/>
        </w:rPr>
      </w:pPr>
      <w:r>
        <w:rPr>
          <w:rFonts w:cs="Times New Roman"/>
        </w:rPr>
        <w:t xml:space="preserve">Section </w:t>
      </w:r>
      <w:r w:rsidR="006350B7">
        <w:rPr>
          <w:rFonts w:cs="Times New Roman"/>
        </w:rPr>
        <w:t>8</w:t>
      </w:r>
      <w:r>
        <w:rPr>
          <w:rFonts w:cs="Times New Roman"/>
        </w:rPr>
        <w:t xml:space="preserve"> of the Rules </w:t>
      </w:r>
      <w:r w:rsidR="00FA55F8">
        <w:rPr>
          <w:rFonts w:cs="Times New Roman"/>
        </w:rPr>
        <w:t>exempt</w:t>
      </w:r>
      <w:r>
        <w:rPr>
          <w:rFonts w:cs="Times New Roman"/>
        </w:rPr>
        <w:t>s</w:t>
      </w:r>
      <w:r w:rsidR="00FA55F8">
        <w:rPr>
          <w:rFonts w:cs="Times New Roman"/>
        </w:rPr>
        <w:t xml:space="preserve"> from the wholesale reporting obliga</w:t>
      </w:r>
      <w:r w:rsidR="001B46CF">
        <w:rPr>
          <w:rFonts w:cs="Times New Roman"/>
        </w:rPr>
        <w:t xml:space="preserve">tion prescribed at table items </w:t>
      </w:r>
      <w:r w:rsidR="00FA55F8">
        <w:rPr>
          <w:rFonts w:cs="Times New Roman"/>
        </w:rPr>
        <w:t>9</w:t>
      </w:r>
      <w:r w:rsidR="001B46CF">
        <w:rPr>
          <w:rFonts w:cs="Times New Roman"/>
        </w:rPr>
        <w:noBreakHyphen/>
      </w:r>
      <w:r w:rsidR="006A1BA0">
        <w:rPr>
          <w:rFonts w:cs="Times New Roman"/>
        </w:rPr>
        <w:t xml:space="preserve">12 </w:t>
      </w:r>
      <w:r w:rsidR="0049444E">
        <w:rPr>
          <w:rFonts w:cs="Times New Roman"/>
        </w:rPr>
        <w:t xml:space="preserve">of </w:t>
      </w:r>
      <w:r>
        <w:rPr>
          <w:rFonts w:cs="Times New Roman"/>
        </w:rPr>
        <w:t xml:space="preserve">subsection </w:t>
      </w:r>
      <w:r w:rsidR="00FA55F8">
        <w:rPr>
          <w:rFonts w:cs="Times New Roman"/>
        </w:rPr>
        <w:t>1</w:t>
      </w:r>
      <w:r w:rsidR="00B914C2">
        <w:rPr>
          <w:rFonts w:cs="Times New Roman"/>
        </w:rPr>
        <w:t>6</w:t>
      </w:r>
      <w:r w:rsidR="00FA55F8">
        <w:rPr>
          <w:rFonts w:cs="Times New Roman"/>
        </w:rPr>
        <w:t>(1)</w:t>
      </w:r>
      <w:r w:rsidR="007E434B">
        <w:rPr>
          <w:rFonts w:cs="Times New Roman"/>
        </w:rPr>
        <w:t>,</w:t>
      </w:r>
      <w:r w:rsidR="00FA55F8">
        <w:rPr>
          <w:rFonts w:cs="Times New Roman"/>
        </w:rPr>
        <w:t xml:space="preserve"> any covered product which is not subject to excise or customs duty, and is taken directly from an import terminal to a domestic production facility.</w:t>
      </w:r>
      <w:r w:rsidR="00FA55F8" w:rsidRPr="00B5496B">
        <w:rPr>
          <w:rFonts w:cs="Times New Roman"/>
        </w:rPr>
        <w:t xml:space="preserve"> </w:t>
      </w:r>
      <w:r w:rsidR="00FA55F8">
        <w:rPr>
          <w:rFonts w:cs="Times New Roman"/>
        </w:rPr>
        <w:t>For example, crude oil which is unloaded at an import terminal before being transported to an Australian refinery w</w:t>
      </w:r>
      <w:r w:rsidR="006C699B">
        <w:rPr>
          <w:rFonts w:cs="Times New Roman"/>
        </w:rPr>
        <w:t>ill</w:t>
      </w:r>
      <w:r w:rsidR="000D3C53">
        <w:rPr>
          <w:rFonts w:cs="Times New Roman"/>
        </w:rPr>
        <w:t>,</w:t>
      </w:r>
      <w:r w:rsidR="00FA55F8">
        <w:rPr>
          <w:rFonts w:cs="Times New Roman"/>
        </w:rPr>
        <w:t xml:space="preserve"> </w:t>
      </w:r>
      <w:r w:rsidR="000D3C53">
        <w:rPr>
          <w:rFonts w:cs="Times New Roman"/>
        </w:rPr>
        <w:t xml:space="preserve">by virtue of this </w:t>
      </w:r>
      <w:r w:rsidR="006C699B">
        <w:rPr>
          <w:rFonts w:cs="Times New Roman"/>
        </w:rPr>
        <w:t>section</w:t>
      </w:r>
      <w:r w:rsidR="000D3C53">
        <w:rPr>
          <w:rFonts w:cs="Times New Roman"/>
        </w:rPr>
        <w:t xml:space="preserve">, </w:t>
      </w:r>
      <w:r w:rsidR="00FA55F8">
        <w:rPr>
          <w:rFonts w:cs="Times New Roman"/>
        </w:rPr>
        <w:t xml:space="preserve">not be </w:t>
      </w:r>
      <w:r w:rsidR="006C699B">
        <w:rPr>
          <w:rFonts w:cs="Times New Roman"/>
        </w:rPr>
        <w:t>subject to</w:t>
      </w:r>
      <w:r w:rsidR="00FA55F8">
        <w:rPr>
          <w:rFonts w:cs="Times New Roman"/>
        </w:rPr>
        <w:t xml:space="preserve"> the reporting obligation at table item </w:t>
      </w:r>
      <w:r w:rsidR="005E02B8">
        <w:rPr>
          <w:rFonts w:cs="Times New Roman"/>
        </w:rPr>
        <w:t>11</w:t>
      </w:r>
      <w:r w:rsidR="00FA55F8">
        <w:rPr>
          <w:rFonts w:cs="Times New Roman"/>
        </w:rPr>
        <w:t xml:space="preserve"> </w:t>
      </w:r>
      <w:r w:rsidR="0049444E">
        <w:rPr>
          <w:rFonts w:cs="Times New Roman"/>
        </w:rPr>
        <w:t>of</w:t>
      </w:r>
      <w:r w:rsidR="00FA55F8">
        <w:rPr>
          <w:rFonts w:cs="Times New Roman"/>
        </w:rPr>
        <w:t xml:space="preserve"> </w:t>
      </w:r>
      <w:r>
        <w:rPr>
          <w:rFonts w:cs="Times New Roman"/>
        </w:rPr>
        <w:t xml:space="preserve">subsection </w:t>
      </w:r>
      <w:r w:rsidR="00FA55F8">
        <w:rPr>
          <w:rFonts w:cs="Times New Roman"/>
        </w:rPr>
        <w:t>1</w:t>
      </w:r>
      <w:r w:rsidR="00B914C2">
        <w:rPr>
          <w:rFonts w:cs="Times New Roman"/>
        </w:rPr>
        <w:t>6</w:t>
      </w:r>
      <w:r w:rsidR="00FA55F8">
        <w:rPr>
          <w:rFonts w:cs="Times New Roman"/>
        </w:rPr>
        <w:t xml:space="preserve">(1). The crude oil would be </w:t>
      </w:r>
      <w:r w:rsidR="0000032A">
        <w:rPr>
          <w:rFonts w:cs="Times New Roman"/>
        </w:rPr>
        <w:t>reportable</w:t>
      </w:r>
      <w:r w:rsidR="00FA55F8">
        <w:rPr>
          <w:rFonts w:cs="Times New Roman"/>
        </w:rPr>
        <w:t xml:space="preserve"> when delivered, stored and input in</w:t>
      </w:r>
      <w:r w:rsidR="001B46CF">
        <w:rPr>
          <w:rFonts w:cs="Times New Roman"/>
        </w:rPr>
        <w:t>to</w:t>
      </w:r>
      <w:r w:rsidR="00FA55F8">
        <w:rPr>
          <w:rFonts w:cs="Times New Roman"/>
        </w:rPr>
        <w:t xml:space="preserve"> </w:t>
      </w:r>
      <w:r w:rsidR="000D3C53">
        <w:rPr>
          <w:rFonts w:cs="Times New Roman"/>
        </w:rPr>
        <w:t>a</w:t>
      </w:r>
      <w:r w:rsidR="00FA55F8">
        <w:rPr>
          <w:rFonts w:cs="Times New Roman"/>
        </w:rPr>
        <w:t xml:space="preserve"> refining process </w:t>
      </w:r>
      <w:r w:rsidR="001B46CF">
        <w:rPr>
          <w:rFonts w:cs="Times New Roman"/>
        </w:rPr>
        <w:t>at</w:t>
      </w:r>
      <w:r w:rsidR="00FA55F8">
        <w:rPr>
          <w:rFonts w:cs="Times New Roman"/>
        </w:rPr>
        <w:t xml:space="preserve"> an Australian refinery</w:t>
      </w:r>
      <w:r w:rsidR="0000032A">
        <w:rPr>
          <w:rFonts w:cs="Times New Roman"/>
        </w:rPr>
        <w:t xml:space="preserve"> under table items </w:t>
      </w:r>
      <w:r w:rsidR="004913D6">
        <w:rPr>
          <w:rFonts w:cs="Times New Roman"/>
        </w:rPr>
        <w:t>7</w:t>
      </w:r>
      <w:r w:rsidR="0000032A">
        <w:rPr>
          <w:rFonts w:cs="Times New Roman"/>
        </w:rPr>
        <w:t xml:space="preserve"> and </w:t>
      </w:r>
      <w:r w:rsidR="004913D6">
        <w:rPr>
          <w:rFonts w:cs="Times New Roman"/>
        </w:rPr>
        <w:t>8</w:t>
      </w:r>
      <w:r w:rsidR="0000032A">
        <w:rPr>
          <w:rFonts w:cs="Times New Roman"/>
        </w:rPr>
        <w:t xml:space="preserve"> </w:t>
      </w:r>
      <w:r w:rsidR="0049444E">
        <w:rPr>
          <w:rFonts w:cs="Times New Roman"/>
        </w:rPr>
        <w:t>of</w:t>
      </w:r>
      <w:r w:rsidR="000D3C53">
        <w:rPr>
          <w:rFonts w:cs="Times New Roman"/>
        </w:rPr>
        <w:t xml:space="preserve"> </w:t>
      </w:r>
      <w:r>
        <w:rPr>
          <w:rFonts w:cs="Times New Roman"/>
        </w:rPr>
        <w:t>subsection </w:t>
      </w:r>
      <w:r w:rsidR="0000032A">
        <w:rPr>
          <w:rFonts w:cs="Times New Roman"/>
        </w:rPr>
        <w:t>1</w:t>
      </w:r>
      <w:r w:rsidR="00B914C2">
        <w:rPr>
          <w:rFonts w:cs="Times New Roman"/>
        </w:rPr>
        <w:t>6</w:t>
      </w:r>
      <w:r w:rsidR="0000032A">
        <w:rPr>
          <w:rFonts w:cs="Times New Roman"/>
        </w:rPr>
        <w:t>(1)</w:t>
      </w:r>
      <w:r w:rsidR="00FA55F8">
        <w:rPr>
          <w:rFonts w:cs="Times New Roman"/>
        </w:rPr>
        <w:t>.</w:t>
      </w:r>
    </w:p>
    <w:p w14:paraId="54902F75" w14:textId="043C861B" w:rsidR="00FA55F8" w:rsidRDefault="00FA55F8" w:rsidP="00833584">
      <w:pPr>
        <w:pStyle w:val="Numberedparagraph"/>
        <w:spacing w:after="200" w:line="276" w:lineRule="auto"/>
        <w:ind w:left="720" w:hanging="720"/>
        <w:rPr>
          <w:rFonts w:cs="Times New Roman"/>
        </w:rPr>
      </w:pPr>
      <w:r>
        <w:rPr>
          <w:rFonts w:cs="Times New Roman"/>
        </w:rPr>
        <w:t xml:space="preserve">The intention of this </w:t>
      </w:r>
      <w:r w:rsidR="006E0C86">
        <w:rPr>
          <w:rFonts w:cs="Times New Roman"/>
        </w:rPr>
        <w:t>section</w:t>
      </w:r>
      <w:r>
        <w:rPr>
          <w:rFonts w:cs="Times New Roman"/>
        </w:rPr>
        <w:t xml:space="preserve"> is to prevent the unnecessary double reporting of covered products in wholesale reports </w:t>
      </w:r>
      <w:r w:rsidR="0000032A">
        <w:rPr>
          <w:rFonts w:cs="Times New Roman"/>
        </w:rPr>
        <w:t>when they are</w:t>
      </w:r>
      <w:r w:rsidR="007872AF">
        <w:rPr>
          <w:rFonts w:cs="Times New Roman"/>
        </w:rPr>
        <w:t xml:space="preserve"> also</w:t>
      </w:r>
      <w:r w:rsidR="0000032A">
        <w:rPr>
          <w:rFonts w:cs="Times New Roman"/>
        </w:rPr>
        <w:t xml:space="preserve"> </w:t>
      </w:r>
      <w:r w:rsidR="007872AF">
        <w:rPr>
          <w:rFonts w:cs="Times New Roman"/>
        </w:rPr>
        <w:t xml:space="preserve">required to be </w:t>
      </w:r>
      <w:r w:rsidR="0000032A">
        <w:rPr>
          <w:rFonts w:cs="Times New Roman"/>
        </w:rPr>
        <w:t>reporte</w:t>
      </w:r>
      <w:r w:rsidR="007872AF">
        <w:rPr>
          <w:rFonts w:cs="Times New Roman"/>
        </w:rPr>
        <w:t>d</w:t>
      </w:r>
      <w:r w:rsidR="0000032A">
        <w:rPr>
          <w:rFonts w:cs="Times New Roman"/>
        </w:rPr>
        <w:t xml:space="preserve"> under refining reports</w:t>
      </w:r>
      <w:r>
        <w:rPr>
          <w:rFonts w:cs="Times New Roman"/>
        </w:rPr>
        <w:t xml:space="preserve">. </w:t>
      </w:r>
    </w:p>
    <w:p w14:paraId="3A7986BA" w14:textId="77777777" w:rsidR="00432134" w:rsidRDefault="00432134" w:rsidP="00833584">
      <w:pPr>
        <w:pStyle w:val="Numberedparagraph"/>
        <w:spacing w:after="200" w:line="276" w:lineRule="auto"/>
        <w:ind w:left="720" w:hanging="720"/>
        <w:rPr>
          <w:rFonts w:cs="Times New Roman"/>
        </w:rPr>
      </w:pPr>
      <w:r>
        <w:rPr>
          <w:rFonts w:cs="Times New Roman"/>
        </w:rPr>
        <w:t xml:space="preserve">The </w:t>
      </w:r>
      <w:r w:rsidR="00DA6EC5">
        <w:rPr>
          <w:rFonts w:cs="Times New Roman"/>
        </w:rPr>
        <w:t xml:space="preserve">meaning of </w:t>
      </w:r>
      <w:r>
        <w:rPr>
          <w:rFonts w:cs="Times New Roman"/>
        </w:rPr>
        <w:t xml:space="preserve">wholesale is </w:t>
      </w:r>
      <w:r w:rsidR="00DA6EC5">
        <w:rPr>
          <w:rFonts w:cs="Times New Roman"/>
        </w:rPr>
        <w:t xml:space="preserve">defined at </w:t>
      </w:r>
      <w:r w:rsidR="00BB06E4">
        <w:rPr>
          <w:rFonts w:cs="Times New Roman"/>
        </w:rPr>
        <w:t xml:space="preserve">section </w:t>
      </w:r>
      <w:r w:rsidR="00DA6EC5">
        <w:rPr>
          <w:rFonts w:cs="Times New Roman"/>
        </w:rPr>
        <w:t xml:space="preserve">5 of the </w:t>
      </w:r>
      <w:r w:rsidR="009F3CB1">
        <w:rPr>
          <w:rFonts w:cs="Times New Roman"/>
        </w:rPr>
        <w:t xml:space="preserve">Act </w:t>
      </w:r>
      <w:r w:rsidR="00DA6EC5">
        <w:rPr>
          <w:rFonts w:cs="Times New Roman"/>
        </w:rPr>
        <w:t>as follows:</w:t>
      </w:r>
    </w:p>
    <w:p w14:paraId="1F4B9D9B" w14:textId="77777777" w:rsidR="00CA2435" w:rsidRPr="00CA2435" w:rsidRDefault="00CA2435" w:rsidP="00CA2435">
      <w:pPr>
        <w:pStyle w:val="Numberedparagraph"/>
        <w:numPr>
          <w:ilvl w:val="0"/>
          <w:numId w:val="0"/>
        </w:numPr>
        <w:spacing w:after="200" w:line="276" w:lineRule="auto"/>
        <w:ind w:left="720"/>
        <w:rPr>
          <w:rFonts w:cs="Times New Roman"/>
        </w:rPr>
      </w:pPr>
      <w:r w:rsidRPr="00CA2435">
        <w:rPr>
          <w:rFonts w:cs="Times New Roman"/>
          <w:b/>
          <w:i/>
        </w:rPr>
        <w:t>wholesaling</w:t>
      </w:r>
      <w:r w:rsidRPr="00CA2435">
        <w:rPr>
          <w:rFonts w:cs="Times New Roman"/>
        </w:rPr>
        <w:t xml:space="preserve"> a covered product means:</w:t>
      </w:r>
    </w:p>
    <w:p w14:paraId="32E9F55D" w14:textId="77777777" w:rsidR="00CA2435" w:rsidRPr="00CA2435" w:rsidRDefault="00CA2435" w:rsidP="000474F7">
      <w:pPr>
        <w:pStyle w:val="Numberedparagraph"/>
        <w:numPr>
          <w:ilvl w:val="0"/>
          <w:numId w:val="0"/>
        </w:numPr>
        <w:spacing w:after="200" w:line="276" w:lineRule="auto"/>
        <w:ind w:left="1440" w:hanging="720"/>
        <w:rPr>
          <w:rFonts w:cs="Times New Roman"/>
        </w:rPr>
      </w:pPr>
      <w:r w:rsidRPr="00CA2435">
        <w:rPr>
          <w:rFonts w:cs="Times New Roman"/>
        </w:rPr>
        <w:t>(a)</w:t>
      </w:r>
      <w:r w:rsidR="007872AF">
        <w:rPr>
          <w:rFonts w:cs="Times New Roman"/>
        </w:rPr>
        <w:tab/>
      </w:r>
      <w:r w:rsidRPr="00CA2435">
        <w:rPr>
          <w:rFonts w:cs="Times New Roman"/>
        </w:rPr>
        <w:t xml:space="preserve">entering a covered product for home consumption (within the meaning of the </w:t>
      </w:r>
      <w:r w:rsidRPr="000474F7">
        <w:rPr>
          <w:rFonts w:cs="Times New Roman"/>
          <w:i/>
        </w:rPr>
        <w:t>Customs Act 1901</w:t>
      </w:r>
      <w:r w:rsidRPr="00CA2435">
        <w:rPr>
          <w:rFonts w:cs="Times New Roman"/>
        </w:rPr>
        <w:t xml:space="preserve"> or the </w:t>
      </w:r>
      <w:r w:rsidRPr="000474F7">
        <w:rPr>
          <w:rFonts w:cs="Times New Roman"/>
          <w:i/>
        </w:rPr>
        <w:t>Excise Act 1901</w:t>
      </w:r>
      <w:r w:rsidRPr="00CA2435">
        <w:rPr>
          <w:rFonts w:cs="Times New Roman"/>
        </w:rPr>
        <w:t>); or</w:t>
      </w:r>
    </w:p>
    <w:p w14:paraId="5476B126" w14:textId="0BAE2854" w:rsidR="00CA2435" w:rsidRPr="00CA2435" w:rsidRDefault="00CA2435" w:rsidP="000474F7">
      <w:pPr>
        <w:pStyle w:val="Numberedparagraph"/>
        <w:numPr>
          <w:ilvl w:val="0"/>
          <w:numId w:val="0"/>
        </w:numPr>
        <w:spacing w:after="200" w:line="276" w:lineRule="auto"/>
        <w:ind w:left="1440" w:hanging="720"/>
        <w:rPr>
          <w:rFonts w:cs="Times New Roman"/>
        </w:rPr>
      </w:pPr>
      <w:r w:rsidRPr="00CA2435">
        <w:rPr>
          <w:rFonts w:cs="Times New Roman"/>
        </w:rPr>
        <w:t xml:space="preserve">(b) </w:t>
      </w:r>
      <w:r w:rsidR="007872AF">
        <w:rPr>
          <w:rFonts w:cs="Times New Roman"/>
        </w:rPr>
        <w:tab/>
      </w:r>
      <w:r w:rsidRPr="00CA2435">
        <w:rPr>
          <w:rFonts w:cs="Times New Roman"/>
        </w:rPr>
        <w:t xml:space="preserve">if a covered product is not subject to duty of excise or duty of customs—removing the covered product from an import terminal or domestic production </w:t>
      </w:r>
      <w:r w:rsidR="00C165EF" w:rsidRPr="00CA2435">
        <w:rPr>
          <w:rFonts w:cs="Times New Roman"/>
        </w:rPr>
        <w:t>facilit</w:t>
      </w:r>
      <w:r w:rsidR="00C165EF">
        <w:rPr>
          <w:rFonts w:cs="Times New Roman"/>
        </w:rPr>
        <w:t>y</w:t>
      </w:r>
      <w:r w:rsidR="00C165EF" w:rsidRPr="00CA2435">
        <w:rPr>
          <w:rFonts w:cs="Times New Roman"/>
        </w:rPr>
        <w:t xml:space="preserve"> </w:t>
      </w:r>
      <w:r w:rsidRPr="00CA2435">
        <w:rPr>
          <w:rFonts w:cs="Times New Roman"/>
        </w:rPr>
        <w:t xml:space="preserve">(such as a refinery); or </w:t>
      </w:r>
    </w:p>
    <w:p w14:paraId="6876D9C4" w14:textId="77777777" w:rsidR="00DA6EC5" w:rsidRDefault="00CA2435" w:rsidP="000474F7">
      <w:pPr>
        <w:pStyle w:val="Numberedparagraph"/>
        <w:numPr>
          <w:ilvl w:val="0"/>
          <w:numId w:val="0"/>
        </w:numPr>
        <w:spacing w:after="200" w:line="276" w:lineRule="auto"/>
        <w:ind w:left="1440" w:hanging="720"/>
        <w:rPr>
          <w:rFonts w:cs="Times New Roman"/>
        </w:rPr>
      </w:pPr>
      <w:r w:rsidRPr="00CA2435">
        <w:rPr>
          <w:rFonts w:cs="Times New Roman"/>
        </w:rPr>
        <w:t xml:space="preserve">(c) </w:t>
      </w:r>
      <w:r w:rsidR="007872AF">
        <w:rPr>
          <w:rFonts w:cs="Times New Roman"/>
        </w:rPr>
        <w:tab/>
      </w:r>
      <w:r w:rsidRPr="00CA2435">
        <w:rPr>
          <w:rFonts w:cs="Times New Roman"/>
        </w:rPr>
        <w:t>if another activity is prescribed by the rules for the purposes of this paragraph for a kind of covered product—undertaking that activity in relation to the kind of product.</w:t>
      </w:r>
    </w:p>
    <w:p w14:paraId="328D21AD" w14:textId="77777777" w:rsidR="00C07507" w:rsidRPr="00D75C06" w:rsidRDefault="00C07507" w:rsidP="00D75C06">
      <w:pPr>
        <w:pStyle w:val="Numberedparagraph"/>
        <w:spacing w:after="200" w:line="276" w:lineRule="auto"/>
        <w:ind w:left="720" w:hanging="720"/>
        <w:rPr>
          <w:rFonts w:cs="Times New Roman"/>
        </w:rPr>
      </w:pPr>
      <w:r>
        <w:rPr>
          <w:rFonts w:cs="Times New Roman"/>
        </w:rPr>
        <w:t xml:space="preserve">The phrase ‘domestic production facility’ is not defined in the </w:t>
      </w:r>
      <w:r w:rsidR="00EE62C2">
        <w:rPr>
          <w:rFonts w:cs="Times New Roman"/>
        </w:rPr>
        <w:t xml:space="preserve">Act or </w:t>
      </w:r>
      <w:r>
        <w:rPr>
          <w:rFonts w:cs="Times New Roman"/>
        </w:rPr>
        <w:t xml:space="preserve">Rules. It is intended to cover any facility creating covered products. It includes Australian refineries, Australian biofuel plants, Australian plants (non-biofuel) and GLOWS facilities. </w:t>
      </w:r>
    </w:p>
    <w:p w14:paraId="6B51ABC8" w14:textId="77777777" w:rsidR="0000032A" w:rsidRPr="009870C8" w:rsidRDefault="006350B7" w:rsidP="000474F7">
      <w:pPr>
        <w:pStyle w:val="Numberedparagraph"/>
        <w:keepNext/>
        <w:numPr>
          <w:ilvl w:val="0"/>
          <w:numId w:val="0"/>
        </w:numPr>
        <w:spacing w:after="200" w:line="276" w:lineRule="auto"/>
        <w:rPr>
          <w:rFonts w:cs="Times New Roman"/>
          <w:b/>
        </w:rPr>
      </w:pPr>
      <w:r>
        <w:rPr>
          <w:rFonts w:cs="Times New Roman"/>
          <w:b/>
        </w:rPr>
        <w:t>9</w:t>
      </w:r>
      <w:r w:rsidR="0000032A" w:rsidRPr="009870C8">
        <w:rPr>
          <w:rFonts w:cs="Times New Roman"/>
          <w:b/>
        </w:rPr>
        <w:t xml:space="preserve"> –</w:t>
      </w:r>
      <w:r w:rsidR="0000032A">
        <w:rPr>
          <w:rFonts w:cs="Times New Roman"/>
          <w:b/>
        </w:rPr>
        <w:t>Stock holding to which this instrument does not apply</w:t>
      </w:r>
    </w:p>
    <w:p w14:paraId="373811DD" w14:textId="77777777" w:rsidR="0000032A" w:rsidRDefault="0049444E" w:rsidP="00833584">
      <w:pPr>
        <w:pStyle w:val="Numberedparagraph"/>
        <w:spacing w:after="200" w:line="276" w:lineRule="auto"/>
        <w:ind w:left="720" w:hanging="720"/>
        <w:rPr>
          <w:rFonts w:cs="Times New Roman"/>
        </w:rPr>
      </w:pPr>
      <w:r>
        <w:rPr>
          <w:rFonts w:cs="Times New Roman"/>
        </w:rPr>
        <w:t xml:space="preserve">Section </w:t>
      </w:r>
      <w:r w:rsidR="006350B7">
        <w:rPr>
          <w:rFonts w:cs="Times New Roman"/>
        </w:rPr>
        <w:t>9</w:t>
      </w:r>
      <w:r w:rsidR="0000032A">
        <w:rPr>
          <w:rFonts w:cs="Times New Roman"/>
        </w:rPr>
        <w:t xml:space="preserve"> </w:t>
      </w:r>
      <w:r>
        <w:rPr>
          <w:rFonts w:cs="Times New Roman"/>
        </w:rPr>
        <w:t xml:space="preserve">of the Rules </w:t>
      </w:r>
      <w:r w:rsidR="0000032A">
        <w:rPr>
          <w:rFonts w:cs="Times New Roman"/>
        </w:rPr>
        <w:t>exempt</w:t>
      </w:r>
      <w:r w:rsidR="001B46CF">
        <w:rPr>
          <w:rFonts w:cs="Times New Roman"/>
        </w:rPr>
        <w:t>s</w:t>
      </w:r>
      <w:r w:rsidR="0000032A">
        <w:rPr>
          <w:rFonts w:cs="Times New Roman"/>
        </w:rPr>
        <w:t xml:space="preserve"> from the stock reporting obligation</w:t>
      </w:r>
      <w:r w:rsidR="00833584">
        <w:rPr>
          <w:rFonts w:cs="Times New Roman"/>
        </w:rPr>
        <w:t xml:space="preserve"> prescribed</w:t>
      </w:r>
      <w:r w:rsidR="0000032A">
        <w:rPr>
          <w:rFonts w:cs="Times New Roman"/>
        </w:rPr>
        <w:t xml:space="preserve"> at </w:t>
      </w:r>
      <w:r>
        <w:rPr>
          <w:rFonts w:cs="Times New Roman"/>
        </w:rPr>
        <w:t>subsection </w:t>
      </w:r>
      <w:r w:rsidR="0000032A">
        <w:rPr>
          <w:rFonts w:cs="Times New Roman"/>
        </w:rPr>
        <w:t>1</w:t>
      </w:r>
      <w:r w:rsidR="00B914C2">
        <w:rPr>
          <w:rFonts w:cs="Times New Roman"/>
        </w:rPr>
        <w:t>7</w:t>
      </w:r>
      <w:r w:rsidR="00833584">
        <w:rPr>
          <w:rFonts w:cs="Times New Roman"/>
        </w:rPr>
        <w:t>(1)</w:t>
      </w:r>
      <w:r w:rsidR="0000032A">
        <w:rPr>
          <w:rFonts w:cs="Times New Roman"/>
        </w:rPr>
        <w:t xml:space="preserve"> any stock held in a seagoing ship’s bunker or for the exclusive use of the Australian Defence Force </w:t>
      </w:r>
      <w:r w:rsidR="00833584">
        <w:rPr>
          <w:rFonts w:cs="Times New Roman"/>
        </w:rPr>
        <w:t xml:space="preserve">(ADF) </w:t>
      </w:r>
      <w:r w:rsidR="0000032A">
        <w:rPr>
          <w:rFonts w:cs="Times New Roman"/>
        </w:rPr>
        <w:t>or another military</w:t>
      </w:r>
      <w:r w:rsidR="000D3C53">
        <w:rPr>
          <w:rFonts w:cs="Times New Roman"/>
        </w:rPr>
        <w:t xml:space="preserve"> force</w:t>
      </w:r>
      <w:r w:rsidR="0000032A">
        <w:rPr>
          <w:rFonts w:cs="Times New Roman"/>
        </w:rPr>
        <w:t xml:space="preserve">. </w:t>
      </w:r>
    </w:p>
    <w:p w14:paraId="7D122F03" w14:textId="77777777" w:rsidR="0000032A" w:rsidRPr="0089062C" w:rsidRDefault="0000032A" w:rsidP="00833584">
      <w:pPr>
        <w:pStyle w:val="Numberedparagraph"/>
        <w:spacing w:after="200" w:line="276" w:lineRule="auto"/>
        <w:ind w:left="720" w:hanging="720"/>
        <w:rPr>
          <w:rFonts w:cs="Times New Roman"/>
        </w:rPr>
      </w:pPr>
      <w:r>
        <w:rPr>
          <w:rFonts w:cs="Times New Roman"/>
        </w:rPr>
        <w:t xml:space="preserve">Stock in seagoing ships bunkers </w:t>
      </w:r>
      <w:r w:rsidR="001B46CF">
        <w:rPr>
          <w:rFonts w:cs="Times New Roman"/>
        </w:rPr>
        <w:t>is</w:t>
      </w:r>
      <w:r>
        <w:rPr>
          <w:rFonts w:cs="Times New Roman"/>
        </w:rPr>
        <w:t xml:space="preserve"> defined in </w:t>
      </w:r>
      <w:r w:rsidR="0049444E">
        <w:rPr>
          <w:rFonts w:cs="Times New Roman"/>
        </w:rPr>
        <w:t xml:space="preserve">section </w:t>
      </w:r>
      <w:r>
        <w:rPr>
          <w:rFonts w:cs="Times New Roman"/>
        </w:rPr>
        <w:t xml:space="preserve">4 as stock held for the purposes of powering </w:t>
      </w:r>
      <w:r w:rsidR="000D3C53">
        <w:rPr>
          <w:rFonts w:cs="Times New Roman"/>
        </w:rPr>
        <w:t>a</w:t>
      </w:r>
      <w:r>
        <w:rPr>
          <w:rFonts w:cs="Times New Roman"/>
        </w:rPr>
        <w:t xml:space="preserve"> ship. </w:t>
      </w:r>
      <w:r w:rsidR="000D3C53">
        <w:rPr>
          <w:rFonts w:cs="Times New Roman"/>
        </w:rPr>
        <w:t>This is in contrast to stock held in the hold of a tanker ship. Bunker</w:t>
      </w:r>
      <w:r>
        <w:rPr>
          <w:rFonts w:cs="Times New Roman"/>
        </w:rPr>
        <w:t xml:space="preserve"> </w:t>
      </w:r>
      <w:r w:rsidR="000D3C53">
        <w:rPr>
          <w:rFonts w:cs="Times New Roman"/>
        </w:rPr>
        <w:t>fuel</w:t>
      </w:r>
      <w:r>
        <w:rPr>
          <w:rFonts w:cs="Times New Roman"/>
        </w:rPr>
        <w:t xml:space="preserve"> is not relevant to </w:t>
      </w:r>
      <w:r w:rsidR="000D3C53">
        <w:rPr>
          <w:rFonts w:cs="Times New Roman"/>
        </w:rPr>
        <w:t>the production of</w:t>
      </w:r>
      <w:r>
        <w:rPr>
          <w:rFonts w:cs="Times New Roman"/>
        </w:rPr>
        <w:t xml:space="preserve"> </w:t>
      </w:r>
      <w:r w:rsidR="001B46CF">
        <w:rPr>
          <w:rFonts w:cs="Times New Roman"/>
        </w:rPr>
        <w:t xml:space="preserve">the </w:t>
      </w:r>
      <w:r>
        <w:rPr>
          <w:rFonts w:cs="Times New Roman"/>
        </w:rPr>
        <w:t xml:space="preserve">statistics </w:t>
      </w:r>
      <w:r w:rsidR="000D3C53">
        <w:rPr>
          <w:rFonts w:cs="Times New Roman"/>
        </w:rPr>
        <w:t>and is</w:t>
      </w:r>
      <w:r w:rsidR="00833584">
        <w:rPr>
          <w:rFonts w:cs="Times New Roman"/>
        </w:rPr>
        <w:t xml:space="preserve"> not allowed to be </w:t>
      </w:r>
      <w:r w:rsidR="00833584" w:rsidRPr="0089062C">
        <w:rPr>
          <w:rFonts w:cs="Times New Roman"/>
        </w:rPr>
        <w:t>counted towards compliance with the IEA oil stockholding obligation.</w:t>
      </w:r>
    </w:p>
    <w:p w14:paraId="3DA27D3A" w14:textId="77777777" w:rsidR="0000032A" w:rsidRPr="0089062C" w:rsidRDefault="0000032A" w:rsidP="00833584">
      <w:pPr>
        <w:pStyle w:val="Numberedparagraph"/>
        <w:spacing w:after="200" w:line="276" w:lineRule="auto"/>
        <w:ind w:left="720" w:hanging="720"/>
        <w:rPr>
          <w:rFonts w:cs="Times New Roman"/>
        </w:rPr>
      </w:pPr>
      <w:r w:rsidRPr="0089062C">
        <w:rPr>
          <w:rFonts w:cs="Times New Roman"/>
        </w:rPr>
        <w:t xml:space="preserve">Stock </w:t>
      </w:r>
      <w:r w:rsidR="00833584" w:rsidRPr="0089062C">
        <w:rPr>
          <w:rFonts w:cs="Times New Roman"/>
        </w:rPr>
        <w:t>for the exclusive use of the ADF or another military</w:t>
      </w:r>
      <w:r w:rsidR="000D3C53" w:rsidRPr="0089062C">
        <w:rPr>
          <w:rFonts w:cs="Times New Roman"/>
        </w:rPr>
        <w:t xml:space="preserve"> force</w:t>
      </w:r>
      <w:r w:rsidR="00833584" w:rsidRPr="0089062C">
        <w:rPr>
          <w:rFonts w:cs="Times New Roman"/>
        </w:rPr>
        <w:t xml:space="preserve"> is stock that has been reserved for defence purposes. This stock </w:t>
      </w:r>
      <w:r w:rsidRPr="0089062C">
        <w:rPr>
          <w:rFonts w:cs="Times New Roman"/>
        </w:rPr>
        <w:t xml:space="preserve">cannot be counted towards compliance with the IEA oil stockholding obligation. </w:t>
      </w:r>
    </w:p>
    <w:p w14:paraId="1DAAECB8" w14:textId="77777777" w:rsidR="0089062C" w:rsidRDefault="0089062C" w:rsidP="00833584">
      <w:pPr>
        <w:pStyle w:val="Numberedparagraph"/>
        <w:spacing w:after="200" w:line="276" w:lineRule="auto"/>
        <w:ind w:left="720" w:hanging="720"/>
        <w:rPr>
          <w:rFonts w:cs="Times New Roman"/>
        </w:rPr>
      </w:pPr>
      <w:r>
        <w:rPr>
          <w:rFonts w:cs="Times New Roman"/>
        </w:rPr>
        <w:lastRenderedPageBreak/>
        <w:t>Commercial stocks that are not reserved, for example stock that may be sold to the ADF or another military force but have not yet been sold</w:t>
      </w:r>
      <w:r w:rsidR="001B46CF">
        <w:rPr>
          <w:rFonts w:cs="Times New Roman"/>
        </w:rPr>
        <w:t xml:space="preserve"> or reserved</w:t>
      </w:r>
      <w:r>
        <w:rPr>
          <w:rFonts w:cs="Times New Roman"/>
        </w:rPr>
        <w:t xml:space="preserve">, are reportable. </w:t>
      </w:r>
    </w:p>
    <w:p w14:paraId="41480FBB" w14:textId="77777777" w:rsidR="0000032A" w:rsidRDefault="0000032A" w:rsidP="00833584">
      <w:pPr>
        <w:pStyle w:val="Numberedparagraph"/>
        <w:spacing w:after="200" w:line="276" w:lineRule="auto"/>
        <w:ind w:left="720" w:hanging="720"/>
        <w:rPr>
          <w:rFonts w:cs="Times New Roman"/>
        </w:rPr>
      </w:pPr>
      <w:r>
        <w:rPr>
          <w:rFonts w:cs="Times New Roman"/>
        </w:rPr>
        <w:t>The Act provides a number of</w:t>
      </w:r>
      <w:r w:rsidR="00833584">
        <w:rPr>
          <w:rFonts w:cs="Times New Roman"/>
        </w:rPr>
        <w:t xml:space="preserve"> additional</w:t>
      </w:r>
      <w:r>
        <w:rPr>
          <w:rFonts w:cs="Times New Roman"/>
        </w:rPr>
        <w:t xml:space="preserve"> exemptions to the obligation to report stocks, including exemptions for covered products:</w:t>
      </w:r>
    </w:p>
    <w:p w14:paraId="04905E51" w14:textId="77777777" w:rsidR="0000032A" w:rsidRDefault="0000032A" w:rsidP="00833584">
      <w:pPr>
        <w:pStyle w:val="ListBullet"/>
        <w:spacing w:after="200"/>
        <w:ind w:left="1134"/>
      </w:pPr>
      <w:r>
        <w:t>stored at a service station or retail store;</w:t>
      </w:r>
    </w:p>
    <w:p w14:paraId="317EF3B0" w14:textId="77777777" w:rsidR="0000032A" w:rsidRDefault="0000032A" w:rsidP="00833584">
      <w:pPr>
        <w:pStyle w:val="ListBullet"/>
        <w:spacing w:after="200"/>
        <w:ind w:left="1134"/>
      </w:pPr>
      <w:r>
        <w:t>stored in a personal vehicle (such as a motor car);</w:t>
      </w:r>
    </w:p>
    <w:p w14:paraId="6E576B7F" w14:textId="77777777" w:rsidR="0000032A" w:rsidRDefault="0000032A" w:rsidP="00833584">
      <w:pPr>
        <w:pStyle w:val="ListBullet"/>
        <w:spacing w:after="200"/>
        <w:ind w:left="1134"/>
      </w:pPr>
      <w:r>
        <w:t>stored in a road tanker, rail tank car or pipeline; and</w:t>
      </w:r>
    </w:p>
    <w:p w14:paraId="2AC3C8B2" w14:textId="77777777" w:rsidR="0000032A" w:rsidRPr="00611995" w:rsidRDefault="0000032A" w:rsidP="00833584">
      <w:pPr>
        <w:pStyle w:val="ListBullet"/>
        <w:spacing w:after="200" w:line="276" w:lineRule="auto"/>
        <w:ind w:left="1134"/>
      </w:pPr>
      <w:r>
        <w:t>kept wholly or principally for private or domestic</w:t>
      </w:r>
      <w:r w:rsidR="00424A6C">
        <w:t xml:space="preserve"> (non-commercial)</w:t>
      </w:r>
      <w:r>
        <w:t xml:space="preserve"> use. </w:t>
      </w:r>
    </w:p>
    <w:p w14:paraId="33F71B53" w14:textId="77777777" w:rsidR="0000032A" w:rsidRPr="00833584" w:rsidRDefault="00833584" w:rsidP="00833584">
      <w:pPr>
        <w:pStyle w:val="Numberedparagraph"/>
        <w:numPr>
          <w:ilvl w:val="0"/>
          <w:numId w:val="0"/>
        </w:numPr>
        <w:spacing w:after="200" w:line="276" w:lineRule="auto"/>
        <w:rPr>
          <w:rFonts w:cs="Times New Roman"/>
          <w:b/>
        </w:rPr>
      </w:pPr>
      <w:r>
        <w:rPr>
          <w:rFonts w:cs="Times New Roman"/>
          <w:b/>
        </w:rPr>
        <w:t>Part 2 – Reports of fuel information</w:t>
      </w:r>
    </w:p>
    <w:p w14:paraId="29DFFDA5" w14:textId="77777777" w:rsidR="0051585D" w:rsidRPr="00D40787" w:rsidRDefault="00833584" w:rsidP="0051585D">
      <w:pPr>
        <w:pStyle w:val="Numberedparagraph"/>
        <w:numPr>
          <w:ilvl w:val="0"/>
          <w:numId w:val="0"/>
        </w:numPr>
        <w:spacing w:after="200" w:line="276" w:lineRule="auto"/>
        <w:rPr>
          <w:b/>
        </w:rPr>
      </w:pPr>
      <w:r>
        <w:rPr>
          <w:rFonts w:cs="Times New Roman"/>
          <w:b/>
        </w:rPr>
        <w:t xml:space="preserve">Division 1 – </w:t>
      </w:r>
      <w:r w:rsidR="0051585D">
        <w:rPr>
          <w:b/>
        </w:rPr>
        <w:t>Outline of this Part</w:t>
      </w:r>
    </w:p>
    <w:p w14:paraId="11126927" w14:textId="77777777" w:rsidR="001B46CF" w:rsidRPr="001B46CF" w:rsidRDefault="001B46CF" w:rsidP="001B46CF">
      <w:pPr>
        <w:pStyle w:val="Numberedparagraph"/>
        <w:spacing w:after="200" w:line="276" w:lineRule="auto"/>
        <w:ind w:left="709" w:hanging="709"/>
      </w:pPr>
      <w:r>
        <w:t>This Division provides an outline of Part 2 of the Rules.</w:t>
      </w:r>
    </w:p>
    <w:p w14:paraId="0A58B837" w14:textId="77777777" w:rsidR="00833584" w:rsidRPr="00D40787" w:rsidRDefault="006350B7" w:rsidP="00833584">
      <w:pPr>
        <w:pStyle w:val="Numberedparagraph"/>
        <w:numPr>
          <w:ilvl w:val="0"/>
          <w:numId w:val="0"/>
        </w:numPr>
        <w:spacing w:after="200" w:line="276" w:lineRule="auto"/>
        <w:rPr>
          <w:b/>
        </w:rPr>
      </w:pPr>
      <w:r>
        <w:rPr>
          <w:b/>
        </w:rPr>
        <w:t>10</w:t>
      </w:r>
      <w:r w:rsidR="00833584" w:rsidRPr="00D40787">
        <w:rPr>
          <w:b/>
        </w:rPr>
        <w:t xml:space="preserve"> – </w:t>
      </w:r>
      <w:r w:rsidR="00833584">
        <w:rPr>
          <w:b/>
        </w:rPr>
        <w:t>Outline of this Part</w:t>
      </w:r>
    </w:p>
    <w:p w14:paraId="089FCE8E" w14:textId="77777777" w:rsidR="00833584" w:rsidRPr="001B46CF" w:rsidRDefault="00833584" w:rsidP="00833584">
      <w:pPr>
        <w:pStyle w:val="Numberedparagraph"/>
        <w:spacing w:after="200" w:line="276" w:lineRule="auto"/>
        <w:ind w:left="709" w:hanging="709"/>
      </w:pPr>
      <w:r w:rsidRPr="001733DA">
        <w:rPr>
          <w:rFonts w:cs="Times New Roman"/>
        </w:rPr>
        <w:t xml:space="preserve">The simplified outline provided here is intended to assist readers to understand the substantive provisions. The outline is not comprehensive and readers should rely on the substantive provisions to understand the operation of Part </w:t>
      </w:r>
      <w:r>
        <w:rPr>
          <w:rFonts w:cs="Times New Roman"/>
        </w:rPr>
        <w:t>2</w:t>
      </w:r>
      <w:r w:rsidRPr="001733DA">
        <w:rPr>
          <w:rFonts w:cs="Times New Roman"/>
        </w:rPr>
        <w:t>.</w:t>
      </w:r>
    </w:p>
    <w:p w14:paraId="75C3D661" w14:textId="77777777" w:rsidR="001B46CF" w:rsidRPr="001B46CF" w:rsidRDefault="001B46CF" w:rsidP="001B46CF">
      <w:pPr>
        <w:pStyle w:val="Numberedparagraph"/>
        <w:numPr>
          <w:ilvl w:val="0"/>
          <w:numId w:val="0"/>
        </w:numPr>
        <w:spacing w:after="200" w:line="276" w:lineRule="auto"/>
        <w:rPr>
          <w:b/>
        </w:rPr>
      </w:pPr>
      <w:r>
        <w:rPr>
          <w:rFonts w:cs="Times New Roman"/>
          <w:b/>
        </w:rPr>
        <w:t xml:space="preserve">Division 2 – Definitions </w:t>
      </w:r>
    </w:p>
    <w:p w14:paraId="75043B4D" w14:textId="77777777" w:rsidR="001B46CF" w:rsidRPr="00833584" w:rsidRDefault="001B46CF" w:rsidP="00833584">
      <w:pPr>
        <w:pStyle w:val="Numberedparagraph"/>
        <w:spacing w:after="200" w:line="276" w:lineRule="auto"/>
        <w:ind w:left="709" w:hanging="709"/>
      </w:pPr>
      <w:r>
        <w:t xml:space="preserve">This Division defines the meaning of field, plant, refinery and GLOWS facility. </w:t>
      </w:r>
    </w:p>
    <w:p w14:paraId="3E63E0C0" w14:textId="77777777" w:rsidR="00E679B3" w:rsidRPr="008374D0" w:rsidRDefault="0054058E" w:rsidP="00E95D8E">
      <w:pPr>
        <w:pStyle w:val="ListNumber"/>
        <w:keepNext/>
        <w:numPr>
          <w:ilvl w:val="0"/>
          <w:numId w:val="0"/>
        </w:numPr>
        <w:spacing w:after="200" w:line="276" w:lineRule="auto"/>
        <w:ind w:left="720" w:hanging="720"/>
        <w:rPr>
          <w:b/>
        </w:rPr>
      </w:pPr>
      <w:r>
        <w:rPr>
          <w:b/>
        </w:rPr>
        <w:t>11</w:t>
      </w:r>
      <w:r w:rsidR="00E679B3" w:rsidRPr="008374D0">
        <w:rPr>
          <w:b/>
        </w:rPr>
        <w:t xml:space="preserve"> – </w:t>
      </w:r>
      <w:r w:rsidR="006F5E8D">
        <w:rPr>
          <w:b/>
        </w:rPr>
        <w:t>Australian f</w:t>
      </w:r>
      <w:r w:rsidR="00EF4BDD">
        <w:rPr>
          <w:b/>
        </w:rPr>
        <w:t xml:space="preserve">ields and </w:t>
      </w:r>
      <w:r w:rsidR="006F5E8D">
        <w:rPr>
          <w:b/>
        </w:rPr>
        <w:t>p</w:t>
      </w:r>
      <w:r w:rsidR="00EF4BDD">
        <w:rPr>
          <w:b/>
        </w:rPr>
        <w:t>lants</w:t>
      </w:r>
    </w:p>
    <w:p w14:paraId="18B1EF42" w14:textId="77777777" w:rsidR="00EF4BDD" w:rsidRDefault="006C435C" w:rsidP="00EF4BDD">
      <w:pPr>
        <w:pStyle w:val="Numberedparagraph"/>
        <w:spacing w:after="200" w:line="276" w:lineRule="auto"/>
        <w:ind w:left="720" w:hanging="720"/>
        <w:rPr>
          <w:rFonts w:cs="Times New Roman"/>
          <w:color w:val="000000" w:themeColor="text1"/>
        </w:rPr>
      </w:pPr>
      <w:r>
        <w:rPr>
          <w:rFonts w:cs="Times New Roman"/>
          <w:color w:val="000000" w:themeColor="text1"/>
        </w:rPr>
        <w:t xml:space="preserve">Section </w:t>
      </w:r>
      <w:r w:rsidR="0054058E">
        <w:rPr>
          <w:rFonts w:cs="Times New Roman"/>
          <w:color w:val="000000" w:themeColor="text1"/>
        </w:rPr>
        <w:t>11</w:t>
      </w:r>
      <w:r>
        <w:rPr>
          <w:rFonts w:cs="Times New Roman"/>
          <w:color w:val="000000" w:themeColor="text1"/>
        </w:rPr>
        <w:t xml:space="preserve"> of the Rules</w:t>
      </w:r>
      <w:r w:rsidR="00EF4BDD">
        <w:rPr>
          <w:rFonts w:cs="Times New Roman"/>
          <w:color w:val="000000" w:themeColor="text1"/>
        </w:rPr>
        <w:t xml:space="preserve"> clarif</w:t>
      </w:r>
      <w:r>
        <w:rPr>
          <w:rFonts w:cs="Times New Roman"/>
          <w:color w:val="000000" w:themeColor="text1"/>
        </w:rPr>
        <w:t>ies</w:t>
      </w:r>
      <w:r w:rsidR="00EF4BDD">
        <w:rPr>
          <w:rFonts w:cs="Times New Roman"/>
          <w:color w:val="000000" w:themeColor="text1"/>
        </w:rPr>
        <w:t xml:space="preserve"> the meaning of certain </w:t>
      </w:r>
      <w:r w:rsidR="00CF024E">
        <w:rPr>
          <w:rFonts w:cs="Times New Roman"/>
          <w:color w:val="000000" w:themeColor="text1"/>
        </w:rPr>
        <w:t xml:space="preserve">phrases </w:t>
      </w:r>
      <w:r w:rsidR="00EF4BDD">
        <w:rPr>
          <w:rFonts w:cs="Times New Roman"/>
          <w:color w:val="000000" w:themeColor="text1"/>
        </w:rPr>
        <w:t xml:space="preserve">in relation to </w:t>
      </w:r>
      <w:r w:rsidR="005E02B8">
        <w:rPr>
          <w:rFonts w:cs="Times New Roman"/>
          <w:color w:val="000000" w:themeColor="text1"/>
        </w:rPr>
        <w:t xml:space="preserve">the </w:t>
      </w:r>
      <w:r w:rsidR="00EF4BDD">
        <w:rPr>
          <w:rFonts w:cs="Times New Roman"/>
          <w:color w:val="000000" w:themeColor="text1"/>
        </w:rPr>
        <w:t>production</w:t>
      </w:r>
      <w:r w:rsidR="000D3C53">
        <w:rPr>
          <w:rFonts w:cs="Times New Roman"/>
          <w:color w:val="000000" w:themeColor="text1"/>
        </w:rPr>
        <w:t xml:space="preserve"> and processing </w:t>
      </w:r>
      <w:r w:rsidR="006F5E8D">
        <w:rPr>
          <w:rFonts w:cs="Times New Roman"/>
          <w:color w:val="000000" w:themeColor="text1"/>
        </w:rPr>
        <w:t xml:space="preserve">of covered products </w:t>
      </w:r>
      <w:r w:rsidR="00EF4BDD">
        <w:rPr>
          <w:rFonts w:cs="Times New Roman"/>
          <w:color w:val="000000" w:themeColor="text1"/>
        </w:rPr>
        <w:t>at fields and plants</w:t>
      </w:r>
      <w:r w:rsidR="006F5E8D">
        <w:rPr>
          <w:rFonts w:cs="Times New Roman"/>
          <w:color w:val="000000" w:themeColor="text1"/>
        </w:rPr>
        <w:t xml:space="preserve"> in Australia</w:t>
      </w:r>
      <w:r w:rsidR="00EF4BDD">
        <w:rPr>
          <w:rFonts w:cs="Times New Roman"/>
          <w:color w:val="000000" w:themeColor="text1"/>
        </w:rPr>
        <w:t>.</w:t>
      </w:r>
    </w:p>
    <w:p w14:paraId="7D3471B8" w14:textId="77777777" w:rsidR="00E679B3" w:rsidRDefault="00EF4BDD" w:rsidP="00D13FD3">
      <w:pPr>
        <w:pStyle w:val="Numberedparagraph"/>
        <w:spacing w:after="200" w:line="276" w:lineRule="auto"/>
        <w:ind w:left="720" w:hanging="720"/>
        <w:rPr>
          <w:rFonts w:cs="Times New Roman"/>
          <w:color w:val="000000" w:themeColor="text1"/>
        </w:rPr>
      </w:pPr>
      <w:r>
        <w:rPr>
          <w:rFonts w:cs="Times New Roman"/>
          <w:color w:val="000000" w:themeColor="text1"/>
        </w:rPr>
        <w:t>Sub</w:t>
      </w:r>
      <w:r w:rsidR="006C435C">
        <w:rPr>
          <w:rFonts w:cs="Times New Roman"/>
          <w:color w:val="000000" w:themeColor="text1"/>
        </w:rPr>
        <w:t>section</w:t>
      </w:r>
      <w:r>
        <w:rPr>
          <w:rFonts w:cs="Times New Roman"/>
          <w:color w:val="000000" w:themeColor="text1"/>
        </w:rPr>
        <w:t xml:space="preserve"> </w:t>
      </w:r>
      <w:r w:rsidR="00FB2CFF">
        <w:rPr>
          <w:rFonts w:cs="Times New Roman"/>
          <w:color w:val="000000" w:themeColor="text1"/>
        </w:rPr>
        <w:t>1</w:t>
      </w:r>
      <w:r w:rsidR="0054058E">
        <w:rPr>
          <w:rFonts w:cs="Times New Roman"/>
          <w:color w:val="000000" w:themeColor="text1"/>
        </w:rPr>
        <w:t>1</w:t>
      </w:r>
      <w:r>
        <w:rPr>
          <w:rFonts w:cs="Times New Roman"/>
          <w:color w:val="000000" w:themeColor="text1"/>
        </w:rPr>
        <w:t>(1) provide</w:t>
      </w:r>
      <w:r w:rsidR="006C435C">
        <w:rPr>
          <w:rFonts w:cs="Times New Roman"/>
          <w:color w:val="000000" w:themeColor="text1"/>
        </w:rPr>
        <w:t>s</w:t>
      </w:r>
      <w:r>
        <w:rPr>
          <w:rFonts w:cs="Times New Roman"/>
          <w:color w:val="000000" w:themeColor="text1"/>
        </w:rPr>
        <w:t xml:space="preserve"> that a</w:t>
      </w:r>
      <w:r w:rsidR="00E057E4">
        <w:rPr>
          <w:rFonts w:cs="Times New Roman"/>
          <w:color w:val="000000" w:themeColor="text1"/>
        </w:rPr>
        <w:t>n Australian</w:t>
      </w:r>
      <w:r>
        <w:rPr>
          <w:rFonts w:cs="Times New Roman"/>
          <w:color w:val="000000" w:themeColor="text1"/>
        </w:rPr>
        <w:t xml:space="preserve"> field means a field where crude oil, condens</w:t>
      </w:r>
      <w:r w:rsidR="001B46CF">
        <w:rPr>
          <w:rFonts w:cs="Times New Roman"/>
          <w:color w:val="000000" w:themeColor="text1"/>
        </w:rPr>
        <w:t>ate or LPG</w:t>
      </w:r>
      <w:r>
        <w:rPr>
          <w:rFonts w:cs="Times New Roman"/>
          <w:color w:val="000000" w:themeColor="text1"/>
        </w:rPr>
        <w:t xml:space="preserve"> is or was produced in Australia by a regulated entity. Field is used here in its ordinary meaning as understood by the </w:t>
      </w:r>
      <w:r w:rsidR="000D3C53">
        <w:rPr>
          <w:rFonts w:cs="Times New Roman"/>
          <w:color w:val="000000" w:themeColor="text1"/>
        </w:rPr>
        <w:t>upstream</w:t>
      </w:r>
      <w:r>
        <w:rPr>
          <w:rFonts w:cs="Times New Roman"/>
          <w:color w:val="000000" w:themeColor="text1"/>
        </w:rPr>
        <w:t xml:space="preserve"> </w:t>
      </w:r>
      <w:r w:rsidR="000D3C53">
        <w:rPr>
          <w:rFonts w:cs="Times New Roman"/>
          <w:color w:val="000000" w:themeColor="text1"/>
        </w:rPr>
        <w:t>petroleum</w:t>
      </w:r>
      <w:r>
        <w:rPr>
          <w:rFonts w:cs="Times New Roman"/>
          <w:color w:val="000000" w:themeColor="text1"/>
        </w:rPr>
        <w:t xml:space="preserve"> </w:t>
      </w:r>
      <w:r w:rsidR="00FC7264">
        <w:rPr>
          <w:rFonts w:cs="Times New Roman"/>
          <w:color w:val="000000" w:themeColor="text1"/>
        </w:rPr>
        <w:t>industry</w:t>
      </w:r>
      <w:r>
        <w:rPr>
          <w:rFonts w:cs="Times New Roman"/>
          <w:color w:val="000000" w:themeColor="text1"/>
        </w:rPr>
        <w:t xml:space="preserve">. </w:t>
      </w:r>
    </w:p>
    <w:p w14:paraId="5FFB8944" w14:textId="77777777" w:rsidR="0051585D" w:rsidRDefault="0051585D" w:rsidP="00D13FD3">
      <w:pPr>
        <w:pStyle w:val="Numberedparagraph"/>
        <w:spacing w:after="200" w:line="276" w:lineRule="auto"/>
        <w:ind w:left="720" w:hanging="720"/>
        <w:rPr>
          <w:rFonts w:cs="Times New Roman"/>
          <w:color w:val="000000" w:themeColor="text1"/>
        </w:rPr>
      </w:pPr>
      <w:r>
        <w:rPr>
          <w:rFonts w:cs="Times New Roman"/>
          <w:color w:val="000000" w:themeColor="text1"/>
        </w:rPr>
        <w:t xml:space="preserve">Section 8 of the </w:t>
      </w:r>
      <w:r w:rsidR="00C13896" w:rsidRPr="007E434B">
        <w:rPr>
          <w:rFonts w:cs="Times New Roman"/>
          <w:color w:val="000000" w:themeColor="text1"/>
        </w:rPr>
        <w:t>Act</w:t>
      </w:r>
      <w:r>
        <w:rPr>
          <w:rFonts w:cs="Times New Roman"/>
          <w:color w:val="000000" w:themeColor="text1"/>
        </w:rPr>
        <w:t xml:space="preserve"> makes clear that any reference to Australia, such as that in subsection 1</w:t>
      </w:r>
      <w:r w:rsidR="0054058E">
        <w:rPr>
          <w:rFonts w:cs="Times New Roman"/>
          <w:color w:val="000000" w:themeColor="text1"/>
        </w:rPr>
        <w:t>1</w:t>
      </w:r>
      <w:r>
        <w:rPr>
          <w:rFonts w:cs="Times New Roman"/>
          <w:color w:val="000000" w:themeColor="text1"/>
        </w:rPr>
        <w:t xml:space="preserve">(1) of the Rules, includes offshore areas. </w:t>
      </w:r>
      <w:r w:rsidR="007037DF">
        <w:rPr>
          <w:rFonts w:cs="Times New Roman"/>
          <w:color w:val="000000" w:themeColor="text1"/>
        </w:rPr>
        <w:t xml:space="preserve">As a result, offshore production fields are covered by the definition of Australian field. </w:t>
      </w:r>
    </w:p>
    <w:p w14:paraId="4FCDE56C" w14:textId="77777777" w:rsidR="00BC190C" w:rsidRPr="0051585D" w:rsidRDefault="0051585D" w:rsidP="00BC190C">
      <w:pPr>
        <w:pStyle w:val="Numberedparagraph"/>
        <w:spacing w:after="200" w:line="276" w:lineRule="auto"/>
        <w:ind w:left="720" w:hanging="720"/>
        <w:rPr>
          <w:rFonts w:cs="Times New Roman"/>
          <w:color w:val="000000" w:themeColor="text1"/>
        </w:rPr>
      </w:pPr>
      <w:r>
        <w:rPr>
          <w:rFonts w:cs="Times New Roman"/>
          <w:color w:val="000000" w:themeColor="text1"/>
        </w:rPr>
        <w:t>Subsection 1</w:t>
      </w:r>
      <w:r w:rsidR="0054058E">
        <w:rPr>
          <w:rFonts w:cs="Times New Roman"/>
          <w:color w:val="000000" w:themeColor="text1"/>
        </w:rPr>
        <w:t>1</w:t>
      </w:r>
      <w:r>
        <w:rPr>
          <w:rFonts w:cs="Times New Roman"/>
          <w:color w:val="000000" w:themeColor="text1"/>
        </w:rPr>
        <w:t>(2) provides that a person required to report</w:t>
      </w:r>
      <w:r w:rsidR="007037DF">
        <w:rPr>
          <w:rFonts w:cs="Times New Roman"/>
          <w:color w:val="000000" w:themeColor="text1"/>
        </w:rPr>
        <w:t xml:space="preserve"> in relation to production</w:t>
      </w:r>
      <w:r>
        <w:rPr>
          <w:rFonts w:cs="Times New Roman"/>
          <w:color w:val="000000" w:themeColor="text1"/>
        </w:rPr>
        <w:t xml:space="preserve"> </w:t>
      </w:r>
      <w:r w:rsidR="001B46CF">
        <w:rPr>
          <w:rFonts w:cs="Times New Roman"/>
          <w:color w:val="000000" w:themeColor="text1"/>
        </w:rPr>
        <w:t xml:space="preserve">at an Australian field </w:t>
      </w:r>
      <w:r>
        <w:rPr>
          <w:rFonts w:cs="Times New Roman"/>
          <w:color w:val="000000" w:themeColor="text1"/>
        </w:rPr>
        <w:t xml:space="preserve">may combine one or more fields in </w:t>
      </w:r>
      <w:r w:rsidR="007037DF">
        <w:rPr>
          <w:rFonts w:cs="Times New Roman"/>
          <w:color w:val="000000" w:themeColor="text1"/>
        </w:rPr>
        <w:t xml:space="preserve">their report in </w:t>
      </w:r>
      <w:r>
        <w:rPr>
          <w:rFonts w:cs="Times New Roman"/>
          <w:color w:val="000000" w:themeColor="text1"/>
        </w:rPr>
        <w:t xml:space="preserve">certain circumstances. </w:t>
      </w:r>
      <w:r w:rsidR="00BC190C">
        <w:rPr>
          <w:rFonts w:cs="Times New Roman"/>
          <w:color w:val="000000" w:themeColor="text1"/>
        </w:rPr>
        <w:t xml:space="preserve">The intention of this provision is to reduce the reporting burden for businesses that may not separately measure production </w:t>
      </w:r>
      <w:r w:rsidR="007037DF">
        <w:rPr>
          <w:rFonts w:cs="Times New Roman"/>
          <w:color w:val="000000" w:themeColor="text1"/>
        </w:rPr>
        <w:t>and</w:t>
      </w:r>
      <w:r w:rsidR="00BC190C">
        <w:rPr>
          <w:rFonts w:cs="Times New Roman"/>
          <w:color w:val="000000" w:themeColor="text1"/>
        </w:rPr>
        <w:t xml:space="preserve"> related activities </w:t>
      </w:r>
      <w:r w:rsidR="007037DF">
        <w:rPr>
          <w:rFonts w:cs="Times New Roman"/>
          <w:color w:val="000000" w:themeColor="text1"/>
        </w:rPr>
        <w:t>for</w:t>
      </w:r>
      <w:r w:rsidR="00BC190C">
        <w:rPr>
          <w:rFonts w:cs="Times New Roman"/>
          <w:color w:val="000000" w:themeColor="text1"/>
        </w:rPr>
        <w:t xml:space="preserve"> nearby fields.  </w:t>
      </w:r>
    </w:p>
    <w:p w14:paraId="28E73368" w14:textId="77777777" w:rsidR="00BC190C" w:rsidRDefault="00254950" w:rsidP="00D13FD3">
      <w:pPr>
        <w:pStyle w:val="Numberedparagraph"/>
        <w:spacing w:after="200" w:line="276" w:lineRule="auto"/>
        <w:ind w:left="720" w:hanging="720"/>
        <w:rPr>
          <w:rFonts w:cs="Times New Roman"/>
          <w:color w:val="000000" w:themeColor="text1"/>
        </w:rPr>
      </w:pPr>
      <w:r>
        <w:rPr>
          <w:rFonts w:cs="Times New Roman"/>
          <w:color w:val="000000" w:themeColor="text1"/>
        </w:rPr>
        <w:t>To report more than one field as a single field, two conditions must be met</w:t>
      </w:r>
      <w:r w:rsidR="00BC190C">
        <w:rPr>
          <w:rFonts w:cs="Times New Roman"/>
          <w:color w:val="000000" w:themeColor="text1"/>
        </w:rPr>
        <w:t xml:space="preserve">. </w:t>
      </w:r>
      <w:r w:rsidR="0051585D">
        <w:rPr>
          <w:rFonts w:cs="Times New Roman"/>
          <w:color w:val="000000" w:themeColor="text1"/>
        </w:rPr>
        <w:t xml:space="preserve">Firstly, the multiple fields must be located in the same state, territory or offshore region. </w:t>
      </w:r>
      <w:r w:rsidR="001B46CF">
        <w:rPr>
          <w:rFonts w:cs="Times New Roman"/>
          <w:color w:val="000000" w:themeColor="text1"/>
        </w:rPr>
        <w:t xml:space="preserve">For offshore regions, common industry distinctions, such as Bass Strait and the North West Shelf will be considered the same region. </w:t>
      </w:r>
      <w:r w:rsidR="0051585D">
        <w:rPr>
          <w:rFonts w:cs="Times New Roman"/>
          <w:color w:val="000000" w:themeColor="text1"/>
        </w:rPr>
        <w:t xml:space="preserve">Secondly, the fields must be either </w:t>
      </w:r>
      <w:r w:rsidR="007037DF">
        <w:rPr>
          <w:rFonts w:cs="Times New Roman"/>
          <w:color w:val="000000" w:themeColor="text1"/>
        </w:rPr>
        <w:t xml:space="preserve">next to </w:t>
      </w:r>
      <w:r w:rsidR="007037DF">
        <w:rPr>
          <w:rFonts w:cs="Times New Roman"/>
          <w:color w:val="000000" w:themeColor="text1"/>
        </w:rPr>
        <w:lastRenderedPageBreak/>
        <w:t>each other</w:t>
      </w:r>
      <w:r w:rsidR="0051585D">
        <w:rPr>
          <w:rFonts w:cs="Times New Roman"/>
          <w:color w:val="000000" w:themeColor="text1"/>
        </w:rPr>
        <w:t xml:space="preserve"> or administered</w:t>
      </w:r>
      <w:r w:rsidR="007037DF">
        <w:rPr>
          <w:rFonts w:cs="Times New Roman"/>
          <w:color w:val="000000" w:themeColor="text1"/>
        </w:rPr>
        <w:t xml:space="preserve"> by the regulated entity</w:t>
      </w:r>
      <w:r w:rsidR="0051585D">
        <w:rPr>
          <w:rFonts w:cs="Times New Roman"/>
          <w:color w:val="000000" w:themeColor="text1"/>
        </w:rPr>
        <w:t xml:space="preserve"> as part of a single project or </w:t>
      </w:r>
      <w:r w:rsidR="007037DF">
        <w:rPr>
          <w:rFonts w:cs="Times New Roman"/>
          <w:color w:val="000000" w:themeColor="text1"/>
        </w:rPr>
        <w:t>productive area</w:t>
      </w:r>
      <w:r w:rsidR="0051585D">
        <w:rPr>
          <w:rFonts w:cs="Times New Roman"/>
          <w:color w:val="000000" w:themeColor="text1"/>
        </w:rPr>
        <w:t xml:space="preserve">. Where both conditions are met, multiple fields may be reported to the Secretary as if they were a single field. </w:t>
      </w:r>
    </w:p>
    <w:p w14:paraId="48ABE815" w14:textId="77777777" w:rsidR="00254950" w:rsidRDefault="00254950" w:rsidP="00D13FD3">
      <w:pPr>
        <w:pStyle w:val="Numberedparagraph"/>
        <w:spacing w:after="200" w:line="276" w:lineRule="auto"/>
        <w:ind w:left="720" w:hanging="720"/>
        <w:rPr>
          <w:rFonts w:cs="Times New Roman"/>
          <w:color w:val="000000" w:themeColor="text1"/>
        </w:rPr>
      </w:pPr>
      <w:r>
        <w:rPr>
          <w:rFonts w:cs="Times New Roman"/>
          <w:color w:val="000000" w:themeColor="text1"/>
        </w:rPr>
        <w:t>This provision does not affect the opera</w:t>
      </w:r>
      <w:r w:rsidR="006F2FD5">
        <w:rPr>
          <w:rFonts w:cs="Times New Roman"/>
          <w:color w:val="000000" w:themeColor="text1"/>
        </w:rPr>
        <w:t xml:space="preserve">tion of subsection </w:t>
      </w:r>
      <w:r>
        <w:rPr>
          <w:rFonts w:cs="Times New Roman"/>
          <w:color w:val="000000" w:themeColor="text1"/>
        </w:rPr>
        <w:t>1</w:t>
      </w:r>
      <w:r w:rsidR="0054058E">
        <w:rPr>
          <w:rFonts w:cs="Times New Roman"/>
          <w:color w:val="000000" w:themeColor="text1"/>
        </w:rPr>
        <w:t>1</w:t>
      </w:r>
      <w:r>
        <w:rPr>
          <w:rFonts w:cs="Times New Roman"/>
          <w:color w:val="000000" w:themeColor="text1"/>
        </w:rPr>
        <w:t xml:space="preserve">(6) which allows </w:t>
      </w:r>
      <w:r w:rsidR="004A7E81">
        <w:rPr>
          <w:rFonts w:cs="Times New Roman"/>
          <w:color w:val="000000" w:themeColor="text1"/>
        </w:rPr>
        <w:t xml:space="preserve">opening and closing </w:t>
      </w:r>
      <w:r>
        <w:rPr>
          <w:rFonts w:cs="Times New Roman"/>
          <w:color w:val="000000" w:themeColor="text1"/>
        </w:rPr>
        <w:t xml:space="preserve">stock from more than one field to be reported against a single field. </w:t>
      </w:r>
    </w:p>
    <w:p w14:paraId="05F35C87" w14:textId="77777777" w:rsidR="00FC7264" w:rsidRPr="007037DF" w:rsidRDefault="00FC7264" w:rsidP="00D13FD3">
      <w:pPr>
        <w:pStyle w:val="Numberedparagraph"/>
        <w:spacing w:after="200" w:line="276" w:lineRule="auto"/>
        <w:ind w:left="720" w:hanging="720"/>
        <w:rPr>
          <w:rFonts w:cs="Times New Roman"/>
          <w:color w:val="000000" w:themeColor="text1"/>
        </w:rPr>
      </w:pPr>
      <w:r w:rsidRPr="007037DF">
        <w:rPr>
          <w:rFonts w:cs="Times New Roman"/>
          <w:color w:val="000000" w:themeColor="text1"/>
        </w:rPr>
        <w:t>Sub</w:t>
      </w:r>
      <w:r w:rsidR="006C435C" w:rsidRPr="007037DF">
        <w:rPr>
          <w:rFonts w:cs="Times New Roman"/>
          <w:color w:val="000000" w:themeColor="text1"/>
        </w:rPr>
        <w:t>section</w:t>
      </w:r>
      <w:r w:rsidRPr="007037DF">
        <w:rPr>
          <w:rFonts w:cs="Times New Roman"/>
          <w:color w:val="000000" w:themeColor="text1"/>
        </w:rPr>
        <w:t xml:space="preserve"> </w:t>
      </w:r>
      <w:r w:rsidR="00FB2CFF" w:rsidRPr="007037DF">
        <w:rPr>
          <w:rFonts w:cs="Times New Roman"/>
          <w:color w:val="000000" w:themeColor="text1"/>
        </w:rPr>
        <w:t>1</w:t>
      </w:r>
      <w:r w:rsidR="0054058E">
        <w:rPr>
          <w:rFonts w:cs="Times New Roman"/>
          <w:color w:val="000000" w:themeColor="text1"/>
        </w:rPr>
        <w:t>1</w:t>
      </w:r>
      <w:r w:rsidRPr="007037DF">
        <w:rPr>
          <w:rFonts w:cs="Times New Roman"/>
          <w:color w:val="000000" w:themeColor="text1"/>
        </w:rPr>
        <w:t>(</w:t>
      </w:r>
      <w:r w:rsidR="00BC190C" w:rsidRPr="007037DF">
        <w:rPr>
          <w:rFonts w:cs="Times New Roman"/>
          <w:color w:val="000000" w:themeColor="text1"/>
        </w:rPr>
        <w:t>3</w:t>
      </w:r>
      <w:r w:rsidRPr="007037DF">
        <w:rPr>
          <w:rFonts w:cs="Times New Roman"/>
          <w:color w:val="000000" w:themeColor="text1"/>
        </w:rPr>
        <w:t>) provide</w:t>
      </w:r>
      <w:r w:rsidR="006C435C" w:rsidRPr="007037DF">
        <w:rPr>
          <w:rFonts w:cs="Times New Roman"/>
          <w:color w:val="000000" w:themeColor="text1"/>
        </w:rPr>
        <w:t>s</w:t>
      </w:r>
      <w:r w:rsidRPr="007037DF">
        <w:rPr>
          <w:rFonts w:cs="Times New Roman"/>
          <w:color w:val="000000" w:themeColor="text1"/>
        </w:rPr>
        <w:t xml:space="preserve"> that a reference to an Australian biofuel plant means a plant where transport biofuel </w:t>
      </w:r>
      <w:r w:rsidR="006C435C" w:rsidRPr="007037DF">
        <w:rPr>
          <w:rFonts w:cs="Times New Roman"/>
          <w:color w:val="000000" w:themeColor="text1"/>
        </w:rPr>
        <w:t>is</w:t>
      </w:r>
      <w:r w:rsidRPr="007037DF">
        <w:rPr>
          <w:rFonts w:cs="Times New Roman"/>
          <w:color w:val="000000" w:themeColor="text1"/>
        </w:rPr>
        <w:t xml:space="preserve"> or w</w:t>
      </w:r>
      <w:r w:rsidR="006C435C" w:rsidRPr="007037DF">
        <w:rPr>
          <w:rFonts w:cs="Times New Roman"/>
          <w:color w:val="000000" w:themeColor="text1"/>
        </w:rPr>
        <w:t>as</w:t>
      </w:r>
      <w:r w:rsidRPr="007037DF">
        <w:rPr>
          <w:rFonts w:cs="Times New Roman"/>
          <w:color w:val="000000" w:themeColor="text1"/>
        </w:rPr>
        <w:t xml:space="preserve"> produced in Australia by a regulated entity. </w:t>
      </w:r>
      <w:r w:rsidR="000D3C53" w:rsidRPr="007037DF">
        <w:rPr>
          <w:rFonts w:cs="Times New Roman"/>
          <w:color w:val="000000" w:themeColor="text1"/>
        </w:rPr>
        <w:t xml:space="preserve">Plant is used as a generic term for a facility producing biofuels. </w:t>
      </w:r>
    </w:p>
    <w:p w14:paraId="643153EC" w14:textId="77777777" w:rsidR="00FC7264" w:rsidRDefault="00FC7264" w:rsidP="00D13FD3">
      <w:pPr>
        <w:pStyle w:val="Numberedparagraph"/>
        <w:spacing w:after="200" w:line="276" w:lineRule="auto"/>
        <w:ind w:left="720" w:hanging="720"/>
        <w:rPr>
          <w:rFonts w:cs="Times New Roman"/>
          <w:color w:val="000000" w:themeColor="text1"/>
        </w:rPr>
      </w:pPr>
      <w:r>
        <w:rPr>
          <w:rFonts w:cs="Times New Roman"/>
          <w:color w:val="000000" w:themeColor="text1"/>
        </w:rPr>
        <w:t xml:space="preserve">Transport biofuel </w:t>
      </w:r>
      <w:r w:rsidR="006C435C">
        <w:rPr>
          <w:rFonts w:cs="Times New Roman"/>
          <w:color w:val="000000" w:themeColor="text1"/>
        </w:rPr>
        <w:t>is</w:t>
      </w:r>
      <w:r>
        <w:rPr>
          <w:rFonts w:cs="Times New Roman"/>
          <w:color w:val="000000" w:themeColor="text1"/>
        </w:rPr>
        <w:t xml:space="preserve"> defined at </w:t>
      </w:r>
      <w:r w:rsidR="006C435C">
        <w:rPr>
          <w:rFonts w:cs="Times New Roman"/>
          <w:color w:val="000000" w:themeColor="text1"/>
        </w:rPr>
        <w:t xml:space="preserve">section </w:t>
      </w:r>
      <w:r>
        <w:rPr>
          <w:rFonts w:cs="Times New Roman"/>
          <w:color w:val="000000" w:themeColor="text1"/>
        </w:rPr>
        <w:t xml:space="preserve">4 </w:t>
      </w:r>
      <w:r w:rsidR="00A44DAC">
        <w:rPr>
          <w:rFonts w:cs="Times New Roman"/>
          <w:color w:val="000000" w:themeColor="text1"/>
        </w:rPr>
        <w:t xml:space="preserve">of the Rules </w:t>
      </w:r>
      <w:r>
        <w:rPr>
          <w:rFonts w:cs="Times New Roman"/>
          <w:color w:val="000000" w:themeColor="text1"/>
        </w:rPr>
        <w:t xml:space="preserve">to mean biofuel that is able to be used as a transport fuel. </w:t>
      </w:r>
      <w:r w:rsidR="00E65F11">
        <w:rPr>
          <w:rFonts w:cs="Times New Roman"/>
          <w:color w:val="000000" w:themeColor="text1"/>
        </w:rPr>
        <w:t>Transport</w:t>
      </w:r>
      <w:r>
        <w:rPr>
          <w:rFonts w:cs="Times New Roman"/>
          <w:color w:val="000000" w:themeColor="text1"/>
        </w:rPr>
        <w:t xml:space="preserve"> biofuel</w:t>
      </w:r>
      <w:r w:rsidR="00E65F11">
        <w:rPr>
          <w:rFonts w:cs="Times New Roman"/>
          <w:color w:val="000000" w:themeColor="text1"/>
        </w:rPr>
        <w:t xml:space="preserve"> includes</w:t>
      </w:r>
      <w:r>
        <w:rPr>
          <w:rFonts w:cs="Times New Roman"/>
          <w:color w:val="000000" w:themeColor="text1"/>
        </w:rPr>
        <w:t xml:space="preserve"> </w:t>
      </w:r>
      <w:r w:rsidR="00E65F11">
        <w:rPr>
          <w:rFonts w:cs="Times New Roman"/>
          <w:color w:val="000000" w:themeColor="text1"/>
        </w:rPr>
        <w:t>biofuel that</w:t>
      </w:r>
      <w:r>
        <w:rPr>
          <w:rFonts w:cs="Times New Roman"/>
          <w:color w:val="000000" w:themeColor="text1"/>
        </w:rPr>
        <w:t xml:space="preserve"> </w:t>
      </w:r>
      <w:r w:rsidR="00E65F11">
        <w:rPr>
          <w:rFonts w:cs="Times New Roman"/>
          <w:color w:val="000000" w:themeColor="text1"/>
        </w:rPr>
        <w:t>can</w:t>
      </w:r>
      <w:r>
        <w:rPr>
          <w:rFonts w:cs="Times New Roman"/>
          <w:color w:val="000000" w:themeColor="text1"/>
        </w:rPr>
        <w:t xml:space="preserve"> be used directly to power a </w:t>
      </w:r>
      <w:r w:rsidR="00E65F11">
        <w:rPr>
          <w:rFonts w:cs="Times New Roman"/>
          <w:color w:val="000000" w:themeColor="text1"/>
        </w:rPr>
        <w:t>vehicle such as a car, truck,</w:t>
      </w:r>
      <w:r>
        <w:rPr>
          <w:rFonts w:cs="Times New Roman"/>
          <w:color w:val="000000" w:themeColor="text1"/>
        </w:rPr>
        <w:t xml:space="preserve"> ship or plane</w:t>
      </w:r>
      <w:r w:rsidR="00E65F11">
        <w:rPr>
          <w:rFonts w:cs="Times New Roman"/>
          <w:color w:val="000000" w:themeColor="text1"/>
        </w:rPr>
        <w:t>;</w:t>
      </w:r>
      <w:r>
        <w:rPr>
          <w:rFonts w:cs="Times New Roman"/>
          <w:color w:val="000000" w:themeColor="text1"/>
        </w:rPr>
        <w:t xml:space="preserve"> and biofuel that would </w:t>
      </w:r>
      <w:r w:rsidR="00E65F11">
        <w:rPr>
          <w:rFonts w:cs="Times New Roman"/>
          <w:color w:val="000000" w:themeColor="text1"/>
        </w:rPr>
        <w:t>require blending</w:t>
      </w:r>
      <w:r>
        <w:rPr>
          <w:rFonts w:cs="Times New Roman"/>
          <w:color w:val="000000" w:themeColor="text1"/>
        </w:rPr>
        <w:t xml:space="preserve"> with another covered product</w:t>
      </w:r>
      <w:r w:rsidR="00E65F11">
        <w:rPr>
          <w:rFonts w:cs="Times New Roman"/>
          <w:color w:val="000000" w:themeColor="text1"/>
        </w:rPr>
        <w:t xml:space="preserve"> before being used.</w:t>
      </w:r>
      <w:r>
        <w:rPr>
          <w:rFonts w:cs="Times New Roman"/>
          <w:color w:val="000000" w:themeColor="text1"/>
        </w:rPr>
        <w:t xml:space="preserve"> </w:t>
      </w:r>
    </w:p>
    <w:p w14:paraId="536D7D5E" w14:textId="4A10BF5F" w:rsidR="00EF4BDD" w:rsidRDefault="00EF4BDD" w:rsidP="00EF4BDD">
      <w:pPr>
        <w:pStyle w:val="Numberedparagraph"/>
        <w:spacing w:after="200" w:line="276" w:lineRule="auto"/>
        <w:ind w:left="720" w:hanging="720"/>
        <w:rPr>
          <w:rFonts w:cs="Times New Roman"/>
          <w:color w:val="000000" w:themeColor="text1"/>
        </w:rPr>
      </w:pPr>
      <w:r>
        <w:rPr>
          <w:rFonts w:cs="Times New Roman"/>
          <w:color w:val="000000" w:themeColor="text1"/>
        </w:rPr>
        <w:t>Sub</w:t>
      </w:r>
      <w:r w:rsidR="006C435C">
        <w:rPr>
          <w:rFonts w:cs="Times New Roman"/>
          <w:color w:val="000000" w:themeColor="text1"/>
        </w:rPr>
        <w:t>section</w:t>
      </w:r>
      <w:r>
        <w:rPr>
          <w:rFonts w:cs="Times New Roman"/>
          <w:color w:val="000000" w:themeColor="text1"/>
        </w:rPr>
        <w:t xml:space="preserve"> </w:t>
      </w:r>
      <w:r w:rsidR="00FB2CFF">
        <w:rPr>
          <w:rFonts w:cs="Times New Roman"/>
          <w:color w:val="000000" w:themeColor="text1"/>
        </w:rPr>
        <w:t>1</w:t>
      </w:r>
      <w:r w:rsidR="0054058E">
        <w:rPr>
          <w:rFonts w:cs="Times New Roman"/>
          <w:color w:val="000000" w:themeColor="text1"/>
        </w:rPr>
        <w:t>1</w:t>
      </w:r>
      <w:r>
        <w:rPr>
          <w:rFonts w:cs="Times New Roman"/>
          <w:color w:val="000000" w:themeColor="text1"/>
        </w:rPr>
        <w:t>(</w:t>
      </w:r>
      <w:r w:rsidR="007037DF">
        <w:rPr>
          <w:rFonts w:cs="Times New Roman"/>
          <w:color w:val="000000" w:themeColor="text1"/>
        </w:rPr>
        <w:t>4</w:t>
      </w:r>
      <w:r>
        <w:rPr>
          <w:rFonts w:cs="Times New Roman"/>
          <w:color w:val="000000" w:themeColor="text1"/>
        </w:rPr>
        <w:t>) provide</w:t>
      </w:r>
      <w:r w:rsidR="006C435C">
        <w:rPr>
          <w:rFonts w:cs="Times New Roman"/>
          <w:color w:val="000000" w:themeColor="text1"/>
        </w:rPr>
        <w:t>s</w:t>
      </w:r>
      <w:r>
        <w:rPr>
          <w:rFonts w:cs="Times New Roman"/>
          <w:color w:val="000000" w:themeColor="text1"/>
        </w:rPr>
        <w:t xml:space="preserve"> that a reference to </w:t>
      </w:r>
      <w:r w:rsidR="00FC7264">
        <w:rPr>
          <w:rFonts w:cs="Times New Roman"/>
          <w:color w:val="000000" w:themeColor="text1"/>
        </w:rPr>
        <w:t>an Australian plant</w:t>
      </w:r>
      <w:r>
        <w:rPr>
          <w:rFonts w:cs="Times New Roman"/>
          <w:color w:val="000000" w:themeColor="text1"/>
        </w:rPr>
        <w:t xml:space="preserve"> </w:t>
      </w:r>
      <w:r w:rsidR="003643EE">
        <w:rPr>
          <w:rFonts w:cs="Times New Roman"/>
          <w:color w:val="000000" w:themeColor="text1"/>
        </w:rPr>
        <w:t xml:space="preserve">(non-biofuel) </w:t>
      </w:r>
      <w:r>
        <w:rPr>
          <w:rFonts w:cs="Times New Roman"/>
          <w:color w:val="000000" w:themeColor="text1"/>
        </w:rPr>
        <w:t xml:space="preserve">means a plant at which </w:t>
      </w:r>
      <w:r w:rsidR="003643EE">
        <w:rPr>
          <w:rFonts w:cs="Times New Roman"/>
          <w:color w:val="000000" w:themeColor="text1"/>
        </w:rPr>
        <w:t>plant products</w:t>
      </w:r>
      <w:r>
        <w:rPr>
          <w:rFonts w:cs="Times New Roman"/>
          <w:color w:val="000000" w:themeColor="text1"/>
        </w:rPr>
        <w:t xml:space="preserve"> are or were produced in A</w:t>
      </w:r>
      <w:r w:rsidR="00E65F11">
        <w:rPr>
          <w:rFonts w:cs="Times New Roman"/>
          <w:color w:val="000000" w:themeColor="text1"/>
        </w:rPr>
        <w:t>ustralia by a regulated entity</w:t>
      </w:r>
      <w:r>
        <w:rPr>
          <w:rFonts w:cs="Times New Roman"/>
          <w:color w:val="000000" w:themeColor="text1"/>
        </w:rPr>
        <w:t xml:space="preserve">. </w:t>
      </w:r>
      <w:r w:rsidR="003643EE">
        <w:rPr>
          <w:rFonts w:cs="Times New Roman"/>
          <w:color w:val="000000" w:themeColor="text1"/>
        </w:rPr>
        <w:t xml:space="preserve">Plant is used as a generic term for facilities that </w:t>
      </w:r>
      <w:r w:rsidR="004A7E81">
        <w:rPr>
          <w:rFonts w:cs="Times New Roman"/>
          <w:color w:val="000000" w:themeColor="text1"/>
        </w:rPr>
        <w:t>process</w:t>
      </w:r>
      <w:r w:rsidR="003643EE">
        <w:rPr>
          <w:rFonts w:cs="Times New Roman"/>
          <w:color w:val="000000" w:themeColor="text1"/>
        </w:rPr>
        <w:t xml:space="preserve"> plant product but which do not engage in the refining of petroleum. For example, an Australian plant (non-biofuel) may process </w:t>
      </w:r>
      <w:r w:rsidR="004A7E81">
        <w:rPr>
          <w:rFonts w:cs="Times New Roman"/>
          <w:color w:val="000000" w:themeColor="text1"/>
        </w:rPr>
        <w:t>methane</w:t>
      </w:r>
      <w:r w:rsidR="00EE5AFA">
        <w:rPr>
          <w:rFonts w:cs="Times New Roman"/>
          <w:color w:val="000000" w:themeColor="text1"/>
        </w:rPr>
        <w:t xml:space="preserve"> to form NGL</w:t>
      </w:r>
      <w:r w:rsidR="003643EE">
        <w:rPr>
          <w:rFonts w:cs="Times New Roman"/>
          <w:color w:val="000000" w:themeColor="text1"/>
        </w:rPr>
        <w:t xml:space="preserve"> which </w:t>
      </w:r>
      <w:r w:rsidR="00C165EF">
        <w:rPr>
          <w:rFonts w:cs="Times New Roman"/>
          <w:color w:val="000000" w:themeColor="text1"/>
        </w:rPr>
        <w:t xml:space="preserve">is </w:t>
      </w:r>
      <w:r w:rsidR="003643EE">
        <w:rPr>
          <w:rFonts w:cs="Times New Roman"/>
          <w:color w:val="000000" w:themeColor="text1"/>
        </w:rPr>
        <w:t xml:space="preserve">also referred to as ‘plant condensate’ by some stakeholders. </w:t>
      </w:r>
    </w:p>
    <w:p w14:paraId="2A6F69EC" w14:textId="7F8A6B30" w:rsidR="003643EE" w:rsidRDefault="003643EE" w:rsidP="00EF4BDD">
      <w:pPr>
        <w:pStyle w:val="Numberedparagraph"/>
        <w:spacing w:after="200" w:line="276" w:lineRule="auto"/>
        <w:ind w:left="720" w:hanging="720"/>
        <w:rPr>
          <w:rFonts w:cs="Times New Roman"/>
          <w:color w:val="000000" w:themeColor="text1"/>
        </w:rPr>
      </w:pPr>
      <w:r>
        <w:rPr>
          <w:rFonts w:cs="Times New Roman"/>
          <w:color w:val="000000" w:themeColor="text1"/>
        </w:rPr>
        <w:t>Plant product is defined at section 4 of the Rules to me</w:t>
      </w:r>
      <w:r w:rsidR="001B46CF">
        <w:rPr>
          <w:rFonts w:cs="Times New Roman"/>
          <w:color w:val="000000" w:themeColor="text1"/>
        </w:rPr>
        <w:t>an LPG</w:t>
      </w:r>
      <w:r>
        <w:rPr>
          <w:rFonts w:cs="Times New Roman"/>
          <w:color w:val="000000" w:themeColor="text1"/>
        </w:rPr>
        <w:t xml:space="preserve">, naphtha and NGL. </w:t>
      </w:r>
    </w:p>
    <w:p w14:paraId="0F3F565C" w14:textId="7C3EFBCE" w:rsidR="00FC7264" w:rsidRDefault="00EF4BDD" w:rsidP="00D13FD3">
      <w:pPr>
        <w:pStyle w:val="Numberedparagraph"/>
        <w:spacing w:after="200" w:line="276" w:lineRule="auto"/>
        <w:ind w:left="720" w:hanging="720"/>
        <w:rPr>
          <w:rFonts w:cs="Times New Roman"/>
          <w:color w:val="000000" w:themeColor="text1"/>
        </w:rPr>
      </w:pPr>
      <w:r>
        <w:rPr>
          <w:rFonts w:cs="Times New Roman"/>
          <w:color w:val="000000" w:themeColor="text1"/>
        </w:rPr>
        <w:t>Sub</w:t>
      </w:r>
      <w:r w:rsidR="006C435C">
        <w:rPr>
          <w:rFonts w:cs="Times New Roman"/>
          <w:color w:val="000000" w:themeColor="text1"/>
        </w:rPr>
        <w:t>section</w:t>
      </w:r>
      <w:r>
        <w:rPr>
          <w:rFonts w:cs="Times New Roman"/>
          <w:color w:val="000000" w:themeColor="text1"/>
        </w:rPr>
        <w:t xml:space="preserve"> </w:t>
      </w:r>
      <w:r w:rsidR="00FB2CFF">
        <w:rPr>
          <w:rFonts w:cs="Times New Roman"/>
          <w:color w:val="000000" w:themeColor="text1"/>
        </w:rPr>
        <w:t>1</w:t>
      </w:r>
      <w:r w:rsidR="0054058E">
        <w:rPr>
          <w:rFonts w:cs="Times New Roman"/>
          <w:color w:val="000000" w:themeColor="text1"/>
        </w:rPr>
        <w:t>1</w:t>
      </w:r>
      <w:r>
        <w:rPr>
          <w:rFonts w:cs="Times New Roman"/>
          <w:color w:val="000000" w:themeColor="text1"/>
        </w:rPr>
        <w:t>(</w:t>
      </w:r>
      <w:r w:rsidR="003643EE">
        <w:rPr>
          <w:rFonts w:cs="Times New Roman"/>
          <w:color w:val="000000" w:themeColor="text1"/>
        </w:rPr>
        <w:t>5</w:t>
      </w:r>
      <w:r>
        <w:rPr>
          <w:rFonts w:cs="Times New Roman"/>
          <w:color w:val="000000" w:themeColor="text1"/>
        </w:rPr>
        <w:t>) extend</w:t>
      </w:r>
      <w:r w:rsidR="006C435C">
        <w:rPr>
          <w:rFonts w:cs="Times New Roman"/>
          <w:color w:val="000000" w:themeColor="text1"/>
        </w:rPr>
        <w:t>s</w:t>
      </w:r>
      <w:r>
        <w:rPr>
          <w:rFonts w:cs="Times New Roman"/>
          <w:color w:val="000000" w:themeColor="text1"/>
        </w:rPr>
        <w:t xml:space="preserve"> the meaning of </w:t>
      </w:r>
      <w:r w:rsidR="00FC7264">
        <w:rPr>
          <w:rFonts w:cs="Times New Roman"/>
          <w:color w:val="000000" w:themeColor="text1"/>
        </w:rPr>
        <w:t>Australian field, Australian biofuel plant</w:t>
      </w:r>
      <w:r>
        <w:rPr>
          <w:rFonts w:cs="Times New Roman"/>
          <w:color w:val="000000" w:themeColor="text1"/>
        </w:rPr>
        <w:t xml:space="preserve"> and </w:t>
      </w:r>
      <w:r w:rsidR="00FC7264">
        <w:rPr>
          <w:rFonts w:cs="Times New Roman"/>
          <w:color w:val="000000" w:themeColor="text1"/>
        </w:rPr>
        <w:t>Australian plant</w:t>
      </w:r>
      <w:r w:rsidR="003643EE">
        <w:rPr>
          <w:rFonts w:cs="Times New Roman"/>
          <w:color w:val="000000" w:themeColor="text1"/>
        </w:rPr>
        <w:t xml:space="preserve"> (non-biofuel)</w:t>
      </w:r>
      <w:r>
        <w:rPr>
          <w:rFonts w:cs="Times New Roman"/>
          <w:color w:val="000000" w:themeColor="text1"/>
        </w:rPr>
        <w:t xml:space="preserve"> to include any storage facility in Australia </w:t>
      </w:r>
      <w:r w:rsidR="00E65F11">
        <w:rPr>
          <w:rFonts w:cs="Times New Roman"/>
          <w:color w:val="000000" w:themeColor="text1"/>
        </w:rPr>
        <w:t xml:space="preserve">to </w:t>
      </w:r>
      <w:r>
        <w:rPr>
          <w:rFonts w:cs="Times New Roman"/>
          <w:color w:val="000000" w:themeColor="text1"/>
        </w:rPr>
        <w:t xml:space="preserve">which a </w:t>
      </w:r>
      <w:r w:rsidR="00E65F11">
        <w:rPr>
          <w:rFonts w:cs="Times New Roman"/>
          <w:color w:val="000000" w:themeColor="text1"/>
        </w:rPr>
        <w:t xml:space="preserve">processed or produced </w:t>
      </w:r>
      <w:r>
        <w:rPr>
          <w:rFonts w:cs="Times New Roman"/>
          <w:color w:val="000000" w:themeColor="text1"/>
        </w:rPr>
        <w:t xml:space="preserve">covered product </w:t>
      </w:r>
      <w:r w:rsidR="00E65F11">
        <w:rPr>
          <w:rFonts w:cs="Times New Roman"/>
          <w:color w:val="000000" w:themeColor="text1"/>
        </w:rPr>
        <w:t xml:space="preserve">is </w:t>
      </w:r>
      <w:r w:rsidR="003643EE">
        <w:rPr>
          <w:rFonts w:cs="Times New Roman"/>
          <w:color w:val="000000" w:themeColor="text1"/>
        </w:rPr>
        <w:t>delivered</w:t>
      </w:r>
      <w:r>
        <w:rPr>
          <w:rFonts w:cs="Times New Roman"/>
          <w:color w:val="000000" w:themeColor="text1"/>
        </w:rPr>
        <w:t xml:space="preserve">. </w:t>
      </w:r>
      <w:r w:rsidR="00FC7264">
        <w:rPr>
          <w:rFonts w:cs="Times New Roman"/>
          <w:color w:val="000000" w:themeColor="text1"/>
        </w:rPr>
        <w:t xml:space="preserve">For example, if crude oil is extracted from an onshore field and then transported to a terminal on the coast for storage until export, this terminal is taken to be part of the field for the purposes of reporting crude oil stored at a field under table items 1 and 2 of </w:t>
      </w:r>
      <w:r w:rsidR="00A44DAC">
        <w:rPr>
          <w:rFonts w:cs="Times New Roman"/>
          <w:color w:val="000000" w:themeColor="text1"/>
        </w:rPr>
        <w:t xml:space="preserve">subsection </w:t>
      </w:r>
      <w:r w:rsidR="00FB2CFF">
        <w:rPr>
          <w:rFonts w:cs="Times New Roman"/>
          <w:color w:val="000000" w:themeColor="text1"/>
        </w:rPr>
        <w:t>16</w:t>
      </w:r>
      <w:r w:rsidR="00FC7264">
        <w:rPr>
          <w:rFonts w:cs="Times New Roman"/>
          <w:color w:val="000000" w:themeColor="text1"/>
        </w:rPr>
        <w:t>(1)</w:t>
      </w:r>
      <w:r w:rsidR="00A44DAC">
        <w:rPr>
          <w:rFonts w:cs="Times New Roman"/>
          <w:color w:val="000000" w:themeColor="text1"/>
        </w:rPr>
        <w:t xml:space="preserve"> of the Rules</w:t>
      </w:r>
      <w:r w:rsidR="00FC7264">
        <w:rPr>
          <w:rFonts w:cs="Times New Roman"/>
          <w:color w:val="000000" w:themeColor="text1"/>
        </w:rPr>
        <w:t>.</w:t>
      </w:r>
    </w:p>
    <w:p w14:paraId="0BE0AFD0" w14:textId="77777777" w:rsidR="004E78AF" w:rsidRDefault="00FC7264" w:rsidP="00D13FD3">
      <w:pPr>
        <w:pStyle w:val="Numberedparagraph"/>
        <w:spacing w:after="200" w:line="276" w:lineRule="auto"/>
        <w:ind w:left="720" w:hanging="720"/>
        <w:rPr>
          <w:rFonts w:cs="Times New Roman"/>
          <w:color w:val="000000" w:themeColor="text1"/>
        </w:rPr>
      </w:pPr>
      <w:r>
        <w:rPr>
          <w:rFonts w:cs="Times New Roman"/>
          <w:color w:val="000000" w:themeColor="text1"/>
        </w:rPr>
        <w:t>The extension of the meaning of field and plant to cover storage facilities located offsite</w:t>
      </w:r>
      <w:r w:rsidR="00EF4BDD">
        <w:rPr>
          <w:rFonts w:cs="Times New Roman"/>
          <w:color w:val="000000" w:themeColor="text1"/>
        </w:rPr>
        <w:t xml:space="preserve"> is intended to</w:t>
      </w:r>
      <w:r w:rsidR="00E65F11">
        <w:rPr>
          <w:rFonts w:cs="Times New Roman"/>
          <w:color w:val="000000" w:themeColor="text1"/>
        </w:rPr>
        <w:t xml:space="preserve"> reduce the reporting burden by</w:t>
      </w:r>
      <w:r w:rsidR="00EF4BDD">
        <w:rPr>
          <w:rFonts w:cs="Times New Roman"/>
          <w:color w:val="000000" w:themeColor="text1"/>
        </w:rPr>
        <w:t xml:space="preserve"> allow</w:t>
      </w:r>
      <w:r w:rsidR="00E65F11">
        <w:rPr>
          <w:rFonts w:cs="Times New Roman"/>
          <w:color w:val="000000" w:themeColor="text1"/>
        </w:rPr>
        <w:t>ing</w:t>
      </w:r>
      <w:r w:rsidR="00EF4BDD">
        <w:rPr>
          <w:rFonts w:cs="Times New Roman"/>
          <w:color w:val="000000" w:themeColor="text1"/>
        </w:rPr>
        <w:t xml:space="preserve"> producers</w:t>
      </w:r>
      <w:r w:rsidR="00E65F11">
        <w:rPr>
          <w:rFonts w:cs="Times New Roman"/>
          <w:color w:val="000000" w:themeColor="text1"/>
        </w:rPr>
        <w:t xml:space="preserve"> and processor</w:t>
      </w:r>
      <w:r>
        <w:rPr>
          <w:rFonts w:cs="Times New Roman"/>
          <w:color w:val="000000" w:themeColor="text1"/>
        </w:rPr>
        <w:t>s</w:t>
      </w:r>
      <w:r w:rsidR="00EF4BDD">
        <w:rPr>
          <w:rFonts w:cs="Times New Roman"/>
          <w:color w:val="000000" w:themeColor="text1"/>
        </w:rPr>
        <w:t xml:space="preserve"> to report all their stocks </w:t>
      </w:r>
      <w:r w:rsidR="00E65F11">
        <w:rPr>
          <w:rFonts w:cs="Times New Roman"/>
          <w:color w:val="000000" w:themeColor="text1"/>
        </w:rPr>
        <w:t xml:space="preserve">at various facilities </w:t>
      </w:r>
      <w:r w:rsidR="00EF4BDD">
        <w:rPr>
          <w:rFonts w:cs="Times New Roman"/>
          <w:color w:val="000000" w:themeColor="text1"/>
        </w:rPr>
        <w:t xml:space="preserve">in the one report rather than having to submit </w:t>
      </w:r>
      <w:r w:rsidR="004E78AF">
        <w:rPr>
          <w:rFonts w:cs="Times New Roman"/>
          <w:color w:val="000000" w:themeColor="text1"/>
        </w:rPr>
        <w:t>a report</w:t>
      </w:r>
      <w:r w:rsidR="00E65F11">
        <w:rPr>
          <w:rFonts w:cs="Times New Roman"/>
          <w:color w:val="000000" w:themeColor="text1"/>
        </w:rPr>
        <w:t xml:space="preserve"> under section</w:t>
      </w:r>
      <w:r>
        <w:rPr>
          <w:rFonts w:cs="Times New Roman"/>
          <w:color w:val="000000" w:themeColor="text1"/>
        </w:rPr>
        <w:t xml:space="preserve"> </w:t>
      </w:r>
      <w:r w:rsidR="00FB2CFF">
        <w:rPr>
          <w:rFonts w:cs="Times New Roman"/>
          <w:color w:val="000000" w:themeColor="text1"/>
        </w:rPr>
        <w:t>17</w:t>
      </w:r>
      <w:r w:rsidR="00E65F11">
        <w:rPr>
          <w:rFonts w:cs="Times New Roman"/>
          <w:color w:val="000000" w:themeColor="text1"/>
        </w:rPr>
        <w:t xml:space="preserve"> as well</w:t>
      </w:r>
      <w:r w:rsidR="004E78AF">
        <w:rPr>
          <w:rFonts w:cs="Times New Roman"/>
          <w:color w:val="000000" w:themeColor="text1"/>
        </w:rPr>
        <w:t>.</w:t>
      </w:r>
    </w:p>
    <w:p w14:paraId="45C56E5E" w14:textId="77777777" w:rsidR="00EF4BDD" w:rsidRDefault="00EF4BDD" w:rsidP="00D13FD3">
      <w:pPr>
        <w:pStyle w:val="Numberedparagraph"/>
        <w:spacing w:after="200" w:line="276" w:lineRule="auto"/>
        <w:ind w:left="720" w:hanging="720"/>
        <w:rPr>
          <w:rFonts w:cs="Times New Roman"/>
          <w:color w:val="000000" w:themeColor="text1"/>
        </w:rPr>
      </w:pPr>
      <w:r>
        <w:rPr>
          <w:rFonts w:cs="Times New Roman"/>
          <w:color w:val="000000" w:themeColor="text1"/>
        </w:rPr>
        <w:t xml:space="preserve">The obligation to </w:t>
      </w:r>
      <w:r w:rsidR="00A44DAC">
        <w:rPr>
          <w:rFonts w:cs="Times New Roman"/>
          <w:color w:val="000000" w:themeColor="text1"/>
        </w:rPr>
        <w:t xml:space="preserve">include stocks stored off-site </w:t>
      </w:r>
      <w:r w:rsidR="004E78AF">
        <w:rPr>
          <w:rFonts w:cs="Times New Roman"/>
          <w:color w:val="000000" w:themeColor="text1"/>
        </w:rPr>
        <w:t>in production reports</w:t>
      </w:r>
      <w:r>
        <w:rPr>
          <w:rFonts w:cs="Times New Roman"/>
          <w:color w:val="000000" w:themeColor="text1"/>
        </w:rPr>
        <w:t xml:space="preserve"> does not apply to stocks </w:t>
      </w:r>
      <w:r w:rsidR="00E65F11">
        <w:rPr>
          <w:rFonts w:cs="Times New Roman"/>
          <w:color w:val="000000" w:themeColor="text1"/>
        </w:rPr>
        <w:t>that have already been</w:t>
      </w:r>
      <w:r>
        <w:rPr>
          <w:rFonts w:cs="Times New Roman"/>
          <w:color w:val="000000" w:themeColor="text1"/>
        </w:rPr>
        <w:t xml:space="preserve"> </w:t>
      </w:r>
      <w:r w:rsidR="00A44DAC">
        <w:rPr>
          <w:rFonts w:cs="Times New Roman"/>
          <w:color w:val="000000" w:themeColor="text1"/>
        </w:rPr>
        <w:t xml:space="preserve">sold </w:t>
      </w:r>
      <w:r>
        <w:rPr>
          <w:rFonts w:cs="Times New Roman"/>
          <w:color w:val="000000" w:themeColor="text1"/>
        </w:rPr>
        <w:t>or exported</w:t>
      </w:r>
      <w:r w:rsidR="00E65F11">
        <w:rPr>
          <w:rFonts w:cs="Times New Roman"/>
          <w:color w:val="000000" w:themeColor="text1"/>
        </w:rPr>
        <w:t xml:space="preserve"> from Australia</w:t>
      </w:r>
      <w:r w:rsidR="004E78AF">
        <w:rPr>
          <w:rFonts w:cs="Times New Roman"/>
          <w:color w:val="000000" w:themeColor="text1"/>
        </w:rPr>
        <w:t xml:space="preserve">. </w:t>
      </w:r>
      <w:r w:rsidR="00E65F11">
        <w:rPr>
          <w:rFonts w:cs="Times New Roman"/>
          <w:color w:val="000000" w:themeColor="text1"/>
        </w:rPr>
        <w:t>Where stocks have been exported they would no longer be reportable and whe</w:t>
      </w:r>
      <w:r w:rsidR="00D44ACB">
        <w:rPr>
          <w:rFonts w:cs="Times New Roman"/>
          <w:color w:val="000000" w:themeColor="text1"/>
        </w:rPr>
        <w:t>n</w:t>
      </w:r>
      <w:r w:rsidR="00E65F11">
        <w:rPr>
          <w:rFonts w:cs="Times New Roman"/>
          <w:color w:val="000000" w:themeColor="text1"/>
        </w:rPr>
        <w:t xml:space="preserve"> they are </w:t>
      </w:r>
      <w:r w:rsidR="00A44DAC">
        <w:rPr>
          <w:rFonts w:cs="Times New Roman"/>
          <w:color w:val="000000" w:themeColor="text1"/>
        </w:rPr>
        <w:t>sold</w:t>
      </w:r>
      <w:r w:rsidR="00E65F11">
        <w:rPr>
          <w:rFonts w:cs="Times New Roman"/>
          <w:color w:val="000000" w:themeColor="text1"/>
        </w:rPr>
        <w:t>, the stock reporting obligation would apply to the new owner.</w:t>
      </w:r>
    </w:p>
    <w:p w14:paraId="4227E1A4" w14:textId="77777777" w:rsidR="00EF4BDD" w:rsidRDefault="00A44DAC" w:rsidP="00D13FD3">
      <w:pPr>
        <w:pStyle w:val="Numberedparagraph"/>
        <w:spacing w:after="200" w:line="276" w:lineRule="auto"/>
        <w:ind w:left="720" w:hanging="720"/>
        <w:rPr>
          <w:rFonts w:cs="Times New Roman"/>
          <w:color w:val="000000" w:themeColor="text1"/>
        </w:rPr>
      </w:pPr>
      <w:r>
        <w:rPr>
          <w:rFonts w:cs="Times New Roman"/>
          <w:color w:val="000000" w:themeColor="text1"/>
        </w:rPr>
        <w:t xml:space="preserve">Subsection </w:t>
      </w:r>
      <w:r w:rsidR="00FB2CFF">
        <w:rPr>
          <w:rFonts w:cs="Times New Roman"/>
          <w:color w:val="000000" w:themeColor="text1"/>
        </w:rPr>
        <w:t>1</w:t>
      </w:r>
      <w:r w:rsidR="0054058E">
        <w:rPr>
          <w:rFonts w:cs="Times New Roman"/>
          <w:color w:val="000000" w:themeColor="text1"/>
        </w:rPr>
        <w:t>1</w:t>
      </w:r>
      <w:r w:rsidR="00EF4BDD">
        <w:rPr>
          <w:rFonts w:cs="Times New Roman"/>
          <w:color w:val="000000" w:themeColor="text1"/>
        </w:rPr>
        <w:t>(</w:t>
      </w:r>
      <w:r w:rsidR="003643EE">
        <w:rPr>
          <w:rFonts w:cs="Times New Roman"/>
          <w:color w:val="000000" w:themeColor="text1"/>
        </w:rPr>
        <w:t>6</w:t>
      </w:r>
      <w:r w:rsidR="00EF4BDD">
        <w:rPr>
          <w:rFonts w:cs="Times New Roman"/>
          <w:color w:val="000000" w:themeColor="text1"/>
        </w:rPr>
        <w:t xml:space="preserve">) </w:t>
      </w:r>
      <w:r w:rsidR="00EB149D">
        <w:rPr>
          <w:rFonts w:cs="Times New Roman"/>
          <w:color w:val="000000" w:themeColor="text1"/>
        </w:rPr>
        <w:t>allow</w:t>
      </w:r>
      <w:r w:rsidR="00E80BF0">
        <w:rPr>
          <w:rFonts w:cs="Times New Roman"/>
          <w:color w:val="000000" w:themeColor="text1"/>
        </w:rPr>
        <w:t>s</w:t>
      </w:r>
      <w:r w:rsidR="00EB149D">
        <w:rPr>
          <w:rFonts w:cs="Times New Roman"/>
          <w:color w:val="000000" w:themeColor="text1"/>
        </w:rPr>
        <w:t xml:space="preserve"> </w:t>
      </w:r>
      <w:r w:rsidR="004E78AF">
        <w:rPr>
          <w:rFonts w:cs="Times New Roman"/>
          <w:color w:val="000000" w:themeColor="text1"/>
        </w:rPr>
        <w:t>regulated entities</w:t>
      </w:r>
      <w:r w:rsidR="00EB149D">
        <w:rPr>
          <w:rFonts w:cs="Times New Roman"/>
          <w:color w:val="000000" w:themeColor="text1"/>
        </w:rPr>
        <w:t xml:space="preserve"> to combine the stock volumes they report</w:t>
      </w:r>
      <w:r w:rsidR="004E78AF">
        <w:rPr>
          <w:rFonts w:cs="Times New Roman"/>
          <w:color w:val="000000" w:themeColor="text1"/>
        </w:rPr>
        <w:t xml:space="preserve"> from multiple fields or plants</w:t>
      </w:r>
      <w:r w:rsidR="00EB149D">
        <w:rPr>
          <w:rFonts w:cs="Times New Roman"/>
          <w:color w:val="000000" w:themeColor="text1"/>
        </w:rPr>
        <w:t xml:space="preserve"> into a single field or plant report. This is a discretionary choice for reporters and is intended to reduce the regulatory burden associated with reporting where a </w:t>
      </w:r>
      <w:r w:rsidR="00E80BF0">
        <w:rPr>
          <w:rFonts w:cs="Times New Roman"/>
          <w:color w:val="000000" w:themeColor="text1"/>
        </w:rPr>
        <w:t xml:space="preserve">regulated entity </w:t>
      </w:r>
      <w:r w:rsidR="004E78AF">
        <w:rPr>
          <w:rFonts w:cs="Times New Roman"/>
          <w:color w:val="000000" w:themeColor="text1"/>
        </w:rPr>
        <w:t>holds</w:t>
      </w:r>
      <w:r w:rsidR="00EB149D">
        <w:rPr>
          <w:rFonts w:cs="Times New Roman"/>
          <w:color w:val="000000" w:themeColor="text1"/>
        </w:rPr>
        <w:t xml:space="preserve"> stock from </w:t>
      </w:r>
      <w:r w:rsidR="004E78AF">
        <w:rPr>
          <w:rFonts w:cs="Times New Roman"/>
          <w:color w:val="000000" w:themeColor="text1"/>
        </w:rPr>
        <w:t>several</w:t>
      </w:r>
      <w:r w:rsidR="00EB149D">
        <w:rPr>
          <w:rFonts w:cs="Times New Roman"/>
          <w:color w:val="000000" w:themeColor="text1"/>
        </w:rPr>
        <w:t xml:space="preserve"> fields </w:t>
      </w:r>
      <w:r w:rsidR="004E78AF">
        <w:rPr>
          <w:rFonts w:cs="Times New Roman"/>
          <w:color w:val="000000" w:themeColor="text1"/>
        </w:rPr>
        <w:t xml:space="preserve">or plants </w:t>
      </w:r>
      <w:r w:rsidR="00EB149D">
        <w:rPr>
          <w:rFonts w:cs="Times New Roman"/>
          <w:color w:val="000000" w:themeColor="text1"/>
        </w:rPr>
        <w:t xml:space="preserve">and </w:t>
      </w:r>
      <w:r w:rsidR="004E78AF">
        <w:rPr>
          <w:rFonts w:cs="Times New Roman"/>
          <w:color w:val="000000" w:themeColor="text1"/>
        </w:rPr>
        <w:t xml:space="preserve">combines </w:t>
      </w:r>
      <w:r w:rsidR="00E65F11">
        <w:rPr>
          <w:rFonts w:cs="Times New Roman"/>
          <w:color w:val="000000" w:themeColor="text1"/>
        </w:rPr>
        <w:t>these stocks</w:t>
      </w:r>
      <w:r w:rsidR="004E78AF">
        <w:rPr>
          <w:rFonts w:cs="Times New Roman"/>
          <w:color w:val="000000" w:themeColor="text1"/>
        </w:rPr>
        <w:t xml:space="preserve"> at one or more locations</w:t>
      </w:r>
      <w:r w:rsidR="00EB149D">
        <w:rPr>
          <w:rFonts w:cs="Times New Roman"/>
          <w:color w:val="000000" w:themeColor="text1"/>
        </w:rPr>
        <w:t>. For example, where a</w:t>
      </w:r>
      <w:r w:rsidR="00E80BF0">
        <w:rPr>
          <w:rFonts w:cs="Times New Roman"/>
          <w:color w:val="000000" w:themeColor="text1"/>
        </w:rPr>
        <w:t>n entity</w:t>
      </w:r>
      <w:r w:rsidR="00EB149D">
        <w:rPr>
          <w:rFonts w:cs="Times New Roman"/>
          <w:color w:val="000000" w:themeColor="text1"/>
        </w:rPr>
        <w:t xml:space="preserve"> owns stock produced from four separate fields and stores this at </w:t>
      </w:r>
      <w:r w:rsidR="004E78AF">
        <w:rPr>
          <w:rFonts w:cs="Times New Roman"/>
          <w:color w:val="000000" w:themeColor="text1"/>
        </w:rPr>
        <w:t>a single</w:t>
      </w:r>
      <w:r w:rsidR="00EB149D">
        <w:rPr>
          <w:rFonts w:cs="Times New Roman"/>
          <w:color w:val="000000" w:themeColor="text1"/>
        </w:rPr>
        <w:t xml:space="preserve"> off</w:t>
      </w:r>
      <w:r w:rsidR="004E78AF">
        <w:rPr>
          <w:rFonts w:cs="Times New Roman"/>
          <w:color w:val="000000" w:themeColor="text1"/>
        </w:rPr>
        <w:t>-</w:t>
      </w:r>
      <w:r w:rsidR="00EB149D">
        <w:rPr>
          <w:rFonts w:cs="Times New Roman"/>
          <w:color w:val="000000" w:themeColor="text1"/>
        </w:rPr>
        <w:t>site facilit</w:t>
      </w:r>
      <w:r w:rsidR="004E78AF">
        <w:rPr>
          <w:rFonts w:cs="Times New Roman"/>
          <w:color w:val="000000" w:themeColor="text1"/>
        </w:rPr>
        <w:t>y,</w:t>
      </w:r>
      <w:r w:rsidR="00EB149D">
        <w:rPr>
          <w:rFonts w:cs="Times New Roman"/>
          <w:color w:val="000000" w:themeColor="text1"/>
        </w:rPr>
        <w:t xml:space="preserve"> such </w:t>
      </w:r>
      <w:r w:rsidR="00EB149D">
        <w:rPr>
          <w:rFonts w:cs="Times New Roman"/>
          <w:color w:val="000000" w:themeColor="text1"/>
        </w:rPr>
        <w:lastRenderedPageBreak/>
        <w:t xml:space="preserve">as </w:t>
      </w:r>
      <w:r w:rsidR="004E78AF">
        <w:rPr>
          <w:rFonts w:cs="Times New Roman"/>
          <w:color w:val="000000" w:themeColor="text1"/>
        </w:rPr>
        <w:t>an export terminal,</w:t>
      </w:r>
      <w:r w:rsidR="00EB149D">
        <w:rPr>
          <w:rFonts w:cs="Times New Roman"/>
          <w:color w:val="000000" w:themeColor="text1"/>
        </w:rPr>
        <w:t xml:space="preserve"> </w:t>
      </w:r>
      <w:r w:rsidR="00E80BF0">
        <w:rPr>
          <w:rFonts w:cs="Times New Roman"/>
          <w:color w:val="000000" w:themeColor="text1"/>
        </w:rPr>
        <w:t xml:space="preserve">it </w:t>
      </w:r>
      <w:r w:rsidR="00EB149D">
        <w:rPr>
          <w:rFonts w:cs="Times New Roman"/>
          <w:color w:val="000000" w:themeColor="text1"/>
        </w:rPr>
        <w:t xml:space="preserve">may report all </w:t>
      </w:r>
      <w:r w:rsidR="004E78AF">
        <w:rPr>
          <w:rFonts w:cs="Times New Roman"/>
          <w:color w:val="000000" w:themeColor="text1"/>
        </w:rPr>
        <w:t>the</w:t>
      </w:r>
      <w:r w:rsidR="00EB149D">
        <w:rPr>
          <w:rFonts w:cs="Times New Roman"/>
          <w:color w:val="000000" w:themeColor="text1"/>
        </w:rPr>
        <w:t xml:space="preserve"> stock </w:t>
      </w:r>
      <w:r w:rsidR="004E78AF">
        <w:rPr>
          <w:rFonts w:cs="Times New Roman"/>
          <w:color w:val="000000" w:themeColor="text1"/>
        </w:rPr>
        <w:t>as being from</w:t>
      </w:r>
      <w:r w:rsidR="00EB149D">
        <w:rPr>
          <w:rFonts w:cs="Times New Roman"/>
          <w:color w:val="000000" w:themeColor="text1"/>
        </w:rPr>
        <w:t xml:space="preserve"> </w:t>
      </w:r>
      <w:r w:rsidR="004E78AF">
        <w:rPr>
          <w:rFonts w:cs="Times New Roman"/>
          <w:color w:val="000000" w:themeColor="text1"/>
        </w:rPr>
        <w:t>one</w:t>
      </w:r>
      <w:r w:rsidR="00EB149D">
        <w:rPr>
          <w:rFonts w:cs="Times New Roman"/>
          <w:color w:val="000000" w:themeColor="text1"/>
        </w:rPr>
        <w:t xml:space="preserve"> field </w:t>
      </w:r>
      <w:r w:rsidR="004E78AF">
        <w:rPr>
          <w:rFonts w:cs="Times New Roman"/>
          <w:color w:val="000000" w:themeColor="text1"/>
        </w:rPr>
        <w:t>or</w:t>
      </w:r>
      <w:r w:rsidR="00EB149D">
        <w:rPr>
          <w:rFonts w:cs="Times New Roman"/>
          <w:color w:val="000000" w:themeColor="text1"/>
        </w:rPr>
        <w:t xml:space="preserve"> </w:t>
      </w:r>
      <w:r w:rsidR="00EB149D" w:rsidRPr="00C8201A">
        <w:rPr>
          <w:rFonts w:cs="Times New Roman"/>
          <w:color w:val="000000" w:themeColor="text1"/>
        </w:rPr>
        <w:t xml:space="preserve">allocate </w:t>
      </w:r>
      <w:r w:rsidR="00E65F11">
        <w:rPr>
          <w:rFonts w:cs="Times New Roman"/>
          <w:color w:val="000000" w:themeColor="text1"/>
        </w:rPr>
        <w:t>the</w:t>
      </w:r>
      <w:r w:rsidR="00EB149D" w:rsidRPr="00C8201A">
        <w:rPr>
          <w:rFonts w:cs="Times New Roman"/>
          <w:color w:val="000000" w:themeColor="text1"/>
        </w:rPr>
        <w:t xml:space="preserve"> stock </w:t>
      </w:r>
      <w:r w:rsidR="00E65F11">
        <w:rPr>
          <w:rFonts w:cs="Times New Roman"/>
          <w:color w:val="000000" w:themeColor="text1"/>
        </w:rPr>
        <w:t>against</w:t>
      </w:r>
      <w:r w:rsidR="00EB149D" w:rsidRPr="00C8201A">
        <w:rPr>
          <w:rFonts w:cs="Times New Roman"/>
          <w:color w:val="000000" w:themeColor="text1"/>
        </w:rPr>
        <w:t xml:space="preserve"> each </w:t>
      </w:r>
      <w:r w:rsidR="004E78AF" w:rsidRPr="00C8201A">
        <w:rPr>
          <w:rFonts w:cs="Times New Roman"/>
          <w:color w:val="000000" w:themeColor="text1"/>
        </w:rPr>
        <w:t>of the four</w:t>
      </w:r>
      <w:r w:rsidR="00EB149D" w:rsidRPr="00C8201A">
        <w:rPr>
          <w:rFonts w:cs="Times New Roman"/>
          <w:color w:val="000000" w:themeColor="text1"/>
        </w:rPr>
        <w:t xml:space="preserve"> fields</w:t>
      </w:r>
      <w:r w:rsidR="004A7E81">
        <w:rPr>
          <w:rFonts w:cs="Times New Roman"/>
          <w:color w:val="000000" w:themeColor="text1"/>
        </w:rPr>
        <w:t xml:space="preserve"> in the appropriate proportions</w:t>
      </w:r>
      <w:r w:rsidR="00EB149D" w:rsidRPr="00C8201A">
        <w:rPr>
          <w:rFonts w:cs="Times New Roman"/>
          <w:color w:val="000000" w:themeColor="text1"/>
        </w:rPr>
        <w:t xml:space="preserve">. </w:t>
      </w:r>
    </w:p>
    <w:p w14:paraId="0F083416" w14:textId="48FEE032" w:rsidR="0090649E" w:rsidRPr="00C8201A" w:rsidRDefault="004A7E81" w:rsidP="00D13FD3">
      <w:pPr>
        <w:pStyle w:val="Numberedparagraph"/>
        <w:spacing w:after="200" w:line="276" w:lineRule="auto"/>
        <w:ind w:left="720" w:hanging="720"/>
        <w:rPr>
          <w:rFonts w:cs="Times New Roman"/>
          <w:color w:val="000000" w:themeColor="text1"/>
        </w:rPr>
      </w:pPr>
      <w:r>
        <w:rPr>
          <w:rFonts w:cs="Times New Roman"/>
          <w:color w:val="000000" w:themeColor="text1"/>
        </w:rPr>
        <w:t xml:space="preserve">Subsection 11(6) does not permit stock from different covered activities to be combined in the report for one covered activity. </w:t>
      </w:r>
      <w:r w:rsidR="0090649E">
        <w:rPr>
          <w:rFonts w:cs="Times New Roman"/>
          <w:color w:val="000000" w:themeColor="text1"/>
        </w:rPr>
        <w:t>For example, if a regulated entity operates 3 Australian fields and 2 Australian plants (non</w:t>
      </w:r>
      <w:r w:rsidR="0090649E">
        <w:rPr>
          <w:rFonts w:cs="Times New Roman"/>
          <w:color w:val="000000" w:themeColor="text1"/>
        </w:rPr>
        <w:noBreakHyphen/>
        <w:t xml:space="preserve">biofuel), while they may </w:t>
      </w:r>
      <w:r w:rsidR="00C165EF">
        <w:rPr>
          <w:rFonts w:cs="Times New Roman"/>
          <w:color w:val="000000" w:themeColor="text1"/>
        </w:rPr>
        <w:t xml:space="preserve">merge </w:t>
      </w:r>
      <w:r w:rsidR="0090649E">
        <w:rPr>
          <w:rFonts w:cs="Times New Roman"/>
          <w:color w:val="000000" w:themeColor="text1"/>
        </w:rPr>
        <w:t xml:space="preserve">stocks from the 3 fields </w:t>
      </w:r>
      <w:r w:rsidR="00C165EF">
        <w:rPr>
          <w:rFonts w:cs="Times New Roman"/>
          <w:color w:val="000000" w:themeColor="text1"/>
        </w:rPr>
        <w:t>into one</w:t>
      </w:r>
      <w:r w:rsidR="0090649E">
        <w:rPr>
          <w:rFonts w:cs="Times New Roman"/>
          <w:color w:val="000000" w:themeColor="text1"/>
        </w:rPr>
        <w:t xml:space="preserve"> report, they may not combine stock for the 3 fields and 2 plants together</w:t>
      </w:r>
      <w:r>
        <w:rPr>
          <w:rFonts w:cs="Times New Roman"/>
          <w:color w:val="000000" w:themeColor="text1"/>
        </w:rPr>
        <w:t xml:space="preserve"> in the one report</w:t>
      </w:r>
      <w:r w:rsidR="0090649E">
        <w:rPr>
          <w:rFonts w:cs="Times New Roman"/>
          <w:color w:val="000000" w:themeColor="text1"/>
        </w:rPr>
        <w:t xml:space="preserve">. This is because the reportable </w:t>
      </w:r>
      <w:r>
        <w:rPr>
          <w:rFonts w:cs="Times New Roman"/>
          <w:color w:val="000000" w:themeColor="text1"/>
        </w:rPr>
        <w:t xml:space="preserve">covered </w:t>
      </w:r>
      <w:r w:rsidR="0090649E">
        <w:rPr>
          <w:rFonts w:cs="Times New Roman"/>
          <w:color w:val="000000" w:themeColor="text1"/>
        </w:rPr>
        <w:t xml:space="preserve">products are different for each activity. </w:t>
      </w:r>
      <w:r>
        <w:rPr>
          <w:rFonts w:cs="Times New Roman"/>
          <w:color w:val="000000" w:themeColor="text1"/>
        </w:rPr>
        <w:t xml:space="preserve">This does not limit the power of the Secretary </w:t>
      </w:r>
      <w:r w:rsidR="00EE1B7F">
        <w:rPr>
          <w:rFonts w:cs="Times New Roman"/>
          <w:color w:val="000000" w:themeColor="text1"/>
        </w:rPr>
        <w:t xml:space="preserve">to </w:t>
      </w:r>
      <w:r>
        <w:rPr>
          <w:rFonts w:cs="Times New Roman"/>
          <w:color w:val="000000" w:themeColor="text1"/>
        </w:rPr>
        <w:t xml:space="preserve">combine reporting templates for different activities under the Act. </w:t>
      </w:r>
    </w:p>
    <w:p w14:paraId="48C2EBDC" w14:textId="77777777" w:rsidR="00E679B3" w:rsidRPr="00C8201A" w:rsidRDefault="005576FA" w:rsidP="00947DA9">
      <w:pPr>
        <w:pStyle w:val="ListNumber"/>
        <w:numPr>
          <w:ilvl w:val="0"/>
          <w:numId w:val="0"/>
        </w:numPr>
        <w:spacing w:after="200" w:line="276" w:lineRule="auto"/>
        <w:ind w:left="720" w:hanging="720"/>
        <w:rPr>
          <w:b/>
        </w:rPr>
      </w:pPr>
      <w:r>
        <w:rPr>
          <w:b/>
        </w:rPr>
        <w:t>12</w:t>
      </w:r>
      <w:r w:rsidR="00E679B3" w:rsidRPr="00466B27">
        <w:rPr>
          <w:b/>
        </w:rPr>
        <w:t xml:space="preserve"> – </w:t>
      </w:r>
      <w:r w:rsidR="00EB149D" w:rsidRPr="00466B27">
        <w:rPr>
          <w:b/>
        </w:rPr>
        <w:t>Refineries</w:t>
      </w:r>
      <w:r w:rsidR="00F142B3" w:rsidRPr="00466B27">
        <w:rPr>
          <w:b/>
        </w:rPr>
        <w:t xml:space="preserve"> and GLOWS facilities</w:t>
      </w:r>
    </w:p>
    <w:p w14:paraId="78DF35C7" w14:textId="77777777" w:rsidR="006D4269" w:rsidRDefault="00E80BF0" w:rsidP="006D4269">
      <w:pPr>
        <w:pStyle w:val="Numberedparagraph"/>
        <w:spacing w:after="200" w:line="276" w:lineRule="auto"/>
        <w:ind w:left="720" w:hanging="720"/>
        <w:rPr>
          <w:rFonts w:cs="Times New Roman"/>
        </w:rPr>
      </w:pPr>
      <w:r>
        <w:rPr>
          <w:rFonts w:cs="Times New Roman"/>
        </w:rPr>
        <w:t>Section</w:t>
      </w:r>
      <w:r w:rsidR="00D13FD3" w:rsidRPr="00C8201A">
        <w:rPr>
          <w:rFonts w:cs="Times New Roman"/>
        </w:rPr>
        <w:t xml:space="preserve"> </w:t>
      </w:r>
      <w:r w:rsidR="00FB2CFF">
        <w:rPr>
          <w:rFonts w:cs="Times New Roman"/>
        </w:rPr>
        <w:t>1</w:t>
      </w:r>
      <w:r w:rsidR="005576FA">
        <w:rPr>
          <w:rFonts w:cs="Times New Roman"/>
        </w:rPr>
        <w:t>2</w:t>
      </w:r>
      <w:r>
        <w:rPr>
          <w:rFonts w:cs="Times New Roman"/>
        </w:rPr>
        <w:t xml:space="preserve"> of the Rules </w:t>
      </w:r>
      <w:r w:rsidR="00D13FD3" w:rsidRPr="00C8201A">
        <w:rPr>
          <w:rFonts w:cs="Times New Roman"/>
        </w:rPr>
        <w:t>provide</w:t>
      </w:r>
      <w:r>
        <w:rPr>
          <w:rFonts w:cs="Times New Roman"/>
        </w:rPr>
        <w:t>s</w:t>
      </w:r>
      <w:r w:rsidR="00D13FD3" w:rsidRPr="00C8201A">
        <w:rPr>
          <w:rFonts w:cs="Times New Roman"/>
        </w:rPr>
        <w:t xml:space="preserve"> </w:t>
      </w:r>
      <w:r w:rsidR="006D4269" w:rsidRPr="00C8201A">
        <w:rPr>
          <w:rFonts w:cs="Times New Roman"/>
        </w:rPr>
        <w:t>definitions relevant to the</w:t>
      </w:r>
      <w:r w:rsidR="006D4269">
        <w:rPr>
          <w:rFonts w:cs="Times New Roman"/>
        </w:rPr>
        <w:t xml:space="preserve"> reporting obligation</w:t>
      </w:r>
      <w:r w:rsidR="00E65F11">
        <w:rPr>
          <w:rFonts w:cs="Times New Roman"/>
        </w:rPr>
        <w:t>s</w:t>
      </w:r>
      <w:r w:rsidR="006D4269">
        <w:rPr>
          <w:rFonts w:cs="Times New Roman"/>
        </w:rPr>
        <w:t xml:space="preserve"> of refiners.</w:t>
      </w:r>
    </w:p>
    <w:p w14:paraId="261F11D9" w14:textId="77777777" w:rsidR="006D4269" w:rsidRDefault="00E80BF0" w:rsidP="006D4269">
      <w:pPr>
        <w:pStyle w:val="Numberedparagraph"/>
        <w:spacing w:after="200" w:line="276" w:lineRule="auto"/>
        <w:ind w:left="720" w:hanging="720"/>
        <w:rPr>
          <w:rFonts w:cs="Times New Roman"/>
        </w:rPr>
      </w:pPr>
      <w:r>
        <w:rPr>
          <w:rFonts w:cs="Times New Roman"/>
        </w:rPr>
        <w:t xml:space="preserve">Subsection </w:t>
      </w:r>
      <w:r w:rsidR="00FB2CFF">
        <w:rPr>
          <w:rFonts w:cs="Times New Roman"/>
        </w:rPr>
        <w:t>1</w:t>
      </w:r>
      <w:r w:rsidR="005576FA">
        <w:rPr>
          <w:rFonts w:cs="Times New Roman"/>
        </w:rPr>
        <w:t>2</w:t>
      </w:r>
      <w:r w:rsidR="006D4269">
        <w:rPr>
          <w:rFonts w:cs="Times New Roman"/>
        </w:rPr>
        <w:t>(1) defines a</w:t>
      </w:r>
      <w:r w:rsidR="00C8201A">
        <w:rPr>
          <w:rFonts w:cs="Times New Roman"/>
        </w:rPr>
        <w:t>n Australian</w:t>
      </w:r>
      <w:r w:rsidR="006D4269">
        <w:rPr>
          <w:rFonts w:cs="Times New Roman"/>
        </w:rPr>
        <w:t xml:space="preserve"> refinery as a refinery where covered product is or was refined in Australia by a regulated entity</w:t>
      </w:r>
      <w:r w:rsidR="00C8201A">
        <w:rPr>
          <w:rFonts w:cs="Times New Roman"/>
        </w:rPr>
        <w:t>.</w:t>
      </w:r>
    </w:p>
    <w:p w14:paraId="10FC83BB" w14:textId="77777777" w:rsidR="006D4269" w:rsidRDefault="006A57C5" w:rsidP="006D4269">
      <w:pPr>
        <w:pStyle w:val="Numberedparagraph"/>
        <w:spacing w:after="200" w:line="276" w:lineRule="auto"/>
        <w:ind w:left="720" w:hanging="720"/>
        <w:rPr>
          <w:rFonts w:cs="Times New Roman"/>
        </w:rPr>
      </w:pPr>
      <w:r>
        <w:rPr>
          <w:rFonts w:cs="Times New Roman"/>
        </w:rPr>
        <w:t>Paragraph</w:t>
      </w:r>
      <w:r w:rsidR="006D4269">
        <w:rPr>
          <w:rFonts w:cs="Times New Roman"/>
        </w:rPr>
        <w:t xml:space="preserve"> </w:t>
      </w:r>
      <w:r w:rsidR="00FB2CFF">
        <w:rPr>
          <w:rFonts w:cs="Times New Roman"/>
        </w:rPr>
        <w:t>1</w:t>
      </w:r>
      <w:r w:rsidR="005576FA">
        <w:rPr>
          <w:rFonts w:cs="Times New Roman"/>
        </w:rPr>
        <w:t>2</w:t>
      </w:r>
      <w:r w:rsidR="006D4269">
        <w:rPr>
          <w:rFonts w:cs="Times New Roman"/>
        </w:rPr>
        <w:t>(2)(a) define</w:t>
      </w:r>
      <w:r w:rsidR="00E80BF0">
        <w:rPr>
          <w:rFonts w:cs="Times New Roman"/>
        </w:rPr>
        <w:t>s</w:t>
      </w:r>
      <w:r w:rsidR="006D4269">
        <w:rPr>
          <w:rFonts w:cs="Times New Roman"/>
        </w:rPr>
        <w:t xml:space="preserve"> input</w:t>
      </w:r>
      <w:r w:rsidR="000B0B69">
        <w:rPr>
          <w:rFonts w:cs="Times New Roman"/>
        </w:rPr>
        <w:t xml:space="preserve"> stock</w:t>
      </w:r>
      <w:r w:rsidR="006D4269">
        <w:rPr>
          <w:rFonts w:cs="Times New Roman"/>
        </w:rPr>
        <w:t xml:space="preserve"> as a covered product which is an input into a refining process at a</w:t>
      </w:r>
      <w:r w:rsidR="004A7E81">
        <w:rPr>
          <w:rFonts w:cs="Times New Roman"/>
        </w:rPr>
        <w:t>n Australia</w:t>
      </w:r>
      <w:r w:rsidR="009B58EB">
        <w:rPr>
          <w:rFonts w:cs="Times New Roman"/>
        </w:rPr>
        <w:t>n</w:t>
      </w:r>
      <w:r w:rsidR="006D4269">
        <w:rPr>
          <w:rFonts w:cs="Times New Roman"/>
        </w:rPr>
        <w:t xml:space="preserve"> refinery.</w:t>
      </w:r>
    </w:p>
    <w:p w14:paraId="425664DD" w14:textId="77777777" w:rsidR="006D4269" w:rsidRDefault="006A57C5" w:rsidP="006D4269">
      <w:pPr>
        <w:pStyle w:val="Numberedparagraph"/>
        <w:spacing w:after="200" w:line="276" w:lineRule="auto"/>
        <w:ind w:left="720" w:hanging="720"/>
        <w:rPr>
          <w:rFonts w:cs="Times New Roman"/>
        </w:rPr>
      </w:pPr>
      <w:r>
        <w:rPr>
          <w:rFonts w:cs="Times New Roman"/>
        </w:rPr>
        <w:t>Paragraph</w:t>
      </w:r>
      <w:r w:rsidR="006D4269">
        <w:rPr>
          <w:rFonts w:cs="Times New Roman"/>
        </w:rPr>
        <w:t xml:space="preserve"> </w:t>
      </w:r>
      <w:r w:rsidR="00FB2CFF">
        <w:rPr>
          <w:rFonts w:cs="Times New Roman"/>
        </w:rPr>
        <w:t>1</w:t>
      </w:r>
      <w:r w:rsidR="005576FA">
        <w:rPr>
          <w:rFonts w:cs="Times New Roman"/>
        </w:rPr>
        <w:t>2</w:t>
      </w:r>
      <w:r w:rsidR="006D4269">
        <w:rPr>
          <w:rFonts w:cs="Times New Roman"/>
        </w:rPr>
        <w:t>(2)(b</w:t>
      </w:r>
      <w:r w:rsidR="00EB4145">
        <w:rPr>
          <w:rFonts w:cs="Times New Roman"/>
        </w:rPr>
        <w:t>) define</w:t>
      </w:r>
      <w:r w:rsidR="00E80BF0">
        <w:rPr>
          <w:rFonts w:cs="Times New Roman"/>
        </w:rPr>
        <w:t>s</w:t>
      </w:r>
      <w:r w:rsidR="00EB4145">
        <w:rPr>
          <w:rFonts w:cs="Times New Roman"/>
        </w:rPr>
        <w:t xml:space="preserve"> </w:t>
      </w:r>
      <w:r w:rsidR="000B0B69">
        <w:rPr>
          <w:rFonts w:cs="Times New Roman"/>
        </w:rPr>
        <w:t>working stock</w:t>
      </w:r>
      <w:r w:rsidR="00EB4145">
        <w:rPr>
          <w:rFonts w:cs="Times New Roman"/>
        </w:rPr>
        <w:t xml:space="preserve"> </w:t>
      </w:r>
      <w:r w:rsidR="006D4269">
        <w:rPr>
          <w:rFonts w:cs="Times New Roman"/>
        </w:rPr>
        <w:t xml:space="preserve">as a covered product which is an </w:t>
      </w:r>
      <w:r w:rsidR="00EB4145">
        <w:rPr>
          <w:rFonts w:cs="Times New Roman"/>
        </w:rPr>
        <w:t>intermediate output</w:t>
      </w:r>
      <w:r w:rsidR="006D4269">
        <w:rPr>
          <w:rFonts w:cs="Times New Roman"/>
        </w:rPr>
        <w:t xml:space="preserve"> </w:t>
      </w:r>
      <w:r w:rsidR="00EB4145">
        <w:rPr>
          <w:rFonts w:cs="Times New Roman"/>
        </w:rPr>
        <w:t>from</w:t>
      </w:r>
      <w:r w:rsidR="006D4269">
        <w:rPr>
          <w:rFonts w:cs="Times New Roman"/>
        </w:rPr>
        <w:t xml:space="preserve"> a refining process at </w:t>
      </w:r>
      <w:r w:rsidR="004A7E81">
        <w:rPr>
          <w:rFonts w:cs="Times New Roman"/>
        </w:rPr>
        <w:t>an Australia</w:t>
      </w:r>
      <w:r w:rsidR="009B58EB">
        <w:rPr>
          <w:rFonts w:cs="Times New Roman"/>
        </w:rPr>
        <w:t>n</w:t>
      </w:r>
      <w:r w:rsidR="004A7E81">
        <w:rPr>
          <w:rFonts w:cs="Times New Roman"/>
        </w:rPr>
        <w:t xml:space="preserve"> refinery</w:t>
      </w:r>
      <w:r w:rsidR="00EB4145">
        <w:rPr>
          <w:rFonts w:cs="Times New Roman"/>
        </w:rPr>
        <w:t>.</w:t>
      </w:r>
    </w:p>
    <w:p w14:paraId="07685A84" w14:textId="77777777" w:rsidR="00EB4145" w:rsidRDefault="006A57C5" w:rsidP="006D4269">
      <w:pPr>
        <w:pStyle w:val="Numberedparagraph"/>
        <w:spacing w:after="200" w:line="276" w:lineRule="auto"/>
        <w:ind w:left="720" w:hanging="720"/>
        <w:rPr>
          <w:rFonts w:cs="Times New Roman"/>
        </w:rPr>
      </w:pPr>
      <w:r>
        <w:rPr>
          <w:rFonts w:cs="Times New Roman"/>
        </w:rPr>
        <w:t>Paragraph</w:t>
      </w:r>
      <w:r w:rsidR="00EB4145">
        <w:rPr>
          <w:rFonts w:cs="Times New Roman"/>
        </w:rPr>
        <w:t xml:space="preserve"> </w:t>
      </w:r>
      <w:r w:rsidR="00FB2CFF">
        <w:rPr>
          <w:rFonts w:cs="Times New Roman"/>
        </w:rPr>
        <w:t>1</w:t>
      </w:r>
      <w:r w:rsidR="005576FA">
        <w:rPr>
          <w:rFonts w:cs="Times New Roman"/>
        </w:rPr>
        <w:t>2</w:t>
      </w:r>
      <w:r w:rsidR="00EB4145">
        <w:rPr>
          <w:rFonts w:cs="Times New Roman"/>
        </w:rPr>
        <w:t>(2)(c) define</w:t>
      </w:r>
      <w:r w:rsidR="00E80BF0">
        <w:rPr>
          <w:rFonts w:cs="Times New Roman"/>
        </w:rPr>
        <w:t>s</w:t>
      </w:r>
      <w:r w:rsidR="00EB4145">
        <w:rPr>
          <w:rFonts w:cs="Times New Roman"/>
        </w:rPr>
        <w:t xml:space="preserve"> output </w:t>
      </w:r>
      <w:r w:rsidR="000B0B69">
        <w:rPr>
          <w:rFonts w:cs="Times New Roman"/>
        </w:rPr>
        <w:t xml:space="preserve">stock </w:t>
      </w:r>
      <w:r w:rsidR="00EB4145">
        <w:rPr>
          <w:rFonts w:cs="Times New Roman"/>
        </w:rPr>
        <w:t xml:space="preserve">as a covered product which is an output from a refining process at </w:t>
      </w:r>
      <w:r w:rsidR="004A7E81">
        <w:rPr>
          <w:rFonts w:cs="Times New Roman"/>
        </w:rPr>
        <w:t>an Australia</w:t>
      </w:r>
      <w:r w:rsidR="009B58EB">
        <w:rPr>
          <w:rFonts w:cs="Times New Roman"/>
        </w:rPr>
        <w:t>n</w:t>
      </w:r>
      <w:r w:rsidR="004A7E81">
        <w:rPr>
          <w:rFonts w:cs="Times New Roman"/>
        </w:rPr>
        <w:t xml:space="preserve"> refinery </w:t>
      </w:r>
      <w:r w:rsidR="00EB4145">
        <w:rPr>
          <w:rFonts w:cs="Times New Roman"/>
        </w:rPr>
        <w:t xml:space="preserve">and which is not working </w:t>
      </w:r>
      <w:r>
        <w:rPr>
          <w:rFonts w:cs="Times New Roman"/>
        </w:rPr>
        <w:t>stock</w:t>
      </w:r>
      <w:r w:rsidR="00EB4145">
        <w:rPr>
          <w:rFonts w:cs="Times New Roman"/>
        </w:rPr>
        <w:t>.</w:t>
      </w:r>
    </w:p>
    <w:p w14:paraId="49652077" w14:textId="77777777" w:rsidR="00EB4145" w:rsidRDefault="00EB4145" w:rsidP="006D4269">
      <w:pPr>
        <w:pStyle w:val="Numberedparagraph"/>
        <w:spacing w:after="200" w:line="276" w:lineRule="auto"/>
        <w:ind w:left="720" w:hanging="720"/>
        <w:rPr>
          <w:rFonts w:cs="Times New Roman"/>
        </w:rPr>
      </w:pPr>
      <w:r>
        <w:rPr>
          <w:rFonts w:cs="Times New Roman"/>
        </w:rPr>
        <w:t>The purposes of these definitions is to apply th</w:t>
      </w:r>
      <w:r w:rsidR="00E65F11">
        <w:rPr>
          <w:rFonts w:cs="Times New Roman"/>
        </w:rPr>
        <w:t>e common industry understanding</w:t>
      </w:r>
      <w:r>
        <w:rPr>
          <w:rFonts w:cs="Times New Roman"/>
        </w:rPr>
        <w:t xml:space="preserve"> of inputs, working </w:t>
      </w:r>
      <w:r w:rsidR="00D44ACB">
        <w:rPr>
          <w:rFonts w:cs="Times New Roman"/>
        </w:rPr>
        <w:t>stock</w:t>
      </w:r>
      <w:r w:rsidR="005E02B8">
        <w:rPr>
          <w:rFonts w:cs="Times New Roman"/>
        </w:rPr>
        <w:t>s</w:t>
      </w:r>
      <w:r>
        <w:rPr>
          <w:rFonts w:cs="Times New Roman"/>
        </w:rPr>
        <w:t xml:space="preserve"> and outputs to the reporting obligation</w:t>
      </w:r>
      <w:r w:rsidR="00E80BF0">
        <w:rPr>
          <w:rFonts w:cs="Times New Roman"/>
        </w:rPr>
        <w:t>s</w:t>
      </w:r>
      <w:r>
        <w:rPr>
          <w:rFonts w:cs="Times New Roman"/>
        </w:rPr>
        <w:t xml:space="preserve"> </w:t>
      </w:r>
      <w:r w:rsidR="00E65F11">
        <w:rPr>
          <w:rFonts w:cs="Times New Roman"/>
        </w:rPr>
        <w:t xml:space="preserve">at </w:t>
      </w:r>
      <w:r w:rsidR="00E80BF0">
        <w:rPr>
          <w:rFonts w:cs="Times New Roman"/>
        </w:rPr>
        <w:t>section</w:t>
      </w:r>
      <w:r>
        <w:rPr>
          <w:rFonts w:cs="Times New Roman"/>
        </w:rPr>
        <w:t xml:space="preserve"> 1</w:t>
      </w:r>
      <w:r w:rsidR="0054058E">
        <w:rPr>
          <w:rFonts w:cs="Times New Roman"/>
        </w:rPr>
        <w:t>6</w:t>
      </w:r>
      <w:r w:rsidR="00E80BF0">
        <w:rPr>
          <w:rFonts w:cs="Times New Roman"/>
        </w:rPr>
        <w:t xml:space="preserve"> of the Rules</w:t>
      </w:r>
      <w:r>
        <w:rPr>
          <w:rFonts w:cs="Times New Roman"/>
        </w:rPr>
        <w:t xml:space="preserve">. </w:t>
      </w:r>
    </w:p>
    <w:p w14:paraId="479B5D02" w14:textId="77777777" w:rsidR="006E145A" w:rsidRDefault="006E145A" w:rsidP="006D4269">
      <w:pPr>
        <w:pStyle w:val="Numberedparagraph"/>
        <w:spacing w:after="200" w:line="276" w:lineRule="auto"/>
        <w:ind w:left="720" w:hanging="720"/>
        <w:rPr>
          <w:rFonts w:cs="Times New Roman"/>
        </w:rPr>
      </w:pPr>
      <w:r>
        <w:rPr>
          <w:rFonts w:cs="Times New Roman"/>
        </w:rPr>
        <w:t xml:space="preserve">Some covered products can be both an input into and output from the refining process. For example, refining-related gases such as methane may </w:t>
      </w:r>
      <w:r w:rsidR="004A7E81">
        <w:rPr>
          <w:rFonts w:cs="Times New Roman"/>
        </w:rPr>
        <w:t>be an output from</w:t>
      </w:r>
      <w:r>
        <w:rPr>
          <w:rFonts w:cs="Times New Roman"/>
        </w:rPr>
        <w:t xml:space="preserve"> the refining of petroleum and then </w:t>
      </w:r>
      <w:r w:rsidR="004A7E81">
        <w:rPr>
          <w:rFonts w:cs="Times New Roman"/>
        </w:rPr>
        <w:t>re</w:t>
      </w:r>
      <w:r w:rsidR="004A7E81">
        <w:rPr>
          <w:rFonts w:cs="Times New Roman"/>
        </w:rPr>
        <w:noBreakHyphen/>
      </w:r>
      <w:r>
        <w:rPr>
          <w:rFonts w:cs="Times New Roman"/>
        </w:rPr>
        <w:t xml:space="preserve">entered into </w:t>
      </w:r>
      <w:r w:rsidR="006B29F3">
        <w:rPr>
          <w:rFonts w:cs="Times New Roman"/>
        </w:rPr>
        <w:t>the</w:t>
      </w:r>
      <w:r>
        <w:rPr>
          <w:rFonts w:cs="Times New Roman"/>
        </w:rPr>
        <w:t xml:space="preserve"> refining processe</w:t>
      </w:r>
      <w:r w:rsidR="006B29F3">
        <w:rPr>
          <w:rFonts w:cs="Times New Roman"/>
        </w:rPr>
        <w:t xml:space="preserve">s at a later point. </w:t>
      </w:r>
      <w:r>
        <w:rPr>
          <w:rFonts w:cs="Times New Roman"/>
        </w:rPr>
        <w:t>Another example is gasoline which is a common output from refining, but may also be an input.</w:t>
      </w:r>
      <w:r w:rsidR="006B29F3">
        <w:rPr>
          <w:rFonts w:cs="Times New Roman"/>
        </w:rPr>
        <w:t xml:space="preserve"> For example, where gasoline blendstock</w:t>
      </w:r>
      <w:r>
        <w:rPr>
          <w:rFonts w:cs="Times New Roman"/>
        </w:rPr>
        <w:t xml:space="preserve"> </w:t>
      </w:r>
      <w:r w:rsidR="006B29F3">
        <w:rPr>
          <w:rFonts w:cs="Times New Roman"/>
        </w:rPr>
        <w:t>(partially refined gasoline) is entered into the refining process then this will need to be reported as an input</w:t>
      </w:r>
      <w:r>
        <w:rPr>
          <w:rFonts w:cs="Times New Roman"/>
        </w:rPr>
        <w:t xml:space="preserve">. </w:t>
      </w:r>
    </w:p>
    <w:p w14:paraId="2FBCDBAC" w14:textId="1CD200FE" w:rsidR="00F9666D" w:rsidRDefault="00F142B3" w:rsidP="006D4269">
      <w:pPr>
        <w:pStyle w:val="Numberedparagraph"/>
        <w:spacing w:after="200" w:line="276" w:lineRule="auto"/>
        <w:ind w:left="720" w:hanging="720"/>
        <w:rPr>
          <w:rFonts w:cs="Times New Roman"/>
        </w:rPr>
      </w:pPr>
      <w:r>
        <w:rPr>
          <w:rFonts w:cs="Times New Roman"/>
        </w:rPr>
        <w:t>Sub</w:t>
      </w:r>
      <w:r w:rsidR="00E80BF0">
        <w:rPr>
          <w:rFonts w:cs="Times New Roman"/>
        </w:rPr>
        <w:t>section</w:t>
      </w:r>
      <w:r>
        <w:rPr>
          <w:rFonts w:cs="Times New Roman"/>
        </w:rPr>
        <w:t xml:space="preserve"> </w:t>
      </w:r>
      <w:r w:rsidR="00FB2CFF">
        <w:rPr>
          <w:rFonts w:cs="Times New Roman"/>
        </w:rPr>
        <w:t>1</w:t>
      </w:r>
      <w:r w:rsidR="005576FA">
        <w:rPr>
          <w:rFonts w:cs="Times New Roman"/>
        </w:rPr>
        <w:t>2</w:t>
      </w:r>
      <w:r>
        <w:rPr>
          <w:rFonts w:cs="Times New Roman"/>
        </w:rPr>
        <w:t>(3) exclude</w:t>
      </w:r>
      <w:r w:rsidR="00E80BF0">
        <w:rPr>
          <w:rFonts w:cs="Times New Roman"/>
        </w:rPr>
        <w:t>s</w:t>
      </w:r>
      <w:r>
        <w:rPr>
          <w:rFonts w:cs="Times New Roman"/>
        </w:rPr>
        <w:t xml:space="preserve"> </w:t>
      </w:r>
      <w:r w:rsidR="00C8201A">
        <w:rPr>
          <w:rFonts w:cs="Times New Roman"/>
        </w:rPr>
        <w:t>GLOWS</w:t>
      </w:r>
      <w:r w:rsidR="00625CD2">
        <w:rPr>
          <w:rFonts w:cs="Times New Roman"/>
        </w:rPr>
        <w:t>—</w:t>
      </w:r>
      <w:r w:rsidR="00CA2435">
        <w:rPr>
          <w:rFonts w:cs="Times New Roman"/>
        </w:rPr>
        <w:t>petroleum based greases, lubricants, base oils, waxes and solvents</w:t>
      </w:r>
      <w:r w:rsidR="00625CD2">
        <w:rPr>
          <w:rFonts w:cs="Times New Roman"/>
        </w:rPr>
        <w:t>—</w:t>
      </w:r>
      <w:r w:rsidR="00C8201A">
        <w:rPr>
          <w:rFonts w:cs="Times New Roman"/>
        </w:rPr>
        <w:t xml:space="preserve">from the </w:t>
      </w:r>
      <w:r w:rsidR="00E65F11">
        <w:rPr>
          <w:rFonts w:cs="Times New Roman"/>
        </w:rPr>
        <w:t>definition</w:t>
      </w:r>
      <w:r w:rsidR="006A57C5">
        <w:rPr>
          <w:rFonts w:cs="Times New Roman"/>
        </w:rPr>
        <w:t>s in</w:t>
      </w:r>
      <w:r w:rsidR="00C8201A">
        <w:rPr>
          <w:rFonts w:cs="Times New Roman"/>
        </w:rPr>
        <w:t xml:space="preserve"> sub</w:t>
      </w:r>
      <w:r w:rsidR="00E80BF0">
        <w:rPr>
          <w:rFonts w:cs="Times New Roman"/>
        </w:rPr>
        <w:t>section</w:t>
      </w:r>
      <w:r w:rsidR="00C8201A">
        <w:rPr>
          <w:rFonts w:cs="Times New Roman"/>
        </w:rPr>
        <w:t xml:space="preserve">s </w:t>
      </w:r>
      <w:r w:rsidR="00FB2CFF">
        <w:rPr>
          <w:rFonts w:cs="Times New Roman"/>
        </w:rPr>
        <w:t>1</w:t>
      </w:r>
      <w:r w:rsidR="005576FA">
        <w:rPr>
          <w:rFonts w:cs="Times New Roman"/>
        </w:rPr>
        <w:t>2</w:t>
      </w:r>
      <w:r w:rsidR="00C8201A">
        <w:rPr>
          <w:rFonts w:cs="Times New Roman"/>
        </w:rPr>
        <w:t xml:space="preserve">(1) and </w:t>
      </w:r>
      <w:r w:rsidR="00FB2CFF">
        <w:rPr>
          <w:rFonts w:cs="Times New Roman"/>
        </w:rPr>
        <w:t>1</w:t>
      </w:r>
      <w:r w:rsidR="005576FA">
        <w:rPr>
          <w:rFonts w:cs="Times New Roman"/>
        </w:rPr>
        <w:t>2</w:t>
      </w:r>
      <w:r w:rsidR="00C8201A">
        <w:rPr>
          <w:rFonts w:cs="Times New Roman"/>
        </w:rPr>
        <w:t xml:space="preserve">(2). </w:t>
      </w:r>
      <w:r w:rsidR="009E7846">
        <w:rPr>
          <w:rFonts w:cs="Times New Roman"/>
        </w:rPr>
        <w:t>It also exclude</w:t>
      </w:r>
      <w:r w:rsidR="00E80BF0">
        <w:rPr>
          <w:rFonts w:cs="Times New Roman"/>
        </w:rPr>
        <w:t>s</w:t>
      </w:r>
      <w:r w:rsidR="009E7846">
        <w:rPr>
          <w:rFonts w:cs="Times New Roman"/>
        </w:rPr>
        <w:t xml:space="preserve"> GLOWS from the </w:t>
      </w:r>
      <w:r w:rsidR="00397058">
        <w:rPr>
          <w:rFonts w:cs="Times New Roman"/>
        </w:rPr>
        <w:t xml:space="preserve">refining </w:t>
      </w:r>
      <w:r w:rsidR="009E7846">
        <w:rPr>
          <w:rFonts w:cs="Times New Roman"/>
        </w:rPr>
        <w:t>reporting obligation prescribed</w:t>
      </w:r>
      <w:r w:rsidR="00FB2CFF">
        <w:rPr>
          <w:rFonts w:cs="Times New Roman"/>
        </w:rPr>
        <w:t xml:space="preserve"> at table item 7 </w:t>
      </w:r>
      <w:r w:rsidR="004A7E81">
        <w:rPr>
          <w:rFonts w:cs="Times New Roman"/>
        </w:rPr>
        <w:t>(</w:t>
      </w:r>
      <w:r w:rsidR="005E02B8">
        <w:rPr>
          <w:rFonts w:cs="Times New Roman"/>
        </w:rPr>
        <w:t>and</w:t>
      </w:r>
      <w:r w:rsidR="00142FA4">
        <w:rPr>
          <w:rFonts w:cs="Times New Roman"/>
        </w:rPr>
        <w:t> </w:t>
      </w:r>
      <w:r w:rsidR="004A7E81">
        <w:rPr>
          <w:rFonts w:cs="Times New Roman"/>
        </w:rPr>
        <w:t xml:space="preserve">by implication table item </w:t>
      </w:r>
      <w:r w:rsidR="005E02B8">
        <w:rPr>
          <w:rFonts w:cs="Times New Roman"/>
        </w:rPr>
        <w:t>8</w:t>
      </w:r>
      <w:r w:rsidR="004A7E81">
        <w:rPr>
          <w:rFonts w:cs="Times New Roman"/>
        </w:rPr>
        <w:t>)</w:t>
      </w:r>
      <w:r w:rsidR="005E02B8">
        <w:rPr>
          <w:rFonts w:cs="Times New Roman"/>
        </w:rPr>
        <w:t xml:space="preserve"> </w:t>
      </w:r>
      <w:r w:rsidR="00FB2CFF">
        <w:rPr>
          <w:rFonts w:cs="Times New Roman"/>
        </w:rPr>
        <w:t xml:space="preserve">of </w:t>
      </w:r>
      <w:r w:rsidR="00EE62C2">
        <w:rPr>
          <w:rFonts w:cs="Times New Roman"/>
        </w:rPr>
        <w:t xml:space="preserve">subsection </w:t>
      </w:r>
      <w:r w:rsidR="00FB2CFF">
        <w:rPr>
          <w:rFonts w:cs="Times New Roman"/>
        </w:rPr>
        <w:t>16</w:t>
      </w:r>
      <w:r w:rsidR="009E7846">
        <w:rPr>
          <w:rFonts w:cs="Times New Roman"/>
        </w:rPr>
        <w:t xml:space="preserve">(1). </w:t>
      </w:r>
      <w:r w:rsidR="00C8201A">
        <w:rPr>
          <w:rFonts w:cs="Times New Roman"/>
        </w:rPr>
        <w:t xml:space="preserve">Separate definitions for GLOWS </w:t>
      </w:r>
      <w:r w:rsidR="00E80BF0">
        <w:rPr>
          <w:rFonts w:cs="Times New Roman"/>
        </w:rPr>
        <w:t>are</w:t>
      </w:r>
      <w:r w:rsidR="00C8201A">
        <w:rPr>
          <w:rFonts w:cs="Times New Roman"/>
        </w:rPr>
        <w:t xml:space="preserve"> provided in sub</w:t>
      </w:r>
      <w:r w:rsidR="00E80BF0">
        <w:rPr>
          <w:rFonts w:cs="Times New Roman"/>
        </w:rPr>
        <w:t>section</w:t>
      </w:r>
      <w:r w:rsidR="00C8201A">
        <w:rPr>
          <w:rFonts w:cs="Times New Roman"/>
        </w:rPr>
        <w:t xml:space="preserve">s </w:t>
      </w:r>
      <w:r w:rsidR="00FB2CFF">
        <w:rPr>
          <w:rFonts w:cs="Times New Roman"/>
        </w:rPr>
        <w:t>1</w:t>
      </w:r>
      <w:r w:rsidR="005576FA">
        <w:rPr>
          <w:rFonts w:cs="Times New Roman"/>
        </w:rPr>
        <w:t>2</w:t>
      </w:r>
      <w:r w:rsidR="00C8201A">
        <w:rPr>
          <w:rFonts w:cs="Times New Roman"/>
        </w:rPr>
        <w:t xml:space="preserve">(4) and </w:t>
      </w:r>
      <w:r w:rsidR="00FB2CFF">
        <w:rPr>
          <w:rFonts w:cs="Times New Roman"/>
        </w:rPr>
        <w:t>1</w:t>
      </w:r>
      <w:r w:rsidR="005576FA">
        <w:rPr>
          <w:rFonts w:cs="Times New Roman"/>
        </w:rPr>
        <w:t>2</w:t>
      </w:r>
      <w:r w:rsidR="00397058">
        <w:rPr>
          <w:rFonts w:cs="Times New Roman"/>
        </w:rPr>
        <w:t>(5), and a specific reporting obligation for GLOWS re-refiners and recyclers is prescribed at table item 5 of sub</w:t>
      </w:r>
      <w:r w:rsidR="00E80BF0">
        <w:rPr>
          <w:rFonts w:cs="Times New Roman"/>
        </w:rPr>
        <w:t>section</w:t>
      </w:r>
      <w:r w:rsidR="00FB2CFF">
        <w:rPr>
          <w:rFonts w:cs="Times New Roman"/>
        </w:rPr>
        <w:t xml:space="preserve"> 17</w:t>
      </w:r>
      <w:r w:rsidR="00397058">
        <w:rPr>
          <w:rFonts w:cs="Times New Roman"/>
        </w:rPr>
        <w:t>(1).</w:t>
      </w:r>
    </w:p>
    <w:p w14:paraId="7B441CAA" w14:textId="17E025FF" w:rsidR="00F142B3" w:rsidRDefault="00F9666D" w:rsidP="006D4269">
      <w:pPr>
        <w:pStyle w:val="Numberedparagraph"/>
        <w:spacing w:after="200" w:line="276" w:lineRule="auto"/>
        <w:ind w:left="720" w:hanging="720"/>
        <w:rPr>
          <w:rFonts w:cs="Times New Roman"/>
        </w:rPr>
      </w:pPr>
      <w:r>
        <w:rPr>
          <w:rFonts w:cs="Times New Roman"/>
        </w:rPr>
        <w:t xml:space="preserve">The term GLOWS </w:t>
      </w:r>
      <w:r w:rsidR="00E80BF0">
        <w:rPr>
          <w:rFonts w:cs="Times New Roman"/>
        </w:rPr>
        <w:t xml:space="preserve">is </w:t>
      </w:r>
      <w:r>
        <w:rPr>
          <w:rFonts w:cs="Times New Roman"/>
        </w:rPr>
        <w:t xml:space="preserve">defined in </w:t>
      </w:r>
      <w:r w:rsidR="00E80BF0">
        <w:rPr>
          <w:rFonts w:cs="Times New Roman"/>
        </w:rPr>
        <w:t>section</w:t>
      </w:r>
      <w:r>
        <w:rPr>
          <w:rFonts w:cs="Times New Roman"/>
        </w:rPr>
        <w:t xml:space="preserve"> 4 as the covered products listed at items 15 to 18 </w:t>
      </w:r>
      <w:r w:rsidR="00B91A39">
        <w:rPr>
          <w:rFonts w:cs="Times New Roman"/>
        </w:rPr>
        <w:t xml:space="preserve">of Column 1 of the table at subclause 1(1) </w:t>
      </w:r>
      <w:r>
        <w:rPr>
          <w:rFonts w:cs="Times New Roman"/>
        </w:rPr>
        <w:t>in Schedule 1</w:t>
      </w:r>
      <w:r w:rsidR="00397058">
        <w:rPr>
          <w:rFonts w:cs="Times New Roman"/>
        </w:rPr>
        <w:t xml:space="preserve"> of the Rules</w:t>
      </w:r>
      <w:r>
        <w:rPr>
          <w:rFonts w:cs="Times New Roman"/>
        </w:rPr>
        <w:t>. That is:</w:t>
      </w:r>
    </w:p>
    <w:p w14:paraId="7F0C9506" w14:textId="77777777" w:rsidR="00F9666D" w:rsidRDefault="00142FA4" w:rsidP="00F9666D">
      <w:pPr>
        <w:pStyle w:val="Numberedparagraph"/>
        <w:numPr>
          <w:ilvl w:val="1"/>
          <w:numId w:val="7"/>
        </w:numPr>
        <w:spacing w:after="200" w:line="276" w:lineRule="auto"/>
        <w:rPr>
          <w:rFonts w:cs="Times New Roman"/>
        </w:rPr>
      </w:pPr>
      <w:r>
        <w:rPr>
          <w:rFonts w:cs="Times New Roman"/>
        </w:rPr>
        <w:t>l</w:t>
      </w:r>
      <w:r w:rsidR="00F9666D">
        <w:rPr>
          <w:rFonts w:cs="Times New Roman"/>
        </w:rPr>
        <w:t>ubricating oil base stock;</w:t>
      </w:r>
    </w:p>
    <w:p w14:paraId="20BDFD58" w14:textId="77777777" w:rsidR="00F9666D" w:rsidRDefault="00142FA4" w:rsidP="00F9666D">
      <w:pPr>
        <w:pStyle w:val="Numberedparagraph"/>
        <w:numPr>
          <w:ilvl w:val="1"/>
          <w:numId w:val="7"/>
        </w:numPr>
        <w:spacing w:after="200" w:line="276" w:lineRule="auto"/>
        <w:rPr>
          <w:rFonts w:cs="Times New Roman"/>
        </w:rPr>
      </w:pPr>
      <w:r>
        <w:rPr>
          <w:rFonts w:cs="Times New Roman"/>
        </w:rPr>
        <w:lastRenderedPageBreak/>
        <w:t>l</w:t>
      </w:r>
      <w:r w:rsidR="00F9666D">
        <w:rPr>
          <w:rFonts w:cs="Times New Roman"/>
        </w:rPr>
        <w:t>ubricant (which includes grease and a number of products referred to as</w:t>
      </w:r>
      <w:r w:rsidR="00C8201A">
        <w:rPr>
          <w:rFonts w:cs="Times New Roman"/>
        </w:rPr>
        <w:t xml:space="preserve"> types of oil</w:t>
      </w:r>
      <w:r w:rsidR="00F9666D">
        <w:rPr>
          <w:rFonts w:cs="Times New Roman"/>
        </w:rPr>
        <w:t>);</w:t>
      </w:r>
    </w:p>
    <w:p w14:paraId="33ACDDAE" w14:textId="77777777" w:rsidR="00F9666D" w:rsidRDefault="00142FA4" w:rsidP="00F9666D">
      <w:pPr>
        <w:pStyle w:val="Numberedparagraph"/>
        <w:numPr>
          <w:ilvl w:val="1"/>
          <w:numId w:val="7"/>
        </w:numPr>
        <w:spacing w:after="200" w:line="276" w:lineRule="auto"/>
        <w:rPr>
          <w:rFonts w:cs="Times New Roman"/>
        </w:rPr>
      </w:pPr>
      <w:r>
        <w:rPr>
          <w:rFonts w:cs="Times New Roman"/>
        </w:rPr>
        <w:t>p</w:t>
      </w:r>
      <w:r w:rsidR="00F9666D">
        <w:rPr>
          <w:rFonts w:cs="Times New Roman"/>
        </w:rPr>
        <w:t>etroleum-based solvent; and</w:t>
      </w:r>
    </w:p>
    <w:p w14:paraId="09C12558" w14:textId="77777777" w:rsidR="00F9666D" w:rsidRPr="00F9666D" w:rsidRDefault="00142FA4" w:rsidP="00F9666D">
      <w:pPr>
        <w:pStyle w:val="Numberedparagraph"/>
        <w:numPr>
          <w:ilvl w:val="1"/>
          <w:numId w:val="7"/>
        </w:numPr>
        <w:spacing w:after="200" w:line="276" w:lineRule="auto"/>
        <w:rPr>
          <w:rFonts w:cs="Times New Roman"/>
        </w:rPr>
      </w:pPr>
      <w:r>
        <w:rPr>
          <w:rFonts w:cs="Times New Roman"/>
        </w:rPr>
        <w:t>p</w:t>
      </w:r>
      <w:r w:rsidR="00F9666D">
        <w:rPr>
          <w:rFonts w:cs="Times New Roman"/>
        </w:rPr>
        <w:t>araffin wax.</w:t>
      </w:r>
    </w:p>
    <w:p w14:paraId="51C25F3C" w14:textId="77777777" w:rsidR="00F9666D" w:rsidRDefault="00C8201A" w:rsidP="00F9666D">
      <w:pPr>
        <w:pStyle w:val="Numberedparagraph"/>
        <w:numPr>
          <w:ilvl w:val="0"/>
          <w:numId w:val="0"/>
        </w:numPr>
        <w:spacing w:after="200" w:line="276" w:lineRule="auto"/>
        <w:ind w:left="720"/>
        <w:rPr>
          <w:rFonts w:cs="Times New Roman"/>
        </w:rPr>
      </w:pPr>
      <w:r>
        <w:rPr>
          <w:rFonts w:cs="Times New Roman"/>
        </w:rPr>
        <w:t>GLOWS is used as a shorthand term as</w:t>
      </w:r>
      <w:r w:rsidR="00F9666D">
        <w:rPr>
          <w:rFonts w:cs="Times New Roman"/>
        </w:rPr>
        <w:t xml:space="preserve"> these products have </w:t>
      </w:r>
      <w:r>
        <w:rPr>
          <w:rFonts w:cs="Times New Roman"/>
        </w:rPr>
        <w:t>similar</w:t>
      </w:r>
      <w:r w:rsidR="00F9666D">
        <w:rPr>
          <w:rFonts w:cs="Times New Roman"/>
        </w:rPr>
        <w:t xml:space="preserve"> reporting obligation</w:t>
      </w:r>
      <w:r>
        <w:rPr>
          <w:rFonts w:cs="Times New Roman"/>
        </w:rPr>
        <w:t>s</w:t>
      </w:r>
      <w:r w:rsidR="00F9666D">
        <w:rPr>
          <w:rFonts w:cs="Times New Roman"/>
        </w:rPr>
        <w:t xml:space="preserve">. </w:t>
      </w:r>
    </w:p>
    <w:p w14:paraId="28CC5877" w14:textId="77777777" w:rsidR="00F9666D" w:rsidRDefault="00F9666D" w:rsidP="00F9666D">
      <w:pPr>
        <w:pStyle w:val="Numberedparagraph"/>
        <w:spacing w:after="200" w:line="276" w:lineRule="auto"/>
        <w:ind w:left="720" w:hanging="720"/>
        <w:rPr>
          <w:rFonts w:cs="Times New Roman"/>
        </w:rPr>
      </w:pPr>
      <w:r>
        <w:rPr>
          <w:rFonts w:cs="Times New Roman"/>
        </w:rPr>
        <w:t>Sub</w:t>
      </w:r>
      <w:r w:rsidR="006A57C5">
        <w:rPr>
          <w:rFonts w:cs="Times New Roman"/>
        </w:rPr>
        <w:t>section</w:t>
      </w:r>
      <w:r>
        <w:rPr>
          <w:rFonts w:cs="Times New Roman"/>
        </w:rPr>
        <w:t xml:space="preserve"> </w:t>
      </w:r>
      <w:r w:rsidR="00FB2CFF">
        <w:rPr>
          <w:rFonts w:cs="Times New Roman"/>
        </w:rPr>
        <w:t>1</w:t>
      </w:r>
      <w:r w:rsidR="005576FA">
        <w:rPr>
          <w:rFonts w:cs="Times New Roman"/>
        </w:rPr>
        <w:t>2</w:t>
      </w:r>
      <w:r>
        <w:rPr>
          <w:rFonts w:cs="Times New Roman"/>
        </w:rPr>
        <w:t>(4) defines a</w:t>
      </w:r>
      <w:r w:rsidR="00C8201A">
        <w:rPr>
          <w:rFonts w:cs="Times New Roman"/>
        </w:rPr>
        <w:t>n Australian</w:t>
      </w:r>
      <w:r>
        <w:rPr>
          <w:rFonts w:cs="Times New Roman"/>
        </w:rPr>
        <w:t xml:space="preserve"> GLOWS facility as a refinery where GLOWS are recycled or re-refined</w:t>
      </w:r>
      <w:r w:rsidR="007D6F67">
        <w:rPr>
          <w:rFonts w:cs="Times New Roman"/>
        </w:rPr>
        <w:t xml:space="preserve"> by a regulated entity</w:t>
      </w:r>
      <w:r>
        <w:rPr>
          <w:rFonts w:cs="Times New Roman"/>
        </w:rPr>
        <w:t xml:space="preserve">. </w:t>
      </w:r>
      <w:r w:rsidR="00C8201A">
        <w:rPr>
          <w:rFonts w:cs="Times New Roman"/>
        </w:rPr>
        <w:t xml:space="preserve">Generally, </w:t>
      </w:r>
      <w:r w:rsidR="006A57C5">
        <w:rPr>
          <w:rFonts w:cs="Times New Roman"/>
        </w:rPr>
        <w:t xml:space="preserve">a </w:t>
      </w:r>
      <w:r w:rsidR="00C8201A">
        <w:rPr>
          <w:rFonts w:cs="Times New Roman"/>
        </w:rPr>
        <w:t>GLOWS facilit</w:t>
      </w:r>
      <w:r w:rsidR="006A57C5">
        <w:rPr>
          <w:rFonts w:cs="Times New Roman"/>
        </w:rPr>
        <w:t>y</w:t>
      </w:r>
      <w:r w:rsidR="00C8201A">
        <w:rPr>
          <w:rFonts w:cs="Times New Roman"/>
        </w:rPr>
        <w:t xml:space="preserve"> recycle</w:t>
      </w:r>
      <w:r w:rsidR="006A57C5">
        <w:rPr>
          <w:rFonts w:cs="Times New Roman"/>
        </w:rPr>
        <w:t>s</w:t>
      </w:r>
      <w:r w:rsidR="00C8201A">
        <w:rPr>
          <w:rFonts w:cs="Times New Roman"/>
        </w:rPr>
        <w:t xml:space="preserve"> or re-refine</w:t>
      </w:r>
      <w:r w:rsidR="006A57C5">
        <w:rPr>
          <w:rFonts w:cs="Times New Roman"/>
        </w:rPr>
        <w:t>s</w:t>
      </w:r>
      <w:r w:rsidR="00C8201A">
        <w:rPr>
          <w:rFonts w:cs="Times New Roman"/>
        </w:rPr>
        <w:t xml:space="preserve"> waste lubricant, but </w:t>
      </w:r>
      <w:r w:rsidR="000B0B69">
        <w:rPr>
          <w:rFonts w:cs="Times New Roman"/>
        </w:rPr>
        <w:t xml:space="preserve">other GLOWS </w:t>
      </w:r>
      <w:r w:rsidR="00397058">
        <w:rPr>
          <w:rFonts w:cs="Times New Roman"/>
        </w:rPr>
        <w:t>may</w:t>
      </w:r>
      <w:r w:rsidR="000B0B69">
        <w:rPr>
          <w:rFonts w:cs="Times New Roman"/>
        </w:rPr>
        <w:t xml:space="preserve"> be processed. </w:t>
      </w:r>
    </w:p>
    <w:p w14:paraId="426A94A3" w14:textId="77777777" w:rsidR="000B0B69" w:rsidRDefault="006A57C5" w:rsidP="000B0B69">
      <w:pPr>
        <w:pStyle w:val="Numberedparagraph"/>
        <w:spacing w:after="200" w:line="276" w:lineRule="auto"/>
        <w:ind w:left="720" w:hanging="720"/>
        <w:rPr>
          <w:rFonts w:cs="Times New Roman"/>
        </w:rPr>
      </w:pPr>
      <w:r>
        <w:rPr>
          <w:rFonts w:cs="Times New Roman"/>
        </w:rPr>
        <w:t xml:space="preserve">Paragraph </w:t>
      </w:r>
      <w:r w:rsidR="00FB2CFF">
        <w:rPr>
          <w:rFonts w:cs="Times New Roman"/>
        </w:rPr>
        <w:t>1</w:t>
      </w:r>
      <w:r w:rsidR="005576FA">
        <w:rPr>
          <w:rFonts w:cs="Times New Roman"/>
        </w:rPr>
        <w:t>2</w:t>
      </w:r>
      <w:r w:rsidR="000B0B69">
        <w:rPr>
          <w:rFonts w:cs="Times New Roman"/>
        </w:rPr>
        <w:t>(5)(a) define</w:t>
      </w:r>
      <w:r>
        <w:rPr>
          <w:rFonts w:cs="Times New Roman"/>
        </w:rPr>
        <w:t>s</w:t>
      </w:r>
      <w:r w:rsidR="000B0B69">
        <w:rPr>
          <w:rFonts w:cs="Times New Roman"/>
        </w:rPr>
        <w:t xml:space="preserve"> input stock as a covered product which is an input into a recycling or re-refining process at a GLOWS facility.</w:t>
      </w:r>
      <w:r w:rsidR="002F3733">
        <w:rPr>
          <w:rFonts w:cs="Times New Roman"/>
        </w:rPr>
        <w:t xml:space="preserve"> For example, used lubricant which could be re-refined or recycled. </w:t>
      </w:r>
    </w:p>
    <w:p w14:paraId="0DD50F07" w14:textId="77777777" w:rsidR="000B0B69" w:rsidRDefault="006A57C5" w:rsidP="000B0B69">
      <w:pPr>
        <w:pStyle w:val="Numberedparagraph"/>
        <w:spacing w:after="200" w:line="276" w:lineRule="auto"/>
        <w:ind w:left="720" w:hanging="720"/>
        <w:rPr>
          <w:rFonts w:cs="Times New Roman"/>
        </w:rPr>
      </w:pPr>
      <w:r>
        <w:rPr>
          <w:rFonts w:cs="Times New Roman"/>
        </w:rPr>
        <w:t xml:space="preserve">Paragraph </w:t>
      </w:r>
      <w:r w:rsidR="00FB2CFF">
        <w:rPr>
          <w:rFonts w:cs="Times New Roman"/>
        </w:rPr>
        <w:t>1</w:t>
      </w:r>
      <w:r w:rsidR="005576FA">
        <w:rPr>
          <w:rFonts w:cs="Times New Roman"/>
        </w:rPr>
        <w:t>2</w:t>
      </w:r>
      <w:r w:rsidR="000B0B69">
        <w:rPr>
          <w:rFonts w:cs="Times New Roman"/>
        </w:rPr>
        <w:t>(5)(b) define</w:t>
      </w:r>
      <w:r>
        <w:rPr>
          <w:rFonts w:cs="Times New Roman"/>
        </w:rPr>
        <w:t>s</w:t>
      </w:r>
      <w:r w:rsidR="000B0B69">
        <w:rPr>
          <w:rFonts w:cs="Times New Roman"/>
        </w:rPr>
        <w:t xml:space="preserve"> working stock as a covered product which is an intermediate output from a recycling or re-refining process at a GLOWS facility.</w:t>
      </w:r>
      <w:r w:rsidR="002F3733">
        <w:rPr>
          <w:rFonts w:cs="Times New Roman"/>
        </w:rPr>
        <w:t xml:space="preserve"> </w:t>
      </w:r>
    </w:p>
    <w:p w14:paraId="41AE42E7" w14:textId="77777777" w:rsidR="000B0B69" w:rsidRDefault="006A57C5" w:rsidP="000B0B69">
      <w:pPr>
        <w:pStyle w:val="Numberedparagraph"/>
        <w:spacing w:after="200" w:line="276" w:lineRule="auto"/>
        <w:ind w:left="720" w:hanging="720"/>
        <w:rPr>
          <w:rFonts w:cs="Times New Roman"/>
        </w:rPr>
      </w:pPr>
      <w:r>
        <w:rPr>
          <w:rFonts w:cs="Times New Roman"/>
        </w:rPr>
        <w:t xml:space="preserve">Paragraph </w:t>
      </w:r>
      <w:r w:rsidR="00FB2CFF">
        <w:rPr>
          <w:rFonts w:cs="Times New Roman"/>
        </w:rPr>
        <w:t>1</w:t>
      </w:r>
      <w:r w:rsidR="005576FA">
        <w:rPr>
          <w:rFonts w:cs="Times New Roman"/>
        </w:rPr>
        <w:t>2</w:t>
      </w:r>
      <w:r w:rsidR="000B0B69">
        <w:rPr>
          <w:rFonts w:cs="Times New Roman"/>
        </w:rPr>
        <w:t>(5)(c) define</w:t>
      </w:r>
      <w:r>
        <w:rPr>
          <w:rFonts w:cs="Times New Roman"/>
        </w:rPr>
        <w:t>s</w:t>
      </w:r>
      <w:r w:rsidR="000B0B69">
        <w:rPr>
          <w:rFonts w:cs="Times New Roman"/>
        </w:rPr>
        <w:t xml:space="preserve"> output stock as a covered product which is an output from a recycling or re-refining process at a GLOWS facility and which is not working </w:t>
      </w:r>
      <w:r w:rsidR="007D6F67">
        <w:rPr>
          <w:rFonts w:cs="Times New Roman"/>
        </w:rPr>
        <w:t>stock</w:t>
      </w:r>
      <w:r w:rsidR="000B0B69">
        <w:rPr>
          <w:rFonts w:cs="Times New Roman"/>
        </w:rPr>
        <w:t>.</w:t>
      </w:r>
      <w:r w:rsidR="002F3733" w:rsidRPr="002F3733">
        <w:rPr>
          <w:rFonts w:cs="Times New Roman"/>
        </w:rPr>
        <w:t xml:space="preserve"> </w:t>
      </w:r>
      <w:r w:rsidR="007D6F67">
        <w:rPr>
          <w:rFonts w:cs="Times New Roman"/>
        </w:rPr>
        <w:t>This is intended to</w:t>
      </w:r>
      <w:r w:rsidR="002F3733">
        <w:rPr>
          <w:rFonts w:cs="Times New Roman"/>
        </w:rPr>
        <w:t xml:space="preserve"> cover product</w:t>
      </w:r>
      <w:r w:rsidR="007D6F67">
        <w:rPr>
          <w:rFonts w:cs="Times New Roman"/>
        </w:rPr>
        <w:t>s</w:t>
      </w:r>
      <w:r w:rsidR="002F3733">
        <w:rPr>
          <w:rFonts w:cs="Times New Roman"/>
        </w:rPr>
        <w:t xml:space="preserve"> that result from a completed recycling or re</w:t>
      </w:r>
      <w:r w:rsidR="002F3733">
        <w:rPr>
          <w:rFonts w:cs="Times New Roman"/>
        </w:rPr>
        <w:noBreakHyphen/>
        <w:t>refining process</w:t>
      </w:r>
      <w:r w:rsidR="007D6F67">
        <w:rPr>
          <w:rFonts w:cs="Times New Roman"/>
        </w:rPr>
        <w:t>,</w:t>
      </w:r>
      <w:r w:rsidR="002F3733">
        <w:rPr>
          <w:rFonts w:cs="Times New Roman"/>
        </w:rPr>
        <w:t xml:space="preserve"> such as re-refined lubricating base oil stock or recycled fuel oil produced from used lubricant.</w:t>
      </w:r>
    </w:p>
    <w:p w14:paraId="55497D12" w14:textId="77777777" w:rsidR="00530228" w:rsidRDefault="00530228" w:rsidP="00F9666D">
      <w:pPr>
        <w:pStyle w:val="Numberedparagraph"/>
        <w:spacing w:after="200" w:line="276" w:lineRule="auto"/>
        <w:ind w:left="720" w:hanging="720"/>
        <w:rPr>
          <w:rFonts w:cs="Times New Roman"/>
        </w:rPr>
      </w:pPr>
      <w:r>
        <w:rPr>
          <w:rFonts w:cs="Times New Roman"/>
        </w:rPr>
        <w:t>The intended operation of sub</w:t>
      </w:r>
      <w:r w:rsidR="006A57C5">
        <w:rPr>
          <w:rFonts w:cs="Times New Roman"/>
        </w:rPr>
        <w:t>section</w:t>
      </w:r>
      <w:r>
        <w:rPr>
          <w:rFonts w:cs="Times New Roman"/>
        </w:rPr>
        <w:t xml:space="preserve">s </w:t>
      </w:r>
      <w:r w:rsidR="00FB2CFF">
        <w:rPr>
          <w:rFonts w:cs="Times New Roman"/>
        </w:rPr>
        <w:t>1</w:t>
      </w:r>
      <w:r w:rsidR="005576FA">
        <w:rPr>
          <w:rFonts w:cs="Times New Roman"/>
        </w:rPr>
        <w:t>2</w:t>
      </w:r>
      <w:r>
        <w:rPr>
          <w:rFonts w:cs="Times New Roman"/>
        </w:rPr>
        <w:t>(</w:t>
      </w:r>
      <w:r w:rsidR="000B0B69">
        <w:rPr>
          <w:rFonts w:cs="Times New Roman"/>
        </w:rPr>
        <w:t>4</w:t>
      </w:r>
      <w:r>
        <w:rPr>
          <w:rFonts w:cs="Times New Roman"/>
        </w:rPr>
        <w:t xml:space="preserve">) to </w:t>
      </w:r>
      <w:r w:rsidR="00FB2CFF">
        <w:rPr>
          <w:rFonts w:cs="Times New Roman"/>
        </w:rPr>
        <w:t>1</w:t>
      </w:r>
      <w:r w:rsidR="005576FA">
        <w:rPr>
          <w:rFonts w:cs="Times New Roman"/>
        </w:rPr>
        <w:t>2</w:t>
      </w:r>
      <w:r>
        <w:rPr>
          <w:rFonts w:cs="Times New Roman"/>
        </w:rPr>
        <w:t xml:space="preserve">(5) is </w:t>
      </w:r>
      <w:r w:rsidR="000B0B69">
        <w:rPr>
          <w:rFonts w:cs="Times New Roman"/>
        </w:rPr>
        <w:t xml:space="preserve">to apply </w:t>
      </w:r>
      <w:r w:rsidR="002F3733">
        <w:rPr>
          <w:rFonts w:cs="Times New Roman"/>
        </w:rPr>
        <w:t>definitions of stock for GLOWS facilities</w:t>
      </w:r>
      <w:r w:rsidR="00397058">
        <w:rPr>
          <w:rFonts w:cs="Times New Roman"/>
        </w:rPr>
        <w:t xml:space="preserve"> that mirror the approach in the Rules for other refineries so far as it is appropriate.</w:t>
      </w:r>
    </w:p>
    <w:p w14:paraId="7F4FFD9E" w14:textId="77777777" w:rsidR="004A7E81" w:rsidRDefault="00466B27" w:rsidP="00627E9B">
      <w:pPr>
        <w:pStyle w:val="Numberedparagraph"/>
        <w:numPr>
          <w:ilvl w:val="0"/>
          <w:numId w:val="0"/>
        </w:numPr>
        <w:spacing w:after="200" w:line="276" w:lineRule="auto"/>
        <w:rPr>
          <w:rFonts w:cs="Times New Roman"/>
          <w:b/>
        </w:rPr>
      </w:pPr>
      <w:r>
        <w:rPr>
          <w:rFonts w:cs="Times New Roman"/>
          <w:b/>
        </w:rPr>
        <w:t>Division 3 – Reports</w:t>
      </w:r>
    </w:p>
    <w:p w14:paraId="3AC18DAF" w14:textId="77777777" w:rsidR="004A7E81" w:rsidRPr="004A7E81" w:rsidRDefault="004A7E81" w:rsidP="004A7E81">
      <w:pPr>
        <w:pStyle w:val="Numberedparagraph"/>
        <w:spacing w:after="200" w:line="276" w:lineRule="auto"/>
        <w:ind w:left="720" w:hanging="720"/>
        <w:rPr>
          <w:rFonts w:cs="Times New Roman"/>
        </w:rPr>
      </w:pPr>
      <w:r>
        <w:rPr>
          <w:rFonts w:cs="Times New Roman"/>
        </w:rPr>
        <w:t xml:space="preserve">This Division sets out the detail of the reporting obligations. </w:t>
      </w:r>
    </w:p>
    <w:p w14:paraId="2E655302" w14:textId="77777777" w:rsidR="00466B27" w:rsidRDefault="00466B27" w:rsidP="00627E9B">
      <w:pPr>
        <w:pStyle w:val="Numberedparagraph"/>
        <w:numPr>
          <w:ilvl w:val="0"/>
          <w:numId w:val="0"/>
        </w:numPr>
        <w:spacing w:after="200" w:line="276" w:lineRule="auto"/>
        <w:rPr>
          <w:rFonts w:cs="Times New Roman"/>
          <w:b/>
        </w:rPr>
      </w:pPr>
      <w:r>
        <w:rPr>
          <w:rFonts w:cs="Times New Roman"/>
          <w:b/>
        </w:rPr>
        <w:t>Subdivision A – Scope of this Division</w:t>
      </w:r>
    </w:p>
    <w:p w14:paraId="002E44CE" w14:textId="77777777" w:rsidR="00466B27" w:rsidRDefault="005576FA" w:rsidP="00627E9B">
      <w:pPr>
        <w:pStyle w:val="Numberedparagraph"/>
        <w:numPr>
          <w:ilvl w:val="0"/>
          <w:numId w:val="0"/>
        </w:numPr>
        <w:spacing w:after="200" w:line="276" w:lineRule="auto"/>
        <w:rPr>
          <w:rFonts w:cs="Times New Roman"/>
          <w:b/>
        </w:rPr>
      </w:pPr>
      <w:r>
        <w:rPr>
          <w:rFonts w:cs="Times New Roman"/>
          <w:b/>
        </w:rPr>
        <w:t>13</w:t>
      </w:r>
      <w:r w:rsidR="00466B27">
        <w:rPr>
          <w:rFonts w:cs="Times New Roman"/>
          <w:b/>
        </w:rPr>
        <w:t xml:space="preserve"> – Regulated entities</w:t>
      </w:r>
    </w:p>
    <w:p w14:paraId="0A12347B" w14:textId="77777777" w:rsidR="00466B27" w:rsidRPr="000474F7" w:rsidRDefault="00466B27" w:rsidP="00466B27">
      <w:pPr>
        <w:pStyle w:val="Numberedparagraph"/>
        <w:spacing w:after="200" w:line="276" w:lineRule="auto"/>
        <w:ind w:left="709" w:hanging="709"/>
      </w:pPr>
      <w:r>
        <w:rPr>
          <w:rFonts w:cs="Times New Roman"/>
        </w:rPr>
        <w:t>S</w:t>
      </w:r>
      <w:r w:rsidR="005576FA">
        <w:rPr>
          <w:rFonts w:cs="Times New Roman"/>
        </w:rPr>
        <w:t xml:space="preserve">ection </w:t>
      </w:r>
      <w:r>
        <w:rPr>
          <w:rFonts w:cs="Times New Roman"/>
        </w:rPr>
        <w:t>1</w:t>
      </w:r>
      <w:r w:rsidR="005576FA">
        <w:rPr>
          <w:rFonts w:cs="Times New Roman"/>
        </w:rPr>
        <w:t>3</w:t>
      </w:r>
      <w:r>
        <w:rPr>
          <w:rFonts w:cs="Times New Roman"/>
        </w:rPr>
        <w:t xml:space="preserve"> of the Rules provides, consistently with section 11 of the Act, that the reporting obligations prescribed in sections 16 and 17 apply to covered activities undertaken by regulated entities.</w:t>
      </w:r>
    </w:p>
    <w:p w14:paraId="77741B83" w14:textId="77777777" w:rsidR="00466B27" w:rsidRPr="00E057E4" w:rsidRDefault="00466B27" w:rsidP="00466B27">
      <w:pPr>
        <w:pStyle w:val="Numberedparagraph"/>
        <w:spacing w:after="200" w:line="276" w:lineRule="auto"/>
        <w:ind w:left="709" w:hanging="709"/>
      </w:pPr>
      <w:r w:rsidRPr="00CF04B3">
        <w:t>The phrase ‘regulated entit</w:t>
      </w:r>
      <w:r>
        <w:rPr>
          <w:rFonts w:cs="Times New Roman"/>
        </w:rPr>
        <w:t>y</w:t>
      </w:r>
      <w:r w:rsidRPr="00CF04B3">
        <w:t xml:space="preserve">’ is defined in section 5 of the Act. </w:t>
      </w:r>
      <w:r w:rsidRPr="00CF04B3">
        <w:rPr>
          <w:rFonts w:cs="Times New Roman"/>
        </w:rPr>
        <w:t xml:space="preserve">Section 12 of the Act extends the meaning of regulated entity in certain circumstances. Section </w:t>
      </w:r>
      <w:r w:rsidR="006F2FD5">
        <w:rPr>
          <w:rFonts w:cs="Times New Roman"/>
        </w:rPr>
        <w:t>20</w:t>
      </w:r>
      <w:r w:rsidRPr="00CF04B3">
        <w:rPr>
          <w:rFonts w:cs="Times New Roman"/>
        </w:rPr>
        <w:t xml:space="preserve"> of the Rules would similarly extend the meaning of regulated entit</w:t>
      </w:r>
      <w:r>
        <w:rPr>
          <w:rFonts w:cs="Times New Roman"/>
        </w:rPr>
        <w:t>y</w:t>
      </w:r>
      <w:r w:rsidRPr="00CF04B3">
        <w:rPr>
          <w:rFonts w:cs="Times New Roman"/>
        </w:rPr>
        <w:t xml:space="preserve"> in certain circumstances to enable the reporting obligations in sections 1</w:t>
      </w:r>
      <w:r>
        <w:rPr>
          <w:rFonts w:cs="Times New Roman"/>
        </w:rPr>
        <w:t>6</w:t>
      </w:r>
      <w:r w:rsidRPr="00CF04B3">
        <w:rPr>
          <w:rFonts w:cs="Times New Roman"/>
        </w:rPr>
        <w:t xml:space="preserve"> and 1</w:t>
      </w:r>
      <w:r>
        <w:rPr>
          <w:rFonts w:cs="Times New Roman"/>
        </w:rPr>
        <w:t>7</w:t>
      </w:r>
      <w:r w:rsidRPr="00CF04B3">
        <w:rPr>
          <w:rFonts w:cs="Times New Roman"/>
        </w:rPr>
        <w:t xml:space="preserve"> to be applied </w:t>
      </w:r>
      <w:r>
        <w:rPr>
          <w:rFonts w:cs="Times New Roman"/>
        </w:rPr>
        <w:t>as</w:t>
      </w:r>
      <w:r w:rsidRPr="00CF04B3">
        <w:rPr>
          <w:rFonts w:cs="Times New Roman"/>
        </w:rPr>
        <w:t xml:space="preserve"> broadly</w:t>
      </w:r>
      <w:r>
        <w:rPr>
          <w:rFonts w:cs="Times New Roman"/>
        </w:rPr>
        <w:t xml:space="preserve"> as possible within constitutional limits</w:t>
      </w:r>
      <w:r w:rsidRPr="00CF04B3">
        <w:rPr>
          <w:rFonts w:cs="Times New Roman"/>
        </w:rPr>
        <w:t>.</w:t>
      </w:r>
    </w:p>
    <w:p w14:paraId="3C506E16" w14:textId="77777777" w:rsidR="00466B27" w:rsidRPr="006F5E8D" w:rsidRDefault="00466B27" w:rsidP="00466B27">
      <w:pPr>
        <w:pStyle w:val="Numberedparagraph"/>
        <w:spacing w:after="200" w:line="276" w:lineRule="auto"/>
        <w:ind w:left="709" w:hanging="709"/>
      </w:pPr>
      <w:r>
        <w:rPr>
          <w:rFonts w:cs="Times New Roman"/>
        </w:rPr>
        <w:lastRenderedPageBreak/>
        <w:t xml:space="preserve">Where the </w:t>
      </w:r>
      <w:r w:rsidR="00CF024E">
        <w:rPr>
          <w:rFonts w:cs="Times New Roman"/>
        </w:rPr>
        <w:t xml:space="preserve">phrase </w:t>
      </w:r>
      <w:r>
        <w:rPr>
          <w:rFonts w:cs="Times New Roman"/>
        </w:rPr>
        <w:t xml:space="preserve">‘regulated entity’ is hereafter used in this explanatory statement, the expanded meaning created by section 12 of the Act and section </w:t>
      </w:r>
      <w:r w:rsidR="006F2FD5">
        <w:rPr>
          <w:rFonts w:cs="Times New Roman"/>
        </w:rPr>
        <w:t>20</w:t>
      </w:r>
      <w:r>
        <w:rPr>
          <w:rFonts w:cs="Times New Roman"/>
        </w:rPr>
        <w:t xml:space="preserve"> of the Rules is intended. </w:t>
      </w:r>
    </w:p>
    <w:p w14:paraId="749C1622" w14:textId="77777777" w:rsidR="00466B27" w:rsidRPr="008374D0" w:rsidRDefault="0010332B" w:rsidP="00466B27">
      <w:pPr>
        <w:pStyle w:val="Numberedparagraph"/>
        <w:keepNext/>
        <w:numPr>
          <w:ilvl w:val="0"/>
          <w:numId w:val="0"/>
        </w:numPr>
        <w:spacing w:after="200" w:line="276" w:lineRule="auto"/>
        <w:rPr>
          <w:rFonts w:cs="Times New Roman"/>
          <w:b/>
        </w:rPr>
      </w:pPr>
      <w:r>
        <w:rPr>
          <w:rFonts w:cs="Times New Roman"/>
          <w:b/>
        </w:rPr>
        <w:t>14</w:t>
      </w:r>
      <w:r w:rsidR="00466B27">
        <w:rPr>
          <w:rFonts w:cs="Times New Roman"/>
          <w:b/>
        </w:rPr>
        <w:t xml:space="preserve"> – Non-reportable natural gas and refining-related gas (other)</w:t>
      </w:r>
    </w:p>
    <w:p w14:paraId="230A15E2" w14:textId="77777777" w:rsidR="00011500" w:rsidRDefault="0010332B" w:rsidP="00466B27">
      <w:pPr>
        <w:pStyle w:val="Numberedparagraph"/>
        <w:keepNext/>
        <w:spacing w:after="200" w:line="276" w:lineRule="auto"/>
        <w:ind w:left="720" w:hanging="720"/>
        <w:rPr>
          <w:rFonts w:cs="Times New Roman"/>
        </w:rPr>
      </w:pPr>
      <w:r>
        <w:rPr>
          <w:rFonts w:cs="Times New Roman"/>
        </w:rPr>
        <w:t>Section 14</w:t>
      </w:r>
      <w:r w:rsidR="00466B27">
        <w:rPr>
          <w:rFonts w:cs="Times New Roman"/>
        </w:rPr>
        <w:t xml:space="preserve"> partially excludes </w:t>
      </w:r>
      <w:r w:rsidR="007E434B">
        <w:rPr>
          <w:rFonts w:cs="Times New Roman"/>
        </w:rPr>
        <w:t xml:space="preserve">natural gas and refining-related gas (other) </w:t>
      </w:r>
      <w:r w:rsidR="00466B27">
        <w:rPr>
          <w:rFonts w:cs="Times New Roman"/>
        </w:rPr>
        <w:t>from the reporting obligations established in this Division.</w:t>
      </w:r>
    </w:p>
    <w:p w14:paraId="54F63892" w14:textId="3F7CE2EB" w:rsidR="00011500" w:rsidRDefault="00011500" w:rsidP="00011500">
      <w:pPr>
        <w:pStyle w:val="Numberedparagraph"/>
        <w:spacing w:after="200" w:line="276" w:lineRule="auto"/>
        <w:ind w:left="720" w:hanging="720"/>
        <w:rPr>
          <w:rFonts w:cs="Times New Roman"/>
        </w:rPr>
      </w:pPr>
      <w:r>
        <w:rPr>
          <w:rFonts w:cs="Times New Roman"/>
        </w:rPr>
        <w:t xml:space="preserve">Natural gas is defined in section 4 as including NGL, </w:t>
      </w:r>
      <w:r w:rsidR="004A7E81">
        <w:rPr>
          <w:rFonts w:cs="Times New Roman"/>
        </w:rPr>
        <w:t>CNG, LNG</w:t>
      </w:r>
      <w:r>
        <w:rPr>
          <w:rFonts w:cs="Times New Roman"/>
        </w:rPr>
        <w:t xml:space="preserve">, methane and ethane. </w:t>
      </w:r>
    </w:p>
    <w:p w14:paraId="04E51F18" w14:textId="3FCD62B4" w:rsidR="00011500" w:rsidRDefault="00011500" w:rsidP="00011500">
      <w:pPr>
        <w:pStyle w:val="Numberedparagraph"/>
        <w:spacing w:after="200" w:line="276" w:lineRule="auto"/>
        <w:ind w:left="720" w:hanging="720"/>
        <w:rPr>
          <w:rFonts w:cs="Times New Roman"/>
        </w:rPr>
      </w:pPr>
      <w:r>
        <w:rPr>
          <w:rFonts w:cs="Times New Roman"/>
        </w:rPr>
        <w:t xml:space="preserve">Refining-related gas (other) is defined in section 4 as a </w:t>
      </w:r>
      <w:r w:rsidR="001865C7">
        <w:rPr>
          <w:rFonts w:cs="Times New Roman"/>
        </w:rPr>
        <w:t xml:space="preserve">gas which is a </w:t>
      </w:r>
      <w:r>
        <w:rPr>
          <w:rFonts w:cs="Times New Roman"/>
        </w:rPr>
        <w:t xml:space="preserve">fuel </w:t>
      </w:r>
      <w:r w:rsidR="001865C7">
        <w:rPr>
          <w:rFonts w:cs="Times New Roman"/>
        </w:rPr>
        <w:t>and</w:t>
      </w:r>
      <w:r>
        <w:rPr>
          <w:rFonts w:cs="Times New Roman"/>
        </w:rPr>
        <w:t xml:space="preserve"> an input into or output from the refining of crude oil or condensate at a refinery, where it is not otherwise covered by Schedule 1. It is intended as a cover all category to </w:t>
      </w:r>
      <w:r w:rsidR="007E434B">
        <w:rPr>
          <w:rFonts w:cs="Times New Roman"/>
        </w:rPr>
        <w:t>include</w:t>
      </w:r>
      <w:r>
        <w:rPr>
          <w:rFonts w:cs="Times New Roman"/>
        </w:rPr>
        <w:t xml:space="preserve"> gases that are relevant only for refining activity reporting. Schedule 1 lists four sub-categories of refining-related gas, namely methane, ethane, refinery gas and other refining-related gases. Other gases that may be an input into or output from refining but are listed as a category or subcategory elsewhere in Schedule 1, for example propane, do not fall within the scope of refining-related gas (other). </w:t>
      </w:r>
    </w:p>
    <w:p w14:paraId="64E69E54" w14:textId="290D7C2B" w:rsidR="00BE5F6A" w:rsidRDefault="00011500" w:rsidP="00BE5F6A">
      <w:pPr>
        <w:pStyle w:val="Numberedparagraph"/>
        <w:spacing w:after="200" w:line="276" w:lineRule="auto"/>
        <w:ind w:left="720" w:hanging="720"/>
        <w:rPr>
          <w:rFonts w:cs="Times New Roman"/>
        </w:rPr>
      </w:pPr>
      <w:r>
        <w:rPr>
          <w:rFonts w:cs="Times New Roman"/>
        </w:rPr>
        <w:t xml:space="preserve">Subsection </w:t>
      </w:r>
      <w:r w:rsidR="0010332B">
        <w:rPr>
          <w:rFonts w:cs="Times New Roman"/>
        </w:rPr>
        <w:t>14</w:t>
      </w:r>
      <w:r>
        <w:rPr>
          <w:rFonts w:cs="Times New Roman"/>
        </w:rPr>
        <w:t xml:space="preserve">(1) provides a general exemption from the reporting obligations in this Division to all forms of natural </w:t>
      </w:r>
      <w:r w:rsidR="00EE5AFA">
        <w:rPr>
          <w:rFonts w:cs="Times New Roman"/>
        </w:rPr>
        <w:t>gas except NGL</w:t>
      </w:r>
      <w:r>
        <w:rPr>
          <w:rFonts w:cs="Times New Roman"/>
        </w:rPr>
        <w:t xml:space="preserve"> and refining</w:t>
      </w:r>
      <w:r>
        <w:rPr>
          <w:rFonts w:cs="Times New Roman"/>
        </w:rPr>
        <w:noBreakHyphen/>
        <w:t>related gas</w:t>
      </w:r>
      <w:r w:rsidR="00FE00D0">
        <w:rPr>
          <w:rFonts w:cs="Times New Roman"/>
        </w:rPr>
        <w:t xml:space="preserve"> (other)</w:t>
      </w:r>
      <w:r>
        <w:rPr>
          <w:rFonts w:cs="Times New Roman"/>
        </w:rPr>
        <w:t>.</w:t>
      </w:r>
      <w:r w:rsidR="00BE5F6A">
        <w:rPr>
          <w:rFonts w:cs="Times New Roman"/>
        </w:rPr>
        <w:t xml:space="preserve"> </w:t>
      </w:r>
    </w:p>
    <w:p w14:paraId="7E54E8B5" w14:textId="77777777" w:rsidR="00011500" w:rsidRPr="00BE5F6A" w:rsidRDefault="00BE5F6A" w:rsidP="00BE5F6A">
      <w:pPr>
        <w:pStyle w:val="Numberedparagraph"/>
        <w:spacing w:after="200" w:line="276" w:lineRule="auto"/>
        <w:ind w:left="720" w:hanging="720"/>
        <w:rPr>
          <w:rFonts w:cs="Times New Roman"/>
        </w:rPr>
      </w:pPr>
      <w:r>
        <w:rPr>
          <w:rFonts w:cs="Times New Roman"/>
        </w:rPr>
        <w:t>S</w:t>
      </w:r>
      <w:r w:rsidR="00011500" w:rsidRPr="00BE5F6A">
        <w:rPr>
          <w:rFonts w:cs="Times New Roman"/>
        </w:rPr>
        <w:t>ubs</w:t>
      </w:r>
      <w:r w:rsidR="0010332B">
        <w:rPr>
          <w:rFonts w:cs="Times New Roman"/>
        </w:rPr>
        <w:t>ection 14(2) limits the exemption in 14</w:t>
      </w:r>
      <w:r w:rsidR="00011500" w:rsidRPr="00BE5F6A">
        <w:rPr>
          <w:rFonts w:cs="Times New Roman"/>
        </w:rPr>
        <w:t xml:space="preserve">(1) </w:t>
      </w:r>
      <w:r w:rsidR="00D308B8" w:rsidRPr="00BE5F6A">
        <w:rPr>
          <w:rFonts w:cs="Times New Roman"/>
        </w:rPr>
        <w:t>to provide</w:t>
      </w:r>
      <w:r w:rsidR="00011500" w:rsidRPr="00BE5F6A">
        <w:rPr>
          <w:rFonts w:cs="Times New Roman"/>
        </w:rPr>
        <w:t xml:space="preserve"> that </w:t>
      </w:r>
      <w:r w:rsidR="00FD64C7">
        <w:rPr>
          <w:rFonts w:cs="Times New Roman"/>
        </w:rPr>
        <w:t>refining related gases</w:t>
      </w:r>
      <w:r w:rsidR="00011500" w:rsidRPr="00BE5F6A">
        <w:rPr>
          <w:rFonts w:cs="Times New Roman"/>
        </w:rPr>
        <w:t xml:space="preserve"> are reportable where</w:t>
      </w:r>
      <w:r w:rsidR="00D308B8" w:rsidRPr="00BE5F6A">
        <w:rPr>
          <w:rFonts w:cs="Times New Roman"/>
        </w:rPr>
        <w:t xml:space="preserve"> they are</w:t>
      </w:r>
      <w:r w:rsidR="00011500" w:rsidRPr="00BE5F6A">
        <w:rPr>
          <w:rFonts w:cs="Times New Roman"/>
        </w:rPr>
        <w:t xml:space="preserve"> relevant to the refining activity reporting obligation </w:t>
      </w:r>
      <w:r w:rsidR="00D308B8" w:rsidRPr="00BE5F6A">
        <w:rPr>
          <w:rFonts w:cs="Times New Roman"/>
        </w:rPr>
        <w:t>prescribed at</w:t>
      </w:r>
      <w:r w:rsidR="00011500" w:rsidRPr="00BE5F6A">
        <w:rPr>
          <w:rFonts w:cs="Times New Roman"/>
        </w:rPr>
        <w:t xml:space="preserve"> items 7 an</w:t>
      </w:r>
      <w:r w:rsidR="0010332B">
        <w:rPr>
          <w:rFonts w:cs="Times New Roman"/>
        </w:rPr>
        <w:t xml:space="preserve">d 8 of the table in subsection </w:t>
      </w:r>
      <w:r w:rsidR="00011500" w:rsidRPr="00BE5F6A">
        <w:rPr>
          <w:rFonts w:cs="Times New Roman"/>
        </w:rPr>
        <w:t xml:space="preserve">16(1) and the </w:t>
      </w:r>
      <w:r w:rsidR="00D308B8" w:rsidRPr="00BE5F6A">
        <w:rPr>
          <w:rFonts w:cs="Times New Roman"/>
        </w:rPr>
        <w:t>calculation</w:t>
      </w:r>
      <w:r w:rsidR="00011500" w:rsidRPr="00BE5F6A">
        <w:rPr>
          <w:rFonts w:cs="Times New Roman"/>
        </w:rPr>
        <w:t xml:space="preserve"> of the reporting threshold for refineries at </w:t>
      </w:r>
      <w:r w:rsidR="006F2FD5">
        <w:rPr>
          <w:rFonts w:cs="Times New Roman"/>
        </w:rPr>
        <w:t>paragraph</w:t>
      </w:r>
      <w:r w:rsidR="00D308B8" w:rsidRPr="00BE5F6A">
        <w:rPr>
          <w:rFonts w:cs="Times New Roman"/>
        </w:rPr>
        <w:t xml:space="preserve"> 1</w:t>
      </w:r>
      <w:r w:rsidR="0010332B">
        <w:rPr>
          <w:rFonts w:cs="Times New Roman"/>
        </w:rPr>
        <w:t>6</w:t>
      </w:r>
      <w:r w:rsidR="00D308B8" w:rsidRPr="00BE5F6A">
        <w:rPr>
          <w:rFonts w:cs="Times New Roman"/>
        </w:rPr>
        <w:t xml:space="preserve">(5)(d). </w:t>
      </w:r>
    </w:p>
    <w:p w14:paraId="1A70730C" w14:textId="05614C13" w:rsidR="00466B27" w:rsidRPr="00BE5F6A" w:rsidRDefault="00BE5F6A" w:rsidP="00BE5F6A">
      <w:pPr>
        <w:pStyle w:val="Numberedparagraph"/>
        <w:spacing w:after="200" w:line="276" w:lineRule="auto"/>
        <w:ind w:left="720" w:hanging="720"/>
        <w:rPr>
          <w:rFonts w:cs="Times New Roman"/>
        </w:rPr>
      </w:pPr>
      <w:r>
        <w:rPr>
          <w:rFonts w:cs="Times New Roman"/>
        </w:rPr>
        <w:t>This means that methane, ethane, refinery gas and other gases are reportable when they are an input into or output from</w:t>
      </w:r>
      <w:r w:rsidR="009E1CE1">
        <w:rPr>
          <w:rFonts w:cs="Times New Roman"/>
        </w:rPr>
        <w:t xml:space="preserve"> refining, but not other activities unless in the form of NGL (also known as plant condensate).</w:t>
      </w:r>
      <w:r>
        <w:rPr>
          <w:rFonts w:cs="Times New Roman"/>
        </w:rPr>
        <w:t xml:space="preserve"> </w:t>
      </w:r>
      <w:r w:rsidR="00D308B8" w:rsidRPr="00BE5F6A">
        <w:rPr>
          <w:rFonts w:cs="Times New Roman"/>
        </w:rPr>
        <w:t xml:space="preserve">The intention of this provision is </w:t>
      </w:r>
      <w:r w:rsidR="000150DB" w:rsidRPr="00BE5F6A">
        <w:rPr>
          <w:rFonts w:cs="Times New Roman"/>
        </w:rPr>
        <w:t xml:space="preserve">to ensure that gases are only reportable where relevant to meeting </w:t>
      </w:r>
      <w:r w:rsidR="00FD64C7">
        <w:rPr>
          <w:rFonts w:cs="Times New Roman"/>
        </w:rPr>
        <w:t>Australia’s</w:t>
      </w:r>
      <w:r w:rsidR="000150DB" w:rsidRPr="00BE5F6A">
        <w:rPr>
          <w:rFonts w:cs="Times New Roman"/>
        </w:rPr>
        <w:t xml:space="preserve"> reporting obligations under the IEP Treaty or to the </w:t>
      </w:r>
      <w:r w:rsidR="00FD64C7">
        <w:rPr>
          <w:rFonts w:cs="Times New Roman"/>
        </w:rPr>
        <w:t>compilation</w:t>
      </w:r>
      <w:r w:rsidR="000150DB" w:rsidRPr="00BE5F6A">
        <w:rPr>
          <w:rFonts w:cs="Times New Roman"/>
        </w:rPr>
        <w:t xml:space="preserve"> of the Australian Petroleum Statistics. </w:t>
      </w:r>
    </w:p>
    <w:p w14:paraId="66FA609C" w14:textId="77777777" w:rsidR="00627E9B" w:rsidRPr="00627E9B" w:rsidRDefault="00FB2CFF" w:rsidP="00627E9B">
      <w:pPr>
        <w:pStyle w:val="Numberedparagraph"/>
        <w:numPr>
          <w:ilvl w:val="0"/>
          <w:numId w:val="0"/>
        </w:numPr>
        <w:spacing w:after="200" w:line="276" w:lineRule="auto"/>
        <w:rPr>
          <w:rFonts w:cs="Times New Roman"/>
          <w:b/>
        </w:rPr>
      </w:pPr>
      <w:r>
        <w:rPr>
          <w:rFonts w:cs="Times New Roman"/>
          <w:b/>
        </w:rPr>
        <w:t>15</w:t>
      </w:r>
      <w:r w:rsidR="00627E9B">
        <w:rPr>
          <w:rFonts w:cs="Times New Roman"/>
          <w:b/>
        </w:rPr>
        <w:t xml:space="preserve"> – Holding Stock – entity </w:t>
      </w:r>
      <w:r w:rsidR="009E1CE1">
        <w:rPr>
          <w:rFonts w:cs="Times New Roman"/>
          <w:b/>
        </w:rPr>
        <w:t>that</w:t>
      </w:r>
      <w:r w:rsidR="00627E9B">
        <w:rPr>
          <w:rFonts w:cs="Times New Roman"/>
          <w:b/>
        </w:rPr>
        <w:t xml:space="preserve"> stores covered product disregarded if another entity holds contractual right to take possession</w:t>
      </w:r>
    </w:p>
    <w:p w14:paraId="2E5924ED" w14:textId="77777777" w:rsidR="00934AF9" w:rsidRDefault="00FB2CFF" w:rsidP="00F9666D">
      <w:pPr>
        <w:pStyle w:val="Numberedparagraph"/>
        <w:spacing w:after="200" w:line="276" w:lineRule="auto"/>
        <w:ind w:left="720" w:hanging="720"/>
        <w:rPr>
          <w:rFonts w:cs="Times New Roman"/>
        </w:rPr>
      </w:pPr>
      <w:r>
        <w:rPr>
          <w:rFonts w:cs="Times New Roman"/>
        </w:rPr>
        <w:t>Section 15</w:t>
      </w:r>
      <w:r w:rsidR="007D6F67">
        <w:rPr>
          <w:rFonts w:cs="Times New Roman"/>
        </w:rPr>
        <w:t xml:space="preserve"> of the Rules </w:t>
      </w:r>
      <w:r w:rsidR="00934AF9">
        <w:rPr>
          <w:rFonts w:cs="Times New Roman"/>
        </w:rPr>
        <w:t>clarif</w:t>
      </w:r>
      <w:r w:rsidR="007D6F67">
        <w:rPr>
          <w:rFonts w:cs="Times New Roman"/>
        </w:rPr>
        <w:t>ies</w:t>
      </w:r>
      <w:r w:rsidR="00934AF9">
        <w:rPr>
          <w:rFonts w:cs="Times New Roman"/>
        </w:rPr>
        <w:t xml:space="preserve"> that where two entities are prescribed as having a reporting obligation under </w:t>
      </w:r>
      <w:r w:rsidR="007D6F67">
        <w:rPr>
          <w:rFonts w:cs="Times New Roman"/>
        </w:rPr>
        <w:t xml:space="preserve">section </w:t>
      </w:r>
      <w:r>
        <w:rPr>
          <w:rFonts w:cs="Times New Roman"/>
        </w:rPr>
        <w:t>17</w:t>
      </w:r>
      <w:r w:rsidR="00934AF9">
        <w:rPr>
          <w:rFonts w:cs="Times New Roman"/>
        </w:rPr>
        <w:t xml:space="preserve"> because one party is keeping the stock in storage and another party has a contractual right to take possession of the same stock</w:t>
      </w:r>
      <w:r w:rsidR="00D435D9">
        <w:rPr>
          <w:rFonts w:cs="Times New Roman"/>
        </w:rPr>
        <w:t>,</w:t>
      </w:r>
      <w:r w:rsidR="00934AF9">
        <w:rPr>
          <w:rFonts w:cs="Times New Roman"/>
        </w:rPr>
        <w:t xml:space="preserve"> th</w:t>
      </w:r>
      <w:r w:rsidR="007D6F67">
        <w:rPr>
          <w:rFonts w:cs="Times New Roman"/>
        </w:rPr>
        <w:t>en</w:t>
      </w:r>
      <w:r w:rsidR="00934AF9">
        <w:rPr>
          <w:rFonts w:cs="Times New Roman"/>
        </w:rPr>
        <w:t xml:space="preserve"> the reporting obligation applies to the entity holding the contractual right to take possession</w:t>
      </w:r>
      <w:r w:rsidR="00397058">
        <w:rPr>
          <w:rFonts w:cs="Times New Roman"/>
        </w:rPr>
        <w:t>,</w:t>
      </w:r>
      <w:r w:rsidR="00D435D9">
        <w:rPr>
          <w:rFonts w:cs="Times New Roman"/>
        </w:rPr>
        <w:t xml:space="preserve"> and the entity keeping the covered product in storage is </w:t>
      </w:r>
      <w:r w:rsidR="00142FA4">
        <w:rPr>
          <w:rFonts w:cs="Times New Roman"/>
        </w:rPr>
        <w:t>not subject to</w:t>
      </w:r>
      <w:r w:rsidR="00D435D9">
        <w:rPr>
          <w:rFonts w:cs="Times New Roman"/>
        </w:rPr>
        <w:t xml:space="preserve"> the reporting obligation</w:t>
      </w:r>
      <w:r w:rsidR="00934AF9">
        <w:rPr>
          <w:rFonts w:cs="Times New Roman"/>
        </w:rPr>
        <w:t>.</w:t>
      </w:r>
    </w:p>
    <w:p w14:paraId="2CEA7349" w14:textId="00B02F33" w:rsidR="00FD64C7" w:rsidRDefault="00FD64C7" w:rsidP="00F9666D">
      <w:pPr>
        <w:pStyle w:val="Numberedparagraph"/>
        <w:spacing w:after="200" w:line="276" w:lineRule="auto"/>
        <w:ind w:left="720" w:hanging="720"/>
        <w:rPr>
          <w:rFonts w:cs="Times New Roman"/>
        </w:rPr>
      </w:pPr>
      <w:r>
        <w:rPr>
          <w:rFonts w:cs="Times New Roman"/>
        </w:rPr>
        <w:t xml:space="preserve">There are two circumstances provided at section 7 where a contractual right to take possession is prescribed as holding stock for the purposes of the Act. The first is holding a contractual right to take possession of stock held in storage overseas and the second is holding a contractual right to take possession of </w:t>
      </w:r>
      <w:r w:rsidR="00886409">
        <w:rPr>
          <w:rFonts w:cs="Times New Roman"/>
        </w:rPr>
        <w:t>covered product</w:t>
      </w:r>
      <w:r w:rsidR="00FF5ED1">
        <w:rPr>
          <w:rFonts w:cs="Times New Roman"/>
        </w:rPr>
        <w:t xml:space="preserve"> </w:t>
      </w:r>
      <w:r>
        <w:rPr>
          <w:rFonts w:cs="Times New Roman"/>
        </w:rPr>
        <w:t xml:space="preserve">on water after it is unloaded in Australia. </w:t>
      </w:r>
    </w:p>
    <w:p w14:paraId="39559388" w14:textId="57427817" w:rsidR="00627E9B" w:rsidRDefault="00934AF9" w:rsidP="00F9666D">
      <w:pPr>
        <w:pStyle w:val="Numberedparagraph"/>
        <w:spacing w:after="200" w:line="276" w:lineRule="auto"/>
        <w:ind w:left="720" w:hanging="720"/>
        <w:rPr>
          <w:rFonts w:cs="Times New Roman"/>
        </w:rPr>
      </w:pPr>
      <w:r>
        <w:rPr>
          <w:rFonts w:cs="Times New Roman"/>
        </w:rPr>
        <w:lastRenderedPageBreak/>
        <w:t>This</w:t>
      </w:r>
      <w:r w:rsidR="00886409">
        <w:rPr>
          <w:rFonts w:cs="Times New Roman"/>
        </w:rPr>
        <w:t xml:space="preserve"> provision</w:t>
      </w:r>
      <w:r>
        <w:rPr>
          <w:rFonts w:cs="Times New Roman"/>
        </w:rPr>
        <w:t xml:space="preserve"> is intended to clarify who has the </w:t>
      </w:r>
      <w:r w:rsidR="00D435D9">
        <w:rPr>
          <w:rFonts w:cs="Times New Roman"/>
        </w:rPr>
        <w:t xml:space="preserve">reporting </w:t>
      </w:r>
      <w:r>
        <w:rPr>
          <w:rFonts w:cs="Times New Roman"/>
        </w:rPr>
        <w:t xml:space="preserve">obligation where both the current </w:t>
      </w:r>
      <w:r w:rsidR="00397058">
        <w:rPr>
          <w:rFonts w:cs="Times New Roman"/>
        </w:rPr>
        <w:t>owner</w:t>
      </w:r>
      <w:r>
        <w:rPr>
          <w:rFonts w:cs="Times New Roman"/>
        </w:rPr>
        <w:t xml:space="preserve"> and future </w:t>
      </w:r>
      <w:r w:rsidR="00397058">
        <w:rPr>
          <w:rFonts w:cs="Times New Roman"/>
        </w:rPr>
        <w:t>owner</w:t>
      </w:r>
      <w:r w:rsidR="00CE58F1">
        <w:rPr>
          <w:rFonts w:cs="Times New Roman"/>
        </w:rPr>
        <w:t xml:space="preserve"> would otherwise</w:t>
      </w:r>
      <w:r>
        <w:rPr>
          <w:rFonts w:cs="Times New Roman"/>
        </w:rPr>
        <w:t xml:space="preserve"> </w:t>
      </w:r>
      <w:r w:rsidR="00397058">
        <w:rPr>
          <w:rFonts w:cs="Times New Roman"/>
        </w:rPr>
        <w:t>have a prescribed reporting obligation</w:t>
      </w:r>
      <w:r>
        <w:rPr>
          <w:rFonts w:cs="Times New Roman"/>
        </w:rPr>
        <w:t xml:space="preserve"> under </w:t>
      </w:r>
      <w:r w:rsidR="007D6F67">
        <w:rPr>
          <w:rFonts w:cs="Times New Roman"/>
        </w:rPr>
        <w:t>subsection </w:t>
      </w:r>
      <w:r w:rsidR="00FB2CFF">
        <w:rPr>
          <w:rFonts w:cs="Times New Roman"/>
        </w:rPr>
        <w:t>17</w:t>
      </w:r>
      <w:r w:rsidR="00397058">
        <w:rPr>
          <w:rFonts w:cs="Times New Roman"/>
        </w:rPr>
        <w:t>(1)</w:t>
      </w:r>
      <w:r>
        <w:rPr>
          <w:rFonts w:cs="Times New Roman"/>
        </w:rPr>
        <w:t xml:space="preserve">. For example, if one company owns stock </w:t>
      </w:r>
      <w:r w:rsidR="00397058">
        <w:rPr>
          <w:rFonts w:cs="Times New Roman"/>
        </w:rPr>
        <w:t xml:space="preserve">which is </w:t>
      </w:r>
      <w:r w:rsidR="00886409">
        <w:rPr>
          <w:rFonts w:cs="Times New Roman"/>
        </w:rPr>
        <w:t>in transit to Australia</w:t>
      </w:r>
      <w:r w:rsidR="00397058">
        <w:rPr>
          <w:rFonts w:cs="Times New Roman"/>
        </w:rPr>
        <w:t xml:space="preserve"> </w:t>
      </w:r>
      <w:r>
        <w:rPr>
          <w:rFonts w:cs="Times New Roman"/>
        </w:rPr>
        <w:t>and another company has the contractual right to take possession of the stock after it is unloaded, only the company holding the contractual right to take possession is required to report</w:t>
      </w:r>
      <w:r w:rsidR="00397058">
        <w:rPr>
          <w:rFonts w:cs="Times New Roman"/>
        </w:rPr>
        <w:t xml:space="preserve"> under </w:t>
      </w:r>
      <w:r w:rsidR="007D6F67">
        <w:rPr>
          <w:rFonts w:cs="Times New Roman"/>
        </w:rPr>
        <w:t xml:space="preserve">subsection </w:t>
      </w:r>
      <w:r w:rsidR="00FB2CFF">
        <w:rPr>
          <w:rFonts w:cs="Times New Roman"/>
        </w:rPr>
        <w:t>17</w:t>
      </w:r>
      <w:r w:rsidR="00397058">
        <w:rPr>
          <w:rFonts w:cs="Times New Roman"/>
        </w:rPr>
        <w:t>(1)</w:t>
      </w:r>
      <w:r>
        <w:rPr>
          <w:rFonts w:cs="Times New Roman"/>
        </w:rPr>
        <w:t>.</w:t>
      </w:r>
    </w:p>
    <w:p w14:paraId="2309A458" w14:textId="77777777" w:rsidR="00627E9B" w:rsidRPr="00D435D9" w:rsidRDefault="00D435D9" w:rsidP="00D435D9">
      <w:pPr>
        <w:pStyle w:val="Numberedparagraph"/>
        <w:spacing w:after="200" w:line="276" w:lineRule="auto"/>
        <w:ind w:left="720" w:hanging="720"/>
        <w:rPr>
          <w:rFonts w:cs="Times New Roman"/>
        </w:rPr>
      </w:pPr>
      <w:r>
        <w:rPr>
          <w:rFonts w:cs="Times New Roman"/>
        </w:rPr>
        <w:t>In circumstances where one entity is keeping stock in storage and another has a contractual right to take possession of the same stock, but only one</w:t>
      </w:r>
      <w:r w:rsidR="007D6F67">
        <w:rPr>
          <w:rFonts w:cs="Times New Roman"/>
        </w:rPr>
        <w:t xml:space="preserve"> of the</w:t>
      </w:r>
      <w:r>
        <w:rPr>
          <w:rFonts w:cs="Times New Roman"/>
        </w:rPr>
        <w:t xml:space="preserve"> entit</w:t>
      </w:r>
      <w:r w:rsidR="007D6F67">
        <w:rPr>
          <w:rFonts w:cs="Times New Roman"/>
        </w:rPr>
        <w:t>ies</w:t>
      </w:r>
      <w:r>
        <w:rPr>
          <w:rFonts w:cs="Times New Roman"/>
        </w:rPr>
        <w:t xml:space="preserve"> is </w:t>
      </w:r>
      <w:r w:rsidR="007D6F67">
        <w:rPr>
          <w:rFonts w:cs="Times New Roman"/>
        </w:rPr>
        <w:t xml:space="preserve">subject to </w:t>
      </w:r>
      <w:r>
        <w:rPr>
          <w:rFonts w:cs="Times New Roman"/>
        </w:rPr>
        <w:t>prescribed report</w:t>
      </w:r>
      <w:r w:rsidR="007D6F67">
        <w:rPr>
          <w:rFonts w:cs="Times New Roman"/>
        </w:rPr>
        <w:t>ing obligations under the Rules</w:t>
      </w:r>
      <w:r>
        <w:rPr>
          <w:rFonts w:cs="Times New Roman"/>
        </w:rPr>
        <w:t>, then the entity</w:t>
      </w:r>
      <w:r w:rsidR="007D6F67">
        <w:rPr>
          <w:rFonts w:cs="Times New Roman"/>
        </w:rPr>
        <w:t xml:space="preserve"> that is subject to the prescribed requirements</w:t>
      </w:r>
      <w:r>
        <w:rPr>
          <w:rFonts w:cs="Times New Roman"/>
        </w:rPr>
        <w:t xml:space="preserve"> must report. </w:t>
      </w:r>
      <w:r w:rsidR="005E02B8">
        <w:rPr>
          <w:rFonts w:cs="Times New Roman"/>
        </w:rPr>
        <w:t>Therefore</w:t>
      </w:r>
      <w:r>
        <w:rPr>
          <w:rFonts w:cs="Times New Roman"/>
        </w:rPr>
        <w:t xml:space="preserve">, if a regulated entity keeps a covered product in storage and another entity has a contractual right to take possession of that stock at a later point, but the particular type of contractual right to take possession is not </w:t>
      </w:r>
      <w:r w:rsidR="007D6F67">
        <w:rPr>
          <w:rFonts w:cs="Times New Roman"/>
        </w:rPr>
        <w:t xml:space="preserve">of a kind that is subject to </w:t>
      </w:r>
      <w:r>
        <w:rPr>
          <w:rFonts w:cs="Times New Roman"/>
        </w:rPr>
        <w:t xml:space="preserve">prescribed </w:t>
      </w:r>
      <w:r w:rsidR="00397058">
        <w:rPr>
          <w:rFonts w:cs="Times New Roman"/>
        </w:rPr>
        <w:t>report</w:t>
      </w:r>
      <w:r w:rsidR="007D6F67">
        <w:rPr>
          <w:rFonts w:cs="Times New Roman"/>
        </w:rPr>
        <w:t>ing requirements</w:t>
      </w:r>
      <w:r w:rsidR="00397058">
        <w:rPr>
          <w:rFonts w:cs="Times New Roman"/>
        </w:rPr>
        <w:t xml:space="preserve"> under</w:t>
      </w:r>
      <w:r>
        <w:rPr>
          <w:rFonts w:cs="Times New Roman"/>
        </w:rPr>
        <w:t xml:space="preserve"> </w:t>
      </w:r>
      <w:r w:rsidR="0078486B">
        <w:rPr>
          <w:rFonts w:cs="Times New Roman"/>
        </w:rPr>
        <w:t xml:space="preserve">subsection </w:t>
      </w:r>
      <w:r w:rsidR="00FB2CFF">
        <w:rPr>
          <w:rFonts w:cs="Times New Roman"/>
        </w:rPr>
        <w:t>17</w:t>
      </w:r>
      <w:r w:rsidR="00397058">
        <w:rPr>
          <w:rFonts w:cs="Times New Roman"/>
        </w:rPr>
        <w:t>(1) (that is it does not fall within the definition of holding stock</w:t>
      </w:r>
      <w:r w:rsidR="00FD64C7">
        <w:rPr>
          <w:rFonts w:cs="Times New Roman"/>
        </w:rPr>
        <w:t xml:space="preserve"> at section 5 of the Act as adjusted by section 7 of the Rules</w:t>
      </w:r>
      <w:r w:rsidR="00397058">
        <w:rPr>
          <w:rFonts w:cs="Times New Roman"/>
        </w:rPr>
        <w:t>)</w:t>
      </w:r>
      <w:r>
        <w:rPr>
          <w:rFonts w:cs="Times New Roman"/>
        </w:rPr>
        <w:t xml:space="preserve">, then the entity keeping the covered product in storage must report. </w:t>
      </w:r>
      <w:r w:rsidR="00D44ACB">
        <w:rPr>
          <w:rFonts w:cs="Times New Roman"/>
        </w:rPr>
        <w:t>For example</w:t>
      </w:r>
      <w:r>
        <w:rPr>
          <w:rFonts w:cs="Times New Roman"/>
        </w:rPr>
        <w:t>, i</w:t>
      </w:r>
      <w:r w:rsidR="00397058">
        <w:rPr>
          <w:rFonts w:cs="Times New Roman"/>
        </w:rPr>
        <w:t>f</w:t>
      </w:r>
      <w:r>
        <w:rPr>
          <w:rFonts w:cs="Times New Roman"/>
        </w:rPr>
        <w:t xml:space="preserve"> a fuel wholesaler is keeping </w:t>
      </w:r>
      <w:r w:rsidR="00853767">
        <w:rPr>
          <w:rFonts w:cs="Times New Roman"/>
        </w:rPr>
        <w:t>diesel</w:t>
      </w:r>
      <w:r>
        <w:rPr>
          <w:rFonts w:cs="Times New Roman"/>
        </w:rPr>
        <w:t xml:space="preserve"> in storage, but a </w:t>
      </w:r>
      <w:r w:rsidR="00397058">
        <w:rPr>
          <w:rFonts w:cs="Times New Roman"/>
        </w:rPr>
        <w:t>retailer</w:t>
      </w:r>
      <w:r>
        <w:rPr>
          <w:rFonts w:cs="Times New Roman"/>
        </w:rPr>
        <w:t xml:space="preserve"> holds a contractual right for </w:t>
      </w:r>
      <w:r w:rsidR="00853767">
        <w:rPr>
          <w:rFonts w:cs="Times New Roman"/>
        </w:rPr>
        <w:t>the</w:t>
      </w:r>
      <w:r>
        <w:rPr>
          <w:rFonts w:cs="Times New Roman"/>
        </w:rPr>
        <w:t xml:space="preserve"> </w:t>
      </w:r>
      <w:r w:rsidR="00853767">
        <w:rPr>
          <w:rFonts w:cs="Times New Roman"/>
        </w:rPr>
        <w:t>diesel</w:t>
      </w:r>
      <w:r>
        <w:rPr>
          <w:rFonts w:cs="Times New Roman"/>
        </w:rPr>
        <w:t xml:space="preserve"> to be delivered to </w:t>
      </w:r>
      <w:r w:rsidR="00853767">
        <w:rPr>
          <w:rFonts w:cs="Times New Roman"/>
        </w:rPr>
        <w:t>one of its</w:t>
      </w:r>
      <w:r>
        <w:rPr>
          <w:rFonts w:cs="Times New Roman"/>
        </w:rPr>
        <w:t xml:space="preserve"> service station</w:t>
      </w:r>
      <w:r w:rsidR="00853767">
        <w:rPr>
          <w:rFonts w:cs="Times New Roman"/>
        </w:rPr>
        <w:t xml:space="preserve">s, then this arrangement would not exempt the fuel wholesaler from a reporting obligation under </w:t>
      </w:r>
      <w:r w:rsidR="0078486B">
        <w:rPr>
          <w:rFonts w:cs="Times New Roman"/>
        </w:rPr>
        <w:t xml:space="preserve">section </w:t>
      </w:r>
      <w:r w:rsidR="00853767">
        <w:rPr>
          <w:rFonts w:cs="Times New Roman"/>
        </w:rPr>
        <w:t>1</w:t>
      </w:r>
      <w:r w:rsidR="00B914C2">
        <w:rPr>
          <w:rFonts w:cs="Times New Roman"/>
        </w:rPr>
        <w:t>7</w:t>
      </w:r>
      <w:r w:rsidR="00397058">
        <w:rPr>
          <w:rFonts w:cs="Times New Roman"/>
        </w:rPr>
        <w:t xml:space="preserve"> because holding a right to retail a product held in storage is not</w:t>
      </w:r>
      <w:r w:rsidR="0078486B">
        <w:rPr>
          <w:rFonts w:cs="Times New Roman"/>
        </w:rPr>
        <w:t xml:space="preserve"> an activity that attracts</w:t>
      </w:r>
      <w:r w:rsidR="00397058">
        <w:rPr>
          <w:rFonts w:cs="Times New Roman"/>
        </w:rPr>
        <w:t xml:space="preserve"> prescribed </w:t>
      </w:r>
      <w:r w:rsidR="0078486B">
        <w:rPr>
          <w:rFonts w:cs="Times New Roman"/>
        </w:rPr>
        <w:t xml:space="preserve">reporting obligations </w:t>
      </w:r>
      <w:r w:rsidR="00397058">
        <w:rPr>
          <w:rFonts w:cs="Times New Roman"/>
        </w:rPr>
        <w:t>under the Rules</w:t>
      </w:r>
      <w:r w:rsidR="00853767">
        <w:rPr>
          <w:rFonts w:cs="Times New Roman"/>
        </w:rPr>
        <w:t>.</w:t>
      </w:r>
    </w:p>
    <w:p w14:paraId="43F298F0" w14:textId="77777777" w:rsidR="00611995" w:rsidRDefault="00FD64C7" w:rsidP="007E434B">
      <w:pPr>
        <w:pStyle w:val="Numberedparagraph"/>
        <w:keepNext/>
        <w:numPr>
          <w:ilvl w:val="0"/>
          <w:numId w:val="0"/>
        </w:numPr>
        <w:spacing w:after="200" w:line="276" w:lineRule="auto"/>
        <w:rPr>
          <w:b/>
        </w:rPr>
      </w:pPr>
      <w:r>
        <w:rPr>
          <w:b/>
        </w:rPr>
        <w:t>Subdivision B</w:t>
      </w:r>
      <w:r w:rsidR="00611995">
        <w:rPr>
          <w:b/>
        </w:rPr>
        <w:t xml:space="preserve"> - </w:t>
      </w:r>
      <w:r w:rsidR="00853767">
        <w:rPr>
          <w:b/>
        </w:rPr>
        <w:t>Reports</w:t>
      </w:r>
    </w:p>
    <w:p w14:paraId="4CE20847" w14:textId="77777777" w:rsidR="00D663C3" w:rsidRPr="00D663C3" w:rsidRDefault="009F4CD8" w:rsidP="009A5DA9">
      <w:pPr>
        <w:pStyle w:val="Numberedparagraph"/>
        <w:numPr>
          <w:ilvl w:val="0"/>
          <w:numId w:val="0"/>
        </w:numPr>
        <w:spacing w:after="200" w:line="276" w:lineRule="auto"/>
        <w:rPr>
          <w:b/>
        </w:rPr>
      </w:pPr>
      <w:r>
        <w:rPr>
          <w:rFonts w:cs="Times New Roman"/>
          <w:b/>
        </w:rPr>
        <w:t>1</w:t>
      </w:r>
      <w:r w:rsidR="00B914C2">
        <w:rPr>
          <w:rFonts w:cs="Times New Roman"/>
          <w:b/>
        </w:rPr>
        <w:t>6</w:t>
      </w:r>
      <w:r w:rsidR="00D663C3" w:rsidRPr="00D663C3">
        <w:rPr>
          <w:rFonts w:cs="Times New Roman"/>
          <w:b/>
        </w:rPr>
        <w:t xml:space="preserve"> – </w:t>
      </w:r>
      <w:r w:rsidR="008E6AF5">
        <w:rPr>
          <w:rFonts w:cs="Times New Roman"/>
          <w:b/>
        </w:rPr>
        <w:t>Report</w:t>
      </w:r>
      <w:r w:rsidR="00644D29">
        <w:rPr>
          <w:rFonts w:cs="Times New Roman"/>
          <w:b/>
        </w:rPr>
        <w:t>s - general</w:t>
      </w:r>
    </w:p>
    <w:p w14:paraId="16646483" w14:textId="77777777" w:rsidR="00D97D9D" w:rsidRDefault="00FB2CFF" w:rsidP="006D097D">
      <w:pPr>
        <w:pStyle w:val="Numberedparagraph"/>
        <w:spacing w:line="276" w:lineRule="auto"/>
        <w:ind w:left="709" w:hanging="709"/>
      </w:pPr>
      <w:r>
        <w:t>Section 16</w:t>
      </w:r>
      <w:r w:rsidR="008E6AF5">
        <w:t xml:space="preserve"> of the Rules </w:t>
      </w:r>
      <w:r w:rsidR="00530228">
        <w:t>prescribes reporting obligations for a range of co</w:t>
      </w:r>
      <w:r w:rsidR="00D97D9D">
        <w:t>vered activities</w:t>
      </w:r>
      <w:r w:rsidR="00ED5A6B">
        <w:t>, as envisaged by section 11 of the Act</w:t>
      </w:r>
      <w:r w:rsidR="00D97D9D">
        <w:t xml:space="preserve">. </w:t>
      </w:r>
    </w:p>
    <w:p w14:paraId="2470AB77" w14:textId="77777777" w:rsidR="00046CA5" w:rsidRDefault="00BB332B" w:rsidP="006D097D">
      <w:pPr>
        <w:pStyle w:val="Numberedparagraph"/>
        <w:spacing w:line="276" w:lineRule="auto"/>
        <w:ind w:left="709" w:hanging="709"/>
      </w:pPr>
      <w:r>
        <w:t xml:space="preserve">Subsection </w:t>
      </w:r>
      <w:r w:rsidR="00FB2CFF">
        <w:t>16</w:t>
      </w:r>
      <w:r w:rsidR="00046CA5">
        <w:t xml:space="preserve">(1) sets out </w:t>
      </w:r>
      <w:r w:rsidR="008E6AF5">
        <w:t xml:space="preserve">in a table </w:t>
      </w:r>
      <w:r w:rsidR="00046CA5">
        <w:t xml:space="preserve">the reporting requirements prescribed by the Minister. </w:t>
      </w:r>
      <w:r w:rsidR="008E6AF5">
        <w:t>Paragraphs</w:t>
      </w:r>
      <w:r w:rsidR="00046CA5">
        <w:t xml:space="preserve"> 1</w:t>
      </w:r>
      <w:r w:rsidR="00FB2CFF">
        <w:t>6</w:t>
      </w:r>
      <w:r w:rsidR="00046CA5">
        <w:t xml:space="preserve">(1)(a)-(c) explain how the table should be </w:t>
      </w:r>
      <w:r w:rsidR="00121FDA">
        <w:t>interpreted</w:t>
      </w:r>
      <w:r w:rsidR="00046CA5">
        <w:t xml:space="preserve">. </w:t>
      </w:r>
      <w:r w:rsidR="00FD64C7">
        <w:t xml:space="preserve">Subsection 16(2) sets the reporting categories and subcategories. </w:t>
      </w:r>
      <w:r w:rsidR="00B72A11">
        <w:t>Subsection 1</w:t>
      </w:r>
      <w:r w:rsidR="00FB2CFF">
        <w:t>6</w:t>
      </w:r>
      <w:r w:rsidR="00B72A11">
        <w:t>(</w:t>
      </w:r>
      <w:r w:rsidR="0010332B">
        <w:t>5</w:t>
      </w:r>
      <w:r w:rsidR="00B72A11">
        <w:t xml:space="preserve">) sets </w:t>
      </w:r>
      <w:r w:rsidR="00644D29">
        <w:t>the</w:t>
      </w:r>
      <w:r w:rsidR="00B72A11">
        <w:t xml:space="preserve"> volume thresholds below which reporting obligations under the Act do not apply. </w:t>
      </w:r>
    </w:p>
    <w:p w14:paraId="116EBEB6" w14:textId="77777777" w:rsidR="00530228" w:rsidRDefault="00D97D9D" w:rsidP="006D097D">
      <w:pPr>
        <w:pStyle w:val="Numberedparagraph"/>
        <w:spacing w:line="276" w:lineRule="auto"/>
        <w:ind w:left="709" w:hanging="709"/>
      </w:pPr>
      <w:r>
        <w:t>T</w:t>
      </w:r>
      <w:r w:rsidR="00530228">
        <w:t>he</w:t>
      </w:r>
      <w:r>
        <w:t xml:space="preserve"> table </w:t>
      </w:r>
      <w:r w:rsidR="00046CA5">
        <w:t>set out at</w:t>
      </w:r>
      <w:r>
        <w:t xml:space="preserve"> sub</w:t>
      </w:r>
      <w:r w:rsidR="00BB332B">
        <w:t>section</w:t>
      </w:r>
      <w:r>
        <w:t xml:space="preserve"> 1</w:t>
      </w:r>
      <w:r w:rsidR="00FB2CFF">
        <w:t>6</w:t>
      </w:r>
      <w:r>
        <w:t>(1) prescribes the</w:t>
      </w:r>
      <w:r w:rsidR="00530228">
        <w:t xml:space="preserve"> reporting obligation</w:t>
      </w:r>
      <w:r>
        <w:t>s</w:t>
      </w:r>
      <w:r w:rsidR="00530228">
        <w:t xml:space="preserve"> as follows:</w:t>
      </w:r>
    </w:p>
    <w:p w14:paraId="609714B9" w14:textId="77777777" w:rsidR="00D13FD3" w:rsidRDefault="00530228" w:rsidP="00530228">
      <w:pPr>
        <w:pStyle w:val="Numberedparagraph"/>
        <w:numPr>
          <w:ilvl w:val="1"/>
          <w:numId w:val="7"/>
        </w:numPr>
        <w:spacing w:line="276" w:lineRule="auto"/>
      </w:pPr>
      <w:r>
        <w:t>The covered activity and product</w:t>
      </w:r>
      <w:r w:rsidR="00121FDA">
        <w:t>/s</w:t>
      </w:r>
      <w:r>
        <w:t xml:space="preserve"> which are subject to </w:t>
      </w:r>
      <w:r w:rsidR="00D97D9D">
        <w:t>a</w:t>
      </w:r>
      <w:r>
        <w:t xml:space="preserve"> reporting obligation are set out in </w:t>
      </w:r>
      <w:r w:rsidR="00D97D9D">
        <w:t>C</w:t>
      </w:r>
      <w:r>
        <w:t>olumn 1.</w:t>
      </w:r>
    </w:p>
    <w:p w14:paraId="1F02D76C" w14:textId="77777777" w:rsidR="00530228" w:rsidRDefault="00530228" w:rsidP="00530228">
      <w:pPr>
        <w:pStyle w:val="Numberedparagraph"/>
        <w:numPr>
          <w:ilvl w:val="1"/>
          <w:numId w:val="7"/>
        </w:numPr>
        <w:spacing w:line="276" w:lineRule="auto"/>
      </w:pPr>
      <w:r>
        <w:t xml:space="preserve">The person to whom the reporting obligation applies is </w:t>
      </w:r>
      <w:r w:rsidR="00D97D9D">
        <w:t>stated</w:t>
      </w:r>
      <w:r>
        <w:t xml:space="preserve"> in </w:t>
      </w:r>
      <w:r w:rsidR="00D97D9D">
        <w:t>C</w:t>
      </w:r>
      <w:r>
        <w:t>olumn 2.</w:t>
      </w:r>
    </w:p>
    <w:p w14:paraId="4B0F1862" w14:textId="77777777" w:rsidR="00814D78" w:rsidRDefault="00530228" w:rsidP="00814D78">
      <w:pPr>
        <w:pStyle w:val="Numberedparagraph"/>
        <w:numPr>
          <w:ilvl w:val="1"/>
          <w:numId w:val="7"/>
        </w:numPr>
        <w:spacing w:line="276" w:lineRule="auto"/>
      </w:pPr>
      <w:r>
        <w:t xml:space="preserve">The fuel information that </w:t>
      </w:r>
      <w:r w:rsidR="00D97D9D">
        <w:t xml:space="preserve">must be reported is specified in </w:t>
      </w:r>
      <w:r>
        <w:t>Column 3.</w:t>
      </w:r>
      <w:r w:rsidR="00814D78">
        <w:t xml:space="preserve"> </w:t>
      </w:r>
    </w:p>
    <w:p w14:paraId="1D2752C0" w14:textId="77777777" w:rsidR="00D97D9D" w:rsidRDefault="00046CA5" w:rsidP="00D97D9D">
      <w:pPr>
        <w:pStyle w:val="Numberedparagraph"/>
        <w:numPr>
          <w:ilvl w:val="0"/>
          <w:numId w:val="0"/>
        </w:numPr>
        <w:spacing w:line="276" w:lineRule="auto"/>
        <w:ind w:left="709"/>
      </w:pPr>
      <w:r>
        <w:t>E</w:t>
      </w:r>
      <w:r w:rsidR="00D97D9D">
        <w:t xml:space="preserve">ach table item should be read as a whole to understand </w:t>
      </w:r>
      <w:r>
        <w:t>the reporting obligation prescribed by the Minister</w:t>
      </w:r>
      <w:r w:rsidR="005B0F65">
        <w:t xml:space="preserve">. </w:t>
      </w:r>
    </w:p>
    <w:p w14:paraId="089E5FDA" w14:textId="2C060131" w:rsidR="00121FDA" w:rsidRDefault="00BB332B" w:rsidP="00814D78">
      <w:pPr>
        <w:pStyle w:val="Numberedparagraph"/>
        <w:spacing w:line="276" w:lineRule="auto"/>
        <w:ind w:left="709" w:hanging="709"/>
      </w:pPr>
      <w:r>
        <w:t>Paragraph</w:t>
      </w:r>
      <w:r w:rsidR="00121FDA">
        <w:t xml:space="preserve"> 1</w:t>
      </w:r>
      <w:r w:rsidR="00FB2CFF">
        <w:t>6</w:t>
      </w:r>
      <w:r w:rsidR="00121FDA">
        <w:t xml:space="preserve">(1)(a) </w:t>
      </w:r>
      <w:r w:rsidR="00CA26F5">
        <w:t>provides</w:t>
      </w:r>
      <w:r w:rsidR="00121FDA">
        <w:t xml:space="preserve"> that only activities occurring in Australia </w:t>
      </w:r>
      <w:r w:rsidR="007E434B">
        <w:t xml:space="preserve">(including Australian territorial waters) </w:t>
      </w:r>
      <w:r w:rsidR="00121FDA">
        <w:t xml:space="preserve">are relevant to the reporting obligations prescribed under </w:t>
      </w:r>
      <w:r w:rsidR="00CA26F5">
        <w:t>sub</w:t>
      </w:r>
      <w:r>
        <w:t>section</w:t>
      </w:r>
      <w:r w:rsidR="00121FDA">
        <w:t xml:space="preserve"> 1</w:t>
      </w:r>
      <w:r w:rsidR="00FB2CFF">
        <w:t>6</w:t>
      </w:r>
      <w:r w:rsidR="00121FDA">
        <w:t xml:space="preserve">(1). Production, processing, refining and wholesaling taking place outside of Australia </w:t>
      </w:r>
      <w:r w:rsidR="00C165EF">
        <w:t xml:space="preserve">are </w:t>
      </w:r>
      <w:r w:rsidR="00121FDA">
        <w:t xml:space="preserve">not </w:t>
      </w:r>
      <w:r w:rsidR="00CA26F5">
        <w:t>covered by the obligations</w:t>
      </w:r>
      <w:r w:rsidR="00121FDA">
        <w:t xml:space="preserve">. </w:t>
      </w:r>
    </w:p>
    <w:p w14:paraId="3ECFE857" w14:textId="77777777" w:rsidR="00046CA5" w:rsidRDefault="00BB332B" w:rsidP="00814D78">
      <w:pPr>
        <w:pStyle w:val="Numberedparagraph"/>
        <w:spacing w:line="276" w:lineRule="auto"/>
        <w:ind w:left="709" w:hanging="709"/>
      </w:pPr>
      <w:r>
        <w:lastRenderedPageBreak/>
        <w:t xml:space="preserve">Paragraph </w:t>
      </w:r>
      <w:r w:rsidR="00814D78">
        <w:t>1</w:t>
      </w:r>
      <w:r w:rsidR="00FB2CFF">
        <w:t>6</w:t>
      </w:r>
      <w:r w:rsidR="00814D78">
        <w:t>(1)(c)</w:t>
      </w:r>
      <w:r w:rsidR="009E1CE1">
        <w:t>, read alongside subsection 16(2),</w:t>
      </w:r>
      <w:r w:rsidR="00814D78">
        <w:t xml:space="preserve"> </w:t>
      </w:r>
      <w:r w:rsidR="00CA26F5">
        <w:t>provides</w:t>
      </w:r>
      <w:r w:rsidR="00814D78">
        <w:t xml:space="preserve"> that the fuel information prescribed in Column 3 must be </w:t>
      </w:r>
      <w:r w:rsidR="00046CA5">
        <w:t xml:space="preserve">reported </w:t>
      </w:r>
      <w:r w:rsidR="00121FDA">
        <w:t>using the</w:t>
      </w:r>
      <w:r w:rsidR="00046CA5">
        <w:t xml:space="preserve"> categor</w:t>
      </w:r>
      <w:r w:rsidR="00121FDA">
        <w:t>ies</w:t>
      </w:r>
      <w:r w:rsidR="00046CA5">
        <w:t xml:space="preserve"> and subcategor</w:t>
      </w:r>
      <w:r w:rsidR="00121FDA">
        <w:t>ies</w:t>
      </w:r>
      <w:r w:rsidR="00046CA5">
        <w:t xml:space="preserve"> set out in Schedule 1. For example, to meet a reporting obligation under </w:t>
      </w:r>
      <w:r w:rsidR="00230686">
        <w:t xml:space="preserve">paragraph </w:t>
      </w:r>
      <w:r w:rsidR="00046CA5">
        <w:t>(b)(i</w:t>
      </w:r>
      <w:r w:rsidR="00132BD4">
        <w:t>x</w:t>
      </w:r>
      <w:r w:rsidR="00046CA5">
        <w:t>)</w:t>
      </w:r>
      <w:r w:rsidR="00230686">
        <w:t xml:space="preserve"> of Column 3 of table item 7</w:t>
      </w:r>
      <w:r w:rsidR="00CA26F5">
        <w:t>,</w:t>
      </w:r>
      <w:r w:rsidR="00046CA5">
        <w:t xml:space="preserve"> on output stock held at a refinery</w:t>
      </w:r>
      <w:r w:rsidR="003E1BA2">
        <w:t xml:space="preserve"> at the end of the reporting period</w:t>
      </w:r>
      <w:r w:rsidR="00046CA5">
        <w:t xml:space="preserve">, a person would need to report kerosene </w:t>
      </w:r>
      <w:r w:rsidR="009E1CE1">
        <w:t>using</w:t>
      </w:r>
      <w:r w:rsidR="00046CA5">
        <w:t xml:space="preserve"> the subcategories of </w:t>
      </w:r>
      <w:r w:rsidR="009E1CE1">
        <w:t>‘</w:t>
      </w:r>
      <w:r w:rsidR="00046CA5">
        <w:t>jet fuel</w:t>
      </w:r>
      <w:r w:rsidR="009E1CE1">
        <w:t>’</w:t>
      </w:r>
      <w:r w:rsidR="00046CA5">
        <w:t xml:space="preserve"> and </w:t>
      </w:r>
      <w:r w:rsidR="009E1CE1">
        <w:t>‘</w:t>
      </w:r>
      <w:r w:rsidR="00046CA5">
        <w:t>kerosene</w:t>
      </w:r>
      <w:r w:rsidR="00ED5A6B">
        <w:rPr>
          <w:rFonts w:cs="Times New Roman"/>
        </w:rPr>
        <w:t>—</w:t>
      </w:r>
      <w:r w:rsidR="00046CA5">
        <w:t>other</w:t>
      </w:r>
      <w:r w:rsidR="009E1CE1">
        <w:t>’</w:t>
      </w:r>
      <w:r w:rsidR="00046CA5">
        <w:t xml:space="preserve">. </w:t>
      </w:r>
    </w:p>
    <w:p w14:paraId="491129A5" w14:textId="77777777" w:rsidR="0014737C" w:rsidRDefault="0014737C" w:rsidP="00814D78">
      <w:pPr>
        <w:pStyle w:val="Numberedparagraph"/>
        <w:spacing w:line="276" w:lineRule="auto"/>
        <w:ind w:left="709" w:hanging="709"/>
      </w:pPr>
      <w:r>
        <w:t xml:space="preserve">The term ‘quantity’ is used throughout the </w:t>
      </w:r>
      <w:r w:rsidR="00CC04FE">
        <w:t>reporting requirements without specifying relevant units</w:t>
      </w:r>
      <w:r>
        <w:t xml:space="preserve">. </w:t>
      </w:r>
      <w:r w:rsidR="00CC04FE">
        <w:t>I</w:t>
      </w:r>
      <w:r>
        <w:t xml:space="preserve">n accordance with </w:t>
      </w:r>
      <w:r w:rsidR="006F2FD5">
        <w:t>paragraph</w:t>
      </w:r>
      <w:r>
        <w:t xml:space="preserve"> 11(4)(b)</w:t>
      </w:r>
      <w:r w:rsidR="006F2FD5">
        <w:t xml:space="preserve"> of the Act</w:t>
      </w:r>
      <w:r>
        <w:t xml:space="preserve">, the Secretary (or their delegate) will set the required units for each product and activity in the relevant reporting template. It is envisioned that the reportable units will generally be volume or weight, with liquids reported by volume </w:t>
      </w:r>
      <w:r w:rsidR="00CC04FE">
        <w:t xml:space="preserve">(at standard temperature and pressure) </w:t>
      </w:r>
      <w:r>
        <w:t>and solids by weight. However, the Secretary may require other units or specify a particular quantity for reporting such as kilolitres or metric tonnes for certain products. As the best unit for reports will depend on the</w:t>
      </w:r>
      <w:r w:rsidR="008C3876">
        <w:t xml:space="preserve"> product and activity, and may differ</w:t>
      </w:r>
      <w:r>
        <w:t xml:space="preserve"> for large and small reporters, the determination of the appropriate units </w:t>
      </w:r>
      <w:r w:rsidR="00FD64C7">
        <w:t xml:space="preserve">was left to the Secretary in the Act. </w:t>
      </w:r>
    </w:p>
    <w:p w14:paraId="32778931" w14:textId="77777777" w:rsidR="00F833DF" w:rsidRDefault="00111933" w:rsidP="00814D78">
      <w:pPr>
        <w:pStyle w:val="Numberedparagraph"/>
        <w:spacing w:line="276" w:lineRule="auto"/>
        <w:ind w:left="709" w:hanging="709"/>
      </w:pPr>
      <w:r>
        <w:t>The table set out at sub</w:t>
      </w:r>
      <w:r w:rsidR="00BB332B">
        <w:t>section</w:t>
      </w:r>
      <w:r>
        <w:t xml:space="preserve"> 1</w:t>
      </w:r>
      <w:r w:rsidR="00FB2CFF">
        <w:t>6</w:t>
      </w:r>
      <w:r>
        <w:t>(1) details the prescribed reporting obligations in relation to</w:t>
      </w:r>
      <w:r w:rsidR="00A75CE0">
        <w:t xml:space="preserve"> the following activities and associated holding of stock</w:t>
      </w:r>
      <w:r w:rsidR="00F833DF">
        <w:t>:</w:t>
      </w:r>
    </w:p>
    <w:p w14:paraId="2ED6E602" w14:textId="77777777" w:rsidR="00F833DF" w:rsidRDefault="008E6AF5" w:rsidP="00F833DF">
      <w:pPr>
        <w:pStyle w:val="Numberedparagraph"/>
        <w:numPr>
          <w:ilvl w:val="1"/>
          <w:numId w:val="7"/>
        </w:numPr>
        <w:spacing w:line="276" w:lineRule="auto"/>
      </w:pPr>
      <w:r>
        <w:t>p</w:t>
      </w:r>
      <w:r w:rsidR="00111933">
        <w:t>roduction of crude oil, condensate and LPG (table items 1 and</w:t>
      </w:r>
      <w:r>
        <w:t> </w:t>
      </w:r>
      <w:r w:rsidR="00111933">
        <w:t>2)</w:t>
      </w:r>
      <w:r w:rsidR="00F833DF">
        <w:t>;</w:t>
      </w:r>
      <w:r w:rsidR="00111933">
        <w:t xml:space="preserve"> </w:t>
      </w:r>
    </w:p>
    <w:p w14:paraId="05429FF7" w14:textId="77777777" w:rsidR="00F833DF" w:rsidRDefault="00111933" w:rsidP="00F833DF">
      <w:pPr>
        <w:pStyle w:val="Numberedparagraph"/>
        <w:numPr>
          <w:ilvl w:val="1"/>
          <w:numId w:val="7"/>
        </w:numPr>
        <w:spacing w:line="276" w:lineRule="auto"/>
      </w:pPr>
      <w:r>
        <w:t>production</w:t>
      </w:r>
      <w:r w:rsidR="008E6AF5">
        <w:t xml:space="preserve"> </w:t>
      </w:r>
      <w:r>
        <w:t xml:space="preserve">of </w:t>
      </w:r>
      <w:r w:rsidR="00F65479">
        <w:t xml:space="preserve">transport </w:t>
      </w:r>
      <w:r>
        <w:t xml:space="preserve">biofuels (table items </w:t>
      </w:r>
      <w:r w:rsidR="00F833DF">
        <w:t>3</w:t>
      </w:r>
      <w:r>
        <w:t xml:space="preserve"> and </w:t>
      </w:r>
      <w:r w:rsidR="00F833DF">
        <w:t>4</w:t>
      </w:r>
      <w:r>
        <w:t>)</w:t>
      </w:r>
      <w:r w:rsidR="00F833DF">
        <w:t>;</w:t>
      </w:r>
      <w:r>
        <w:t xml:space="preserve"> </w:t>
      </w:r>
    </w:p>
    <w:p w14:paraId="67FF73E9" w14:textId="77777777" w:rsidR="00F833DF" w:rsidRDefault="00111933" w:rsidP="00F833DF">
      <w:pPr>
        <w:pStyle w:val="Numberedparagraph"/>
        <w:numPr>
          <w:ilvl w:val="1"/>
          <w:numId w:val="7"/>
        </w:numPr>
        <w:spacing w:line="276" w:lineRule="auto"/>
      </w:pPr>
      <w:r>
        <w:t>processing</w:t>
      </w:r>
      <w:r w:rsidR="00A75CE0">
        <w:t xml:space="preserve"> </w:t>
      </w:r>
      <w:r>
        <w:t xml:space="preserve">of </w:t>
      </w:r>
      <w:r w:rsidR="009E1CE1">
        <w:t>plant products</w:t>
      </w:r>
      <w:r>
        <w:t xml:space="preserve"> (table items </w:t>
      </w:r>
      <w:r w:rsidR="00F833DF">
        <w:t>5</w:t>
      </w:r>
      <w:r>
        <w:t xml:space="preserve"> and </w:t>
      </w:r>
      <w:r w:rsidR="00F833DF">
        <w:t>6</w:t>
      </w:r>
      <w:r>
        <w:t>)</w:t>
      </w:r>
      <w:r w:rsidR="00F833DF">
        <w:t>;</w:t>
      </w:r>
    </w:p>
    <w:p w14:paraId="4E0E9FCA" w14:textId="77777777" w:rsidR="00F833DF" w:rsidRDefault="00111933" w:rsidP="00F833DF">
      <w:pPr>
        <w:pStyle w:val="Numberedparagraph"/>
        <w:numPr>
          <w:ilvl w:val="1"/>
          <w:numId w:val="7"/>
        </w:numPr>
        <w:spacing w:line="276" w:lineRule="auto"/>
      </w:pPr>
      <w:r>
        <w:t>refining</w:t>
      </w:r>
      <w:r w:rsidR="00A75CE0">
        <w:t xml:space="preserve"> covered products </w:t>
      </w:r>
      <w:r>
        <w:t xml:space="preserve">(table items </w:t>
      </w:r>
      <w:r w:rsidR="00F833DF">
        <w:t>7 and 8</w:t>
      </w:r>
      <w:r>
        <w:t>)</w:t>
      </w:r>
      <w:r w:rsidR="00F833DF">
        <w:t>;</w:t>
      </w:r>
      <w:r>
        <w:t xml:space="preserve"> and </w:t>
      </w:r>
    </w:p>
    <w:p w14:paraId="2214E2AC" w14:textId="77777777" w:rsidR="00111933" w:rsidRDefault="00111933" w:rsidP="00F833DF">
      <w:pPr>
        <w:pStyle w:val="Numberedparagraph"/>
        <w:numPr>
          <w:ilvl w:val="1"/>
          <w:numId w:val="7"/>
        </w:numPr>
        <w:spacing w:line="276" w:lineRule="auto"/>
      </w:pPr>
      <w:r>
        <w:t xml:space="preserve">wholesaling </w:t>
      </w:r>
      <w:r w:rsidR="00A75CE0">
        <w:t xml:space="preserve">covered products </w:t>
      </w:r>
      <w:r>
        <w:t xml:space="preserve">(table items </w:t>
      </w:r>
      <w:r w:rsidR="00F833DF">
        <w:t>9</w:t>
      </w:r>
      <w:r>
        <w:t xml:space="preserve">, </w:t>
      </w:r>
      <w:r w:rsidR="00F833DF">
        <w:t>10</w:t>
      </w:r>
      <w:r>
        <w:t xml:space="preserve"> and </w:t>
      </w:r>
      <w:r w:rsidR="00F833DF">
        <w:t>11</w:t>
      </w:r>
      <w:r>
        <w:t xml:space="preserve">). </w:t>
      </w:r>
    </w:p>
    <w:p w14:paraId="1648B59B" w14:textId="77777777" w:rsidR="004A6084" w:rsidRDefault="004A6084" w:rsidP="00814D78">
      <w:pPr>
        <w:pStyle w:val="Numberedparagraph"/>
        <w:spacing w:line="276" w:lineRule="auto"/>
        <w:ind w:left="709" w:hanging="709"/>
      </w:pPr>
      <w:r>
        <w:t xml:space="preserve">The reporting period and </w:t>
      </w:r>
      <w:r w:rsidR="00F833DF">
        <w:t>reporting deadline</w:t>
      </w:r>
      <w:r>
        <w:t xml:space="preserve"> is prescribed at </w:t>
      </w:r>
      <w:r w:rsidR="00BB332B">
        <w:t>section</w:t>
      </w:r>
      <w:r>
        <w:t xml:space="preserve"> 1</w:t>
      </w:r>
      <w:r w:rsidR="00FB2CFF">
        <w:t>8</w:t>
      </w:r>
      <w:r>
        <w:t>.</w:t>
      </w:r>
      <w:r w:rsidR="00217A51">
        <w:t xml:space="preserve"> Most covered activities are subject to </w:t>
      </w:r>
      <w:r w:rsidR="008C3876">
        <w:t xml:space="preserve">monthly </w:t>
      </w:r>
      <w:r w:rsidR="00217A51">
        <w:t>reporting.</w:t>
      </w:r>
      <w:r>
        <w:t xml:space="preserve"> </w:t>
      </w:r>
    </w:p>
    <w:p w14:paraId="7E6BBBF8" w14:textId="77777777" w:rsidR="00052837" w:rsidRPr="00052837" w:rsidRDefault="00052837" w:rsidP="000474F7">
      <w:pPr>
        <w:pStyle w:val="Numberedparagraph"/>
        <w:keepNext/>
        <w:numPr>
          <w:ilvl w:val="0"/>
          <w:numId w:val="0"/>
        </w:numPr>
        <w:spacing w:line="276" w:lineRule="auto"/>
        <w:rPr>
          <w:i/>
        </w:rPr>
      </w:pPr>
      <w:r w:rsidRPr="00052837">
        <w:rPr>
          <w:i/>
        </w:rPr>
        <w:t xml:space="preserve">Production </w:t>
      </w:r>
      <w:r w:rsidR="00733765">
        <w:rPr>
          <w:i/>
        </w:rPr>
        <w:t>of crude oil, condensate and LPG</w:t>
      </w:r>
    </w:p>
    <w:p w14:paraId="06170FEF" w14:textId="77777777" w:rsidR="000077C2" w:rsidRDefault="000077C2" w:rsidP="00814D78">
      <w:pPr>
        <w:pStyle w:val="Numberedparagraph"/>
        <w:spacing w:line="276" w:lineRule="auto"/>
        <w:ind w:left="709" w:hanging="709"/>
      </w:pPr>
      <w:r>
        <w:t xml:space="preserve">Table items 1 and 2 </w:t>
      </w:r>
      <w:r w:rsidR="005A456A">
        <w:t>of</w:t>
      </w:r>
      <w:r w:rsidR="00A75CE0">
        <w:t xml:space="preserve"> subsection 1</w:t>
      </w:r>
      <w:r w:rsidR="00FB2CFF">
        <w:t>6</w:t>
      </w:r>
      <w:r w:rsidR="00A75CE0">
        <w:t xml:space="preserve">(1) </w:t>
      </w:r>
      <w:r w:rsidR="00B54346">
        <w:t>prescribe</w:t>
      </w:r>
      <w:r w:rsidR="008627A6">
        <w:t xml:space="preserve"> for the purposes of section 11 of the Act</w:t>
      </w:r>
      <w:r>
        <w:t xml:space="preserve"> reporting obligations </w:t>
      </w:r>
      <w:r w:rsidR="00B54346">
        <w:t>associated with the production of</w:t>
      </w:r>
      <w:r>
        <w:t xml:space="preserve"> crude oil,</w:t>
      </w:r>
      <w:r w:rsidR="00B54346">
        <w:t xml:space="preserve"> condensate and LPG.</w:t>
      </w:r>
      <w:r>
        <w:t xml:space="preserve"> </w:t>
      </w:r>
    </w:p>
    <w:p w14:paraId="3DCAFA99" w14:textId="77777777" w:rsidR="00B54346" w:rsidRDefault="00B54346" w:rsidP="00B54346">
      <w:pPr>
        <w:pStyle w:val="Numberedparagraph"/>
        <w:spacing w:line="276" w:lineRule="auto"/>
        <w:ind w:left="709" w:hanging="709"/>
      </w:pPr>
      <w:r>
        <w:t>Column 1 of table item 1 prescribe</w:t>
      </w:r>
      <w:r w:rsidR="00A75CE0">
        <w:t>s</w:t>
      </w:r>
      <w:r>
        <w:t xml:space="preserve"> the </w:t>
      </w:r>
      <w:r w:rsidR="00922724">
        <w:t xml:space="preserve">covered </w:t>
      </w:r>
      <w:r>
        <w:t xml:space="preserve">activity </w:t>
      </w:r>
      <w:r w:rsidR="00922724">
        <w:t xml:space="preserve">to which reporting obligations </w:t>
      </w:r>
      <w:r w:rsidR="008C3876">
        <w:t>apply</w:t>
      </w:r>
      <w:r w:rsidR="00922724">
        <w:t xml:space="preserve"> as</w:t>
      </w:r>
      <w:r>
        <w:t xml:space="preserve"> producing crude oil, condensate</w:t>
      </w:r>
      <w:r w:rsidR="009E1CE1">
        <w:t xml:space="preserve"> (field condensate)</w:t>
      </w:r>
      <w:r>
        <w:t xml:space="preserve"> or</w:t>
      </w:r>
      <w:r w:rsidR="009E1CE1">
        <w:t xml:space="preserve"> </w:t>
      </w:r>
      <w:r>
        <w:t>LPG at an Australian field</w:t>
      </w:r>
      <w:r w:rsidR="00922724">
        <w:t>.</w:t>
      </w:r>
    </w:p>
    <w:p w14:paraId="2EFC90F5" w14:textId="77777777" w:rsidR="000077C2" w:rsidRPr="000077C2" w:rsidRDefault="000077C2" w:rsidP="00814D78">
      <w:pPr>
        <w:pStyle w:val="Numberedparagraph"/>
        <w:spacing w:line="276" w:lineRule="auto"/>
        <w:ind w:left="709" w:hanging="709"/>
      </w:pPr>
      <w:r>
        <w:t xml:space="preserve">Producing a covered product is defined in </w:t>
      </w:r>
      <w:r w:rsidR="005E02B8">
        <w:t xml:space="preserve">section 5 of </w:t>
      </w:r>
      <w:r>
        <w:t>the Act as:</w:t>
      </w:r>
      <w:r w:rsidRPr="000077C2">
        <w:rPr>
          <w:b/>
          <w:bCs/>
          <w:i/>
          <w:iCs/>
          <w:sz w:val="22"/>
          <w:szCs w:val="22"/>
        </w:rPr>
        <w:t xml:space="preserve"> </w:t>
      </w:r>
    </w:p>
    <w:p w14:paraId="2A51C486" w14:textId="77777777" w:rsidR="000077C2" w:rsidRDefault="000077C2" w:rsidP="000077C2">
      <w:pPr>
        <w:pStyle w:val="Numberedparagraph"/>
        <w:numPr>
          <w:ilvl w:val="0"/>
          <w:numId w:val="0"/>
        </w:numPr>
        <w:spacing w:line="276" w:lineRule="auto"/>
        <w:ind w:left="709"/>
      </w:pPr>
      <w:r w:rsidRPr="000077C2">
        <w:rPr>
          <w:b/>
          <w:bCs/>
          <w:i/>
          <w:iCs/>
        </w:rPr>
        <w:t xml:space="preserve">producing </w:t>
      </w:r>
      <w:r w:rsidRPr="000077C2">
        <w:t>a covered product means recovering a covered product through a process of extraction or otherwise creating a covered product, but does not include refining a covered product.</w:t>
      </w:r>
    </w:p>
    <w:p w14:paraId="1DED0107" w14:textId="77777777" w:rsidR="00B54346" w:rsidRPr="009E1CE1" w:rsidRDefault="00B54346" w:rsidP="00814D78">
      <w:pPr>
        <w:pStyle w:val="Numberedparagraph"/>
        <w:spacing w:line="276" w:lineRule="auto"/>
        <w:ind w:left="709" w:hanging="709"/>
      </w:pPr>
      <w:r>
        <w:t xml:space="preserve">An </w:t>
      </w:r>
      <w:r>
        <w:rPr>
          <w:rFonts w:cs="Times New Roman"/>
          <w:color w:val="000000" w:themeColor="text1"/>
        </w:rPr>
        <w:t xml:space="preserve">Australian field </w:t>
      </w:r>
      <w:r w:rsidR="00FD64C7">
        <w:rPr>
          <w:rFonts w:cs="Times New Roman"/>
          <w:color w:val="000000" w:themeColor="text1"/>
        </w:rPr>
        <w:t>is defined at section 11 of the Rules a</w:t>
      </w:r>
      <w:r>
        <w:rPr>
          <w:rFonts w:cs="Times New Roman"/>
          <w:color w:val="000000" w:themeColor="text1"/>
        </w:rPr>
        <w:t xml:space="preserve">s a field where crude oil, condensate or </w:t>
      </w:r>
      <w:r w:rsidR="00FD64C7">
        <w:rPr>
          <w:rFonts w:cs="Times New Roman"/>
          <w:color w:val="000000" w:themeColor="text1"/>
        </w:rPr>
        <w:t>LPG</w:t>
      </w:r>
      <w:r>
        <w:rPr>
          <w:rFonts w:cs="Times New Roman"/>
          <w:color w:val="000000" w:themeColor="text1"/>
        </w:rPr>
        <w:t xml:space="preserve"> is or was produced in Australia by a regulated entity.</w:t>
      </w:r>
    </w:p>
    <w:p w14:paraId="284D33CC" w14:textId="77777777" w:rsidR="009E1CE1" w:rsidRDefault="009E1CE1" w:rsidP="00814D78">
      <w:pPr>
        <w:pStyle w:val="Numberedparagraph"/>
        <w:spacing w:line="276" w:lineRule="auto"/>
        <w:ind w:left="709" w:hanging="709"/>
      </w:pPr>
      <w:r>
        <w:rPr>
          <w:rFonts w:cs="Times New Roman"/>
          <w:color w:val="000000" w:themeColor="text1"/>
        </w:rPr>
        <w:lastRenderedPageBreak/>
        <w:t>Subsection 1</w:t>
      </w:r>
      <w:r w:rsidR="0054058E">
        <w:rPr>
          <w:rFonts w:cs="Times New Roman"/>
          <w:color w:val="000000" w:themeColor="text1"/>
        </w:rPr>
        <w:t>1</w:t>
      </w:r>
      <w:r>
        <w:rPr>
          <w:rFonts w:cs="Times New Roman"/>
          <w:color w:val="000000" w:themeColor="text1"/>
        </w:rPr>
        <w:t xml:space="preserve">(2) permits a </w:t>
      </w:r>
      <w:r w:rsidR="00331917">
        <w:rPr>
          <w:rFonts w:cs="Times New Roman"/>
          <w:color w:val="000000" w:themeColor="text1"/>
        </w:rPr>
        <w:t>person</w:t>
      </w:r>
      <w:r>
        <w:rPr>
          <w:rFonts w:cs="Times New Roman"/>
          <w:color w:val="000000" w:themeColor="text1"/>
        </w:rPr>
        <w:t xml:space="preserve"> to report two or more Australian fields as a single field where they are all located within the one state, territory or offshore region and the fields are either adjacent or administered as a single production area or project. </w:t>
      </w:r>
    </w:p>
    <w:p w14:paraId="34C8F32D" w14:textId="77777777" w:rsidR="00B54346" w:rsidRDefault="00B54346" w:rsidP="00814D78">
      <w:pPr>
        <w:pStyle w:val="Numberedparagraph"/>
        <w:spacing w:line="276" w:lineRule="auto"/>
        <w:ind w:left="709" w:hanging="709"/>
      </w:pPr>
      <w:r>
        <w:t xml:space="preserve">Column 2 of table item 1 </w:t>
      </w:r>
      <w:r w:rsidR="00A75CE0">
        <w:t>imposes</w:t>
      </w:r>
      <w:r>
        <w:t xml:space="preserve"> the reporting obligation on each person who </w:t>
      </w:r>
      <w:r w:rsidR="0055100A">
        <w:t xml:space="preserve">first </w:t>
      </w:r>
      <w:r>
        <w:t>owns any crude oil, condensate or LPG when it is extracted</w:t>
      </w:r>
      <w:r w:rsidR="00A75CE0">
        <w:t xml:space="preserve"> or otherwise created</w:t>
      </w:r>
      <w:r>
        <w:t xml:space="preserve">. Where joint venture partners in a field each own a share of production, each joint venture partner would have a reporting obligation. </w:t>
      </w:r>
    </w:p>
    <w:p w14:paraId="1C25C590" w14:textId="77777777" w:rsidR="00B54346" w:rsidRDefault="00B54346" w:rsidP="00814D78">
      <w:pPr>
        <w:pStyle w:val="Numberedparagraph"/>
        <w:spacing w:line="276" w:lineRule="auto"/>
        <w:ind w:left="709" w:hanging="709"/>
      </w:pPr>
      <w:r>
        <w:t xml:space="preserve">It should be noted that </w:t>
      </w:r>
      <w:r w:rsidR="004A6084">
        <w:t>sub</w:t>
      </w:r>
      <w:r w:rsidR="00BB332B">
        <w:t>section</w:t>
      </w:r>
      <w:r>
        <w:t xml:space="preserve"> 1</w:t>
      </w:r>
      <w:r w:rsidR="00FB2CFF">
        <w:t>8</w:t>
      </w:r>
      <w:r w:rsidR="004A6084">
        <w:t>(3)</w:t>
      </w:r>
      <w:r w:rsidR="00A75CE0">
        <w:t xml:space="preserve"> of the Rules</w:t>
      </w:r>
      <w:r>
        <w:t xml:space="preserve"> would allow for a joint reporting obligation, such as </w:t>
      </w:r>
      <w:r w:rsidR="00F833DF">
        <w:t>that applying</w:t>
      </w:r>
      <w:r>
        <w:t xml:space="preserve"> to a joint venture in an Australian field</w:t>
      </w:r>
      <w:r w:rsidR="00107E75">
        <w:t>,</w:t>
      </w:r>
      <w:r>
        <w:t xml:space="preserve"> to be </w:t>
      </w:r>
      <w:r w:rsidR="00C76129">
        <w:t>satisfied</w:t>
      </w:r>
      <w:r>
        <w:t xml:space="preserve"> by the submission of a single comprehensive report</w:t>
      </w:r>
      <w:r w:rsidR="00644D29">
        <w:t>. For example, the project</w:t>
      </w:r>
      <w:r w:rsidR="00C76129">
        <w:t xml:space="preserve"> manager for a field could submit a combined report on behalf of each joint venture partner. </w:t>
      </w:r>
    </w:p>
    <w:p w14:paraId="7018F256" w14:textId="77777777" w:rsidR="00CF6EBD" w:rsidRDefault="00C76129" w:rsidP="00814D78">
      <w:pPr>
        <w:pStyle w:val="Numberedparagraph"/>
        <w:spacing w:line="276" w:lineRule="auto"/>
        <w:ind w:left="709" w:hanging="709"/>
      </w:pPr>
      <w:r>
        <w:t>Column 3 prescribes particular</w:t>
      </w:r>
      <w:r w:rsidR="00CF6EBD">
        <w:t xml:space="preserve"> fuel information that must be reported </w:t>
      </w:r>
      <w:r>
        <w:t xml:space="preserve">to satisfy the reporting obligation under table item 1. This fuel information </w:t>
      </w:r>
      <w:r w:rsidR="00CF6EBD">
        <w:t>is:</w:t>
      </w:r>
    </w:p>
    <w:p w14:paraId="0815C2F5" w14:textId="77777777" w:rsidR="00331917" w:rsidRDefault="00331917" w:rsidP="00CF6EBD">
      <w:pPr>
        <w:pStyle w:val="Numberedparagraph"/>
        <w:numPr>
          <w:ilvl w:val="1"/>
          <w:numId w:val="7"/>
        </w:numPr>
        <w:spacing w:line="276" w:lineRule="auto"/>
      </w:pPr>
      <w:r>
        <w:t xml:space="preserve">the state, territory or offshore region where the field is located; </w:t>
      </w:r>
    </w:p>
    <w:p w14:paraId="45E4F244" w14:textId="77777777" w:rsidR="00331917" w:rsidRDefault="00331917" w:rsidP="00331917">
      <w:pPr>
        <w:pStyle w:val="Numberedparagraph"/>
        <w:numPr>
          <w:ilvl w:val="0"/>
          <w:numId w:val="0"/>
        </w:numPr>
        <w:spacing w:line="276" w:lineRule="auto"/>
        <w:ind w:left="720"/>
      </w:pPr>
      <w:r>
        <w:t xml:space="preserve">and, the quantity </w:t>
      </w:r>
      <w:r w:rsidR="00E96294">
        <w:t xml:space="preserve">and average density </w:t>
      </w:r>
      <w:r>
        <w:t>of:</w:t>
      </w:r>
    </w:p>
    <w:p w14:paraId="7B2EFC8E" w14:textId="77777777" w:rsidR="00CF6EBD" w:rsidRDefault="00555436" w:rsidP="00CF6EBD">
      <w:pPr>
        <w:pStyle w:val="Numberedparagraph"/>
        <w:numPr>
          <w:ilvl w:val="1"/>
          <w:numId w:val="7"/>
        </w:numPr>
        <w:spacing w:line="276" w:lineRule="auto"/>
      </w:pPr>
      <w:r>
        <w:t>crude oil, condensate and LPG stored</w:t>
      </w:r>
      <w:r w:rsidR="00CF6EBD">
        <w:t xml:space="preserve"> at the field at the beginning of the month;</w:t>
      </w:r>
    </w:p>
    <w:p w14:paraId="549BDC54" w14:textId="77777777" w:rsidR="00555436" w:rsidRDefault="00555436" w:rsidP="00CF6EBD">
      <w:pPr>
        <w:pStyle w:val="Numberedparagraph"/>
        <w:numPr>
          <w:ilvl w:val="1"/>
          <w:numId w:val="7"/>
        </w:numPr>
        <w:spacing w:line="276" w:lineRule="auto"/>
      </w:pPr>
      <w:r>
        <w:t>crude oil, condensate and LPG produced at the field</w:t>
      </w:r>
      <w:r w:rsidR="00217A51">
        <w:t xml:space="preserve"> during the month</w:t>
      </w:r>
      <w:r>
        <w:t>;</w:t>
      </w:r>
    </w:p>
    <w:p w14:paraId="7A606F62" w14:textId="77777777" w:rsidR="00555436" w:rsidRDefault="00555436" w:rsidP="00CF6EBD">
      <w:pPr>
        <w:pStyle w:val="Numberedparagraph"/>
        <w:numPr>
          <w:ilvl w:val="1"/>
          <w:numId w:val="7"/>
        </w:numPr>
        <w:spacing w:line="276" w:lineRule="auto"/>
      </w:pPr>
      <w:r>
        <w:t>crude oi</w:t>
      </w:r>
      <w:r w:rsidR="00331917">
        <w:t xml:space="preserve">l, condensate and LPG consumed as a fuel </w:t>
      </w:r>
      <w:r>
        <w:t>at the field</w:t>
      </w:r>
      <w:r w:rsidR="00217A51" w:rsidRPr="00217A51">
        <w:t xml:space="preserve"> </w:t>
      </w:r>
      <w:r w:rsidR="00217A51">
        <w:t>during the month</w:t>
      </w:r>
      <w:r>
        <w:t>;</w:t>
      </w:r>
    </w:p>
    <w:p w14:paraId="609DFFE1" w14:textId="77777777" w:rsidR="00555436" w:rsidRDefault="00555436" w:rsidP="00CF6EBD">
      <w:pPr>
        <w:pStyle w:val="Numberedparagraph"/>
        <w:numPr>
          <w:ilvl w:val="1"/>
          <w:numId w:val="7"/>
        </w:numPr>
        <w:spacing w:line="276" w:lineRule="auto"/>
      </w:pPr>
      <w:r>
        <w:t xml:space="preserve">crude oil, condensate and LPG </w:t>
      </w:r>
      <w:r w:rsidR="00331917">
        <w:t xml:space="preserve">delivered </w:t>
      </w:r>
      <w:r>
        <w:t>from the field</w:t>
      </w:r>
      <w:r w:rsidR="00217A51">
        <w:t xml:space="preserve"> during the month</w:t>
      </w:r>
      <w:r>
        <w:t>; and</w:t>
      </w:r>
    </w:p>
    <w:p w14:paraId="286E4F8E" w14:textId="77777777" w:rsidR="00555436" w:rsidRDefault="00555436" w:rsidP="00CF6EBD">
      <w:pPr>
        <w:pStyle w:val="Numberedparagraph"/>
        <w:numPr>
          <w:ilvl w:val="1"/>
          <w:numId w:val="7"/>
        </w:numPr>
        <w:spacing w:line="276" w:lineRule="auto"/>
      </w:pPr>
      <w:r>
        <w:t>crude oil, condensate and LPG stored at the field at the end of the month.</w:t>
      </w:r>
    </w:p>
    <w:p w14:paraId="2AEEB4E2" w14:textId="77777777" w:rsidR="00331917" w:rsidRDefault="00E91462" w:rsidP="00814D78">
      <w:pPr>
        <w:pStyle w:val="Numberedparagraph"/>
        <w:spacing w:line="276" w:lineRule="auto"/>
        <w:ind w:left="709" w:hanging="709"/>
      </w:pPr>
      <w:r>
        <w:t>When reporting average density</w:t>
      </w:r>
      <w:r w:rsidR="00331917">
        <w:t xml:space="preserve"> </w:t>
      </w:r>
      <w:r>
        <w:t>it</w:t>
      </w:r>
      <w:r w:rsidR="00331917">
        <w:t xml:space="preserve"> should be reported as a single figure </w:t>
      </w:r>
      <w:r>
        <w:t xml:space="preserve">per covered product per field. Where two or more fields are combined in accordance with section 11(2), then the average density will be the average across both fields, accounting for the respective volume of production in the relevant month. </w:t>
      </w:r>
      <w:r w:rsidR="00331917">
        <w:t xml:space="preserve">  </w:t>
      </w:r>
    </w:p>
    <w:p w14:paraId="229E01B8" w14:textId="77777777" w:rsidR="00555436" w:rsidRDefault="00CF6EBD" w:rsidP="00814D78">
      <w:pPr>
        <w:pStyle w:val="Numberedparagraph"/>
        <w:spacing w:line="276" w:lineRule="auto"/>
        <w:ind w:left="709" w:hanging="709"/>
      </w:pPr>
      <w:r>
        <w:t xml:space="preserve">When determining the quantity of </w:t>
      </w:r>
      <w:r w:rsidR="00C76129">
        <w:t>crude oil, condensate or LPG stored at a field at the start and end of the month</w:t>
      </w:r>
      <w:r>
        <w:t xml:space="preserve">, </w:t>
      </w:r>
      <w:r w:rsidR="00555436">
        <w:t xml:space="preserve">the extended meaning of field </w:t>
      </w:r>
      <w:r w:rsidR="00C76129">
        <w:t>under</w:t>
      </w:r>
      <w:r w:rsidR="00555436">
        <w:t xml:space="preserve"> </w:t>
      </w:r>
      <w:r w:rsidR="00BB332B">
        <w:t>subsection</w:t>
      </w:r>
      <w:r w:rsidR="00555436">
        <w:t xml:space="preserve"> </w:t>
      </w:r>
      <w:r w:rsidR="006350B7">
        <w:t>1</w:t>
      </w:r>
      <w:r w:rsidR="0054058E">
        <w:t>1</w:t>
      </w:r>
      <w:r w:rsidR="00C76129">
        <w:t>(</w:t>
      </w:r>
      <w:r w:rsidR="0054058E">
        <w:t>5</w:t>
      </w:r>
      <w:r w:rsidR="00C76129">
        <w:t>)</w:t>
      </w:r>
      <w:r w:rsidR="00555436">
        <w:t xml:space="preserve"> </w:t>
      </w:r>
      <w:r w:rsidR="00C76129">
        <w:t>would apply</w:t>
      </w:r>
      <w:r w:rsidR="00555436">
        <w:t xml:space="preserve">. This means that </w:t>
      </w:r>
      <w:r w:rsidR="00C76129">
        <w:t>offsite storage</w:t>
      </w:r>
      <w:r w:rsidR="00555436">
        <w:t xml:space="preserve"> form</w:t>
      </w:r>
      <w:r w:rsidR="00E91462">
        <w:t>s</w:t>
      </w:r>
      <w:r w:rsidR="00555436">
        <w:t xml:space="preserve"> part of a field</w:t>
      </w:r>
      <w:r w:rsidR="008C3876">
        <w:t xml:space="preserve"> for</w:t>
      </w:r>
      <w:r w:rsidR="00555436">
        <w:t xml:space="preserve"> </w:t>
      </w:r>
      <w:r w:rsidR="00C76129">
        <w:t>the purposes of satisfying the reporting obligations under table item 1.</w:t>
      </w:r>
      <w:r w:rsidR="00555436">
        <w:t xml:space="preserve"> </w:t>
      </w:r>
    </w:p>
    <w:p w14:paraId="22B4AB7D" w14:textId="77777777" w:rsidR="00F833DF" w:rsidRDefault="0014737C" w:rsidP="00814D78">
      <w:pPr>
        <w:pStyle w:val="Numberedparagraph"/>
        <w:spacing w:line="276" w:lineRule="auto"/>
        <w:ind w:left="709" w:hanging="709"/>
      </w:pPr>
      <w:r>
        <w:t xml:space="preserve">The </w:t>
      </w:r>
      <w:r w:rsidR="00230686">
        <w:t>phrase</w:t>
      </w:r>
      <w:r>
        <w:t xml:space="preserve"> </w:t>
      </w:r>
      <w:r w:rsidR="00230686">
        <w:t>‘</w:t>
      </w:r>
      <w:r>
        <w:t>delivered from</w:t>
      </w:r>
      <w:r w:rsidR="00F833DF">
        <w:t xml:space="preserve"> the field</w:t>
      </w:r>
      <w:r w:rsidR="00230686">
        <w:t>’</w:t>
      </w:r>
      <w:r w:rsidR="00F833DF">
        <w:t xml:space="preserve"> </w:t>
      </w:r>
      <w:r>
        <w:t>is</w:t>
      </w:r>
      <w:r w:rsidR="00F833DF">
        <w:t xml:space="preserve"> intended to capture the removal of a covered product </w:t>
      </w:r>
      <w:r>
        <w:t>away from</w:t>
      </w:r>
      <w:r w:rsidR="00F833DF">
        <w:t xml:space="preserve"> a field and its associated storage. For example, when </w:t>
      </w:r>
      <w:r w:rsidR="000307C2">
        <w:t>crude oil</w:t>
      </w:r>
      <w:r w:rsidR="00F833DF">
        <w:t xml:space="preserve"> is sold, exported or transferred to a refinery it would be considered </w:t>
      </w:r>
      <w:r w:rsidR="00C427F8">
        <w:t>delivered</w:t>
      </w:r>
      <w:r w:rsidR="00F833DF">
        <w:t xml:space="preserve"> from the field. </w:t>
      </w:r>
    </w:p>
    <w:p w14:paraId="0823A45E" w14:textId="77777777" w:rsidR="00C76129" w:rsidRDefault="00C427F8" w:rsidP="00814D78">
      <w:pPr>
        <w:pStyle w:val="Numberedparagraph"/>
        <w:spacing w:line="276" w:lineRule="auto"/>
        <w:ind w:left="709" w:hanging="709"/>
      </w:pPr>
      <w:r>
        <w:t>Subsection 16(4)</w:t>
      </w:r>
      <w:r w:rsidR="00C76129">
        <w:t xml:space="preserve"> exclude</w:t>
      </w:r>
      <w:r>
        <w:t>s</w:t>
      </w:r>
      <w:r w:rsidR="00C76129">
        <w:t xml:space="preserve"> from the reporting obligation </w:t>
      </w:r>
      <w:r>
        <w:t>crude oil, condensate and LPG</w:t>
      </w:r>
      <w:r w:rsidR="00C76129">
        <w:t xml:space="preserve"> </w:t>
      </w:r>
      <w:r w:rsidR="00362C91">
        <w:t>sold or exported</w:t>
      </w:r>
      <w:r w:rsidR="00C76129">
        <w:t xml:space="preserve"> before the start of the relevant calendar month. For example, LPG </w:t>
      </w:r>
      <w:r w:rsidR="00362C91">
        <w:t>sold</w:t>
      </w:r>
      <w:r w:rsidR="00C76129">
        <w:t xml:space="preserve"> on 17 May would not be required to be included in a report for the month of June, even if it had remained in the same storage </w:t>
      </w:r>
      <w:r w:rsidR="00F833DF">
        <w:t>facility throughout all of May and June</w:t>
      </w:r>
      <w:r>
        <w:t xml:space="preserve"> due to the buyer not yet taking delivery</w:t>
      </w:r>
      <w:r w:rsidR="00C76129">
        <w:t xml:space="preserve">. </w:t>
      </w:r>
      <w:r>
        <w:t>T</w:t>
      </w:r>
      <w:r w:rsidR="00362C91">
        <w:t>he</w:t>
      </w:r>
      <w:r w:rsidR="00C76129">
        <w:t xml:space="preserve"> LPG </w:t>
      </w:r>
      <w:r>
        <w:t>would be reportable</w:t>
      </w:r>
      <w:r w:rsidR="00C76129">
        <w:t xml:space="preserve"> in the May report</w:t>
      </w:r>
      <w:r w:rsidR="00F833DF">
        <w:t xml:space="preserve"> as </w:t>
      </w:r>
      <w:r>
        <w:t>being delivered</w:t>
      </w:r>
      <w:r w:rsidR="00F833DF">
        <w:t xml:space="preserve"> from the field</w:t>
      </w:r>
      <w:r w:rsidR="00362C91">
        <w:t xml:space="preserve">. Where stock remains </w:t>
      </w:r>
      <w:r w:rsidR="00F833DF">
        <w:t xml:space="preserve">in </w:t>
      </w:r>
      <w:r w:rsidR="00362C91">
        <w:t xml:space="preserve">a field’s </w:t>
      </w:r>
      <w:r w:rsidR="00F833DF">
        <w:t>storage</w:t>
      </w:r>
      <w:r w:rsidR="00362C91">
        <w:t xml:space="preserve"> after it is sold, it</w:t>
      </w:r>
      <w:r w:rsidR="00F833DF">
        <w:t xml:space="preserve"> may be captured by the stock reporting</w:t>
      </w:r>
      <w:r w:rsidR="00362C91">
        <w:t xml:space="preserve"> obligations at sub</w:t>
      </w:r>
      <w:r w:rsidR="00BB332B">
        <w:t>section</w:t>
      </w:r>
      <w:r w:rsidR="00362C91">
        <w:t xml:space="preserve"> 1</w:t>
      </w:r>
      <w:r w:rsidR="00FB2CFF">
        <w:t>7</w:t>
      </w:r>
      <w:r w:rsidR="00362C91">
        <w:t>(1)</w:t>
      </w:r>
      <w:r w:rsidR="00B72A11">
        <w:t xml:space="preserve"> of the Rules</w:t>
      </w:r>
      <w:r w:rsidR="00362C91">
        <w:t>.</w:t>
      </w:r>
      <w:r w:rsidR="00F833DF">
        <w:t xml:space="preserve"> </w:t>
      </w:r>
      <w:r w:rsidR="00362C91">
        <w:lastRenderedPageBreak/>
        <w:t>However, if a stock reporting obligation applied, it is</w:t>
      </w:r>
      <w:r w:rsidR="00F833DF">
        <w:t xml:space="preserve"> the owner </w:t>
      </w:r>
      <w:r w:rsidR="00362C91">
        <w:t xml:space="preserve">(i.e. the purchaser) who </w:t>
      </w:r>
      <w:r w:rsidR="00F833DF">
        <w:t>would be required to report.</w:t>
      </w:r>
    </w:p>
    <w:p w14:paraId="5A656856" w14:textId="77777777" w:rsidR="00CF6EBD" w:rsidRDefault="00CF6EBD" w:rsidP="00814D78">
      <w:pPr>
        <w:pStyle w:val="Numberedparagraph"/>
        <w:spacing w:line="276" w:lineRule="auto"/>
        <w:ind w:left="709" w:hanging="709"/>
      </w:pPr>
      <w:r>
        <w:t xml:space="preserve">Table item </w:t>
      </w:r>
      <w:r w:rsidR="00F174CA">
        <w:t>2</w:t>
      </w:r>
      <w:r>
        <w:t xml:space="preserve"> </w:t>
      </w:r>
      <w:r w:rsidR="00CE5E76">
        <w:t xml:space="preserve">prescribes the holding of crude oil, condensate or LPG at </w:t>
      </w:r>
      <w:r w:rsidR="006B5C3A">
        <w:t>a</w:t>
      </w:r>
      <w:r w:rsidR="00C76129">
        <w:t>n Australian</w:t>
      </w:r>
      <w:r w:rsidR="006B5C3A">
        <w:t xml:space="preserve"> </w:t>
      </w:r>
      <w:r w:rsidR="00C76129">
        <w:t>field</w:t>
      </w:r>
      <w:r w:rsidR="006B5C3A">
        <w:t xml:space="preserve"> at </w:t>
      </w:r>
      <w:r w:rsidR="00CE5E76">
        <w:t>the start of the month as reportable. The reporting obligation applies to the owner of the stock and the fuel information that must be reported is the same as for item</w:t>
      </w:r>
      <w:r w:rsidR="005A456A">
        <w:t> </w:t>
      </w:r>
      <w:r w:rsidR="00CE5E76">
        <w:t>1.</w:t>
      </w:r>
    </w:p>
    <w:p w14:paraId="7F60A24D" w14:textId="7D6891C9" w:rsidR="00CE5E76" w:rsidRDefault="00CE5E76" w:rsidP="00CE5E76">
      <w:pPr>
        <w:pStyle w:val="Numberedparagraph"/>
        <w:spacing w:line="276" w:lineRule="auto"/>
        <w:ind w:left="720" w:hanging="720"/>
      </w:pPr>
      <w:r>
        <w:t xml:space="preserve">Table item 2 is intended to ensure that where no production takes place at a field in a month, for example due to maintenance, changes such as reductions in stock levels are reported. </w:t>
      </w:r>
    </w:p>
    <w:p w14:paraId="393F55DD" w14:textId="77777777" w:rsidR="00B94FA0" w:rsidRDefault="00CE5E76" w:rsidP="00CE5E76">
      <w:pPr>
        <w:pStyle w:val="Numberedparagraph"/>
        <w:spacing w:line="276" w:lineRule="auto"/>
        <w:ind w:left="720" w:hanging="720"/>
      </w:pPr>
      <w:r>
        <w:t>Where a field permanently ceases production</w:t>
      </w:r>
      <w:r w:rsidR="00B94FA0">
        <w:t>,</w:t>
      </w:r>
      <w:r>
        <w:t xml:space="preserve"> </w:t>
      </w:r>
      <w:r w:rsidR="00F833DF">
        <w:t>the</w:t>
      </w:r>
      <w:r>
        <w:t xml:space="preserve"> reporting obligation </w:t>
      </w:r>
      <w:r w:rsidR="00B94FA0">
        <w:t xml:space="preserve">would continue to apply </w:t>
      </w:r>
      <w:r w:rsidR="00F833DF">
        <w:t xml:space="preserve">under table item 2 </w:t>
      </w:r>
      <w:r>
        <w:t xml:space="preserve">until it ceased to meet the threshold </w:t>
      </w:r>
      <w:r w:rsidR="00F833DF">
        <w:t xml:space="preserve">prescribed </w:t>
      </w:r>
      <w:r>
        <w:t xml:space="preserve">at </w:t>
      </w:r>
      <w:r w:rsidR="00BB332B">
        <w:t>paragraph</w:t>
      </w:r>
      <w:r w:rsidR="00B72A11">
        <w:t> </w:t>
      </w:r>
      <w:r>
        <w:t>1</w:t>
      </w:r>
      <w:r w:rsidR="00FB2CFF">
        <w:t>6</w:t>
      </w:r>
      <w:r w:rsidR="0010332B">
        <w:t>(5</w:t>
      </w:r>
      <w:r>
        <w:t>)</w:t>
      </w:r>
      <w:r w:rsidR="00B94FA0">
        <w:t>(a)</w:t>
      </w:r>
      <w:r>
        <w:t>.</w:t>
      </w:r>
      <w:r w:rsidR="00B94FA0">
        <w:t xml:space="preserve"> </w:t>
      </w:r>
      <w:r>
        <w:t>In the event that</w:t>
      </w:r>
      <w:r w:rsidR="00B94FA0">
        <w:t xml:space="preserve"> a field fell below the threshold, but still stored </w:t>
      </w:r>
      <w:r>
        <w:t>over 3kt of stock,</w:t>
      </w:r>
      <w:r w:rsidR="00B94FA0">
        <w:t xml:space="preserve"> then a residual reporting obligation could apply under </w:t>
      </w:r>
      <w:r w:rsidR="000307C2">
        <w:t>sub</w:t>
      </w:r>
      <w:r w:rsidR="00BB332B">
        <w:t>section</w:t>
      </w:r>
      <w:r w:rsidR="00B72A11">
        <w:t> </w:t>
      </w:r>
      <w:r w:rsidR="00B94FA0">
        <w:t>1</w:t>
      </w:r>
      <w:r w:rsidR="00FB2CFF">
        <w:t>7</w:t>
      </w:r>
      <w:r w:rsidR="000307C2">
        <w:t>(1)</w:t>
      </w:r>
      <w:r w:rsidR="00B72A11">
        <w:t xml:space="preserve"> of the Rules</w:t>
      </w:r>
      <w:r w:rsidR="00B94FA0">
        <w:t xml:space="preserve">. </w:t>
      </w:r>
    </w:p>
    <w:p w14:paraId="4DCDDCB8" w14:textId="77777777" w:rsidR="00125105" w:rsidRDefault="00BB332B" w:rsidP="00125105">
      <w:pPr>
        <w:pStyle w:val="Numberedparagraph"/>
        <w:spacing w:line="276" w:lineRule="auto"/>
        <w:ind w:left="720" w:hanging="720"/>
      </w:pPr>
      <w:r>
        <w:t>Paragraph</w:t>
      </w:r>
      <w:r w:rsidR="00125105">
        <w:t xml:space="preserve"> 1</w:t>
      </w:r>
      <w:r w:rsidR="00FB2CFF">
        <w:t>6</w:t>
      </w:r>
      <w:r w:rsidR="00125105">
        <w:t>(</w:t>
      </w:r>
      <w:r w:rsidR="0010332B">
        <w:t>5</w:t>
      </w:r>
      <w:r w:rsidR="00125105">
        <w:t>)</w:t>
      </w:r>
      <w:r w:rsidR="00132566">
        <w:t>(a)</w:t>
      </w:r>
      <w:r w:rsidR="00125105">
        <w:t xml:space="preserve"> </w:t>
      </w:r>
      <w:r w:rsidR="0077783D">
        <w:t>relieves</w:t>
      </w:r>
      <w:r w:rsidR="00125105">
        <w:t xml:space="preserve"> from the reporting obligation</w:t>
      </w:r>
      <w:r w:rsidR="00B94FA0">
        <w:t>s imposed by table items 1 and</w:t>
      </w:r>
      <w:r w:rsidR="003C5C46">
        <w:t> </w:t>
      </w:r>
      <w:r w:rsidR="00B94FA0">
        <w:t>2</w:t>
      </w:r>
      <w:r w:rsidR="00125105">
        <w:t xml:space="preserve"> any field </w:t>
      </w:r>
      <w:r w:rsidR="00132566">
        <w:t>which</w:t>
      </w:r>
      <w:r w:rsidR="00125105">
        <w:t xml:space="preserve"> </w:t>
      </w:r>
      <w:r w:rsidR="00132566">
        <w:t>produced less than</w:t>
      </w:r>
      <w:r w:rsidR="00125105">
        <w:t xml:space="preserve"> </w:t>
      </w:r>
      <w:r w:rsidR="00B94FA0">
        <w:t xml:space="preserve">3kt </w:t>
      </w:r>
      <w:r w:rsidR="000307C2">
        <w:t xml:space="preserve">in total </w:t>
      </w:r>
      <w:r w:rsidR="00125105">
        <w:t xml:space="preserve">of crude oil, condensate and LPG </w:t>
      </w:r>
      <w:r w:rsidR="00E91462">
        <w:t xml:space="preserve">over </w:t>
      </w:r>
      <w:r w:rsidR="00125105">
        <w:t>the previous financial year. This means that if a field produced 2kt of crude oil, 0.7kt of condensate and 0.</w:t>
      </w:r>
      <w:r w:rsidR="00132566">
        <w:t>3</w:t>
      </w:r>
      <w:r w:rsidR="00125105">
        <w:t xml:space="preserve">kt of LPG in a financial year </w:t>
      </w:r>
      <w:r w:rsidR="00132566">
        <w:t xml:space="preserve">then </w:t>
      </w:r>
      <w:r w:rsidR="00B94FA0">
        <w:t xml:space="preserve">a reporting obligation under table items 1 or 2 would apply. </w:t>
      </w:r>
      <w:r w:rsidR="00132566">
        <w:t xml:space="preserve"> </w:t>
      </w:r>
    </w:p>
    <w:p w14:paraId="6D996C16" w14:textId="77777777" w:rsidR="00111933" w:rsidRDefault="00733765" w:rsidP="00052837">
      <w:pPr>
        <w:pStyle w:val="Numberedparagraph"/>
        <w:numPr>
          <w:ilvl w:val="0"/>
          <w:numId w:val="0"/>
        </w:numPr>
        <w:spacing w:line="276" w:lineRule="auto"/>
        <w:rPr>
          <w:i/>
        </w:rPr>
      </w:pPr>
      <w:r w:rsidRPr="00EC3BC0">
        <w:rPr>
          <w:i/>
        </w:rPr>
        <w:t xml:space="preserve">Production of </w:t>
      </w:r>
      <w:r w:rsidR="00C427F8" w:rsidRPr="00EC3BC0">
        <w:rPr>
          <w:i/>
        </w:rPr>
        <w:t xml:space="preserve">transport </w:t>
      </w:r>
      <w:r w:rsidRPr="00EC3BC0">
        <w:rPr>
          <w:i/>
        </w:rPr>
        <w:t>biofuels</w:t>
      </w:r>
    </w:p>
    <w:p w14:paraId="31D481C0" w14:textId="77777777" w:rsidR="001A6665" w:rsidRDefault="001A6665" w:rsidP="00733765">
      <w:pPr>
        <w:pStyle w:val="Numberedparagraph"/>
        <w:spacing w:line="276" w:lineRule="auto"/>
        <w:ind w:left="720" w:hanging="720"/>
      </w:pPr>
      <w:r>
        <w:t>Table item</w:t>
      </w:r>
      <w:r w:rsidR="00EF45B2">
        <w:t>s</w:t>
      </w:r>
      <w:r>
        <w:t xml:space="preserve"> </w:t>
      </w:r>
      <w:r w:rsidR="000307C2">
        <w:t>3</w:t>
      </w:r>
      <w:r w:rsidR="00EF45B2">
        <w:t xml:space="preserve"> and </w:t>
      </w:r>
      <w:r w:rsidR="000307C2">
        <w:t>4</w:t>
      </w:r>
      <w:r w:rsidR="005A456A">
        <w:t xml:space="preserve"> of section 1</w:t>
      </w:r>
      <w:r w:rsidR="00FB2CFF">
        <w:t>6</w:t>
      </w:r>
      <w:r w:rsidR="005A456A">
        <w:t>(1)</w:t>
      </w:r>
      <w:r>
        <w:t xml:space="preserve"> </w:t>
      </w:r>
      <w:r w:rsidR="00B72A11">
        <w:t>p</w:t>
      </w:r>
      <w:r>
        <w:t xml:space="preserve">rescribe </w:t>
      </w:r>
      <w:r w:rsidR="008627A6">
        <w:t xml:space="preserve">for the purposes of section 11 of the Act </w:t>
      </w:r>
      <w:r w:rsidR="00B72A11">
        <w:t xml:space="preserve">reporting obligations associated with </w:t>
      </w:r>
      <w:r>
        <w:t>produc</w:t>
      </w:r>
      <w:r w:rsidR="008627A6">
        <w:t>ing</w:t>
      </w:r>
      <w:r>
        <w:t xml:space="preserve"> </w:t>
      </w:r>
      <w:r w:rsidR="003C5C46">
        <w:t xml:space="preserve">transport </w:t>
      </w:r>
      <w:r>
        <w:t>biofuel.</w:t>
      </w:r>
    </w:p>
    <w:p w14:paraId="40828308" w14:textId="77777777" w:rsidR="008627A6" w:rsidRDefault="0055100A" w:rsidP="00733765">
      <w:pPr>
        <w:pStyle w:val="Numberedparagraph"/>
        <w:spacing w:line="276" w:lineRule="auto"/>
        <w:ind w:left="720" w:hanging="720"/>
      </w:pPr>
      <w:r>
        <w:t xml:space="preserve">Column 1 of table item </w:t>
      </w:r>
      <w:r w:rsidR="000307C2">
        <w:t>3</w:t>
      </w:r>
      <w:r>
        <w:t xml:space="preserve"> </w:t>
      </w:r>
      <w:r w:rsidR="008627A6">
        <w:t xml:space="preserve">prescribes </w:t>
      </w:r>
      <w:r>
        <w:t xml:space="preserve">the </w:t>
      </w:r>
      <w:r w:rsidR="00922724">
        <w:t xml:space="preserve">covered </w:t>
      </w:r>
      <w:r>
        <w:t>activity</w:t>
      </w:r>
      <w:r w:rsidR="008627A6">
        <w:t xml:space="preserve"> to which reporting obligations attach</w:t>
      </w:r>
      <w:r>
        <w:t xml:space="preserve"> as producing transport biofuel at an Australian biofuel plant.</w:t>
      </w:r>
      <w:r w:rsidR="008627A6">
        <w:t xml:space="preserve">  </w:t>
      </w:r>
    </w:p>
    <w:p w14:paraId="69E9B367" w14:textId="77777777" w:rsidR="005A456A" w:rsidRDefault="00E91462" w:rsidP="00733765">
      <w:pPr>
        <w:pStyle w:val="Numberedparagraph"/>
        <w:spacing w:line="276" w:lineRule="auto"/>
        <w:ind w:left="720" w:hanging="720"/>
      </w:pPr>
      <w:r>
        <w:t>Producing is defined in the Act</w:t>
      </w:r>
      <w:r w:rsidR="005A456A">
        <w:t xml:space="preserve"> to include creating a covered product other than by refining it.</w:t>
      </w:r>
    </w:p>
    <w:p w14:paraId="45946D08" w14:textId="77777777" w:rsidR="0055100A" w:rsidRPr="00E91462" w:rsidRDefault="0055100A" w:rsidP="00E91462">
      <w:pPr>
        <w:pStyle w:val="Numberedparagraph"/>
        <w:spacing w:after="200" w:line="276" w:lineRule="auto"/>
        <w:ind w:left="720" w:hanging="720"/>
        <w:rPr>
          <w:rFonts w:cs="Times New Roman"/>
          <w:color w:val="000000" w:themeColor="text1"/>
        </w:rPr>
      </w:pPr>
      <w:r>
        <w:t xml:space="preserve">Transport biofuel </w:t>
      </w:r>
      <w:r w:rsidR="008627A6">
        <w:rPr>
          <w:rFonts w:cs="Times New Roman"/>
          <w:color w:val="000000" w:themeColor="text1"/>
        </w:rPr>
        <w:t>is</w:t>
      </w:r>
      <w:r>
        <w:rPr>
          <w:rFonts w:cs="Times New Roman"/>
          <w:color w:val="000000" w:themeColor="text1"/>
        </w:rPr>
        <w:t xml:space="preserve"> defined at </w:t>
      </w:r>
      <w:r w:rsidR="00BB332B">
        <w:rPr>
          <w:rFonts w:cs="Times New Roman"/>
          <w:color w:val="000000" w:themeColor="text1"/>
        </w:rPr>
        <w:t>section</w:t>
      </w:r>
      <w:r>
        <w:rPr>
          <w:rFonts w:cs="Times New Roman"/>
          <w:color w:val="000000" w:themeColor="text1"/>
        </w:rPr>
        <w:t xml:space="preserve"> 4</w:t>
      </w:r>
      <w:r w:rsidR="008627A6">
        <w:rPr>
          <w:rFonts w:cs="Times New Roman"/>
          <w:color w:val="000000" w:themeColor="text1"/>
        </w:rPr>
        <w:t xml:space="preserve"> of the Rules</w:t>
      </w:r>
      <w:r>
        <w:rPr>
          <w:rFonts w:cs="Times New Roman"/>
          <w:color w:val="000000" w:themeColor="text1"/>
        </w:rPr>
        <w:t xml:space="preserve"> to mean biofuel that is able to be used as a transport fuel. </w:t>
      </w:r>
      <w:r w:rsidR="00E91462">
        <w:rPr>
          <w:rFonts w:cs="Times New Roman"/>
          <w:color w:val="000000" w:themeColor="text1"/>
        </w:rPr>
        <w:t xml:space="preserve">This includes biofuel that can be used directly to power a vehicle such as a car, truck, ship or plane; and biofuel that would require blending with another covered product before being used. </w:t>
      </w:r>
      <w:r w:rsidR="00E91462" w:rsidRPr="00E91462">
        <w:rPr>
          <w:rFonts w:cs="Times New Roman"/>
          <w:color w:val="000000" w:themeColor="text1"/>
        </w:rPr>
        <w:t>B</w:t>
      </w:r>
      <w:r w:rsidRPr="00E91462">
        <w:rPr>
          <w:rFonts w:cs="Times New Roman"/>
          <w:color w:val="000000" w:themeColor="text1"/>
        </w:rPr>
        <w:t xml:space="preserve">iofuels unable to be used as a transport fuel </w:t>
      </w:r>
      <w:r w:rsidR="00E91462" w:rsidRPr="00E91462">
        <w:rPr>
          <w:rFonts w:cs="Times New Roman"/>
          <w:color w:val="000000" w:themeColor="text1"/>
        </w:rPr>
        <w:t xml:space="preserve">are not reportable. </w:t>
      </w:r>
    </w:p>
    <w:p w14:paraId="6A2793FC" w14:textId="77777777" w:rsidR="0055100A" w:rsidRPr="0055100A" w:rsidRDefault="0055100A" w:rsidP="0055100A">
      <w:pPr>
        <w:pStyle w:val="Numberedparagraph"/>
        <w:spacing w:line="276" w:lineRule="auto"/>
        <w:ind w:left="720" w:hanging="720"/>
      </w:pPr>
      <w:r>
        <w:t xml:space="preserve">Australian biofuel plant </w:t>
      </w:r>
      <w:r w:rsidR="008627A6">
        <w:rPr>
          <w:rFonts w:cs="Times New Roman"/>
          <w:color w:val="000000" w:themeColor="text1"/>
        </w:rPr>
        <w:t>is</w:t>
      </w:r>
      <w:r>
        <w:rPr>
          <w:rFonts w:cs="Times New Roman"/>
          <w:color w:val="000000" w:themeColor="text1"/>
        </w:rPr>
        <w:t xml:space="preserve"> defined at </w:t>
      </w:r>
      <w:r w:rsidR="00BB332B">
        <w:rPr>
          <w:rFonts w:cs="Times New Roman"/>
          <w:color w:val="000000" w:themeColor="text1"/>
        </w:rPr>
        <w:t>subsection</w:t>
      </w:r>
      <w:r>
        <w:rPr>
          <w:rFonts w:cs="Times New Roman"/>
          <w:color w:val="000000" w:themeColor="text1"/>
        </w:rPr>
        <w:t xml:space="preserve"> </w:t>
      </w:r>
      <w:r w:rsidR="004A6084">
        <w:rPr>
          <w:rFonts w:cs="Times New Roman"/>
          <w:color w:val="000000" w:themeColor="text1"/>
        </w:rPr>
        <w:t>1</w:t>
      </w:r>
      <w:r w:rsidR="0054058E">
        <w:rPr>
          <w:rFonts w:cs="Times New Roman"/>
          <w:color w:val="000000" w:themeColor="text1"/>
        </w:rPr>
        <w:t>1</w:t>
      </w:r>
      <w:r>
        <w:rPr>
          <w:rFonts w:cs="Times New Roman"/>
          <w:color w:val="000000" w:themeColor="text1"/>
        </w:rPr>
        <w:t>(</w:t>
      </w:r>
      <w:r w:rsidR="0054058E">
        <w:rPr>
          <w:rFonts w:cs="Times New Roman"/>
          <w:color w:val="000000" w:themeColor="text1"/>
        </w:rPr>
        <w:t>3</w:t>
      </w:r>
      <w:r>
        <w:rPr>
          <w:rFonts w:cs="Times New Roman"/>
          <w:color w:val="000000" w:themeColor="text1"/>
        </w:rPr>
        <w:t>)</w:t>
      </w:r>
      <w:r w:rsidR="008627A6">
        <w:rPr>
          <w:rFonts w:cs="Times New Roman"/>
          <w:color w:val="000000" w:themeColor="text1"/>
        </w:rPr>
        <w:t xml:space="preserve"> of the Rules</w:t>
      </w:r>
      <w:r>
        <w:rPr>
          <w:rFonts w:cs="Times New Roman"/>
          <w:color w:val="000000" w:themeColor="text1"/>
        </w:rPr>
        <w:t xml:space="preserve"> to mean </w:t>
      </w:r>
      <w:r w:rsidR="000307C2">
        <w:rPr>
          <w:rFonts w:cs="Times New Roman"/>
          <w:color w:val="000000" w:themeColor="text1"/>
        </w:rPr>
        <w:t>a plant where transport biofuel</w:t>
      </w:r>
      <w:r>
        <w:rPr>
          <w:rFonts w:cs="Times New Roman"/>
          <w:color w:val="000000" w:themeColor="text1"/>
        </w:rPr>
        <w:t xml:space="preserve"> is or was produced in Australia by a regulated entity.</w:t>
      </w:r>
    </w:p>
    <w:p w14:paraId="0B6520B6" w14:textId="77777777" w:rsidR="0055100A" w:rsidRDefault="0055100A" w:rsidP="0055100A">
      <w:pPr>
        <w:pStyle w:val="Numberedparagraph"/>
        <w:spacing w:line="276" w:lineRule="auto"/>
        <w:ind w:left="720" w:hanging="720"/>
      </w:pPr>
      <w:r>
        <w:rPr>
          <w:rFonts w:cs="Times New Roman"/>
          <w:color w:val="000000" w:themeColor="text1"/>
        </w:rPr>
        <w:t xml:space="preserve">Column 2 of </w:t>
      </w:r>
      <w:r>
        <w:t xml:space="preserve">table item </w:t>
      </w:r>
      <w:r w:rsidR="000307C2">
        <w:t>3</w:t>
      </w:r>
      <w:r>
        <w:t xml:space="preserve"> </w:t>
      </w:r>
      <w:r w:rsidR="008627A6">
        <w:t>imposes</w:t>
      </w:r>
      <w:r>
        <w:t xml:space="preserve"> the reporting obligation on each person who first owns any biofuel created at the plant. This would generally be the owner of the Australian biofuel plant. </w:t>
      </w:r>
    </w:p>
    <w:p w14:paraId="41A4AAC0" w14:textId="77777777" w:rsidR="0055100A" w:rsidRDefault="0055100A" w:rsidP="0055100A">
      <w:pPr>
        <w:pStyle w:val="Numberedparagraph"/>
        <w:spacing w:line="276" w:lineRule="auto"/>
        <w:ind w:left="720" w:hanging="720"/>
      </w:pPr>
      <w:r>
        <w:rPr>
          <w:rFonts w:cs="Times New Roman"/>
          <w:color w:val="000000" w:themeColor="text1"/>
        </w:rPr>
        <w:t xml:space="preserve">Column 3 </w:t>
      </w:r>
      <w:r>
        <w:t xml:space="preserve">prescribes particular fuel information that must be reported to satisfy the reporting obligation under table item </w:t>
      </w:r>
      <w:r w:rsidR="00FB2CFF">
        <w:t>3</w:t>
      </w:r>
      <w:r>
        <w:t>. This information is:</w:t>
      </w:r>
    </w:p>
    <w:p w14:paraId="65377046" w14:textId="77777777" w:rsidR="0055100A" w:rsidRPr="0055100A" w:rsidRDefault="00C64407" w:rsidP="0055100A">
      <w:pPr>
        <w:pStyle w:val="Numberedparagraph"/>
        <w:numPr>
          <w:ilvl w:val="1"/>
          <w:numId w:val="7"/>
        </w:numPr>
        <w:spacing w:line="276" w:lineRule="auto"/>
      </w:pPr>
      <w:r>
        <w:rPr>
          <w:rFonts w:cs="Times New Roman"/>
          <w:color w:val="000000" w:themeColor="text1"/>
        </w:rPr>
        <w:t>t</w:t>
      </w:r>
      <w:r w:rsidR="0055100A">
        <w:rPr>
          <w:rFonts w:cs="Times New Roman"/>
          <w:color w:val="000000" w:themeColor="text1"/>
        </w:rPr>
        <w:t>he transport biofuel held at the plant at the start of the month;</w:t>
      </w:r>
    </w:p>
    <w:p w14:paraId="1ADB162F" w14:textId="77777777" w:rsidR="0055100A" w:rsidRPr="0055100A" w:rsidRDefault="00C64407" w:rsidP="0055100A">
      <w:pPr>
        <w:pStyle w:val="Numberedparagraph"/>
        <w:numPr>
          <w:ilvl w:val="1"/>
          <w:numId w:val="7"/>
        </w:numPr>
        <w:spacing w:line="276" w:lineRule="auto"/>
      </w:pPr>
      <w:r>
        <w:rPr>
          <w:rFonts w:cs="Times New Roman"/>
          <w:color w:val="000000" w:themeColor="text1"/>
        </w:rPr>
        <w:t>t</w:t>
      </w:r>
      <w:r w:rsidR="0055100A">
        <w:rPr>
          <w:rFonts w:cs="Times New Roman"/>
          <w:color w:val="000000" w:themeColor="text1"/>
        </w:rPr>
        <w:t xml:space="preserve">he transport biofuel created at the plant during the month; </w:t>
      </w:r>
    </w:p>
    <w:p w14:paraId="61EEBA00" w14:textId="77777777" w:rsidR="0055100A" w:rsidRPr="00C64407" w:rsidRDefault="00C64407" w:rsidP="0055100A">
      <w:pPr>
        <w:pStyle w:val="Numberedparagraph"/>
        <w:numPr>
          <w:ilvl w:val="1"/>
          <w:numId w:val="7"/>
        </w:numPr>
        <w:spacing w:line="276" w:lineRule="auto"/>
      </w:pPr>
      <w:r>
        <w:rPr>
          <w:rFonts w:cs="Times New Roman"/>
          <w:color w:val="000000" w:themeColor="text1"/>
        </w:rPr>
        <w:lastRenderedPageBreak/>
        <w:t>t</w:t>
      </w:r>
      <w:r w:rsidR="0055100A">
        <w:rPr>
          <w:rFonts w:cs="Times New Roman"/>
          <w:color w:val="000000" w:themeColor="text1"/>
        </w:rPr>
        <w:t>he transport biofuel held at th</w:t>
      </w:r>
      <w:r>
        <w:rPr>
          <w:rFonts w:cs="Times New Roman"/>
          <w:color w:val="000000" w:themeColor="text1"/>
        </w:rPr>
        <w:t>e plant at the end of the month; and</w:t>
      </w:r>
    </w:p>
    <w:p w14:paraId="1E62834B" w14:textId="77777777" w:rsidR="00C64407" w:rsidRPr="0055100A" w:rsidRDefault="00C64407" w:rsidP="0055100A">
      <w:pPr>
        <w:pStyle w:val="Numberedparagraph"/>
        <w:numPr>
          <w:ilvl w:val="1"/>
          <w:numId w:val="7"/>
        </w:numPr>
        <w:spacing w:line="276" w:lineRule="auto"/>
      </w:pPr>
      <w:r>
        <w:rPr>
          <w:rFonts w:cs="Times New Roman"/>
          <w:color w:val="000000" w:themeColor="text1"/>
        </w:rPr>
        <w:t>the average density of each transport biofuel</w:t>
      </w:r>
      <w:r w:rsidR="00E91462">
        <w:rPr>
          <w:rFonts w:cs="Times New Roman"/>
          <w:color w:val="000000" w:themeColor="text1"/>
        </w:rPr>
        <w:t xml:space="preserve"> required to be</w:t>
      </w:r>
      <w:r>
        <w:rPr>
          <w:rFonts w:cs="Times New Roman"/>
          <w:color w:val="000000" w:themeColor="text1"/>
        </w:rPr>
        <w:t xml:space="preserve"> </w:t>
      </w:r>
      <w:r w:rsidR="00027FC5">
        <w:rPr>
          <w:rFonts w:cs="Times New Roman"/>
          <w:color w:val="000000" w:themeColor="text1"/>
        </w:rPr>
        <w:t>reported</w:t>
      </w:r>
      <w:r>
        <w:rPr>
          <w:rFonts w:cs="Times New Roman"/>
          <w:color w:val="000000" w:themeColor="text1"/>
        </w:rPr>
        <w:t xml:space="preserve">. </w:t>
      </w:r>
    </w:p>
    <w:p w14:paraId="4453A04C" w14:textId="38276CE7" w:rsidR="00027FC5" w:rsidRDefault="00027FC5" w:rsidP="0055100A">
      <w:pPr>
        <w:pStyle w:val="Numberedparagraph"/>
        <w:spacing w:line="276" w:lineRule="auto"/>
        <w:ind w:left="720" w:hanging="720"/>
      </w:pPr>
      <w:r>
        <w:t xml:space="preserve">When reporting average density, a single figure should be given to each relevant subcategory of biofuel. Schedule 1 lists </w:t>
      </w:r>
      <w:r w:rsidR="00091EFD">
        <w:t xml:space="preserve">four </w:t>
      </w:r>
      <w:r>
        <w:t>subcategories, namely ethanol, biodiesel, renewable diesel</w:t>
      </w:r>
      <w:r w:rsidR="00091EFD">
        <w:t xml:space="preserve"> </w:t>
      </w:r>
      <w:r>
        <w:t xml:space="preserve">and other. If a plant produces two different types of a subcategory, for example two types of </w:t>
      </w:r>
      <w:r w:rsidR="00424A6C">
        <w:t>biodiesel</w:t>
      </w:r>
      <w:r>
        <w:t xml:space="preserve">, and these have a different density, then the average density across both types accounting for </w:t>
      </w:r>
      <w:r w:rsidR="00D84E11">
        <w:t>quantity</w:t>
      </w:r>
      <w:r>
        <w:t xml:space="preserve"> </w:t>
      </w:r>
      <w:r w:rsidR="00E91462">
        <w:t xml:space="preserve">produced </w:t>
      </w:r>
      <w:r w:rsidR="00D84E11">
        <w:t>must</w:t>
      </w:r>
      <w:r>
        <w:t xml:space="preserve"> be reported.</w:t>
      </w:r>
    </w:p>
    <w:p w14:paraId="57396B75" w14:textId="77777777" w:rsidR="0055100A" w:rsidRDefault="0055100A" w:rsidP="0055100A">
      <w:pPr>
        <w:pStyle w:val="Numberedparagraph"/>
        <w:spacing w:line="276" w:lineRule="auto"/>
        <w:ind w:left="720" w:hanging="720"/>
      </w:pPr>
      <w:r>
        <w:t xml:space="preserve">The extended meaning of Australian biofuel plant under </w:t>
      </w:r>
      <w:r w:rsidR="00BB332B">
        <w:t>subsection</w:t>
      </w:r>
      <w:r>
        <w:t xml:space="preserve"> </w:t>
      </w:r>
      <w:r w:rsidR="004A6084">
        <w:t>1</w:t>
      </w:r>
      <w:r w:rsidR="0054058E">
        <w:t>1</w:t>
      </w:r>
      <w:r>
        <w:t>(</w:t>
      </w:r>
      <w:r w:rsidR="0054058E">
        <w:t>5</w:t>
      </w:r>
      <w:r>
        <w:t xml:space="preserve">) would apply when determining stock levels. </w:t>
      </w:r>
      <w:r w:rsidR="000307C2">
        <w:t xml:space="preserve">This means that biofuel stocks held offsite, such as at a fuel storage terminal, </w:t>
      </w:r>
      <w:r w:rsidR="008627A6">
        <w:t xml:space="preserve">are to </w:t>
      </w:r>
      <w:r w:rsidR="000307C2">
        <w:t>be included when determining stock levels</w:t>
      </w:r>
      <w:r w:rsidR="008627A6">
        <w:t xml:space="preserve"> for reporting purposes</w:t>
      </w:r>
      <w:r w:rsidR="000307C2">
        <w:t xml:space="preserve">. </w:t>
      </w:r>
    </w:p>
    <w:p w14:paraId="50DC5E44" w14:textId="77777777" w:rsidR="0055100A" w:rsidRDefault="000307C2" w:rsidP="0055100A">
      <w:pPr>
        <w:pStyle w:val="Numberedparagraph"/>
        <w:spacing w:line="276" w:lineRule="auto"/>
        <w:ind w:left="720" w:hanging="720"/>
      </w:pPr>
      <w:r>
        <w:t xml:space="preserve">Table </w:t>
      </w:r>
      <w:r w:rsidRPr="00236DF4">
        <w:t xml:space="preserve">item </w:t>
      </w:r>
      <w:r w:rsidR="00236DF4" w:rsidRPr="00236DF4">
        <w:t>4</w:t>
      </w:r>
      <w:r w:rsidR="0055100A">
        <w:t xml:space="preserve"> prescribes the holding of biofuels at an Australian biofuel plant at the start of the month as reportable. This replicates the approach at table item 2 for </w:t>
      </w:r>
      <w:r w:rsidR="00E91462">
        <w:t xml:space="preserve">Australian </w:t>
      </w:r>
      <w:r w:rsidR="0055100A">
        <w:t xml:space="preserve">fields and is intended to ensure that where no production takes place at a plant during a month, for example due to maintenance, that changes </w:t>
      </w:r>
      <w:r w:rsidR="00AA5B0D">
        <w:t xml:space="preserve">at the biofuel plant </w:t>
      </w:r>
      <w:r w:rsidR="0055100A">
        <w:t xml:space="preserve">such as reductions in stock levels are reported. </w:t>
      </w:r>
    </w:p>
    <w:p w14:paraId="31192CB9" w14:textId="77777777" w:rsidR="00A4411F" w:rsidRPr="00733765" w:rsidRDefault="00BB332B" w:rsidP="00A4411F">
      <w:pPr>
        <w:pStyle w:val="Numberedparagraph"/>
        <w:spacing w:line="276" w:lineRule="auto"/>
        <w:ind w:left="720" w:hanging="720"/>
      </w:pPr>
      <w:r>
        <w:t xml:space="preserve">Paragraph </w:t>
      </w:r>
      <w:r w:rsidR="00A4411F">
        <w:t>1</w:t>
      </w:r>
      <w:r w:rsidR="00FB2CFF">
        <w:t>6</w:t>
      </w:r>
      <w:r w:rsidR="00A4411F">
        <w:t>(</w:t>
      </w:r>
      <w:r w:rsidR="0010332B">
        <w:t>5</w:t>
      </w:r>
      <w:r w:rsidR="00A4411F">
        <w:t>)(</w:t>
      </w:r>
      <w:r w:rsidR="000307C2">
        <w:t>b</w:t>
      </w:r>
      <w:r w:rsidR="00A4411F">
        <w:t xml:space="preserve">) </w:t>
      </w:r>
      <w:r w:rsidR="0077783D">
        <w:t>relieves</w:t>
      </w:r>
      <w:r w:rsidR="00A4411F">
        <w:t xml:space="preserve"> from the reporting obligation any biofuel plant where less than 3kt of biofuel was produced in the previous financial year. If over 3kt of biofuel is held at a plant exempted </w:t>
      </w:r>
      <w:r w:rsidR="005E02B8">
        <w:t xml:space="preserve">under </w:t>
      </w:r>
      <w:r>
        <w:t xml:space="preserve">paragraph </w:t>
      </w:r>
      <w:r w:rsidR="00A4411F">
        <w:t>1</w:t>
      </w:r>
      <w:r w:rsidR="00FB2CFF">
        <w:t>6</w:t>
      </w:r>
      <w:r w:rsidR="00A4411F">
        <w:t>(</w:t>
      </w:r>
      <w:r w:rsidR="0010332B">
        <w:t>5</w:t>
      </w:r>
      <w:r w:rsidR="00A4411F">
        <w:t>)(</w:t>
      </w:r>
      <w:r w:rsidR="000307C2">
        <w:t>b</w:t>
      </w:r>
      <w:r w:rsidR="00A4411F">
        <w:t xml:space="preserve">), it may </w:t>
      </w:r>
      <w:r w:rsidR="00E91462">
        <w:t xml:space="preserve">still </w:t>
      </w:r>
      <w:r w:rsidR="00A4411F">
        <w:t xml:space="preserve">have a </w:t>
      </w:r>
      <w:r w:rsidR="00E91462">
        <w:t xml:space="preserve">residual </w:t>
      </w:r>
      <w:r w:rsidR="00A4411F">
        <w:t xml:space="preserve">stock reporting obligation under </w:t>
      </w:r>
      <w:r w:rsidR="000307C2">
        <w:t>sub</w:t>
      </w:r>
      <w:r>
        <w:t>section</w:t>
      </w:r>
      <w:r w:rsidR="00A4411F">
        <w:t xml:space="preserve"> 1</w:t>
      </w:r>
      <w:r w:rsidR="00FB2CFF">
        <w:t>7</w:t>
      </w:r>
      <w:r w:rsidR="000307C2">
        <w:t>(1)</w:t>
      </w:r>
      <w:r w:rsidR="008627A6">
        <w:t xml:space="preserve"> of the Rules</w:t>
      </w:r>
      <w:r w:rsidR="00A4411F">
        <w:t>.</w:t>
      </w:r>
    </w:p>
    <w:p w14:paraId="2DD57CC4" w14:textId="77777777" w:rsidR="00052837" w:rsidRPr="00052837" w:rsidRDefault="00052837" w:rsidP="00D84E11">
      <w:pPr>
        <w:pStyle w:val="Numberedparagraph"/>
        <w:keepNext/>
        <w:numPr>
          <w:ilvl w:val="0"/>
          <w:numId w:val="0"/>
        </w:numPr>
        <w:spacing w:line="276" w:lineRule="auto"/>
        <w:rPr>
          <w:i/>
        </w:rPr>
      </w:pPr>
      <w:r w:rsidRPr="00B26D06">
        <w:rPr>
          <w:i/>
        </w:rPr>
        <w:t xml:space="preserve">Processing of </w:t>
      </w:r>
      <w:r w:rsidR="00480C92">
        <w:rPr>
          <w:i/>
        </w:rPr>
        <w:t>p</w:t>
      </w:r>
      <w:r w:rsidR="00027FC5" w:rsidRPr="00B26D06">
        <w:rPr>
          <w:i/>
        </w:rPr>
        <w:t xml:space="preserve">lant </w:t>
      </w:r>
      <w:r w:rsidR="00480C92">
        <w:rPr>
          <w:i/>
        </w:rPr>
        <w:t>p</w:t>
      </w:r>
      <w:r w:rsidR="00027FC5" w:rsidRPr="00B26D06">
        <w:rPr>
          <w:i/>
        </w:rPr>
        <w:t>roduct at an Australian plant (non-biofuel)</w:t>
      </w:r>
    </w:p>
    <w:p w14:paraId="72203096" w14:textId="77777777" w:rsidR="00AA5B0D" w:rsidRDefault="00CE5E76" w:rsidP="00CE5E76">
      <w:pPr>
        <w:pStyle w:val="Numberedparagraph"/>
        <w:spacing w:line="276" w:lineRule="auto"/>
        <w:ind w:left="720" w:hanging="720"/>
      </w:pPr>
      <w:r>
        <w:t>Table item</w:t>
      </w:r>
      <w:r w:rsidR="00EF45B2">
        <w:t>s</w:t>
      </w:r>
      <w:r>
        <w:t xml:space="preserve"> </w:t>
      </w:r>
      <w:r w:rsidR="000307C2">
        <w:t>5</w:t>
      </w:r>
      <w:r w:rsidR="00EF45B2">
        <w:t xml:space="preserve"> and </w:t>
      </w:r>
      <w:r w:rsidR="000307C2">
        <w:t xml:space="preserve">6 </w:t>
      </w:r>
      <w:r w:rsidR="005A456A">
        <w:t>of section 1</w:t>
      </w:r>
      <w:r w:rsidR="00FB2CFF">
        <w:t>6</w:t>
      </w:r>
      <w:r w:rsidR="005A456A">
        <w:t xml:space="preserve">(1) </w:t>
      </w:r>
      <w:r w:rsidR="008627A6">
        <w:t xml:space="preserve">prescribe for the purposes of section 11 of the Act reporting obligations associated with </w:t>
      </w:r>
      <w:r w:rsidR="00E91462">
        <w:t xml:space="preserve">the </w:t>
      </w:r>
      <w:r w:rsidR="000077C2">
        <w:t xml:space="preserve">processing of </w:t>
      </w:r>
      <w:r w:rsidR="00102411">
        <w:t>plant product</w:t>
      </w:r>
      <w:r>
        <w:t xml:space="preserve">. </w:t>
      </w:r>
    </w:p>
    <w:p w14:paraId="57F4CBF9" w14:textId="77777777" w:rsidR="00AA5B0D" w:rsidRDefault="00AA5B0D" w:rsidP="00CE5E76">
      <w:pPr>
        <w:pStyle w:val="Numberedparagraph"/>
        <w:spacing w:line="276" w:lineRule="auto"/>
        <w:ind w:left="720" w:hanging="720"/>
      </w:pPr>
      <w:r>
        <w:t xml:space="preserve">Column 1 of table item </w:t>
      </w:r>
      <w:r w:rsidR="000307C2">
        <w:t>5</w:t>
      </w:r>
      <w:r>
        <w:t xml:space="preserve"> </w:t>
      </w:r>
      <w:r w:rsidR="00922724">
        <w:t xml:space="preserve">prescribes the covered activity to which reporting obligations attach </w:t>
      </w:r>
      <w:r w:rsidR="00AB083F">
        <w:t xml:space="preserve">as </w:t>
      </w:r>
      <w:r>
        <w:t xml:space="preserve">processing </w:t>
      </w:r>
      <w:r w:rsidR="00A65CDB">
        <w:t>plant product</w:t>
      </w:r>
      <w:r>
        <w:t xml:space="preserve"> at an Australian </w:t>
      </w:r>
      <w:r w:rsidR="00A65CDB">
        <w:t>plant (non-biofuel)</w:t>
      </w:r>
      <w:r>
        <w:t>.</w:t>
      </w:r>
    </w:p>
    <w:p w14:paraId="6541F56F" w14:textId="5B89BCBF" w:rsidR="00E91462" w:rsidRDefault="00E91462" w:rsidP="00E91462">
      <w:pPr>
        <w:pStyle w:val="Numberedparagraph"/>
        <w:spacing w:line="276" w:lineRule="auto"/>
        <w:ind w:left="720" w:hanging="720"/>
      </w:pPr>
      <w:r>
        <w:t xml:space="preserve">The </w:t>
      </w:r>
      <w:r w:rsidR="00CF024E">
        <w:t>phrase ‘</w:t>
      </w:r>
      <w:r>
        <w:t>Australian plant (non-biofuel)</w:t>
      </w:r>
      <w:r w:rsidR="00CF024E">
        <w:t>’</w:t>
      </w:r>
      <w:r>
        <w:t xml:space="preserve"> is intended to distinguish plants processing LPG, naphtha and NGL from those producing biofuels. </w:t>
      </w:r>
    </w:p>
    <w:p w14:paraId="2E718555" w14:textId="77777777" w:rsidR="00AA5B0D" w:rsidRDefault="005A456A" w:rsidP="00CE5E76">
      <w:pPr>
        <w:pStyle w:val="Numberedparagraph"/>
        <w:spacing w:line="276" w:lineRule="auto"/>
        <w:ind w:left="720" w:hanging="720"/>
      </w:pPr>
      <w:r>
        <w:t xml:space="preserve">Section </w:t>
      </w:r>
      <w:r w:rsidR="00AA5B0D">
        <w:t>4</w:t>
      </w:r>
      <w:r>
        <w:t xml:space="preserve"> of the Rules</w:t>
      </w:r>
      <w:r w:rsidR="00AA5B0D">
        <w:t xml:space="preserve"> define</w:t>
      </w:r>
      <w:r w:rsidR="00AB083F">
        <w:t>s</w:t>
      </w:r>
      <w:r w:rsidR="00AA5B0D">
        <w:t xml:space="preserve"> </w:t>
      </w:r>
      <w:r>
        <w:t>processing</w:t>
      </w:r>
      <w:r w:rsidR="00D102BE">
        <w:t xml:space="preserve"> </w:t>
      </w:r>
      <w:r w:rsidR="00AA5B0D">
        <w:t>as follows:</w:t>
      </w:r>
    </w:p>
    <w:p w14:paraId="5414D7D5" w14:textId="77777777" w:rsidR="000077C2" w:rsidRDefault="000077C2" w:rsidP="004504B2">
      <w:pPr>
        <w:pStyle w:val="Numberedparagraph"/>
        <w:numPr>
          <w:ilvl w:val="0"/>
          <w:numId w:val="0"/>
        </w:numPr>
        <w:ind w:left="709"/>
      </w:pPr>
      <w:r w:rsidRPr="00A269E1">
        <w:rPr>
          <w:b/>
          <w:i/>
        </w:rPr>
        <w:t>processing</w:t>
      </w:r>
      <w:r w:rsidRPr="00A269E1">
        <w:t xml:space="preserve"> </w:t>
      </w:r>
      <w:r w:rsidR="00A65CDB">
        <w:t>plant product</w:t>
      </w:r>
      <w:r w:rsidRPr="00A269E1">
        <w:t xml:space="preserve"> means undertaking a process from which </w:t>
      </w:r>
      <w:r w:rsidR="00A65CDB">
        <w:t>plant product</w:t>
      </w:r>
      <w:r w:rsidRPr="00A269E1">
        <w:t xml:space="preserve"> is an output.</w:t>
      </w:r>
    </w:p>
    <w:p w14:paraId="3EA8EAEF" w14:textId="4E1ADBA1" w:rsidR="00A65CDB" w:rsidRDefault="00A65CDB" w:rsidP="00A65CDB">
      <w:pPr>
        <w:pStyle w:val="Numberedparagraph"/>
        <w:spacing w:line="276" w:lineRule="auto"/>
        <w:ind w:left="720" w:hanging="720"/>
      </w:pPr>
      <w:r>
        <w:t>Plant product is defined in section 4 as LPG, naphtha or NGL.</w:t>
      </w:r>
    </w:p>
    <w:p w14:paraId="7149A385" w14:textId="77777777" w:rsidR="00AA5B0D" w:rsidRDefault="00AA5B0D" w:rsidP="00CE5E76">
      <w:pPr>
        <w:pStyle w:val="Numberedparagraph"/>
        <w:spacing w:line="276" w:lineRule="auto"/>
        <w:ind w:left="720" w:hanging="720"/>
      </w:pPr>
      <w:r>
        <w:t xml:space="preserve">Column 2 of table item </w:t>
      </w:r>
      <w:r w:rsidR="000307C2">
        <w:t>5</w:t>
      </w:r>
      <w:r>
        <w:t xml:space="preserve"> </w:t>
      </w:r>
      <w:r w:rsidR="005A456A">
        <w:t>imposes</w:t>
      </w:r>
      <w:r>
        <w:t xml:space="preserve"> the reporting obligation on each person who first owns any </w:t>
      </w:r>
      <w:r w:rsidR="00A65CDB">
        <w:t>plant product</w:t>
      </w:r>
      <w:r>
        <w:t xml:space="preserve"> that is</w:t>
      </w:r>
      <w:r w:rsidR="00CA2435">
        <w:t xml:space="preserve"> an output</w:t>
      </w:r>
      <w:r>
        <w:t xml:space="preserve"> from the </w:t>
      </w:r>
      <w:r w:rsidR="00D102BE">
        <w:t>process</w:t>
      </w:r>
      <w:r>
        <w:t xml:space="preserve">. </w:t>
      </w:r>
      <w:r w:rsidR="00E91462">
        <w:t xml:space="preserve">This will generally be the owner of the plant. </w:t>
      </w:r>
    </w:p>
    <w:p w14:paraId="31131735" w14:textId="77777777" w:rsidR="00AA5B0D" w:rsidRDefault="00AA5B0D" w:rsidP="00AA5B0D">
      <w:pPr>
        <w:pStyle w:val="Numberedparagraph"/>
        <w:spacing w:line="276" w:lineRule="auto"/>
        <w:ind w:left="720" w:hanging="720"/>
      </w:pPr>
      <w:r>
        <w:rPr>
          <w:rFonts w:cs="Times New Roman"/>
          <w:color w:val="000000" w:themeColor="text1"/>
        </w:rPr>
        <w:t xml:space="preserve">Column 3 </w:t>
      </w:r>
      <w:r>
        <w:t xml:space="preserve">of table item </w:t>
      </w:r>
      <w:r w:rsidR="000307C2">
        <w:t>5</w:t>
      </w:r>
      <w:r>
        <w:t xml:space="preserve"> prescribes particular fuel information that must be reported to satisfy the reporting obligation. This information is</w:t>
      </w:r>
      <w:r w:rsidR="00A65CDB">
        <w:t xml:space="preserve"> the quantity of</w:t>
      </w:r>
      <w:r>
        <w:t>:</w:t>
      </w:r>
    </w:p>
    <w:p w14:paraId="446E29B1" w14:textId="77777777" w:rsidR="00CF6EBD" w:rsidRDefault="00A65CDB" w:rsidP="00CF6EBD">
      <w:pPr>
        <w:pStyle w:val="Numberedparagraph"/>
        <w:numPr>
          <w:ilvl w:val="1"/>
          <w:numId w:val="7"/>
        </w:numPr>
        <w:spacing w:line="276" w:lineRule="auto"/>
      </w:pPr>
      <w:r>
        <w:t>plant product</w:t>
      </w:r>
      <w:r w:rsidR="006B5C3A">
        <w:t xml:space="preserve"> stored at the plant at the beginning of the month;</w:t>
      </w:r>
    </w:p>
    <w:p w14:paraId="5142322F" w14:textId="77777777" w:rsidR="00A65CDB" w:rsidRDefault="00A65CDB" w:rsidP="00A65CDB">
      <w:pPr>
        <w:pStyle w:val="Numberedparagraph"/>
        <w:numPr>
          <w:ilvl w:val="1"/>
          <w:numId w:val="7"/>
        </w:numPr>
        <w:spacing w:line="276" w:lineRule="auto"/>
      </w:pPr>
      <w:r>
        <w:t>plant product which is consumed as a fuel at the plant during the month;</w:t>
      </w:r>
    </w:p>
    <w:p w14:paraId="738C0877" w14:textId="77777777" w:rsidR="006B5C3A" w:rsidRDefault="00A65CDB" w:rsidP="00CF6EBD">
      <w:pPr>
        <w:pStyle w:val="Numberedparagraph"/>
        <w:numPr>
          <w:ilvl w:val="1"/>
          <w:numId w:val="7"/>
        </w:numPr>
        <w:spacing w:line="276" w:lineRule="auto"/>
      </w:pPr>
      <w:r>
        <w:lastRenderedPageBreak/>
        <w:t xml:space="preserve">plant product </w:t>
      </w:r>
      <w:r w:rsidR="006B5C3A">
        <w:t>which is an output from the processing undertaken at the plant</w:t>
      </w:r>
      <w:r w:rsidR="005A456A">
        <w:t xml:space="preserve"> during the month</w:t>
      </w:r>
      <w:r w:rsidR="006B5C3A">
        <w:t>;</w:t>
      </w:r>
    </w:p>
    <w:p w14:paraId="5E2DC3CD" w14:textId="77777777" w:rsidR="006B5C3A" w:rsidRDefault="00A65CDB" w:rsidP="00CF6EBD">
      <w:pPr>
        <w:pStyle w:val="Numberedparagraph"/>
        <w:numPr>
          <w:ilvl w:val="1"/>
          <w:numId w:val="7"/>
        </w:numPr>
        <w:spacing w:line="276" w:lineRule="auto"/>
      </w:pPr>
      <w:r>
        <w:t xml:space="preserve">plant product delivered </w:t>
      </w:r>
      <w:r w:rsidR="006B5C3A">
        <w:t>from the plant</w:t>
      </w:r>
      <w:r w:rsidR="005A456A">
        <w:t xml:space="preserve"> during the month</w:t>
      </w:r>
      <w:r w:rsidR="006B5C3A">
        <w:t xml:space="preserve">; </w:t>
      </w:r>
    </w:p>
    <w:p w14:paraId="1CBD7201" w14:textId="77777777" w:rsidR="006B5C3A" w:rsidRDefault="00A65CDB" w:rsidP="006B5C3A">
      <w:pPr>
        <w:pStyle w:val="Numberedparagraph"/>
        <w:numPr>
          <w:ilvl w:val="1"/>
          <w:numId w:val="7"/>
        </w:numPr>
        <w:spacing w:line="276" w:lineRule="auto"/>
      </w:pPr>
      <w:r>
        <w:t xml:space="preserve">plant product </w:t>
      </w:r>
      <w:r w:rsidR="006B5C3A">
        <w:t>stored at th</w:t>
      </w:r>
      <w:r w:rsidR="008C3876">
        <w:t>e plant at the end of the month; and</w:t>
      </w:r>
    </w:p>
    <w:p w14:paraId="2ACB64BC" w14:textId="77777777" w:rsidR="008C3876" w:rsidRDefault="008C3876" w:rsidP="006B5C3A">
      <w:pPr>
        <w:pStyle w:val="Numberedparagraph"/>
        <w:numPr>
          <w:ilvl w:val="1"/>
          <w:numId w:val="7"/>
        </w:numPr>
        <w:spacing w:line="276" w:lineRule="auto"/>
      </w:pPr>
      <w:r>
        <w:t>the average density of plant product required to be reported.</w:t>
      </w:r>
    </w:p>
    <w:p w14:paraId="57E44801" w14:textId="77777777" w:rsidR="006B5C3A" w:rsidRDefault="00AA5B0D" w:rsidP="006B5C3A">
      <w:pPr>
        <w:pStyle w:val="Numberedparagraph"/>
        <w:spacing w:line="276" w:lineRule="auto"/>
        <w:ind w:left="720" w:hanging="720"/>
      </w:pPr>
      <w:r>
        <w:t xml:space="preserve">When determining the amount of </w:t>
      </w:r>
      <w:r w:rsidR="00A65CDB">
        <w:t xml:space="preserve">plant product </w:t>
      </w:r>
      <w:r>
        <w:t>stored at an Australian plant</w:t>
      </w:r>
      <w:r w:rsidR="0054058E">
        <w:t xml:space="preserve"> (non-biofuel)</w:t>
      </w:r>
      <w:r>
        <w:t>, the</w:t>
      </w:r>
      <w:r w:rsidR="006B5C3A">
        <w:t xml:space="preserve"> extended meaning </w:t>
      </w:r>
      <w:r>
        <w:t>created by</w:t>
      </w:r>
      <w:r w:rsidR="00A4411F">
        <w:t xml:space="preserve"> sub</w:t>
      </w:r>
      <w:r w:rsidR="00BB332B">
        <w:t>section</w:t>
      </w:r>
      <w:r w:rsidR="00A4411F">
        <w:t xml:space="preserve"> </w:t>
      </w:r>
      <w:r w:rsidR="009E7846">
        <w:t>1</w:t>
      </w:r>
      <w:r w:rsidR="006F2FD5">
        <w:t>1</w:t>
      </w:r>
      <w:r w:rsidR="0054058E">
        <w:t>(5</w:t>
      </w:r>
      <w:r w:rsidR="00A4411F">
        <w:t>)</w:t>
      </w:r>
      <w:r>
        <w:t xml:space="preserve"> </w:t>
      </w:r>
      <w:r w:rsidR="00A4411F">
        <w:t>applies</w:t>
      </w:r>
      <w:r w:rsidR="006B5C3A">
        <w:t xml:space="preserve">. </w:t>
      </w:r>
    </w:p>
    <w:p w14:paraId="6BAB21AE" w14:textId="77777777" w:rsidR="000307C2" w:rsidRDefault="000307C2" w:rsidP="000307C2">
      <w:pPr>
        <w:pStyle w:val="Numberedparagraph"/>
        <w:spacing w:line="276" w:lineRule="auto"/>
        <w:ind w:left="709" w:hanging="709"/>
      </w:pPr>
      <w:r>
        <w:t xml:space="preserve">The </w:t>
      </w:r>
      <w:r w:rsidR="00CF024E">
        <w:t xml:space="preserve">phrase </w:t>
      </w:r>
      <w:r w:rsidR="00A65CDB">
        <w:t>‘delivered</w:t>
      </w:r>
      <w:r>
        <w:t xml:space="preserve"> from</w:t>
      </w:r>
      <w:r w:rsidR="00A65CDB">
        <w:t>’</w:t>
      </w:r>
      <w:r>
        <w:t xml:space="preserve"> </w:t>
      </w:r>
      <w:r w:rsidR="00A65CDB">
        <w:t>is</w:t>
      </w:r>
      <w:r>
        <w:t xml:space="preserve"> intended to capture the removal of </w:t>
      </w:r>
      <w:r w:rsidR="00A65CDB">
        <w:t xml:space="preserve">plant products </w:t>
      </w:r>
      <w:r>
        <w:t>from a plant and its associated storage. For example, when NGL</w:t>
      </w:r>
      <w:r w:rsidR="00AB083F">
        <w:t xml:space="preserve"> is</w:t>
      </w:r>
      <w:r>
        <w:t xml:space="preserve"> sold, exported or transferred to a refinery it would be considered </w:t>
      </w:r>
      <w:r w:rsidR="00A65CDB">
        <w:t>delivered</w:t>
      </w:r>
      <w:r>
        <w:t xml:space="preserve"> from the </w:t>
      </w:r>
      <w:r w:rsidR="00A65CDB">
        <w:t>plant</w:t>
      </w:r>
      <w:r>
        <w:t xml:space="preserve">. </w:t>
      </w:r>
    </w:p>
    <w:p w14:paraId="1F380FD1" w14:textId="77777777" w:rsidR="006B5C3A" w:rsidRDefault="006B5C3A" w:rsidP="006B5C3A">
      <w:pPr>
        <w:pStyle w:val="Numberedparagraph"/>
        <w:spacing w:line="276" w:lineRule="auto"/>
        <w:ind w:left="720" w:hanging="720"/>
      </w:pPr>
      <w:r>
        <w:t xml:space="preserve">Table item </w:t>
      </w:r>
      <w:r w:rsidR="000307C2">
        <w:t>6</w:t>
      </w:r>
      <w:r>
        <w:t xml:space="preserve"> prescribes the holding of </w:t>
      </w:r>
      <w:r w:rsidR="00A65CDB">
        <w:t xml:space="preserve">plant product </w:t>
      </w:r>
      <w:r>
        <w:t xml:space="preserve">at a </w:t>
      </w:r>
      <w:r w:rsidR="00A65CDB">
        <w:t>non-biofuels plant</w:t>
      </w:r>
      <w:r>
        <w:t xml:space="preserve"> at the start of the month as reportable. The reporting obligation applies to the owner of the stock and the fuel information that must be reported is the same as for item </w:t>
      </w:r>
      <w:r w:rsidR="000307C2">
        <w:t>5</w:t>
      </w:r>
      <w:r>
        <w:t>.</w:t>
      </w:r>
    </w:p>
    <w:p w14:paraId="44C3854A" w14:textId="1BA53462" w:rsidR="006B5C3A" w:rsidRDefault="00A4411F" w:rsidP="006B5C3A">
      <w:pPr>
        <w:pStyle w:val="Numberedparagraph"/>
        <w:spacing w:line="276" w:lineRule="auto"/>
        <w:ind w:left="720" w:hanging="720"/>
      </w:pPr>
      <w:r>
        <w:t>T</w:t>
      </w:r>
      <w:r w:rsidR="006B5C3A">
        <w:t xml:space="preserve">he intention of table item </w:t>
      </w:r>
      <w:r w:rsidR="000307C2">
        <w:t>6</w:t>
      </w:r>
      <w:r w:rsidR="006B5C3A">
        <w:t xml:space="preserve"> is to ensure that where a plant does not produce </w:t>
      </w:r>
      <w:r w:rsidR="00A65CDB">
        <w:t xml:space="preserve">plant product </w:t>
      </w:r>
      <w:r w:rsidR="006B5C3A">
        <w:t xml:space="preserve">in a </w:t>
      </w:r>
      <w:r w:rsidR="00424A6C">
        <w:t>month</w:t>
      </w:r>
      <w:r w:rsidR="0083393B">
        <w:t>,</w:t>
      </w:r>
      <w:r w:rsidR="006B5C3A">
        <w:t xml:space="preserve"> changes in the other categories of fuel information are reportable. </w:t>
      </w:r>
    </w:p>
    <w:p w14:paraId="1BDD42D9" w14:textId="77777777" w:rsidR="00132566" w:rsidRDefault="00BB332B" w:rsidP="006B5C3A">
      <w:pPr>
        <w:pStyle w:val="Numberedparagraph"/>
        <w:spacing w:line="276" w:lineRule="auto"/>
        <w:ind w:left="720" w:hanging="720"/>
      </w:pPr>
      <w:r>
        <w:t xml:space="preserve">Paragraph </w:t>
      </w:r>
      <w:r w:rsidR="00132566">
        <w:t>1</w:t>
      </w:r>
      <w:r w:rsidR="00186B0E">
        <w:t>6</w:t>
      </w:r>
      <w:r w:rsidR="00132566">
        <w:t>(</w:t>
      </w:r>
      <w:r w:rsidR="0010332B">
        <w:t>5</w:t>
      </w:r>
      <w:r w:rsidR="00132566">
        <w:t>)(</w:t>
      </w:r>
      <w:r w:rsidR="000307C2">
        <w:t>c</w:t>
      </w:r>
      <w:r w:rsidR="00132566">
        <w:t xml:space="preserve">) </w:t>
      </w:r>
      <w:r w:rsidR="0077783D">
        <w:t>relieves</w:t>
      </w:r>
      <w:r w:rsidR="00132566">
        <w:t xml:space="preserve"> from the reporting obligation </w:t>
      </w:r>
      <w:r w:rsidR="000307C2">
        <w:t xml:space="preserve">prescribed at table items 5 and 6 </w:t>
      </w:r>
      <w:r w:rsidR="00132566">
        <w:t xml:space="preserve">any </w:t>
      </w:r>
      <w:r w:rsidR="00A65CDB">
        <w:t xml:space="preserve">non-biofuel </w:t>
      </w:r>
      <w:r w:rsidR="00132566">
        <w:t xml:space="preserve">plant where less than 3kt of </w:t>
      </w:r>
      <w:r w:rsidR="00A65CDB">
        <w:t xml:space="preserve">plant product in total </w:t>
      </w:r>
      <w:r w:rsidR="00132566">
        <w:t>was produced in the previous financial year.</w:t>
      </w:r>
      <w:r w:rsidR="00A4411F">
        <w:t xml:space="preserve"> If over 3kt of </w:t>
      </w:r>
      <w:r w:rsidR="00A65CDB">
        <w:t xml:space="preserve">plant product </w:t>
      </w:r>
      <w:r w:rsidR="00A4411F">
        <w:t xml:space="preserve">is held at a plant exempted under </w:t>
      </w:r>
      <w:r>
        <w:t>paragraph</w:t>
      </w:r>
      <w:r w:rsidR="00AB083F">
        <w:t> </w:t>
      </w:r>
      <w:r w:rsidR="00A4411F">
        <w:t>1</w:t>
      </w:r>
      <w:r w:rsidR="00186B0E">
        <w:t>6</w:t>
      </w:r>
      <w:r w:rsidR="00A4411F">
        <w:t>(</w:t>
      </w:r>
      <w:r w:rsidR="0010332B">
        <w:t>5</w:t>
      </w:r>
      <w:r w:rsidR="00A4411F">
        <w:t>)(</w:t>
      </w:r>
      <w:r w:rsidR="000307C2">
        <w:t>c</w:t>
      </w:r>
      <w:r w:rsidR="00A4411F">
        <w:t xml:space="preserve">), a residual stock reporting obligation </w:t>
      </w:r>
      <w:r w:rsidR="000307C2">
        <w:t>may still apply under sub</w:t>
      </w:r>
      <w:r>
        <w:t>section</w:t>
      </w:r>
      <w:r w:rsidR="00A4411F">
        <w:t xml:space="preserve"> 1</w:t>
      </w:r>
      <w:r w:rsidR="00186B0E">
        <w:t>7</w:t>
      </w:r>
      <w:r w:rsidR="000307C2">
        <w:t>(1)</w:t>
      </w:r>
      <w:r w:rsidR="00AB083F">
        <w:t xml:space="preserve"> of the Rules</w:t>
      </w:r>
      <w:r w:rsidR="00A4411F">
        <w:t xml:space="preserve">. </w:t>
      </w:r>
    </w:p>
    <w:p w14:paraId="125A45F1" w14:textId="77777777" w:rsidR="00052837" w:rsidRPr="00052837" w:rsidRDefault="00052837" w:rsidP="00D102BE">
      <w:pPr>
        <w:pStyle w:val="Numberedparagraph"/>
        <w:keepNext/>
        <w:numPr>
          <w:ilvl w:val="0"/>
          <w:numId w:val="0"/>
        </w:numPr>
        <w:spacing w:line="276" w:lineRule="auto"/>
        <w:rPr>
          <w:i/>
        </w:rPr>
      </w:pPr>
      <w:r w:rsidRPr="0010332B">
        <w:rPr>
          <w:i/>
        </w:rPr>
        <w:t xml:space="preserve">Refining </w:t>
      </w:r>
      <w:r w:rsidR="00D102BE" w:rsidRPr="0010332B">
        <w:rPr>
          <w:i/>
        </w:rPr>
        <w:t>a covered product</w:t>
      </w:r>
    </w:p>
    <w:p w14:paraId="2C39F07D" w14:textId="77777777" w:rsidR="00D102BE" w:rsidRDefault="000077C2" w:rsidP="00D102BE">
      <w:pPr>
        <w:pStyle w:val="Numberedparagraph"/>
        <w:keepNext/>
        <w:spacing w:line="276" w:lineRule="auto"/>
        <w:ind w:left="720" w:hanging="720"/>
      </w:pPr>
      <w:r>
        <w:t xml:space="preserve">Table items </w:t>
      </w:r>
      <w:r w:rsidR="000307C2">
        <w:t>7</w:t>
      </w:r>
      <w:r>
        <w:t xml:space="preserve"> and </w:t>
      </w:r>
      <w:r w:rsidR="000307C2">
        <w:t>8</w:t>
      </w:r>
      <w:r>
        <w:t xml:space="preserve"> </w:t>
      </w:r>
      <w:r w:rsidR="00AB083F">
        <w:t>in subsection 1</w:t>
      </w:r>
      <w:r w:rsidR="00186B0E">
        <w:t>6</w:t>
      </w:r>
      <w:r w:rsidR="00AB083F">
        <w:t xml:space="preserve">(1) prescribe for the purposes of section 11 of the Act </w:t>
      </w:r>
      <w:r>
        <w:t>reporting obligation</w:t>
      </w:r>
      <w:r w:rsidR="00AB083F">
        <w:t>s</w:t>
      </w:r>
      <w:r>
        <w:t xml:space="preserve"> associated with refining</w:t>
      </w:r>
      <w:r w:rsidR="00AB083F">
        <w:t xml:space="preserve"> covered products</w:t>
      </w:r>
      <w:r w:rsidR="00EF45B2">
        <w:t>.</w:t>
      </w:r>
    </w:p>
    <w:p w14:paraId="45CBBF41" w14:textId="77777777" w:rsidR="00EF45B2" w:rsidRDefault="00EF45B2" w:rsidP="00EF45B2">
      <w:pPr>
        <w:pStyle w:val="Numberedparagraph"/>
        <w:spacing w:line="276" w:lineRule="auto"/>
        <w:ind w:left="720" w:hanging="720"/>
      </w:pPr>
      <w:r>
        <w:t xml:space="preserve">Column 1 of table item </w:t>
      </w:r>
      <w:r w:rsidR="000307C2">
        <w:t>7</w:t>
      </w:r>
      <w:r>
        <w:t xml:space="preserve"> </w:t>
      </w:r>
      <w:r w:rsidR="00AB083F">
        <w:t>prescribes the covered activity to which reporting obligations attach as</w:t>
      </w:r>
      <w:r w:rsidR="00AB083F" w:rsidDel="00AB083F">
        <w:t xml:space="preserve"> </w:t>
      </w:r>
      <w:r>
        <w:t xml:space="preserve">refining </w:t>
      </w:r>
      <w:r w:rsidR="00AB083F">
        <w:t>a</w:t>
      </w:r>
      <w:r>
        <w:t xml:space="preserve"> covered product at an Australian refinery.</w:t>
      </w:r>
    </w:p>
    <w:p w14:paraId="34750445" w14:textId="77777777" w:rsidR="000077C2" w:rsidRDefault="000077C2" w:rsidP="00D102BE">
      <w:pPr>
        <w:pStyle w:val="Numberedparagraph"/>
        <w:keepNext/>
        <w:spacing w:line="276" w:lineRule="auto"/>
        <w:ind w:left="720" w:hanging="720"/>
      </w:pPr>
      <w:r>
        <w:t xml:space="preserve">Refining is defined in section 5 of the Act as: </w:t>
      </w:r>
    </w:p>
    <w:p w14:paraId="083194E0" w14:textId="77777777" w:rsidR="000077C2" w:rsidRDefault="000077C2" w:rsidP="000077C2">
      <w:pPr>
        <w:pStyle w:val="Numberedparagraph"/>
        <w:numPr>
          <w:ilvl w:val="0"/>
          <w:numId w:val="0"/>
        </w:numPr>
        <w:spacing w:line="276" w:lineRule="auto"/>
        <w:ind w:left="720"/>
      </w:pPr>
      <w:r w:rsidRPr="000077C2">
        <w:rPr>
          <w:b/>
          <w:bCs/>
          <w:i/>
          <w:iCs/>
        </w:rPr>
        <w:t xml:space="preserve">refining </w:t>
      </w:r>
      <w:r w:rsidRPr="000077C2">
        <w:t>a covered product means transforming a covered product into another covered product, or recycling or re-refining a covered product.</w:t>
      </w:r>
    </w:p>
    <w:p w14:paraId="712905A0" w14:textId="77777777" w:rsidR="000C0819" w:rsidRDefault="00EF45B2" w:rsidP="00FD0A13">
      <w:pPr>
        <w:pStyle w:val="Numberedparagraph"/>
        <w:spacing w:line="276" w:lineRule="auto"/>
        <w:ind w:left="720" w:hanging="720"/>
      </w:pPr>
      <w:r>
        <w:t xml:space="preserve">An Australian refinery </w:t>
      </w:r>
      <w:r w:rsidR="006B1810">
        <w:t>is</w:t>
      </w:r>
      <w:r>
        <w:t xml:space="preserve"> defined </w:t>
      </w:r>
      <w:r w:rsidR="00212B23">
        <w:t>in</w:t>
      </w:r>
      <w:r>
        <w:t xml:space="preserve"> sub</w:t>
      </w:r>
      <w:r w:rsidR="00BB332B">
        <w:t>section</w:t>
      </w:r>
      <w:r>
        <w:t xml:space="preserve"> </w:t>
      </w:r>
      <w:r w:rsidR="005576FA">
        <w:t>12</w:t>
      </w:r>
      <w:r>
        <w:t xml:space="preserve">(1) </w:t>
      </w:r>
      <w:r w:rsidR="008D3057">
        <w:t xml:space="preserve">of the Rules </w:t>
      </w:r>
      <w:r>
        <w:t>as a refinery at which a covered product is or was refined in Australia by a regulated entity. Sub</w:t>
      </w:r>
      <w:r w:rsidR="00BB332B">
        <w:t>section</w:t>
      </w:r>
      <w:r>
        <w:t xml:space="preserve"> </w:t>
      </w:r>
      <w:r w:rsidR="009E7846">
        <w:t>1</w:t>
      </w:r>
      <w:r w:rsidR="005576FA">
        <w:t>2</w:t>
      </w:r>
      <w:r>
        <w:t xml:space="preserve">(3) provides that a facility </w:t>
      </w:r>
      <w:r w:rsidR="00212B23">
        <w:t>which</w:t>
      </w:r>
      <w:r>
        <w:t xml:space="preserve"> o</w:t>
      </w:r>
      <w:r w:rsidR="000307C2">
        <w:t>nly recycles or re</w:t>
      </w:r>
      <w:r w:rsidR="000307C2">
        <w:noBreakHyphen/>
        <w:t xml:space="preserve">refines GLOWS is not </w:t>
      </w:r>
      <w:r w:rsidR="00B7254E">
        <w:t xml:space="preserve">treated as </w:t>
      </w:r>
      <w:r w:rsidR="000307C2">
        <w:t>an Australian refinery</w:t>
      </w:r>
      <w:r w:rsidR="00B7254E">
        <w:t xml:space="preserve"> for reporting purposes</w:t>
      </w:r>
      <w:r>
        <w:t>. Accordingly, where a refinery produces GLOWS and other covered products</w:t>
      </w:r>
      <w:r w:rsidR="000307C2">
        <w:t xml:space="preserve"> such as diesel and bitumen</w:t>
      </w:r>
      <w:r>
        <w:t xml:space="preserve"> it </w:t>
      </w:r>
      <w:r w:rsidR="00FD0A13">
        <w:t>is</w:t>
      </w:r>
      <w:r>
        <w:t xml:space="preserve"> covered by table item </w:t>
      </w:r>
      <w:r w:rsidR="000307C2">
        <w:t>7</w:t>
      </w:r>
      <w:r>
        <w:t xml:space="preserve">. However, if </w:t>
      </w:r>
      <w:r w:rsidR="00212B23">
        <w:t>a</w:t>
      </w:r>
      <w:r>
        <w:t xml:space="preserve"> </w:t>
      </w:r>
      <w:r w:rsidR="000307C2">
        <w:t>facility</w:t>
      </w:r>
      <w:r>
        <w:t xml:space="preserve"> only recycles or re</w:t>
      </w:r>
      <w:r w:rsidR="00212B23">
        <w:noBreakHyphen/>
      </w:r>
      <w:r>
        <w:t xml:space="preserve">refines GLOWS </w:t>
      </w:r>
      <w:r w:rsidR="000307C2">
        <w:t xml:space="preserve">(i.e. a GLOWS facility) </w:t>
      </w:r>
      <w:r>
        <w:t xml:space="preserve">it would not be </w:t>
      </w:r>
      <w:r w:rsidR="00B7254E">
        <w:t xml:space="preserve">subject to the reporting obligations </w:t>
      </w:r>
      <w:r>
        <w:t>prescribed under table item</w:t>
      </w:r>
      <w:r w:rsidR="00B7254E">
        <w:t> </w:t>
      </w:r>
      <w:r w:rsidR="000307C2">
        <w:t>7</w:t>
      </w:r>
      <w:r w:rsidR="0028734F">
        <w:t xml:space="preserve"> or table item 8</w:t>
      </w:r>
      <w:r w:rsidR="00FD0A13">
        <w:t xml:space="preserve">. </w:t>
      </w:r>
      <w:r w:rsidR="00496765">
        <w:t>GLOWS</w:t>
      </w:r>
      <w:r w:rsidR="000C0819">
        <w:t xml:space="preserve"> recyclers and re-refiners have </w:t>
      </w:r>
      <w:r w:rsidR="00E91462">
        <w:t xml:space="preserve">other </w:t>
      </w:r>
      <w:r w:rsidR="000C0819">
        <w:t xml:space="preserve">reporting obligations under </w:t>
      </w:r>
      <w:r w:rsidR="000307C2">
        <w:t>the Rules</w:t>
      </w:r>
    </w:p>
    <w:p w14:paraId="4DC9CA6D" w14:textId="77777777" w:rsidR="00212B23" w:rsidRDefault="00212B23" w:rsidP="006B5C3A">
      <w:pPr>
        <w:pStyle w:val="Numberedparagraph"/>
        <w:spacing w:line="276" w:lineRule="auto"/>
        <w:ind w:left="720" w:hanging="720"/>
      </w:pPr>
      <w:r>
        <w:lastRenderedPageBreak/>
        <w:t xml:space="preserve">Column 2 of table item </w:t>
      </w:r>
      <w:r w:rsidR="000307C2">
        <w:t>7</w:t>
      </w:r>
      <w:r>
        <w:t xml:space="preserve"> </w:t>
      </w:r>
      <w:r w:rsidR="00E91462">
        <w:t>places</w:t>
      </w:r>
      <w:r>
        <w:t xml:space="preserve"> the reporting obligation on each person </w:t>
      </w:r>
      <w:r w:rsidR="00052837">
        <w:t xml:space="preserve">who </w:t>
      </w:r>
      <w:r>
        <w:t xml:space="preserve">first </w:t>
      </w:r>
      <w:r w:rsidR="00052837">
        <w:t xml:space="preserve">owns a covered product </w:t>
      </w:r>
      <w:r w:rsidR="000307C2">
        <w:t>which</w:t>
      </w:r>
      <w:r w:rsidR="00052837">
        <w:t xml:space="preserve"> is</w:t>
      </w:r>
      <w:r w:rsidR="00CA2435">
        <w:t xml:space="preserve"> an output</w:t>
      </w:r>
      <w:r w:rsidR="00052837">
        <w:t xml:space="preserve"> from the refining process.</w:t>
      </w:r>
      <w:r>
        <w:t xml:space="preserve"> This would generally be the owner of the refinery. </w:t>
      </w:r>
    </w:p>
    <w:p w14:paraId="5167A8D0" w14:textId="77777777" w:rsidR="00212B23" w:rsidRDefault="00212B23" w:rsidP="006B5C3A">
      <w:pPr>
        <w:pStyle w:val="Numberedparagraph"/>
        <w:spacing w:line="276" w:lineRule="auto"/>
        <w:ind w:left="720" w:hanging="720"/>
      </w:pPr>
      <w:r>
        <w:rPr>
          <w:rFonts w:cs="Times New Roman"/>
          <w:color w:val="000000" w:themeColor="text1"/>
        </w:rPr>
        <w:t xml:space="preserve">Column 3 </w:t>
      </w:r>
      <w:r>
        <w:t xml:space="preserve">of table item </w:t>
      </w:r>
      <w:r w:rsidR="000307C2">
        <w:t>7</w:t>
      </w:r>
      <w:r>
        <w:t xml:space="preserve"> </w:t>
      </w:r>
      <w:r w:rsidR="000307C2">
        <w:t>prescribe</w:t>
      </w:r>
      <w:r w:rsidR="00E91462">
        <w:t>s</w:t>
      </w:r>
      <w:r w:rsidR="000307C2">
        <w:t xml:space="preserve"> the</w:t>
      </w:r>
      <w:r>
        <w:t xml:space="preserve"> particular fuel information that must be reported to satisf</w:t>
      </w:r>
      <w:r w:rsidR="00C727AD">
        <w:t>y the reporting obligation. The required fuel</w:t>
      </w:r>
      <w:r>
        <w:t xml:space="preserve"> information is</w:t>
      </w:r>
      <w:r w:rsidR="00C727AD">
        <w:t>:</w:t>
      </w:r>
    </w:p>
    <w:p w14:paraId="10C41F03" w14:textId="77777777" w:rsidR="00212B23" w:rsidRDefault="00FD0A13" w:rsidP="006D0486">
      <w:pPr>
        <w:pStyle w:val="Numberedparagraph"/>
        <w:numPr>
          <w:ilvl w:val="1"/>
          <w:numId w:val="7"/>
        </w:numPr>
        <w:spacing w:line="276" w:lineRule="auto"/>
      </w:pPr>
      <w:r>
        <w:t>i</w:t>
      </w:r>
      <w:r w:rsidR="00212B23">
        <w:t>nput stock</w:t>
      </w:r>
      <w:r w:rsidR="00E91462">
        <w:t>, working stock and output stock</w:t>
      </w:r>
      <w:r w:rsidR="00212B23">
        <w:t xml:space="preserve"> held at the start of the month</w:t>
      </w:r>
    </w:p>
    <w:p w14:paraId="4EE67BB3" w14:textId="77777777" w:rsidR="006D0486" w:rsidRDefault="00FD0A13" w:rsidP="006D0486">
      <w:pPr>
        <w:pStyle w:val="Numberedparagraph"/>
        <w:numPr>
          <w:ilvl w:val="1"/>
          <w:numId w:val="7"/>
        </w:numPr>
        <w:spacing w:line="276" w:lineRule="auto"/>
      </w:pPr>
      <w:r>
        <w:t>i</w:t>
      </w:r>
      <w:r w:rsidR="006D0486">
        <w:t>nput</w:t>
      </w:r>
      <w:r w:rsidR="00212B23">
        <w:t xml:space="preserve"> </w:t>
      </w:r>
      <w:r w:rsidR="006D0486">
        <w:t>s</w:t>
      </w:r>
      <w:r w:rsidR="00212B23">
        <w:t>tock</w:t>
      </w:r>
      <w:r w:rsidR="006D0486">
        <w:t xml:space="preserve"> delivered to the refinery</w:t>
      </w:r>
      <w:r w:rsidR="00AB083F">
        <w:t xml:space="preserve"> during the month</w:t>
      </w:r>
      <w:r w:rsidR="006D0486">
        <w:t>;</w:t>
      </w:r>
      <w:r>
        <w:t xml:space="preserve"> </w:t>
      </w:r>
    </w:p>
    <w:p w14:paraId="7B24520C" w14:textId="77777777" w:rsidR="00B26D06" w:rsidRDefault="00B26D06" w:rsidP="00B26D06">
      <w:pPr>
        <w:pStyle w:val="Numberedparagraph"/>
        <w:numPr>
          <w:ilvl w:val="1"/>
          <w:numId w:val="7"/>
        </w:numPr>
        <w:spacing w:line="276" w:lineRule="auto"/>
      </w:pPr>
      <w:r>
        <w:t>inputs, outputs or working stock delivered from a petrochemical facility to the refinery during the month (i.e. backflows);</w:t>
      </w:r>
    </w:p>
    <w:p w14:paraId="3B6C9643" w14:textId="77777777" w:rsidR="00B26D06" w:rsidRDefault="00B26D06" w:rsidP="00B26D06">
      <w:pPr>
        <w:pStyle w:val="Numberedparagraph"/>
        <w:numPr>
          <w:ilvl w:val="1"/>
          <w:numId w:val="7"/>
        </w:numPr>
        <w:spacing w:line="276" w:lineRule="auto"/>
      </w:pPr>
      <w:r>
        <w:t>inputs (of any covered product) entered into the refining process over the month;</w:t>
      </w:r>
    </w:p>
    <w:p w14:paraId="4FCD6493" w14:textId="77777777" w:rsidR="00B26D06" w:rsidRDefault="00B26D06" w:rsidP="00B26D06">
      <w:pPr>
        <w:pStyle w:val="Numberedparagraph"/>
        <w:numPr>
          <w:ilvl w:val="1"/>
          <w:numId w:val="7"/>
        </w:numPr>
        <w:spacing w:line="276" w:lineRule="auto"/>
      </w:pPr>
      <w:r>
        <w:t>inputs, outputs or working stock consumed as fuel by the refinery during the month;</w:t>
      </w:r>
    </w:p>
    <w:p w14:paraId="15984C3F" w14:textId="77777777" w:rsidR="00B26D06" w:rsidRDefault="00B26D06" w:rsidP="00B26D06">
      <w:pPr>
        <w:pStyle w:val="Numberedparagraph"/>
        <w:numPr>
          <w:ilvl w:val="1"/>
          <w:numId w:val="7"/>
        </w:numPr>
        <w:spacing w:line="276" w:lineRule="auto"/>
      </w:pPr>
      <w:r>
        <w:t>outputs (of any covered product) from any refining process over the month;</w:t>
      </w:r>
    </w:p>
    <w:p w14:paraId="0EB1D57F" w14:textId="77777777" w:rsidR="00C727AD" w:rsidRDefault="00C727AD" w:rsidP="00FD0A13">
      <w:pPr>
        <w:pStyle w:val="Numberedparagraph"/>
        <w:numPr>
          <w:ilvl w:val="1"/>
          <w:numId w:val="7"/>
        </w:numPr>
        <w:spacing w:line="276" w:lineRule="auto"/>
      </w:pPr>
      <w:r>
        <w:t xml:space="preserve">inputs, outputs or working stock delivered </w:t>
      </w:r>
      <w:r w:rsidR="00A1436D">
        <w:t xml:space="preserve">from the refinery </w:t>
      </w:r>
      <w:r w:rsidR="00831694">
        <w:t>to</w:t>
      </w:r>
      <w:r>
        <w:t xml:space="preserve"> a petrochemical facility during the </w:t>
      </w:r>
      <w:r w:rsidR="00831694">
        <w:t>month</w:t>
      </w:r>
      <w:r>
        <w:t>;</w:t>
      </w:r>
    </w:p>
    <w:p w14:paraId="57581CFC" w14:textId="77777777" w:rsidR="00B26D06" w:rsidRDefault="00B26D06" w:rsidP="00B26D06">
      <w:pPr>
        <w:pStyle w:val="Numberedparagraph"/>
        <w:numPr>
          <w:ilvl w:val="1"/>
          <w:numId w:val="7"/>
        </w:numPr>
        <w:spacing w:line="276" w:lineRule="auto"/>
      </w:pPr>
      <w:r>
        <w:t>remaining input</w:t>
      </w:r>
      <w:r w:rsidR="00496765">
        <w:t xml:space="preserve"> stock, working stock and output</w:t>
      </w:r>
      <w:r>
        <w:t xml:space="preserve"> stock held at the end of the month;</w:t>
      </w:r>
    </w:p>
    <w:p w14:paraId="6A5CE40F" w14:textId="77777777" w:rsidR="00A1436D" w:rsidRDefault="00A1436D" w:rsidP="00FD0A13">
      <w:pPr>
        <w:pStyle w:val="Numberedparagraph"/>
        <w:numPr>
          <w:ilvl w:val="1"/>
          <w:numId w:val="7"/>
        </w:numPr>
        <w:spacing w:line="276" w:lineRule="auto"/>
      </w:pPr>
      <w:r>
        <w:t>the total losses over the month, including any covered products flared, destroyed, spilled or otherwise unable to be accounted for</w:t>
      </w:r>
      <w:r w:rsidR="00013B99">
        <w:t xml:space="preserve">. This should be reported as a single figure, </w:t>
      </w:r>
      <w:r w:rsidR="00496765">
        <w:t>rather than</w:t>
      </w:r>
      <w:r w:rsidR="00013B99">
        <w:t xml:space="preserve"> by product</w:t>
      </w:r>
      <w:r>
        <w:t>; and</w:t>
      </w:r>
    </w:p>
    <w:p w14:paraId="08A5FE9A" w14:textId="77777777" w:rsidR="00A1436D" w:rsidRDefault="00A1436D" w:rsidP="00FD0A13">
      <w:pPr>
        <w:pStyle w:val="Numberedparagraph"/>
        <w:numPr>
          <w:ilvl w:val="1"/>
          <w:numId w:val="7"/>
        </w:numPr>
        <w:spacing w:line="276" w:lineRule="auto"/>
      </w:pPr>
      <w:r>
        <w:t xml:space="preserve">the average density of all reported </w:t>
      </w:r>
      <w:r w:rsidR="00013B99">
        <w:t>covered products</w:t>
      </w:r>
      <w:r>
        <w:t xml:space="preserve">. </w:t>
      </w:r>
    </w:p>
    <w:p w14:paraId="632503AE" w14:textId="77777777" w:rsidR="00A1436D" w:rsidRDefault="00A1436D" w:rsidP="00A1436D">
      <w:pPr>
        <w:pStyle w:val="Numberedparagraph"/>
        <w:spacing w:line="276" w:lineRule="auto"/>
        <w:ind w:left="720" w:hanging="720"/>
      </w:pPr>
      <w:r w:rsidRPr="00A1436D">
        <w:t xml:space="preserve">When reporting </w:t>
      </w:r>
      <w:r>
        <w:t>on opening stocks, deliveries and closing stocks of inputs,</w:t>
      </w:r>
      <w:r w:rsidRPr="00A1436D">
        <w:t xml:space="preserve"> reporters must </w:t>
      </w:r>
      <w:r>
        <w:t>identify</w:t>
      </w:r>
      <w:r w:rsidRPr="00A1436D">
        <w:t xml:space="preserve"> whether the input stock was imported or produced domestically. For example, when reporting the crude oil delivered to the refinery </w:t>
      </w:r>
      <w:r w:rsidR="00496765">
        <w:t>over</w:t>
      </w:r>
      <w:r w:rsidRPr="00A1436D">
        <w:t xml:space="preserve"> a month, a reporter must specify the proportion</w:t>
      </w:r>
      <w:r>
        <w:t xml:space="preserve"> that was</w:t>
      </w:r>
      <w:r w:rsidRPr="00A1436D">
        <w:t xml:space="preserve"> produced in Austral</w:t>
      </w:r>
      <w:r>
        <w:t xml:space="preserve">ia and was imported. </w:t>
      </w:r>
    </w:p>
    <w:p w14:paraId="1E0B0AB9" w14:textId="77777777" w:rsidR="000C0819" w:rsidRDefault="000C0819" w:rsidP="006B5C3A">
      <w:pPr>
        <w:pStyle w:val="Numberedparagraph"/>
        <w:spacing w:line="276" w:lineRule="auto"/>
        <w:ind w:left="720" w:hanging="720"/>
      </w:pPr>
      <w:r>
        <w:t xml:space="preserve">Input stock, working stock and output stock </w:t>
      </w:r>
      <w:r w:rsidR="00FD0A13">
        <w:t>is</w:t>
      </w:r>
      <w:r>
        <w:t xml:space="preserve"> defined in sub</w:t>
      </w:r>
      <w:r w:rsidR="00BB332B">
        <w:t>section</w:t>
      </w:r>
      <w:r>
        <w:t xml:space="preserve"> </w:t>
      </w:r>
      <w:r w:rsidR="004A6084">
        <w:t>1</w:t>
      </w:r>
      <w:r w:rsidR="005576FA">
        <w:t>2</w:t>
      </w:r>
      <w:r>
        <w:t>(2)</w:t>
      </w:r>
      <w:r w:rsidR="008D3057">
        <w:t xml:space="preserve"> of the Rules</w:t>
      </w:r>
      <w:r>
        <w:t xml:space="preserve">. These definitions are intended to align with current reporting categories and industry </w:t>
      </w:r>
      <w:r w:rsidR="000307C2">
        <w:t>usage</w:t>
      </w:r>
      <w:r>
        <w:t xml:space="preserve">. </w:t>
      </w:r>
      <w:r w:rsidR="00B26D06">
        <w:t>A</w:t>
      </w:r>
      <w:r w:rsidR="00C727AD">
        <w:t xml:space="preserve"> covered product may be both an input and an output</w:t>
      </w:r>
      <w:r w:rsidR="00013B99">
        <w:t xml:space="preserve"> at a refinery</w:t>
      </w:r>
      <w:r w:rsidR="00C727AD">
        <w:t xml:space="preserve">. For example, outputs of refining-related gas are commonly returned to the refining process as an input. Another example is blendstock, where a product such as diesel is entered </w:t>
      </w:r>
      <w:r w:rsidR="00A1436D">
        <w:t xml:space="preserve">as an input </w:t>
      </w:r>
      <w:r w:rsidR="00C727AD">
        <w:t>into the refining process</w:t>
      </w:r>
      <w:r w:rsidR="00A1436D">
        <w:t xml:space="preserve"> (</w:t>
      </w:r>
      <w:r w:rsidR="00013B99">
        <w:t>that is</w:t>
      </w:r>
      <w:r w:rsidR="00A1436D">
        <w:t xml:space="preserve"> blended</w:t>
      </w:r>
      <w:r w:rsidR="00013B99">
        <w:t xml:space="preserve"> with working stock</w:t>
      </w:r>
      <w:r w:rsidR="00A1436D">
        <w:t>)</w:t>
      </w:r>
      <w:r w:rsidR="00C727AD">
        <w:t xml:space="preserve"> to improve the quality </w:t>
      </w:r>
      <w:r w:rsidR="00013B99">
        <w:t xml:space="preserve">of, </w:t>
      </w:r>
      <w:r w:rsidR="00C727AD">
        <w:t>or provide particular characteristic to</w:t>
      </w:r>
      <w:r w:rsidR="00013B99">
        <w:t>,</w:t>
      </w:r>
      <w:r w:rsidR="00C727AD">
        <w:t xml:space="preserve"> </w:t>
      </w:r>
      <w:r w:rsidR="00A1436D">
        <w:t xml:space="preserve">the </w:t>
      </w:r>
      <w:r w:rsidR="00013B99">
        <w:t xml:space="preserve">diesel </w:t>
      </w:r>
      <w:r w:rsidR="00B26D06">
        <w:t>which becomes an output from the refinery</w:t>
      </w:r>
      <w:r w:rsidR="00C727AD">
        <w:t xml:space="preserve">.  </w:t>
      </w:r>
    </w:p>
    <w:p w14:paraId="28A70CE3" w14:textId="77777777" w:rsidR="00121FDA" w:rsidRDefault="00212B23" w:rsidP="006B5C3A">
      <w:pPr>
        <w:pStyle w:val="Numberedparagraph"/>
        <w:spacing w:line="276" w:lineRule="auto"/>
        <w:ind w:left="720" w:hanging="720"/>
      </w:pPr>
      <w:r>
        <w:t>When reporting</w:t>
      </w:r>
      <w:r w:rsidR="006D0486">
        <w:t xml:space="preserve"> input</w:t>
      </w:r>
      <w:r>
        <w:t xml:space="preserve"> stock, working stock</w:t>
      </w:r>
      <w:r w:rsidR="006D0486">
        <w:t xml:space="preserve"> and output</w:t>
      </w:r>
      <w:r>
        <w:t xml:space="preserve"> </w:t>
      </w:r>
      <w:r w:rsidR="006D0486">
        <w:t>s</w:t>
      </w:r>
      <w:r>
        <w:t xml:space="preserve">tock, a reporter must report using </w:t>
      </w:r>
      <w:r w:rsidR="000307C2">
        <w:t>the</w:t>
      </w:r>
      <w:r w:rsidR="006D0486">
        <w:t xml:space="preserve"> relevant categories and subcategories set out in Schedule 1</w:t>
      </w:r>
      <w:r w:rsidR="000307C2">
        <w:t xml:space="preserve"> of the Rules</w:t>
      </w:r>
      <w:r w:rsidR="006D0486">
        <w:t>.</w:t>
      </w:r>
      <w:r w:rsidR="00A1436D">
        <w:t xml:space="preserve"> Specific reporti</w:t>
      </w:r>
      <w:r w:rsidR="00013B99">
        <w:t xml:space="preserve">ng </w:t>
      </w:r>
      <w:r w:rsidR="00496765">
        <w:t>sub</w:t>
      </w:r>
      <w:r w:rsidR="00013B99">
        <w:t xml:space="preserve">categories </w:t>
      </w:r>
      <w:r w:rsidR="00496765">
        <w:t>apply</w:t>
      </w:r>
      <w:r w:rsidR="00B26D06">
        <w:t xml:space="preserve"> for</w:t>
      </w:r>
      <w:r w:rsidR="00013B99">
        <w:t xml:space="preserve"> refiner</w:t>
      </w:r>
      <w:r w:rsidR="00496765">
        <w:t>y reports</w:t>
      </w:r>
      <w:r w:rsidR="00013B99">
        <w:t xml:space="preserve"> </w:t>
      </w:r>
      <w:r w:rsidR="00A1436D">
        <w:t xml:space="preserve">to capture data that is </w:t>
      </w:r>
      <w:r w:rsidR="00496765">
        <w:t xml:space="preserve">only </w:t>
      </w:r>
      <w:r w:rsidR="00A1436D">
        <w:t xml:space="preserve">relevant to </w:t>
      </w:r>
      <w:r w:rsidR="00013B99">
        <w:t>refining</w:t>
      </w:r>
      <w:r w:rsidR="00A1436D">
        <w:t xml:space="preserve"> and to </w:t>
      </w:r>
      <w:r w:rsidR="00013B99">
        <w:t>avoid</w:t>
      </w:r>
      <w:r w:rsidR="00A1436D">
        <w:t xml:space="preserve"> </w:t>
      </w:r>
      <w:r w:rsidR="00B26D06">
        <w:t xml:space="preserve">irrelevant </w:t>
      </w:r>
      <w:r w:rsidR="00A1436D">
        <w:t xml:space="preserve">subcategories.  </w:t>
      </w:r>
    </w:p>
    <w:p w14:paraId="2BA6245A" w14:textId="2BD75431" w:rsidR="00DD1E9C" w:rsidRDefault="00DD1E9C" w:rsidP="006B5C3A">
      <w:pPr>
        <w:pStyle w:val="Numberedparagraph"/>
        <w:spacing w:line="276" w:lineRule="auto"/>
        <w:ind w:left="720" w:hanging="720"/>
      </w:pPr>
      <w:r>
        <w:t xml:space="preserve">Table item </w:t>
      </w:r>
      <w:r w:rsidR="000307C2">
        <w:t>8</w:t>
      </w:r>
      <w:r>
        <w:t xml:space="preserve"> </w:t>
      </w:r>
      <w:r w:rsidR="000C0819">
        <w:t>prescribe</w:t>
      </w:r>
      <w:r w:rsidR="00C72116">
        <w:t>s</w:t>
      </w:r>
      <w:r w:rsidR="000C0819">
        <w:t xml:space="preserve"> a reporting obligation where </w:t>
      </w:r>
      <w:r>
        <w:t>input</w:t>
      </w:r>
      <w:r w:rsidR="000C0819">
        <w:t xml:space="preserve"> stock</w:t>
      </w:r>
      <w:r>
        <w:t xml:space="preserve"> or output </w:t>
      </w:r>
      <w:r w:rsidR="000C0819">
        <w:t xml:space="preserve">stock is held </w:t>
      </w:r>
      <w:r>
        <w:t>at a</w:t>
      </w:r>
      <w:r w:rsidR="000C0819">
        <w:t>n Australian</w:t>
      </w:r>
      <w:r>
        <w:t xml:space="preserve"> refinery at the start of the month</w:t>
      </w:r>
      <w:r w:rsidR="00B26D06">
        <w:t>,</w:t>
      </w:r>
      <w:r w:rsidR="000307C2">
        <w:t xml:space="preserve"> but no outputs are produced in </w:t>
      </w:r>
      <w:r w:rsidR="00E95782">
        <w:t>that</w:t>
      </w:r>
      <w:r w:rsidR="000307C2">
        <w:t xml:space="preserve"> month</w:t>
      </w:r>
      <w:r>
        <w:t xml:space="preserve">. This reporting obligation applies to the person who owns the stock and the reportable fuel information is the same as for table item </w:t>
      </w:r>
      <w:r w:rsidR="00E95782">
        <w:t>7</w:t>
      </w:r>
      <w:r>
        <w:t>.</w:t>
      </w:r>
    </w:p>
    <w:p w14:paraId="1FCD59E7" w14:textId="7F638271" w:rsidR="00DD1E9C" w:rsidRDefault="000C0819" w:rsidP="000077C2">
      <w:pPr>
        <w:pStyle w:val="Numberedparagraph"/>
        <w:spacing w:line="276" w:lineRule="auto"/>
        <w:ind w:left="720" w:hanging="720"/>
      </w:pPr>
      <w:r>
        <w:lastRenderedPageBreak/>
        <w:t xml:space="preserve">The intention of table item </w:t>
      </w:r>
      <w:r w:rsidR="00E95782">
        <w:t>8</w:t>
      </w:r>
      <w:r w:rsidR="00DD1E9C">
        <w:t xml:space="preserve"> is to ensure that where a refinery does not produce any output</w:t>
      </w:r>
      <w:r w:rsidR="00E95782">
        <w:t xml:space="preserve"> </w:t>
      </w:r>
      <w:r w:rsidR="00DD1E9C">
        <w:t>s</w:t>
      </w:r>
      <w:r w:rsidR="00E95782">
        <w:t>tock</w:t>
      </w:r>
      <w:r>
        <w:t xml:space="preserve"> in a month that changes in relevant </w:t>
      </w:r>
      <w:r w:rsidR="00DD1E9C">
        <w:t xml:space="preserve">fuel information </w:t>
      </w:r>
      <w:r w:rsidR="00C165EF">
        <w:t xml:space="preserve">are </w:t>
      </w:r>
      <w:r w:rsidR="00DD1E9C">
        <w:t xml:space="preserve">reportable. This ensures that stock held at a refinery undergoing maintenance </w:t>
      </w:r>
      <w:r w:rsidR="000077C2">
        <w:t xml:space="preserve">continues to be reported. </w:t>
      </w:r>
    </w:p>
    <w:p w14:paraId="23FEB827" w14:textId="77777777" w:rsidR="00132566" w:rsidRDefault="00BB332B" w:rsidP="000C0819">
      <w:pPr>
        <w:pStyle w:val="Numberedparagraph"/>
        <w:spacing w:line="276" w:lineRule="auto"/>
        <w:ind w:left="720" w:hanging="720"/>
      </w:pPr>
      <w:r>
        <w:t xml:space="preserve">Paragraph </w:t>
      </w:r>
      <w:r w:rsidR="00132566">
        <w:t>1</w:t>
      </w:r>
      <w:r w:rsidR="00186B0E">
        <w:t>6</w:t>
      </w:r>
      <w:r w:rsidR="00132566">
        <w:t>(</w:t>
      </w:r>
      <w:r w:rsidR="0010332B">
        <w:t>5</w:t>
      </w:r>
      <w:r w:rsidR="00132566">
        <w:t>)(</w:t>
      </w:r>
      <w:r w:rsidR="00E95782">
        <w:t xml:space="preserve">d) </w:t>
      </w:r>
      <w:r w:rsidR="0077783D">
        <w:t>relieves</w:t>
      </w:r>
      <w:r w:rsidR="00E95782">
        <w:t xml:space="preserve"> from the</w:t>
      </w:r>
      <w:r w:rsidR="00132566">
        <w:t xml:space="preserve"> reporting obligations any refinery which had a total output of covered products less than 3kt in the previous financial year. </w:t>
      </w:r>
      <w:r w:rsidR="000C0819">
        <w:t xml:space="preserve">If over 3kt of covered products are held at a refinery exempted under </w:t>
      </w:r>
      <w:r>
        <w:t xml:space="preserve">paragraph </w:t>
      </w:r>
      <w:r w:rsidR="000C0819">
        <w:t>1</w:t>
      </w:r>
      <w:r w:rsidR="00186B0E">
        <w:t>6</w:t>
      </w:r>
      <w:r w:rsidR="000C0819">
        <w:t>(</w:t>
      </w:r>
      <w:r w:rsidR="0010332B">
        <w:t>5</w:t>
      </w:r>
      <w:r w:rsidR="000C0819">
        <w:t>)(</w:t>
      </w:r>
      <w:r w:rsidR="00E95782">
        <w:t>d</w:t>
      </w:r>
      <w:r w:rsidR="000C0819">
        <w:t xml:space="preserve">), there may still be a residual stock reporting obligation under </w:t>
      </w:r>
      <w:r w:rsidR="00E95782">
        <w:t>sub</w:t>
      </w:r>
      <w:r>
        <w:t>section</w:t>
      </w:r>
      <w:r w:rsidR="000C0819">
        <w:t xml:space="preserve"> 1</w:t>
      </w:r>
      <w:r w:rsidR="00186B0E">
        <w:t>7</w:t>
      </w:r>
      <w:r w:rsidR="00E95782">
        <w:t>(1)</w:t>
      </w:r>
      <w:r w:rsidR="000C0819">
        <w:t xml:space="preserve">. </w:t>
      </w:r>
    </w:p>
    <w:p w14:paraId="7DEB83B6" w14:textId="77777777" w:rsidR="00DD1E9C" w:rsidRPr="000077C2" w:rsidRDefault="00DD1E9C" w:rsidP="00D75C06">
      <w:pPr>
        <w:pStyle w:val="Numberedparagraph"/>
        <w:keepNext/>
        <w:numPr>
          <w:ilvl w:val="0"/>
          <w:numId w:val="0"/>
        </w:numPr>
        <w:spacing w:line="276" w:lineRule="auto"/>
        <w:ind w:left="360" w:hanging="360"/>
        <w:rPr>
          <w:i/>
        </w:rPr>
      </w:pPr>
      <w:r w:rsidRPr="00CC4590">
        <w:rPr>
          <w:i/>
        </w:rPr>
        <w:t>Wholesaling</w:t>
      </w:r>
    </w:p>
    <w:p w14:paraId="4F28CB43" w14:textId="728BB3DD" w:rsidR="00B04B52" w:rsidRDefault="000077C2" w:rsidP="00D75C06">
      <w:pPr>
        <w:pStyle w:val="Numberedparagraph"/>
        <w:keepNext/>
        <w:spacing w:line="276" w:lineRule="auto"/>
        <w:ind w:left="720" w:hanging="720"/>
      </w:pPr>
      <w:r>
        <w:t xml:space="preserve">Table items </w:t>
      </w:r>
      <w:r w:rsidR="00E95782">
        <w:t xml:space="preserve">9 – </w:t>
      </w:r>
      <w:r w:rsidR="006A1BA0">
        <w:t xml:space="preserve">12 </w:t>
      </w:r>
      <w:r w:rsidR="008D3057">
        <w:t>of subsection 1</w:t>
      </w:r>
      <w:r w:rsidR="00186B0E">
        <w:t>6</w:t>
      </w:r>
      <w:r w:rsidR="008D3057">
        <w:t xml:space="preserve">(1) </w:t>
      </w:r>
      <w:r w:rsidR="0078533D">
        <w:t>prescribe</w:t>
      </w:r>
      <w:r w:rsidR="008D3057">
        <w:t xml:space="preserve"> for the purposes of section 11 of the Act</w:t>
      </w:r>
      <w:r>
        <w:t xml:space="preserve"> </w:t>
      </w:r>
      <w:r w:rsidR="008D3057">
        <w:t xml:space="preserve">reporting obligations </w:t>
      </w:r>
      <w:r>
        <w:t>in relation to wholesal</w:t>
      </w:r>
      <w:r w:rsidR="0078533D">
        <w:t>ing</w:t>
      </w:r>
      <w:r>
        <w:t xml:space="preserve">. </w:t>
      </w:r>
      <w:r w:rsidR="00B04B52">
        <w:t xml:space="preserve">Table item </w:t>
      </w:r>
      <w:r w:rsidR="0078533D">
        <w:t>9</w:t>
      </w:r>
      <w:r w:rsidR="00B04B52">
        <w:t xml:space="preserve"> </w:t>
      </w:r>
      <w:r w:rsidR="00A92E62">
        <w:t>applies to</w:t>
      </w:r>
      <w:r w:rsidR="00B04B52">
        <w:t xml:space="preserve"> petroleum coke</w:t>
      </w:r>
      <w:r w:rsidR="00A92E62">
        <w:t>,</w:t>
      </w:r>
      <w:r w:rsidR="00B04B52">
        <w:t xml:space="preserve"> </w:t>
      </w:r>
      <w:r w:rsidR="00A92E62">
        <w:t xml:space="preserve">table item </w:t>
      </w:r>
      <w:r w:rsidR="0078533D">
        <w:t>10</w:t>
      </w:r>
      <w:r w:rsidR="00A92E62">
        <w:t xml:space="preserve"> applies</w:t>
      </w:r>
      <w:r w:rsidR="00B04B52">
        <w:t xml:space="preserve"> to</w:t>
      </w:r>
      <w:r w:rsidR="00A92E62">
        <w:t xml:space="preserve"> GLOWS, </w:t>
      </w:r>
      <w:r w:rsidR="006A1BA0">
        <w:t xml:space="preserve">table item 11 applies to crude oil, condensate, NGL and refinery feedstock (other), </w:t>
      </w:r>
      <w:r w:rsidR="00A92E62">
        <w:t>and</w:t>
      </w:r>
      <w:r w:rsidR="00B04B52">
        <w:t xml:space="preserve"> </w:t>
      </w:r>
      <w:r w:rsidR="00A92E62">
        <w:t>t</w:t>
      </w:r>
      <w:r w:rsidR="00B04B52">
        <w:t xml:space="preserve">able item </w:t>
      </w:r>
      <w:r w:rsidR="006A1BA0">
        <w:t xml:space="preserve">12 </w:t>
      </w:r>
      <w:r w:rsidR="005E02B8">
        <w:t>applies to</w:t>
      </w:r>
      <w:r w:rsidR="00B04B52">
        <w:t xml:space="preserve"> other </w:t>
      </w:r>
      <w:r w:rsidR="00A92E62">
        <w:t>covered products</w:t>
      </w:r>
      <w:r w:rsidR="00B04B52">
        <w:t>.</w:t>
      </w:r>
    </w:p>
    <w:p w14:paraId="6B0AA3C7" w14:textId="77777777" w:rsidR="000077C2" w:rsidRDefault="000077C2" w:rsidP="006B5C3A">
      <w:pPr>
        <w:pStyle w:val="Numberedparagraph"/>
        <w:spacing w:line="276" w:lineRule="auto"/>
        <w:ind w:left="720" w:hanging="720"/>
      </w:pPr>
      <w:r>
        <w:t>Wholesaling is defined in the Act at section 5 as:</w:t>
      </w:r>
    </w:p>
    <w:p w14:paraId="1239EC5A" w14:textId="77777777" w:rsidR="000077C2" w:rsidRDefault="000077C2" w:rsidP="000077C2">
      <w:pPr>
        <w:pStyle w:val="Numberedparagraph"/>
        <w:numPr>
          <w:ilvl w:val="0"/>
          <w:numId w:val="0"/>
        </w:numPr>
        <w:spacing w:line="276" w:lineRule="auto"/>
        <w:ind w:left="720"/>
      </w:pPr>
      <w:r w:rsidRPr="000077C2">
        <w:rPr>
          <w:b/>
          <w:i/>
        </w:rPr>
        <w:t>wholesaling</w:t>
      </w:r>
      <w:r>
        <w:t xml:space="preserve"> a covered product means:</w:t>
      </w:r>
    </w:p>
    <w:p w14:paraId="532CF144" w14:textId="77777777" w:rsidR="000077C2" w:rsidRDefault="000077C2" w:rsidP="000474F7">
      <w:pPr>
        <w:pStyle w:val="Numberedparagraph"/>
        <w:numPr>
          <w:ilvl w:val="0"/>
          <w:numId w:val="0"/>
        </w:numPr>
        <w:spacing w:line="276" w:lineRule="auto"/>
        <w:ind w:left="2160" w:hanging="720"/>
      </w:pPr>
      <w:r>
        <w:t xml:space="preserve">(a) </w:t>
      </w:r>
      <w:r w:rsidR="008D3057">
        <w:tab/>
      </w:r>
      <w:r>
        <w:t xml:space="preserve">entering a covered product for home consumption (within the meaning of the </w:t>
      </w:r>
      <w:r w:rsidRPr="000474F7">
        <w:rPr>
          <w:i/>
        </w:rPr>
        <w:t>Customs Act 1901</w:t>
      </w:r>
      <w:r>
        <w:t xml:space="preserve"> or the </w:t>
      </w:r>
      <w:r w:rsidRPr="000474F7">
        <w:rPr>
          <w:i/>
        </w:rPr>
        <w:t>Excise Act 1901</w:t>
      </w:r>
      <w:r>
        <w:t>); or</w:t>
      </w:r>
    </w:p>
    <w:p w14:paraId="7E309CDC" w14:textId="77777777" w:rsidR="000077C2" w:rsidRDefault="000077C2" w:rsidP="000474F7">
      <w:pPr>
        <w:pStyle w:val="Numberedparagraph"/>
        <w:numPr>
          <w:ilvl w:val="0"/>
          <w:numId w:val="0"/>
        </w:numPr>
        <w:spacing w:line="276" w:lineRule="auto"/>
        <w:ind w:left="2160" w:hanging="720"/>
      </w:pPr>
      <w:r>
        <w:t xml:space="preserve">(b) </w:t>
      </w:r>
      <w:r w:rsidR="008D3057">
        <w:tab/>
      </w:r>
      <w:r>
        <w:t xml:space="preserve">if a covered product is not subject to duty of excise or duty of customs—removing the covered product from an import terminal or domestic production facilities (such as a refinery); or </w:t>
      </w:r>
    </w:p>
    <w:p w14:paraId="29FE97FD" w14:textId="77777777" w:rsidR="006B5C3A" w:rsidRDefault="000077C2" w:rsidP="000474F7">
      <w:pPr>
        <w:pStyle w:val="Numberedparagraph"/>
        <w:numPr>
          <w:ilvl w:val="0"/>
          <w:numId w:val="0"/>
        </w:numPr>
        <w:spacing w:line="276" w:lineRule="auto"/>
        <w:ind w:left="2160" w:hanging="720"/>
      </w:pPr>
      <w:r>
        <w:t xml:space="preserve">(c) </w:t>
      </w:r>
      <w:r w:rsidR="008D3057">
        <w:tab/>
      </w:r>
      <w:r>
        <w:t xml:space="preserve">if another activity is prescribed by the rules for the purposes of this paragraph for a kind of covered product—undertaking that activity in relation to the kind of product. </w:t>
      </w:r>
    </w:p>
    <w:p w14:paraId="27198653" w14:textId="77777777" w:rsidR="00052837" w:rsidRDefault="0078533D" w:rsidP="006B5C3A">
      <w:pPr>
        <w:pStyle w:val="Numberedparagraph"/>
        <w:spacing w:line="276" w:lineRule="auto"/>
        <w:ind w:left="720" w:hanging="720"/>
      </w:pPr>
      <w:r>
        <w:t>The Rules do not prescribe an</w:t>
      </w:r>
      <w:r w:rsidR="000077C2">
        <w:t xml:space="preserve"> activity for the purposes of </w:t>
      </w:r>
      <w:r w:rsidR="00BB332B">
        <w:t>paragraph</w:t>
      </w:r>
      <w:r w:rsidR="000077C2">
        <w:t xml:space="preserve"> (c) of the definition of wholesaling in the Act.</w:t>
      </w:r>
    </w:p>
    <w:p w14:paraId="1942E796" w14:textId="7AC2568B" w:rsidR="00803332" w:rsidRDefault="00803332">
      <w:pPr>
        <w:pStyle w:val="Numberedparagraph"/>
        <w:spacing w:line="276" w:lineRule="auto"/>
        <w:ind w:left="720" w:hanging="720"/>
      </w:pPr>
      <w:r>
        <w:t xml:space="preserve">Table items </w:t>
      </w:r>
      <w:r w:rsidR="0078533D">
        <w:t>9-</w:t>
      </w:r>
      <w:r w:rsidR="006A1BA0">
        <w:t xml:space="preserve">12 </w:t>
      </w:r>
      <w:r>
        <w:t>prescribe</w:t>
      </w:r>
      <w:r w:rsidR="008D3057">
        <w:t xml:space="preserve"> that</w:t>
      </w:r>
      <w:r>
        <w:t xml:space="preserve"> </w:t>
      </w:r>
      <w:r w:rsidR="008D3057">
        <w:t xml:space="preserve">the </w:t>
      </w:r>
      <w:r>
        <w:t xml:space="preserve">fuel information </w:t>
      </w:r>
      <w:r w:rsidR="00895B91">
        <w:t>is to be broken down by</w:t>
      </w:r>
      <w:r>
        <w:t xml:space="preserve"> </w:t>
      </w:r>
      <w:r w:rsidR="005E02B8">
        <w:t>s</w:t>
      </w:r>
      <w:r>
        <w:t xml:space="preserve">tate marketing area. State marketing area </w:t>
      </w:r>
      <w:r w:rsidR="00895B91">
        <w:t>is</w:t>
      </w:r>
      <w:r>
        <w:t xml:space="preserve"> defined in </w:t>
      </w:r>
      <w:r w:rsidR="00BB332B">
        <w:t>section</w:t>
      </w:r>
      <w:r>
        <w:t xml:space="preserve"> 4 as:</w:t>
      </w:r>
    </w:p>
    <w:p w14:paraId="36BB1945" w14:textId="77777777" w:rsidR="00803332" w:rsidRDefault="00803332" w:rsidP="00803332">
      <w:pPr>
        <w:pStyle w:val="Numberedparagraph"/>
        <w:numPr>
          <w:ilvl w:val="0"/>
          <w:numId w:val="0"/>
        </w:numPr>
        <w:spacing w:line="276" w:lineRule="auto"/>
        <w:ind w:left="720"/>
      </w:pPr>
      <w:r w:rsidRPr="00803332">
        <w:rPr>
          <w:b/>
          <w:i/>
        </w:rPr>
        <w:t>State marketing area</w:t>
      </w:r>
      <w:r>
        <w:t>, in relation to wholesaling a covered product, means:</w:t>
      </w:r>
    </w:p>
    <w:p w14:paraId="42C53340" w14:textId="77777777" w:rsidR="00803332" w:rsidRDefault="00803332" w:rsidP="000474F7">
      <w:pPr>
        <w:pStyle w:val="Numberedparagraph"/>
        <w:numPr>
          <w:ilvl w:val="0"/>
          <w:numId w:val="0"/>
        </w:numPr>
        <w:spacing w:line="276" w:lineRule="auto"/>
        <w:ind w:left="2154" w:hanging="736"/>
      </w:pPr>
      <w:r>
        <w:t xml:space="preserve">(a) </w:t>
      </w:r>
      <w:r w:rsidR="00895B91">
        <w:tab/>
      </w:r>
      <w:r>
        <w:t>the State or Territory in which it is expected that the covered product will be consumed, or sold for final consumption; or</w:t>
      </w:r>
    </w:p>
    <w:p w14:paraId="224BE728" w14:textId="77777777" w:rsidR="00803332" w:rsidRDefault="00803332" w:rsidP="000474F7">
      <w:pPr>
        <w:pStyle w:val="Numberedparagraph"/>
        <w:numPr>
          <w:ilvl w:val="0"/>
          <w:numId w:val="0"/>
        </w:numPr>
        <w:spacing w:line="276" w:lineRule="auto"/>
        <w:ind w:left="2154" w:hanging="736"/>
      </w:pPr>
      <w:r>
        <w:t xml:space="preserve">(b) </w:t>
      </w:r>
      <w:r w:rsidR="00895B91">
        <w:tab/>
      </w:r>
      <w:r>
        <w:t>if the State or Territory mentioned in paragraph (a) is not known—the State or Territory in which the wholesaling occurs.</w:t>
      </w:r>
    </w:p>
    <w:p w14:paraId="54EFB941" w14:textId="77777777" w:rsidR="00F404AE" w:rsidRDefault="00803332" w:rsidP="00F404AE">
      <w:pPr>
        <w:pStyle w:val="Numberedparagraph"/>
        <w:spacing w:line="276" w:lineRule="auto"/>
        <w:ind w:left="720" w:hanging="720"/>
      </w:pPr>
      <w:r>
        <w:t xml:space="preserve">This means that when reporting wholesales, regulated entities should report the </w:t>
      </w:r>
      <w:r w:rsidR="00895B91">
        <w:t>S</w:t>
      </w:r>
      <w:r>
        <w:t xml:space="preserve">tate where they expect the product will be consumed or sold for final consumption. For example, </w:t>
      </w:r>
      <w:r w:rsidR="00A51774">
        <w:t xml:space="preserve">if a regulated entity </w:t>
      </w:r>
      <w:r w:rsidR="00F404AE">
        <w:t>enters</w:t>
      </w:r>
      <w:r w:rsidR="00A51774">
        <w:t xml:space="preserve"> for home consumption 10ML of diesel in Brisbane, but plans to sell 2ML of this in northern New South Wales, then it should report 8ML as wholesaled in Queensland and 2ML in New South Wales. </w:t>
      </w:r>
    </w:p>
    <w:p w14:paraId="0BA2D6A5" w14:textId="435CF3AB" w:rsidR="00803332" w:rsidRDefault="00F404AE" w:rsidP="00F404AE">
      <w:pPr>
        <w:pStyle w:val="Numberedparagraph"/>
        <w:spacing w:line="276" w:lineRule="auto"/>
        <w:ind w:left="720" w:hanging="720"/>
      </w:pPr>
      <w:r>
        <w:t>If</w:t>
      </w:r>
      <w:r w:rsidR="00A51774">
        <w:t xml:space="preserve"> the </w:t>
      </w:r>
      <w:r w:rsidR="00B91A39">
        <w:t>s</w:t>
      </w:r>
      <w:r w:rsidR="00A51774">
        <w:t xml:space="preserve">tate of final consumption or sale is not known, </w:t>
      </w:r>
      <w:r w:rsidR="0078533D">
        <w:t>a reporter</w:t>
      </w:r>
      <w:r w:rsidR="00A51774">
        <w:t xml:space="preserve"> should report the </w:t>
      </w:r>
      <w:r w:rsidR="00B91A39">
        <w:t>s</w:t>
      </w:r>
      <w:r w:rsidR="00A51774">
        <w:t xml:space="preserve">tate or </w:t>
      </w:r>
      <w:r w:rsidR="00B91A39">
        <w:t>t</w:t>
      </w:r>
      <w:r w:rsidR="00A51774">
        <w:t>erritory where they triggered the obligation to pay excise or customs duty or removed the product from an import terminal or domestic production facility.</w:t>
      </w:r>
      <w:r>
        <w:t xml:space="preserve"> For </w:t>
      </w:r>
      <w:r>
        <w:lastRenderedPageBreak/>
        <w:t xml:space="preserve">example, if a regulated entity enters for home consumption 10ML of diesel in Brisbane </w:t>
      </w:r>
      <w:r w:rsidR="0078533D">
        <w:t>and</w:t>
      </w:r>
      <w:r>
        <w:t xml:space="preserve"> on-sells this to another business which retails fuel in Queensland and New South Wales and the regulated entity does not know where the fuel will be sold to motorists, then it should simply report 10ML of wholesales in Queensland. </w:t>
      </w:r>
    </w:p>
    <w:p w14:paraId="01113E3A" w14:textId="77777777" w:rsidR="00360886" w:rsidRPr="00360886" w:rsidRDefault="00360886" w:rsidP="00D75C06">
      <w:pPr>
        <w:pStyle w:val="Numberedparagraph"/>
        <w:keepNext/>
        <w:numPr>
          <w:ilvl w:val="0"/>
          <w:numId w:val="0"/>
        </w:numPr>
        <w:spacing w:line="276" w:lineRule="auto"/>
        <w:rPr>
          <w:i/>
        </w:rPr>
      </w:pPr>
      <w:r w:rsidRPr="00360886">
        <w:rPr>
          <w:i/>
        </w:rPr>
        <w:t xml:space="preserve">Wholesaling </w:t>
      </w:r>
      <w:r>
        <w:rPr>
          <w:i/>
        </w:rPr>
        <w:t xml:space="preserve">- </w:t>
      </w:r>
      <w:r w:rsidR="00480C92">
        <w:rPr>
          <w:i/>
        </w:rPr>
        <w:t>p</w:t>
      </w:r>
      <w:r w:rsidRPr="00360886">
        <w:rPr>
          <w:i/>
        </w:rPr>
        <w:t xml:space="preserve">etroleum </w:t>
      </w:r>
      <w:r w:rsidR="00480C92">
        <w:rPr>
          <w:i/>
        </w:rPr>
        <w:t>c</w:t>
      </w:r>
      <w:r w:rsidRPr="00360886">
        <w:rPr>
          <w:i/>
        </w:rPr>
        <w:t>oke</w:t>
      </w:r>
    </w:p>
    <w:p w14:paraId="0D8CF916" w14:textId="77777777" w:rsidR="004504B2" w:rsidRDefault="0078533D" w:rsidP="00D75C06">
      <w:pPr>
        <w:pStyle w:val="Numberedparagraph"/>
        <w:keepNext/>
        <w:spacing w:line="276" w:lineRule="auto"/>
        <w:ind w:left="720" w:hanging="720"/>
      </w:pPr>
      <w:r>
        <w:t>Table item 9</w:t>
      </w:r>
      <w:r w:rsidR="004504B2">
        <w:t xml:space="preserve"> </w:t>
      </w:r>
      <w:r w:rsidR="00895B91">
        <w:t>in subsection 1</w:t>
      </w:r>
      <w:r w:rsidR="00186B0E">
        <w:t>6</w:t>
      </w:r>
      <w:r w:rsidR="00895B91">
        <w:t xml:space="preserve">(1) prescribes for the purposes of section 11 of the Act reporting obligations associated with </w:t>
      </w:r>
      <w:r w:rsidR="004504B2">
        <w:t>wholesal</w:t>
      </w:r>
      <w:r w:rsidR="00895B91">
        <w:t>ing</w:t>
      </w:r>
      <w:r>
        <w:t xml:space="preserve"> petroleum coke</w:t>
      </w:r>
      <w:r w:rsidR="004504B2">
        <w:t xml:space="preserve">.  </w:t>
      </w:r>
    </w:p>
    <w:p w14:paraId="743C7571" w14:textId="77777777" w:rsidR="00A92E62" w:rsidRDefault="00A92E62" w:rsidP="00360886">
      <w:pPr>
        <w:pStyle w:val="Numberedparagraph"/>
        <w:spacing w:line="276" w:lineRule="auto"/>
        <w:ind w:left="720" w:hanging="720"/>
      </w:pPr>
      <w:r>
        <w:t xml:space="preserve">Column 1 of table item </w:t>
      </w:r>
      <w:r w:rsidR="00E271B1">
        <w:t>9</w:t>
      </w:r>
      <w:r>
        <w:t xml:space="preserve"> </w:t>
      </w:r>
      <w:r w:rsidR="00895B91">
        <w:t>prescribes the covered activity to which reporting obligations attach as</w:t>
      </w:r>
      <w:r w:rsidR="00895B91" w:rsidDel="00895B91">
        <w:t xml:space="preserve"> </w:t>
      </w:r>
      <w:r w:rsidR="008E144C">
        <w:t>wholesaling of petroleum coke.</w:t>
      </w:r>
      <w:r>
        <w:t xml:space="preserve"> </w:t>
      </w:r>
    </w:p>
    <w:p w14:paraId="4E725B16" w14:textId="77777777" w:rsidR="00A92E62" w:rsidRDefault="00A92E62" w:rsidP="00360886">
      <w:pPr>
        <w:pStyle w:val="Numberedparagraph"/>
        <w:spacing w:line="276" w:lineRule="auto"/>
        <w:ind w:left="720" w:hanging="720"/>
      </w:pPr>
      <w:r>
        <w:t xml:space="preserve">Petroleum coke is not subject to excise or customs duty for the purposes of entering a covered product for home consumption within the meaning of the </w:t>
      </w:r>
      <w:r w:rsidRPr="000474F7">
        <w:rPr>
          <w:i/>
        </w:rPr>
        <w:t>Customs Act 1901</w:t>
      </w:r>
      <w:r>
        <w:t xml:space="preserve"> or the </w:t>
      </w:r>
      <w:r w:rsidRPr="000474F7">
        <w:rPr>
          <w:i/>
        </w:rPr>
        <w:t>Excise Act 1901</w:t>
      </w:r>
      <w:r>
        <w:t xml:space="preserve">. The reportable action would therefore be removing petroleum coke from an import terminal or Australian refinery. </w:t>
      </w:r>
    </w:p>
    <w:p w14:paraId="141D33EF" w14:textId="77777777" w:rsidR="00A92E62" w:rsidRDefault="00A92E62" w:rsidP="004504B2">
      <w:pPr>
        <w:pStyle w:val="Numberedparagraph"/>
        <w:spacing w:line="276" w:lineRule="auto"/>
        <w:ind w:left="720" w:hanging="720"/>
      </w:pPr>
      <w:r>
        <w:t>C</w:t>
      </w:r>
      <w:r w:rsidR="004504B2">
        <w:t xml:space="preserve">olumn 2 </w:t>
      </w:r>
      <w:r w:rsidR="00895B91">
        <w:t>imposes</w:t>
      </w:r>
      <w:r>
        <w:t xml:space="preserve"> the reporting obligation on the regulated entity that removed the petroleum coke from an import terminal or refinery. This would generally be the owner of the product. For example, an aluminium smelter which imported petroleum coke for use in the production of aluminium would be expected to report the amount of petroleum coke </w:t>
      </w:r>
      <w:r w:rsidR="00E271B1">
        <w:t xml:space="preserve">they had </w:t>
      </w:r>
      <w:r w:rsidR="00496765">
        <w:t>removed from import terminals</w:t>
      </w:r>
      <w:r>
        <w:t xml:space="preserve">. </w:t>
      </w:r>
    </w:p>
    <w:p w14:paraId="3F5E229A" w14:textId="77777777" w:rsidR="00A92E62" w:rsidRDefault="00A92E62" w:rsidP="004504B2">
      <w:pPr>
        <w:pStyle w:val="Numberedparagraph"/>
        <w:spacing w:line="276" w:lineRule="auto"/>
        <w:ind w:left="720" w:hanging="720"/>
      </w:pPr>
      <w:r>
        <w:rPr>
          <w:rFonts w:cs="Times New Roman"/>
          <w:color w:val="000000" w:themeColor="text1"/>
        </w:rPr>
        <w:t xml:space="preserve">Column 3 </w:t>
      </w:r>
      <w:r>
        <w:t xml:space="preserve">of table item </w:t>
      </w:r>
      <w:r w:rsidR="00E271B1">
        <w:t xml:space="preserve">9 </w:t>
      </w:r>
      <w:r>
        <w:t>prescri</w:t>
      </w:r>
      <w:r w:rsidR="00E271B1">
        <w:t>be</w:t>
      </w:r>
      <w:r w:rsidR="00895B91">
        <w:t>s</w:t>
      </w:r>
      <w:r>
        <w:t xml:space="preserve"> the fuel information that must be reported to satisfy the reporting obligation. This information is the quantity of petroleum coke wholesaled during the financial year by state marketing area.</w:t>
      </w:r>
    </w:p>
    <w:p w14:paraId="1962526D" w14:textId="77777777" w:rsidR="00A92E62" w:rsidRDefault="00BB332B" w:rsidP="00A92E62">
      <w:pPr>
        <w:pStyle w:val="Numberedparagraph"/>
        <w:spacing w:line="276" w:lineRule="auto"/>
        <w:ind w:left="720" w:hanging="720"/>
      </w:pPr>
      <w:r>
        <w:t xml:space="preserve">Paragraph </w:t>
      </w:r>
      <w:r w:rsidR="00132566">
        <w:t>1</w:t>
      </w:r>
      <w:r w:rsidR="00186B0E">
        <w:t>6</w:t>
      </w:r>
      <w:r w:rsidR="00132566">
        <w:t>(</w:t>
      </w:r>
      <w:r w:rsidR="0010332B">
        <w:t>5</w:t>
      </w:r>
      <w:r w:rsidR="00132566">
        <w:t>)(</w:t>
      </w:r>
      <w:r w:rsidR="00E271B1">
        <w:t>e</w:t>
      </w:r>
      <w:r w:rsidR="00132566">
        <w:t xml:space="preserve">) </w:t>
      </w:r>
      <w:r w:rsidR="0077783D">
        <w:t>relieves</w:t>
      </w:r>
      <w:r w:rsidR="00132566">
        <w:t xml:space="preserve"> from the</w:t>
      </w:r>
      <w:r w:rsidR="00A92E62">
        <w:t xml:space="preserve"> wholesale</w:t>
      </w:r>
      <w:r w:rsidR="00132566">
        <w:t xml:space="preserve"> reporting obligation any</w:t>
      </w:r>
      <w:r w:rsidR="00A92E62">
        <w:t xml:space="preserve"> regulated</w:t>
      </w:r>
      <w:r w:rsidR="00132566">
        <w:t xml:space="preserve"> entity which wholesaled less than 3kt of </w:t>
      </w:r>
      <w:r w:rsidR="00715B1A">
        <w:t>covered products</w:t>
      </w:r>
      <w:r w:rsidR="00132566">
        <w:t xml:space="preserve"> during the p</w:t>
      </w:r>
      <w:r w:rsidR="00A92E62">
        <w:t xml:space="preserve">revious financial year. </w:t>
      </w:r>
      <w:r w:rsidR="00E271B1">
        <w:t>Therefore, i</w:t>
      </w:r>
      <w:r w:rsidR="007F767E">
        <w:t>f</w:t>
      </w:r>
      <w:r w:rsidR="00E271B1">
        <w:t xml:space="preserve"> an entity on</w:t>
      </w:r>
      <w:r w:rsidR="007F767E">
        <w:t>ly</w:t>
      </w:r>
      <w:r w:rsidR="00E271B1">
        <w:t xml:space="preserve"> wholesaled 2kt of petroleum coke </w:t>
      </w:r>
      <w:r w:rsidR="00B21CC2">
        <w:t xml:space="preserve">and no other covered product </w:t>
      </w:r>
      <w:r w:rsidR="00E271B1">
        <w:t>in the previous financial year</w:t>
      </w:r>
      <w:r w:rsidR="007F767E">
        <w:t xml:space="preserve">, </w:t>
      </w:r>
      <w:r w:rsidR="00E271B1">
        <w:t xml:space="preserve">it would not have a reporting obligation. </w:t>
      </w:r>
      <w:r w:rsidR="00A92E62">
        <w:t xml:space="preserve">A residual stock reporting obligation </w:t>
      </w:r>
      <w:r w:rsidR="00E271B1">
        <w:t>may</w:t>
      </w:r>
      <w:r w:rsidR="00A92E62">
        <w:t xml:space="preserve"> apply under </w:t>
      </w:r>
      <w:r w:rsidR="00E271B1">
        <w:t>sub</w:t>
      </w:r>
      <w:r>
        <w:t>section</w:t>
      </w:r>
      <w:r w:rsidR="00A92E62">
        <w:t xml:space="preserve"> 1</w:t>
      </w:r>
      <w:r w:rsidR="00186B0E">
        <w:t>7</w:t>
      </w:r>
      <w:r w:rsidR="00E271B1">
        <w:t xml:space="preserve">(1) where 3kt or more of petroleum coke is held </w:t>
      </w:r>
      <w:r w:rsidR="00CC4590">
        <w:t xml:space="preserve">as stock </w:t>
      </w:r>
      <w:r w:rsidR="00E271B1">
        <w:t>at the end of the financial year</w:t>
      </w:r>
      <w:r w:rsidR="00A92E62">
        <w:t xml:space="preserve">. </w:t>
      </w:r>
      <w:r w:rsidR="00A92E62" w:rsidRPr="00A92E62">
        <w:t xml:space="preserve"> </w:t>
      </w:r>
    </w:p>
    <w:p w14:paraId="6C00E953" w14:textId="77777777" w:rsidR="00715B1A" w:rsidRDefault="0050320F" w:rsidP="00715B1A">
      <w:pPr>
        <w:pStyle w:val="Numberedparagraph"/>
        <w:spacing w:line="276" w:lineRule="auto"/>
        <w:ind w:left="720" w:hanging="720"/>
      </w:pPr>
      <w:r>
        <w:t>S</w:t>
      </w:r>
      <w:r w:rsidR="00F36FF5">
        <w:t>ub</w:t>
      </w:r>
      <w:r w:rsidR="00BB332B">
        <w:t>section</w:t>
      </w:r>
      <w:r w:rsidR="00715B1A">
        <w:t xml:space="preserve"> </w:t>
      </w:r>
      <w:r w:rsidR="00F36FF5">
        <w:t>1</w:t>
      </w:r>
      <w:r w:rsidR="00186B0E">
        <w:t>8</w:t>
      </w:r>
      <w:r w:rsidR="00F36FF5">
        <w:t>(1)</w:t>
      </w:r>
      <w:r w:rsidR="00715B1A">
        <w:t xml:space="preserve"> </w:t>
      </w:r>
      <w:r w:rsidR="00895B91">
        <w:t xml:space="preserve">of the Rules </w:t>
      </w:r>
      <w:r w:rsidR="00715B1A">
        <w:t>impose</w:t>
      </w:r>
      <w:r w:rsidR="00895B91">
        <w:t>s</w:t>
      </w:r>
      <w:r w:rsidR="00715B1A">
        <w:t xml:space="preserve"> </w:t>
      </w:r>
      <w:r w:rsidR="00895B91">
        <w:t>less frequent reporting on</w:t>
      </w:r>
      <w:r w:rsidR="00715B1A">
        <w:t xml:space="preserve"> wholesalers of petroleum coke compared to that for other covered products. This reduced reporting requirement has been developed in consultation with petroleum coke wholesalers. Petroleum coke consumption and stock levels change little month to month, so annual data supported by data-sharing with other government agencies will enable reliable monthly estimates to be produced. These reporting requirements </w:t>
      </w:r>
      <w:r w:rsidR="00895B91">
        <w:t>minimise</w:t>
      </w:r>
      <w:r w:rsidR="00715B1A">
        <w:t xml:space="preserve"> </w:t>
      </w:r>
      <w:r w:rsidR="00B21CC2">
        <w:t xml:space="preserve">the </w:t>
      </w:r>
      <w:r w:rsidR="00715B1A">
        <w:t>regulatory burden and align the reporting process prescribed in the Rules with existing reporting requirements under the National Greenhouse and Energy Reporting Scheme (NGERS).</w:t>
      </w:r>
    </w:p>
    <w:p w14:paraId="7A040B29" w14:textId="77777777" w:rsidR="00360886" w:rsidRPr="00EB49CC" w:rsidRDefault="00360886" w:rsidP="00360886">
      <w:pPr>
        <w:pStyle w:val="Numberedparagraph"/>
        <w:numPr>
          <w:ilvl w:val="0"/>
          <w:numId w:val="0"/>
        </w:numPr>
        <w:spacing w:line="276" w:lineRule="auto"/>
        <w:rPr>
          <w:i/>
        </w:rPr>
      </w:pPr>
      <w:r w:rsidRPr="00EB49CC">
        <w:rPr>
          <w:i/>
        </w:rPr>
        <w:t>Wholesaling - GLOWS</w:t>
      </w:r>
    </w:p>
    <w:p w14:paraId="082D2766" w14:textId="77777777" w:rsidR="00895B91" w:rsidRPr="000474F7" w:rsidRDefault="00360886" w:rsidP="00360886">
      <w:pPr>
        <w:pStyle w:val="Numberedparagraph"/>
        <w:spacing w:after="200" w:line="276" w:lineRule="auto"/>
        <w:ind w:left="720" w:hanging="720"/>
        <w:rPr>
          <w:rFonts w:cs="Times New Roman"/>
        </w:rPr>
      </w:pPr>
      <w:r>
        <w:t xml:space="preserve">Table item </w:t>
      </w:r>
      <w:r w:rsidR="0050320F">
        <w:t>10</w:t>
      </w:r>
      <w:r>
        <w:t xml:space="preserve"> </w:t>
      </w:r>
      <w:r w:rsidR="00895B91">
        <w:t>in subsection 1</w:t>
      </w:r>
      <w:r w:rsidR="00186B0E">
        <w:t>6</w:t>
      </w:r>
      <w:r w:rsidR="00895B91">
        <w:t>(1) prescribes for the purposes of section 11 of the Act reporting obligations associated</w:t>
      </w:r>
      <w:r w:rsidR="00895B91" w:rsidDel="00895B91">
        <w:t xml:space="preserve"> </w:t>
      </w:r>
      <w:r w:rsidR="00895B91">
        <w:t>with wholesaling</w:t>
      </w:r>
      <w:r>
        <w:t xml:space="preserve"> GLOWS. </w:t>
      </w:r>
    </w:p>
    <w:p w14:paraId="474D1F23" w14:textId="77777777" w:rsidR="00895B91" w:rsidRDefault="00895B91" w:rsidP="00895B91">
      <w:pPr>
        <w:pStyle w:val="Numberedparagraph"/>
        <w:spacing w:line="276" w:lineRule="auto"/>
        <w:ind w:left="720" w:hanging="720"/>
      </w:pPr>
      <w:r>
        <w:t xml:space="preserve">Column 1 of table item 10 </w:t>
      </w:r>
      <w:r w:rsidR="00F96303">
        <w:t>prescribes the covered activity to which reporting obligations attach as</w:t>
      </w:r>
      <w:r w:rsidR="00F96303" w:rsidDel="00895B91">
        <w:t xml:space="preserve"> </w:t>
      </w:r>
      <w:r w:rsidR="00F96303">
        <w:t>wholesaling</w:t>
      </w:r>
      <w:r>
        <w:t xml:space="preserve"> GLOWS. </w:t>
      </w:r>
    </w:p>
    <w:p w14:paraId="576E3D80" w14:textId="13AB3E54" w:rsidR="00B91A39" w:rsidRPr="00B91A39" w:rsidRDefault="00360886" w:rsidP="00B91A39">
      <w:pPr>
        <w:pStyle w:val="Numberedparagraph"/>
        <w:keepNext/>
        <w:spacing w:after="200" w:line="276" w:lineRule="auto"/>
        <w:ind w:left="720" w:hanging="720"/>
        <w:rPr>
          <w:rFonts w:cs="Times New Roman"/>
        </w:rPr>
      </w:pPr>
      <w:r>
        <w:rPr>
          <w:rFonts w:cs="Times New Roman"/>
        </w:rPr>
        <w:lastRenderedPageBreak/>
        <w:t xml:space="preserve">The term GLOWS </w:t>
      </w:r>
      <w:r w:rsidR="00895B91">
        <w:rPr>
          <w:rFonts w:cs="Times New Roman"/>
        </w:rPr>
        <w:t>is</w:t>
      </w:r>
      <w:r>
        <w:rPr>
          <w:rFonts w:cs="Times New Roman"/>
        </w:rPr>
        <w:t xml:space="preserve"> defined in </w:t>
      </w:r>
      <w:r w:rsidR="00BB332B">
        <w:rPr>
          <w:rFonts w:cs="Times New Roman"/>
        </w:rPr>
        <w:t>section</w:t>
      </w:r>
      <w:r>
        <w:rPr>
          <w:rFonts w:cs="Times New Roman"/>
        </w:rPr>
        <w:t xml:space="preserve"> 4</w:t>
      </w:r>
      <w:r w:rsidR="00895B91">
        <w:rPr>
          <w:rFonts w:cs="Times New Roman"/>
        </w:rPr>
        <w:t xml:space="preserve"> of the Rules</w:t>
      </w:r>
      <w:r>
        <w:rPr>
          <w:rFonts w:cs="Times New Roman"/>
        </w:rPr>
        <w:t xml:space="preserve"> as the covered products listed at items 15 to 18</w:t>
      </w:r>
      <w:r w:rsidR="00B91A39">
        <w:rPr>
          <w:rFonts w:cs="Times New Roman"/>
        </w:rPr>
        <w:t xml:space="preserve"> </w:t>
      </w:r>
      <w:r w:rsidR="00AD493B">
        <w:rPr>
          <w:rFonts w:cs="Times New Roman"/>
        </w:rPr>
        <w:t>in</w:t>
      </w:r>
      <w:r w:rsidR="00B91A39">
        <w:rPr>
          <w:rFonts w:cs="Times New Roman"/>
        </w:rPr>
        <w:t xml:space="preserve"> Column 1 of the table at subclause 1(1) of</w:t>
      </w:r>
      <w:r>
        <w:rPr>
          <w:rFonts w:cs="Times New Roman"/>
        </w:rPr>
        <w:t xml:space="preserve"> Schedule 1</w:t>
      </w:r>
      <w:r w:rsidR="00715B1A">
        <w:rPr>
          <w:rFonts w:cs="Times New Roman"/>
        </w:rPr>
        <w:t>, which are</w:t>
      </w:r>
      <w:r>
        <w:rPr>
          <w:rFonts w:cs="Times New Roman"/>
        </w:rPr>
        <w:t>:</w:t>
      </w:r>
    </w:p>
    <w:p w14:paraId="2F41AAE7" w14:textId="77777777" w:rsidR="00360886" w:rsidRDefault="00B54510" w:rsidP="00360886">
      <w:pPr>
        <w:pStyle w:val="Numberedparagraph"/>
        <w:numPr>
          <w:ilvl w:val="1"/>
          <w:numId w:val="7"/>
        </w:numPr>
        <w:spacing w:after="200" w:line="276" w:lineRule="auto"/>
        <w:rPr>
          <w:rFonts w:cs="Times New Roman"/>
        </w:rPr>
      </w:pPr>
      <w:r>
        <w:rPr>
          <w:rFonts w:cs="Times New Roman"/>
        </w:rPr>
        <w:t>l</w:t>
      </w:r>
      <w:r w:rsidR="00360886">
        <w:rPr>
          <w:rFonts w:cs="Times New Roman"/>
        </w:rPr>
        <w:t>ubricating oil base stock;</w:t>
      </w:r>
    </w:p>
    <w:p w14:paraId="05462AA0" w14:textId="77777777" w:rsidR="00360886" w:rsidRDefault="00B54510" w:rsidP="00360886">
      <w:pPr>
        <w:pStyle w:val="Numberedparagraph"/>
        <w:numPr>
          <w:ilvl w:val="1"/>
          <w:numId w:val="7"/>
        </w:numPr>
        <w:spacing w:after="200" w:line="276" w:lineRule="auto"/>
        <w:rPr>
          <w:rFonts w:cs="Times New Roman"/>
        </w:rPr>
      </w:pPr>
      <w:r>
        <w:rPr>
          <w:rFonts w:cs="Times New Roman"/>
        </w:rPr>
        <w:t>l</w:t>
      </w:r>
      <w:r w:rsidR="00360886">
        <w:rPr>
          <w:rFonts w:cs="Times New Roman"/>
        </w:rPr>
        <w:t>ubricant (which includes grease and a number of products referred to as oils);</w:t>
      </w:r>
    </w:p>
    <w:p w14:paraId="6FDDF345" w14:textId="77777777" w:rsidR="00360886" w:rsidRDefault="00B54510" w:rsidP="00360886">
      <w:pPr>
        <w:pStyle w:val="Numberedparagraph"/>
        <w:numPr>
          <w:ilvl w:val="1"/>
          <w:numId w:val="7"/>
        </w:numPr>
        <w:spacing w:after="200" w:line="276" w:lineRule="auto"/>
        <w:rPr>
          <w:rFonts w:cs="Times New Roman"/>
        </w:rPr>
      </w:pPr>
      <w:r>
        <w:rPr>
          <w:rFonts w:cs="Times New Roman"/>
        </w:rPr>
        <w:t>p</w:t>
      </w:r>
      <w:r w:rsidR="00360886">
        <w:rPr>
          <w:rFonts w:cs="Times New Roman"/>
        </w:rPr>
        <w:t>etroleum-based solvent; and</w:t>
      </w:r>
    </w:p>
    <w:p w14:paraId="30CA9248" w14:textId="77777777" w:rsidR="00360886" w:rsidRPr="00F9666D" w:rsidRDefault="00B54510" w:rsidP="00360886">
      <w:pPr>
        <w:pStyle w:val="Numberedparagraph"/>
        <w:numPr>
          <w:ilvl w:val="1"/>
          <w:numId w:val="7"/>
        </w:numPr>
        <w:spacing w:after="200" w:line="276" w:lineRule="auto"/>
        <w:rPr>
          <w:rFonts w:cs="Times New Roman"/>
        </w:rPr>
      </w:pPr>
      <w:r>
        <w:rPr>
          <w:rFonts w:cs="Times New Roman"/>
        </w:rPr>
        <w:t>p</w:t>
      </w:r>
      <w:r w:rsidR="00360886">
        <w:rPr>
          <w:rFonts w:cs="Times New Roman"/>
        </w:rPr>
        <w:t>araffin wax.</w:t>
      </w:r>
    </w:p>
    <w:p w14:paraId="665AA381" w14:textId="77777777" w:rsidR="00715B1A" w:rsidRDefault="00715B1A" w:rsidP="00EB49CC">
      <w:pPr>
        <w:pStyle w:val="Numberedparagraph"/>
        <w:spacing w:line="276" w:lineRule="auto"/>
        <w:ind w:left="720" w:hanging="720"/>
      </w:pPr>
      <w:r>
        <w:t xml:space="preserve">Some, but not all, GLOWS are subject to excise or customs duty. </w:t>
      </w:r>
      <w:r w:rsidR="00723CA1">
        <w:t xml:space="preserve">Therefore, for products subject to excise or </w:t>
      </w:r>
      <w:r w:rsidR="0050320F">
        <w:t xml:space="preserve">customs </w:t>
      </w:r>
      <w:r w:rsidR="00723CA1">
        <w:t xml:space="preserve">duty, such as lubricant, the relevant reportable action will be entering </w:t>
      </w:r>
      <w:r w:rsidR="0050320F">
        <w:t xml:space="preserve">the product </w:t>
      </w:r>
      <w:r w:rsidR="00723CA1">
        <w:t xml:space="preserve">for home consumption under the Product Stewardship for Oil </w:t>
      </w:r>
      <w:r w:rsidR="001E747E">
        <w:t xml:space="preserve">(PSO) </w:t>
      </w:r>
      <w:r w:rsidR="00723CA1">
        <w:t xml:space="preserve">Program. For products not subject to excise or duty, such as paraffin wax, the relevant activity will be removing the product from an import terminal or domestic production facility such as a refinery. </w:t>
      </w:r>
    </w:p>
    <w:p w14:paraId="3E3F736A" w14:textId="77777777" w:rsidR="00B21CC2" w:rsidRDefault="00CC4590" w:rsidP="00EB49CC">
      <w:pPr>
        <w:pStyle w:val="Numberedparagraph"/>
        <w:spacing w:line="276" w:lineRule="auto"/>
        <w:ind w:left="720" w:hanging="720"/>
      </w:pPr>
      <w:r>
        <w:t>Applying s</w:t>
      </w:r>
      <w:r w:rsidR="00B21CC2">
        <w:t xml:space="preserve">ection </w:t>
      </w:r>
      <w:r w:rsidR="006350B7">
        <w:t>8</w:t>
      </w:r>
      <w:r>
        <w:t>, where a GLOWS</w:t>
      </w:r>
      <w:r w:rsidR="00B21CC2">
        <w:t xml:space="preserve">, such as lubricating </w:t>
      </w:r>
      <w:r w:rsidR="00496765">
        <w:t>oil base stock</w:t>
      </w:r>
      <w:r w:rsidR="00B21CC2">
        <w:t xml:space="preserve">, </w:t>
      </w:r>
      <w:r>
        <w:t>is</w:t>
      </w:r>
      <w:r w:rsidR="00B21CC2">
        <w:t xml:space="preserve"> removed from an import terminal and taken </w:t>
      </w:r>
      <w:r>
        <w:t xml:space="preserve">directly </w:t>
      </w:r>
      <w:r w:rsidR="00B21CC2">
        <w:t xml:space="preserve">to a refinery to be used as an input into the refining of other covered products, such as lubricant and grease, then </w:t>
      </w:r>
      <w:r>
        <w:t>this is</w:t>
      </w:r>
      <w:r w:rsidR="00B21CC2">
        <w:t xml:space="preserve"> not reportable</w:t>
      </w:r>
      <w:r w:rsidR="007F767E">
        <w:t xml:space="preserve"> as a wholesale</w:t>
      </w:r>
      <w:r w:rsidR="00B21CC2">
        <w:t xml:space="preserve">. </w:t>
      </w:r>
      <w:r w:rsidR="00496765">
        <w:t>In such a case, the lubricating oil base stock</w:t>
      </w:r>
      <w:r>
        <w:t xml:space="preserve"> would be reportable as an input in a refining report.</w:t>
      </w:r>
    </w:p>
    <w:p w14:paraId="233B8466" w14:textId="77777777" w:rsidR="00723CA1" w:rsidRDefault="00723CA1" w:rsidP="00EB49CC">
      <w:pPr>
        <w:pStyle w:val="Numberedparagraph"/>
        <w:spacing w:line="276" w:lineRule="auto"/>
        <w:ind w:left="720" w:hanging="720"/>
      </w:pPr>
      <w:r>
        <w:t xml:space="preserve">Column 2 of table item </w:t>
      </w:r>
      <w:r w:rsidR="0050320F">
        <w:t>10</w:t>
      </w:r>
      <w:r>
        <w:t xml:space="preserve"> </w:t>
      </w:r>
      <w:r w:rsidR="00F96303">
        <w:t>imposes</w:t>
      </w:r>
      <w:r>
        <w:t xml:space="preserve"> the reporting obligation on the regulated entity that </w:t>
      </w:r>
      <w:r w:rsidR="0050320F">
        <w:t>wholesaled the product</w:t>
      </w:r>
      <w:r>
        <w:t>.</w:t>
      </w:r>
    </w:p>
    <w:p w14:paraId="3D52FD32" w14:textId="77777777" w:rsidR="00723CA1" w:rsidRDefault="00723CA1" w:rsidP="00723CA1">
      <w:pPr>
        <w:pStyle w:val="Numberedparagraph"/>
        <w:spacing w:line="276" w:lineRule="auto"/>
        <w:ind w:left="720" w:hanging="720"/>
      </w:pPr>
      <w:r>
        <w:rPr>
          <w:rFonts w:cs="Times New Roman"/>
          <w:color w:val="000000" w:themeColor="text1"/>
        </w:rPr>
        <w:t xml:space="preserve">Column 3 </w:t>
      </w:r>
      <w:r>
        <w:t xml:space="preserve">of table item </w:t>
      </w:r>
      <w:r w:rsidR="0050320F">
        <w:t>10</w:t>
      </w:r>
      <w:r>
        <w:t xml:space="preserve"> prescribes the fuel information that must be reported to satisfy the reporting obligation. This information is the quantity</w:t>
      </w:r>
      <w:r w:rsidR="0050320F">
        <w:t xml:space="preserve"> of GLOW</w:t>
      </w:r>
      <w:r w:rsidR="00CC4590">
        <w:t xml:space="preserve">S </w:t>
      </w:r>
      <w:r>
        <w:t xml:space="preserve">wholesaled during </w:t>
      </w:r>
      <w:r w:rsidR="0050320F">
        <w:t xml:space="preserve">the </w:t>
      </w:r>
      <w:r w:rsidR="00496765">
        <w:t xml:space="preserve">six month </w:t>
      </w:r>
      <w:r w:rsidR="0050320F">
        <w:t>reporting period</w:t>
      </w:r>
      <w:r w:rsidR="0015403E">
        <w:t>,</w:t>
      </w:r>
      <w:r>
        <w:t xml:space="preserve"> separated by state marketing area and the categories and sub</w:t>
      </w:r>
      <w:r w:rsidR="00B21CC2">
        <w:noBreakHyphen/>
      </w:r>
      <w:r>
        <w:t>categories prescribed in Schedule 1.</w:t>
      </w:r>
    </w:p>
    <w:p w14:paraId="33C82D39" w14:textId="77777777" w:rsidR="00723CA1" w:rsidRDefault="00BB332B" w:rsidP="00723CA1">
      <w:pPr>
        <w:pStyle w:val="Numberedparagraph"/>
        <w:spacing w:line="276" w:lineRule="auto"/>
        <w:ind w:left="720" w:hanging="720"/>
      </w:pPr>
      <w:r>
        <w:t xml:space="preserve">Paragraph </w:t>
      </w:r>
      <w:r w:rsidR="00723CA1">
        <w:t>1</w:t>
      </w:r>
      <w:r w:rsidR="00186B0E">
        <w:t>6</w:t>
      </w:r>
      <w:r w:rsidR="00723CA1">
        <w:t>(</w:t>
      </w:r>
      <w:r w:rsidR="0010332B">
        <w:t>5</w:t>
      </w:r>
      <w:r w:rsidR="00723CA1">
        <w:t>)(</w:t>
      </w:r>
      <w:r w:rsidR="0050320F">
        <w:t>e</w:t>
      </w:r>
      <w:r w:rsidR="00723CA1">
        <w:t xml:space="preserve">) </w:t>
      </w:r>
      <w:r w:rsidR="0077783D">
        <w:t>relieves</w:t>
      </w:r>
      <w:r w:rsidR="00723CA1">
        <w:t xml:space="preserve"> from the reporting obligation any entity which wholesaled less than 3kt of covered products in total during the previous financial year. A residual stock reporting may apply under </w:t>
      </w:r>
      <w:r w:rsidR="0050320F">
        <w:t>sub</w:t>
      </w:r>
      <w:r>
        <w:t>section</w:t>
      </w:r>
      <w:r w:rsidR="00723CA1">
        <w:t xml:space="preserve"> 1</w:t>
      </w:r>
      <w:r w:rsidR="00186B0E">
        <w:t>7</w:t>
      </w:r>
      <w:r w:rsidR="0050320F">
        <w:t>(1)</w:t>
      </w:r>
      <w:r w:rsidR="0077783D">
        <w:t xml:space="preserve"> of the Rules</w:t>
      </w:r>
      <w:r w:rsidR="0050320F">
        <w:t xml:space="preserve"> if a regulated entity holds over 3kt of GLOWS at the end of a reporting period</w:t>
      </w:r>
      <w:r w:rsidR="00723CA1">
        <w:t xml:space="preserve">. </w:t>
      </w:r>
    </w:p>
    <w:p w14:paraId="217BB72E" w14:textId="77777777" w:rsidR="00723CA1" w:rsidRDefault="0050320F" w:rsidP="00723CA1">
      <w:pPr>
        <w:pStyle w:val="Numberedparagraph"/>
        <w:spacing w:line="276" w:lineRule="auto"/>
        <w:ind w:left="720" w:hanging="720"/>
      </w:pPr>
      <w:r>
        <w:t>It should be noted that a</w:t>
      </w:r>
      <w:r w:rsidR="00723CA1">
        <w:t xml:space="preserve"> separate stock reporting obligation </w:t>
      </w:r>
      <w:r>
        <w:t>applies</w:t>
      </w:r>
      <w:r w:rsidR="00723CA1">
        <w:t xml:space="preserve"> under sub</w:t>
      </w:r>
      <w:r w:rsidR="00BB332B">
        <w:t>section</w:t>
      </w:r>
      <w:r w:rsidR="0077783D">
        <w:t> </w:t>
      </w:r>
      <w:r w:rsidR="00186B0E">
        <w:t>17</w:t>
      </w:r>
      <w:r w:rsidR="00723CA1">
        <w:t>(</w:t>
      </w:r>
      <w:r>
        <w:t>1</w:t>
      </w:r>
      <w:r w:rsidR="00723CA1">
        <w:t>).</w:t>
      </w:r>
      <w:r>
        <w:t xml:space="preserve"> This includes a specific reporting requirement for recyclers and re</w:t>
      </w:r>
      <w:r w:rsidR="00B21CC2">
        <w:noBreakHyphen/>
      </w:r>
      <w:r>
        <w:t>refiners of GLOWS.</w:t>
      </w:r>
    </w:p>
    <w:p w14:paraId="222F2087" w14:textId="77777777" w:rsidR="00EB49CC" w:rsidRDefault="0050320F" w:rsidP="00EB49CC">
      <w:pPr>
        <w:pStyle w:val="Numberedparagraph"/>
        <w:spacing w:line="276" w:lineRule="auto"/>
        <w:ind w:left="720" w:hanging="720"/>
      </w:pPr>
      <w:r>
        <w:t>S</w:t>
      </w:r>
      <w:r w:rsidR="00F36FF5">
        <w:t>ub</w:t>
      </w:r>
      <w:r w:rsidR="00BB332B">
        <w:t>section</w:t>
      </w:r>
      <w:r w:rsidR="00F36FF5">
        <w:t xml:space="preserve"> 1</w:t>
      </w:r>
      <w:r w:rsidR="00186B0E">
        <w:t>8</w:t>
      </w:r>
      <w:r w:rsidR="00F36FF5">
        <w:t>(1)</w:t>
      </w:r>
      <w:r w:rsidR="00723CA1">
        <w:t xml:space="preserve"> </w:t>
      </w:r>
      <w:r w:rsidR="0077783D">
        <w:t xml:space="preserve">of the Rules </w:t>
      </w:r>
      <w:r w:rsidR="00723CA1">
        <w:t>impose</w:t>
      </w:r>
      <w:r w:rsidR="0077783D">
        <w:t>s</w:t>
      </w:r>
      <w:r w:rsidR="00723CA1">
        <w:t xml:space="preserve"> </w:t>
      </w:r>
      <w:r w:rsidR="0077783D">
        <w:t>less frequent reporting on</w:t>
      </w:r>
      <w:r w:rsidR="00723CA1">
        <w:t xml:space="preserve"> wholesalers of GLOWS compared to that for other covered products. This reduced reporting requirement has been developed in consultation with GLOWS wholesalers </w:t>
      </w:r>
      <w:r w:rsidR="00EB49CC">
        <w:t xml:space="preserve">and is intended to </w:t>
      </w:r>
      <w:r w:rsidR="004C0DE9">
        <w:t xml:space="preserve">minimise </w:t>
      </w:r>
      <w:r w:rsidR="00EB49CC">
        <w:t xml:space="preserve">the reporting burden on </w:t>
      </w:r>
      <w:r w:rsidR="00723CA1">
        <w:t>these businesses</w:t>
      </w:r>
      <w:r w:rsidR="001E747E">
        <w:t>, many of which wholesale relatively</w:t>
      </w:r>
      <w:r w:rsidR="00EB49CC">
        <w:t xml:space="preserve"> small amount</w:t>
      </w:r>
      <w:r w:rsidR="001E747E">
        <w:t>s</w:t>
      </w:r>
      <w:r w:rsidR="00EB49CC">
        <w:t xml:space="preserve"> of GLOWS for specialised purposes and report under t</w:t>
      </w:r>
      <w:r w:rsidR="001E747E">
        <w:t>he PSO</w:t>
      </w:r>
      <w:r w:rsidR="00EB49CC">
        <w:t xml:space="preserve"> Program. </w:t>
      </w:r>
      <w:r w:rsidR="001E747E">
        <w:t xml:space="preserve">The Department envisions that a combination of six monthly reports, data-sharing by the </w:t>
      </w:r>
      <w:r w:rsidR="007F767E">
        <w:t>Australian Taxation Office</w:t>
      </w:r>
      <w:r w:rsidR="001E747E">
        <w:t xml:space="preserve"> on PSO Program data and estimation will enable reasonably accurate monthly statistics on GLOW</w:t>
      </w:r>
      <w:r w:rsidR="00496765">
        <w:t>S</w:t>
      </w:r>
      <w:r w:rsidR="001E747E">
        <w:t xml:space="preserve"> wholesales to be developed. </w:t>
      </w:r>
    </w:p>
    <w:p w14:paraId="04FF9318" w14:textId="77777777" w:rsidR="006A1BA0" w:rsidRPr="006A1BA0" w:rsidRDefault="006A1BA0" w:rsidP="006A1BA0">
      <w:pPr>
        <w:pStyle w:val="Numberedparagraph"/>
        <w:numPr>
          <w:ilvl w:val="0"/>
          <w:numId w:val="0"/>
        </w:numPr>
        <w:spacing w:line="276" w:lineRule="auto"/>
        <w:rPr>
          <w:i/>
        </w:rPr>
      </w:pPr>
      <w:r w:rsidRPr="006A1BA0">
        <w:rPr>
          <w:i/>
        </w:rPr>
        <w:lastRenderedPageBreak/>
        <w:t>Wholesales - certain refinery</w:t>
      </w:r>
      <w:r w:rsidR="00886409">
        <w:rPr>
          <w:i/>
        </w:rPr>
        <w:t xml:space="preserve"> related products</w:t>
      </w:r>
    </w:p>
    <w:p w14:paraId="5BBAAE19" w14:textId="77777777" w:rsidR="006A1BA0" w:rsidRDefault="006A1BA0" w:rsidP="00EB49CC">
      <w:pPr>
        <w:pStyle w:val="Numberedparagraph"/>
        <w:spacing w:line="276" w:lineRule="auto"/>
        <w:ind w:left="720" w:hanging="720"/>
      </w:pPr>
      <w:r>
        <w:t xml:space="preserve">Table item 11 in subsection 16(1) prescribes for the purposes of section 11 of the Act reporting obligations associated with wholesaling crude oil, condensate, NGL and refinery feedstock (other). </w:t>
      </w:r>
    </w:p>
    <w:p w14:paraId="23B5DFA2" w14:textId="77777777" w:rsidR="004E7BE6" w:rsidRDefault="004E7BE6" w:rsidP="00EB49CC">
      <w:pPr>
        <w:pStyle w:val="Numberedparagraph"/>
        <w:spacing w:line="276" w:lineRule="auto"/>
        <w:ind w:left="720" w:hanging="720"/>
      </w:pPr>
      <w:r>
        <w:t>Column 1 of table item 11 prescribes the covered activity to which reporting obligations attach as</w:t>
      </w:r>
      <w:r w:rsidDel="00895B91">
        <w:t xml:space="preserve"> </w:t>
      </w:r>
      <w:r>
        <w:t>wholesaling crude oil, condensate, NGL and refinery feedstock (other).</w:t>
      </w:r>
    </w:p>
    <w:p w14:paraId="13510892" w14:textId="77777777" w:rsidR="004E7BE6" w:rsidRDefault="004E7BE6" w:rsidP="004E7BE6">
      <w:pPr>
        <w:pStyle w:val="Numberedparagraph"/>
        <w:spacing w:line="276" w:lineRule="auto"/>
        <w:ind w:left="720" w:hanging="720"/>
      </w:pPr>
      <w:r>
        <w:t>Column 2 of table item 11 imposes the reporting obligation on the regulated entity that wholesaled the product.</w:t>
      </w:r>
    </w:p>
    <w:p w14:paraId="26C27DCA" w14:textId="77777777" w:rsidR="004E7BE6" w:rsidRDefault="004E7BE6" w:rsidP="00EB49CC">
      <w:pPr>
        <w:pStyle w:val="Numberedparagraph"/>
        <w:spacing w:line="276" w:lineRule="auto"/>
        <w:ind w:left="720" w:hanging="720"/>
      </w:pPr>
      <w:r>
        <w:rPr>
          <w:rFonts w:cs="Times New Roman"/>
          <w:color w:val="000000" w:themeColor="text1"/>
        </w:rPr>
        <w:t xml:space="preserve">Column 3 </w:t>
      </w:r>
      <w:r>
        <w:t xml:space="preserve">of table item 11 prescribes the fuel information that must be reported to satisfy the reporting obligation. This information is the total quantity of crude oil, condensate, NGL and refinery feedstock (other) wholesaled in Australia, separated by state marketing area. </w:t>
      </w:r>
    </w:p>
    <w:p w14:paraId="0E60836E" w14:textId="77777777" w:rsidR="007D6D39" w:rsidRPr="00886409" w:rsidRDefault="007D6D39" w:rsidP="00EB49CC">
      <w:pPr>
        <w:pStyle w:val="Numberedparagraph"/>
        <w:spacing w:line="276" w:lineRule="auto"/>
        <w:ind w:left="720" w:hanging="720"/>
      </w:pPr>
      <w:r>
        <w:rPr>
          <w:rFonts w:cs="Times New Roman"/>
          <w:color w:val="000000" w:themeColor="text1"/>
        </w:rPr>
        <w:t xml:space="preserve">Paragraph 16(3)(b) makes clear that the total quantity prescribed in Column 3 should be provided as a single figure encompassing all products.  </w:t>
      </w:r>
    </w:p>
    <w:p w14:paraId="279ECCA8" w14:textId="77777777" w:rsidR="00886409" w:rsidRDefault="00886409" w:rsidP="00EB49CC">
      <w:pPr>
        <w:pStyle w:val="Numberedparagraph"/>
        <w:spacing w:line="276" w:lineRule="auto"/>
        <w:ind w:left="720" w:hanging="720"/>
      </w:pPr>
      <w:r>
        <w:rPr>
          <w:rFonts w:cs="Times New Roman"/>
          <w:color w:val="000000" w:themeColor="text1"/>
        </w:rPr>
        <w:t xml:space="preserve">Section 8 excludes from the wholesale reporting obligation any product which is not subject to excise or customs duty where it is removed from an import terminal and transferred to a domestic production facility. Accordingly, crude oil, </w:t>
      </w:r>
      <w:r>
        <w:t xml:space="preserve">condensate, NGL and refinery feedstock (other) transferred from an import terminal to a domestic refinery is not reportable under table item 11. </w:t>
      </w:r>
    </w:p>
    <w:p w14:paraId="121E1DA1" w14:textId="77777777" w:rsidR="00FF754C" w:rsidRPr="00FF754C" w:rsidRDefault="00FF754C" w:rsidP="00FF754C">
      <w:pPr>
        <w:pStyle w:val="Numberedparagraph"/>
        <w:numPr>
          <w:ilvl w:val="0"/>
          <w:numId w:val="0"/>
        </w:numPr>
        <w:spacing w:line="276" w:lineRule="auto"/>
        <w:rPr>
          <w:i/>
        </w:rPr>
      </w:pPr>
      <w:r w:rsidRPr="003E4F7F">
        <w:rPr>
          <w:i/>
        </w:rPr>
        <w:t>Wholesales</w:t>
      </w:r>
      <w:r w:rsidR="00480C92">
        <w:rPr>
          <w:i/>
        </w:rPr>
        <w:t xml:space="preserve"> </w:t>
      </w:r>
      <w:r w:rsidR="00480C92" w:rsidRPr="00EB49CC">
        <w:rPr>
          <w:i/>
        </w:rPr>
        <w:t>-</w:t>
      </w:r>
      <w:r w:rsidRPr="003E4F7F">
        <w:rPr>
          <w:i/>
        </w:rPr>
        <w:t xml:space="preserve"> </w:t>
      </w:r>
      <w:r w:rsidR="00480C92">
        <w:rPr>
          <w:i/>
        </w:rPr>
        <w:t>a</w:t>
      </w:r>
      <w:r w:rsidRPr="003E4F7F">
        <w:rPr>
          <w:i/>
        </w:rPr>
        <w:t xml:space="preserve">ll </w:t>
      </w:r>
      <w:r w:rsidR="00480C92">
        <w:rPr>
          <w:i/>
        </w:rPr>
        <w:t>o</w:t>
      </w:r>
      <w:r w:rsidRPr="003E4F7F">
        <w:rPr>
          <w:i/>
        </w:rPr>
        <w:t xml:space="preserve">ther </w:t>
      </w:r>
      <w:r w:rsidR="00480C92">
        <w:rPr>
          <w:i/>
        </w:rPr>
        <w:t>p</w:t>
      </w:r>
      <w:r w:rsidRPr="003E4F7F">
        <w:rPr>
          <w:i/>
        </w:rPr>
        <w:t>roducts</w:t>
      </w:r>
    </w:p>
    <w:p w14:paraId="28635FBD" w14:textId="4DB3A761" w:rsidR="00FF754C" w:rsidRDefault="00FF754C" w:rsidP="004504B2">
      <w:pPr>
        <w:pStyle w:val="Numberedparagraph"/>
        <w:spacing w:line="276" w:lineRule="auto"/>
        <w:ind w:left="720" w:hanging="720"/>
      </w:pPr>
      <w:r>
        <w:t xml:space="preserve">Table item </w:t>
      </w:r>
      <w:r w:rsidR="006A1BA0">
        <w:t xml:space="preserve">12 </w:t>
      </w:r>
      <w:r w:rsidR="004C0DE9">
        <w:t>in subsection 1</w:t>
      </w:r>
      <w:r w:rsidR="00186B0E">
        <w:t>6</w:t>
      </w:r>
      <w:r w:rsidR="004C0DE9">
        <w:t>(1) prescribes for the purposes of section 11 of the Act reporting obligations associated</w:t>
      </w:r>
      <w:r w:rsidR="004C0DE9" w:rsidDel="00895B91">
        <w:t xml:space="preserve"> </w:t>
      </w:r>
      <w:r w:rsidR="004C0DE9">
        <w:t>with</w:t>
      </w:r>
      <w:r w:rsidR="004C0DE9" w:rsidDel="004C0DE9">
        <w:t xml:space="preserve"> </w:t>
      </w:r>
      <w:r w:rsidR="004C0DE9">
        <w:t>wholesaling</w:t>
      </w:r>
      <w:r>
        <w:t xml:space="preserve"> </w:t>
      </w:r>
      <w:r w:rsidR="006A1BA0">
        <w:t xml:space="preserve">all other </w:t>
      </w:r>
      <w:r w:rsidR="003E4F7F">
        <w:t xml:space="preserve">covered </w:t>
      </w:r>
      <w:r>
        <w:t>product</w:t>
      </w:r>
      <w:r w:rsidR="003E4F7F">
        <w:t>s</w:t>
      </w:r>
      <w:r>
        <w:t>.</w:t>
      </w:r>
    </w:p>
    <w:p w14:paraId="075C9C9F" w14:textId="596C22A6" w:rsidR="003E4F7F" w:rsidRDefault="003E4F7F" w:rsidP="004504B2">
      <w:pPr>
        <w:pStyle w:val="Numberedparagraph"/>
        <w:spacing w:line="276" w:lineRule="auto"/>
        <w:ind w:left="720" w:hanging="720"/>
      </w:pPr>
      <w:r>
        <w:t xml:space="preserve">Column 1 of table item </w:t>
      </w:r>
      <w:r w:rsidR="007D6D39">
        <w:t xml:space="preserve">12 </w:t>
      </w:r>
      <w:r w:rsidR="004C0DE9">
        <w:t>prescribes the covered activity to which reporting obligations attach as</w:t>
      </w:r>
      <w:r w:rsidR="004C0DE9" w:rsidDel="00895B91">
        <w:t xml:space="preserve"> </w:t>
      </w:r>
      <w:r w:rsidR="004C0DE9">
        <w:t>wholesaling</w:t>
      </w:r>
      <w:r w:rsidR="008E144C">
        <w:t xml:space="preserve"> a covered product</w:t>
      </w:r>
      <w:r w:rsidR="0054058E">
        <w:t xml:space="preserve"> </w:t>
      </w:r>
      <w:r w:rsidR="004C0DE9">
        <w:t>oth</w:t>
      </w:r>
      <w:r w:rsidR="0054058E">
        <w:t>er than petroleum coke</w:t>
      </w:r>
      <w:r w:rsidR="004E7BE6">
        <w:t>,</w:t>
      </w:r>
      <w:r w:rsidR="0054058E">
        <w:t xml:space="preserve"> GLOWS</w:t>
      </w:r>
      <w:r w:rsidR="004E7BE6">
        <w:t>, crude oil, condensate, NGL or refinery feedstock (other)</w:t>
      </w:r>
      <w:r w:rsidR="008E144C">
        <w:t>.</w:t>
      </w:r>
    </w:p>
    <w:p w14:paraId="06F133C4" w14:textId="681C219F" w:rsidR="003E4F7F" w:rsidRDefault="007F767E" w:rsidP="004504B2">
      <w:pPr>
        <w:pStyle w:val="Numberedparagraph"/>
        <w:spacing w:line="276" w:lineRule="auto"/>
        <w:ind w:left="720" w:hanging="720"/>
      </w:pPr>
      <w:r>
        <w:t>The w</w:t>
      </w:r>
      <w:r w:rsidR="004C0DE9">
        <w:t xml:space="preserve">holesaling of </w:t>
      </w:r>
      <w:r w:rsidR="00886409">
        <w:t xml:space="preserve">natural gas </w:t>
      </w:r>
      <w:r w:rsidR="003E4F7F">
        <w:t>covered</w:t>
      </w:r>
      <w:r w:rsidR="00886409">
        <w:t xml:space="preserve"> by section 14</w:t>
      </w:r>
      <w:r w:rsidR="0083393B">
        <w:t xml:space="preserve"> (i</w:t>
      </w:r>
      <w:r w:rsidR="00B91A39">
        <w:t>.</w:t>
      </w:r>
      <w:r w:rsidR="0083393B">
        <w:t>e</w:t>
      </w:r>
      <w:r w:rsidR="00B91A39">
        <w:t>.</w:t>
      </w:r>
      <w:r w:rsidR="0083393B">
        <w:t xml:space="preserve"> all products falling within the definition of natural gas in section 4, other than NGL)</w:t>
      </w:r>
      <w:r w:rsidR="003E4F7F">
        <w:t xml:space="preserve"> </w:t>
      </w:r>
      <w:r>
        <w:t>is</w:t>
      </w:r>
      <w:r w:rsidR="003E4F7F">
        <w:t xml:space="preserve"> </w:t>
      </w:r>
      <w:r w:rsidR="0015403E">
        <w:t>excluded</w:t>
      </w:r>
      <w:r w:rsidR="003E4F7F">
        <w:t xml:space="preserve"> from the reporting obligation prescribed at table item </w:t>
      </w:r>
      <w:r w:rsidR="007D6D39">
        <w:t>12</w:t>
      </w:r>
      <w:r w:rsidR="00886409">
        <w:t xml:space="preserve">. This means wholesales of CNG, LNG, methane and ethane are not prescribed as reportable. </w:t>
      </w:r>
    </w:p>
    <w:p w14:paraId="17481537" w14:textId="25C53533" w:rsidR="0015403E" w:rsidRDefault="0015403E" w:rsidP="004504B2">
      <w:pPr>
        <w:pStyle w:val="Numberedparagraph"/>
        <w:spacing w:line="276" w:lineRule="auto"/>
        <w:ind w:left="720" w:hanging="720"/>
      </w:pPr>
      <w:r>
        <w:t xml:space="preserve">Column 2 of table item </w:t>
      </w:r>
      <w:r w:rsidR="007D6D39">
        <w:t xml:space="preserve">12 </w:t>
      </w:r>
      <w:r w:rsidR="004C0DE9">
        <w:t>imposes</w:t>
      </w:r>
      <w:r w:rsidR="007F767E">
        <w:t xml:space="preserve"> the</w:t>
      </w:r>
      <w:r>
        <w:t xml:space="preserve"> reporting obligation on the regulated entity that undertook the wholesaling.</w:t>
      </w:r>
    </w:p>
    <w:p w14:paraId="43629215" w14:textId="77777777" w:rsidR="0015403E" w:rsidRDefault="0015403E" w:rsidP="004504B2">
      <w:pPr>
        <w:pStyle w:val="Numberedparagraph"/>
        <w:spacing w:line="276" w:lineRule="auto"/>
        <w:ind w:left="720" w:hanging="720"/>
      </w:pPr>
      <w:r>
        <w:t>The majority of covered produ</w:t>
      </w:r>
      <w:r w:rsidR="007B5854">
        <w:t xml:space="preserve">cts are subject to excise </w:t>
      </w:r>
      <w:r w:rsidR="00B21CC2">
        <w:t>and/or</w:t>
      </w:r>
      <w:r>
        <w:t xml:space="preserve"> custom</w:t>
      </w:r>
      <w:r w:rsidR="007B5854">
        <w:t>s</w:t>
      </w:r>
      <w:r>
        <w:t xml:space="preserve"> dut</w:t>
      </w:r>
      <w:r w:rsidR="007B5854">
        <w:t>y</w:t>
      </w:r>
      <w:r>
        <w:t xml:space="preserve">. For these products, the reporting obligation would apply to the person who entered the product for home consumption. That is, the person who </w:t>
      </w:r>
      <w:r w:rsidR="00496765">
        <w:t>is obliged to pay</w:t>
      </w:r>
      <w:r>
        <w:t xml:space="preserve"> excise or custom duty on the product </w:t>
      </w:r>
      <w:r w:rsidR="007B5854">
        <w:t>is prescribed as required to report</w:t>
      </w:r>
      <w:r>
        <w:t xml:space="preserve">, even if payment </w:t>
      </w:r>
      <w:r w:rsidR="00496765">
        <w:t>is made</w:t>
      </w:r>
      <w:r>
        <w:t xml:space="preserve"> on behalf of a third party. For example, if a regulated entity pays excise on behalf of another entity which does not hold an excise license, the regulated entity </w:t>
      </w:r>
      <w:r w:rsidR="007B5854">
        <w:t xml:space="preserve">that paid the excise </w:t>
      </w:r>
      <w:r>
        <w:t xml:space="preserve">has the reporting obligation. </w:t>
      </w:r>
    </w:p>
    <w:p w14:paraId="378B04D3" w14:textId="77777777" w:rsidR="0015403E" w:rsidRDefault="0015403E" w:rsidP="004504B2">
      <w:pPr>
        <w:pStyle w:val="Numberedparagraph"/>
        <w:spacing w:line="276" w:lineRule="auto"/>
        <w:ind w:left="720" w:hanging="720"/>
      </w:pPr>
      <w:r>
        <w:t>Some covered products, such as bitumen or jet fuel supplied to a departing international aircraft, are not subject to excise or custom</w:t>
      </w:r>
      <w:r w:rsidR="007B5854">
        <w:t>s</w:t>
      </w:r>
      <w:r>
        <w:t xml:space="preserve"> duty. For these products, the reporting </w:t>
      </w:r>
      <w:r>
        <w:lastRenderedPageBreak/>
        <w:t xml:space="preserve">obligation </w:t>
      </w:r>
      <w:r w:rsidR="00496765">
        <w:t>applies</w:t>
      </w:r>
      <w:r>
        <w:t xml:space="preserve"> to the person who removed the product from </w:t>
      </w:r>
      <w:r w:rsidR="00496765">
        <w:t>the</w:t>
      </w:r>
      <w:r>
        <w:t xml:space="preserve"> import terminal or domestic production facility. </w:t>
      </w:r>
    </w:p>
    <w:p w14:paraId="6B44DA48" w14:textId="455280AD" w:rsidR="0015403E" w:rsidRDefault="0015403E" w:rsidP="004504B2">
      <w:pPr>
        <w:pStyle w:val="Numberedparagraph"/>
        <w:spacing w:line="276" w:lineRule="auto"/>
        <w:ind w:left="720" w:hanging="720"/>
      </w:pPr>
      <w:r>
        <w:t xml:space="preserve">Column 3 of table item </w:t>
      </w:r>
      <w:r w:rsidR="007D6D39">
        <w:t xml:space="preserve">12 </w:t>
      </w:r>
      <w:r w:rsidR="0045590B">
        <w:t>prescribe</w:t>
      </w:r>
      <w:r w:rsidR="004C0DE9">
        <w:t>s</w:t>
      </w:r>
      <w:r>
        <w:t xml:space="preserve"> the fuel information that must be reported to satisfy the reporting obligation. This information is the reportable quantity </w:t>
      </w:r>
      <w:r w:rsidR="0045590B">
        <w:t xml:space="preserve">(which may be volume or weight) </w:t>
      </w:r>
      <w:r>
        <w:t>of covered products wholesaled during the month, separated by state marketing area and the categories and sub-categories prescribed in Schedule 1.</w:t>
      </w:r>
    </w:p>
    <w:p w14:paraId="4B76EEDF" w14:textId="091F4C29" w:rsidR="00132566" w:rsidRDefault="00BB332B" w:rsidP="00132566">
      <w:pPr>
        <w:pStyle w:val="Numberedparagraph"/>
        <w:spacing w:line="276" w:lineRule="auto"/>
        <w:ind w:left="720" w:hanging="720"/>
      </w:pPr>
      <w:r>
        <w:t xml:space="preserve">Paragraph </w:t>
      </w:r>
      <w:r w:rsidR="00132566">
        <w:t>1</w:t>
      </w:r>
      <w:r w:rsidR="00186B0E">
        <w:t>6</w:t>
      </w:r>
      <w:r w:rsidR="00132566">
        <w:t>(</w:t>
      </w:r>
      <w:r w:rsidR="0010332B">
        <w:t>5</w:t>
      </w:r>
      <w:r w:rsidR="00132566">
        <w:t>)(</w:t>
      </w:r>
      <w:r w:rsidR="0045590B">
        <w:t>e</w:t>
      </w:r>
      <w:r w:rsidR="00132566">
        <w:t xml:space="preserve">) </w:t>
      </w:r>
      <w:r w:rsidR="004C0DE9">
        <w:t>relieves</w:t>
      </w:r>
      <w:r w:rsidR="00132566">
        <w:t xml:space="preserve"> from the reporting obligation any entity which wholesaled less than 3kt of covered products in total the previous financial year. For example, if a company only wholesaled 2kt of diesel</w:t>
      </w:r>
      <w:r w:rsidR="00496765">
        <w:t xml:space="preserve"> over the previous financial year</w:t>
      </w:r>
      <w:r w:rsidR="00132566">
        <w:t xml:space="preserve"> it would not have a reporting obligation. However, if </w:t>
      </w:r>
      <w:r w:rsidR="0015403E">
        <w:t>a</w:t>
      </w:r>
      <w:r w:rsidR="00132566">
        <w:t xml:space="preserve"> company wholesaled </w:t>
      </w:r>
      <w:r w:rsidR="0015403E">
        <w:t>2kt of diesel and 1</w:t>
      </w:r>
      <w:r w:rsidR="00132566">
        <w:t>kt of regular unleaded</w:t>
      </w:r>
      <w:r w:rsidR="0015403E">
        <w:t xml:space="preserve"> gasoline</w:t>
      </w:r>
      <w:r w:rsidR="00132566">
        <w:t xml:space="preserve"> then it would have a reporting obligation.</w:t>
      </w:r>
    </w:p>
    <w:p w14:paraId="2CB6BE73" w14:textId="10B9762C" w:rsidR="0045590B" w:rsidRDefault="0045590B" w:rsidP="00132566">
      <w:pPr>
        <w:pStyle w:val="Numberedparagraph"/>
        <w:spacing w:line="276" w:lineRule="auto"/>
        <w:ind w:left="720" w:hanging="720"/>
      </w:pPr>
      <w:r>
        <w:t>Sub</w:t>
      </w:r>
      <w:r w:rsidR="00BB332B">
        <w:t>section</w:t>
      </w:r>
      <w:r>
        <w:t xml:space="preserve"> 1</w:t>
      </w:r>
      <w:r w:rsidR="00186B0E">
        <w:t>8</w:t>
      </w:r>
      <w:r>
        <w:t>(1)</w:t>
      </w:r>
      <w:r w:rsidR="004C0DE9">
        <w:t xml:space="preserve"> of the Rules</w:t>
      </w:r>
      <w:r>
        <w:t xml:space="preserve"> set</w:t>
      </w:r>
      <w:r w:rsidR="004C0DE9">
        <w:t>s</w:t>
      </w:r>
      <w:r>
        <w:t xml:space="preserve"> a reporting period of a calendar month and a reporting deadline of 15 days</w:t>
      </w:r>
      <w:r w:rsidR="008C3876">
        <w:t xml:space="preserve"> after the end of the reporting period</w:t>
      </w:r>
      <w:r w:rsidR="004C0DE9">
        <w:t xml:space="preserve"> for </w:t>
      </w:r>
      <w:r>
        <w:t xml:space="preserve">reports </w:t>
      </w:r>
      <w:r w:rsidR="004C0DE9">
        <w:t xml:space="preserve">required </w:t>
      </w:r>
      <w:r>
        <w:t>under table item</w:t>
      </w:r>
      <w:r w:rsidR="00C07507">
        <w:t>s 11 and</w:t>
      </w:r>
      <w:r>
        <w:t xml:space="preserve"> </w:t>
      </w:r>
      <w:r w:rsidR="007D6D39">
        <w:t>12</w:t>
      </w:r>
      <w:r>
        <w:t xml:space="preserve">. </w:t>
      </w:r>
    </w:p>
    <w:p w14:paraId="79B508A8" w14:textId="77777777" w:rsidR="0010332B" w:rsidRPr="0010332B" w:rsidRDefault="00FC449F" w:rsidP="00FC449F">
      <w:pPr>
        <w:pStyle w:val="Numberedparagraph"/>
        <w:numPr>
          <w:ilvl w:val="0"/>
          <w:numId w:val="0"/>
        </w:numPr>
        <w:spacing w:line="276" w:lineRule="auto"/>
        <w:rPr>
          <w:i/>
        </w:rPr>
      </w:pPr>
      <w:r>
        <w:rPr>
          <w:i/>
        </w:rPr>
        <w:t>Quantities and densities must be broken down into categories and subcategories of covered products</w:t>
      </w:r>
    </w:p>
    <w:p w14:paraId="311A0ECA" w14:textId="77777777" w:rsidR="0010332B" w:rsidRDefault="0010332B" w:rsidP="00132566">
      <w:pPr>
        <w:pStyle w:val="Numberedparagraph"/>
        <w:spacing w:line="276" w:lineRule="auto"/>
        <w:ind w:left="720" w:hanging="720"/>
      </w:pPr>
      <w:r>
        <w:t xml:space="preserve">Subsection 16(2) </w:t>
      </w:r>
      <w:r w:rsidR="0070132C">
        <w:t>requires that the fuel information prescribed in Column 3 of the table at 16(1) be reported using the categories and subcategories</w:t>
      </w:r>
      <w:r w:rsidR="00496765">
        <w:t xml:space="preserve"> prescribed</w:t>
      </w:r>
      <w:r w:rsidR="0070132C">
        <w:t xml:space="preserve"> in Schedule 1. </w:t>
      </w:r>
    </w:p>
    <w:p w14:paraId="4FB63BAA" w14:textId="77777777" w:rsidR="0070132C" w:rsidRDefault="0070132C" w:rsidP="00132566">
      <w:pPr>
        <w:pStyle w:val="Numberedparagraph"/>
        <w:spacing w:line="276" w:lineRule="auto"/>
        <w:ind w:left="720" w:hanging="720"/>
      </w:pPr>
      <w:r>
        <w:t xml:space="preserve">The intention of this provision is to make clear that when reporting quantities and density that regulated entities must break down the </w:t>
      </w:r>
      <w:r w:rsidR="00496765">
        <w:t>fuel information</w:t>
      </w:r>
      <w:r>
        <w:t xml:space="preserve"> into the categories and subcategories set out at Schedule 1.</w:t>
      </w:r>
    </w:p>
    <w:p w14:paraId="1D1BD242" w14:textId="66D5FBD6" w:rsidR="00A02E9A" w:rsidRDefault="00A02E9A" w:rsidP="00496765">
      <w:pPr>
        <w:pStyle w:val="Numberedparagraph"/>
        <w:spacing w:line="276" w:lineRule="auto"/>
        <w:ind w:left="709" w:hanging="709"/>
      </w:pPr>
      <w:r>
        <w:t xml:space="preserve">For </w:t>
      </w:r>
      <w:r w:rsidR="00D31CD9">
        <w:t>aviation gasoline, marine diesel, jet fuel and marine fuel oil</w:t>
      </w:r>
      <w:r>
        <w:t xml:space="preserve">, regulated entities must separate </w:t>
      </w:r>
      <w:r w:rsidR="00091EFD">
        <w:t>whole</w:t>
      </w:r>
      <w:r w:rsidR="00D31CD9">
        <w:t xml:space="preserve">sales </w:t>
      </w:r>
      <w:r w:rsidR="00496765">
        <w:t>between</w:t>
      </w:r>
      <w:r>
        <w:t xml:space="preserve"> domestic and international use</w:t>
      </w:r>
      <w:r w:rsidR="00496765">
        <w:t>s</w:t>
      </w:r>
      <w:r>
        <w:t xml:space="preserve">. </w:t>
      </w:r>
      <w:r w:rsidR="00A277BF">
        <w:t xml:space="preserve">The international use subcategory is defined at </w:t>
      </w:r>
      <w:r w:rsidR="00886409">
        <w:t>sub</w:t>
      </w:r>
      <w:r w:rsidR="0083393B">
        <w:t>clause</w:t>
      </w:r>
      <w:r w:rsidR="00886409">
        <w:t xml:space="preserve"> 1(</w:t>
      </w:r>
      <w:r w:rsidR="00C07507">
        <w:t>3</w:t>
      </w:r>
      <w:r w:rsidR="00886409">
        <w:t>) of Schedule 1</w:t>
      </w:r>
      <w:r w:rsidR="00A277BF">
        <w:t xml:space="preserve"> as covered products </w:t>
      </w:r>
      <w:r w:rsidR="00AE4506">
        <w:t>supplied</w:t>
      </w:r>
      <w:r w:rsidR="00A277BF">
        <w:t xml:space="preserve"> or intended to be supplied to a ship or aircraft for use outside Australia or in departing Australia. The intention of this distinction is to identify wholesales of </w:t>
      </w:r>
      <w:r w:rsidR="00496765">
        <w:t>covered</w:t>
      </w:r>
      <w:r w:rsidR="00AE4506">
        <w:t xml:space="preserve"> </w:t>
      </w:r>
      <w:r w:rsidR="00A277BF">
        <w:t xml:space="preserve">products not consumed in Australia, which can be </w:t>
      </w:r>
      <w:r w:rsidR="00496765">
        <w:t xml:space="preserve">reported separated under the IEP Treaty to reduce a member’s net imports and accordingly stockholding obligation. </w:t>
      </w:r>
      <w:r w:rsidR="00AE4506">
        <w:t>International fuel</w:t>
      </w:r>
      <w:r w:rsidR="00A277BF">
        <w:t xml:space="preserve"> </w:t>
      </w:r>
      <w:r w:rsidR="00AE4506">
        <w:t>wholesales are</w:t>
      </w:r>
      <w:r w:rsidR="00A277BF">
        <w:t xml:space="preserve"> not subject to excise so these transactions </w:t>
      </w:r>
      <w:r w:rsidR="00496765">
        <w:t>are easily</w:t>
      </w:r>
      <w:r w:rsidR="00A277BF">
        <w:t xml:space="preserve"> identified by regulated entities. </w:t>
      </w:r>
    </w:p>
    <w:p w14:paraId="4F5DFE39" w14:textId="2B99A752" w:rsidR="0070132C" w:rsidRDefault="00AE4506" w:rsidP="00132566">
      <w:pPr>
        <w:pStyle w:val="Numberedparagraph"/>
        <w:spacing w:line="276" w:lineRule="auto"/>
        <w:ind w:left="720" w:hanging="720"/>
      </w:pPr>
      <w:r>
        <w:t xml:space="preserve">Subsection 16(3) provides an exemption to the requirement to separate products into categories and subcategories for the fuel information </w:t>
      </w:r>
      <w:r w:rsidR="00886409">
        <w:t xml:space="preserve">prescribed </w:t>
      </w:r>
      <w:r w:rsidR="007D6D39">
        <w:t>at</w:t>
      </w:r>
      <w:r>
        <w:t xml:space="preserve"> </w:t>
      </w:r>
      <w:r w:rsidR="00480C92">
        <w:t xml:space="preserve">paragraph (d) of Column 3 of table </w:t>
      </w:r>
      <w:r>
        <w:t>item 7</w:t>
      </w:r>
      <w:r w:rsidR="007D6D39">
        <w:t xml:space="preserve"> and Column 3 of table item 11</w:t>
      </w:r>
      <w:r>
        <w:t>. This is because breakdown</w:t>
      </w:r>
      <w:r w:rsidR="00886409">
        <w:t>s</w:t>
      </w:r>
      <w:r>
        <w:t xml:space="preserve"> </w:t>
      </w:r>
      <w:r w:rsidR="00886409">
        <w:t xml:space="preserve">are </w:t>
      </w:r>
      <w:r>
        <w:t xml:space="preserve">not required </w:t>
      </w:r>
      <w:r w:rsidR="007D6D39">
        <w:t xml:space="preserve">for either of these </w:t>
      </w:r>
      <w:r w:rsidR="00886409">
        <w:t>pieces</w:t>
      </w:r>
      <w:r w:rsidR="007D6D39">
        <w:t xml:space="preserve"> of fuel information </w:t>
      </w:r>
      <w:r>
        <w:t xml:space="preserve">to produce </w:t>
      </w:r>
      <w:r w:rsidR="002975E1">
        <w:t>the</w:t>
      </w:r>
      <w:r>
        <w:t xml:space="preserve"> statistics</w:t>
      </w:r>
      <w:r w:rsidR="00504EFC">
        <w:t>.</w:t>
      </w:r>
      <w:r>
        <w:t xml:space="preserve"> </w:t>
      </w:r>
      <w:r w:rsidR="00504EFC">
        <w:t xml:space="preserve">Further, </w:t>
      </w:r>
      <w:r w:rsidR="007D6D39">
        <w:t xml:space="preserve">for </w:t>
      </w:r>
      <w:r>
        <w:t xml:space="preserve">refinery losses </w:t>
      </w:r>
      <w:r w:rsidR="007D6D39">
        <w:t xml:space="preserve">in particular, it </w:t>
      </w:r>
      <w:r>
        <w:t xml:space="preserve">can be difficult to apportion to particular covered product </w:t>
      </w:r>
      <w:r w:rsidR="002975E1">
        <w:t>when</w:t>
      </w:r>
      <w:r>
        <w:t xml:space="preserve"> they occur during the transition of inputs into outputs. </w:t>
      </w:r>
    </w:p>
    <w:p w14:paraId="63EEBF26" w14:textId="77777777" w:rsidR="00AE4506" w:rsidRDefault="00AE4506" w:rsidP="00132566">
      <w:pPr>
        <w:pStyle w:val="Numberedparagraph"/>
        <w:spacing w:line="276" w:lineRule="auto"/>
        <w:ind w:left="720" w:hanging="720"/>
      </w:pPr>
      <w:r>
        <w:t xml:space="preserve">The manner and form of reports is left to the Secretary (or their delegate) under the Act. Accordingly, it remains open to Secretary to have the categories and subcategories set out at Schedule 1 reported in a different order or </w:t>
      </w:r>
      <w:r w:rsidR="002975E1">
        <w:t>structure</w:t>
      </w:r>
      <w:r>
        <w:t xml:space="preserve">. For example, it will be open to the Secretary to develop one or more templates for GLOWS to make it easier for businesses to report these </w:t>
      </w:r>
      <w:r w:rsidR="002975E1">
        <w:t xml:space="preserve">products </w:t>
      </w:r>
      <w:r>
        <w:t>separately given the</w:t>
      </w:r>
      <w:r w:rsidR="002975E1">
        <w:t>ir</w:t>
      </w:r>
      <w:r>
        <w:t xml:space="preserve"> different reporting requirements.   </w:t>
      </w:r>
    </w:p>
    <w:p w14:paraId="59280AF7" w14:textId="77777777" w:rsidR="00433904" w:rsidRPr="00433904" w:rsidRDefault="00433904" w:rsidP="008C3876">
      <w:pPr>
        <w:pStyle w:val="Numberedparagraph"/>
        <w:keepNext/>
        <w:numPr>
          <w:ilvl w:val="0"/>
          <w:numId w:val="0"/>
        </w:numPr>
        <w:spacing w:line="276" w:lineRule="auto"/>
        <w:rPr>
          <w:i/>
        </w:rPr>
      </w:pPr>
      <w:r>
        <w:rPr>
          <w:i/>
        </w:rPr>
        <w:lastRenderedPageBreak/>
        <w:t>Field stocks sold or exported before reporting period</w:t>
      </w:r>
    </w:p>
    <w:p w14:paraId="703990BA" w14:textId="17912345" w:rsidR="00025F43" w:rsidRDefault="00025F43" w:rsidP="00132566">
      <w:pPr>
        <w:pStyle w:val="Numberedparagraph"/>
        <w:spacing w:line="276" w:lineRule="auto"/>
        <w:ind w:left="720" w:hanging="720"/>
      </w:pPr>
      <w:r>
        <w:t xml:space="preserve">Subsection 16(4) makes clear that the reporting obligations for Australian fields do not apply to crude oil, condensate and LPG which is sold or exported before the start of the relevant reporting period, even if the product remains stored at an Australian field. Once these products are sold or exported, a reporting obligation may remain, but it will apply to the new owner, even if the stock remains stored in the producer’s storage facilities. </w:t>
      </w:r>
    </w:p>
    <w:p w14:paraId="6B721818" w14:textId="77777777" w:rsidR="00025F43" w:rsidRPr="00025F43" w:rsidRDefault="00025F43" w:rsidP="00D75C06">
      <w:pPr>
        <w:pStyle w:val="Numberedparagraph"/>
        <w:keepNext/>
        <w:numPr>
          <w:ilvl w:val="0"/>
          <w:numId w:val="0"/>
        </w:numPr>
        <w:spacing w:line="276" w:lineRule="auto"/>
        <w:rPr>
          <w:i/>
        </w:rPr>
      </w:pPr>
      <w:r>
        <w:rPr>
          <w:i/>
        </w:rPr>
        <w:t>Thresholds</w:t>
      </w:r>
    </w:p>
    <w:p w14:paraId="1313398C" w14:textId="77777777" w:rsidR="00433904" w:rsidRDefault="00025F43" w:rsidP="00D75C06">
      <w:pPr>
        <w:pStyle w:val="Numberedparagraph"/>
        <w:keepNext/>
        <w:spacing w:line="276" w:lineRule="auto"/>
        <w:ind w:left="720" w:hanging="720"/>
      </w:pPr>
      <w:r>
        <w:t xml:space="preserve">Subsection 16(5) sets the reporting thresholds for the activities prescribed as reportable </w:t>
      </w:r>
      <w:r w:rsidR="002975E1">
        <w:t>in</w:t>
      </w:r>
      <w:r>
        <w:t xml:space="preserve"> subsection 16(1). These thresholds are discussed against each activity above. </w:t>
      </w:r>
    </w:p>
    <w:p w14:paraId="639367D4" w14:textId="77777777" w:rsidR="00132566" w:rsidRPr="00132566" w:rsidRDefault="00132566" w:rsidP="00132566">
      <w:pPr>
        <w:pStyle w:val="Numberedparagraph"/>
        <w:numPr>
          <w:ilvl w:val="0"/>
          <w:numId w:val="0"/>
        </w:numPr>
        <w:spacing w:line="276" w:lineRule="auto"/>
        <w:rPr>
          <w:b/>
        </w:rPr>
      </w:pPr>
      <w:r w:rsidRPr="009844A5">
        <w:rPr>
          <w:b/>
        </w:rPr>
        <w:t>1</w:t>
      </w:r>
      <w:r w:rsidR="00C85820" w:rsidRPr="009844A5">
        <w:rPr>
          <w:b/>
        </w:rPr>
        <w:t>7</w:t>
      </w:r>
      <w:r w:rsidRPr="009844A5">
        <w:rPr>
          <w:b/>
        </w:rPr>
        <w:t xml:space="preserve"> – </w:t>
      </w:r>
      <w:r w:rsidR="00C07507">
        <w:rPr>
          <w:b/>
        </w:rPr>
        <w:t xml:space="preserve">Reports </w:t>
      </w:r>
      <w:r w:rsidR="00C07507" w:rsidRPr="009844A5">
        <w:rPr>
          <w:b/>
        </w:rPr>
        <w:t>–</w:t>
      </w:r>
      <w:r w:rsidR="00C07507">
        <w:rPr>
          <w:b/>
        </w:rPr>
        <w:t xml:space="preserve"> </w:t>
      </w:r>
      <w:r w:rsidR="008E144C" w:rsidRPr="009844A5">
        <w:rPr>
          <w:b/>
        </w:rPr>
        <w:t>H</w:t>
      </w:r>
      <w:r w:rsidRPr="009844A5">
        <w:rPr>
          <w:b/>
        </w:rPr>
        <w:t>olding stock</w:t>
      </w:r>
    </w:p>
    <w:p w14:paraId="29032428" w14:textId="77777777" w:rsidR="0058467E" w:rsidRDefault="004C0DE9" w:rsidP="00B20F58">
      <w:pPr>
        <w:pStyle w:val="Numberedparagraph"/>
        <w:spacing w:line="276" w:lineRule="auto"/>
        <w:ind w:left="720" w:hanging="720"/>
      </w:pPr>
      <w:r>
        <w:t>S</w:t>
      </w:r>
      <w:r w:rsidR="00BB332B">
        <w:t>ection</w:t>
      </w:r>
      <w:r w:rsidR="00C03139">
        <w:t xml:space="preserve"> </w:t>
      </w:r>
      <w:r>
        <w:t>1</w:t>
      </w:r>
      <w:r w:rsidR="00186B0E">
        <w:t>7</w:t>
      </w:r>
      <w:r>
        <w:t xml:space="preserve"> of the Rules </w:t>
      </w:r>
      <w:r w:rsidR="00C03139">
        <w:t>prescribe</w:t>
      </w:r>
      <w:r>
        <w:t>s</w:t>
      </w:r>
      <w:r w:rsidR="0058467E">
        <w:t xml:space="preserve"> reporting obligation</w:t>
      </w:r>
      <w:r w:rsidR="00C03139">
        <w:t>s</w:t>
      </w:r>
      <w:r w:rsidR="0058467E">
        <w:t xml:space="preserve"> in relation to</w:t>
      </w:r>
      <w:r w:rsidR="00C03139">
        <w:t xml:space="preserve"> the covered activity of</w:t>
      </w:r>
      <w:r w:rsidR="0058467E">
        <w:t xml:space="preserve"> holding stock of a covered product.</w:t>
      </w:r>
    </w:p>
    <w:p w14:paraId="788EDAD5" w14:textId="77777777" w:rsidR="00C03139" w:rsidRDefault="00C03139" w:rsidP="00C03139">
      <w:pPr>
        <w:pStyle w:val="Numberedparagraph"/>
        <w:spacing w:line="276" w:lineRule="auto"/>
        <w:ind w:left="720" w:hanging="720"/>
      </w:pPr>
      <w:r>
        <w:t>Holding stock is defined in section 4 of the Act as:</w:t>
      </w:r>
    </w:p>
    <w:p w14:paraId="1B6E2873" w14:textId="77777777" w:rsidR="00C03139" w:rsidRDefault="00C03139" w:rsidP="00C03139">
      <w:pPr>
        <w:pStyle w:val="Numberedparagraph"/>
        <w:numPr>
          <w:ilvl w:val="0"/>
          <w:numId w:val="0"/>
        </w:numPr>
        <w:spacing w:line="276" w:lineRule="auto"/>
        <w:ind w:left="720"/>
      </w:pPr>
      <w:r w:rsidRPr="00BF33CD">
        <w:rPr>
          <w:b/>
          <w:i/>
        </w:rPr>
        <w:t>holding stock</w:t>
      </w:r>
      <w:r>
        <w:t xml:space="preserve"> of a covered product means: </w:t>
      </w:r>
    </w:p>
    <w:p w14:paraId="6C127C0C" w14:textId="77777777" w:rsidR="00C03139" w:rsidRDefault="00C03139" w:rsidP="000474F7">
      <w:pPr>
        <w:pStyle w:val="Numberedparagraph"/>
        <w:numPr>
          <w:ilvl w:val="0"/>
          <w:numId w:val="0"/>
        </w:numPr>
        <w:spacing w:line="276" w:lineRule="auto"/>
        <w:ind w:left="2153" w:hanging="1019"/>
        <w:contextualSpacing/>
      </w:pPr>
      <w:r>
        <w:t xml:space="preserve">(a) </w:t>
      </w:r>
      <w:r w:rsidR="004C0DE9">
        <w:tab/>
      </w:r>
      <w:r>
        <w:t xml:space="preserve">keeping a covered product in storage (whether on land or at sea), but does not include: </w:t>
      </w:r>
    </w:p>
    <w:p w14:paraId="1C2DC203" w14:textId="77777777" w:rsidR="00C03139" w:rsidRDefault="00C03139" w:rsidP="000474F7">
      <w:pPr>
        <w:pStyle w:val="Numberedparagraph"/>
        <w:numPr>
          <w:ilvl w:val="0"/>
          <w:numId w:val="0"/>
        </w:numPr>
        <w:spacing w:line="276" w:lineRule="auto"/>
        <w:ind w:left="2888" w:hanging="735"/>
        <w:contextualSpacing/>
      </w:pPr>
      <w:r>
        <w:t xml:space="preserve">(i) </w:t>
      </w:r>
      <w:r w:rsidR="004C0DE9">
        <w:tab/>
      </w:r>
      <w:r>
        <w:t xml:space="preserve">storing a covered product in a service station, retail store, personal vehicle, road tanker, rail tank car or pipeline; or </w:t>
      </w:r>
    </w:p>
    <w:p w14:paraId="2278A510" w14:textId="77777777" w:rsidR="00C03139" w:rsidRDefault="00C03139" w:rsidP="000474F7">
      <w:pPr>
        <w:pStyle w:val="Numberedparagraph"/>
        <w:numPr>
          <w:ilvl w:val="0"/>
          <w:numId w:val="0"/>
        </w:numPr>
        <w:spacing w:line="276" w:lineRule="auto"/>
        <w:ind w:left="2888" w:hanging="735"/>
        <w:contextualSpacing/>
      </w:pPr>
      <w:r>
        <w:t xml:space="preserve">(ii) </w:t>
      </w:r>
      <w:r w:rsidR="004C0DE9">
        <w:tab/>
      </w:r>
      <w:r>
        <w:t xml:space="preserve">keeping a covered product wholly or principally for private or domestic use; or </w:t>
      </w:r>
    </w:p>
    <w:p w14:paraId="09612497" w14:textId="77777777" w:rsidR="00C03139" w:rsidRDefault="00C03139" w:rsidP="000474F7">
      <w:pPr>
        <w:pStyle w:val="Numberedparagraph"/>
        <w:numPr>
          <w:ilvl w:val="0"/>
          <w:numId w:val="0"/>
        </w:numPr>
        <w:spacing w:line="276" w:lineRule="auto"/>
        <w:ind w:left="2153" w:hanging="1019"/>
      </w:pPr>
      <w:r>
        <w:t xml:space="preserve">(b) </w:t>
      </w:r>
      <w:r w:rsidR="004C0DE9">
        <w:tab/>
      </w:r>
      <w:r>
        <w:t>holding, in circumstances prescribed by the rules for the purposes of this paragraph, a contractual right to take possession of a covered product.</w:t>
      </w:r>
    </w:p>
    <w:p w14:paraId="295F729A" w14:textId="0F7961B3" w:rsidR="0045590B" w:rsidRDefault="00C03139" w:rsidP="00D75C06">
      <w:pPr>
        <w:pStyle w:val="Numberedparagraph"/>
        <w:spacing w:line="276" w:lineRule="auto"/>
        <w:ind w:left="709" w:hanging="709"/>
      </w:pPr>
      <w:r>
        <w:t>S</w:t>
      </w:r>
      <w:r w:rsidR="00BB332B">
        <w:t>ection</w:t>
      </w:r>
      <w:r>
        <w:t xml:space="preserve"> 7</w:t>
      </w:r>
      <w:r w:rsidR="004C0DE9">
        <w:t xml:space="preserve"> of the Rules</w:t>
      </w:r>
      <w:r>
        <w:t xml:space="preserve"> prescribes </w:t>
      </w:r>
      <w:r w:rsidR="0045590B">
        <w:t>two</w:t>
      </w:r>
      <w:r>
        <w:t xml:space="preserve"> circumstances where holding a contractual right to take possession of a covered product would fall within the meaning of holding stock under par</w:t>
      </w:r>
      <w:r w:rsidR="004C0DE9">
        <w:t>agraph</w:t>
      </w:r>
      <w:r w:rsidR="002975E1">
        <w:t xml:space="preserve"> (b) of the definition. These are owning stock stored overseas and holding a right to take possession of </w:t>
      </w:r>
      <w:r w:rsidR="00504EFC">
        <w:t>covered products</w:t>
      </w:r>
      <w:r w:rsidR="003A3186">
        <w:t xml:space="preserve"> </w:t>
      </w:r>
      <w:r w:rsidR="002975E1">
        <w:t xml:space="preserve">on water after it is unloaded in Australia. </w:t>
      </w:r>
    </w:p>
    <w:p w14:paraId="4DBC3637" w14:textId="77777777" w:rsidR="002975E1" w:rsidRDefault="0045590B" w:rsidP="002975E1">
      <w:pPr>
        <w:pStyle w:val="Numberedparagraph"/>
        <w:spacing w:line="276" w:lineRule="auto"/>
        <w:ind w:left="720" w:hanging="720"/>
      </w:pPr>
      <w:r>
        <w:t>Section 5 of the Act</w:t>
      </w:r>
      <w:r w:rsidR="002975E1">
        <w:t xml:space="preserve"> exclude</w:t>
      </w:r>
      <w:r w:rsidR="008A53BC">
        <w:t>s</w:t>
      </w:r>
      <w:r>
        <w:t xml:space="preserve"> </w:t>
      </w:r>
      <w:r w:rsidR="008A53BC">
        <w:t xml:space="preserve">holding </w:t>
      </w:r>
      <w:r>
        <w:t xml:space="preserve">certain types of stock from the meaning of holding stock. These are </w:t>
      </w:r>
      <w:r w:rsidR="004C0DE9">
        <w:t xml:space="preserve">therefore </w:t>
      </w:r>
      <w:r>
        <w:t xml:space="preserve">not </w:t>
      </w:r>
      <w:r w:rsidR="004C0DE9">
        <w:t xml:space="preserve">covered activities and do not attract reporting obligations </w:t>
      </w:r>
      <w:r>
        <w:t xml:space="preserve">under </w:t>
      </w:r>
      <w:r w:rsidR="004C0DE9">
        <w:t>the Act</w:t>
      </w:r>
      <w:r>
        <w:t xml:space="preserve">. </w:t>
      </w:r>
      <w:r w:rsidR="008A53BC">
        <w:t xml:space="preserve">Section 9 of the Rules also excludes from </w:t>
      </w:r>
      <w:r w:rsidR="0036551E">
        <w:t>coverage</w:t>
      </w:r>
      <w:r w:rsidR="008A53BC">
        <w:t xml:space="preserve"> under the Rules the </w:t>
      </w:r>
      <w:r w:rsidR="0036551E">
        <w:t>storage o</w:t>
      </w:r>
      <w:r w:rsidR="008A53BC">
        <w:t>f stocks in ships’ bunkers</w:t>
      </w:r>
      <w:r w:rsidR="0036551E">
        <w:t>,</w:t>
      </w:r>
      <w:r w:rsidR="008A53BC">
        <w:t xml:space="preserve"> and </w:t>
      </w:r>
      <w:r w:rsidR="0036551E">
        <w:t xml:space="preserve">the holding of </w:t>
      </w:r>
      <w:r w:rsidR="008A53BC">
        <w:t>military stocks. As a result of these provisions, t</w:t>
      </w:r>
      <w:r w:rsidR="002975E1">
        <w:t xml:space="preserve">he Act </w:t>
      </w:r>
      <w:r w:rsidR="008A53BC">
        <w:t xml:space="preserve">and </w:t>
      </w:r>
      <w:r w:rsidR="002975E1">
        <w:t>the Rules exclude the following types of stock from any reporting obligation:</w:t>
      </w:r>
    </w:p>
    <w:p w14:paraId="4878C5A1" w14:textId="77777777" w:rsidR="002975E1" w:rsidRDefault="003A3186" w:rsidP="002975E1">
      <w:pPr>
        <w:pStyle w:val="Numberedparagraph"/>
        <w:numPr>
          <w:ilvl w:val="1"/>
          <w:numId w:val="7"/>
        </w:numPr>
        <w:spacing w:line="276" w:lineRule="auto"/>
      </w:pPr>
      <w:r>
        <w:t>s</w:t>
      </w:r>
      <w:r w:rsidR="002975E1">
        <w:t>tock held wholly or principally for private or domestic (i.e. household) use;</w:t>
      </w:r>
    </w:p>
    <w:p w14:paraId="5C428FAC" w14:textId="77777777" w:rsidR="002975E1" w:rsidRDefault="003A3186" w:rsidP="002975E1">
      <w:pPr>
        <w:pStyle w:val="Numberedparagraph"/>
        <w:numPr>
          <w:ilvl w:val="1"/>
          <w:numId w:val="7"/>
        </w:numPr>
        <w:spacing w:line="276" w:lineRule="auto"/>
      </w:pPr>
      <w:r>
        <w:t>s</w:t>
      </w:r>
      <w:r w:rsidR="002975E1">
        <w:t>tock held in a service station or retail store;</w:t>
      </w:r>
    </w:p>
    <w:p w14:paraId="008E9FB1" w14:textId="77777777" w:rsidR="002975E1" w:rsidRDefault="003A3186" w:rsidP="002975E1">
      <w:pPr>
        <w:pStyle w:val="Numberedparagraph"/>
        <w:numPr>
          <w:ilvl w:val="1"/>
          <w:numId w:val="7"/>
        </w:numPr>
        <w:spacing w:line="276" w:lineRule="auto"/>
      </w:pPr>
      <w:r>
        <w:t>s</w:t>
      </w:r>
      <w:r w:rsidR="002975E1">
        <w:t>tock held in a personal vehicle, road tanker, rail tank car or pipeline;</w:t>
      </w:r>
    </w:p>
    <w:p w14:paraId="7A90F37B" w14:textId="77777777" w:rsidR="002975E1" w:rsidRDefault="003A3186" w:rsidP="002975E1">
      <w:pPr>
        <w:pStyle w:val="Numberedparagraph"/>
        <w:numPr>
          <w:ilvl w:val="1"/>
          <w:numId w:val="7"/>
        </w:numPr>
        <w:spacing w:line="276" w:lineRule="auto"/>
      </w:pPr>
      <w:r>
        <w:rPr>
          <w:rFonts w:cs="Times New Roman"/>
        </w:rPr>
        <w:t>s</w:t>
      </w:r>
      <w:r w:rsidR="002975E1">
        <w:rPr>
          <w:rFonts w:cs="Times New Roman"/>
        </w:rPr>
        <w:t>tock held in a ship’s bunker;</w:t>
      </w:r>
    </w:p>
    <w:p w14:paraId="25D9C001" w14:textId="77777777" w:rsidR="008A53BC" w:rsidRPr="008A53BC" w:rsidRDefault="003A3186" w:rsidP="002975E1">
      <w:pPr>
        <w:pStyle w:val="Numberedparagraph"/>
        <w:numPr>
          <w:ilvl w:val="1"/>
          <w:numId w:val="7"/>
        </w:numPr>
        <w:spacing w:line="276" w:lineRule="auto"/>
      </w:pPr>
      <w:r>
        <w:t>s</w:t>
      </w:r>
      <w:r w:rsidR="002975E1">
        <w:t xml:space="preserve">tock held </w:t>
      </w:r>
      <w:r w:rsidR="002975E1">
        <w:rPr>
          <w:rFonts w:cs="Times New Roman"/>
        </w:rPr>
        <w:t>exclusively for the use of the Australian Defence Force or another military</w:t>
      </w:r>
      <w:r w:rsidR="008A53BC">
        <w:rPr>
          <w:rFonts w:cs="Times New Roman"/>
        </w:rPr>
        <w:t>; and</w:t>
      </w:r>
    </w:p>
    <w:p w14:paraId="2DA7B138" w14:textId="77777777" w:rsidR="0045590B" w:rsidRDefault="008A53BC" w:rsidP="002975E1">
      <w:pPr>
        <w:pStyle w:val="Numberedparagraph"/>
        <w:numPr>
          <w:ilvl w:val="1"/>
          <w:numId w:val="7"/>
        </w:numPr>
        <w:spacing w:line="276" w:lineRule="auto"/>
      </w:pPr>
      <w:r>
        <w:lastRenderedPageBreak/>
        <w:t>stock held in circumstances not covered by the a</w:t>
      </w:r>
      <w:r w:rsidR="0036551E">
        <w:t xml:space="preserve">bove categories that also falls </w:t>
      </w:r>
      <w:r>
        <w:t>outside of</w:t>
      </w:r>
      <w:r w:rsidR="0036551E">
        <w:t xml:space="preserve"> the circumstances set out in</w:t>
      </w:r>
      <w:r>
        <w:t xml:space="preserve"> section 7 of the Rules</w:t>
      </w:r>
      <w:r w:rsidR="005D1196">
        <w:t xml:space="preserve"> (discussed at paragraphs 27 – 37 of this Explanatory Statement)</w:t>
      </w:r>
      <w:r w:rsidR="00F22BCC">
        <w:t>.</w:t>
      </w:r>
      <w:r>
        <w:t xml:space="preserve"> </w:t>
      </w:r>
    </w:p>
    <w:p w14:paraId="1546766E" w14:textId="77777777" w:rsidR="004C0DE9" w:rsidRPr="000474F7" w:rsidRDefault="00797BB5" w:rsidP="00B91A39">
      <w:pPr>
        <w:pStyle w:val="Numberedparagraph"/>
        <w:keepNext/>
        <w:spacing w:after="200" w:line="276" w:lineRule="auto"/>
        <w:ind w:left="720" w:hanging="720"/>
        <w:rPr>
          <w:rFonts w:cs="Times New Roman"/>
        </w:rPr>
      </w:pPr>
      <w:r>
        <w:t xml:space="preserve">The meaning of ‘private or domestic use’ is explained in the Explanatory Memorandum to the Act at paragraph 46 as follows: </w:t>
      </w:r>
    </w:p>
    <w:p w14:paraId="4B3A1F92" w14:textId="77777777" w:rsidR="00D94D87" w:rsidRDefault="00797BB5" w:rsidP="000474F7">
      <w:pPr>
        <w:pStyle w:val="Numberedparagraph"/>
        <w:numPr>
          <w:ilvl w:val="0"/>
          <w:numId w:val="0"/>
        </w:numPr>
        <w:spacing w:after="200" w:line="276" w:lineRule="auto"/>
        <w:ind w:left="1440"/>
        <w:rPr>
          <w:rFonts w:cs="Times New Roman"/>
        </w:rPr>
      </w:pPr>
      <w:r>
        <w:rPr>
          <w:rFonts w:cs="Times New Roman"/>
        </w:rPr>
        <w:t>The exclusion of stocks for private or domestic use from the definition of holding stock is not intended to cover stocks held for commercial use. For example, if a mining company imported diesel from an overseas supplier to use in its own operations, it would be required to report the stock that remained in storage at the end of the month.</w:t>
      </w:r>
    </w:p>
    <w:p w14:paraId="0FD9F411" w14:textId="77777777" w:rsidR="00797BB5" w:rsidRPr="00236DF4" w:rsidRDefault="00236DF4" w:rsidP="000474F7">
      <w:pPr>
        <w:pStyle w:val="Numberedparagraph"/>
        <w:numPr>
          <w:ilvl w:val="0"/>
          <w:numId w:val="0"/>
        </w:numPr>
        <w:spacing w:after="200" w:line="276" w:lineRule="auto"/>
        <w:ind w:left="720"/>
        <w:rPr>
          <w:rFonts w:cs="Times New Roman"/>
        </w:rPr>
      </w:pPr>
      <w:r>
        <w:rPr>
          <w:rFonts w:cs="Times New Roman"/>
        </w:rPr>
        <w:t xml:space="preserve">Therefore, it is only stocks held for personal and private household consumption that are not reportable. </w:t>
      </w:r>
    </w:p>
    <w:p w14:paraId="3774E35A" w14:textId="77777777" w:rsidR="00C03139" w:rsidRDefault="00C03139" w:rsidP="00C03139">
      <w:pPr>
        <w:pStyle w:val="Numberedparagraph"/>
        <w:spacing w:line="276" w:lineRule="auto"/>
        <w:ind w:left="709" w:hanging="709"/>
      </w:pPr>
      <w:r>
        <w:t>Sub</w:t>
      </w:r>
      <w:r w:rsidR="00BB332B">
        <w:t>section</w:t>
      </w:r>
      <w:r>
        <w:t xml:space="preserve"> 1</w:t>
      </w:r>
      <w:r w:rsidR="00186B0E">
        <w:t>7</w:t>
      </w:r>
      <w:r>
        <w:t xml:space="preserve">(1) sets out in a table </w:t>
      </w:r>
      <w:r w:rsidR="00354D73">
        <w:t>the reporting obligations</w:t>
      </w:r>
      <w:r>
        <w:t xml:space="preserve"> prescribed by the Minister. </w:t>
      </w:r>
      <w:r w:rsidR="00BB332B">
        <w:t>Paragraph</w:t>
      </w:r>
      <w:r w:rsidR="00213D32">
        <w:t>s</w:t>
      </w:r>
      <w:r w:rsidR="00BB332B">
        <w:t xml:space="preserve"> </w:t>
      </w:r>
      <w:r>
        <w:t>1</w:t>
      </w:r>
      <w:r w:rsidR="00186B0E">
        <w:t>7</w:t>
      </w:r>
      <w:r>
        <w:t>(1)(a)-(c) explain how the table should be read, which is that:</w:t>
      </w:r>
    </w:p>
    <w:p w14:paraId="1A42CFDC" w14:textId="77777777" w:rsidR="00C03139" w:rsidRDefault="00C03139" w:rsidP="00C03139">
      <w:pPr>
        <w:pStyle w:val="Numberedparagraph"/>
        <w:numPr>
          <w:ilvl w:val="1"/>
          <w:numId w:val="7"/>
        </w:numPr>
        <w:spacing w:line="276" w:lineRule="auto"/>
      </w:pPr>
      <w:r>
        <w:t>The act</w:t>
      </w:r>
      <w:r w:rsidR="00BE3D56">
        <w:t>ivity (</w:t>
      </w:r>
      <w:r>
        <w:t xml:space="preserve">keeping a covered product in storage or holding a contractual right to take possession of a covered product) and covered </w:t>
      </w:r>
      <w:r w:rsidR="00BE3D56">
        <w:t xml:space="preserve">products </w:t>
      </w:r>
      <w:r>
        <w:t xml:space="preserve">which </w:t>
      </w:r>
      <w:r w:rsidR="00BE3D56">
        <w:t>are</w:t>
      </w:r>
      <w:r>
        <w:t xml:space="preserve"> subject to </w:t>
      </w:r>
      <w:r w:rsidR="0045590B">
        <w:t>the</w:t>
      </w:r>
      <w:r>
        <w:t xml:space="preserve"> reporting obligation are set out in Column 1.</w:t>
      </w:r>
    </w:p>
    <w:p w14:paraId="102CEE6F" w14:textId="77777777" w:rsidR="00C03139" w:rsidRDefault="00C03139" w:rsidP="00C03139">
      <w:pPr>
        <w:pStyle w:val="Numberedparagraph"/>
        <w:numPr>
          <w:ilvl w:val="1"/>
          <w:numId w:val="7"/>
        </w:numPr>
        <w:spacing w:line="276" w:lineRule="auto"/>
      </w:pPr>
      <w:r>
        <w:t>The person to whom the reporting obligation applies is stated in Column 2.</w:t>
      </w:r>
    </w:p>
    <w:p w14:paraId="26C3E50D" w14:textId="77777777" w:rsidR="00C03139" w:rsidRDefault="00C03139" w:rsidP="00C03139">
      <w:pPr>
        <w:pStyle w:val="Numberedparagraph"/>
        <w:numPr>
          <w:ilvl w:val="1"/>
          <w:numId w:val="7"/>
        </w:numPr>
        <w:spacing w:line="276" w:lineRule="auto"/>
      </w:pPr>
      <w:r>
        <w:t xml:space="preserve">The fuel information that must be reported is specified in Column 3. </w:t>
      </w:r>
    </w:p>
    <w:p w14:paraId="4436FD90" w14:textId="77777777" w:rsidR="00BE3D56" w:rsidRDefault="00BE3D56" w:rsidP="00BE3D56">
      <w:pPr>
        <w:pStyle w:val="Numberedparagraph"/>
        <w:spacing w:line="276" w:lineRule="auto"/>
        <w:ind w:left="709" w:hanging="709"/>
      </w:pPr>
      <w:r>
        <w:t xml:space="preserve">Each table item should be read as a whole to understand the </w:t>
      </w:r>
      <w:r w:rsidR="009844A5">
        <w:t xml:space="preserve">prescribed </w:t>
      </w:r>
      <w:r>
        <w:t xml:space="preserve">reporting obligation. </w:t>
      </w:r>
    </w:p>
    <w:p w14:paraId="0CAA4EFD" w14:textId="77777777" w:rsidR="004A6084" w:rsidRDefault="004A6084" w:rsidP="00BE3D56">
      <w:pPr>
        <w:pStyle w:val="Numberedparagraph"/>
        <w:spacing w:line="276" w:lineRule="auto"/>
        <w:ind w:left="709" w:hanging="709"/>
      </w:pPr>
      <w:r>
        <w:t xml:space="preserve">The </w:t>
      </w:r>
      <w:r w:rsidR="0045590B">
        <w:t>reporting period</w:t>
      </w:r>
      <w:r w:rsidR="002975E1">
        <w:t>s</w:t>
      </w:r>
      <w:r>
        <w:t xml:space="preserve"> and </w:t>
      </w:r>
      <w:r w:rsidR="0045590B">
        <w:t>reporting deadline</w:t>
      </w:r>
      <w:r w:rsidR="002975E1">
        <w:t>s</w:t>
      </w:r>
      <w:r>
        <w:t xml:space="preserve"> are prescribed in </w:t>
      </w:r>
      <w:r w:rsidR="00BB332B">
        <w:t>section</w:t>
      </w:r>
      <w:r>
        <w:t xml:space="preserve"> 1</w:t>
      </w:r>
      <w:r w:rsidR="00186B0E">
        <w:t>8</w:t>
      </w:r>
      <w:r>
        <w:t xml:space="preserve">. </w:t>
      </w:r>
    </w:p>
    <w:p w14:paraId="7CA4F2EF" w14:textId="77777777" w:rsidR="00BE3D56" w:rsidRDefault="00BE3D56" w:rsidP="00C03139">
      <w:pPr>
        <w:pStyle w:val="Numberedparagraph"/>
        <w:spacing w:line="276" w:lineRule="auto"/>
        <w:ind w:left="720" w:hanging="720"/>
      </w:pPr>
      <w:r>
        <w:t>The reporting requirements in relation to holding stock a</w:t>
      </w:r>
      <w:r w:rsidR="0045590B">
        <w:t xml:space="preserve">re provided in a separate table </w:t>
      </w:r>
      <w:r w:rsidR="009844A5">
        <w:t xml:space="preserve">to other covered activities </w:t>
      </w:r>
      <w:r>
        <w:t>due to a number of specific requirements for stockholding</w:t>
      </w:r>
      <w:r w:rsidR="0045590B">
        <w:t xml:space="preserve"> report</w:t>
      </w:r>
      <w:r>
        <w:t>s</w:t>
      </w:r>
      <w:r w:rsidR="009844A5">
        <w:t>, including</w:t>
      </w:r>
      <w:r>
        <w:t>:</w:t>
      </w:r>
    </w:p>
    <w:p w14:paraId="5F08AF69" w14:textId="77777777" w:rsidR="00BE3D56" w:rsidRDefault="00BE3D56" w:rsidP="00BE3D56">
      <w:pPr>
        <w:pStyle w:val="Numberedparagraph"/>
        <w:numPr>
          <w:ilvl w:val="1"/>
          <w:numId w:val="7"/>
        </w:numPr>
        <w:spacing w:line="276" w:lineRule="auto"/>
      </w:pPr>
      <w:r>
        <w:t xml:space="preserve">Stock may only be </w:t>
      </w:r>
      <w:r w:rsidR="00354D73">
        <w:t>subject to a</w:t>
      </w:r>
      <w:r>
        <w:t xml:space="preserve"> reporting obligation </w:t>
      </w:r>
      <w:r w:rsidR="007F767E">
        <w:t>when</w:t>
      </w:r>
      <w:r w:rsidR="0045590B">
        <w:t xml:space="preserve"> it is in a particular location</w:t>
      </w:r>
      <w:r>
        <w:t xml:space="preserve">. </w:t>
      </w:r>
      <w:r w:rsidR="004A4415">
        <w:t xml:space="preserve">For example, </w:t>
      </w:r>
      <w:r w:rsidR="0045590B">
        <w:t xml:space="preserve">certain types of stock </w:t>
      </w:r>
      <w:r w:rsidR="009844A5">
        <w:t>held</w:t>
      </w:r>
      <w:r w:rsidR="0045590B">
        <w:t xml:space="preserve"> outside Australia are prescribed </w:t>
      </w:r>
      <w:r w:rsidR="009844A5">
        <w:t xml:space="preserve">as reportable </w:t>
      </w:r>
      <w:r w:rsidR="0045590B">
        <w:t>under table item 2</w:t>
      </w:r>
      <w:r w:rsidR="009844A5">
        <w:t>, 3 and 4</w:t>
      </w:r>
      <w:r w:rsidR="004A4415">
        <w:t>.</w:t>
      </w:r>
    </w:p>
    <w:p w14:paraId="6B3E4142" w14:textId="3EA5C633" w:rsidR="00BE3D56" w:rsidRDefault="00BE3D56" w:rsidP="00BE3D56">
      <w:pPr>
        <w:pStyle w:val="Numberedparagraph"/>
        <w:numPr>
          <w:ilvl w:val="1"/>
          <w:numId w:val="7"/>
        </w:numPr>
        <w:spacing w:line="276" w:lineRule="auto"/>
      </w:pPr>
      <w:r>
        <w:t xml:space="preserve">Stock may only be </w:t>
      </w:r>
      <w:r w:rsidR="00354D73">
        <w:t>subject</w:t>
      </w:r>
      <w:r>
        <w:t xml:space="preserve"> to the reporting obligation </w:t>
      </w:r>
      <w:r w:rsidR="007F767E">
        <w:t>when</w:t>
      </w:r>
      <w:r>
        <w:t xml:space="preserve"> it is subject to a particular </w:t>
      </w:r>
      <w:r w:rsidR="00354D73">
        <w:t xml:space="preserve">type of </w:t>
      </w:r>
      <w:r>
        <w:t>contractual relationship.</w:t>
      </w:r>
      <w:r w:rsidR="004A4415">
        <w:t xml:space="preserve"> For example, </w:t>
      </w:r>
      <w:r w:rsidR="00886409">
        <w:t>covered product on water</w:t>
      </w:r>
      <w:r w:rsidR="00FB7879">
        <w:t xml:space="preserve"> under table item 3.</w:t>
      </w:r>
    </w:p>
    <w:p w14:paraId="4E5A7351" w14:textId="77777777" w:rsidR="007D0A6D" w:rsidRDefault="00C03139" w:rsidP="004A4415">
      <w:pPr>
        <w:pStyle w:val="Numberedparagraph"/>
        <w:spacing w:line="276" w:lineRule="auto"/>
        <w:ind w:left="720" w:hanging="720"/>
      </w:pPr>
      <w:r>
        <w:t>The</w:t>
      </w:r>
      <w:r w:rsidR="00BE3D56">
        <w:t xml:space="preserve"> </w:t>
      </w:r>
      <w:r w:rsidR="0045590B">
        <w:t>reporting</w:t>
      </w:r>
      <w:r w:rsidR="00BE3D56">
        <w:t xml:space="preserve"> requirements in sub</w:t>
      </w:r>
      <w:r w:rsidR="00BB332B">
        <w:t>section</w:t>
      </w:r>
      <w:r w:rsidR="0045590B">
        <w:t xml:space="preserve"> 1</w:t>
      </w:r>
      <w:r w:rsidR="00186B0E">
        <w:t>7</w:t>
      </w:r>
      <w:r w:rsidR="0045590B">
        <w:t>(1) are intended to align</w:t>
      </w:r>
      <w:r w:rsidR="00BE3D56">
        <w:t xml:space="preserve"> with the </w:t>
      </w:r>
      <w:r w:rsidR="004A4415">
        <w:t>approach of</w:t>
      </w:r>
      <w:r w:rsidR="00BE3D56">
        <w:t xml:space="preserve"> the IEA Secretariat when determining compliance with the oil stockholding obligation</w:t>
      </w:r>
      <w:r w:rsidR="009844A5">
        <w:t xml:space="preserve"> </w:t>
      </w:r>
      <w:r w:rsidR="002975E1">
        <w:t xml:space="preserve">in the IEP Treaty </w:t>
      </w:r>
      <w:r w:rsidR="009844A5">
        <w:t xml:space="preserve">and capture stock data relevant to monitoring </w:t>
      </w:r>
      <w:r w:rsidR="002975E1">
        <w:t>energy</w:t>
      </w:r>
      <w:r w:rsidR="009844A5">
        <w:t xml:space="preserve"> security. </w:t>
      </w:r>
    </w:p>
    <w:p w14:paraId="7F06CB74" w14:textId="77777777" w:rsidR="00300B8F" w:rsidRPr="00300B8F" w:rsidRDefault="007D0A6D" w:rsidP="005D1196">
      <w:pPr>
        <w:pStyle w:val="Numberedparagraph"/>
        <w:keepNext/>
        <w:numPr>
          <w:ilvl w:val="0"/>
          <w:numId w:val="0"/>
        </w:numPr>
        <w:spacing w:line="276" w:lineRule="auto"/>
        <w:rPr>
          <w:i/>
        </w:rPr>
      </w:pPr>
      <w:r>
        <w:rPr>
          <w:i/>
        </w:rPr>
        <w:t xml:space="preserve">General </w:t>
      </w:r>
      <w:r w:rsidR="00D6236C">
        <w:rPr>
          <w:i/>
        </w:rPr>
        <w:t>s</w:t>
      </w:r>
      <w:r>
        <w:rPr>
          <w:i/>
        </w:rPr>
        <w:t xml:space="preserve">tock </w:t>
      </w:r>
      <w:r w:rsidR="00D6236C">
        <w:rPr>
          <w:i/>
        </w:rPr>
        <w:t>r</w:t>
      </w:r>
      <w:r>
        <w:rPr>
          <w:i/>
        </w:rPr>
        <w:t xml:space="preserve">eporting </w:t>
      </w:r>
      <w:r w:rsidR="00D6236C">
        <w:rPr>
          <w:i/>
        </w:rPr>
        <w:t>o</w:t>
      </w:r>
      <w:r>
        <w:rPr>
          <w:i/>
        </w:rPr>
        <w:t>bligation</w:t>
      </w:r>
    </w:p>
    <w:p w14:paraId="42B829F6" w14:textId="77777777" w:rsidR="001758A6" w:rsidRDefault="00300B8F" w:rsidP="001758A6">
      <w:pPr>
        <w:pStyle w:val="Numberedparagraph"/>
        <w:spacing w:line="276" w:lineRule="auto"/>
        <w:ind w:left="720" w:hanging="720"/>
      </w:pPr>
      <w:r>
        <w:t xml:space="preserve">Table item 1 </w:t>
      </w:r>
      <w:r w:rsidR="00C16DFD">
        <w:t>of</w:t>
      </w:r>
      <w:r w:rsidR="00BF33CD">
        <w:t xml:space="preserve"> sub</w:t>
      </w:r>
      <w:r w:rsidR="00BB332B">
        <w:t>section</w:t>
      </w:r>
      <w:r w:rsidR="00BF33CD">
        <w:t xml:space="preserve"> 1</w:t>
      </w:r>
      <w:r w:rsidR="00186B0E">
        <w:t>7</w:t>
      </w:r>
      <w:r w:rsidR="00BF33CD">
        <w:t>(1)</w:t>
      </w:r>
      <w:r w:rsidR="00452DEB">
        <w:t xml:space="preserve"> of the Rules</w:t>
      </w:r>
      <w:r w:rsidR="00BF33CD">
        <w:t xml:space="preserve"> </w:t>
      </w:r>
      <w:r>
        <w:t>prescribes</w:t>
      </w:r>
      <w:r w:rsidR="00452DEB">
        <w:t xml:space="preserve"> for the purposes of section 11 of the Act</w:t>
      </w:r>
      <w:r>
        <w:t xml:space="preserve"> </w:t>
      </w:r>
      <w:r w:rsidR="00C16DFD">
        <w:t>a</w:t>
      </w:r>
      <w:r>
        <w:t xml:space="preserve"> general stock reporting obligation. </w:t>
      </w:r>
    </w:p>
    <w:p w14:paraId="2E2E8FEB" w14:textId="77777777" w:rsidR="00354D73" w:rsidRDefault="00C16DFD" w:rsidP="001758A6">
      <w:pPr>
        <w:pStyle w:val="Numberedparagraph"/>
        <w:spacing w:line="276" w:lineRule="auto"/>
        <w:ind w:left="720" w:hanging="720"/>
      </w:pPr>
      <w:r>
        <w:lastRenderedPageBreak/>
        <w:t>Column 1 provide</w:t>
      </w:r>
      <w:r w:rsidR="00452DEB">
        <w:t>s</w:t>
      </w:r>
      <w:r>
        <w:t xml:space="preserve"> that </w:t>
      </w:r>
      <w:r w:rsidR="00CE54EB">
        <w:t>unless</w:t>
      </w:r>
      <w:r>
        <w:t xml:space="preserve"> table items 2 to </w:t>
      </w:r>
      <w:r w:rsidR="0045590B">
        <w:t>5</w:t>
      </w:r>
      <w:r>
        <w:t xml:space="preserve"> apply to </w:t>
      </w:r>
      <w:r w:rsidR="00BE3976">
        <w:t xml:space="preserve">reportable </w:t>
      </w:r>
      <w:r>
        <w:t>stock</w:t>
      </w:r>
      <w:r w:rsidR="00CE54EB">
        <w:t>,</w:t>
      </w:r>
      <w:r>
        <w:t xml:space="preserve"> </w:t>
      </w:r>
      <w:r w:rsidR="00CE54EB">
        <w:t>then the stock</w:t>
      </w:r>
      <w:r>
        <w:t xml:space="preserve"> is reportable under table item 1.</w:t>
      </w:r>
    </w:p>
    <w:p w14:paraId="4B540423" w14:textId="77777777" w:rsidR="00BE3976" w:rsidRDefault="00354D73" w:rsidP="002975E1">
      <w:pPr>
        <w:pStyle w:val="Numberedparagraph"/>
        <w:spacing w:line="276" w:lineRule="auto"/>
        <w:ind w:left="720" w:hanging="720"/>
      </w:pPr>
      <w:r>
        <w:t xml:space="preserve">Table item 1 is intended as a ‘catch all provision’. Any stock that is not covered by table items 2 to </w:t>
      </w:r>
      <w:r w:rsidR="007C013B">
        <w:t>5</w:t>
      </w:r>
      <w:r>
        <w:t xml:space="preserve"> or excluded by the Act or the Rules is prescribed</w:t>
      </w:r>
      <w:r w:rsidR="0045590B">
        <w:t xml:space="preserve">. No </w:t>
      </w:r>
      <w:r>
        <w:t xml:space="preserve">stock stored outside Australia </w:t>
      </w:r>
      <w:r w:rsidR="0045590B">
        <w:t>is prescribed under table item 1</w:t>
      </w:r>
      <w:r w:rsidR="00877A93">
        <w:t>,</w:t>
      </w:r>
      <w:r w:rsidR="0045590B">
        <w:t xml:space="preserve"> </w:t>
      </w:r>
      <w:r>
        <w:t>due to the application of sub</w:t>
      </w:r>
      <w:r w:rsidR="00BB332B">
        <w:t>section</w:t>
      </w:r>
      <w:r>
        <w:t xml:space="preserve"> 1</w:t>
      </w:r>
      <w:r w:rsidR="00186B0E">
        <w:t>7</w:t>
      </w:r>
      <w:r>
        <w:t xml:space="preserve">(2). </w:t>
      </w:r>
    </w:p>
    <w:p w14:paraId="712F7D6A" w14:textId="77777777" w:rsidR="00370337" w:rsidRDefault="00C16DFD" w:rsidP="002975E1">
      <w:pPr>
        <w:pStyle w:val="Numberedparagraph"/>
        <w:spacing w:line="276" w:lineRule="auto"/>
        <w:ind w:left="720" w:hanging="720"/>
      </w:pPr>
      <w:r>
        <w:t>Column 2 prescribe</w:t>
      </w:r>
      <w:r w:rsidR="00877A93">
        <w:t>s</w:t>
      </w:r>
      <w:r>
        <w:t xml:space="preserve"> that the reporting obligation applies to the regulat</w:t>
      </w:r>
      <w:r w:rsidR="002975E1">
        <w:t xml:space="preserve">ed entity who holds the stock. </w:t>
      </w:r>
      <w:r w:rsidR="00370337">
        <w:t xml:space="preserve">For the purposes of table item 1, the owner of the stock </w:t>
      </w:r>
      <w:r w:rsidR="00877A93">
        <w:t>is</w:t>
      </w:r>
      <w:r w:rsidR="00370337">
        <w:t xml:space="preserve"> the person who </w:t>
      </w:r>
      <w:r w:rsidR="006D41C0">
        <w:t>is required to report</w:t>
      </w:r>
      <w:r w:rsidR="00370337">
        <w:t xml:space="preserve">. </w:t>
      </w:r>
    </w:p>
    <w:p w14:paraId="45EB4F62" w14:textId="78B178E0" w:rsidR="00E836EC" w:rsidRDefault="00E836EC" w:rsidP="006E1A8B">
      <w:pPr>
        <w:pStyle w:val="Numberedparagraph"/>
        <w:spacing w:line="276" w:lineRule="auto"/>
        <w:ind w:left="720" w:hanging="720"/>
      </w:pPr>
      <w:r>
        <w:t>Column 3 prescribe</w:t>
      </w:r>
      <w:r w:rsidR="00877A93">
        <w:t>s</w:t>
      </w:r>
      <w:r>
        <w:t xml:space="preserve"> that the fuel information is the</w:t>
      </w:r>
      <w:r w:rsidR="00C16DFD">
        <w:t xml:space="preserve"> total</w:t>
      </w:r>
      <w:r>
        <w:t xml:space="preserve"> </w:t>
      </w:r>
      <w:r w:rsidR="006435F4">
        <w:t>quantity</w:t>
      </w:r>
      <w:r>
        <w:t xml:space="preserve"> of </w:t>
      </w:r>
      <w:r w:rsidR="00C16DFD">
        <w:t xml:space="preserve">the </w:t>
      </w:r>
      <w:r>
        <w:t xml:space="preserve">stock </w:t>
      </w:r>
      <w:r w:rsidR="00C16DFD">
        <w:t>held in each</w:t>
      </w:r>
      <w:r>
        <w:t xml:space="preserve"> </w:t>
      </w:r>
      <w:r w:rsidR="006435F4">
        <w:t>state or territory of Australia</w:t>
      </w:r>
      <w:r w:rsidR="00A45472">
        <w:t xml:space="preserve"> broken down by the categories and subcategories prescribed at Schedule 1.</w:t>
      </w:r>
      <w:r>
        <w:t xml:space="preserve"> </w:t>
      </w:r>
    </w:p>
    <w:p w14:paraId="6F513073" w14:textId="77777777" w:rsidR="00803332" w:rsidRDefault="006435F4" w:rsidP="006E1A8B">
      <w:pPr>
        <w:pStyle w:val="Numberedparagraph"/>
        <w:spacing w:line="276" w:lineRule="auto"/>
        <w:ind w:left="720" w:hanging="720"/>
      </w:pPr>
      <w:r>
        <w:t xml:space="preserve">Stocks should be reported in the state or territory </w:t>
      </w:r>
      <w:r w:rsidR="002975E1">
        <w:t>they were stored in</w:t>
      </w:r>
      <w:r>
        <w:t xml:space="preserve"> at the end of the relevant month. For example, i</w:t>
      </w:r>
      <w:r w:rsidR="00803332">
        <w:t xml:space="preserve">f fuel oil is </w:t>
      </w:r>
      <w:r>
        <w:t>stored</w:t>
      </w:r>
      <w:r w:rsidR="00803332">
        <w:t xml:space="preserve"> in Melbourne</w:t>
      </w:r>
      <w:r>
        <w:t xml:space="preserve"> at the end of the month</w:t>
      </w:r>
      <w:r w:rsidR="00803332">
        <w:t xml:space="preserve">, but the owner </w:t>
      </w:r>
      <w:r>
        <w:t>intends</w:t>
      </w:r>
      <w:r w:rsidR="00803332">
        <w:t xml:space="preserve"> </w:t>
      </w:r>
      <w:r>
        <w:t>to</w:t>
      </w:r>
      <w:r w:rsidR="00803332">
        <w:t xml:space="preserve"> </w:t>
      </w:r>
      <w:r w:rsidR="006D41C0">
        <w:t xml:space="preserve">transport the fuel oil to South Australia </w:t>
      </w:r>
      <w:r>
        <w:t xml:space="preserve">the next day (and then does so), </w:t>
      </w:r>
      <w:r w:rsidR="00803332">
        <w:t xml:space="preserve">the relevant state </w:t>
      </w:r>
      <w:r>
        <w:t xml:space="preserve">for reporting </w:t>
      </w:r>
      <w:r w:rsidR="006D41C0">
        <w:t>remains Victoria</w:t>
      </w:r>
      <w:r w:rsidR="00803332">
        <w:t xml:space="preserve">. </w:t>
      </w:r>
    </w:p>
    <w:p w14:paraId="18BCA16B" w14:textId="577D11E6" w:rsidR="00C16DFD" w:rsidRDefault="00C16DFD" w:rsidP="006E1A8B">
      <w:pPr>
        <w:pStyle w:val="Numberedparagraph"/>
        <w:spacing w:line="276" w:lineRule="auto"/>
        <w:ind w:left="720" w:hanging="720"/>
      </w:pPr>
      <w:r>
        <w:t>When reporting under table item 1, the fuel information must be separated into the relevant categories and sub-categories set out at Schedule 1.</w:t>
      </w:r>
      <w:r w:rsidR="00A45472">
        <w:t xml:space="preserve"> The subcategories relevant to reports under table item 1 are set out in Column 4 </w:t>
      </w:r>
      <w:r w:rsidR="00AD493B">
        <w:t xml:space="preserve">of the table at subclause 1(1) </w:t>
      </w:r>
      <w:r w:rsidR="00A45472">
        <w:t xml:space="preserve">of Schedule 1. </w:t>
      </w:r>
    </w:p>
    <w:p w14:paraId="1789403E" w14:textId="77777777" w:rsidR="003941BD" w:rsidRDefault="003941BD" w:rsidP="003941BD">
      <w:pPr>
        <w:pStyle w:val="Numberedparagraph"/>
        <w:spacing w:line="276" w:lineRule="auto"/>
        <w:ind w:left="720" w:hanging="720"/>
      </w:pPr>
      <w:r>
        <w:t xml:space="preserve">The reporting period </w:t>
      </w:r>
      <w:r w:rsidR="006D41C0">
        <w:t>is specified at sub</w:t>
      </w:r>
      <w:r w:rsidR="00BB332B">
        <w:t>section</w:t>
      </w:r>
      <w:r w:rsidR="006D41C0">
        <w:t xml:space="preserve"> 1</w:t>
      </w:r>
      <w:r w:rsidR="00B7157E">
        <w:t>8</w:t>
      </w:r>
      <w:r w:rsidR="006D41C0">
        <w:t>(1). F</w:t>
      </w:r>
      <w:r>
        <w:t xml:space="preserve">or </w:t>
      </w:r>
      <w:r w:rsidR="00F404AE">
        <w:t xml:space="preserve">the fuel information prescribed under </w:t>
      </w:r>
      <w:r>
        <w:t xml:space="preserve">table item 1 </w:t>
      </w:r>
      <w:r w:rsidR="006D41C0">
        <w:t xml:space="preserve">it </w:t>
      </w:r>
      <w:r w:rsidR="00FD0A13">
        <w:t>is</w:t>
      </w:r>
      <w:r>
        <w:t xml:space="preserve"> a calendar month</w:t>
      </w:r>
      <w:r w:rsidR="002975E1">
        <w:t xml:space="preserve"> and the reporting deadline is 15</w:t>
      </w:r>
      <w:r w:rsidR="00F22BCC">
        <w:t> </w:t>
      </w:r>
      <w:r w:rsidR="002975E1">
        <w:t>days after the end of that month</w:t>
      </w:r>
      <w:r>
        <w:t>.</w:t>
      </w:r>
    </w:p>
    <w:p w14:paraId="0772511C" w14:textId="77777777" w:rsidR="009B5797" w:rsidRPr="009B5797" w:rsidRDefault="009B5797" w:rsidP="009B5797">
      <w:pPr>
        <w:pStyle w:val="Numberedparagraph"/>
        <w:numPr>
          <w:ilvl w:val="0"/>
          <w:numId w:val="0"/>
        </w:numPr>
        <w:spacing w:line="276" w:lineRule="auto"/>
        <w:rPr>
          <w:i/>
        </w:rPr>
      </w:pPr>
      <w:r w:rsidRPr="002429FF">
        <w:rPr>
          <w:i/>
        </w:rPr>
        <w:t xml:space="preserve">Stocks </w:t>
      </w:r>
      <w:r w:rsidR="003941BD" w:rsidRPr="002429FF">
        <w:rPr>
          <w:i/>
        </w:rPr>
        <w:t>k</w:t>
      </w:r>
      <w:r w:rsidRPr="002429FF">
        <w:rPr>
          <w:i/>
        </w:rPr>
        <w:t xml:space="preserve">ept in </w:t>
      </w:r>
      <w:r w:rsidR="003941BD" w:rsidRPr="002429FF">
        <w:rPr>
          <w:i/>
        </w:rPr>
        <w:t>s</w:t>
      </w:r>
      <w:r w:rsidRPr="002429FF">
        <w:rPr>
          <w:i/>
        </w:rPr>
        <w:t xml:space="preserve">torage </w:t>
      </w:r>
      <w:r w:rsidR="003941BD" w:rsidRPr="002429FF">
        <w:rPr>
          <w:i/>
        </w:rPr>
        <w:t>o</w:t>
      </w:r>
      <w:r w:rsidRPr="002429FF">
        <w:rPr>
          <w:i/>
        </w:rPr>
        <w:t>utside Australia</w:t>
      </w:r>
    </w:p>
    <w:p w14:paraId="479E56B2" w14:textId="77777777" w:rsidR="00126DF9" w:rsidRDefault="003941BD" w:rsidP="006E1A8B">
      <w:pPr>
        <w:pStyle w:val="Numberedparagraph"/>
        <w:spacing w:line="276" w:lineRule="auto"/>
        <w:ind w:left="720" w:hanging="720"/>
      </w:pPr>
      <w:r>
        <w:t xml:space="preserve">Table item 2 prescribes </w:t>
      </w:r>
      <w:r w:rsidR="002975E1">
        <w:t xml:space="preserve">for the purposes of section 11 of the Act </w:t>
      </w:r>
      <w:r>
        <w:t xml:space="preserve">a </w:t>
      </w:r>
      <w:r w:rsidR="00126DF9">
        <w:t>reporting obligation for</w:t>
      </w:r>
      <w:r w:rsidR="00FE3AEE">
        <w:t xml:space="preserve"> </w:t>
      </w:r>
      <w:r w:rsidR="00126DF9">
        <w:t>stocks held outside Australia</w:t>
      </w:r>
      <w:r w:rsidR="00534017">
        <w:t xml:space="preserve"> that are not ‘covered products on water’</w:t>
      </w:r>
      <w:r w:rsidR="00126DF9">
        <w:t>.</w:t>
      </w:r>
    </w:p>
    <w:p w14:paraId="2070B4FF" w14:textId="77777777" w:rsidR="00B6034E" w:rsidRDefault="003941BD" w:rsidP="00370337">
      <w:pPr>
        <w:pStyle w:val="Numberedparagraph"/>
        <w:spacing w:line="276" w:lineRule="auto"/>
        <w:ind w:left="720" w:hanging="720"/>
      </w:pPr>
      <w:r>
        <w:t xml:space="preserve">Column 1 </w:t>
      </w:r>
      <w:r w:rsidR="002975E1">
        <w:t>refers to the circumstances</w:t>
      </w:r>
      <w:r w:rsidR="00126DF9">
        <w:t xml:space="preserve"> </w:t>
      </w:r>
      <w:r>
        <w:t xml:space="preserve">set out at </w:t>
      </w:r>
      <w:r w:rsidR="00BB332B">
        <w:t>paragraph</w:t>
      </w:r>
      <w:r w:rsidR="00877A93">
        <w:t> </w:t>
      </w:r>
      <w:r>
        <w:t>7(a)</w:t>
      </w:r>
      <w:r w:rsidR="002975E1">
        <w:t>. This means that a reporting obligation applies</w:t>
      </w:r>
      <w:r w:rsidR="00126DF9">
        <w:t xml:space="preserve"> </w:t>
      </w:r>
      <w:r w:rsidR="002975E1">
        <w:t>if</w:t>
      </w:r>
      <w:r w:rsidR="00B6034E">
        <w:t>:</w:t>
      </w:r>
    </w:p>
    <w:p w14:paraId="1EDC554F" w14:textId="77777777" w:rsidR="00D6236C" w:rsidRDefault="00F22BCC" w:rsidP="00B6034E">
      <w:pPr>
        <w:pStyle w:val="Numberedparagraph"/>
        <w:numPr>
          <w:ilvl w:val="1"/>
          <w:numId w:val="7"/>
        </w:numPr>
        <w:spacing w:line="276" w:lineRule="auto"/>
      </w:pPr>
      <w:r>
        <w:t>s</w:t>
      </w:r>
      <w:r w:rsidR="00B6034E">
        <w:t xml:space="preserve">tock is stored outside Australia; </w:t>
      </w:r>
      <w:r w:rsidR="00236DF4">
        <w:t>and</w:t>
      </w:r>
    </w:p>
    <w:p w14:paraId="05C173CC" w14:textId="77777777" w:rsidR="00126DF9" w:rsidRDefault="00F22BCC" w:rsidP="00B6034E">
      <w:pPr>
        <w:pStyle w:val="Numberedparagraph"/>
        <w:numPr>
          <w:ilvl w:val="1"/>
          <w:numId w:val="7"/>
        </w:numPr>
        <w:spacing w:line="276" w:lineRule="auto"/>
      </w:pPr>
      <w:r>
        <w:t>t</w:t>
      </w:r>
      <w:r w:rsidR="00126DF9">
        <w:t>he stock is owned by a regulated entity</w:t>
      </w:r>
      <w:r w:rsidR="002975E1">
        <w:t xml:space="preserve"> </w:t>
      </w:r>
      <w:r w:rsidR="00126DF9">
        <w:t>in Australia;</w:t>
      </w:r>
      <w:r w:rsidR="00236DF4">
        <w:t xml:space="preserve"> and</w:t>
      </w:r>
    </w:p>
    <w:p w14:paraId="69840025" w14:textId="77777777" w:rsidR="00534017" w:rsidRDefault="00534017" w:rsidP="00B6034E">
      <w:pPr>
        <w:pStyle w:val="Numberedparagraph"/>
        <w:numPr>
          <w:ilvl w:val="1"/>
          <w:numId w:val="7"/>
        </w:numPr>
        <w:spacing w:line="276" w:lineRule="auto"/>
      </w:pPr>
      <w:r>
        <w:t>the stock is not stored on a tanker ship awaiting delivery to Australia (this is covered by table items 3 and 4); and</w:t>
      </w:r>
    </w:p>
    <w:p w14:paraId="08067DA3" w14:textId="77777777" w:rsidR="00126DF9" w:rsidRDefault="00F22BCC" w:rsidP="00B6034E">
      <w:pPr>
        <w:pStyle w:val="Numberedparagraph"/>
        <w:numPr>
          <w:ilvl w:val="1"/>
          <w:numId w:val="7"/>
        </w:numPr>
        <w:spacing w:line="276" w:lineRule="auto"/>
      </w:pPr>
      <w:r>
        <w:t>t</w:t>
      </w:r>
      <w:r w:rsidR="00126DF9">
        <w:t xml:space="preserve">he </w:t>
      </w:r>
      <w:r w:rsidR="00A80DC5">
        <w:t xml:space="preserve">stock is held in connection </w:t>
      </w:r>
      <w:r w:rsidR="002B05C0">
        <w:t xml:space="preserve">with </w:t>
      </w:r>
      <w:r w:rsidR="00A80DC5">
        <w:t>the regulated entity’s Australian business. That is, the stock is intended to be sold or consumed in Australia;</w:t>
      </w:r>
      <w:r w:rsidR="00236DF4">
        <w:t xml:space="preserve"> and</w:t>
      </w:r>
    </w:p>
    <w:p w14:paraId="7C0E82CB" w14:textId="4B772E39" w:rsidR="00126DF9" w:rsidRDefault="00F22BCC" w:rsidP="00B6034E">
      <w:pPr>
        <w:pStyle w:val="Numberedparagraph"/>
        <w:numPr>
          <w:ilvl w:val="1"/>
          <w:numId w:val="7"/>
        </w:numPr>
        <w:spacing w:line="276" w:lineRule="auto"/>
      </w:pPr>
      <w:r>
        <w:t>t</w:t>
      </w:r>
      <w:r w:rsidR="00A80DC5">
        <w:t>he stock is in the possession of another entity</w:t>
      </w:r>
      <w:r w:rsidR="00D8099C">
        <w:t xml:space="preserve"> under contract</w:t>
      </w:r>
      <w:r w:rsidR="00A80DC5">
        <w:t xml:space="preserve">. For example, a third party storage provider or the regulated entity’s affiliate or subsidiary </w:t>
      </w:r>
      <w:r w:rsidR="002B05C0">
        <w:t xml:space="preserve">is the owner of the storage </w:t>
      </w:r>
      <w:r w:rsidR="00FE3AEE">
        <w:t xml:space="preserve">facility </w:t>
      </w:r>
      <w:r w:rsidR="002B05C0">
        <w:t>where the stock is stored</w:t>
      </w:r>
      <w:r w:rsidR="00C165EF">
        <w:t>; and</w:t>
      </w:r>
    </w:p>
    <w:p w14:paraId="53BCA8DF" w14:textId="77777777" w:rsidR="00A80DC5" w:rsidRDefault="00F22BCC" w:rsidP="00B6034E">
      <w:pPr>
        <w:pStyle w:val="Numberedparagraph"/>
        <w:numPr>
          <w:ilvl w:val="1"/>
          <w:numId w:val="7"/>
        </w:numPr>
        <w:spacing w:line="276" w:lineRule="auto"/>
      </w:pPr>
      <w:r>
        <w:rPr>
          <w:rFonts w:cs="Times New Roman"/>
        </w:rPr>
        <w:t>t</w:t>
      </w:r>
      <w:r w:rsidR="00D8099C">
        <w:rPr>
          <w:rFonts w:cs="Times New Roman"/>
        </w:rPr>
        <w:t xml:space="preserve">he </w:t>
      </w:r>
      <w:r w:rsidR="00FE3AEE">
        <w:rPr>
          <w:rFonts w:cs="Times New Roman"/>
        </w:rPr>
        <w:t xml:space="preserve">regulated </w:t>
      </w:r>
      <w:r w:rsidR="00D8099C">
        <w:rPr>
          <w:rFonts w:cs="Times New Roman"/>
        </w:rPr>
        <w:t xml:space="preserve">entity owning the stock has a right under contract to remove </w:t>
      </w:r>
      <w:r w:rsidR="00FE3AEE">
        <w:rPr>
          <w:rFonts w:cs="Times New Roman"/>
        </w:rPr>
        <w:t>the fuel</w:t>
      </w:r>
      <w:r w:rsidR="00D8099C">
        <w:rPr>
          <w:rFonts w:cs="Times New Roman"/>
        </w:rPr>
        <w:t xml:space="preserve"> from storage</w:t>
      </w:r>
      <w:r w:rsidR="00A80DC5">
        <w:t xml:space="preserve">. For example, if the regulated entity owns the stock but could not take </w:t>
      </w:r>
      <w:r w:rsidR="00A80DC5">
        <w:lastRenderedPageBreak/>
        <w:t xml:space="preserve">the stock out of storage and </w:t>
      </w:r>
      <w:r w:rsidR="007B4202" w:rsidRPr="00FE3AEE">
        <w:t>bring</w:t>
      </w:r>
      <w:r w:rsidR="00A80DC5" w:rsidRPr="00FE3AEE">
        <w:t xml:space="preserve"> it to Australia</w:t>
      </w:r>
      <w:r w:rsidR="00A80DC5">
        <w:t xml:space="preserve"> </w:t>
      </w:r>
      <w:r w:rsidR="00F012EA">
        <w:t xml:space="preserve">under </w:t>
      </w:r>
      <w:r w:rsidR="00FE3AEE">
        <w:t xml:space="preserve">the </w:t>
      </w:r>
      <w:r w:rsidR="00F012EA">
        <w:t>law</w:t>
      </w:r>
      <w:r w:rsidR="00FE3AEE">
        <w:t xml:space="preserve"> of the country where the oil is stored</w:t>
      </w:r>
      <w:r w:rsidR="00F012EA">
        <w:t xml:space="preserve">, </w:t>
      </w:r>
      <w:r w:rsidR="00FE3AEE">
        <w:t xml:space="preserve">then it would </w:t>
      </w:r>
      <w:r w:rsidR="00F012EA">
        <w:t xml:space="preserve">not </w:t>
      </w:r>
      <w:r w:rsidR="00FE3AEE">
        <w:t xml:space="preserve">be </w:t>
      </w:r>
      <w:r w:rsidR="00F012EA">
        <w:t>reportable</w:t>
      </w:r>
      <w:r w:rsidR="002B05C0">
        <w:t>; and</w:t>
      </w:r>
      <w:r w:rsidR="00F012EA">
        <w:t xml:space="preserve"> </w:t>
      </w:r>
    </w:p>
    <w:p w14:paraId="07A7480F" w14:textId="77777777" w:rsidR="00370337" w:rsidRDefault="00F22BCC" w:rsidP="00B91A39">
      <w:pPr>
        <w:pStyle w:val="Numberedparagraph"/>
        <w:keepLines/>
        <w:numPr>
          <w:ilvl w:val="1"/>
          <w:numId w:val="7"/>
        </w:numPr>
        <w:spacing w:line="276" w:lineRule="auto"/>
        <w:ind w:left="1077" w:hanging="357"/>
      </w:pPr>
      <w:r>
        <w:t>t</w:t>
      </w:r>
      <w:r w:rsidR="00D6236C">
        <w:t>he stock is not</w:t>
      </w:r>
      <w:r w:rsidR="002B05C0">
        <w:t xml:space="preserve"> otherwise exempted or</w:t>
      </w:r>
      <w:r w:rsidR="00D6236C">
        <w:t xml:space="preserve"> excluded under the Act or these Rules</w:t>
      </w:r>
      <w:r w:rsidR="002B05C0">
        <w:t>.</w:t>
      </w:r>
      <w:r w:rsidR="00FE3AEE">
        <w:t xml:space="preserve"> For example, if an Australian business held jet fuel in Singapore and had a right to bring the oil to Australia, but the jet fuel was for the exclusive use of the Australian Air Force then it would not be reportable. </w:t>
      </w:r>
    </w:p>
    <w:p w14:paraId="37842125" w14:textId="77777777" w:rsidR="00B6034E" w:rsidRDefault="00B6034E" w:rsidP="00370337">
      <w:pPr>
        <w:pStyle w:val="Numberedparagraph"/>
        <w:spacing w:line="276" w:lineRule="auto"/>
        <w:ind w:left="720" w:hanging="720"/>
      </w:pPr>
      <w:r>
        <w:t xml:space="preserve">Column 2 </w:t>
      </w:r>
      <w:r w:rsidR="00F012EA">
        <w:t xml:space="preserve">of table item 2 </w:t>
      </w:r>
      <w:r w:rsidR="00877A93">
        <w:t>imposes</w:t>
      </w:r>
      <w:r>
        <w:t xml:space="preserve"> the reporting obligation on the person who owns the stock. </w:t>
      </w:r>
    </w:p>
    <w:p w14:paraId="62F85D09" w14:textId="371CBEAC" w:rsidR="00B6034E" w:rsidRPr="00B91A39" w:rsidRDefault="00F012EA" w:rsidP="00370337">
      <w:pPr>
        <w:pStyle w:val="Numberedparagraph"/>
        <w:spacing w:line="276" w:lineRule="auto"/>
        <w:ind w:left="720" w:hanging="720"/>
      </w:pPr>
      <w:r>
        <w:rPr>
          <w:rFonts w:cs="Times New Roman"/>
          <w:color w:val="000000" w:themeColor="text1"/>
        </w:rPr>
        <w:t xml:space="preserve">Column 3 </w:t>
      </w:r>
      <w:r w:rsidR="002B05C0">
        <w:t xml:space="preserve">of table item </w:t>
      </w:r>
      <w:r>
        <w:t xml:space="preserve">2 prescribes the fuel information that must be reported to satisfy the </w:t>
      </w:r>
      <w:r w:rsidRPr="00B91A39">
        <w:t xml:space="preserve">reporting obligation. This </w:t>
      </w:r>
      <w:r w:rsidR="002B05C0" w:rsidRPr="00B91A39">
        <w:t xml:space="preserve">is the </w:t>
      </w:r>
      <w:r w:rsidR="00FE3AEE" w:rsidRPr="00B91A39">
        <w:t>quantity</w:t>
      </w:r>
      <w:r w:rsidR="002B05C0" w:rsidRPr="00B91A39">
        <w:t xml:space="preserve"> of the stock</w:t>
      </w:r>
      <w:r w:rsidR="00A45472" w:rsidRPr="00B91A39">
        <w:t xml:space="preserve"> broken down by the categories and subcategories in Schedule 1</w:t>
      </w:r>
      <w:r w:rsidR="00FE3AEE" w:rsidRPr="00B91A39">
        <w:t xml:space="preserve"> and</w:t>
      </w:r>
      <w:r w:rsidR="002B05C0" w:rsidRPr="00B91A39">
        <w:t xml:space="preserve"> </w:t>
      </w:r>
      <w:r w:rsidRPr="00B91A39">
        <w:t xml:space="preserve">the country it is located in. </w:t>
      </w:r>
      <w:r w:rsidR="00A45472" w:rsidRPr="00B91A39">
        <w:t xml:space="preserve">The subcategories relevant to reports under table item 2 </w:t>
      </w:r>
      <w:r w:rsidR="00AD493B">
        <w:t>are set out in Column 4 of the table at subclause 1(1) of Schedule 1</w:t>
      </w:r>
      <w:r w:rsidR="005352B5" w:rsidRPr="00B91A39">
        <w:t>.</w:t>
      </w:r>
    </w:p>
    <w:p w14:paraId="6D15FEE1" w14:textId="36351C7F" w:rsidR="002B05C0" w:rsidRDefault="00FE3AEE" w:rsidP="00370337">
      <w:pPr>
        <w:pStyle w:val="Numberedparagraph"/>
        <w:spacing w:line="276" w:lineRule="auto"/>
        <w:ind w:left="720" w:hanging="720"/>
      </w:pPr>
      <w:r>
        <w:t>It is important to note that where</w:t>
      </w:r>
      <w:r w:rsidR="002B05C0">
        <w:t xml:space="preserve"> an Australian company holds a covered product outside Australia, but the covered product is not held in connection with their Australian </w:t>
      </w:r>
      <w:r>
        <w:t>business, it is not reportable.</w:t>
      </w:r>
    </w:p>
    <w:p w14:paraId="7FDFEB0E" w14:textId="2918459C" w:rsidR="00D6236C" w:rsidRPr="00D6236C" w:rsidRDefault="00FF5ED1" w:rsidP="00D6236C">
      <w:pPr>
        <w:pStyle w:val="Numberedparagraph"/>
        <w:numPr>
          <w:ilvl w:val="0"/>
          <w:numId w:val="0"/>
        </w:numPr>
        <w:spacing w:line="276" w:lineRule="auto"/>
        <w:rPr>
          <w:i/>
        </w:rPr>
      </w:pPr>
      <w:r>
        <w:rPr>
          <w:i/>
        </w:rPr>
        <w:t>Covered products</w:t>
      </w:r>
      <w:r w:rsidR="00D6236C">
        <w:rPr>
          <w:i/>
        </w:rPr>
        <w:t xml:space="preserve"> </w:t>
      </w:r>
      <w:r w:rsidR="00FE3AEE">
        <w:rPr>
          <w:i/>
        </w:rPr>
        <w:t xml:space="preserve">on </w:t>
      </w:r>
      <w:r>
        <w:rPr>
          <w:i/>
        </w:rPr>
        <w:t>water</w:t>
      </w:r>
    </w:p>
    <w:p w14:paraId="4C4978E3" w14:textId="7D8F242E" w:rsidR="00F73145" w:rsidRDefault="00F73145" w:rsidP="00F73145">
      <w:pPr>
        <w:pStyle w:val="Numberedparagraph"/>
        <w:spacing w:line="276" w:lineRule="auto"/>
        <w:ind w:left="720" w:hanging="720"/>
      </w:pPr>
      <w:r>
        <w:t xml:space="preserve">Table items </w:t>
      </w:r>
      <w:r w:rsidR="009E7846">
        <w:t>3</w:t>
      </w:r>
      <w:r>
        <w:t xml:space="preserve"> and </w:t>
      </w:r>
      <w:r w:rsidR="009E7846">
        <w:t>4</w:t>
      </w:r>
      <w:r w:rsidR="00C63B74">
        <w:t xml:space="preserve"> </w:t>
      </w:r>
      <w:r>
        <w:t>prescribe</w:t>
      </w:r>
      <w:r w:rsidR="00D8099C">
        <w:t xml:space="preserve"> for the purposes of section 11 of the Act</w:t>
      </w:r>
      <w:r>
        <w:t xml:space="preserve"> a specific stock reporting obligation where stock is </w:t>
      </w:r>
      <w:r w:rsidR="00FE3AEE">
        <w:t>in transit from a foreign port to Australia</w:t>
      </w:r>
      <w:r>
        <w:t>.</w:t>
      </w:r>
      <w:r w:rsidR="00FE3AEE">
        <w:t xml:space="preserve"> This is </w:t>
      </w:r>
      <w:r w:rsidR="00A45224">
        <w:t>called ‘</w:t>
      </w:r>
      <w:r w:rsidR="00FF5ED1">
        <w:t>covered products</w:t>
      </w:r>
      <w:r w:rsidR="00FE3AEE">
        <w:t xml:space="preserve"> on water</w:t>
      </w:r>
      <w:r w:rsidR="00A45224">
        <w:t>’</w:t>
      </w:r>
      <w:r w:rsidR="00FE3AEE">
        <w:t xml:space="preserve"> in the Rules. </w:t>
      </w:r>
      <w:r>
        <w:t xml:space="preserve"> </w:t>
      </w:r>
    </w:p>
    <w:p w14:paraId="39AF7F98" w14:textId="796F7928" w:rsidR="00FE3AEE" w:rsidRDefault="00F73145" w:rsidP="00F73145">
      <w:pPr>
        <w:pStyle w:val="Numberedparagraph"/>
        <w:spacing w:line="276" w:lineRule="auto"/>
        <w:ind w:left="720" w:hanging="720"/>
      </w:pPr>
      <w:r>
        <w:t xml:space="preserve">Column 1 </w:t>
      </w:r>
      <w:r w:rsidR="00FE3AEE">
        <w:t>of table item</w:t>
      </w:r>
      <w:r w:rsidR="002B05C0">
        <w:t xml:space="preserve"> 3 prescribes</w:t>
      </w:r>
      <w:r>
        <w:t xml:space="preserve"> as reportable </w:t>
      </w:r>
      <w:r w:rsidR="00FE3AEE">
        <w:t xml:space="preserve">having a contractual right to take possession of </w:t>
      </w:r>
      <w:r w:rsidR="00C119C4">
        <w:t>covered products</w:t>
      </w:r>
      <w:r w:rsidR="00FE3AEE">
        <w:t xml:space="preserve"> on water</w:t>
      </w:r>
    </w:p>
    <w:p w14:paraId="1CBECFF9" w14:textId="4487E20D" w:rsidR="00C91A80" w:rsidRDefault="00C91A80" w:rsidP="00F73145">
      <w:pPr>
        <w:pStyle w:val="Numberedparagraph"/>
        <w:spacing w:line="276" w:lineRule="auto"/>
        <w:ind w:left="720" w:hanging="720"/>
      </w:pPr>
      <w:r>
        <w:t xml:space="preserve">Holding a contractual right to take possession of stock of a covered product on water is prescribed as a reportable instance of holding stock under </w:t>
      </w:r>
      <w:r w:rsidR="00F22BCC">
        <w:t>sub</w:t>
      </w:r>
      <w:r>
        <w:t xml:space="preserve">section 5(1) of the Act at </w:t>
      </w:r>
      <w:r w:rsidR="00F22BCC">
        <w:t xml:space="preserve">paragraph </w:t>
      </w:r>
      <w:r>
        <w:t xml:space="preserve">7(b) of the Rules. </w:t>
      </w:r>
    </w:p>
    <w:p w14:paraId="5F3D508F" w14:textId="5FE1F928" w:rsidR="00FE3AEE" w:rsidRDefault="00FE3AEE" w:rsidP="00F73145">
      <w:pPr>
        <w:pStyle w:val="Numberedparagraph"/>
        <w:spacing w:line="276" w:lineRule="auto"/>
        <w:ind w:left="720" w:hanging="720"/>
      </w:pPr>
      <w:r>
        <w:t xml:space="preserve">Column 1 of table item 4 prescribes as reportable holding </w:t>
      </w:r>
      <w:r w:rsidR="00FF5ED1">
        <w:t>covered products</w:t>
      </w:r>
      <w:r w:rsidR="00A45224">
        <w:t xml:space="preserve"> </w:t>
      </w:r>
      <w:r>
        <w:t>on water.</w:t>
      </w:r>
    </w:p>
    <w:p w14:paraId="4E485444" w14:textId="22E8B44E" w:rsidR="00C91A80" w:rsidRDefault="00C91A80" w:rsidP="00F73145">
      <w:pPr>
        <w:pStyle w:val="Numberedparagraph"/>
        <w:spacing w:line="276" w:lineRule="auto"/>
        <w:ind w:left="720" w:hanging="720"/>
      </w:pPr>
      <w:r>
        <w:t xml:space="preserve">This means that stock on water is reportable both when it is owned directly and </w:t>
      </w:r>
      <w:r w:rsidR="00C165EF">
        <w:t xml:space="preserve">when </w:t>
      </w:r>
      <w:r>
        <w:t xml:space="preserve">a person will take possession </w:t>
      </w:r>
      <w:r w:rsidR="002975E1">
        <w:t xml:space="preserve">of the stock </w:t>
      </w:r>
      <w:r>
        <w:t xml:space="preserve">after it is unloaded in Australia. </w:t>
      </w:r>
    </w:p>
    <w:p w14:paraId="47D59822" w14:textId="77777777" w:rsidR="00C91A80" w:rsidRDefault="00C91A80" w:rsidP="00F73145">
      <w:pPr>
        <w:pStyle w:val="Numberedparagraph"/>
        <w:spacing w:line="276" w:lineRule="auto"/>
        <w:ind w:left="720" w:hanging="720"/>
      </w:pPr>
      <w:r>
        <w:t>Section 4 provides that a covered product will be on water if:</w:t>
      </w:r>
    </w:p>
    <w:p w14:paraId="683A2B9D" w14:textId="5459D380" w:rsidR="00C91A80" w:rsidRDefault="00A45224" w:rsidP="00C91A80">
      <w:pPr>
        <w:pStyle w:val="Numberedparagraph"/>
        <w:numPr>
          <w:ilvl w:val="1"/>
          <w:numId w:val="7"/>
        </w:numPr>
        <w:spacing w:line="276" w:lineRule="auto"/>
      </w:pPr>
      <w:r>
        <w:t>i</w:t>
      </w:r>
      <w:r w:rsidR="00C91A80">
        <w:t xml:space="preserve">t is kept in storage in a seagoing ship, excluding the ship’s bunker; </w:t>
      </w:r>
    </w:p>
    <w:p w14:paraId="1AA80905" w14:textId="77777777" w:rsidR="00504EFC" w:rsidRDefault="00A45224" w:rsidP="00C91A80">
      <w:pPr>
        <w:pStyle w:val="Numberedparagraph"/>
        <w:numPr>
          <w:ilvl w:val="1"/>
          <w:numId w:val="7"/>
        </w:numPr>
        <w:spacing w:line="276" w:lineRule="auto"/>
      </w:pPr>
      <w:r>
        <w:t>i</w:t>
      </w:r>
      <w:r w:rsidR="00C91A80">
        <w:t>t is intended the covered product will be unloaded at an Australian port</w:t>
      </w:r>
      <w:r w:rsidR="00504EFC">
        <w:t>; and</w:t>
      </w:r>
    </w:p>
    <w:p w14:paraId="3B6EB645" w14:textId="1513B410" w:rsidR="00C91A80" w:rsidRDefault="00504EFC" w:rsidP="00C91A80">
      <w:pPr>
        <w:pStyle w:val="Numberedparagraph"/>
        <w:numPr>
          <w:ilvl w:val="1"/>
          <w:numId w:val="7"/>
        </w:numPr>
        <w:spacing w:line="276" w:lineRule="auto"/>
      </w:pPr>
      <w:r>
        <w:t>it is not excluded under the definition of holding stock in section 5 of the Act.</w:t>
      </w:r>
    </w:p>
    <w:p w14:paraId="21534A69" w14:textId="09085D14" w:rsidR="00F73145" w:rsidRPr="003377E3" w:rsidRDefault="003377E3" w:rsidP="003377E3">
      <w:pPr>
        <w:pStyle w:val="Numberedparagraph"/>
        <w:spacing w:line="276" w:lineRule="auto"/>
        <w:ind w:left="720" w:hanging="720"/>
      </w:pPr>
      <w:r>
        <w:t xml:space="preserve">The definition </w:t>
      </w:r>
      <w:r w:rsidR="00C165EF">
        <w:t xml:space="preserve">applies the concept of </w:t>
      </w:r>
      <w:r>
        <w:t xml:space="preserve">intention </w:t>
      </w:r>
      <w:r w:rsidR="00683182">
        <w:t xml:space="preserve">because </w:t>
      </w:r>
      <w:r>
        <w:t xml:space="preserve">stock on water reporting is meant to capture a regulated entity’s intentions at the end of the month. It may be that a regulated entity redirects additional stock to Australia in the next month or diverts a tanker </w:t>
      </w:r>
      <w:r w:rsidR="00FE00D0">
        <w:t xml:space="preserve">ship </w:t>
      </w:r>
      <w:r>
        <w:t xml:space="preserve">which was on route to Australia to meet a supply shortfall elsewhere, but it is the quantity intended to be supplied to Australia at the end of the month that is reportable.  </w:t>
      </w:r>
    </w:p>
    <w:p w14:paraId="135A73B7" w14:textId="77777777" w:rsidR="00C119C4" w:rsidRPr="0097778B" w:rsidRDefault="000C2CCB" w:rsidP="00C119C4">
      <w:pPr>
        <w:pStyle w:val="Numberedparagraph"/>
        <w:spacing w:line="276" w:lineRule="auto"/>
        <w:ind w:left="720" w:hanging="720"/>
      </w:pPr>
      <w:r w:rsidRPr="0097778B">
        <w:lastRenderedPageBreak/>
        <w:t>T</w:t>
      </w:r>
      <w:r w:rsidR="00C119C4" w:rsidRPr="0097778B">
        <w:t>he following covered products</w:t>
      </w:r>
      <w:r w:rsidRPr="0097778B">
        <w:t xml:space="preserve"> are prescribed as reportable for the purposes of table items 3 and 4</w:t>
      </w:r>
      <w:r w:rsidR="00C119C4" w:rsidRPr="0097778B">
        <w:t>:</w:t>
      </w:r>
    </w:p>
    <w:p w14:paraId="1015F798" w14:textId="77777777" w:rsidR="00C119C4" w:rsidRPr="0097778B" w:rsidRDefault="00C119C4" w:rsidP="00F92AC0">
      <w:pPr>
        <w:pStyle w:val="Numberedparagraph"/>
        <w:numPr>
          <w:ilvl w:val="1"/>
          <w:numId w:val="7"/>
        </w:numPr>
        <w:spacing w:line="276" w:lineRule="auto"/>
      </w:pPr>
      <w:r w:rsidRPr="0097778B">
        <w:t>Crude oil;</w:t>
      </w:r>
    </w:p>
    <w:p w14:paraId="35C839F7" w14:textId="77777777" w:rsidR="00C119C4" w:rsidRPr="0097778B" w:rsidRDefault="00C119C4" w:rsidP="00F92AC0">
      <w:pPr>
        <w:pStyle w:val="Numberedparagraph"/>
        <w:numPr>
          <w:ilvl w:val="1"/>
          <w:numId w:val="7"/>
        </w:numPr>
        <w:spacing w:line="276" w:lineRule="auto"/>
      </w:pPr>
      <w:r w:rsidRPr="0097778B">
        <w:t>Condensate;</w:t>
      </w:r>
    </w:p>
    <w:p w14:paraId="5D6497F6" w14:textId="77777777" w:rsidR="00C119C4" w:rsidRPr="0097778B" w:rsidRDefault="00C119C4" w:rsidP="00F92AC0">
      <w:pPr>
        <w:pStyle w:val="Numberedparagraph"/>
        <w:numPr>
          <w:ilvl w:val="1"/>
          <w:numId w:val="7"/>
        </w:numPr>
        <w:spacing w:line="276" w:lineRule="auto"/>
      </w:pPr>
      <w:r w:rsidRPr="0097778B">
        <w:t>LPG;</w:t>
      </w:r>
    </w:p>
    <w:p w14:paraId="7726B365" w14:textId="77777777" w:rsidR="00C119C4" w:rsidRPr="0097778B" w:rsidRDefault="00C119C4" w:rsidP="00F92AC0">
      <w:pPr>
        <w:pStyle w:val="Numberedparagraph"/>
        <w:numPr>
          <w:ilvl w:val="1"/>
          <w:numId w:val="7"/>
        </w:numPr>
        <w:spacing w:line="276" w:lineRule="auto"/>
      </w:pPr>
      <w:r w:rsidRPr="0097778B">
        <w:t>NGL;</w:t>
      </w:r>
    </w:p>
    <w:p w14:paraId="22BD33A3" w14:textId="77777777" w:rsidR="00C119C4" w:rsidRPr="0097778B" w:rsidRDefault="00C119C4" w:rsidP="00F92AC0">
      <w:pPr>
        <w:pStyle w:val="Numberedparagraph"/>
        <w:numPr>
          <w:ilvl w:val="1"/>
          <w:numId w:val="7"/>
        </w:numPr>
        <w:spacing w:line="276" w:lineRule="auto"/>
      </w:pPr>
      <w:r w:rsidRPr="0097778B">
        <w:t>Gasoline;</w:t>
      </w:r>
    </w:p>
    <w:p w14:paraId="4F72B720" w14:textId="77777777" w:rsidR="00C119C4" w:rsidRPr="0097778B" w:rsidRDefault="00C119C4" w:rsidP="00F92AC0">
      <w:pPr>
        <w:pStyle w:val="Numberedparagraph"/>
        <w:numPr>
          <w:ilvl w:val="1"/>
          <w:numId w:val="7"/>
        </w:numPr>
        <w:spacing w:line="276" w:lineRule="auto"/>
      </w:pPr>
      <w:r w:rsidRPr="0097778B">
        <w:t>Diesel;</w:t>
      </w:r>
    </w:p>
    <w:p w14:paraId="7EE82854" w14:textId="77777777" w:rsidR="00C119C4" w:rsidRPr="0097778B" w:rsidRDefault="00C119C4" w:rsidP="00F92AC0">
      <w:pPr>
        <w:pStyle w:val="Numberedparagraph"/>
        <w:numPr>
          <w:ilvl w:val="1"/>
          <w:numId w:val="7"/>
        </w:numPr>
        <w:spacing w:line="276" w:lineRule="auto"/>
      </w:pPr>
      <w:r w:rsidRPr="0097778B">
        <w:t>Kerosene</w:t>
      </w:r>
      <w:r w:rsidR="00CE2917">
        <w:t>;</w:t>
      </w:r>
    </w:p>
    <w:p w14:paraId="2B601953" w14:textId="77777777" w:rsidR="00C119C4" w:rsidRPr="0097778B" w:rsidRDefault="00C119C4" w:rsidP="00F92AC0">
      <w:pPr>
        <w:pStyle w:val="Numberedparagraph"/>
        <w:numPr>
          <w:ilvl w:val="1"/>
          <w:numId w:val="7"/>
        </w:numPr>
        <w:spacing w:line="276" w:lineRule="auto"/>
      </w:pPr>
      <w:r w:rsidRPr="0097778B">
        <w:t>Fuel Oil;</w:t>
      </w:r>
    </w:p>
    <w:p w14:paraId="20B853E7" w14:textId="77777777" w:rsidR="00C119C4" w:rsidRPr="0097778B" w:rsidRDefault="00C119C4" w:rsidP="00F92AC0">
      <w:pPr>
        <w:pStyle w:val="Numberedparagraph"/>
        <w:numPr>
          <w:ilvl w:val="1"/>
          <w:numId w:val="7"/>
        </w:numPr>
        <w:spacing w:line="276" w:lineRule="auto"/>
      </w:pPr>
      <w:r w:rsidRPr="0097778B">
        <w:t>Biofuel; and</w:t>
      </w:r>
    </w:p>
    <w:p w14:paraId="5A779B16" w14:textId="77777777" w:rsidR="00C119C4" w:rsidRPr="0097778B" w:rsidRDefault="00C119C4" w:rsidP="00F92AC0">
      <w:pPr>
        <w:pStyle w:val="Numberedparagraph"/>
        <w:numPr>
          <w:ilvl w:val="1"/>
          <w:numId w:val="7"/>
        </w:numPr>
        <w:spacing w:line="276" w:lineRule="auto"/>
      </w:pPr>
      <w:r w:rsidRPr="0097778B">
        <w:t>Refinery feedstock (other).</w:t>
      </w:r>
    </w:p>
    <w:p w14:paraId="3985707C" w14:textId="20E775F9" w:rsidR="000C2CCB" w:rsidRDefault="00683182" w:rsidP="00370337">
      <w:pPr>
        <w:pStyle w:val="Numberedparagraph"/>
        <w:spacing w:line="276" w:lineRule="auto"/>
        <w:ind w:left="720" w:hanging="720"/>
      </w:pPr>
      <w:r>
        <w:t>Covered p</w:t>
      </w:r>
      <w:r w:rsidR="000C2CCB">
        <w:t xml:space="preserve">roducts not prescribed as reportable under table items 3 and 4 </w:t>
      </w:r>
      <w:r w:rsidR="00871C3E">
        <w:t>are</w:t>
      </w:r>
      <w:r w:rsidR="000C2CCB">
        <w:t xml:space="preserve"> still reportable under table items 1, 2 and 5. </w:t>
      </w:r>
    </w:p>
    <w:p w14:paraId="4F39288D" w14:textId="77777777" w:rsidR="00D6236C" w:rsidRDefault="00E93905" w:rsidP="00370337">
      <w:pPr>
        <w:pStyle w:val="Numberedparagraph"/>
        <w:spacing w:line="276" w:lineRule="auto"/>
        <w:ind w:left="720" w:hanging="720"/>
      </w:pPr>
      <w:r>
        <w:t xml:space="preserve">Column 2 of table item </w:t>
      </w:r>
      <w:r w:rsidR="00A85E9F">
        <w:t xml:space="preserve">3 </w:t>
      </w:r>
      <w:r>
        <w:t>places the reporting obligation on the entity that holds a contractual right to take possession of the stock after it is unloaded in Australia.</w:t>
      </w:r>
    </w:p>
    <w:p w14:paraId="5ED58B74" w14:textId="77777777" w:rsidR="00E93905" w:rsidRDefault="00E93905" w:rsidP="00370337">
      <w:pPr>
        <w:pStyle w:val="Numberedparagraph"/>
        <w:spacing w:line="276" w:lineRule="auto"/>
        <w:ind w:left="720" w:hanging="720"/>
      </w:pPr>
      <w:r>
        <w:t xml:space="preserve">Column 2 of table item </w:t>
      </w:r>
      <w:r w:rsidR="00A85E9F">
        <w:t>4</w:t>
      </w:r>
      <w:r>
        <w:t xml:space="preserve"> places the reporting obligation on the entity that owns the stock in the tanker</w:t>
      </w:r>
      <w:r w:rsidR="007C013B">
        <w:t xml:space="preserve"> ship</w:t>
      </w:r>
      <w:r>
        <w:t>.</w:t>
      </w:r>
    </w:p>
    <w:p w14:paraId="4153C000" w14:textId="77777777" w:rsidR="00187BC1" w:rsidRDefault="00E93905" w:rsidP="00157A31">
      <w:pPr>
        <w:pStyle w:val="Numberedparagraph"/>
        <w:spacing w:line="276" w:lineRule="auto"/>
        <w:ind w:left="720" w:hanging="720"/>
      </w:pPr>
      <w:r>
        <w:t>The intended operation of the reporting obligation</w:t>
      </w:r>
      <w:r w:rsidR="00A85E9F">
        <w:t>s</w:t>
      </w:r>
      <w:r>
        <w:t xml:space="preserve"> in table items </w:t>
      </w:r>
      <w:r w:rsidR="00A85E9F">
        <w:t>3</w:t>
      </w:r>
      <w:r>
        <w:t xml:space="preserve"> and</w:t>
      </w:r>
      <w:r w:rsidR="00A85E9F">
        <w:t xml:space="preserve"> 4</w:t>
      </w:r>
      <w:r>
        <w:t xml:space="preserve"> is to ensure that an Australian-based business always has a reporting obligation in relation </w:t>
      </w:r>
      <w:r w:rsidR="002975E1">
        <w:t>to stock on water</w:t>
      </w:r>
      <w:r>
        <w:t xml:space="preserve">. </w:t>
      </w:r>
      <w:r w:rsidR="00A85E9F">
        <w:t>In some cases,</w:t>
      </w:r>
      <w:r>
        <w:t xml:space="preserve"> Australian companies own covered products</w:t>
      </w:r>
      <w:r w:rsidR="006E1A8B">
        <w:t>, whil</w:t>
      </w:r>
      <w:r w:rsidR="00A85E9F">
        <w:t>e in other cases, companies</w:t>
      </w:r>
      <w:r w:rsidR="002975E1">
        <w:t xml:space="preserve"> only</w:t>
      </w:r>
      <w:r w:rsidR="006E1A8B">
        <w:t xml:space="preserve"> </w:t>
      </w:r>
      <w:r w:rsidR="00A85E9F">
        <w:t>hold</w:t>
      </w:r>
      <w:r w:rsidR="006E1A8B">
        <w:t xml:space="preserve"> a contractual right </w:t>
      </w:r>
      <w:r w:rsidR="00A85E9F">
        <w:t>to take possession once</w:t>
      </w:r>
      <w:r w:rsidR="002975E1">
        <w:t xml:space="preserve"> the fuel is unloaded</w:t>
      </w:r>
      <w:r w:rsidR="00157A31">
        <w:t xml:space="preserve">. </w:t>
      </w:r>
    </w:p>
    <w:p w14:paraId="44F99831" w14:textId="77777777" w:rsidR="00E93905" w:rsidRDefault="00877A93" w:rsidP="00157A31">
      <w:pPr>
        <w:pStyle w:val="Numberedparagraph"/>
        <w:spacing w:line="276" w:lineRule="auto"/>
        <w:ind w:left="720" w:hanging="720"/>
      </w:pPr>
      <w:r>
        <w:t xml:space="preserve">Section </w:t>
      </w:r>
      <w:r w:rsidR="006E1A8B">
        <w:t>1</w:t>
      </w:r>
      <w:r w:rsidR="006350B7">
        <w:t>5</w:t>
      </w:r>
      <w:r w:rsidR="006E1A8B">
        <w:t xml:space="preserve"> means that where </w:t>
      </w:r>
      <w:r w:rsidR="002975E1">
        <w:t>one</w:t>
      </w:r>
      <w:r w:rsidR="006E1A8B">
        <w:t xml:space="preserve"> entity has the contractual right to take possession </w:t>
      </w:r>
      <w:r w:rsidR="00157A31">
        <w:t xml:space="preserve">and another entity owns the </w:t>
      </w:r>
      <w:r w:rsidR="00355CDA">
        <w:t>stock</w:t>
      </w:r>
      <w:r w:rsidR="002975E1">
        <w:t>, it is</w:t>
      </w:r>
      <w:r w:rsidR="00355CDA">
        <w:t xml:space="preserve"> </w:t>
      </w:r>
      <w:r w:rsidR="00157A31">
        <w:t>the entity with the contractual right</w:t>
      </w:r>
      <w:r w:rsidR="006E1A8B">
        <w:t xml:space="preserve"> </w:t>
      </w:r>
      <w:r w:rsidR="002975E1">
        <w:t xml:space="preserve">that </w:t>
      </w:r>
      <w:r w:rsidR="00157A31">
        <w:t>must report</w:t>
      </w:r>
      <w:r w:rsidR="006E1A8B">
        <w:t xml:space="preserve">. This is because the owner </w:t>
      </w:r>
      <w:r w:rsidR="00157A31">
        <w:t>in such a situation may be based</w:t>
      </w:r>
      <w:r w:rsidR="006E1A8B">
        <w:t xml:space="preserve"> overseas </w:t>
      </w:r>
      <w:r w:rsidR="00157A31">
        <w:t>and</w:t>
      </w:r>
      <w:r w:rsidR="006E1A8B">
        <w:t xml:space="preserve"> it would be inappropriate to require </w:t>
      </w:r>
      <w:r w:rsidR="00157A31">
        <w:t>them to</w:t>
      </w:r>
      <w:r w:rsidR="006E1A8B">
        <w:t xml:space="preserve"> report.  </w:t>
      </w:r>
    </w:p>
    <w:p w14:paraId="365061A0" w14:textId="77777777" w:rsidR="000C2CCB" w:rsidRDefault="006E1A8B" w:rsidP="00370337">
      <w:pPr>
        <w:pStyle w:val="Numberedparagraph"/>
        <w:spacing w:line="276" w:lineRule="auto"/>
        <w:ind w:left="720" w:hanging="720"/>
      </w:pPr>
      <w:r>
        <w:t xml:space="preserve">Column 3 of table items </w:t>
      </w:r>
      <w:r w:rsidR="007C013B">
        <w:t>3</w:t>
      </w:r>
      <w:r>
        <w:t xml:space="preserve"> and </w:t>
      </w:r>
      <w:r w:rsidR="007C013B">
        <w:t>4</w:t>
      </w:r>
      <w:r w:rsidR="00EF0623">
        <w:t xml:space="preserve"> </w:t>
      </w:r>
      <w:r w:rsidR="000C2CCB">
        <w:t>prescribe the fuel information which is reportable for covered products on water</w:t>
      </w:r>
      <w:r w:rsidR="006C71E2">
        <w:t>.</w:t>
      </w:r>
      <w:r w:rsidR="000C2CCB">
        <w:t xml:space="preserve"> This is the quantity of the stock</w:t>
      </w:r>
      <w:r w:rsidR="00A45472">
        <w:t xml:space="preserve"> broken down by category (but not subcategory) </w:t>
      </w:r>
      <w:r w:rsidR="000C2CCB">
        <w:t>and its location.</w:t>
      </w:r>
    </w:p>
    <w:p w14:paraId="44BDF816" w14:textId="3C1D1BE2" w:rsidR="008224BE" w:rsidRPr="000C2CCB" w:rsidRDefault="008224BE" w:rsidP="008224BE">
      <w:pPr>
        <w:pStyle w:val="Numberedparagraph"/>
        <w:spacing w:line="276" w:lineRule="auto"/>
        <w:ind w:left="720" w:hanging="720"/>
      </w:pPr>
      <w:r>
        <w:t>When reporting quantity for table items 3 and 4, subsection 17(</w:t>
      </w:r>
      <w:r w:rsidR="00A45472">
        <w:t>4</w:t>
      </w:r>
      <w:r>
        <w:t xml:space="preserve">) requires covered products be split by category, but not subcategory. </w:t>
      </w:r>
      <w:r w:rsidR="00504EFC">
        <w:t>R</w:t>
      </w:r>
      <w:r>
        <w:t xml:space="preserve">eports on covered products on water must provide the product category as set </w:t>
      </w:r>
      <w:r w:rsidR="00504EFC">
        <w:t xml:space="preserve">out </w:t>
      </w:r>
      <w:r>
        <w:t xml:space="preserve">in </w:t>
      </w:r>
      <w:r w:rsidR="00B91A39">
        <w:t xml:space="preserve">Column 1 of the table at subclause 1 of </w:t>
      </w:r>
      <w:r>
        <w:t>Schedule 1, but do not need to provide the subcategory as set</w:t>
      </w:r>
      <w:r w:rsidR="00504EFC">
        <w:t xml:space="preserve"> out</w:t>
      </w:r>
      <w:r>
        <w:t xml:space="preserve"> in Column 4. For example, stock of ‘premium unleaded</w:t>
      </w:r>
      <w:r w:rsidRPr="008224BE">
        <w:rPr>
          <w:rFonts w:cs="Times New Roman"/>
        </w:rPr>
        <w:t>—RON 98’ in transit between two Australian ports can be reported as ‘gasoline’</w:t>
      </w:r>
      <w:r w:rsidRPr="000C2CCB">
        <w:t>.</w:t>
      </w:r>
      <w:r>
        <w:t xml:space="preserve"> </w:t>
      </w:r>
    </w:p>
    <w:p w14:paraId="46E35057" w14:textId="64CB8BCC" w:rsidR="00187BC1" w:rsidRDefault="000C2CCB" w:rsidP="00370337">
      <w:pPr>
        <w:pStyle w:val="Numberedparagraph"/>
        <w:spacing w:line="276" w:lineRule="auto"/>
        <w:ind w:left="720" w:hanging="720"/>
      </w:pPr>
      <w:r>
        <w:lastRenderedPageBreak/>
        <w:t>When reporting location for covered products on water,</w:t>
      </w:r>
      <w:r w:rsidR="00426B97">
        <w:t xml:space="preserve"> there is no need to report the state marketing area</w:t>
      </w:r>
      <w:r w:rsidR="00157A31">
        <w:t xml:space="preserve"> as the stock is still in transit</w:t>
      </w:r>
      <w:r w:rsidR="006C71E2">
        <w:t xml:space="preserve">. </w:t>
      </w:r>
      <w:r>
        <w:t>Instead</w:t>
      </w:r>
      <w:r w:rsidR="00504EFC">
        <w:t>,</w:t>
      </w:r>
      <w:r>
        <w:t xml:space="preserve"> sub</w:t>
      </w:r>
      <w:r w:rsidR="008224BE">
        <w:t>section 17(</w:t>
      </w:r>
      <w:r w:rsidR="0064275B">
        <w:t>5</w:t>
      </w:r>
      <w:r w:rsidR="008224BE">
        <w:t xml:space="preserve">) requires </w:t>
      </w:r>
      <w:r w:rsidR="00504EFC">
        <w:t>stock to</w:t>
      </w:r>
      <w:r w:rsidR="008224BE">
        <w:t xml:space="preserve"> be </w:t>
      </w:r>
      <w:r w:rsidR="00504EFC">
        <w:t>split into</w:t>
      </w:r>
      <w:r w:rsidR="008224BE">
        <w:t xml:space="preserve"> four specific location categories.</w:t>
      </w:r>
    </w:p>
    <w:p w14:paraId="198DE61C" w14:textId="555B78C5" w:rsidR="00187BC1" w:rsidRDefault="00187BC1" w:rsidP="00187BC1">
      <w:pPr>
        <w:pStyle w:val="Numberedparagraph"/>
        <w:spacing w:line="276" w:lineRule="auto"/>
        <w:ind w:left="720" w:hanging="720"/>
      </w:pPr>
      <w:r>
        <w:t xml:space="preserve">Subsection 17(5) requires that reports of stocks on water prescribed under table items 3 and 4 </w:t>
      </w:r>
      <w:r w:rsidR="008224BE">
        <w:t>be split</w:t>
      </w:r>
      <w:r>
        <w:t xml:space="preserve"> into four </w:t>
      </w:r>
      <w:r w:rsidR="008224BE">
        <w:t xml:space="preserve">location </w:t>
      </w:r>
      <w:r>
        <w:t>categories. These are:</w:t>
      </w:r>
    </w:p>
    <w:p w14:paraId="73C1851A" w14:textId="77777777" w:rsidR="00187BC1" w:rsidRDefault="00187BC1" w:rsidP="00187BC1">
      <w:pPr>
        <w:pStyle w:val="Numberedparagraph"/>
        <w:numPr>
          <w:ilvl w:val="1"/>
          <w:numId w:val="7"/>
        </w:numPr>
        <w:spacing w:line="276" w:lineRule="auto"/>
      </w:pPr>
      <w:r>
        <w:t>Stock held in storage in a tanker</w:t>
      </w:r>
      <w:r w:rsidR="00FE00D0">
        <w:t xml:space="preserve"> ship</w:t>
      </w:r>
      <w:r>
        <w:t xml:space="preserve"> at a foreign port. That is stock which has been loaded onto a ship which is yet to leave the port of loading. The IEP Treaty allows stocks held in a tanker </w:t>
      </w:r>
      <w:r w:rsidR="00FE00D0">
        <w:t xml:space="preserve">ship </w:t>
      </w:r>
      <w:r>
        <w:t>at port to be counted toward</w:t>
      </w:r>
      <w:r w:rsidR="002975E1">
        <w:t>s compliance with the oil stock</w:t>
      </w:r>
      <w:r>
        <w:t xml:space="preserve">holding obligation. </w:t>
      </w:r>
    </w:p>
    <w:p w14:paraId="621C3AD8" w14:textId="77777777" w:rsidR="00187BC1" w:rsidRDefault="00187BC1" w:rsidP="00187BC1">
      <w:pPr>
        <w:pStyle w:val="Numberedparagraph"/>
        <w:numPr>
          <w:ilvl w:val="1"/>
          <w:numId w:val="7"/>
        </w:numPr>
        <w:spacing w:line="276" w:lineRule="auto"/>
      </w:pPr>
      <w:r>
        <w:t xml:space="preserve">Stock in a tanker </w:t>
      </w:r>
      <w:r w:rsidR="00FE00D0">
        <w:t xml:space="preserve">ship </w:t>
      </w:r>
      <w:r>
        <w:t xml:space="preserve">which has left the port of loading, but which has not yet entered Australia’s Exclusive Economic Zone (EEZ). This data is useful to monitoring energy security, especially in the event of </w:t>
      </w:r>
      <w:r w:rsidR="002975E1">
        <w:t>a</w:t>
      </w:r>
      <w:r>
        <w:t xml:space="preserve"> potential supply disruption.  </w:t>
      </w:r>
    </w:p>
    <w:p w14:paraId="700A48CE" w14:textId="77777777" w:rsidR="00187BC1" w:rsidRDefault="00187BC1" w:rsidP="00187BC1">
      <w:pPr>
        <w:pStyle w:val="Numberedparagraph"/>
        <w:numPr>
          <w:ilvl w:val="1"/>
          <w:numId w:val="7"/>
        </w:numPr>
        <w:spacing w:line="276" w:lineRule="auto"/>
      </w:pPr>
      <w:r>
        <w:t xml:space="preserve">Stock in a tanker </w:t>
      </w:r>
      <w:r w:rsidR="00FE00D0">
        <w:t xml:space="preserve">ship </w:t>
      </w:r>
      <w:r>
        <w:t>which has entered within Australia’s EEZ, including stock which is in the territorial sea, but which has not yet met the conditions of the final category below.</w:t>
      </w:r>
    </w:p>
    <w:p w14:paraId="55980CF5" w14:textId="77777777" w:rsidR="00187BC1" w:rsidRDefault="00187BC1" w:rsidP="00187BC1">
      <w:pPr>
        <w:pStyle w:val="Numberedparagraph"/>
        <w:numPr>
          <w:ilvl w:val="1"/>
          <w:numId w:val="7"/>
        </w:numPr>
        <w:spacing w:line="276" w:lineRule="auto"/>
      </w:pPr>
      <w:r>
        <w:t xml:space="preserve">Stock in a tanker </w:t>
      </w:r>
      <w:r w:rsidR="00FE00D0">
        <w:t xml:space="preserve">ship </w:t>
      </w:r>
      <w:r>
        <w:t>which meets any of the following conditions:</w:t>
      </w:r>
    </w:p>
    <w:p w14:paraId="4535F23D" w14:textId="77777777" w:rsidR="00187BC1" w:rsidRDefault="00187BC1" w:rsidP="00187BC1">
      <w:pPr>
        <w:pStyle w:val="Numberedparagraph"/>
        <w:numPr>
          <w:ilvl w:val="2"/>
          <w:numId w:val="7"/>
        </w:numPr>
        <w:spacing w:line="276" w:lineRule="auto"/>
      </w:pPr>
      <w:r>
        <w:t xml:space="preserve">the tanker </w:t>
      </w:r>
      <w:r w:rsidR="00FE00D0">
        <w:t xml:space="preserve">ship </w:t>
      </w:r>
      <w:r>
        <w:t xml:space="preserve">is at an Australian port, whether awaiting </w:t>
      </w:r>
      <w:r w:rsidR="002975E1">
        <w:t>unloading</w:t>
      </w:r>
      <w:r>
        <w:t xml:space="preserve">, moored for unloading or </w:t>
      </w:r>
      <w:r w:rsidR="002975E1">
        <w:t>preparing</w:t>
      </w:r>
      <w:r>
        <w:t xml:space="preserve"> to depart after </w:t>
      </w:r>
      <w:r w:rsidR="002975E1">
        <w:t>unloading</w:t>
      </w:r>
      <w:r>
        <w:t>; or</w:t>
      </w:r>
    </w:p>
    <w:p w14:paraId="419AE2D4" w14:textId="31350AD0" w:rsidR="00187BC1" w:rsidRDefault="00187BC1" w:rsidP="00187BC1">
      <w:pPr>
        <w:pStyle w:val="Numberedparagraph"/>
        <w:numPr>
          <w:ilvl w:val="2"/>
          <w:numId w:val="7"/>
        </w:numPr>
        <w:spacing w:line="276" w:lineRule="auto"/>
      </w:pPr>
      <w:r>
        <w:t xml:space="preserve">the tanker </w:t>
      </w:r>
      <w:r w:rsidR="00FE00D0">
        <w:t xml:space="preserve">ship </w:t>
      </w:r>
      <w:r>
        <w:t xml:space="preserve">has issued a notice of readiness </w:t>
      </w:r>
      <w:r w:rsidR="00DA4B2F">
        <w:t xml:space="preserve">with respect </w:t>
      </w:r>
      <w:r>
        <w:t xml:space="preserve">to </w:t>
      </w:r>
      <w:r w:rsidR="00DA4B2F">
        <w:t xml:space="preserve">an Australian </w:t>
      </w:r>
      <w:r>
        <w:t>port</w:t>
      </w:r>
      <w:r w:rsidR="002975E1">
        <w:t xml:space="preserve"> in preparation of unloading; or </w:t>
      </w:r>
    </w:p>
    <w:p w14:paraId="6DFCC298" w14:textId="77777777" w:rsidR="00187BC1" w:rsidRDefault="00187BC1" w:rsidP="00187BC1">
      <w:pPr>
        <w:pStyle w:val="Numberedparagraph"/>
        <w:numPr>
          <w:ilvl w:val="2"/>
          <w:numId w:val="7"/>
        </w:numPr>
        <w:spacing w:line="276" w:lineRule="auto"/>
      </w:pPr>
      <w:r>
        <w:t xml:space="preserve">the tanker </w:t>
      </w:r>
      <w:r w:rsidR="00FE00D0">
        <w:t xml:space="preserve">ship </w:t>
      </w:r>
      <w:r>
        <w:t xml:space="preserve">is travelling between two Australia ports. </w:t>
      </w:r>
    </w:p>
    <w:p w14:paraId="14C22A6C" w14:textId="77777777" w:rsidR="00D6236C" w:rsidRDefault="00187BC1" w:rsidP="00187BC1">
      <w:pPr>
        <w:pStyle w:val="Numberedparagraph"/>
        <w:spacing w:line="276" w:lineRule="auto"/>
        <w:ind w:left="720" w:hanging="720"/>
      </w:pPr>
      <w:r>
        <w:t xml:space="preserve">Stock must be reported against the most appropriate category at the end of the month. Accordingly, if a tanker </w:t>
      </w:r>
      <w:r w:rsidR="00FE00D0">
        <w:t xml:space="preserve">ship </w:t>
      </w:r>
      <w:r>
        <w:t>enters Gladstone Harbour at 11.59pm on the last day of the month then it should be reported under the fourth category</w:t>
      </w:r>
      <w:r w:rsidR="002975E1">
        <w:t xml:space="preserve"> </w:t>
      </w:r>
      <w:r w:rsidR="00822863">
        <w:t xml:space="preserve">of subsection 17(5) </w:t>
      </w:r>
      <w:r w:rsidR="002975E1">
        <w:t>as it is at an Australian port</w:t>
      </w:r>
      <w:r w:rsidR="00504EFC">
        <w:t xml:space="preserve"> at the end of the month</w:t>
      </w:r>
      <w:r w:rsidR="002975E1">
        <w:t>.</w:t>
      </w:r>
    </w:p>
    <w:p w14:paraId="77E2259B" w14:textId="77777777" w:rsidR="00A45472" w:rsidRDefault="00A45472" w:rsidP="00187BC1">
      <w:pPr>
        <w:pStyle w:val="Numberedparagraph"/>
        <w:spacing w:line="276" w:lineRule="auto"/>
        <w:ind w:left="720" w:hanging="720"/>
      </w:pPr>
      <w:r>
        <w:t xml:space="preserve">When reporting stock held in storage in a tanker </w:t>
      </w:r>
      <w:r w:rsidR="00FE00D0">
        <w:t xml:space="preserve">ship </w:t>
      </w:r>
      <w:r>
        <w:t xml:space="preserve">at a foreign port (that is under paragraph 17(5)(a)), </w:t>
      </w:r>
      <w:r w:rsidR="0064275B">
        <w:t>a person</w:t>
      </w:r>
      <w:r>
        <w:t xml:space="preserve"> must report the country where </w:t>
      </w:r>
      <w:r w:rsidR="0064275B">
        <w:t>the</w:t>
      </w:r>
      <w:r>
        <w:t xml:space="preserve"> stock (</w:t>
      </w:r>
      <w:r w:rsidR="0064275B">
        <w:t>i.e.</w:t>
      </w:r>
      <w:r>
        <w:t xml:space="preserve"> the port) is </w:t>
      </w:r>
      <w:r w:rsidR="0064275B">
        <w:t>held</w:t>
      </w:r>
      <w:r>
        <w:t xml:space="preserve">. There is no requirement to report the country for </w:t>
      </w:r>
      <w:r w:rsidR="0064275B">
        <w:t>any other</w:t>
      </w:r>
      <w:r>
        <w:t xml:space="preserve"> </w:t>
      </w:r>
      <w:r w:rsidR="0064275B">
        <w:t xml:space="preserve">category </w:t>
      </w:r>
      <w:r>
        <w:t xml:space="preserve">of covered product on water. </w:t>
      </w:r>
    </w:p>
    <w:p w14:paraId="39C9AA3D" w14:textId="77777777" w:rsidR="008B7279" w:rsidRDefault="008B7279" w:rsidP="00187BC1">
      <w:pPr>
        <w:pStyle w:val="Numberedparagraph"/>
        <w:spacing w:line="276" w:lineRule="auto"/>
        <w:ind w:left="720" w:hanging="720"/>
      </w:pPr>
      <w:r>
        <w:t xml:space="preserve">The phrase ‘exclusive economic zone’ is defined in the </w:t>
      </w:r>
      <w:r w:rsidRPr="008B7279">
        <w:rPr>
          <w:i/>
        </w:rPr>
        <w:t>Acts Interpretation Act 1901</w:t>
      </w:r>
      <w:r>
        <w:t>.</w:t>
      </w:r>
    </w:p>
    <w:p w14:paraId="0894B49D" w14:textId="77777777" w:rsidR="006C71E2" w:rsidRDefault="006C71E2" w:rsidP="008224BE">
      <w:pPr>
        <w:pStyle w:val="Numberedparagraph"/>
        <w:spacing w:line="276" w:lineRule="auto"/>
        <w:ind w:left="720" w:hanging="720"/>
      </w:pPr>
      <w:r>
        <w:t>Subsection 17(</w:t>
      </w:r>
      <w:r w:rsidR="00A45472">
        <w:t>6</w:t>
      </w:r>
      <w:r>
        <w:t xml:space="preserve">) provides that when reporting </w:t>
      </w:r>
      <w:r w:rsidR="00D611A4">
        <w:t xml:space="preserve">on whether stock is </w:t>
      </w:r>
      <w:r w:rsidR="00C133FC">
        <w:t>inside</w:t>
      </w:r>
      <w:r w:rsidR="00D611A4">
        <w:t xml:space="preserve"> or </w:t>
      </w:r>
      <w:r w:rsidR="00C133FC">
        <w:t>outside</w:t>
      </w:r>
      <w:r w:rsidR="00D611A4">
        <w:t xml:space="preserve"> the EEZ that the relevant standard is whether </w:t>
      </w:r>
      <w:r w:rsidR="008224BE">
        <w:t>a</w:t>
      </w:r>
      <w:r w:rsidR="00D611A4">
        <w:t xml:space="preserve"> person </w:t>
      </w:r>
      <w:r w:rsidR="00C133FC">
        <w:t>reasonably believes the ship is located inside or outside the EEZ</w:t>
      </w:r>
      <w:r w:rsidR="00D611A4">
        <w:t xml:space="preserve">. </w:t>
      </w:r>
      <w:r w:rsidR="008224BE">
        <w:t>A reporter may not be certain of the exact location of a ship</w:t>
      </w:r>
      <w:r w:rsidR="00D611A4">
        <w:t xml:space="preserve"> at the end of the month, especially if the ship is under the control of a third party. </w:t>
      </w:r>
    </w:p>
    <w:p w14:paraId="4BE1A554" w14:textId="77777777" w:rsidR="00426B97" w:rsidRPr="00C21EAC" w:rsidRDefault="00426B97" w:rsidP="00426B97">
      <w:pPr>
        <w:pStyle w:val="Numberedparagraph"/>
        <w:numPr>
          <w:ilvl w:val="0"/>
          <w:numId w:val="0"/>
        </w:numPr>
        <w:spacing w:line="276" w:lineRule="auto"/>
        <w:rPr>
          <w:i/>
        </w:rPr>
      </w:pPr>
      <w:r w:rsidRPr="00C21EAC">
        <w:rPr>
          <w:i/>
        </w:rPr>
        <w:t>Stock at a</w:t>
      </w:r>
      <w:r w:rsidR="00900F90" w:rsidRPr="00C21EAC">
        <w:rPr>
          <w:i/>
        </w:rPr>
        <w:t>n Australian</w:t>
      </w:r>
      <w:r w:rsidRPr="00C21EAC">
        <w:rPr>
          <w:i/>
        </w:rPr>
        <w:t xml:space="preserve"> GLOWS facility</w:t>
      </w:r>
    </w:p>
    <w:p w14:paraId="2A906D7F" w14:textId="77777777" w:rsidR="00866FDF" w:rsidRDefault="00C63B74" w:rsidP="00370337">
      <w:pPr>
        <w:pStyle w:val="Numberedparagraph"/>
        <w:spacing w:line="276" w:lineRule="auto"/>
        <w:ind w:left="720" w:hanging="720"/>
      </w:pPr>
      <w:r w:rsidRPr="00C21EAC">
        <w:t xml:space="preserve">Table item </w:t>
      </w:r>
      <w:r w:rsidR="002F7309" w:rsidRPr="00C21EAC">
        <w:t>5</w:t>
      </w:r>
      <w:r w:rsidRPr="00C21EAC">
        <w:t xml:space="preserve"> prescribe</w:t>
      </w:r>
      <w:r w:rsidR="00877A93" w:rsidRPr="00C21EAC">
        <w:t>s</w:t>
      </w:r>
      <w:r w:rsidRPr="00C21EAC">
        <w:t xml:space="preserve"> </w:t>
      </w:r>
      <w:r w:rsidR="00866FDF" w:rsidRPr="00C21EAC">
        <w:t xml:space="preserve">for the purposes of section 11 of the Act </w:t>
      </w:r>
      <w:r w:rsidRPr="00C21EAC">
        <w:t>a stock reporting obligation for stocks held at a</w:t>
      </w:r>
      <w:r w:rsidR="00900F90" w:rsidRPr="00C21EAC">
        <w:t>n Australian</w:t>
      </w:r>
      <w:r>
        <w:t xml:space="preserve"> GLOWS facility. </w:t>
      </w:r>
    </w:p>
    <w:p w14:paraId="01C55CC9" w14:textId="77777777" w:rsidR="00426B97" w:rsidRDefault="00C63B74" w:rsidP="00370337">
      <w:pPr>
        <w:pStyle w:val="Numberedparagraph"/>
        <w:spacing w:line="276" w:lineRule="auto"/>
        <w:ind w:left="720" w:hanging="720"/>
      </w:pPr>
      <w:r>
        <w:t>A</w:t>
      </w:r>
      <w:r w:rsidR="00900F90">
        <w:t>ustralian</w:t>
      </w:r>
      <w:r>
        <w:t xml:space="preserve"> GLOWS facility is defined in sub</w:t>
      </w:r>
      <w:r w:rsidR="00BB332B">
        <w:t>section</w:t>
      </w:r>
      <w:r>
        <w:t xml:space="preserve"> </w:t>
      </w:r>
      <w:r w:rsidR="004A6084">
        <w:t>1</w:t>
      </w:r>
      <w:r w:rsidR="005576FA">
        <w:t>2</w:t>
      </w:r>
      <w:r w:rsidR="002F7309">
        <w:t>(4) as a refinery at which</w:t>
      </w:r>
      <w:r>
        <w:t xml:space="preserve"> GLOWS </w:t>
      </w:r>
      <w:r w:rsidR="002F7309">
        <w:t>are</w:t>
      </w:r>
      <w:r>
        <w:t xml:space="preserve"> recycled or re-refined in Australia by a regulated entity.</w:t>
      </w:r>
    </w:p>
    <w:p w14:paraId="0B852E9D" w14:textId="77777777" w:rsidR="00C63B74" w:rsidRDefault="00C63B74" w:rsidP="00370337">
      <w:pPr>
        <w:pStyle w:val="Numberedparagraph"/>
        <w:spacing w:line="276" w:lineRule="auto"/>
        <w:ind w:left="720" w:hanging="720"/>
      </w:pPr>
      <w:r>
        <w:lastRenderedPageBreak/>
        <w:t xml:space="preserve">Recycling is the process of turning a used petroleum-based substance into a new covered product. For example, waste lubricant may be recycled </w:t>
      </w:r>
      <w:r w:rsidR="002F7309">
        <w:t>into</w:t>
      </w:r>
      <w:r>
        <w:t xml:space="preserve"> fuel oil. Re</w:t>
      </w:r>
      <w:r w:rsidR="00866FDF">
        <w:noBreakHyphen/>
      </w:r>
      <w:r>
        <w:t xml:space="preserve">refining is the process of turning used lubricants into lubricating oil base stock which can be used to </w:t>
      </w:r>
      <w:r w:rsidR="00866FDF">
        <w:t>create</w:t>
      </w:r>
      <w:r>
        <w:t xml:space="preserve"> </w:t>
      </w:r>
      <w:r w:rsidR="00912DCB">
        <w:t>new lubricant.</w:t>
      </w:r>
    </w:p>
    <w:p w14:paraId="0F59FB3B" w14:textId="5AECA0F5" w:rsidR="00912DCB" w:rsidRDefault="00912DCB" w:rsidP="00370337">
      <w:pPr>
        <w:pStyle w:val="Numberedparagraph"/>
        <w:spacing w:line="276" w:lineRule="auto"/>
        <w:ind w:left="720" w:hanging="720"/>
      </w:pPr>
      <w:r>
        <w:t xml:space="preserve">Column 1 </w:t>
      </w:r>
      <w:r w:rsidR="00866FDF">
        <w:t>prescribe</w:t>
      </w:r>
      <w:r w:rsidR="008E4B74">
        <w:t>s</w:t>
      </w:r>
      <w:r w:rsidR="00866FDF">
        <w:t xml:space="preserve"> as</w:t>
      </w:r>
      <w:r>
        <w:t xml:space="preserve"> reportable </w:t>
      </w:r>
      <w:r w:rsidR="00866FDF">
        <w:t>all covered products held at GLOWS facilities that are</w:t>
      </w:r>
      <w:r>
        <w:t xml:space="preserve"> input stock, working stock </w:t>
      </w:r>
      <w:r w:rsidR="00866FDF">
        <w:t>or</w:t>
      </w:r>
      <w:r>
        <w:t xml:space="preserve"> output stock. </w:t>
      </w:r>
    </w:p>
    <w:p w14:paraId="0A07C7C4" w14:textId="6C905363" w:rsidR="00187CF1" w:rsidRDefault="00187CF1" w:rsidP="00B91A39">
      <w:pPr>
        <w:pStyle w:val="Numberedparagraph"/>
        <w:keepNext/>
        <w:spacing w:line="276" w:lineRule="auto"/>
        <w:ind w:left="720" w:hanging="720"/>
      </w:pPr>
      <w:r>
        <w:t>Sub</w:t>
      </w:r>
      <w:r w:rsidR="006E0C86">
        <w:t xml:space="preserve">section </w:t>
      </w:r>
      <w:r>
        <w:t xml:space="preserve">12(5) defines the meaning of input stock, working stock and output stock for GLOWS facilities. </w:t>
      </w:r>
    </w:p>
    <w:p w14:paraId="67875D6A" w14:textId="77777777" w:rsidR="00FC449F" w:rsidRDefault="00F22BCC" w:rsidP="00FC449F">
      <w:pPr>
        <w:pStyle w:val="Numberedparagraph"/>
        <w:numPr>
          <w:ilvl w:val="1"/>
          <w:numId w:val="7"/>
        </w:numPr>
        <w:spacing w:after="200" w:line="276" w:lineRule="auto"/>
        <w:rPr>
          <w:rFonts w:cs="Times New Roman"/>
        </w:rPr>
      </w:pPr>
      <w:r>
        <w:rPr>
          <w:rFonts w:cs="Times New Roman"/>
        </w:rPr>
        <w:t xml:space="preserve">Paragraph </w:t>
      </w:r>
      <w:r w:rsidR="00FC449F">
        <w:rPr>
          <w:rFonts w:cs="Times New Roman"/>
        </w:rPr>
        <w:t xml:space="preserve">12(5)(a) defines input stock as a covered product which is an input into a recycling or re-refining process at a GLOWS facility. </w:t>
      </w:r>
    </w:p>
    <w:p w14:paraId="4F179E56" w14:textId="77777777" w:rsidR="00FC449F" w:rsidRDefault="00F22BCC" w:rsidP="00FC449F">
      <w:pPr>
        <w:pStyle w:val="Numberedparagraph"/>
        <w:numPr>
          <w:ilvl w:val="1"/>
          <w:numId w:val="7"/>
        </w:numPr>
        <w:spacing w:after="200" w:line="276" w:lineRule="auto"/>
        <w:rPr>
          <w:rFonts w:cs="Times New Roman"/>
        </w:rPr>
      </w:pPr>
      <w:r>
        <w:rPr>
          <w:rFonts w:cs="Times New Roman"/>
        </w:rPr>
        <w:t xml:space="preserve">Paragraph </w:t>
      </w:r>
      <w:r w:rsidR="00FC449F">
        <w:rPr>
          <w:rFonts w:cs="Times New Roman"/>
        </w:rPr>
        <w:t xml:space="preserve">12(5)(b) defines working stock as a covered product which is an intermediate output from a recycling or re-refining process at a GLOWS facility. </w:t>
      </w:r>
    </w:p>
    <w:p w14:paraId="58221DE9" w14:textId="77777777" w:rsidR="00FC449F" w:rsidRPr="00FC449F" w:rsidRDefault="00FC449F" w:rsidP="00FC449F">
      <w:pPr>
        <w:pStyle w:val="Numberedparagraph"/>
        <w:numPr>
          <w:ilvl w:val="1"/>
          <w:numId w:val="7"/>
        </w:numPr>
        <w:spacing w:after="200" w:line="276" w:lineRule="auto"/>
        <w:rPr>
          <w:rFonts w:cs="Times New Roman"/>
        </w:rPr>
      </w:pPr>
      <w:r>
        <w:rPr>
          <w:rFonts w:cs="Times New Roman"/>
        </w:rPr>
        <w:t>Paragraph 12(5)(c) defines output stock as a covered product which is an output from a recycling or re-refining process at a GLOWS facility and which is not working stock.</w:t>
      </w:r>
      <w:r w:rsidRPr="002F3733">
        <w:rPr>
          <w:rFonts w:cs="Times New Roman"/>
        </w:rPr>
        <w:t xml:space="preserve"> </w:t>
      </w:r>
    </w:p>
    <w:p w14:paraId="2FE2573A" w14:textId="77777777" w:rsidR="00912DCB" w:rsidRDefault="00912DCB" w:rsidP="00370337">
      <w:pPr>
        <w:pStyle w:val="Numberedparagraph"/>
        <w:spacing w:line="276" w:lineRule="auto"/>
        <w:ind w:left="720" w:hanging="720"/>
      </w:pPr>
      <w:r>
        <w:t>Column 2 place</w:t>
      </w:r>
      <w:r w:rsidR="00FC449F">
        <w:t>s</w:t>
      </w:r>
      <w:r>
        <w:t xml:space="preserve"> the reporting obligation on the regulated entity that </w:t>
      </w:r>
      <w:r w:rsidR="00FC449F">
        <w:t>holds</w:t>
      </w:r>
      <w:r>
        <w:t xml:space="preserve"> the stock. This would</w:t>
      </w:r>
      <w:r w:rsidR="002F7309">
        <w:t xml:space="preserve"> generally</w:t>
      </w:r>
      <w:r>
        <w:t xml:space="preserve"> be the business which </w:t>
      </w:r>
      <w:r w:rsidR="00FC449F">
        <w:t>owns</w:t>
      </w:r>
      <w:r>
        <w:t xml:space="preserve"> the recycling or re-refining facility.</w:t>
      </w:r>
    </w:p>
    <w:p w14:paraId="19390EE9" w14:textId="42E7B736" w:rsidR="00912DCB" w:rsidRDefault="00912DCB" w:rsidP="00370337">
      <w:pPr>
        <w:pStyle w:val="Numberedparagraph"/>
        <w:spacing w:line="276" w:lineRule="auto"/>
        <w:ind w:left="720" w:hanging="720"/>
      </w:pPr>
      <w:r>
        <w:t>Column 3 require</w:t>
      </w:r>
      <w:r w:rsidR="008E4B74">
        <w:t>s</w:t>
      </w:r>
      <w:r>
        <w:t xml:space="preserve"> the same fuel information as for the general stock reporting obligation under table 1, with the added requirement that the stock be reported</w:t>
      </w:r>
      <w:r w:rsidR="00866FDF">
        <w:t xml:space="preserve"> in the categories of</w:t>
      </w:r>
      <w:r>
        <w:t xml:space="preserve"> input stock, working stock and output stock. </w:t>
      </w:r>
      <w:r w:rsidR="00A45472">
        <w:t>This means that quantities in the reports must be broken down by state or territory, into the categories and subcategories set out in Schedule 1, and into input, output and working stock categories.</w:t>
      </w:r>
    </w:p>
    <w:p w14:paraId="3CFDB505" w14:textId="77777777" w:rsidR="00912DCB" w:rsidRPr="00912DCB" w:rsidRDefault="00FC449F" w:rsidP="00912DCB">
      <w:pPr>
        <w:pStyle w:val="Numberedparagraph"/>
        <w:numPr>
          <w:ilvl w:val="0"/>
          <w:numId w:val="0"/>
        </w:numPr>
        <w:spacing w:line="276" w:lineRule="auto"/>
        <w:rPr>
          <w:i/>
        </w:rPr>
      </w:pPr>
      <w:r>
        <w:rPr>
          <w:i/>
        </w:rPr>
        <w:t>Prescribed Circumstances</w:t>
      </w:r>
    </w:p>
    <w:p w14:paraId="6C165961" w14:textId="77777777" w:rsidR="00912DCB" w:rsidRDefault="00912DCB" w:rsidP="00370337">
      <w:pPr>
        <w:pStyle w:val="Numberedparagraph"/>
        <w:spacing w:line="276" w:lineRule="auto"/>
        <w:ind w:left="720" w:hanging="720"/>
      </w:pPr>
      <w:r>
        <w:t>Sub</w:t>
      </w:r>
      <w:r w:rsidR="00BB332B">
        <w:t>section</w:t>
      </w:r>
      <w:r>
        <w:t xml:space="preserve"> 1</w:t>
      </w:r>
      <w:r w:rsidR="00B7157E">
        <w:t>7</w:t>
      </w:r>
      <w:r>
        <w:t>(2) limit</w:t>
      </w:r>
      <w:r w:rsidR="00877A93">
        <w:t>s</w:t>
      </w:r>
      <w:r>
        <w:t xml:space="preserve"> the reporting obligation in table items 1 and </w:t>
      </w:r>
      <w:r w:rsidR="00866FDF">
        <w:t>5</w:t>
      </w:r>
      <w:r w:rsidR="00FC449F">
        <w:t xml:space="preserve"> under subsection</w:t>
      </w:r>
      <w:r w:rsidR="00F22BCC">
        <w:t> </w:t>
      </w:r>
      <w:r w:rsidR="00FC449F">
        <w:t>17(1)</w:t>
      </w:r>
      <w:r>
        <w:t xml:space="preserve"> to stock held in Australia. This means that the general stock reporting obligation and the </w:t>
      </w:r>
      <w:r w:rsidR="00900F90">
        <w:t xml:space="preserve">Australian </w:t>
      </w:r>
      <w:r>
        <w:t>GLOWS faci</w:t>
      </w:r>
      <w:r w:rsidR="002F7309">
        <w:t>lity stock reporting obligation</w:t>
      </w:r>
      <w:r>
        <w:t xml:space="preserve"> do not apply to stock outside of Australia. </w:t>
      </w:r>
    </w:p>
    <w:p w14:paraId="306FD2E7" w14:textId="77777777" w:rsidR="00912DCB" w:rsidRDefault="00912DCB" w:rsidP="00370337">
      <w:pPr>
        <w:pStyle w:val="Numberedparagraph"/>
        <w:spacing w:line="276" w:lineRule="auto"/>
        <w:ind w:left="720" w:hanging="720"/>
      </w:pPr>
      <w:r>
        <w:t>Sub</w:t>
      </w:r>
      <w:r w:rsidR="00BB332B">
        <w:t>section</w:t>
      </w:r>
      <w:r>
        <w:t xml:space="preserve"> 1</w:t>
      </w:r>
      <w:r w:rsidR="00B7157E">
        <w:t>7</w:t>
      </w:r>
      <w:r>
        <w:t>(3) extend</w:t>
      </w:r>
      <w:r w:rsidR="00877A93">
        <w:t>s</w:t>
      </w:r>
      <w:r>
        <w:t xml:space="preserve"> the reporting obligation in table items 2 to </w:t>
      </w:r>
      <w:r w:rsidR="00866FDF">
        <w:t>4</w:t>
      </w:r>
      <w:r>
        <w:t xml:space="preserve"> </w:t>
      </w:r>
      <w:r w:rsidR="00FC449F">
        <w:t>under subsection</w:t>
      </w:r>
      <w:r w:rsidR="00F22BCC">
        <w:t> </w:t>
      </w:r>
      <w:r w:rsidR="00FC449F">
        <w:t xml:space="preserve">17(1) </w:t>
      </w:r>
      <w:r>
        <w:t xml:space="preserve">to stock </w:t>
      </w:r>
      <w:r w:rsidR="002F7309">
        <w:t xml:space="preserve">both in Australia and </w:t>
      </w:r>
      <w:r>
        <w:t xml:space="preserve">stock that is outside Australia when </w:t>
      </w:r>
      <w:r w:rsidR="002F7309">
        <w:t>it</w:t>
      </w:r>
      <w:r>
        <w:t xml:space="preserve"> is held in connection with </w:t>
      </w:r>
      <w:r w:rsidR="00866FDF">
        <w:t xml:space="preserve">a </w:t>
      </w:r>
      <w:r>
        <w:t>bu</w:t>
      </w:r>
      <w:r w:rsidR="00866FDF">
        <w:t>siness carried on in Australia.</w:t>
      </w:r>
      <w:r w:rsidR="00A45472">
        <w:t xml:space="preserve"> </w:t>
      </w:r>
    </w:p>
    <w:p w14:paraId="4CFABAB7" w14:textId="4E6C7526" w:rsidR="00FC449F" w:rsidRPr="00FC449F" w:rsidRDefault="00FC449F" w:rsidP="00FC449F">
      <w:pPr>
        <w:pStyle w:val="Numberedparagraph"/>
        <w:numPr>
          <w:ilvl w:val="0"/>
          <w:numId w:val="0"/>
        </w:numPr>
        <w:spacing w:line="276" w:lineRule="auto"/>
        <w:rPr>
          <w:i/>
        </w:rPr>
      </w:pPr>
      <w:r>
        <w:rPr>
          <w:i/>
        </w:rPr>
        <w:t>Quantities of covered products</w:t>
      </w:r>
      <w:r w:rsidR="00A45472">
        <w:rPr>
          <w:i/>
        </w:rPr>
        <w:t xml:space="preserve"> on water</w:t>
      </w:r>
    </w:p>
    <w:p w14:paraId="37327765" w14:textId="551527E5" w:rsidR="0064275B" w:rsidRDefault="006C71E2" w:rsidP="00504EFC">
      <w:pPr>
        <w:pStyle w:val="Numberedparagraph"/>
        <w:spacing w:line="276" w:lineRule="auto"/>
        <w:ind w:left="720" w:hanging="720"/>
      </w:pPr>
      <w:r>
        <w:t>Subsection 17(</w:t>
      </w:r>
      <w:r w:rsidR="00A45472">
        <w:t>4</w:t>
      </w:r>
      <w:r>
        <w:t>)</w:t>
      </w:r>
      <w:r w:rsidR="0064275B">
        <w:t xml:space="preserve"> sets specific reporting requirements for covered product</w:t>
      </w:r>
      <w:r w:rsidR="00CE7EDB">
        <w:t>s</w:t>
      </w:r>
      <w:r w:rsidR="0064275B">
        <w:t xml:space="preserve"> on water</w:t>
      </w:r>
      <w:r w:rsidR="00CE7EDB">
        <w:t xml:space="preserve"> for table items 3 and 4 under subsection 17(1)</w:t>
      </w:r>
      <w:r w:rsidR="0064275B">
        <w:t>.</w:t>
      </w:r>
    </w:p>
    <w:p w14:paraId="261B3C67" w14:textId="43C3727C" w:rsidR="008224BE" w:rsidRDefault="0064275B" w:rsidP="0064275B">
      <w:pPr>
        <w:pStyle w:val="Numberedparagraph"/>
        <w:spacing w:line="276" w:lineRule="auto"/>
        <w:ind w:left="720" w:hanging="720"/>
      </w:pPr>
      <w:r>
        <w:t xml:space="preserve">Paragraph 17(4)(a) </w:t>
      </w:r>
      <w:r w:rsidR="006C71E2">
        <w:t xml:space="preserve"> requires that the fuel information prescribed in Column 3 of table items 3 and 4 at subsection 17(1) be reported using the categories specified at Schedule</w:t>
      </w:r>
      <w:r w:rsidR="00CE7EDB">
        <w:t> </w:t>
      </w:r>
      <w:r w:rsidR="006C71E2">
        <w:t xml:space="preserve">1. </w:t>
      </w:r>
      <w:r w:rsidR="00504EFC">
        <w:t>R</w:t>
      </w:r>
      <w:r w:rsidR="006C71E2">
        <w:t xml:space="preserve">eports do not need to include the subcategories set out at Column 4 of </w:t>
      </w:r>
      <w:r w:rsidR="00B91A39">
        <w:t xml:space="preserve">subclause 1(1) of </w:t>
      </w:r>
      <w:r w:rsidR="006C71E2">
        <w:t>Schedule</w:t>
      </w:r>
      <w:r w:rsidR="008224BE">
        <w:t xml:space="preserve"> 1</w:t>
      </w:r>
      <w:r w:rsidR="006C71E2">
        <w:t xml:space="preserve">. </w:t>
      </w:r>
      <w:r w:rsidR="008224BE">
        <w:t xml:space="preserve">The intention of this provision is to reduce the reporting requirements </w:t>
      </w:r>
      <w:r w:rsidR="001D2F0A">
        <w:t>for persons required to report covered products on water</w:t>
      </w:r>
      <w:r w:rsidR="00CE7EDB">
        <w:t xml:space="preserve"> as a</w:t>
      </w:r>
      <w:r w:rsidR="001D2F0A">
        <w:t xml:space="preserve"> detailed product differentiation is not required to produce the statistics. </w:t>
      </w:r>
    </w:p>
    <w:p w14:paraId="7DE905AB" w14:textId="77777777" w:rsidR="0064275B" w:rsidRDefault="0064275B" w:rsidP="0064275B">
      <w:pPr>
        <w:pStyle w:val="Numberedparagraph"/>
        <w:spacing w:line="276" w:lineRule="auto"/>
        <w:ind w:left="720" w:hanging="720"/>
      </w:pPr>
      <w:r>
        <w:lastRenderedPageBreak/>
        <w:t>Paragraph 17(4)(b) requires that the</w:t>
      </w:r>
      <w:r w:rsidRPr="0064275B">
        <w:t xml:space="preserve"> </w:t>
      </w:r>
      <w:r>
        <w:t xml:space="preserve">fuel information prescribed in Column 3 of table items 3 and 4 at subsection 17(1) be reported by country when stock is held in storage in a ship in a foreign port. That is, when a person reports stock against the category set out at paragraph 17(5)(a), they must also report the country where this stock is located. </w:t>
      </w:r>
    </w:p>
    <w:p w14:paraId="6F8B718C" w14:textId="77777777" w:rsidR="0064275B" w:rsidRDefault="0064275B" w:rsidP="0064275B">
      <w:pPr>
        <w:pStyle w:val="Numberedparagraph"/>
        <w:spacing w:line="276" w:lineRule="auto"/>
        <w:ind w:left="720" w:hanging="720"/>
      </w:pPr>
      <w:r>
        <w:t>There is no requirement that country be reported for the other three categories of covered product on water set out at subsection 17(5).</w:t>
      </w:r>
    </w:p>
    <w:p w14:paraId="53C0CB87" w14:textId="75EB69D0" w:rsidR="00FC449F" w:rsidRDefault="00FC449F" w:rsidP="00370337">
      <w:pPr>
        <w:pStyle w:val="Numberedparagraph"/>
        <w:spacing w:line="276" w:lineRule="auto"/>
        <w:ind w:left="720" w:hanging="720"/>
      </w:pPr>
      <w:r>
        <w:t xml:space="preserve">Subsection 17(5) sets out four categories which must be used when reporting the location of stock which is </w:t>
      </w:r>
      <w:r w:rsidR="00504EFC">
        <w:t xml:space="preserve">covered product </w:t>
      </w:r>
      <w:r>
        <w:t xml:space="preserve">on water under table item 3 and 4 at subsection 17(1). These categories are discussed </w:t>
      </w:r>
      <w:r w:rsidR="009C3F75">
        <w:t>in relation to the table items above</w:t>
      </w:r>
      <w:r>
        <w:t xml:space="preserve">. </w:t>
      </w:r>
    </w:p>
    <w:p w14:paraId="264CEE7C" w14:textId="77777777" w:rsidR="006C71E2" w:rsidRDefault="006C71E2" w:rsidP="00370337">
      <w:pPr>
        <w:pStyle w:val="Numberedparagraph"/>
        <w:spacing w:line="276" w:lineRule="auto"/>
        <w:ind w:left="720" w:hanging="720"/>
      </w:pPr>
      <w:r>
        <w:t>Subsection 17(</w:t>
      </w:r>
      <w:r w:rsidR="0064275B">
        <w:t>6</w:t>
      </w:r>
      <w:r>
        <w:t xml:space="preserve">) provides </w:t>
      </w:r>
      <w:r w:rsidR="00D611A4">
        <w:t>guidance on the standard to be applied when determining whether covered products on water should be reported under paragraphs 17(</w:t>
      </w:r>
      <w:r w:rsidR="0064275B">
        <w:t>5</w:t>
      </w:r>
      <w:r w:rsidR="00D611A4">
        <w:t>)(b) or 17(</w:t>
      </w:r>
      <w:r w:rsidR="0064275B">
        <w:t>5</w:t>
      </w:r>
      <w:r w:rsidR="00D611A4">
        <w:t xml:space="preserve">)(c). </w:t>
      </w:r>
    </w:p>
    <w:p w14:paraId="7065C8DC" w14:textId="77777777" w:rsidR="00504EFC" w:rsidRDefault="00E30F95" w:rsidP="00370337">
      <w:pPr>
        <w:pStyle w:val="Numberedparagraph"/>
        <w:spacing w:line="276" w:lineRule="auto"/>
        <w:ind w:left="720" w:hanging="720"/>
      </w:pPr>
      <w:r>
        <w:t>The intention of this provision is to provide comfort to regulated entities required to report under table items 3 and 4 of subsection 17(1). Where a person is required to report on covered products on water, it should be relatively easy to determine objectively whether a covered product falls within paragraph 17(</w:t>
      </w:r>
      <w:r w:rsidR="0064275B">
        <w:t>5</w:t>
      </w:r>
      <w:r>
        <w:t>)(a) or 17(</w:t>
      </w:r>
      <w:r w:rsidR="0064275B">
        <w:t>5</w:t>
      </w:r>
      <w:r>
        <w:t>)(d). This is because businesses should know if their stock is at a foreign port</w:t>
      </w:r>
      <w:r w:rsidR="00C133FC">
        <w:t xml:space="preserve"> (17(5)(a))</w:t>
      </w:r>
      <w:r>
        <w:t xml:space="preserve">, </w:t>
      </w:r>
      <w:r w:rsidR="00C133FC">
        <w:t xml:space="preserve">at </w:t>
      </w:r>
      <w:r>
        <w:t>an Australian port</w:t>
      </w:r>
      <w:r w:rsidR="00C133FC">
        <w:t xml:space="preserve"> (17(5)(d)(i))</w:t>
      </w:r>
      <w:r>
        <w:t>,</w:t>
      </w:r>
      <w:r w:rsidR="00C133FC">
        <w:t xml:space="preserve"> awaiting unloading after a notice of readiness has been given (17(5)(d)(ii)) </w:t>
      </w:r>
      <w:r>
        <w:t>or in transit between Australian ports</w:t>
      </w:r>
      <w:r w:rsidR="00C133FC">
        <w:t xml:space="preserve"> (17(5)(d)(iii))</w:t>
      </w:r>
      <w:r>
        <w:t xml:space="preserve">. However, it may not always be easy to determine </w:t>
      </w:r>
      <w:r w:rsidR="00504EFC">
        <w:t>whether</w:t>
      </w:r>
      <w:r>
        <w:t xml:space="preserve"> a covered product in transit to Australia should be reported under paragraph 17(</w:t>
      </w:r>
      <w:r w:rsidR="0064275B">
        <w:t>5</w:t>
      </w:r>
      <w:r>
        <w:t>)(b) or 17(</w:t>
      </w:r>
      <w:r w:rsidR="0064275B">
        <w:t>5</w:t>
      </w:r>
      <w:r>
        <w:t xml:space="preserve">)(c). </w:t>
      </w:r>
      <w:r w:rsidR="00504EFC">
        <w:t>For example</w:t>
      </w:r>
      <w:r>
        <w:t xml:space="preserve">, if another person is operating the ship containing a covered product, its exact position relative to the EEZ at the end of the month may be uncertain. </w:t>
      </w:r>
    </w:p>
    <w:p w14:paraId="0BD79A82" w14:textId="77777777" w:rsidR="00E30F95" w:rsidRDefault="00E30F95" w:rsidP="00370337">
      <w:pPr>
        <w:pStyle w:val="Numberedparagraph"/>
        <w:spacing w:line="276" w:lineRule="auto"/>
        <w:ind w:left="720" w:hanging="720"/>
      </w:pPr>
      <w:r>
        <w:t>Accordingly, persons required to report on whether a covered product</w:t>
      </w:r>
      <w:r w:rsidR="00504EFC">
        <w:t xml:space="preserve"> on water</w:t>
      </w:r>
      <w:r>
        <w:t xml:space="preserve"> is inside or outside the EEZ </w:t>
      </w:r>
      <w:r w:rsidR="00504EFC">
        <w:t>should</w:t>
      </w:r>
      <w:r>
        <w:t xml:space="preserve"> report their reasonable belief as to </w:t>
      </w:r>
      <w:r w:rsidR="00504EFC">
        <w:t xml:space="preserve">its </w:t>
      </w:r>
      <w:r>
        <w:t xml:space="preserve">location at the end of the month. </w:t>
      </w:r>
    </w:p>
    <w:p w14:paraId="694F26FE" w14:textId="13FBAFF1" w:rsidR="000147D3" w:rsidRDefault="00B91A39" w:rsidP="000147D3">
      <w:pPr>
        <w:pStyle w:val="Numberedparagraph"/>
        <w:spacing w:line="276" w:lineRule="auto"/>
        <w:ind w:left="720" w:hanging="720"/>
      </w:pPr>
      <w:r>
        <w:t>If a reporter wishes to document the basis for its belief, r</w:t>
      </w:r>
      <w:r w:rsidR="000147D3">
        <w:t xml:space="preserve">elevant information could include ship location records (such as global positioning system records), </w:t>
      </w:r>
      <w:r w:rsidR="00504EFC">
        <w:t xml:space="preserve">information on the </w:t>
      </w:r>
      <w:r w:rsidR="000147D3">
        <w:t xml:space="preserve">expected route and </w:t>
      </w:r>
      <w:r w:rsidR="00504EFC">
        <w:t>any</w:t>
      </w:r>
      <w:r w:rsidR="000147D3">
        <w:t xml:space="preserve"> information provided by the shipping company. </w:t>
      </w:r>
    </w:p>
    <w:p w14:paraId="1C97E034" w14:textId="77777777" w:rsidR="00D611A4" w:rsidRDefault="00CD27A7" w:rsidP="00370337">
      <w:pPr>
        <w:pStyle w:val="Numberedparagraph"/>
        <w:spacing w:line="276" w:lineRule="auto"/>
        <w:ind w:left="720" w:hanging="720"/>
      </w:pPr>
      <w:r>
        <w:t>Subsection 17(</w:t>
      </w:r>
      <w:r w:rsidR="0064275B">
        <w:t>6</w:t>
      </w:r>
      <w:r>
        <w:t>) does not change the standard for covered products on water which fall within paragraph 17(</w:t>
      </w:r>
      <w:r w:rsidR="0064275B">
        <w:t>5</w:t>
      </w:r>
      <w:r>
        <w:t xml:space="preserve">)(a) (stocks kept in storage in a ship in a foreign port) </w:t>
      </w:r>
      <w:r w:rsidR="000147D3">
        <w:t>and</w:t>
      </w:r>
      <w:r>
        <w:t xml:space="preserve"> paragraph 17(</w:t>
      </w:r>
      <w:r w:rsidR="0064275B">
        <w:t>5</w:t>
      </w:r>
      <w:r>
        <w:t xml:space="preserve">)(d) (stocks kept in storage in a ship within the EEZ if the ship is at an Australian port, </w:t>
      </w:r>
      <w:r w:rsidR="007A655F">
        <w:t xml:space="preserve">has issued a notice of readiness or is travelling between Australian ports). </w:t>
      </w:r>
      <w:r>
        <w:t xml:space="preserve"> </w:t>
      </w:r>
    </w:p>
    <w:p w14:paraId="0980DD05" w14:textId="77777777" w:rsidR="00FC449F" w:rsidRPr="00900F90" w:rsidRDefault="00900F90" w:rsidP="00900F90">
      <w:pPr>
        <w:pStyle w:val="Numberedparagraph"/>
        <w:numPr>
          <w:ilvl w:val="0"/>
          <w:numId w:val="0"/>
        </w:numPr>
        <w:spacing w:line="276" w:lineRule="auto"/>
        <w:rPr>
          <w:i/>
        </w:rPr>
      </w:pPr>
      <w:r>
        <w:rPr>
          <w:i/>
        </w:rPr>
        <w:t>Interaction with section 16</w:t>
      </w:r>
    </w:p>
    <w:p w14:paraId="2FABD026" w14:textId="399962FA" w:rsidR="00D6236C" w:rsidRDefault="006F3D7F" w:rsidP="00370337">
      <w:pPr>
        <w:pStyle w:val="Numberedparagraph"/>
        <w:spacing w:line="276" w:lineRule="auto"/>
        <w:ind w:left="720" w:hanging="720"/>
      </w:pPr>
      <w:r>
        <w:t>Sub</w:t>
      </w:r>
      <w:r w:rsidR="00BB332B">
        <w:t>section</w:t>
      </w:r>
      <w:r>
        <w:t xml:space="preserve"> 1</w:t>
      </w:r>
      <w:r w:rsidR="00B7157E">
        <w:t>7</w:t>
      </w:r>
      <w:r>
        <w:t>(</w:t>
      </w:r>
      <w:r w:rsidR="0064275B">
        <w:t>7</w:t>
      </w:r>
      <w:r>
        <w:t>) provide</w:t>
      </w:r>
      <w:r w:rsidR="00877A93">
        <w:t>s</w:t>
      </w:r>
      <w:r>
        <w:t xml:space="preserve"> that where stock </w:t>
      </w:r>
      <w:r w:rsidR="00FD0A13">
        <w:t>is</w:t>
      </w:r>
      <w:r>
        <w:t xml:space="preserve"> reportable under section 1</w:t>
      </w:r>
      <w:r w:rsidR="00B7157E">
        <w:t>6</w:t>
      </w:r>
      <w:r>
        <w:t xml:space="preserve"> that it </w:t>
      </w:r>
      <w:r w:rsidR="00877A93">
        <w:t xml:space="preserve">is not required to be </w:t>
      </w:r>
      <w:r w:rsidR="00866FDF">
        <w:t>re-</w:t>
      </w:r>
      <w:r w:rsidR="00877A93">
        <w:t>reported under</w:t>
      </w:r>
      <w:r>
        <w:t xml:space="preserve"> </w:t>
      </w:r>
      <w:r w:rsidR="00BB332B">
        <w:t>section</w:t>
      </w:r>
      <w:r>
        <w:t xml:space="preserve"> 1</w:t>
      </w:r>
      <w:r w:rsidR="00B7157E">
        <w:t>7</w:t>
      </w:r>
      <w:r>
        <w:t xml:space="preserve">. </w:t>
      </w:r>
    </w:p>
    <w:p w14:paraId="6D5D18A5" w14:textId="4C76F406" w:rsidR="006F3D7F" w:rsidRDefault="006F3D7F" w:rsidP="00370337">
      <w:pPr>
        <w:pStyle w:val="Numberedparagraph"/>
        <w:spacing w:line="276" w:lineRule="auto"/>
        <w:ind w:left="720" w:hanging="720"/>
      </w:pPr>
      <w:r>
        <w:t xml:space="preserve">The reporting obligations for Australian fields, Australian biofuel plants, Australian plants </w:t>
      </w:r>
      <w:r w:rsidR="00900F90">
        <w:t xml:space="preserve">(non-biofuel) </w:t>
      </w:r>
      <w:r>
        <w:t>and Australian refineries in section 1</w:t>
      </w:r>
      <w:r w:rsidR="00B7157E">
        <w:t>6</w:t>
      </w:r>
      <w:r>
        <w:t xml:space="preserve"> include stock reporting obligations. </w:t>
      </w:r>
      <w:r w:rsidR="00D448BC">
        <w:t>The intention of sub</w:t>
      </w:r>
      <w:r w:rsidR="00BB332B">
        <w:t>section</w:t>
      </w:r>
      <w:r w:rsidR="00D448BC">
        <w:t xml:space="preserve"> 1</w:t>
      </w:r>
      <w:r w:rsidR="00B7157E">
        <w:t>7</w:t>
      </w:r>
      <w:r w:rsidR="00D448BC">
        <w:t>(</w:t>
      </w:r>
      <w:r w:rsidR="0064275B">
        <w:t>7</w:t>
      </w:r>
      <w:r w:rsidR="00D448BC">
        <w:t xml:space="preserve">) is to ensure that </w:t>
      </w:r>
      <w:r w:rsidR="004A6084">
        <w:t>sub</w:t>
      </w:r>
      <w:r w:rsidR="00BB332B">
        <w:t>section</w:t>
      </w:r>
      <w:r w:rsidR="00D448BC">
        <w:t xml:space="preserve"> 1</w:t>
      </w:r>
      <w:r w:rsidR="00B7157E">
        <w:t>7</w:t>
      </w:r>
      <w:r w:rsidR="004A6084">
        <w:t>(1)</w:t>
      </w:r>
      <w:r w:rsidR="00D448BC">
        <w:t xml:space="preserve"> does not impose an obligation to report the same </w:t>
      </w:r>
      <w:r w:rsidR="002F7309">
        <w:t xml:space="preserve">stock </w:t>
      </w:r>
      <w:r w:rsidR="00D448BC">
        <w:t xml:space="preserve">information twice. </w:t>
      </w:r>
    </w:p>
    <w:p w14:paraId="27875FCA" w14:textId="77777777" w:rsidR="00D448BC" w:rsidRPr="00D448BC" w:rsidRDefault="00D448BC" w:rsidP="00D448BC">
      <w:pPr>
        <w:pStyle w:val="Numberedparagraph"/>
        <w:numPr>
          <w:ilvl w:val="0"/>
          <w:numId w:val="0"/>
        </w:numPr>
        <w:spacing w:line="276" w:lineRule="auto"/>
        <w:rPr>
          <w:i/>
        </w:rPr>
      </w:pPr>
      <w:r>
        <w:rPr>
          <w:i/>
        </w:rPr>
        <w:lastRenderedPageBreak/>
        <w:t>Threshold</w:t>
      </w:r>
    </w:p>
    <w:p w14:paraId="0F7286F4" w14:textId="0A7C76E7" w:rsidR="00D448BC" w:rsidRDefault="00D448BC" w:rsidP="00370337">
      <w:pPr>
        <w:pStyle w:val="Numberedparagraph"/>
        <w:spacing w:line="276" w:lineRule="auto"/>
        <w:ind w:left="720" w:hanging="720"/>
      </w:pPr>
      <w:r>
        <w:t>Sub</w:t>
      </w:r>
      <w:r w:rsidR="00BB332B">
        <w:t>section</w:t>
      </w:r>
      <w:r>
        <w:t xml:space="preserve"> 1</w:t>
      </w:r>
      <w:r w:rsidR="00B7157E">
        <w:t>7</w:t>
      </w:r>
      <w:r>
        <w:t>(</w:t>
      </w:r>
      <w:r w:rsidR="0064275B">
        <w:t>8</w:t>
      </w:r>
      <w:r>
        <w:t xml:space="preserve">) </w:t>
      </w:r>
      <w:r w:rsidR="00575194">
        <w:t>establishes</w:t>
      </w:r>
      <w:r>
        <w:t xml:space="preserve"> reporting threshold</w:t>
      </w:r>
      <w:r w:rsidR="00575194">
        <w:t>s</w:t>
      </w:r>
      <w:r>
        <w:t xml:space="preserve"> on the stock reporting requirements imposed by </w:t>
      </w:r>
      <w:r w:rsidR="002F7309">
        <w:t>sub</w:t>
      </w:r>
      <w:r w:rsidR="00BB332B">
        <w:t>section</w:t>
      </w:r>
      <w:r>
        <w:t xml:space="preserve"> 1</w:t>
      </w:r>
      <w:r w:rsidR="00B7157E">
        <w:t>7</w:t>
      </w:r>
      <w:r w:rsidR="002F7309">
        <w:t>(1)</w:t>
      </w:r>
      <w:r w:rsidR="00575194">
        <w:t>,</w:t>
      </w:r>
      <w:r>
        <w:t xml:space="preserve"> in accordance with </w:t>
      </w:r>
      <w:r w:rsidR="00F22BCC">
        <w:t>sub</w:t>
      </w:r>
      <w:r>
        <w:t>section 13(2) of the Act.</w:t>
      </w:r>
    </w:p>
    <w:p w14:paraId="37AFE574" w14:textId="63EA44E5" w:rsidR="00D448BC" w:rsidRDefault="00D448BC" w:rsidP="00370337">
      <w:pPr>
        <w:pStyle w:val="Numberedparagraph"/>
        <w:spacing w:line="276" w:lineRule="auto"/>
        <w:ind w:left="720" w:hanging="720"/>
      </w:pPr>
      <w:r>
        <w:t>The threshold for stock reporting created by sub</w:t>
      </w:r>
      <w:r w:rsidR="00BB332B">
        <w:t>section</w:t>
      </w:r>
      <w:r>
        <w:t xml:space="preserve"> 1</w:t>
      </w:r>
      <w:r w:rsidR="00B7157E">
        <w:t>7</w:t>
      </w:r>
      <w:r>
        <w:t>(</w:t>
      </w:r>
      <w:r w:rsidR="0064275B">
        <w:t>8</w:t>
      </w:r>
      <w:r>
        <w:t>) is a two</w:t>
      </w:r>
      <w:r w:rsidR="00F22BCC">
        <w:t>-</w:t>
      </w:r>
      <w:r>
        <w:t>limb</w:t>
      </w:r>
      <w:r w:rsidR="00F22BCC">
        <w:t>ed</w:t>
      </w:r>
      <w:r>
        <w:t xml:space="preserve"> test. A</w:t>
      </w:r>
      <w:r w:rsidR="00F22BCC">
        <w:t> </w:t>
      </w:r>
      <w:r>
        <w:t xml:space="preserve">person must satisfy both limbs of the test to be </w:t>
      </w:r>
      <w:r w:rsidR="00575194">
        <w:t xml:space="preserve">relieved of </w:t>
      </w:r>
      <w:r>
        <w:t>the reporting obligation</w:t>
      </w:r>
      <w:r w:rsidR="002F7309">
        <w:t>s created by sub</w:t>
      </w:r>
      <w:r w:rsidR="00BB332B">
        <w:t>section</w:t>
      </w:r>
      <w:r w:rsidR="002F7309">
        <w:t xml:space="preserve"> 1</w:t>
      </w:r>
      <w:r w:rsidR="00B7157E">
        <w:t>7</w:t>
      </w:r>
      <w:r w:rsidR="002F7309">
        <w:t>(1)</w:t>
      </w:r>
      <w:r>
        <w:t>.</w:t>
      </w:r>
    </w:p>
    <w:p w14:paraId="7202706C" w14:textId="77777777" w:rsidR="00D448BC" w:rsidRDefault="00D448BC" w:rsidP="00370337">
      <w:pPr>
        <w:pStyle w:val="Numberedparagraph"/>
        <w:spacing w:line="276" w:lineRule="auto"/>
        <w:ind w:left="720" w:hanging="720"/>
      </w:pPr>
      <w:r>
        <w:t xml:space="preserve">The first limb of the test is that the person must have wholesaled less than 3kt </w:t>
      </w:r>
      <w:r w:rsidR="00BC0711">
        <w:t xml:space="preserve">in total </w:t>
      </w:r>
      <w:r>
        <w:t xml:space="preserve">of reportable products during the previous financial year. This is the same threshold as </w:t>
      </w:r>
      <w:r w:rsidR="007C013B">
        <w:t xml:space="preserve">that </w:t>
      </w:r>
      <w:r>
        <w:t xml:space="preserve">applied in </w:t>
      </w:r>
      <w:r w:rsidR="00BB332B">
        <w:t xml:space="preserve">paragraph </w:t>
      </w:r>
      <w:r>
        <w:t>1</w:t>
      </w:r>
      <w:r w:rsidR="00B7157E">
        <w:t>6</w:t>
      </w:r>
      <w:r>
        <w:t>(</w:t>
      </w:r>
      <w:r w:rsidR="0010332B">
        <w:t>5</w:t>
      </w:r>
      <w:r>
        <w:t>)(</w:t>
      </w:r>
      <w:r w:rsidR="00BC0711">
        <w:t>e</w:t>
      </w:r>
      <w:r>
        <w:t xml:space="preserve">) for wholesale reporting. Therefore, if a person has an obligation to report wholesales </w:t>
      </w:r>
      <w:r w:rsidR="00BC0711">
        <w:t>under sub</w:t>
      </w:r>
      <w:r w:rsidR="00BB332B">
        <w:t>section</w:t>
      </w:r>
      <w:r w:rsidR="00BC0711">
        <w:t xml:space="preserve"> 1</w:t>
      </w:r>
      <w:r w:rsidR="00B7157E">
        <w:t>6</w:t>
      </w:r>
      <w:r w:rsidR="00BC0711">
        <w:t xml:space="preserve">(1) </w:t>
      </w:r>
      <w:r>
        <w:t xml:space="preserve">they </w:t>
      </w:r>
      <w:r w:rsidR="00BC0711">
        <w:t>must also</w:t>
      </w:r>
      <w:r>
        <w:t xml:space="preserve"> report stocks under </w:t>
      </w:r>
      <w:r w:rsidR="00BB332B">
        <w:t>section</w:t>
      </w:r>
      <w:r>
        <w:t xml:space="preserve"> 1</w:t>
      </w:r>
      <w:r w:rsidR="00B7157E">
        <w:t>7</w:t>
      </w:r>
      <w:r>
        <w:t>.</w:t>
      </w:r>
    </w:p>
    <w:p w14:paraId="629FE4E8" w14:textId="77777777" w:rsidR="00D448BC" w:rsidRDefault="00D448BC" w:rsidP="00370337">
      <w:pPr>
        <w:pStyle w:val="Numberedparagraph"/>
        <w:spacing w:line="276" w:lineRule="auto"/>
        <w:ind w:left="720" w:hanging="720"/>
      </w:pPr>
      <w:r>
        <w:t>The second limb of the test is that at the</w:t>
      </w:r>
      <w:r w:rsidR="007C013B">
        <w:t xml:space="preserve"> end of the</w:t>
      </w:r>
      <w:r>
        <w:t xml:space="preserve"> relevant reporting period, a person holds less than 3kt of reportable stock</w:t>
      </w:r>
      <w:r w:rsidR="00BC0711">
        <w:t xml:space="preserve"> in total over table items 1 to </w:t>
      </w:r>
      <w:r w:rsidR="00866FDF">
        <w:t>5</w:t>
      </w:r>
      <w:r w:rsidR="00575194">
        <w:t xml:space="preserve"> of subsection</w:t>
      </w:r>
      <w:r w:rsidR="00F22BCC">
        <w:t> </w:t>
      </w:r>
      <w:r w:rsidR="00575194">
        <w:t>1</w:t>
      </w:r>
      <w:r w:rsidR="00B7157E">
        <w:t>7</w:t>
      </w:r>
      <w:r w:rsidR="00575194">
        <w:t>(1)</w:t>
      </w:r>
      <w:r w:rsidR="00BC0711">
        <w:t>.</w:t>
      </w:r>
    </w:p>
    <w:p w14:paraId="2B1D73EC" w14:textId="77777777" w:rsidR="00B668F2" w:rsidRDefault="00B668F2" w:rsidP="00370337">
      <w:pPr>
        <w:pStyle w:val="Numberedparagraph"/>
        <w:spacing w:line="276" w:lineRule="auto"/>
        <w:ind w:left="720" w:hanging="720"/>
      </w:pPr>
      <w:r>
        <w:t xml:space="preserve">The impact of the second limb is that if a person who does not have a </w:t>
      </w:r>
      <w:r w:rsidR="00BC0711">
        <w:t xml:space="preserve">wholesale </w:t>
      </w:r>
      <w:r>
        <w:t xml:space="preserve">reporting obligation under </w:t>
      </w:r>
      <w:r w:rsidR="00BC0711">
        <w:t>sub</w:t>
      </w:r>
      <w:r w:rsidR="00BB332B">
        <w:t>section</w:t>
      </w:r>
      <w:r>
        <w:t xml:space="preserve"> 1</w:t>
      </w:r>
      <w:r w:rsidR="002C1C80">
        <w:t>6</w:t>
      </w:r>
      <w:r w:rsidR="00BC0711">
        <w:t>(1), holds</w:t>
      </w:r>
      <w:r>
        <w:t>:</w:t>
      </w:r>
    </w:p>
    <w:p w14:paraId="23F4DDD5" w14:textId="77777777" w:rsidR="00B668F2" w:rsidRDefault="00B668F2" w:rsidP="00B668F2">
      <w:pPr>
        <w:pStyle w:val="Numberedparagraph"/>
        <w:numPr>
          <w:ilvl w:val="1"/>
          <w:numId w:val="7"/>
        </w:numPr>
        <w:spacing w:line="276" w:lineRule="auto"/>
      </w:pPr>
      <w:r>
        <w:t xml:space="preserve">3kt or more of reportable stock, excluding petroleum coke and GLOWS, at the end of </w:t>
      </w:r>
      <w:r w:rsidR="00866FDF">
        <w:t>a</w:t>
      </w:r>
      <w:r>
        <w:t xml:space="preserve"> month, </w:t>
      </w:r>
    </w:p>
    <w:p w14:paraId="03EEF798" w14:textId="77777777" w:rsidR="00B668F2" w:rsidRDefault="00B668F2" w:rsidP="00B668F2">
      <w:pPr>
        <w:pStyle w:val="Numberedparagraph"/>
        <w:numPr>
          <w:ilvl w:val="1"/>
          <w:numId w:val="7"/>
        </w:numPr>
        <w:spacing w:line="276" w:lineRule="auto"/>
      </w:pPr>
      <w:r>
        <w:t xml:space="preserve">3kt or more of GLOWS at the end of </w:t>
      </w:r>
      <w:r w:rsidR="00866FDF">
        <w:t>a calendar or financial year</w:t>
      </w:r>
      <w:r>
        <w:t xml:space="preserve">, </w:t>
      </w:r>
      <w:r w:rsidR="007C013B">
        <w:t>or</w:t>
      </w:r>
    </w:p>
    <w:p w14:paraId="019D3313" w14:textId="77777777" w:rsidR="00B668F2" w:rsidRDefault="00B668F2" w:rsidP="00B668F2">
      <w:pPr>
        <w:pStyle w:val="Numberedparagraph"/>
        <w:numPr>
          <w:ilvl w:val="1"/>
          <w:numId w:val="7"/>
        </w:numPr>
        <w:spacing w:line="276" w:lineRule="auto"/>
      </w:pPr>
      <w:r>
        <w:t xml:space="preserve">3kt or more of petroleum coke at the end of </w:t>
      </w:r>
      <w:r w:rsidR="00866FDF">
        <w:t>a</w:t>
      </w:r>
      <w:r>
        <w:t xml:space="preserve"> financial year,</w:t>
      </w:r>
    </w:p>
    <w:p w14:paraId="06BD23DE" w14:textId="77777777" w:rsidR="00B668F2" w:rsidRDefault="00B668F2" w:rsidP="00B668F2">
      <w:pPr>
        <w:pStyle w:val="Numberedparagraph"/>
        <w:numPr>
          <w:ilvl w:val="0"/>
          <w:numId w:val="0"/>
        </w:numPr>
        <w:spacing w:line="276" w:lineRule="auto"/>
        <w:ind w:left="720"/>
      </w:pPr>
      <w:r>
        <w:t>Then this person must report their stock holdings</w:t>
      </w:r>
      <w:r w:rsidR="00BC0711">
        <w:t>.</w:t>
      </w:r>
    </w:p>
    <w:p w14:paraId="2115A576" w14:textId="77777777" w:rsidR="00BC0711" w:rsidRDefault="00BC0711" w:rsidP="00BC0711">
      <w:pPr>
        <w:pStyle w:val="Numberedparagraph"/>
        <w:spacing w:line="276" w:lineRule="auto"/>
        <w:ind w:left="709" w:hanging="709"/>
      </w:pPr>
      <w:r>
        <w:t xml:space="preserve">Therefore, even if a person did not wholesale 3kt of covered </w:t>
      </w:r>
      <w:r w:rsidR="00866FDF">
        <w:t xml:space="preserve">products </w:t>
      </w:r>
      <w:r>
        <w:t>in the previous financial year, they must still report</w:t>
      </w:r>
      <w:r w:rsidR="007C013B">
        <w:t xml:space="preserve"> their</w:t>
      </w:r>
      <w:r>
        <w:t xml:space="preserve"> stocks if they are holding 3kt of stock at the end of a relevant reporting period. This is intended to ensure those holding significant stocks report</w:t>
      </w:r>
      <w:r w:rsidR="007C013B">
        <w:t xml:space="preserve"> them to the Secretary</w:t>
      </w:r>
      <w:r>
        <w:t>.</w:t>
      </w:r>
    </w:p>
    <w:p w14:paraId="56796C7B" w14:textId="2D620240" w:rsidR="00177C3E" w:rsidRPr="00177C3E" w:rsidRDefault="00177C3E" w:rsidP="00177C3E">
      <w:pPr>
        <w:pStyle w:val="Numberedparagraph"/>
        <w:numPr>
          <w:ilvl w:val="0"/>
          <w:numId w:val="0"/>
        </w:numPr>
        <w:spacing w:line="276" w:lineRule="auto"/>
        <w:rPr>
          <w:b/>
        </w:rPr>
      </w:pPr>
      <w:r>
        <w:rPr>
          <w:b/>
        </w:rPr>
        <w:t>1</w:t>
      </w:r>
      <w:r w:rsidR="007C013B">
        <w:rPr>
          <w:b/>
        </w:rPr>
        <w:t>8</w:t>
      </w:r>
      <w:r>
        <w:rPr>
          <w:b/>
        </w:rPr>
        <w:t xml:space="preserve"> – Report</w:t>
      </w:r>
      <w:r w:rsidR="004A6084">
        <w:rPr>
          <w:b/>
        </w:rPr>
        <w:t>ing Period and Giving Reports</w:t>
      </w:r>
    </w:p>
    <w:p w14:paraId="0B438D41" w14:textId="77777777" w:rsidR="005139D4" w:rsidRDefault="00575194" w:rsidP="00370337">
      <w:pPr>
        <w:pStyle w:val="Numberedparagraph"/>
        <w:spacing w:line="276" w:lineRule="auto"/>
        <w:ind w:left="720" w:hanging="720"/>
      </w:pPr>
      <w:r>
        <w:t>S</w:t>
      </w:r>
      <w:r w:rsidR="00BB332B">
        <w:t>ection</w:t>
      </w:r>
      <w:r>
        <w:t xml:space="preserve"> 1</w:t>
      </w:r>
      <w:r w:rsidR="002C1C80">
        <w:t xml:space="preserve">8 </w:t>
      </w:r>
      <w:r>
        <w:t>of the Rules</w:t>
      </w:r>
      <w:r w:rsidR="005139D4">
        <w:t xml:space="preserve"> prescribe</w:t>
      </w:r>
      <w:r>
        <w:t>s</w:t>
      </w:r>
      <w:r w:rsidR="005139D4">
        <w:t xml:space="preserve"> the reporting requirements where a person prescribed under </w:t>
      </w:r>
      <w:r w:rsidR="00BB332B">
        <w:t>section</w:t>
      </w:r>
      <w:r w:rsidR="005139D4">
        <w:t>s 1</w:t>
      </w:r>
      <w:r w:rsidR="002C1C80">
        <w:t>6 or 17</w:t>
      </w:r>
      <w:r w:rsidR="005139D4">
        <w:t xml:space="preserve"> </w:t>
      </w:r>
      <w:r>
        <w:t>i</w:t>
      </w:r>
      <w:r w:rsidR="005139D4">
        <w:t>s required to</w:t>
      </w:r>
      <w:r>
        <w:t xml:space="preserve"> provide a</w:t>
      </w:r>
      <w:r w:rsidR="005139D4">
        <w:t xml:space="preserve"> report. </w:t>
      </w:r>
    </w:p>
    <w:p w14:paraId="398EBB40" w14:textId="77777777" w:rsidR="00387E4A" w:rsidRPr="00387E4A" w:rsidRDefault="00387E4A" w:rsidP="00387E4A">
      <w:pPr>
        <w:pStyle w:val="Numberedparagraph"/>
        <w:numPr>
          <w:ilvl w:val="0"/>
          <w:numId w:val="0"/>
        </w:numPr>
        <w:spacing w:line="276" w:lineRule="auto"/>
        <w:rPr>
          <w:i/>
        </w:rPr>
      </w:pPr>
      <w:r>
        <w:rPr>
          <w:i/>
        </w:rPr>
        <w:t xml:space="preserve">Reporting </w:t>
      </w:r>
      <w:r w:rsidR="00F22BCC">
        <w:rPr>
          <w:i/>
        </w:rPr>
        <w:t>p</w:t>
      </w:r>
      <w:r>
        <w:rPr>
          <w:i/>
        </w:rPr>
        <w:t>eriods and when reports must be given</w:t>
      </w:r>
    </w:p>
    <w:p w14:paraId="33B2486A" w14:textId="23FD0ACC" w:rsidR="00F36FF5" w:rsidRDefault="005139D4" w:rsidP="005139D4">
      <w:pPr>
        <w:pStyle w:val="Numberedparagraph"/>
        <w:spacing w:line="276" w:lineRule="auto"/>
        <w:ind w:left="720" w:hanging="720"/>
      </w:pPr>
      <w:r>
        <w:t>Sub</w:t>
      </w:r>
      <w:r w:rsidR="00BB332B">
        <w:t>section</w:t>
      </w:r>
      <w:r>
        <w:t xml:space="preserve"> 1</w:t>
      </w:r>
      <w:r w:rsidR="002C1C80">
        <w:t>8</w:t>
      </w:r>
      <w:r>
        <w:t xml:space="preserve">(1) </w:t>
      </w:r>
      <w:r w:rsidR="00900F90">
        <w:t>defines</w:t>
      </w:r>
      <w:r w:rsidR="00F36FF5">
        <w:t xml:space="preserve"> the reporting period for a covered activity in relation to a covered product and </w:t>
      </w:r>
      <w:r w:rsidR="00900F90">
        <w:t xml:space="preserve">prescribes </w:t>
      </w:r>
      <w:r w:rsidR="00F36FF5">
        <w:t>the</w:t>
      </w:r>
      <w:r w:rsidR="00BC0711">
        <w:t xml:space="preserve"> reporting deadline</w:t>
      </w:r>
      <w:r w:rsidR="00F36FF5">
        <w:t xml:space="preserve"> </w:t>
      </w:r>
      <w:r w:rsidR="00BC0711">
        <w:t xml:space="preserve">(the </w:t>
      </w:r>
      <w:r w:rsidR="00F36FF5">
        <w:t xml:space="preserve">period within which a report on a covered activity in relation to a covered product must be provided to the Secretary in accordance with </w:t>
      </w:r>
      <w:r w:rsidR="00F22BCC">
        <w:t xml:space="preserve">paragraph </w:t>
      </w:r>
      <w:r w:rsidR="00F36FF5">
        <w:t>11(4)(c) of the Act</w:t>
      </w:r>
      <w:r w:rsidR="00BC0711">
        <w:t>).</w:t>
      </w:r>
      <w:r w:rsidR="00387E4A">
        <w:t xml:space="preserve"> </w:t>
      </w:r>
    </w:p>
    <w:p w14:paraId="5990CCE5" w14:textId="77777777" w:rsidR="00F36FF5" w:rsidRDefault="005139D4" w:rsidP="00370337">
      <w:pPr>
        <w:pStyle w:val="Numberedparagraph"/>
        <w:spacing w:line="276" w:lineRule="auto"/>
        <w:ind w:left="720" w:hanging="720"/>
      </w:pPr>
      <w:r>
        <w:t xml:space="preserve">The table at </w:t>
      </w:r>
      <w:r w:rsidR="007C013B">
        <w:t xml:space="preserve">subsection </w:t>
      </w:r>
      <w:r>
        <w:t>1</w:t>
      </w:r>
      <w:r w:rsidR="002C1C80">
        <w:t>8</w:t>
      </w:r>
      <w:r>
        <w:t>(1) sets out the reporting requirements as follows:</w:t>
      </w:r>
    </w:p>
    <w:p w14:paraId="2311447C" w14:textId="77777777" w:rsidR="005139D4" w:rsidRDefault="005139D4" w:rsidP="005139D4">
      <w:pPr>
        <w:pStyle w:val="Numberedparagraph"/>
        <w:numPr>
          <w:ilvl w:val="1"/>
          <w:numId w:val="7"/>
        </w:numPr>
        <w:spacing w:line="276" w:lineRule="auto"/>
      </w:pPr>
      <w:r>
        <w:t>Column 1 specifies the covered activity to which the table item applies.</w:t>
      </w:r>
    </w:p>
    <w:p w14:paraId="687D13F9" w14:textId="77777777" w:rsidR="005139D4" w:rsidRDefault="005139D4" w:rsidP="005139D4">
      <w:pPr>
        <w:pStyle w:val="Numberedparagraph"/>
        <w:numPr>
          <w:ilvl w:val="1"/>
          <w:numId w:val="7"/>
        </w:numPr>
        <w:spacing w:line="276" w:lineRule="auto"/>
      </w:pPr>
      <w:r>
        <w:t xml:space="preserve">Column 2 </w:t>
      </w:r>
      <w:r w:rsidR="00387E4A">
        <w:t>prescribes</w:t>
      </w:r>
      <w:r>
        <w:t xml:space="preserve"> the reporting period</w:t>
      </w:r>
      <w:r w:rsidR="00387E4A">
        <w:t xml:space="preserve">. </w:t>
      </w:r>
    </w:p>
    <w:p w14:paraId="217429E0" w14:textId="77777777" w:rsidR="00387E4A" w:rsidRDefault="00387E4A" w:rsidP="005139D4">
      <w:pPr>
        <w:pStyle w:val="Numberedparagraph"/>
        <w:numPr>
          <w:ilvl w:val="1"/>
          <w:numId w:val="7"/>
        </w:numPr>
        <w:spacing w:line="276" w:lineRule="auto"/>
      </w:pPr>
      <w:r>
        <w:t xml:space="preserve">Column 3 prescribes the reporting deadline. </w:t>
      </w:r>
    </w:p>
    <w:p w14:paraId="007737DE" w14:textId="77777777" w:rsidR="00387E4A" w:rsidRDefault="00387E4A" w:rsidP="00387E4A">
      <w:pPr>
        <w:pStyle w:val="Numberedparagraph"/>
        <w:spacing w:line="276" w:lineRule="auto"/>
        <w:ind w:left="720" w:hanging="720"/>
      </w:pPr>
      <w:r>
        <w:lastRenderedPageBreak/>
        <w:t>Table item 1 prescribe</w:t>
      </w:r>
      <w:r w:rsidR="00900F90">
        <w:t>s</w:t>
      </w:r>
      <w:r>
        <w:t xml:space="preserve"> the general reporting requirements which apply unless a different reporting obligation is prescribed </w:t>
      </w:r>
      <w:r w:rsidR="00900F90">
        <w:t>at</w:t>
      </w:r>
      <w:r>
        <w:t xml:space="preserve"> another item</w:t>
      </w:r>
      <w:r w:rsidR="00900F90">
        <w:t xml:space="preserve"> in the table</w:t>
      </w:r>
      <w:r>
        <w:t xml:space="preserve">.  </w:t>
      </w:r>
    </w:p>
    <w:p w14:paraId="78A6E9AE" w14:textId="77777777" w:rsidR="00387E4A" w:rsidRDefault="00387E4A" w:rsidP="00387E4A">
      <w:pPr>
        <w:pStyle w:val="Numberedparagraph"/>
        <w:spacing w:line="276" w:lineRule="auto"/>
        <w:ind w:left="720" w:hanging="720"/>
      </w:pPr>
      <w:r>
        <w:t>The general reporting requirements are that:</w:t>
      </w:r>
    </w:p>
    <w:p w14:paraId="365FB498" w14:textId="77777777" w:rsidR="00387E4A" w:rsidRDefault="00F22BCC" w:rsidP="00387E4A">
      <w:pPr>
        <w:pStyle w:val="Numberedparagraph"/>
        <w:numPr>
          <w:ilvl w:val="1"/>
          <w:numId w:val="7"/>
        </w:numPr>
        <w:spacing w:line="276" w:lineRule="auto"/>
      </w:pPr>
      <w:r>
        <w:t>t</w:t>
      </w:r>
      <w:r w:rsidR="00387E4A">
        <w:t>he reporting period is a calendar month; and</w:t>
      </w:r>
    </w:p>
    <w:p w14:paraId="109FFE51" w14:textId="77777777" w:rsidR="00387E4A" w:rsidRDefault="00F22BCC" w:rsidP="00387E4A">
      <w:pPr>
        <w:pStyle w:val="Numberedparagraph"/>
        <w:numPr>
          <w:ilvl w:val="1"/>
          <w:numId w:val="7"/>
        </w:numPr>
        <w:spacing w:line="276" w:lineRule="auto"/>
      </w:pPr>
      <w:r>
        <w:t>t</w:t>
      </w:r>
      <w:r w:rsidR="00387E4A">
        <w:t xml:space="preserve">he reporting deadline is 15 days after the end of the </w:t>
      </w:r>
      <w:r w:rsidR="00BC0711">
        <w:t xml:space="preserve">relevant </w:t>
      </w:r>
      <w:r w:rsidR="00387E4A">
        <w:t>calendar month.</w:t>
      </w:r>
    </w:p>
    <w:p w14:paraId="64EC2DC2" w14:textId="77777777" w:rsidR="00387E4A" w:rsidRDefault="00387E4A" w:rsidP="00387E4A">
      <w:pPr>
        <w:pStyle w:val="Numberedparagraph"/>
        <w:spacing w:line="276" w:lineRule="auto"/>
        <w:ind w:left="720" w:hanging="720"/>
      </w:pPr>
      <w:r>
        <w:t>These general reporting requirements apply to the following prescribed reporting obligations:</w:t>
      </w:r>
    </w:p>
    <w:p w14:paraId="53A45E7E" w14:textId="77777777" w:rsidR="00387E4A" w:rsidRDefault="00EF7D84" w:rsidP="00387E4A">
      <w:pPr>
        <w:pStyle w:val="Numberedparagraph"/>
        <w:numPr>
          <w:ilvl w:val="1"/>
          <w:numId w:val="7"/>
        </w:numPr>
        <w:spacing w:line="276" w:lineRule="auto"/>
      </w:pPr>
      <w:r>
        <w:t>Australian field</w:t>
      </w:r>
      <w:r w:rsidR="00387E4A">
        <w:t xml:space="preserve"> reports under table items 1 and 2 of sub</w:t>
      </w:r>
      <w:r w:rsidR="00BB332B">
        <w:t>section</w:t>
      </w:r>
      <w:r w:rsidR="00387E4A">
        <w:t xml:space="preserve"> 1</w:t>
      </w:r>
      <w:r w:rsidR="002C1C80">
        <w:t>6</w:t>
      </w:r>
      <w:r w:rsidR="00387E4A">
        <w:t>(1).</w:t>
      </w:r>
    </w:p>
    <w:p w14:paraId="63C9DAA4" w14:textId="77777777" w:rsidR="00387E4A" w:rsidRDefault="00554D8A" w:rsidP="00387E4A">
      <w:pPr>
        <w:pStyle w:val="Numberedparagraph"/>
        <w:numPr>
          <w:ilvl w:val="1"/>
          <w:numId w:val="7"/>
        </w:numPr>
        <w:spacing w:line="276" w:lineRule="auto"/>
      </w:pPr>
      <w:r>
        <w:t xml:space="preserve">Biofuel </w:t>
      </w:r>
      <w:r w:rsidR="00EF7D84">
        <w:t xml:space="preserve">plant </w:t>
      </w:r>
      <w:r>
        <w:t>production reports under table items 3 and 4 of sub</w:t>
      </w:r>
      <w:r w:rsidR="00BB332B">
        <w:t>section</w:t>
      </w:r>
      <w:r>
        <w:t xml:space="preserve"> 1</w:t>
      </w:r>
      <w:r w:rsidR="002C1C80">
        <w:t>6</w:t>
      </w:r>
      <w:r>
        <w:t>(1).</w:t>
      </w:r>
    </w:p>
    <w:p w14:paraId="51D5C1BC" w14:textId="77777777" w:rsidR="00554D8A" w:rsidRDefault="00EF7D84" w:rsidP="00387E4A">
      <w:pPr>
        <w:pStyle w:val="Numberedparagraph"/>
        <w:numPr>
          <w:ilvl w:val="1"/>
          <w:numId w:val="7"/>
        </w:numPr>
        <w:spacing w:line="276" w:lineRule="auto"/>
      </w:pPr>
      <w:r>
        <w:t>Australian plant (non-biofuel)</w:t>
      </w:r>
      <w:r w:rsidR="00554D8A">
        <w:t xml:space="preserve"> processing reports under table items 5 and 6 of sub</w:t>
      </w:r>
      <w:r w:rsidR="00BB332B">
        <w:t>section</w:t>
      </w:r>
      <w:r w:rsidR="00554D8A">
        <w:t xml:space="preserve"> 1</w:t>
      </w:r>
      <w:r w:rsidR="002C1C80">
        <w:t>6</w:t>
      </w:r>
      <w:r w:rsidR="00554D8A">
        <w:t>(1).</w:t>
      </w:r>
    </w:p>
    <w:p w14:paraId="10762251" w14:textId="77777777" w:rsidR="00554D8A" w:rsidRDefault="00554D8A" w:rsidP="00387E4A">
      <w:pPr>
        <w:pStyle w:val="Numberedparagraph"/>
        <w:numPr>
          <w:ilvl w:val="1"/>
          <w:numId w:val="7"/>
        </w:numPr>
        <w:spacing w:line="276" w:lineRule="auto"/>
      </w:pPr>
      <w:r>
        <w:t>Refining reports under table items 7 and 8 of sub</w:t>
      </w:r>
      <w:r w:rsidR="00BB332B">
        <w:t>section</w:t>
      </w:r>
      <w:r>
        <w:t xml:space="preserve"> 1</w:t>
      </w:r>
      <w:r w:rsidR="002C1C80">
        <w:t>6</w:t>
      </w:r>
      <w:r>
        <w:t>(1).</w:t>
      </w:r>
    </w:p>
    <w:p w14:paraId="1F0F28D0" w14:textId="77777777" w:rsidR="00554D8A" w:rsidRDefault="00554D8A" w:rsidP="00387E4A">
      <w:pPr>
        <w:pStyle w:val="Numberedparagraph"/>
        <w:numPr>
          <w:ilvl w:val="1"/>
          <w:numId w:val="7"/>
        </w:numPr>
        <w:spacing w:line="276" w:lineRule="auto"/>
      </w:pPr>
      <w:r>
        <w:t>Wholesaling reports under table item</w:t>
      </w:r>
      <w:r w:rsidR="007D6D39">
        <w:t>s</w:t>
      </w:r>
      <w:r>
        <w:t xml:space="preserve"> </w:t>
      </w:r>
      <w:r w:rsidR="00065AD8">
        <w:t>11</w:t>
      </w:r>
      <w:r w:rsidR="007D6D39">
        <w:t xml:space="preserve"> and 12</w:t>
      </w:r>
      <w:r>
        <w:t xml:space="preserve"> of sub</w:t>
      </w:r>
      <w:r w:rsidR="00BB332B">
        <w:t>section</w:t>
      </w:r>
      <w:r>
        <w:t xml:space="preserve"> 1</w:t>
      </w:r>
      <w:r w:rsidR="002C1C80">
        <w:t>6</w:t>
      </w:r>
      <w:r>
        <w:t>(1).</w:t>
      </w:r>
    </w:p>
    <w:p w14:paraId="239D6D8F" w14:textId="77777777" w:rsidR="00554D8A" w:rsidRDefault="00554D8A" w:rsidP="00387E4A">
      <w:pPr>
        <w:pStyle w:val="Numberedparagraph"/>
        <w:numPr>
          <w:ilvl w:val="1"/>
          <w:numId w:val="7"/>
        </w:numPr>
        <w:spacing w:line="276" w:lineRule="auto"/>
      </w:pPr>
      <w:r>
        <w:t xml:space="preserve">Stock holding reports under table items 1 to </w:t>
      </w:r>
      <w:r w:rsidR="00065AD8">
        <w:t>4</w:t>
      </w:r>
      <w:r>
        <w:t xml:space="preserve"> of sub</w:t>
      </w:r>
      <w:r w:rsidR="00BB332B">
        <w:t>section</w:t>
      </w:r>
      <w:r>
        <w:t xml:space="preserve"> 1</w:t>
      </w:r>
      <w:r w:rsidR="002C1C80">
        <w:t>7</w:t>
      </w:r>
      <w:r>
        <w:t xml:space="preserve">(1), except where the </w:t>
      </w:r>
      <w:r w:rsidR="00EF7D84">
        <w:t xml:space="preserve">reportable </w:t>
      </w:r>
      <w:r>
        <w:t>stock is petroleum coke or a GLOWS.</w:t>
      </w:r>
    </w:p>
    <w:p w14:paraId="6980D10D" w14:textId="77777777" w:rsidR="00554D8A" w:rsidRDefault="00065AD8" w:rsidP="00554D8A">
      <w:pPr>
        <w:pStyle w:val="Numberedparagraph"/>
        <w:spacing w:line="276" w:lineRule="auto"/>
        <w:ind w:left="720" w:hanging="720"/>
      </w:pPr>
      <w:r>
        <w:t>For example, t</w:t>
      </w:r>
      <w:r w:rsidR="00554D8A">
        <w:t>his would mean that a refining activity report prescribed at table item 7 of sub</w:t>
      </w:r>
      <w:r w:rsidR="00BB332B">
        <w:t>section</w:t>
      </w:r>
      <w:r w:rsidR="00554D8A">
        <w:t xml:space="preserve"> 1</w:t>
      </w:r>
      <w:r w:rsidR="002C1C80">
        <w:t>6</w:t>
      </w:r>
      <w:r w:rsidR="00900F90">
        <w:t>(1)</w:t>
      </w:r>
      <w:r w:rsidR="00554D8A">
        <w:t xml:space="preserve"> must be compiled </w:t>
      </w:r>
      <w:r w:rsidR="00866FDF">
        <w:t>each</w:t>
      </w:r>
      <w:r w:rsidR="00554D8A">
        <w:t xml:space="preserve"> month and submitted to the Secretary within 15</w:t>
      </w:r>
      <w:r w:rsidR="00F22BCC">
        <w:t> </w:t>
      </w:r>
      <w:r w:rsidR="00554D8A">
        <w:t xml:space="preserve">days of the end of </w:t>
      </w:r>
      <w:r>
        <w:t>that</w:t>
      </w:r>
      <w:r w:rsidR="00554D8A">
        <w:t xml:space="preserve"> month. </w:t>
      </w:r>
      <w:r w:rsidR="00EF7D84">
        <w:t>Accordingly</w:t>
      </w:r>
      <w:r w:rsidR="00554D8A">
        <w:t xml:space="preserve">, the report for January 2018 </w:t>
      </w:r>
      <w:r w:rsidR="00900F90">
        <w:t>would</w:t>
      </w:r>
      <w:r w:rsidR="00554D8A">
        <w:t xml:space="preserve"> be due </w:t>
      </w:r>
      <w:r>
        <w:t>on</w:t>
      </w:r>
      <w:r w:rsidR="00554D8A">
        <w:t xml:space="preserve"> 15 February 2018. </w:t>
      </w:r>
    </w:p>
    <w:p w14:paraId="0DE0D237" w14:textId="3D93FAC4" w:rsidR="00554D8A" w:rsidRDefault="00554D8A" w:rsidP="00554D8A">
      <w:pPr>
        <w:pStyle w:val="Numberedparagraph"/>
        <w:spacing w:line="276" w:lineRule="auto"/>
        <w:ind w:left="720" w:hanging="720"/>
      </w:pPr>
      <w:r>
        <w:t>Table item 2 prescribe</w:t>
      </w:r>
      <w:r w:rsidR="008E4B74">
        <w:t>s</w:t>
      </w:r>
      <w:r>
        <w:t xml:space="preserve"> a </w:t>
      </w:r>
      <w:r w:rsidR="00900F90">
        <w:t>specific</w:t>
      </w:r>
      <w:r w:rsidR="00575194">
        <w:t xml:space="preserve"> </w:t>
      </w:r>
      <w:r>
        <w:t xml:space="preserve">reporting period and reporting deadline for </w:t>
      </w:r>
      <w:r w:rsidR="00900F90">
        <w:t xml:space="preserve">wholesaling and holding stock of </w:t>
      </w:r>
      <w:r>
        <w:t>petroleum coke. Specifically:</w:t>
      </w:r>
    </w:p>
    <w:p w14:paraId="04ED5071" w14:textId="77777777" w:rsidR="00554D8A" w:rsidRDefault="00554D8A" w:rsidP="00554D8A">
      <w:pPr>
        <w:pStyle w:val="Numberedparagraph"/>
        <w:numPr>
          <w:ilvl w:val="1"/>
          <w:numId w:val="7"/>
        </w:numPr>
        <w:spacing w:line="276" w:lineRule="auto"/>
      </w:pPr>
      <w:r>
        <w:t>The reporting period is a financial year; and</w:t>
      </w:r>
    </w:p>
    <w:p w14:paraId="1F33A4F8" w14:textId="77777777" w:rsidR="00554D8A" w:rsidRDefault="00554D8A" w:rsidP="00554D8A">
      <w:pPr>
        <w:pStyle w:val="Numberedparagraph"/>
        <w:numPr>
          <w:ilvl w:val="1"/>
          <w:numId w:val="7"/>
        </w:numPr>
        <w:spacing w:line="276" w:lineRule="auto"/>
      </w:pPr>
      <w:r>
        <w:t xml:space="preserve">The reporting deadline is 4 months after the end of the financial year (31 October). </w:t>
      </w:r>
    </w:p>
    <w:p w14:paraId="1B4C6E20" w14:textId="77777777" w:rsidR="00554D8A" w:rsidRDefault="00866FDF" w:rsidP="00554D8A">
      <w:pPr>
        <w:pStyle w:val="Numberedparagraph"/>
        <w:spacing w:line="276" w:lineRule="auto"/>
        <w:ind w:left="720" w:hanging="720"/>
      </w:pPr>
      <w:r>
        <w:t>Therefore</w:t>
      </w:r>
      <w:r w:rsidR="00554D8A">
        <w:t xml:space="preserve"> reports on wholesaling</w:t>
      </w:r>
      <w:r w:rsidR="00FE071F">
        <w:t xml:space="preserve"> and holding stock of</w:t>
      </w:r>
      <w:r w:rsidR="00554D8A">
        <w:t xml:space="preserve"> petroleum coke would be due once per year, by 31 October</w:t>
      </w:r>
      <w:r w:rsidR="00065AD8">
        <w:t>.</w:t>
      </w:r>
    </w:p>
    <w:p w14:paraId="5E2985A9" w14:textId="77777777" w:rsidR="00900F90" w:rsidRDefault="00900F90" w:rsidP="00554D8A">
      <w:pPr>
        <w:pStyle w:val="Numberedparagraph"/>
        <w:spacing w:line="276" w:lineRule="auto"/>
        <w:ind w:left="720" w:hanging="720"/>
      </w:pPr>
      <w:r>
        <w:t xml:space="preserve">Where petroleum coke is reportable under a refining report, the reporting period will remain a calendar month and the reporting deadline 15 days after the end of the relevant calendar month. </w:t>
      </w:r>
    </w:p>
    <w:p w14:paraId="79F97B88" w14:textId="77777777" w:rsidR="00554D8A" w:rsidRDefault="00FE071F" w:rsidP="00554D8A">
      <w:pPr>
        <w:pStyle w:val="Numberedparagraph"/>
        <w:spacing w:line="276" w:lineRule="auto"/>
        <w:ind w:left="720" w:hanging="720"/>
      </w:pPr>
      <w:r>
        <w:t>Table item 3 prescribe</w:t>
      </w:r>
      <w:r w:rsidR="00575194">
        <w:t>s</w:t>
      </w:r>
      <w:r>
        <w:t xml:space="preserve"> a</w:t>
      </w:r>
      <w:r w:rsidR="00575194">
        <w:t xml:space="preserve"> </w:t>
      </w:r>
      <w:r w:rsidR="00900F90">
        <w:t>specific</w:t>
      </w:r>
      <w:r>
        <w:t xml:space="preserve"> reporting period and reporting deadline for reports on </w:t>
      </w:r>
      <w:r w:rsidR="00900F90">
        <w:t xml:space="preserve">wholesaling and holding stock of </w:t>
      </w:r>
      <w:r>
        <w:t>GLOWS</w:t>
      </w:r>
      <w:r w:rsidR="00EF7D84">
        <w:t>,</w:t>
      </w:r>
      <w:r w:rsidR="00900F90">
        <w:t xml:space="preserve"> including holding stock of GLOWS </w:t>
      </w:r>
      <w:r w:rsidR="00EF7D84">
        <w:t>at</w:t>
      </w:r>
      <w:r w:rsidR="00900F90">
        <w:t xml:space="preserve"> an Australian GLOWS facility (see item 5 of the table at subsection 17(1)</w:t>
      </w:r>
      <w:r w:rsidR="00EF7D84">
        <w:t>)</w:t>
      </w:r>
      <w:r>
        <w:t>. Specifically:</w:t>
      </w:r>
    </w:p>
    <w:p w14:paraId="73051A1F" w14:textId="77777777" w:rsidR="00FE071F" w:rsidRDefault="00FE071F" w:rsidP="00FE071F">
      <w:pPr>
        <w:pStyle w:val="Numberedparagraph"/>
        <w:numPr>
          <w:ilvl w:val="1"/>
          <w:numId w:val="7"/>
        </w:numPr>
        <w:spacing w:line="276" w:lineRule="auto"/>
      </w:pPr>
      <w:r>
        <w:t>The reporting period is</w:t>
      </w:r>
      <w:r w:rsidR="00EF7D84">
        <w:t xml:space="preserve"> every</w:t>
      </w:r>
      <w:r>
        <w:t xml:space="preserve"> six months (1 January to 30 June and 1 July to 31</w:t>
      </w:r>
      <w:r w:rsidR="00F22BCC">
        <w:t> </w:t>
      </w:r>
      <w:r>
        <w:t>December); and</w:t>
      </w:r>
    </w:p>
    <w:p w14:paraId="25C81212" w14:textId="77777777" w:rsidR="00FE071F" w:rsidRDefault="00FE071F" w:rsidP="00FE071F">
      <w:pPr>
        <w:pStyle w:val="Numberedparagraph"/>
        <w:numPr>
          <w:ilvl w:val="1"/>
          <w:numId w:val="7"/>
        </w:numPr>
        <w:spacing w:line="276" w:lineRule="auto"/>
      </w:pPr>
      <w:r>
        <w:t>The reporting deadline is 31 days after the end of the reporting period (31 July and 31 January).</w:t>
      </w:r>
    </w:p>
    <w:p w14:paraId="076A0B4B" w14:textId="77777777" w:rsidR="00FE071F" w:rsidRDefault="00866FDF" w:rsidP="00FE071F">
      <w:pPr>
        <w:pStyle w:val="Numberedparagraph"/>
        <w:spacing w:line="276" w:lineRule="auto"/>
        <w:ind w:left="720" w:hanging="720"/>
      </w:pPr>
      <w:r>
        <w:t>Therefore</w:t>
      </w:r>
      <w:r w:rsidR="00FE071F">
        <w:t xml:space="preserve"> reports on wholesali</w:t>
      </w:r>
      <w:r w:rsidR="004B254A">
        <w:t>ng and holding stocks of GLOWS are</w:t>
      </w:r>
      <w:r w:rsidR="00FE071F">
        <w:t xml:space="preserve"> due every six months, by the end of the following month. </w:t>
      </w:r>
    </w:p>
    <w:p w14:paraId="0A3FEC0E" w14:textId="77777777" w:rsidR="00FE071F" w:rsidRDefault="00FE071F" w:rsidP="00FE071F">
      <w:pPr>
        <w:pStyle w:val="Numberedparagraph"/>
        <w:spacing w:line="276" w:lineRule="auto"/>
        <w:ind w:left="720" w:hanging="720"/>
      </w:pPr>
      <w:r>
        <w:lastRenderedPageBreak/>
        <w:t>Sub</w:t>
      </w:r>
      <w:r w:rsidR="00BB332B">
        <w:t>section</w:t>
      </w:r>
      <w:r>
        <w:t xml:space="preserve"> 1</w:t>
      </w:r>
      <w:r w:rsidR="002C1C80">
        <w:t>8</w:t>
      </w:r>
      <w:r>
        <w:t xml:space="preserve">(2) </w:t>
      </w:r>
      <w:r w:rsidR="00575194">
        <w:t>provides</w:t>
      </w:r>
      <w:r>
        <w:t xml:space="preserve"> that the reporting deadlines in Column 3 are not changed when the end of the reporting period falls on a weekend or public holiday. </w:t>
      </w:r>
    </w:p>
    <w:p w14:paraId="514F8437" w14:textId="77777777" w:rsidR="00FE071F" w:rsidRPr="00FE071F" w:rsidRDefault="00FE071F" w:rsidP="00FE071F">
      <w:pPr>
        <w:pStyle w:val="Numberedparagraph"/>
        <w:numPr>
          <w:ilvl w:val="0"/>
          <w:numId w:val="0"/>
        </w:numPr>
        <w:spacing w:line="276" w:lineRule="auto"/>
        <w:rPr>
          <w:i/>
        </w:rPr>
      </w:pPr>
      <w:r>
        <w:rPr>
          <w:i/>
        </w:rPr>
        <w:t>Reports only need to be given by one person</w:t>
      </w:r>
    </w:p>
    <w:p w14:paraId="7290157C" w14:textId="77777777" w:rsidR="00FE071F" w:rsidRDefault="00FE071F" w:rsidP="00FE071F">
      <w:pPr>
        <w:pStyle w:val="Numberedparagraph"/>
        <w:spacing w:line="276" w:lineRule="auto"/>
        <w:ind w:left="720" w:hanging="720"/>
      </w:pPr>
      <w:r>
        <w:t>Sub</w:t>
      </w:r>
      <w:r w:rsidR="00BB332B">
        <w:t>section</w:t>
      </w:r>
      <w:r>
        <w:t xml:space="preserve"> 1</w:t>
      </w:r>
      <w:r w:rsidR="002C1C80">
        <w:t>8</w:t>
      </w:r>
      <w:r>
        <w:t>(3) provide</w:t>
      </w:r>
      <w:r w:rsidR="00575194">
        <w:t>s</w:t>
      </w:r>
      <w:r>
        <w:t xml:space="preserve"> an exemption from the reporting obligation where another person has already submitted the prescribed information </w:t>
      </w:r>
      <w:r w:rsidR="00065AD8">
        <w:t>for</w:t>
      </w:r>
      <w:r>
        <w:t xml:space="preserve"> a </w:t>
      </w:r>
      <w:r w:rsidR="00065AD8">
        <w:t xml:space="preserve">covered </w:t>
      </w:r>
      <w:r>
        <w:t>activity</w:t>
      </w:r>
      <w:r w:rsidR="00065AD8">
        <w:t xml:space="preserve"> in relation to a covered product</w:t>
      </w:r>
      <w:r>
        <w:t>.</w:t>
      </w:r>
    </w:p>
    <w:p w14:paraId="1C951848" w14:textId="77777777" w:rsidR="00FE071F" w:rsidRDefault="00FE071F" w:rsidP="00FE071F">
      <w:pPr>
        <w:pStyle w:val="Numberedparagraph"/>
        <w:spacing w:line="276" w:lineRule="auto"/>
        <w:ind w:left="720" w:hanging="720"/>
      </w:pPr>
      <w:r>
        <w:t xml:space="preserve">This </w:t>
      </w:r>
      <w:r w:rsidR="00BB332B">
        <w:t>section</w:t>
      </w:r>
      <w:r>
        <w:t xml:space="preserve"> is intended to make clear that where one person reports on behalf of </w:t>
      </w:r>
      <w:r w:rsidR="00065AD8">
        <w:t>another</w:t>
      </w:r>
      <w:r>
        <w:t xml:space="preserve"> that this </w:t>
      </w:r>
      <w:r w:rsidR="00065AD8">
        <w:t xml:space="preserve">would remove any obligation on the </w:t>
      </w:r>
      <w:r w:rsidR="004B254A">
        <w:t>regulated entity</w:t>
      </w:r>
      <w:r w:rsidR="00065AD8">
        <w:t xml:space="preserve"> prescribed to report this information again.</w:t>
      </w:r>
      <w:r>
        <w:t xml:space="preserve"> </w:t>
      </w:r>
    </w:p>
    <w:p w14:paraId="1ED13ABB" w14:textId="77777777" w:rsidR="00387E4A" w:rsidRDefault="00FE071F" w:rsidP="00FE071F">
      <w:pPr>
        <w:pStyle w:val="Numberedparagraph"/>
        <w:spacing w:line="276" w:lineRule="auto"/>
        <w:ind w:left="720" w:hanging="720"/>
      </w:pPr>
      <w:r>
        <w:t xml:space="preserve">For example, the output from </w:t>
      </w:r>
      <w:r w:rsidR="004B254A">
        <w:t>an Australian</w:t>
      </w:r>
      <w:r>
        <w:t xml:space="preserve"> field may be owned in proportion by multiple parties in a joint venture. In the event that one owner or their agent submits the prescribed fuel information for the entire field, then this would satisfy the reporting obligation for all owners. </w:t>
      </w:r>
    </w:p>
    <w:p w14:paraId="5BC6D0BA" w14:textId="77777777" w:rsidR="00820327" w:rsidRPr="00077E7E" w:rsidRDefault="00820327" w:rsidP="00820327">
      <w:pPr>
        <w:pStyle w:val="Numberedparagraph"/>
        <w:keepNext/>
        <w:numPr>
          <w:ilvl w:val="0"/>
          <w:numId w:val="0"/>
        </w:numPr>
        <w:spacing w:line="276" w:lineRule="auto"/>
        <w:rPr>
          <w:b/>
        </w:rPr>
      </w:pPr>
      <w:r>
        <w:rPr>
          <w:b/>
        </w:rPr>
        <w:t>19 – Exception to duty to report – reporting to NOPTA or Western Australia</w:t>
      </w:r>
    </w:p>
    <w:p w14:paraId="754263A2" w14:textId="77777777" w:rsidR="00820327" w:rsidRDefault="00820327" w:rsidP="00820327">
      <w:pPr>
        <w:pStyle w:val="Numberedparagraph"/>
        <w:keepNext/>
        <w:spacing w:line="276" w:lineRule="auto"/>
        <w:ind w:left="720" w:hanging="720"/>
      </w:pPr>
      <w:r>
        <w:t xml:space="preserve">Under </w:t>
      </w:r>
      <w:r w:rsidR="00F22BCC">
        <w:t>sub</w:t>
      </w:r>
      <w:r>
        <w:t xml:space="preserve">section 13(1) of the Act the Minister may prescribe in the Rules circumstances which are an exception to the duty to report fuel information to the Secretary in accordance with </w:t>
      </w:r>
      <w:r w:rsidR="00F22BCC">
        <w:t>sub</w:t>
      </w:r>
      <w:r>
        <w:t>section 11(2) of the Act.</w:t>
      </w:r>
    </w:p>
    <w:p w14:paraId="0EF5258E" w14:textId="77777777" w:rsidR="00820327" w:rsidRDefault="00820327" w:rsidP="00820327">
      <w:pPr>
        <w:pStyle w:val="Numberedparagraph"/>
        <w:spacing w:line="276" w:lineRule="auto"/>
        <w:ind w:left="720" w:hanging="720"/>
      </w:pPr>
      <w:r>
        <w:t>Section 19 provides an exception to the reporting obligations in subsection 16(1) where a regulated entity has already reported prescribed information to the National Offshore Petroleum Titles Administrator (NOPTA) or the West</w:t>
      </w:r>
      <w:r w:rsidR="000E25AA">
        <w:t>ern</w:t>
      </w:r>
      <w:r>
        <w:t xml:space="preserve"> Australian Department of Mines, </w:t>
      </w:r>
      <w:r w:rsidR="001D09BB">
        <w:t>Industry</w:t>
      </w:r>
      <w:r>
        <w:t xml:space="preserve"> Regulation and Safety (DMIRS). This is intended to reduce the reporting burden on regulated entities where re-reporting of this information is unnecessary. </w:t>
      </w:r>
    </w:p>
    <w:p w14:paraId="6DAE7B0B" w14:textId="77777777" w:rsidR="00820327" w:rsidRDefault="00820327" w:rsidP="00820327">
      <w:pPr>
        <w:pStyle w:val="Numberedparagraph"/>
        <w:spacing w:line="276" w:lineRule="auto"/>
        <w:ind w:left="720" w:hanging="720"/>
      </w:pPr>
      <w:r>
        <w:t>NOPTA currently collects monthly production data for offshore petroleum wells</w:t>
      </w:r>
      <w:r w:rsidR="00C5637E">
        <w:t xml:space="preserve"> in Commonwealth waters</w:t>
      </w:r>
      <w:r>
        <w:t xml:space="preserve"> and DMIRS collects similar information for onshore wells in Western Australia. Following consultation between these agencies and reporting businesses, the agencies have agreed that </w:t>
      </w:r>
      <w:r w:rsidR="00C5637E">
        <w:t xml:space="preserve">a </w:t>
      </w:r>
      <w:r>
        <w:t>data-sharing arrangement with the Department is appropriate. NOPTA and DMIRS are working with the Department to establish data</w:t>
      </w:r>
      <w:r>
        <w:noBreakHyphen/>
        <w:t xml:space="preserve">sharing arrangements for commencement in 2018. </w:t>
      </w:r>
      <w:r w:rsidR="001D09BB">
        <w:t>Data-sharing between the Department and DMIRS will only proceed with the consent of producers as required under data protection provisions.</w:t>
      </w:r>
    </w:p>
    <w:p w14:paraId="59B3599E" w14:textId="6BFB8CB4" w:rsidR="00820327" w:rsidRPr="004077B5" w:rsidRDefault="00820327" w:rsidP="005D1196">
      <w:pPr>
        <w:pStyle w:val="Numberedparagraph"/>
        <w:keepLines/>
        <w:spacing w:line="276" w:lineRule="auto"/>
        <w:ind w:left="720" w:hanging="720"/>
      </w:pPr>
      <w:r w:rsidRPr="004077B5">
        <w:t>Under data sharing arrangements with NOPTA or DMIRS, fuel information that is personal information or commercial</w:t>
      </w:r>
      <w:r w:rsidRPr="004077B5">
        <w:noBreakHyphen/>
        <w:t>in</w:t>
      </w:r>
      <w:r w:rsidRPr="004077B5">
        <w:noBreakHyphen/>
        <w:t xml:space="preserve">confidence information and is provided to the Secretary </w:t>
      </w:r>
      <w:r w:rsidR="00AD493B" w:rsidRPr="004077B5">
        <w:t>would be</w:t>
      </w:r>
      <w:r w:rsidRPr="004077B5">
        <w:t xml:space="preserve"> protected information under the Act. The collection of this information by the Secretary would occur under section 15 of the Act. </w:t>
      </w:r>
    </w:p>
    <w:p w14:paraId="5081EFB8" w14:textId="77777777" w:rsidR="00820327" w:rsidRDefault="00820327" w:rsidP="00820327">
      <w:pPr>
        <w:pStyle w:val="Numberedparagraph"/>
        <w:spacing w:line="276" w:lineRule="auto"/>
        <w:ind w:left="720" w:hanging="720"/>
      </w:pPr>
      <w:r>
        <w:t xml:space="preserve">Subsection 19(1) sets out three circumstances that must be met before a person is excepted from the reporting obligations </w:t>
      </w:r>
      <w:r w:rsidR="006A37E8">
        <w:t>in accordance with section 13(1) of the Act</w:t>
      </w:r>
      <w:r>
        <w:t>:</w:t>
      </w:r>
    </w:p>
    <w:p w14:paraId="23D64036" w14:textId="77777777" w:rsidR="00820327" w:rsidRDefault="00820327" w:rsidP="00820327">
      <w:pPr>
        <w:pStyle w:val="Numberedparagraph"/>
        <w:numPr>
          <w:ilvl w:val="1"/>
          <w:numId w:val="7"/>
        </w:numPr>
        <w:spacing w:line="276" w:lineRule="auto"/>
      </w:pPr>
      <w:r>
        <w:t>First, the exception only applies to the Australian field production reporting obligations prescribed at table items 1 and 2 at subsection 16(1).</w:t>
      </w:r>
    </w:p>
    <w:p w14:paraId="6D6A0D57" w14:textId="77777777" w:rsidR="00820327" w:rsidRDefault="00820327" w:rsidP="00820327">
      <w:pPr>
        <w:pStyle w:val="Numberedparagraph"/>
        <w:numPr>
          <w:ilvl w:val="1"/>
          <w:numId w:val="7"/>
        </w:numPr>
        <w:spacing w:line="276" w:lineRule="auto"/>
      </w:pPr>
      <w:r>
        <w:t xml:space="preserve">Second, the regulated entity must meet its reporting obligations to NOPTA or DMIRS under the respective legislation listed at paragraph 19(1)(b). </w:t>
      </w:r>
    </w:p>
    <w:p w14:paraId="188EA583" w14:textId="77777777" w:rsidR="00820327" w:rsidRDefault="00820327" w:rsidP="00820327">
      <w:pPr>
        <w:pStyle w:val="Numberedparagraph"/>
        <w:numPr>
          <w:ilvl w:val="1"/>
          <w:numId w:val="7"/>
        </w:numPr>
        <w:spacing w:line="276" w:lineRule="auto"/>
      </w:pPr>
      <w:r>
        <w:lastRenderedPageBreak/>
        <w:t>Third, the Minister must have declared the type of report submitted by the regulated entity to NOPTA or DMIRS to be an acceptable alternative report in accordance with subsection 19(2).</w:t>
      </w:r>
    </w:p>
    <w:p w14:paraId="33706370" w14:textId="77777777" w:rsidR="00820327" w:rsidRDefault="00820327" w:rsidP="00820327">
      <w:pPr>
        <w:pStyle w:val="Numberedparagraph"/>
        <w:spacing w:line="276" w:lineRule="auto"/>
        <w:ind w:left="720" w:hanging="720"/>
      </w:pPr>
      <w:r>
        <w:t xml:space="preserve">Importantly, the exception will not apply if a regulated entity fails to provide a report to NOPTA or DMIRS in line with the relevant legislative requirements specified at paragraph 19(1)(b). For example, if a report to NOPTA under the </w:t>
      </w:r>
      <w:r w:rsidRPr="0000555C">
        <w:rPr>
          <w:i/>
        </w:rPr>
        <w:t>Offshore Petroleum and Greenhouse Gas Storage (Resource Management and Administration) Regulations 2011</w:t>
      </w:r>
      <w:r>
        <w:t xml:space="preserve"> is submitted to NOPTA but it is late, incomplete or inaccurate, then the exception from having to report to the Department will not apply.</w:t>
      </w:r>
    </w:p>
    <w:p w14:paraId="79A39926" w14:textId="77777777" w:rsidR="00820327" w:rsidRDefault="006A37E8" w:rsidP="00820327">
      <w:pPr>
        <w:pStyle w:val="Numberedparagraph"/>
        <w:spacing w:line="276" w:lineRule="auto"/>
        <w:ind w:left="720" w:hanging="720"/>
      </w:pPr>
      <w:r>
        <w:t>S</w:t>
      </w:r>
      <w:r w:rsidR="00820327">
        <w:t>ubsection 19(2)</w:t>
      </w:r>
      <w:r>
        <w:t xml:space="preserve"> confers a power on the Minister to declare, by notifiable instrument, that a monthly production report given to NOPTA or to DMIRS is an acceptable alternative report. </w:t>
      </w:r>
    </w:p>
    <w:p w14:paraId="1437425D" w14:textId="77777777" w:rsidR="00820327" w:rsidRPr="00341239" w:rsidRDefault="00820327" w:rsidP="00820327">
      <w:pPr>
        <w:pStyle w:val="Numberedparagraph"/>
        <w:spacing w:line="276" w:lineRule="auto"/>
        <w:ind w:left="720" w:hanging="720"/>
      </w:pPr>
      <w:r>
        <w:t xml:space="preserve">The instrument made by the Minister under subsection 19(2) will be registered on the Federal Register of Legislation as a notifiable instrument under </w:t>
      </w:r>
      <w:r w:rsidRPr="00DB4CC0">
        <w:t>the</w:t>
      </w:r>
      <w:r w:rsidR="00DB4CC0">
        <w:rPr>
          <w:i/>
        </w:rPr>
        <w:t xml:space="preserve"> Legislation </w:t>
      </w:r>
      <w:r w:rsidRPr="008C3876">
        <w:rPr>
          <w:i/>
        </w:rPr>
        <w:t>Act 2003</w:t>
      </w:r>
      <w:r>
        <w:t xml:space="preserve">. </w:t>
      </w:r>
      <w:r w:rsidRPr="00341239">
        <w:t xml:space="preserve">This instrument is declaratory in nature only and is not of legislative character. </w:t>
      </w:r>
    </w:p>
    <w:p w14:paraId="26F9B17E" w14:textId="77777777" w:rsidR="00820327" w:rsidRDefault="00820327" w:rsidP="00820327">
      <w:pPr>
        <w:pStyle w:val="Numberedparagraph"/>
        <w:spacing w:line="276" w:lineRule="auto"/>
        <w:ind w:left="720" w:hanging="720"/>
      </w:pPr>
      <w:r>
        <w:t xml:space="preserve">The requirement for a notifiable instrument is intended to ensure the exception does not commence before the Department has established data-sharing arrangements with NOPTA and DMIRS. It may be that the arrangements are not in place by the due date of the first Australian field reports on 15 February 2018. </w:t>
      </w:r>
    </w:p>
    <w:p w14:paraId="541B0218" w14:textId="77777777" w:rsidR="00820327" w:rsidRDefault="00820327" w:rsidP="00820327">
      <w:pPr>
        <w:pStyle w:val="Numberedparagraph"/>
        <w:spacing w:line="276" w:lineRule="auto"/>
        <w:ind w:left="720" w:hanging="720"/>
      </w:pPr>
      <w:r>
        <w:t>The Minister may revoke or replace the notifiable instrument made under subsection</w:t>
      </w:r>
      <w:r w:rsidR="00F22BCC">
        <w:t> </w:t>
      </w:r>
      <w:r>
        <w:t>19(2). The instrument might, for example, be revoked or replaced if NOPTA or DMIRS ceased under laws listed in paragraph 19(1)(b) to collect the fuel information prescribed under subsection 16(1).</w:t>
      </w:r>
    </w:p>
    <w:p w14:paraId="2B2C2BF6" w14:textId="77777777" w:rsidR="00820327" w:rsidRDefault="00820327" w:rsidP="00820327">
      <w:pPr>
        <w:pStyle w:val="Numberedparagraph"/>
        <w:spacing w:line="276" w:lineRule="auto"/>
        <w:ind w:left="720" w:hanging="720"/>
      </w:pPr>
      <w:r>
        <w:t>The legislation referred to in paragraph 19(1)(b) are references to the legislation as in force from time to time. The legislation can be accessed electronically.</w:t>
      </w:r>
    </w:p>
    <w:p w14:paraId="589F3CA8" w14:textId="77777777" w:rsidR="00820327" w:rsidRDefault="00820327" w:rsidP="00820327">
      <w:pPr>
        <w:pStyle w:val="Numberedparagraph"/>
        <w:numPr>
          <w:ilvl w:val="1"/>
          <w:numId w:val="7"/>
        </w:numPr>
        <w:spacing w:line="276" w:lineRule="auto"/>
      </w:pPr>
      <w:r>
        <w:t xml:space="preserve">The </w:t>
      </w:r>
      <w:r w:rsidRPr="0000555C">
        <w:rPr>
          <w:i/>
        </w:rPr>
        <w:t>Offshore Petroleum and Greenhouse Gas Storage (Resource Management and Administration) Regulations 2011</w:t>
      </w:r>
      <w:r>
        <w:t xml:space="preserve"> can be accessed at the Federal Register of Legislation at </w:t>
      </w:r>
      <w:hyperlink r:id="rId14" w:history="1">
        <w:r w:rsidRPr="005E11A5">
          <w:rPr>
            <w:rStyle w:val="Hyperlink"/>
          </w:rPr>
          <w:t>www.legislation.gov.au</w:t>
        </w:r>
      </w:hyperlink>
      <w:r>
        <w:t xml:space="preserve">. </w:t>
      </w:r>
    </w:p>
    <w:p w14:paraId="6FE6CD06" w14:textId="77777777" w:rsidR="00820327" w:rsidRDefault="00820327" w:rsidP="00820327">
      <w:pPr>
        <w:pStyle w:val="Numberedparagraph"/>
        <w:numPr>
          <w:ilvl w:val="1"/>
          <w:numId w:val="7"/>
        </w:numPr>
        <w:spacing w:line="276" w:lineRule="auto"/>
      </w:pPr>
      <w:r>
        <w:t xml:space="preserve">The </w:t>
      </w:r>
      <w:r w:rsidRPr="0000555C">
        <w:rPr>
          <w:i/>
        </w:rPr>
        <w:t>Petroleum and Geothermal Energy Resources (Resource Management and Administration) Regulations 2015</w:t>
      </w:r>
      <w:r>
        <w:t xml:space="preserve"> and </w:t>
      </w:r>
      <w:r w:rsidRPr="0000555C">
        <w:rPr>
          <w:i/>
        </w:rPr>
        <w:t>Petroleum (Submerged Lands) (Resource Management and Administration) Regulations 2015</w:t>
      </w:r>
      <w:r>
        <w:t xml:space="preserve"> can be accessed at the State Law Publisher of West Australia at </w:t>
      </w:r>
      <w:hyperlink r:id="rId15" w:history="1">
        <w:r w:rsidRPr="00AD77F8">
          <w:rPr>
            <w:rStyle w:val="Hyperlink"/>
          </w:rPr>
          <w:t>www.slp.wa.gov.au</w:t>
        </w:r>
      </w:hyperlink>
      <w:r>
        <w:t xml:space="preserve">. </w:t>
      </w:r>
    </w:p>
    <w:p w14:paraId="045450C6" w14:textId="77777777" w:rsidR="00820327" w:rsidRPr="008F510F" w:rsidRDefault="00820327" w:rsidP="00820327">
      <w:pPr>
        <w:pStyle w:val="Numberedparagraph"/>
        <w:numPr>
          <w:ilvl w:val="0"/>
          <w:numId w:val="0"/>
        </w:numPr>
        <w:rPr>
          <w:i/>
        </w:rPr>
      </w:pPr>
      <w:r>
        <w:rPr>
          <w:i/>
        </w:rPr>
        <w:t>Only density required to be reported in January</w:t>
      </w:r>
    </w:p>
    <w:p w14:paraId="31AB7D7E" w14:textId="77777777" w:rsidR="00C44087" w:rsidRDefault="00820327" w:rsidP="00820327">
      <w:pPr>
        <w:pStyle w:val="Numberedparagraph"/>
        <w:spacing w:line="276" w:lineRule="auto"/>
        <w:ind w:left="720" w:hanging="720"/>
      </w:pPr>
      <w:r>
        <w:t>Subsection 19(3) provides that where a person is excepted from reporting production information</w:t>
      </w:r>
      <w:r w:rsidR="006A37E8">
        <w:t xml:space="preserve"> for an Australian field </w:t>
      </w:r>
      <w:r w:rsidR="00C44087">
        <w:t>because they meet the criteria set out under subsection 19(1)</w:t>
      </w:r>
      <w:r w:rsidR="006A37E8">
        <w:t xml:space="preserve">, that </w:t>
      </w:r>
      <w:r>
        <w:t xml:space="preserve">they must still report the average density of any crude oil, condensate or LPG produced at the excepted field to the </w:t>
      </w:r>
      <w:r w:rsidR="00C44087">
        <w:t>Secretary</w:t>
      </w:r>
      <w:r w:rsidR="006A37E8">
        <w:t xml:space="preserve"> </w:t>
      </w:r>
      <w:r w:rsidR="00C44087">
        <w:t>to meet their reporting obligation under subsection 11(2) of the Act as detailed at</w:t>
      </w:r>
      <w:r w:rsidR="006A37E8">
        <w:t xml:space="preserve"> paragraph 11(4)(a) of the Act</w:t>
      </w:r>
      <w:r>
        <w:t xml:space="preserve">. </w:t>
      </w:r>
    </w:p>
    <w:p w14:paraId="1AFA2224" w14:textId="77777777" w:rsidR="00C44087" w:rsidRDefault="00C44087" w:rsidP="00820327">
      <w:pPr>
        <w:pStyle w:val="Numberedparagraph"/>
        <w:spacing w:line="276" w:lineRule="auto"/>
        <w:ind w:left="720" w:hanging="720"/>
      </w:pPr>
      <w:r>
        <w:lastRenderedPageBreak/>
        <w:t xml:space="preserve">Put simply, where a regulated entity is not required to report fuel information in relation to an Australia field due to this section, they must still report density for January each year. </w:t>
      </w:r>
    </w:p>
    <w:p w14:paraId="08FC90FA" w14:textId="77777777" w:rsidR="00C44087" w:rsidRDefault="00820327" w:rsidP="00820327">
      <w:pPr>
        <w:pStyle w:val="Numberedparagraph"/>
        <w:spacing w:line="276" w:lineRule="auto"/>
        <w:ind w:left="720" w:hanging="720"/>
      </w:pPr>
      <w:r>
        <w:t>The average density is required to be reported for January</w:t>
      </w:r>
      <w:r w:rsidR="00C44087">
        <w:t>.</w:t>
      </w:r>
      <w:r>
        <w:t xml:space="preserve"> </w:t>
      </w:r>
      <w:r w:rsidR="00C44087">
        <w:t>This</w:t>
      </w:r>
      <w:r>
        <w:t xml:space="preserve"> means that the report</w:t>
      </w:r>
      <w:r w:rsidR="00C44087">
        <w:t xml:space="preserve"> on average density</w:t>
      </w:r>
      <w:r>
        <w:t xml:space="preserve"> is due by 15 February each year. </w:t>
      </w:r>
    </w:p>
    <w:p w14:paraId="5C528EC0" w14:textId="77777777" w:rsidR="00820327" w:rsidRDefault="00820327" w:rsidP="00820327">
      <w:pPr>
        <w:pStyle w:val="Numberedparagraph"/>
        <w:spacing w:line="276" w:lineRule="auto"/>
        <w:ind w:left="720" w:hanging="720"/>
      </w:pPr>
      <w:r>
        <w:t xml:space="preserve">Subsection 19(3) only requires average density </w:t>
      </w:r>
      <w:r w:rsidR="00C44087">
        <w:t>to be reported for January. It</w:t>
      </w:r>
      <w:r>
        <w:t xml:space="preserve"> does not require </w:t>
      </w:r>
      <w:r w:rsidR="00C44087">
        <w:t>any</w:t>
      </w:r>
      <w:r>
        <w:t xml:space="preserve"> other fuel information set out in column 3 of items 1 and 2 of that table in subsection 16(1)</w:t>
      </w:r>
      <w:r w:rsidR="00C44087">
        <w:t xml:space="preserve"> to be reported</w:t>
      </w:r>
      <w:r>
        <w:t xml:space="preserve">. This </w:t>
      </w:r>
      <w:r w:rsidR="000E25AA">
        <w:t xml:space="preserve">is </w:t>
      </w:r>
      <w:r>
        <w:t>because this other fuel information (by virtue of the requirements in subsection 19(1)) will be given in accordance with the legislation referred to in paragraph 19(1)(b).</w:t>
      </w:r>
    </w:p>
    <w:p w14:paraId="663B43F9" w14:textId="77777777" w:rsidR="00820327" w:rsidRDefault="00820327" w:rsidP="00820327">
      <w:pPr>
        <w:pStyle w:val="Numberedparagraph"/>
        <w:spacing w:line="276" w:lineRule="auto"/>
        <w:ind w:left="720" w:hanging="720"/>
      </w:pPr>
      <w:r>
        <w:t>Subsection 19(3) only applies to regulated entities that are excepted under section 19. Regulated entities that are not excepted must provide monthly reports on average density in accordance with subsection 16(1).</w:t>
      </w:r>
    </w:p>
    <w:p w14:paraId="0AAB9AB3" w14:textId="77777777" w:rsidR="00820327" w:rsidRPr="00B075D9" w:rsidRDefault="00820327" w:rsidP="00820327">
      <w:pPr>
        <w:pStyle w:val="Numberedparagraph"/>
        <w:spacing w:line="276" w:lineRule="auto"/>
        <w:ind w:left="720" w:hanging="720"/>
      </w:pPr>
      <w:r>
        <w:t xml:space="preserve">This residual reporting obligation is required as neither NOPTA nor DMIRS currently require their reporters to specify the average density of products. Density information is essential to enable the volumetric production data collected by NOPTA and DMIRS to be converted into weight, and this is necessary to meet Australia’s reporting obligations under the IEP Treaty. </w:t>
      </w:r>
    </w:p>
    <w:p w14:paraId="745A8670" w14:textId="77777777" w:rsidR="00820327" w:rsidRPr="00E17300" w:rsidRDefault="00820327" w:rsidP="00820327">
      <w:pPr>
        <w:pStyle w:val="Numberedparagraph"/>
        <w:numPr>
          <w:ilvl w:val="0"/>
          <w:numId w:val="0"/>
        </w:numPr>
        <w:rPr>
          <w:i/>
        </w:rPr>
      </w:pPr>
      <w:r>
        <w:rPr>
          <w:i/>
        </w:rPr>
        <w:t>No report required for other months</w:t>
      </w:r>
    </w:p>
    <w:p w14:paraId="4FE4667B" w14:textId="56DBF87E" w:rsidR="00820327" w:rsidRDefault="00820327" w:rsidP="00820327">
      <w:pPr>
        <w:pStyle w:val="Numberedparagraph"/>
        <w:spacing w:line="276" w:lineRule="auto"/>
        <w:ind w:left="720" w:hanging="720"/>
      </w:pPr>
      <w:r>
        <w:t xml:space="preserve">Subsection 19(4) prescribes an exception (in accordance with subsection 13(1) of the Act) to the duty to provide a monthly production report under subsection 11(2) of the Act.  The exception applies if subsections 19(1) and 19(2) are fulfilled and density has been reported </w:t>
      </w:r>
      <w:r w:rsidR="00C44087">
        <w:t>for</w:t>
      </w:r>
      <w:r>
        <w:t xml:space="preserve"> the </w:t>
      </w:r>
      <w:r w:rsidR="00C44087">
        <w:t xml:space="preserve">relevant </w:t>
      </w:r>
      <w:r>
        <w:t>year (i</w:t>
      </w:r>
      <w:r w:rsidR="00C44087">
        <w:t>.</w:t>
      </w:r>
      <w:r>
        <w:t>e</w:t>
      </w:r>
      <w:r w:rsidR="00C44087">
        <w:t>.</w:t>
      </w:r>
      <w:r>
        <w:t xml:space="preserve"> in January of that year).  This section also allows for the possibility that </w:t>
      </w:r>
      <w:r w:rsidR="000E25AA">
        <w:t xml:space="preserve">a </w:t>
      </w:r>
      <w:r>
        <w:t>person may have reported under subsection 11(2) of the Act in the previous month, that is before a person was within the scope of subsection</w:t>
      </w:r>
      <w:r w:rsidR="00CE2917">
        <w:t> </w:t>
      </w:r>
      <w:r>
        <w:t>19(1).</w:t>
      </w:r>
    </w:p>
    <w:p w14:paraId="083C56D3" w14:textId="4FD8D4D0" w:rsidR="00820327" w:rsidRPr="00EF53FF" w:rsidRDefault="00820327" w:rsidP="00820327">
      <w:pPr>
        <w:pStyle w:val="Numberedparagraph"/>
        <w:spacing w:line="276" w:lineRule="auto"/>
        <w:ind w:left="720" w:hanging="720"/>
      </w:pPr>
      <w:r>
        <w:t>The note to paragraph 19(4)(a) explains that if the previous month was January, the person may have reported average density in accordance with subsection 19(3) and that this would be a report in accordance with subsection 11(2) of the Act.</w:t>
      </w:r>
    </w:p>
    <w:p w14:paraId="0DDBA3D6" w14:textId="77777777" w:rsidR="008A2F68" w:rsidRDefault="008A2F68" w:rsidP="00C44087">
      <w:pPr>
        <w:pStyle w:val="Numberedparagraph"/>
        <w:keepNext/>
        <w:numPr>
          <w:ilvl w:val="0"/>
          <w:numId w:val="0"/>
        </w:numPr>
        <w:spacing w:line="276" w:lineRule="auto"/>
        <w:rPr>
          <w:b/>
        </w:rPr>
      </w:pPr>
      <w:r>
        <w:rPr>
          <w:b/>
        </w:rPr>
        <w:t>Division 3 – Extended application of this Part</w:t>
      </w:r>
    </w:p>
    <w:p w14:paraId="3E2911A6" w14:textId="77777777" w:rsidR="008A2F68" w:rsidRPr="008A2F68" w:rsidRDefault="0010332B" w:rsidP="00C44087">
      <w:pPr>
        <w:pStyle w:val="Numberedparagraph"/>
        <w:keepNext/>
        <w:numPr>
          <w:ilvl w:val="0"/>
          <w:numId w:val="0"/>
        </w:numPr>
        <w:spacing w:line="276" w:lineRule="auto"/>
        <w:rPr>
          <w:b/>
        </w:rPr>
      </w:pPr>
      <w:r>
        <w:rPr>
          <w:b/>
        </w:rPr>
        <w:t>20</w:t>
      </w:r>
      <w:r w:rsidR="008A2F68">
        <w:rPr>
          <w:b/>
        </w:rPr>
        <w:t xml:space="preserve"> – Extended application of this Part</w:t>
      </w:r>
    </w:p>
    <w:p w14:paraId="4896DD07" w14:textId="77777777" w:rsidR="00D6236C" w:rsidRDefault="00575194" w:rsidP="00C44087">
      <w:pPr>
        <w:pStyle w:val="Numberedparagraph"/>
        <w:keepNext/>
        <w:spacing w:line="276" w:lineRule="auto"/>
        <w:ind w:left="720" w:hanging="720"/>
      </w:pPr>
      <w:r>
        <w:t>S</w:t>
      </w:r>
      <w:r w:rsidR="00BB332B">
        <w:t>ection</w:t>
      </w:r>
      <w:r w:rsidR="008A2F68">
        <w:t xml:space="preserve"> </w:t>
      </w:r>
      <w:r w:rsidR="0010332B">
        <w:t>20</w:t>
      </w:r>
      <w:r>
        <w:t xml:space="preserve"> of the Rules </w:t>
      </w:r>
      <w:r w:rsidR="008A2F68">
        <w:t>extend</w:t>
      </w:r>
      <w:r>
        <w:t>s</w:t>
      </w:r>
      <w:r w:rsidR="008A2F68">
        <w:t xml:space="preserve"> the application of the rep</w:t>
      </w:r>
      <w:r w:rsidR="002C1C80">
        <w:t>orting obligation in sections 16 and 17</w:t>
      </w:r>
      <w:r w:rsidR="008A2F68">
        <w:t xml:space="preserve"> to entities that are not regulated entities in certain circumstances. </w:t>
      </w:r>
    </w:p>
    <w:p w14:paraId="5EAA3992" w14:textId="77777777" w:rsidR="008A2F68" w:rsidRDefault="008A2F68" w:rsidP="00370337">
      <w:pPr>
        <w:pStyle w:val="Numberedparagraph"/>
        <w:spacing w:line="276" w:lineRule="auto"/>
        <w:ind w:left="720" w:hanging="720"/>
      </w:pPr>
      <w:r>
        <w:t>A regulated entity is defined in the Act as:</w:t>
      </w:r>
    </w:p>
    <w:p w14:paraId="436F82AF" w14:textId="77777777" w:rsidR="008A2F68" w:rsidRDefault="008A2F68" w:rsidP="008C3876">
      <w:pPr>
        <w:pStyle w:val="Numberedparagraph"/>
        <w:numPr>
          <w:ilvl w:val="0"/>
          <w:numId w:val="0"/>
        </w:numPr>
        <w:spacing w:line="276" w:lineRule="auto"/>
        <w:ind w:left="993"/>
      </w:pPr>
      <w:r w:rsidRPr="008A2F68">
        <w:rPr>
          <w:b/>
          <w:i/>
        </w:rPr>
        <w:t>regulated entity</w:t>
      </w:r>
      <w:r>
        <w:t xml:space="preserve"> means:</w:t>
      </w:r>
    </w:p>
    <w:p w14:paraId="27F55BF3" w14:textId="77777777" w:rsidR="008A2F68" w:rsidRDefault="008A2F68" w:rsidP="008A2F68">
      <w:pPr>
        <w:pStyle w:val="Numberedparagraph"/>
        <w:numPr>
          <w:ilvl w:val="0"/>
          <w:numId w:val="0"/>
        </w:numPr>
        <w:spacing w:line="276" w:lineRule="auto"/>
        <w:ind w:left="993"/>
      </w:pPr>
      <w:r>
        <w:t xml:space="preserve">(a) </w:t>
      </w:r>
      <w:r w:rsidR="00DF5174">
        <w:tab/>
      </w:r>
      <w:r>
        <w:t>a constitutional corporation; or</w:t>
      </w:r>
    </w:p>
    <w:p w14:paraId="0AD55418" w14:textId="77777777" w:rsidR="008A2F68" w:rsidRDefault="008A2F68" w:rsidP="008A2F68">
      <w:pPr>
        <w:pStyle w:val="Numberedparagraph"/>
        <w:numPr>
          <w:ilvl w:val="0"/>
          <w:numId w:val="0"/>
        </w:numPr>
        <w:spacing w:line="276" w:lineRule="auto"/>
        <w:ind w:left="993"/>
      </w:pPr>
      <w:r>
        <w:t xml:space="preserve">(b) </w:t>
      </w:r>
      <w:r w:rsidR="00DF5174">
        <w:tab/>
      </w:r>
      <w:r>
        <w:t>a trust, all of the trustees of which are constitutional corporations; or</w:t>
      </w:r>
    </w:p>
    <w:p w14:paraId="3507D5E4" w14:textId="77777777" w:rsidR="008A2F68" w:rsidRDefault="008A2F68" w:rsidP="008A2F68">
      <w:pPr>
        <w:pStyle w:val="Numberedparagraph"/>
        <w:numPr>
          <w:ilvl w:val="0"/>
          <w:numId w:val="0"/>
        </w:numPr>
        <w:spacing w:line="276" w:lineRule="auto"/>
        <w:ind w:left="993"/>
      </w:pPr>
      <w:r>
        <w:t xml:space="preserve">(c) </w:t>
      </w:r>
      <w:r w:rsidR="00DF5174">
        <w:tab/>
      </w:r>
      <w:r>
        <w:t>a body corporate that is incorporated in a Territory; or</w:t>
      </w:r>
    </w:p>
    <w:p w14:paraId="08A55603" w14:textId="77777777" w:rsidR="008A2F68" w:rsidRDefault="008A2F68" w:rsidP="008C3876">
      <w:pPr>
        <w:pStyle w:val="Numberedparagraph"/>
        <w:numPr>
          <w:ilvl w:val="0"/>
          <w:numId w:val="0"/>
        </w:numPr>
        <w:spacing w:line="276" w:lineRule="auto"/>
        <w:ind w:left="1440" w:hanging="447"/>
      </w:pPr>
      <w:r>
        <w:lastRenderedPageBreak/>
        <w:t xml:space="preserve">(d) </w:t>
      </w:r>
      <w:r w:rsidR="00DF5174">
        <w:tab/>
      </w:r>
      <w:r>
        <w:t xml:space="preserve">a body corporate that is taken to be registered in a Territory under section 119A of the </w:t>
      </w:r>
      <w:r w:rsidRPr="008C3876">
        <w:rPr>
          <w:i/>
        </w:rPr>
        <w:t>Corporations Act 2001</w:t>
      </w:r>
      <w:r>
        <w:t>; or</w:t>
      </w:r>
    </w:p>
    <w:p w14:paraId="49E15DD2" w14:textId="77777777" w:rsidR="008A2F68" w:rsidRDefault="008A2F68" w:rsidP="008C3876">
      <w:pPr>
        <w:pStyle w:val="Numberedparagraph"/>
        <w:numPr>
          <w:ilvl w:val="0"/>
          <w:numId w:val="0"/>
        </w:numPr>
        <w:spacing w:line="276" w:lineRule="auto"/>
        <w:ind w:left="1440" w:hanging="447"/>
      </w:pPr>
      <w:r>
        <w:t xml:space="preserve">(e) </w:t>
      </w:r>
      <w:r w:rsidR="00DF5174">
        <w:tab/>
      </w:r>
      <w:r>
        <w:t>a trust, if the proper law of the trust and the law of the trust’s administration are the law of a Territory; or</w:t>
      </w:r>
    </w:p>
    <w:p w14:paraId="65D92BFC" w14:textId="77777777" w:rsidR="008A2F68" w:rsidRDefault="008A2F68" w:rsidP="008C3876">
      <w:pPr>
        <w:pStyle w:val="Numberedparagraph"/>
        <w:numPr>
          <w:ilvl w:val="0"/>
          <w:numId w:val="0"/>
        </w:numPr>
        <w:spacing w:line="276" w:lineRule="auto"/>
        <w:ind w:left="1440" w:hanging="447"/>
      </w:pPr>
      <w:r>
        <w:t xml:space="preserve">(f) </w:t>
      </w:r>
      <w:r w:rsidR="00DF5174">
        <w:tab/>
      </w:r>
      <w:r>
        <w:t>an entity, the core or routine activities of which are carried out in or in connection with a Territory.</w:t>
      </w:r>
    </w:p>
    <w:p w14:paraId="57795590" w14:textId="77777777" w:rsidR="00D6236C" w:rsidRDefault="008A2F68" w:rsidP="00370337">
      <w:pPr>
        <w:pStyle w:val="Numberedparagraph"/>
        <w:spacing w:line="276" w:lineRule="auto"/>
        <w:ind w:left="720" w:hanging="720"/>
      </w:pPr>
      <w:r>
        <w:t>Section 13 of the Act extends the application of section 11 of the Act in c</w:t>
      </w:r>
      <w:r w:rsidR="002C1C80">
        <w:t xml:space="preserve">ertain circumstances. Section </w:t>
      </w:r>
      <w:r w:rsidR="0010332B">
        <w:t>20</w:t>
      </w:r>
      <w:r>
        <w:t xml:space="preserve"> is intended to replicate this extension to the reporting obligations prescribed in these Rules.  </w:t>
      </w:r>
    </w:p>
    <w:p w14:paraId="64D4482E" w14:textId="77777777" w:rsidR="00D6236C" w:rsidRDefault="008A2F68" w:rsidP="008A2F68">
      <w:pPr>
        <w:pStyle w:val="Numberedparagraph"/>
        <w:numPr>
          <w:ilvl w:val="0"/>
          <w:numId w:val="0"/>
        </w:numPr>
        <w:spacing w:line="276" w:lineRule="auto"/>
        <w:rPr>
          <w:b/>
        </w:rPr>
      </w:pPr>
      <w:r>
        <w:rPr>
          <w:b/>
        </w:rPr>
        <w:t xml:space="preserve">Part 3 – Application and transitional provisions </w:t>
      </w:r>
    </w:p>
    <w:p w14:paraId="3EE208DE" w14:textId="77777777" w:rsidR="008A2F68" w:rsidRDefault="008A2F68" w:rsidP="008A2F68">
      <w:pPr>
        <w:pStyle w:val="Numberedparagraph"/>
        <w:numPr>
          <w:ilvl w:val="0"/>
          <w:numId w:val="0"/>
        </w:numPr>
        <w:spacing w:line="276" w:lineRule="auto"/>
        <w:rPr>
          <w:b/>
        </w:rPr>
      </w:pPr>
      <w:r>
        <w:rPr>
          <w:b/>
        </w:rPr>
        <w:t>Division 1 – Application of this instrument</w:t>
      </w:r>
    </w:p>
    <w:p w14:paraId="007B05AB" w14:textId="72D73A64" w:rsidR="008A2F68" w:rsidRPr="008A2F68" w:rsidRDefault="00FE00D0" w:rsidP="008A2F68">
      <w:pPr>
        <w:pStyle w:val="Numberedparagraph"/>
        <w:numPr>
          <w:ilvl w:val="0"/>
          <w:numId w:val="0"/>
        </w:numPr>
        <w:spacing w:line="276" w:lineRule="auto"/>
        <w:rPr>
          <w:b/>
        </w:rPr>
      </w:pPr>
      <w:r>
        <w:rPr>
          <w:b/>
        </w:rPr>
        <w:t xml:space="preserve">21 </w:t>
      </w:r>
      <w:r w:rsidR="008A2F68">
        <w:rPr>
          <w:b/>
        </w:rPr>
        <w:t>– Application of this instrument</w:t>
      </w:r>
    </w:p>
    <w:p w14:paraId="0A951C82" w14:textId="77777777" w:rsidR="00D6236C" w:rsidRDefault="008A2F68" w:rsidP="00370337">
      <w:pPr>
        <w:pStyle w:val="Numberedparagraph"/>
        <w:spacing w:line="276" w:lineRule="auto"/>
        <w:ind w:left="720" w:hanging="720"/>
      </w:pPr>
      <w:r>
        <w:t xml:space="preserve">This </w:t>
      </w:r>
      <w:r w:rsidR="00BB332B">
        <w:t>section</w:t>
      </w:r>
      <w:r>
        <w:t xml:space="preserve"> </w:t>
      </w:r>
      <w:r w:rsidR="00575194">
        <w:t>specifies</w:t>
      </w:r>
      <w:r>
        <w:t xml:space="preserve"> when </w:t>
      </w:r>
      <w:r w:rsidR="004B254A">
        <w:t>the obligations imposed by the</w:t>
      </w:r>
      <w:r>
        <w:t xml:space="preserve"> </w:t>
      </w:r>
      <w:r w:rsidR="004B254A">
        <w:t>R</w:t>
      </w:r>
      <w:r>
        <w:t>ules commence</w:t>
      </w:r>
      <w:r w:rsidR="00EF31E4">
        <w:t xml:space="preserve"> and establish</w:t>
      </w:r>
      <w:r w:rsidR="00575194">
        <w:t>es</w:t>
      </w:r>
      <w:r w:rsidR="00EF31E4">
        <w:t xml:space="preserve"> a transition</w:t>
      </w:r>
      <w:r w:rsidR="007C013B">
        <w:t>al</w:t>
      </w:r>
      <w:r w:rsidR="00EF31E4">
        <w:t xml:space="preserve"> reporting obligation for petroleum coke</w:t>
      </w:r>
      <w:r>
        <w:t>.</w:t>
      </w:r>
    </w:p>
    <w:p w14:paraId="1573613A" w14:textId="45E808E9" w:rsidR="008A2F68" w:rsidRDefault="008A2F68" w:rsidP="00370337">
      <w:pPr>
        <w:pStyle w:val="Numberedparagraph"/>
        <w:spacing w:line="276" w:lineRule="auto"/>
        <w:ind w:left="720" w:hanging="720"/>
      </w:pPr>
      <w:r>
        <w:t>Sub</w:t>
      </w:r>
      <w:r w:rsidR="00BB332B">
        <w:t>section</w:t>
      </w:r>
      <w:r>
        <w:t xml:space="preserve"> </w:t>
      </w:r>
      <w:r w:rsidR="00FE00D0">
        <w:t>21</w:t>
      </w:r>
      <w:r>
        <w:t>(1)</w:t>
      </w:r>
      <w:r w:rsidR="00A9084C">
        <w:t xml:space="preserve"> </w:t>
      </w:r>
      <w:r w:rsidR="00575194">
        <w:t>provides</w:t>
      </w:r>
      <w:r>
        <w:t xml:space="preserve"> that the reportin</w:t>
      </w:r>
      <w:r w:rsidR="004B254A">
        <w:t>g obligations in Part 2 of the</w:t>
      </w:r>
      <w:r>
        <w:t xml:space="preserve"> Rules commence on or after 1 January 2018. </w:t>
      </w:r>
    </w:p>
    <w:p w14:paraId="06659D51" w14:textId="3C9957DB" w:rsidR="00D6236C" w:rsidRDefault="00EF31E4" w:rsidP="00370337">
      <w:pPr>
        <w:pStyle w:val="Numberedparagraph"/>
        <w:spacing w:line="276" w:lineRule="auto"/>
        <w:ind w:left="720" w:hanging="720"/>
      </w:pPr>
      <w:r>
        <w:t>Sub</w:t>
      </w:r>
      <w:r w:rsidR="00BB332B">
        <w:t>section</w:t>
      </w:r>
      <w:r>
        <w:t xml:space="preserve"> </w:t>
      </w:r>
      <w:r w:rsidR="00FE00D0">
        <w:t>21</w:t>
      </w:r>
      <w:r>
        <w:t xml:space="preserve">(2) </w:t>
      </w:r>
      <w:r w:rsidR="00575194">
        <w:t xml:space="preserve">provides a different </w:t>
      </w:r>
      <w:r>
        <w:t xml:space="preserve">reporting </w:t>
      </w:r>
      <w:r w:rsidR="00575194">
        <w:t xml:space="preserve">treatment </w:t>
      </w:r>
      <w:r>
        <w:t>for petroleum coke</w:t>
      </w:r>
      <w:r w:rsidR="00575194">
        <w:t>,</w:t>
      </w:r>
      <w:r>
        <w:t xml:space="preserve"> to require a one-off report on 31 October 2018 on petroleum coke wholesales between 1 January and 30 June 2018, and stock holdings on 30 June 2018. This is intended to avoid an outcome where the first prescribed report for petroleum coke would not be due until 31</w:t>
      </w:r>
      <w:r w:rsidR="00CE2917">
        <w:t> </w:t>
      </w:r>
      <w:r>
        <w:t xml:space="preserve">October 2019. </w:t>
      </w:r>
    </w:p>
    <w:p w14:paraId="0350E0D8" w14:textId="61CC4532" w:rsidR="00A9084C" w:rsidRDefault="00EF31E4" w:rsidP="00370337">
      <w:pPr>
        <w:pStyle w:val="Numberedparagraph"/>
        <w:spacing w:line="276" w:lineRule="auto"/>
        <w:ind w:left="720" w:hanging="720"/>
      </w:pPr>
      <w:r>
        <w:t>Sub</w:t>
      </w:r>
      <w:r w:rsidR="00BB332B">
        <w:t>section</w:t>
      </w:r>
      <w:r>
        <w:t xml:space="preserve"> </w:t>
      </w:r>
      <w:r w:rsidR="00FE00D0">
        <w:t>21</w:t>
      </w:r>
      <w:r>
        <w:t>(3) clarif</w:t>
      </w:r>
      <w:r w:rsidR="00575194">
        <w:t>ies</w:t>
      </w:r>
      <w:r>
        <w:t xml:space="preserve"> the application of </w:t>
      </w:r>
      <w:r w:rsidR="00BB332B">
        <w:t>section</w:t>
      </w:r>
      <w:r>
        <w:t>s 1</w:t>
      </w:r>
      <w:r w:rsidR="002C1C80">
        <w:t>6 and 17</w:t>
      </w:r>
      <w:r>
        <w:t xml:space="preserve"> to relevant covered activities that are undertaken on or after 1 January 2018.  </w:t>
      </w:r>
    </w:p>
    <w:p w14:paraId="50CE60F9" w14:textId="77777777" w:rsidR="00A9084C" w:rsidRDefault="00A9084C" w:rsidP="00A9084C">
      <w:pPr>
        <w:pStyle w:val="Numberedparagraph"/>
        <w:numPr>
          <w:ilvl w:val="0"/>
          <w:numId w:val="0"/>
        </w:numPr>
        <w:spacing w:line="276" w:lineRule="auto"/>
        <w:ind w:left="360" w:hanging="360"/>
        <w:rPr>
          <w:b/>
        </w:rPr>
      </w:pPr>
      <w:r>
        <w:rPr>
          <w:b/>
        </w:rPr>
        <w:t>Schedule 1 – Categories and subcategories of covered product</w:t>
      </w:r>
    </w:p>
    <w:p w14:paraId="186B0FE2" w14:textId="77777777" w:rsidR="00A9084C" w:rsidRPr="00A9084C" w:rsidRDefault="00A9084C" w:rsidP="00A9084C">
      <w:pPr>
        <w:pStyle w:val="Numberedparagraph"/>
        <w:numPr>
          <w:ilvl w:val="0"/>
          <w:numId w:val="0"/>
        </w:numPr>
        <w:spacing w:line="276" w:lineRule="auto"/>
        <w:ind w:left="360" w:hanging="360"/>
        <w:rPr>
          <w:b/>
        </w:rPr>
      </w:pPr>
      <w:r>
        <w:rPr>
          <w:b/>
        </w:rPr>
        <w:t>Clause 1 – Categories and subcategories of covered product</w:t>
      </w:r>
    </w:p>
    <w:p w14:paraId="5E4D149C" w14:textId="77777777" w:rsidR="00D6236C" w:rsidRDefault="00A9084C" w:rsidP="00370337">
      <w:pPr>
        <w:pStyle w:val="Numberedparagraph"/>
        <w:spacing w:line="276" w:lineRule="auto"/>
        <w:ind w:left="720" w:hanging="720"/>
      </w:pPr>
      <w:r>
        <w:t xml:space="preserve">This </w:t>
      </w:r>
      <w:r w:rsidR="00575194">
        <w:t>clause</w:t>
      </w:r>
      <w:r>
        <w:t xml:space="preserve"> prescribes the categories and subcategories that fuel information must be reported </w:t>
      </w:r>
      <w:r w:rsidR="00575194">
        <w:t>against</w:t>
      </w:r>
      <w:r>
        <w:t xml:space="preserve"> when prescribed under Part 2 of the Rules.</w:t>
      </w:r>
    </w:p>
    <w:p w14:paraId="4E1C97C3" w14:textId="74878ACB" w:rsidR="00534017" w:rsidRDefault="00C4056C" w:rsidP="00370337">
      <w:pPr>
        <w:pStyle w:val="Numberedparagraph"/>
        <w:spacing w:line="276" w:lineRule="auto"/>
        <w:ind w:left="720" w:hanging="720"/>
      </w:pPr>
      <w:r>
        <w:t>Sub</w:t>
      </w:r>
      <w:r w:rsidR="00CE2917">
        <w:t>clause</w:t>
      </w:r>
      <w:r>
        <w:t xml:space="preserve"> 1(1) </w:t>
      </w:r>
      <w:r w:rsidR="00534017">
        <w:t>sets the categories and subcategories by which covered products must be reported. It also explains how the table is to be applied.</w:t>
      </w:r>
    </w:p>
    <w:p w14:paraId="39F6EDAE" w14:textId="77777777" w:rsidR="00C4056C" w:rsidRDefault="00A9084C" w:rsidP="00370337">
      <w:pPr>
        <w:pStyle w:val="Numberedparagraph"/>
        <w:spacing w:line="276" w:lineRule="auto"/>
        <w:ind w:left="720" w:hanging="720"/>
      </w:pPr>
      <w:r>
        <w:t>Column 1 sets the categor</w:t>
      </w:r>
      <w:r w:rsidR="00C4056C">
        <w:t>ies which apply to all products.</w:t>
      </w:r>
    </w:p>
    <w:p w14:paraId="5108FDE2" w14:textId="126244D3" w:rsidR="00C4056C" w:rsidRDefault="00A9084C" w:rsidP="00370337">
      <w:pPr>
        <w:pStyle w:val="Numberedparagraph"/>
        <w:spacing w:line="276" w:lineRule="auto"/>
        <w:ind w:left="720" w:hanging="720"/>
      </w:pPr>
      <w:r>
        <w:t>Column 2 sets the subcategor</w:t>
      </w:r>
      <w:r w:rsidR="00C4056C">
        <w:t xml:space="preserve">ies which apply to all reportable </w:t>
      </w:r>
      <w:r w:rsidR="00B075D9">
        <w:t>activities except refining</w:t>
      </w:r>
      <w:r w:rsidR="00C4056C">
        <w:t xml:space="preserve"> and holding stock</w:t>
      </w:r>
      <w:r w:rsidR="00B075D9">
        <w:t xml:space="preserve">. </w:t>
      </w:r>
    </w:p>
    <w:p w14:paraId="6100A07D" w14:textId="684402F6" w:rsidR="00A9084C" w:rsidRDefault="00C4056C" w:rsidP="00370337">
      <w:pPr>
        <w:pStyle w:val="Numberedparagraph"/>
        <w:spacing w:line="276" w:lineRule="auto"/>
        <w:ind w:left="720" w:hanging="720"/>
      </w:pPr>
      <w:r>
        <w:t xml:space="preserve">Column 3 sets the subcategories that apply to refining reports prescribed by table items 7 and 8 of subsection 16(1). </w:t>
      </w:r>
    </w:p>
    <w:p w14:paraId="7019CFFF" w14:textId="143291E1" w:rsidR="00C4056C" w:rsidRDefault="00C4056C" w:rsidP="00B075D9">
      <w:pPr>
        <w:pStyle w:val="Numberedparagraph"/>
        <w:spacing w:line="276" w:lineRule="auto"/>
        <w:ind w:left="720" w:hanging="720"/>
      </w:pPr>
      <w:r>
        <w:t>Column 4 sets the subcategories that apply to holding stock reports under table items 1, 2 and 5 of subsection 17(1). The subcategories do not apply to holding stock reports under table items 3 and 4 of subsection 17(1) due to the operat</w:t>
      </w:r>
      <w:r w:rsidR="000E25AA">
        <w:t>ion</w:t>
      </w:r>
      <w:r>
        <w:t xml:space="preserve"> of subsection 17(</w:t>
      </w:r>
      <w:r w:rsidR="00CE7EDB">
        <w:t>4</w:t>
      </w:r>
      <w:r>
        <w:t>). The categories in Column 1 still apply to table items 3 and 4 of subsection 17(1).</w:t>
      </w:r>
    </w:p>
    <w:p w14:paraId="294D5BC1" w14:textId="3E7AE8D1" w:rsidR="00B075D9" w:rsidRPr="00E679B3" w:rsidRDefault="00CE2917" w:rsidP="00B075D9">
      <w:pPr>
        <w:pStyle w:val="Numberedparagraph"/>
        <w:spacing w:line="276" w:lineRule="auto"/>
        <w:ind w:left="720" w:hanging="720"/>
      </w:pPr>
      <w:r>
        <w:lastRenderedPageBreak/>
        <w:t xml:space="preserve">Subclause </w:t>
      </w:r>
      <w:r w:rsidR="00B075D9">
        <w:t>1(</w:t>
      </w:r>
      <w:r w:rsidR="00534017">
        <w:t>2</w:t>
      </w:r>
      <w:r w:rsidR="00B075D9">
        <w:t xml:space="preserve">) </w:t>
      </w:r>
      <w:r w:rsidR="00C21EAC">
        <w:t xml:space="preserve">of the Schedule </w:t>
      </w:r>
      <w:r w:rsidR="00B075D9">
        <w:t>provides specific reporting subcategories for LPG in relation to wholesaling. LPG wholesales are to be reported as either automotive or non</w:t>
      </w:r>
      <w:r w:rsidR="004B254A">
        <w:noBreakHyphen/>
      </w:r>
      <w:r w:rsidR="00B075D9">
        <w:t xml:space="preserve">automotive in wholesale reports only. All </w:t>
      </w:r>
      <w:r w:rsidR="0066332B">
        <w:t xml:space="preserve">other reportable activities are to use the subcategories of propane, butane and a mixture of propane and butane. </w:t>
      </w:r>
    </w:p>
    <w:p w14:paraId="17C5C72B" w14:textId="3EA80C2C" w:rsidR="00C4056C" w:rsidRDefault="00C4056C" w:rsidP="00E822B2">
      <w:pPr>
        <w:pStyle w:val="Numberedparagraph"/>
        <w:spacing w:line="276" w:lineRule="auto"/>
        <w:ind w:left="720" w:hanging="720"/>
      </w:pPr>
      <w:r>
        <w:t>Sub</w:t>
      </w:r>
      <w:r w:rsidR="00CE2917">
        <w:t>clause</w:t>
      </w:r>
      <w:r>
        <w:t xml:space="preserve"> 1(</w:t>
      </w:r>
      <w:r w:rsidR="00534017">
        <w:t>3</w:t>
      </w:r>
      <w:r>
        <w:t xml:space="preserve">) provides explanations for the meaning of particular terminology in Schedule 1. </w:t>
      </w:r>
      <w:r w:rsidR="00CE2917">
        <w:t xml:space="preserve">The definitions of these terms and phrases contained in </w:t>
      </w:r>
      <w:r>
        <w:t xml:space="preserve">section 4 of the Rules </w:t>
      </w:r>
      <w:r w:rsidR="00CE2917">
        <w:t>cross-refers to these provisions.</w:t>
      </w:r>
    </w:p>
    <w:p w14:paraId="19767E1C" w14:textId="66BB9629" w:rsidR="00C4056C" w:rsidRDefault="00A9084C" w:rsidP="00F92AC0">
      <w:pPr>
        <w:pStyle w:val="Numberedparagraph"/>
        <w:numPr>
          <w:ilvl w:val="1"/>
          <w:numId w:val="7"/>
        </w:numPr>
        <w:spacing w:line="276" w:lineRule="auto"/>
      </w:pPr>
      <w:r>
        <w:t xml:space="preserve">The </w:t>
      </w:r>
      <w:r w:rsidR="00844956">
        <w:t>term</w:t>
      </w:r>
      <w:r>
        <w:t xml:space="preserve"> </w:t>
      </w:r>
      <w:r w:rsidR="00844956">
        <w:t>‘</w:t>
      </w:r>
      <w:r w:rsidR="004B254A">
        <w:t>international</w:t>
      </w:r>
      <w:r w:rsidR="00844956">
        <w:t>’</w:t>
      </w:r>
      <w:r w:rsidR="004B254A">
        <w:t xml:space="preserve"> </w:t>
      </w:r>
      <w:r>
        <w:t xml:space="preserve">when used in </w:t>
      </w:r>
      <w:r w:rsidR="00C4056C">
        <w:t xml:space="preserve">a </w:t>
      </w:r>
      <w:r>
        <w:t>subcategor</w:t>
      </w:r>
      <w:r w:rsidR="00C4056C">
        <w:t>y</w:t>
      </w:r>
      <w:r w:rsidR="00844956">
        <w:t xml:space="preserve">, </w:t>
      </w:r>
      <w:r w:rsidR="00C4056C">
        <w:t>is intended to cover</w:t>
      </w:r>
      <w:r>
        <w:t xml:space="preserve"> any covered product that </w:t>
      </w:r>
      <w:r w:rsidR="00C4056C">
        <w:t xml:space="preserve">has </w:t>
      </w:r>
      <w:r w:rsidR="007368CD">
        <w:t>been</w:t>
      </w:r>
      <w:r>
        <w:t xml:space="preserve"> supplied</w:t>
      </w:r>
      <w:r w:rsidR="00504EFC">
        <w:t xml:space="preserve"> </w:t>
      </w:r>
      <w:r w:rsidR="00C4056C">
        <w:t>or is intended to be supplied</w:t>
      </w:r>
      <w:r>
        <w:t xml:space="preserve"> to a </w:t>
      </w:r>
      <w:r w:rsidR="00B075D9">
        <w:t>vessel</w:t>
      </w:r>
      <w:r w:rsidR="008C3876">
        <w:t xml:space="preserve"> (ship or plane)</w:t>
      </w:r>
      <w:r w:rsidR="004B254A">
        <w:t xml:space="preserve"> departing Australia or </w:t>
      </w:r>
      <w:r w:rsidR="00504EFC">
        <w:t>any covered product supplied or intended to be supplied</w:t>
      </w:r>
      <w:r w:rsidR="00EB66A3">
        <w:t xml:space="preserve"> </w:t>
      </w:r>
      <w:r w:rsidR="004B254A">
        <w:t>for use outside Australia</w:t>
      </w:r>
      <w:r w:rsidR="00E822B2">
        <w:t xml:space="preserve">. </w:t>
      </w:r>
      <w:r w:rsidR="00EB66A3">
        <w:t xml:space="preserve">For example, jet fuel wholesaled to an aircraft departing </w:t>
      </w:r>
      <w:r w:rsidR="00504EFC">
        <w:t>Tullamarine</w:t>
      </w:r>
      <w:r w:rsidR="00EB66A3">
        <w:t xml:space="preserve"> Airport for New Zealand would be a covered product supplied to a vessel departing Australia.</w:t>
      </w:r>
    </w:p>
    <w:p w14:paraId="71D0C891" w14:textId="77777777" w:rsidR="00C4056C" w:rsidRDefault="00C4056C" w:rsidP="00F92AC0">
      <w:pPr>
        <w:pStyle w:val="Numberedparagraph"/>
        <w:numPr>
          <w:ilvl w:val="1"/>
          <w:numId w:val="7"/>
        </w:numPr>
        <w:spacing w:line="276" w:lineRule="auto"/>
      </w:pPr>
      <w:r>
        <w:t>The term ‘domestic’ is intended to cover all other circumstances.</w:t>
      </w:r>
    </w:p>
    <w:p w14:paraId="71AB5F0E" w14:textId="77777777" w:rsidR="00E822B2" w:rsidRDefault="00E822B2" w:rsidP="00C4056C">
      <w:pPr>
        <w:pStyle w:val="Numberedparagraph"/>
        <w:numPr>
          <w:ilvl w:val="0"/>
          <w:numId w:val="0"/>
        </w:numPr>
        <w:spacing w:line="276" w:lineRule="auto"/>
        <w:ind w:left="720"/>
      </w:pPr>
      <w:r>
        <w:t xml:space="preserve">This distinction is important to enable the impact of international aviation and shipping to be accounted for in </w:t>
      </w:r>
      <w:r w:rsidR="004B254A">
        <w:t xml:space="preserve">the </w:t>
      </w:r>
      <w:r w:rsidR="007C013B">
        <w:t xml:space="preserve">statistics and </w:t>
      </w:r>
      <w:r w:rsidR="004B254A">
        <w:t>can be</w:t>
      </w:r>
      <w:r w:rsidR="007C013B">
        <w:t xml:space="preserve"> relevant to determining Australia’s net import levels under IEA rules. </w:t>
      </w:r>
    </w:p>
    <w:p w14:paraId="566A8A01" w14:textId="77777777" w:rsidR="00EB66A3" w:rsidRDefault="00EB66A3" w:rsidP="00F92AC0">
      <w:pPr>
        <w:pStyle w:val="Numberedparagraph"/>
        <w:numPr>
          <w:ilvl w:val="1"/>
          <w:numId w:val="7"/>
        </w:numPr>
        <w:spacing w:line="276" w:lineRule="auto"/>
      </w:pPr>
      <w:r>
        <w:t>The phrase ‘high sulphur’ is intended to cover fuel oil which meets the IEA definition of high sulphur</w:t>
      </w:r>
      <w:r w:rsidR="00504EFC">
        <w:t>.</w:t>
      </w:r>
      <w:r>
        <w:t xml:space="preserve"> </w:t>
      </w:r>
      <w:r w:rsidR="00504EFC">
        <w:t>This</w:t>
      </w:r>
      <w:r>
        <w:t xml:space="preserve"> is fuel oil with a sulphur content of one per cent or higher. </w:t>
      </w:r>
    </w:p>
    <w:p w14:paraId="503D342F" w14:textId="77777777" w:rsidR="00EB66A3" w:rsidRDefault="00EB66A3" w:rsidP="00F92AC0">
      <w:pPr>
        <w:pStyle w:val="Numberedparagraph"/>
        <w:numPr>
          <w:ilvl w:val="1"/>
          <w:numId w:val="7"/>
        </w:numPr>
        <w:spacing w:line="276" w:lineRule="auto"/>
      </w:pPr>
      <w:r w:rsidRPr="00EB66A3">
        <w:t>The phrase ‘low sulphur’ is intended to cover any fuel oil with less than one per cent sulphur content.</w:t>
      </w:r>
    </w:p>
    <w:p w14:paraId="5707D786" w14:textId="590F71D1" w:rsidR="00E822B2" w:rsidRDefault="00E822B2" w:rsidP="00F92AC0">
      <w:pPr>
        <w:pStyle w:val="Numberedparagraph"/>
        <w:numPr>
          <w:ilvl w:val="0"/>
          <w:numId w:val="0"/>
        </w:numPr>
        <w:spacing w:line="276" w:lineRule="auto"/>
        <w:ind w:left="720"/>
      </w:pPr>
      <w:r>
        <w:t xml:space="preserve">The International Maritime Organisation recently revised international standards on sulphur content in ship bunker fuels and this distinction will help to track the impact and implementation of this requirement in Australia. </w:t>
      </w:r>
    </w:p>
    <w:p w14:paraId="627EB747" w14:textId="24E95779" w:rsidR="0066332B" w:rsidRPr="00E679B3" w:rsidRDefault="0066332B" w:rsidP="00790387">
      <w:pPr>
        <w:pStyle w:val="Numberedparagraph"/>
        <w:numPr>
          <w:ilvl w:val="0"/>
          <w:numId w:val="0"/>
        </w:numPr>
        <w:spacing w:line="276" w:lineRule="auto"/>
        <w:ind w:left="720"/>
      </w:pPr>
    </w:p>
    <w:sectPr w:rsidR="0066332B" w:rsidRPr="00E679B3" w:rsidSect="00FA4CF0">
      <w:headerReference w:type="even" r:id="rId16"/>
      <w:headerReference w:type="default" r:id="rId17"/>
      <w:footerReference w:type="default" r:id="rId18"/>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EE4AD" w14:textId="77777777" w:rsidR="00B91A39" w:rsidRDefault="00B91A39" w:rsidP="00A60185">
      <w:r>
        <w:separator/>
      </w:r>
    </w:p>
  </w:endnote>
  <w:endnote w:type="continuationSeparator" w:id="0">
    <w:p w14:paraId="2C2322A2" w14:textId="77777777" w:rsidR="00B91A39" w:rsidRDefault="00B91A39" w:rsidP="00A60185">
      <w:r>
        <w:continuationSeparator/>
      </w:r>
    </w:p>
  </w:endnote>
  <w:endnote w:type="continuationNotice" w:id="1">
    <w:p w14:paraId="6DC3849C" w14:textId="77777777" w:rsidR="00B91A39" w:rsidRDefault="00B91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17017"/>
      <w:docPartObj>
        <w:docPartGallery w:val="Page Numbers (Bottom of Page)"/>
        <w:docPartUnique/>
      </w:docPartObj>
    </w:sdtPr>
    <w:sdtEndPr>
      <w:rPr>
        <w:noProof/>
      </w:rPr>
    </w:sdtEndPr>
    <w:sdtContent>
      <w:p w14:paraId="61563B19" w14:textId="05327612" w:rsidR="006F042C" w:rsidRDefault="006F042C">
        <w:pPr>
          <w:pStyle w:val="Footer"/>
          <w:jc w:val="right"/>
        </w:pPr>
        <w:r>
          <w:fldChar w:fldCharType="begin"/>
        </w:r>
        <w:r>
          <w:instrText xml:space="preserve"> PAGE   \* MERGEFORMAT </w:instrText>
        </w:r>
        <w:r>
          <w:fldChar w:fldCharType="separate"/>
        </w:r>
        <w:r>
          <w:rPr>
            <w:noProof/>
          </w:rPr>
          <w:t>41</w:t>
        </w:r>
        <w:r>
          <w:rPr>
            <w:noProof/>
          </w:rPr>
          <w:fldChar w:fldCharType="end"/>
        </w:r>
      </w:p>
    </w:sdtContent>
  </w:sdt>
  <w:p w14:paraId="7B73D767" w14:textId="7C8BDD9B" w:rsidR="00B91A39" w:rsidRPr="000815DD" w:rsidRDefault="00B91A39">
    <w:pPr>
      <w:pStyle w:val="Foote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29A29" w14:textId="77777777" w:rsidR="00B91A39" w:rsidRDefault="00B91A39" w:rsidP="00A60185">
      <w:r>
        <w:separator/>
      </w:r>
    </w:p>
  </w:footnote>
  <w:footnote w:type="continuationSeparator" w:id="0">
    <w:p w14:paraId="5F97A89F" w14:textId="77777777" w:rsidR="00B91A39" w:rsidRDefault="00B91A39" w:rsidP="00A60185">
      <w:r>
        <w:continuationSeparator/>
      </w:r>
    </w:p>
  </w:footnote>
  <w:footnote w:type="continuationNotice" w:id="1">
    <w:p w14:paraId="4B670B42" w14:textId="77777777" w:rsidR="00B91A39" w:rsidRDefault="00B91A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85F5C" w14:textId="77777777" w:rsidR="00B91A39" w:rsidRDefault="00B91A39" w:rsidP="00E45765">
    <w:pPr>
      <w:pStyle w:val="Classification"/>
    </w:pPr>
    <w:r>
      <w:fldChar w:fldCharType="begin"/>
    </w:r>
    <w:r>
      <w:instrText xml:space="preserve"> DOCPROPERTY SecurityClassification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62580" w14:textId="77777777" w:rsidR="00B91A39" w:rsidRPr="0014787D" w:rsidRDefault="00B91A39" w:rsidP="0014787D">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0A145E"/>
    <w:lvl w:ilvl="0">
      <w:start w:val="1"/>
      <w:numFmt w:val="bullet"/>
      <w:lvlText w:val=""/>
      <w:lvlJc w:val="left"/>
      <w:pPr>
        <w:tabs>
          <w:tab w:val="num" w:pos="360"/>
        </w:tabs>
        <w:ind w:left="360" w:hanging="360"/>
      </w:pPr>
      <w:rPr>
        <w:rFonts w:ascii="Symbol" w:hAnsi="Symbol" w:hint="default"/>
      </w:rPr>
    </w:lvl>
  </w:abstractNum>
  <w:abstractNum w:abstractNumId="1">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nsid w:val="0C413A54"/>
    <w:multiLevelType w:val="hybridMultilevel"/>
    <w:tmpl w:val="43323142"/>
    <w:lvl w:ilvl="0" w:tplc="144C0AB6">
      <w:start w:val="1"/>
      <w:numFmt w:val="decimal"/>
      <w:pStyle w:val="Numberedparagraph"/>
      <w:lvlText w:val="%1."/>
      <w:lvlJc w:val="left"/>
      <w:pPr>
        <w:ind w:left="3196" w:hanging="360"/>
      </w:pPr>
      <w:rPr>
        <w:rFonts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DA81099"/>
    <w:multiLevelType w:val="multilevel"/>
    <w:tmpl w:val="F56A7D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1F745BC2"/>
    <w:multiLevelType w:val="multilevel"/>
    <w:tmpl w:val="E5E89F92"/>
    <w:numStyleLink w:val="BulletList"/>
  </w:abstractNum>
  <w:abstractNum w:abstractNumId="6">
    <w:nsid w:val="22012A5F"/>
    <w:multiLevelType w:val="hybridMultilevel"/>
    <w:tmpl w:val="EDD23E6E"/>
    <w:lvl w:ilvl="0" w:tplc="C6346AC4">
      <w:numFmt w:val="bullet"/>
      <w:lvlText w:val="·"/>
      <w:lvlJc w:val="left"/>
      <w:pPr>
        <w:ind w:left="615" w:hanging="615"/>
      </w:pPr>
      <w:rPr>
        <w:rFonts w:ascii="Times New Roman" w:eastAsia="Times New Roman" w:hAnsi="Times New Roman" w:cs="Times New Roman" w:hint="default"/>
      </w:rPr>
    </w:lvl>
    <w:lvl w:ilvl="1" w:tplc="62FA7954">
      <w:numFmt w:val="bullet"/>
      <w:lvlText w:val=""/>
      <w:lvlJc w:val="left"/>
      <w:pPr>
        <w:ind w:left="1125" w:hanging="405"/>
      </w:pPr>
      <w:rPr>
        <w:rFonts w:ascii="Symbol" w:eastAsia="Times New Roman" w:hAnsi="Symbol" w:cs="Times New Roman" w:hint="default"/>
        <w:sz w:val="19"/>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253532F"/>
    <w:multiLevelType w:val="hybridMultilevel"/>
    <w:tmpl w:val="0ABC2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1">
    <w:nsid w:val="65456429"/>
    <w:multiLevelType w:val="multilevel"/>
    <w:tmpl w:val="E898CC72"/>
    <w:numStyleLink w:val="KeyPoints"/>
  </w:abstractNum>
  <w:abstractNum w:abstractNumId="12">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3">
    <w:nsid w:val="7A35048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
  </w:num>
  <w:num w:numId="3">
    <w:abstractNumId w:val="9"/>
  </w:num>
  <w:num w:numId="4">
    <w:abstractNumId w:val="7"/>
  </w:num>
  <w:num w:numId="5">
    <w:abstractNumId w:val="11"/>
  </w:num>
  <w:num w:numId="6">
    <w:abstractNumId w:val="5"/>
    <w:lvlOverride w:ilvl="0">
      <w:lvl w:ilvl="0">
        <w:start w:val="1"/>
        <w:numFmt w:val="bullet"/>
        <w:pStyle w:val="ListBullet"/>
        <w:lvlText w:val=""/>
        <w:lvlJc w:val="left"/>
        <w:pPr>
          <w:ind w:left="369" w:hanging="369"/>
        </w:pPr>
        <w:rPr>
          <w:rFonts w:ascii="Symbol" w:hAnsi="Symbol" w:hint="default"/>
        </w:rPr>
      </w:lvl>
    </w:lvlOverride>
  </w:num>
  <w:num w:numId="7">
    <w:abstractNumId w:val="2"/>
  </w:num>
  <w:num w:numId="8">
    <w:abstractNumId w:val="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2"/>
    <w:lvlOverride w:ilvl="0">
      <w:startOverride w:val="1"/>
    </w:lvlOverride>
  </w:num>
  <w:num w:numId="1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8"/>
  </w:num>
  <w:num w:numId="25">
    <w:abstractNumId w:val="6"/>
  </w:num>
  <w:num w:numId="26">
    <w:abstractNumId w:val="2"/>
  </w:num>
  <w:num w:numId="27">
    <w:abstractNumId w:val="2"/>
  </w:num>
  <w:num w:numId="2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False"/>
  </w:docVars>
  <w:rsids>
    <w:rsidRoot w:val="00F3693B"/>
    <w:rsid w:val="0000032A"/>
    <w:rsid w:val="00004AEE"/>
    <w:rsid w:val="0000555C"/>
    <w:rsid w:val="00005CAA"/>
    <w:rsid w:val="00006577"/>
    <w:rsid w:val="000077C2"/>
    <w:rsid w:val="00010210"/>
    <w:rsid w:val="00011500"/>
    <w:rsid w:val="00012D66"/>
    <w:rsid w:val="00013B99"/>
    <w:rsid w:val="000147D3"/>
    <w:rsid w:val="000150DB"/>
    <w:rsid w:val="00015ADA"/>
    <w:rsid w:val="000162F0"/>
    <w:rsid w:val="00016BD4"/>
    <w:rsid w:val="00017B14"/>
    <w:rsid w:val="00020C99"/>
    <w:rsid w:val="00023C5F"/>
    <w:rsid w:val="0002431F"/>
    <w:rsid w:val="00025F43"/>
    <w:rsid w:val="0002707B"/>
    <w:rsid w:val="00027FC5"/>
    <w:rsid w:val="000307C2"/>
    <w:rsid w:val="00030972"/>
    <w:rsid w:val="00035FC7"/>
    <w:rsid w:val="00046CA5"/>
    <w:rsid w:val="000474F7"/>
    <w:rsid w:val="0005148E"/>
    <w:rsid w:val="00052837"/>
    <w:rsid w:val="0005590D"/>
    <w:rsid w:val="00061691"/>
    <w:rsid w:val="000624A3"/>
    <w:rsid w:val="00063236"/>
    <w:rsid w:val="000644E0"/>
    <w:rsid w:val="00065AD8"/>
    <w:rsid w:val="00065CD7"/>
    <w:rsid w:val="00066EC7"/>
    <w:rsid w:val="00072C5A"/>
    <w:rsid w:val="00073683"/>
    <w:rsid w:val="00074257"/>
    <w:rsid w:val="000759E5"/>
    <w:rsid w:val="00077427"/>
    <w:rsid w:val="00077E7E"/>
    <w:rsid w:val="000815DD"/>
    <w:rsid w:val="00084AC6"/>
    <w:rsid w:val="00090DA6"/>
    <w:rsid w:val="00091608"/>
    <w:rsid w:val="00091886"/>
    <w:rsid w:val="00091EFD"/>
    <w:rsid w:val="0009333C"/>
    <w:rsid w:val="0009704F"/>
    <w:rsid w:val="00097E3B"/>
    <w:rsid w:val="000A0F11"/>
    <w:rsid w:val="000A125A"/>
    <w:rsid w:val="000A35A6"/>
    <w:rsid w:val="000A4D4B"/>
    <w:rsid w:val="000A57CD"/>
    <w:rsid w:val="000A7768"/>
    <w:rsid w:val="000A7E1B"/>
    <w:rsid w:val="000B0B69"/>
    <w:rsid w:val="000B0E0B"/>
    <w:rsid w:val="000B3758"/>
    <w:rsid w:val="000B4DD6"/>
    <w:rsid w:val="000B7681"/>
    <w:rsid w:val="000B7B42"/>
    <w:rsid w:val="000B7CFC"/>
    <w:rsid w:val="000C02B7"/>
    <w:rsid w:val="000C0819"/>
    <w:rsid w:val="000C16AA"/>
    <w:rsid w:val="000C2CCB"/>
    <w:rsid w:val="000C3A47"/>
    <w:rsid w:val="000C3D95"/>
    <w:rsid w:val="000C5100"/>
    <w:rsid w:val="000C5342"/>
    <w:rsid w:val="000C706A"/>
    <w:rsid w:val="000C7F48"/>
    <w:rsid w:val="000D115A"/>
    <w:rsid w:val="000D2887"/>
    <w:rsid w:val="000D35E6"/>
    <w:rsid w:val="000D3AFF"/>
    <w:rsid w:val="000D3C53"/>
    <w:rsid w:val="000D6D63"/>
    <w:rsid w:val="000D6F85"/>
    <w:rsid w:val="000E0081"/>
    <w:rsid w:val="000E07CF"/>
    <w:rsid w:val="000E25AA"/>
    <w:rsid w:val="000E31C1"/>
    <w:rsid w:val="000E38EA"/>
    <w:rsid w:val="000E4F97"/>
    <w:rsid w:val="000F1E47"/>
    <w:rsid w:val="000F2CF2"/>
    <w:rsid w:val="000F4237"/>
    <w:rsid w:val="000F6274"/>
    <w:rsid w:val="00100BEF"/>
    <w:rsid w:val="00102411"/>
    <w:rsid w:val="0010332B"/>
    <w:rsid w:val="00107E75"/>
    <w:rsid w:val="00111326"/>
    <w:rsid w:val="00111933"/>
    <w:rsid w:val="00114352"/>
    <w:rsid w:val="0011498E"/>
    <w:rsid w:val="00116AA7"/>
    <w:rsid w:val="00117A45"/>
    <w:rsid w:val="001212A6"/>
    <w:rsid w:val="00121FDA"/>
    <w:rsid w:val="001224AE"/>
    <w:rsid w:val="00123411"/>
    <w:rsid w:val="00123EA5"/>
    <w:rsid w:val="00125105"/>
    <w:rsid w:val="0012521B"/>
    <w:rsid w:val="00125C13"/>
    <w:rsid w:val="00125DA9"/>
    <w:rsid w:val="00125E50"/>
    <w:rsid w:val="00126DF9"/>
    <w:rsid w:val="001318DE"/>
    <w:rsid w:val="00132566"/>
    <w:rsid w:val="00132BD4"/>
    <w:rsid w:val="001337D4"/>
    <w:rsid w:val="0013463D"/>
    <w:rsid w:val="00137B58"/>
    <w:rsid w:val="00140536"/>
    <w:rsid w:val="001411B9"/>
    <w:rsid w:val="00142B6E"/>
    <w:rsid w:val="00142FA4"/>
    <w:rsid w:val="00145E4F"/>
    <w:rsid w:val="0014737C"/>
    <w:rsid w:val="0014787D"/>
    <w:rsid w:val="00147C12"/>
    <w:rsid w:val="00151DCB"/>
    <w:rsid w:val="001527A1"/>
    <w:rsid w:val="001530DC"/>
    <w:rsid w:val="0015403E"/>
    <w:rsid w:val="00154989"/>
    <w:rsid w:val="00155A9F"/>
    <w:rsid w:val="00156BC3"/>
    <w:rsid w:val="00157A31"/>
    <w:rsid w:val="00160262"/>
    <w:rsid w:val="00163552"/>
    <w:rsid w:val="001635C4"/>
    <w:rsid w:val="00164C58"/>
    <w:rsid w:val="00166858"/>
    <w:rsid w:val="0016780A"/>
    <w:rsid w:val="00167F2A"/>
    <w:rsid w:val="001713FA"/>
    <w:rsid w:val="00171424"/>
    <w:rsid w:val="001733DA"/>
    <w:rsid w:val="00173EBF"/>
    <w:rsid w:val="001758A6"/>
    <w:rsid w:val="00175ED3"/>
    <w:rsid w:val="001771E2"/>
    <w:rsid w:val="00177C3E"/>
    <w:rsid w:val="00181030"/>
    <w:rsid w:val="001842A2"/>
    <w:rsid w:val="001845F0"/>
    <w:rsid w:val="001865C7"/>
    <w:rsid w:val="00186B0E"/>
    <w:rsid w:val="001870D8"/>
    <w:rsid w:val="00187BC1"/>
    <w:rsid w:val="00187CF1"/>
    <w:rsid w:val="00187FA8"/>
    <w:rsid w:val="00192F5E"/>
    <w:rsid w:val="0019591D"/>
    <w:rsid w:val="00197772"/>
    <w:rsid w:val="001A0A92"/>
    <w:rsid w:val="001A51C8"/>
    <w:rsid w:val="001A6665"/>
    <w:rsid w:val="001A68A3"/>
    <w:rsid w:val="001A6A18"/>
    <w:rsid w:val="001A76E1"/>
    <w:rsid w:val="001B18A9"/>
    <w:rsid w:val="001B46CF"/>
    <w:rsid w:val="001B4CA8"/>
    <w:rsid w:val="001B4D71"/>
    <w:rsid w:val="001B5EA1"/>
    <w:rsid w:val="001B6FC3"/>
    <w:rsid w:val="001C08BF"/>
    <w:rsid w:val="001C226D"/>
    <w:rsid w:val="001C31B9"/>
    <w:rsid w:val="001C4F3D"/>
    <w:rsid w:val="001C5006"/>
    <w:rsid w:val="001C5213"/>
    <w:rsid w:val="001C5C18"/>
    <w:rsid w:val="001C5D15"/>
    <w:rsid w:val="001C6135"/>
    <w:rsid w:val="001C64CF"/>
    <w:rsid w:val="001C6EFF"/>
    <w:rsid w:val="001C752C"/>
    <w:rsid w:val="001D09BB"/>
    <w:rsid w:val="001D0CDC"/>
    <w:rsid w:val="001D1D82"/>
    <w:rsid w:val="001D1F55"/>
    <w:rsid w:val="001D298C"/>
    <w:rsid w:val="001D2F0A"/>
    <w:rsid w:val="001D6AD4"/>
    <w:rsid w:val="001E1182"/>
    <w:rsid w:val="001E1A57"/>
    <w:rsid w:val="001E6FEF"/>
    <w:rsid w:val="001E747E"/>
    <w:rsid w:val="001F483E"/>
    <w:rsid w:val="001F7AD6"/>
    <w:rsid w:val="00201CB3"/>
    <w:rsid w:val="00202C90"/>
    <w:rsid w:val="0020558D"/>
    <w:rsid w:val="00205FFC"/>
    <w:rsid w:val="002063D3"/>
    <w:rsid w:val="00210BF3"/>
    <w:rsid w:val="00212B23"/>
    <w:rsid w:val="00213946"/>
    <w:rsid w:val="00213D32"/>
    <w:rsid w:val="00213DE8"/>
    <w:rsid w:val="00215155"/>
    <w:rsid w:val="0021543D"/>
    <w:rsid w:val="00215A5C"/>
    <w:rsid w:val="00216118"/>
    <w:rsid w:val="00217A51"/>
    <w:rsid w:val="002206A2"/>
    <w:rsid w:val="002209AB"/>
    <w:rsid w:val="00222AD1"/>
    <w:rsid w:val="00222E8D"/>
    <w:rsid w:val="002251E3"/>
    <w:rsid w:val="0022686C"/>
    <w:rsid w:val="00227A95"/>
    <w:rsid w:val="00230686"/>
    <w:rsid w:val="002316BD"/>
    <w:rsid w:val="002338D9"/>
    <w:rsid w:val="0023678E"/>
    <w:rsid w:val="00236DF4"/>
    <w:rsid w:val="002429FF"/>
    <w:rsid w:val="00245F7C"/>
    <w:rsid w:val="002473FC"/>
    <w:rsid w:val="00252E3C"/>
    <w:rsid w:val="00254950"/>
    <w:rsid w:val="00262198"/>
    <w:rsid w:val="00262D7F"/>
    <w:rsid w:val="00270788"/>
    <w:rsid w:val="00273E45"/>
    <w:rsid w:val="00275E42"/>
    <w:rsid w:val="002761B1"/>
    <w:rsid w:val="00280542"/>
    <w:rsid w:val="00283B24"/>
    <w:rsid w:val="002849A8"/>
    <w:rsid w:val="00285F1B"/>
    <w:rsid w:val="00285FBE"/>
    <w:rsid w:val="0028734F"/>
    <w:rsid w:val="00287EE0"/>
    <w:rsid w:val="00290860"/>
    <w:rsid w:val="00291362"/>
    <w:rsid w:val="0029141C"/>
    <w:rsid w:val="00292B81"/>
    <w:rsid w:val="00293FD8"/>
    <w:rsid w:val="002975E1"/>
    <w:rsid w:val="002A5BD4"/>
    <w:rsid w:val="002B03A4"/>
    <w:rsid w:val="002B052F"/>
    <w:rsid w:val="002B05C0"/>
    <w:rsid w:val="002B0715"/>
    <w:rsid w:val="002B18AE"/>
    <w:rsid w:val="002B497F"/>
    <w:rsid w:val="002B64AD"/>
    <w:rsid w:val="002C1C80"/>
    <w:rsid w:val="002C1C93"/>
    <w:rsid w:val="002C34D7"/>
    <w:rsid w:val="002C5066"/>
    <w:rsid w:val="002C5813"/>
    <w:rsid w:val="002D3164"/>
    <w:rsid w:val="002D4AAC"/>
    <w:rsid w:val="002D7723"/>
    <w:rsid w:val="002E0A26"/>
    <w:rsid w:val="002E113E"/>
    <w:rsid w:val="002E7073"/>
    <w:rsid w:val="002F045A"/>
    <w:rsid w:val="002F3571"/>
    <w:rsid w:val="002F3733"/>
    <w:rsid w:val="002F7309"/>
    <w:rsid w:val="0030039D"/>
    <w:rsid w:val="00300B8F"/>
    <w:rsid w:val="0030326F"/>
    <w:rsid w:val="00310701"/>
    <w:rsid w:val="00312A06"/>
    <w:rsid w:val="00312C0E"/>
    <w:rsid w:val="00315980"/>
    <w:rsid w:val="00316F7F"/>
    <w:rsid w:val="003218E8"/>
    <w:rsid w:val="00322FB6"/>
    <w:rsid w:val="003255CD"/>
    <w:rsid w:val="00325E34"/>
    <w:rsid w:val="00330DCE"/>
    <w:rsid w:val="00331917"/>
    <w:rsid w:val="00331E11"/>
    <w:rsid w:val="00334761"/>
    <w:rsid w:val="00335223"/>
    <w:rsid w:val="003377E3"/>
    <w:rsid w:val="00337EBC"/>
    <w:rsid w:val="00340D88"/>
    <w:rsid w:val="00341239"/>
    <w:rsid w:val="0034169D"/>
    <w:rsid w:val="00341DCD"/>
    <w:rsid w:val="00343F51"/>
    <w:rsid w:val="00344896"/>
    <w:rsid w:val="0034563E"/>
    <w:rsid w:val="00347057"/>
    <w:rsid w:val="003518D6"/>
    <w:rsid w:val="00352295"/>
    <w:rsid w:val="0035460C"/>
    <w:rsid w:val="00354D73"/>
    <w:rsid w:val="003556BD"/>
    <w:rsid w:val="00355CDA"/>
    <w:rsid w:val="00356942"/>
    <w:rsid w:val="00360886"/>
    <w:rsid w:val="00361BF7"/>
    <w:rsid w:val="00362C91"/>
    <w:rsid w:val="003643EE"/>
    <w:rsid w:val="00365147"/>
    <w:rsid w:val="0036551E"/>
    <w:rsid w:val="00367BAA"/>
    <w:rsid w:val="00367E39"/>
    <w:rsid w:val="0037016E"/>
    <w:rsid w:val="00370337"/>
    <w:rsid w:val="00372908"/>
    <w:rsid w:val="00373059"/>
    <w:rsid w:val="00373370"/>
    <w:rsid w:val="003742F1"/>
    <w:rsid w:val="00377959"/>
    <w:rsid w:val="00381CE9"/>
    <w:rsid w:val="0038291B"/>
    <w:rsid w:val="00383020"/>
    <w:rsid w:val="00383878"/>
    <w:rsid w:val="00383A46"/>
    <w:rsid w:val="0038588E"/>
    <w:rsid w:val="00387E4A"/>
    <w:rsid w:val="00390479"/>
    <w:rsid w:val="003941BD"/>
    <w:rsid w:val="00394D7E"/>
    <w:rsid w:val="00397058"/>
    <w:rsid w:val="003975FD"/>
    <w:rsid w:val="003A2BB3"/>
    <w:rsid w:val="003A3186"/>
    <w:rsid w:val="003A5BDE"/>
    <w:rsid w:val="003A6E0A"/>
    <w:rsid w:val="003B057D"/>
    <w:rsid w:val="003B60CC"/>
    <w:rsid w:val="003C0714"/>
    <w:rsid w:val="003C1A1E"/>
    <w:rsid w:val="003C1B25"/>
    <w:rsid w:val="003C2443"/>
    <w:rsid w:val="003C3074"/>
    <w:rsid w:val="003C5C46"/>
    <w:rsid w:val="003C5DA3"/>
    <w:rsid w:val="003C7B6E"/>
    <w:rsid w:val="003D1425"/>
    <w:rsid w:val="003D4BCD"/>
    <w:rsid w:val="003D6C2B"/>
    <w:rsid w:val="003D6D8A"/>
    <w:rsid w:val="003E01D8"/>
    <w:rsid w:val="003E1BA2"/>
    <w:rsid w:val="003E2100"/>
    <w:rsid w:val="003E4F7F"/>
    <w:rsid w:val="003F3864"/>
    <w:rsid w:val="003F6F5B"/>
    <w:rsid w:val="003F7063"/>
    <w:rsid w:val="00401048"/>
    <w:rsid w:val="00401911"/>
    <w:rsid w:val="0040342D"/>
    <w:rsid w:val="00406F50"/>
    <w:rsid w:val="0041192D"/>
    <w:rsid w:val="00413EE1"/>
    <w:rsid w:val="0042128E"/>
    <w:rsid w:val="00421A3C"/>
    <w:rsid w:val="00421A60"/>
    <w:rsid w:val="00424A6C"/>
    <w:rsid w:val="00426B97"/>
    <w:rsid w:val="00430C9F"/>
    <w:rsid w:val="00432134"/>
    <w:rsid w:val="00432B60"/>
    <w:rsid w:val="00432CFA"/>
    <w:rsid w:val="00433904"/>
    <w:rsid w:val="00433AB9"/>
    <w:rsid w:val="00435594"/>
    <w:rsid w:val="00440698"/>
    <w:rsid w:val="00442D9A"/>
    <w:rsid w:val="00443F42"/>
    <w:rsid w:val="00444359"/>
    <w:rsid w:val="00444710"/>
    <w:rsid w:val="00445BB3"/>
    <w:rsid w:val="00447B03"/>
    <w:rsid w:val="004504B2"/>
    <w:rsid w:val="00452DEB"/>
    <w:rsid w:val="004540E2"/>
    <w:rsid w:val="00454454"/>
    <w:rsid w:val="00455327"/>
    <w:rsid w:val="0045590B"/>
    <w:rsid w:val="004565B1"/>
    <w:rsid w:val="00460007"/>
    <w:rsid w:val="00466B27"/>
    <w:rsid w:val="00467924"/>
    <w:rsid w:val="00470EEC"/>
    <w:rsid w:val="004712A5"/>
    <w:rsid w:val="0047266F"/>
    <w:rsid w:val="00472FCC"/>
    <w:rsid w:val="004739E1"/>
    <w:rsid w:val="004756BB"/>
    <w:rsid w:val="00476501"/>
    <w:rsid w:val="00476D6B"/>
    <w:rsid w:val="00480C92"/>
    <w:rsid w:val="004913D6"/>
    <w:rsid w:val="00492C16"/>
    <w:rsid w:val="0049402E"/>
    <w:rsid w:val="0049444E"/>
    <w:rsid w:val="00496765"/>
    <w:rsid w:val="004A0678"/>
    <w:rsid w:val="004A4415"/>
    <w:rsid w:val="004A473E"/>
    <w:rsid w:val="004A48A3"/>
    <w:rsid w:val="004A49A3"/>
    <w:rsid w:val="004A4BC7"/>
    <w:rsid w:val="004A5093"/>
    <w:rsid w:val="004A6084"/>
    <w:rsid w:val="004A68D9"/>
    <w:rsid w:val="004A7E81"/>
    <w:rsid w:val="004B0D92"/>
    <w:rsid w:val="004B0EC0"/>
    <w:rsid w:val="004B254A"/>
    <w:rsid w:val="004B66F1"/>
    <w:rsid w:val="004B73E1"/>
    <w:rsid w:val="004C0DE9"/>
    <w:rsid w:val="004C3EA0"/>
    <w:rsid w:val="004C519E"/>
    <w:rsid w:val="004C599B"/>
    <w:rsid w:val="004C7C08"/>
    <w:rsid w:val="004D138F"/>
    <w:rsid w:val="004D5817"/>
    <w:rsid w:val="004E6441"/>
    <w:rsid w:val="004E78AF"/>
    <w:rsid w:val="004E7BE6"/>
    <w:rsid w:val="004F3001"/>
    <w:rsid w:val="004F3FE8"/>
    <w:rsid w:val="004F6169"/>
    <w:rsid w:val="004F7169"/>
    <w:rsid w:val="00500D66"/>
    <w:rsid w:val="0050320F"/>
    <w:rsid w:val="00504EFC"/>
    <w:rsid w:val="00511068"/>
    <w:rsid w:val="005139D4"/>
    <w:rsid w:val="00514C8E"/>
    <w:rsid w:val="0051585D"/>
    <w:rsid w:val="00515FA2"/>
    <w:rsid w:val="00530228"/>
    <w:rsid w:val="00531DBF"/>
    <w:rsid w:val="00532046"/>
    <w:rsid w:val="0053277F"/>
    <w:rsid w:val="00534017"/>
    <w:rsid w:val="005345B6"/>
    <w:rsid w:val="005352B5"/>
    <w:rsid w:val="00537002"/>
    <w:rsid w:val="0054058E"/>
    <w:rsid w:val="005415F8"/>
    <w:rsid w:val="0054231F"/>
    <w:rsid w:val="00545759"/>
    <w:rsid w:val="00545BE0"/>
    <w:rsid w:val="00546570"/>
    <w:rsid w:val="00546930"/>
    <w:rsid w:val="0054734C"/>
    <w:rsid w:val="0055100A"/>
    <w:rsid w:val="00553D79"/>
    <w:rsid w:val="005545F9"/>
    <w:rsid w:val="005546B8"/>
    <w:rsid w:val="00554C6A"/>
    <w:rsid w:val="00554D8A"/>
    <w:rsid w:val="00555436"/>
    <w:rsid w:val="005576FA"/>
    <w:rsid w:val="00557817"/>
    <w:rsid w:val="005578B3"/>
    <w:rsid w:val="00560353"/>
    <w:rsid w:val="00560ADF"/>
    <w:rsid w:val="00562E85"/>
    <w:rsid w:val="0056332F"/>
    <w:rsid w:val="00563B8A"/>
    <w:rsid w:val="00564A5F"/>
    <w:rsid w:val="00565ADB"/>
    <w:rsid w:val="00565EAF"/>
    <w:rsid w:val="00566E1A"/>
    <w:rsid w:val="005719B3"/>
    <w:rsid w:val="0057295E"/>
    <w:rsid w:val="00572C39"/>
    <w:rsid w:val="0057371C"/>
    <w:rsid w:val="00573EF5"/>
    <w:rsid w:val="00575194"/>
    <w:rsid w:val="00576A6C"/>
    <w:rsid w:val="00581C39"/>
    <w:rsid w:val="00582D11"/>
    <w:rsid w:val="00582EB2"/>
    <w:rsid w:val="0058467E"/>
    <w:rsid w:val="0058522D"/>
    <w:rsid w:val="00585E16"/>
    <w:rsid w:val="005866B8"/>
    <w:rsid w:val="005903B6"/>
    <w:rsid w:val="00593225"/>
    <w:rsid w:val="005956B6"/>
    <w:rsid w:val="00596551"/>
    <w:rsid w:val="005A022F"/>
    <w:rsid w:val="005A0247"/>
    <w:rsid w:val="005A126E"/>
    <w:rsid w:val="005A2914"/>
    <w:rsid w:val="005A2FA2"/>
    <w:rsid w:val="005A452F"/>
    <w:rsid w:val="005A456A"/>
    <w:rsid w:val="005A4E38"/>
    <w:rsid w:val="005B0F65"/>
    <w:rsid w:val="005B140D"/>
    <w:rsid w:val="005B14D7"/>
    <w:rsid w:val="005B375D"/>
    <w:rsid w:val="005B46A6"/>
    <w:rsid w:val="005B571F"/>
    <w:rsid w:val="005C0723"/>
    <w:rsid w:val="005C1FEA"/>
    <w:rsid w:val="005C24CB"/>
    <w:rsid w:val="005C3495"/>
    <w:rsid w:val="005C61BB"/>
    <w:rsid w:val="005C68E7"/>
    <w:rsid w:val="005D0DB1"/>
    <w:rsid w:val="005D1196"/>
    <w:rsid w:val="005D30F1"/>
    <w:rsid w:val="005E02B8"/>
    <w:rsid w:val="005E11A5"/>
    <w:rsid w:val="005E3DFC"/>
    <w:rsid w:val="005E4DEE"/>
    <w:rsid w:val="005E5942"/>
    <w:rsid w:val="005E60AF"/>
    <w:rsid w:val="005F1DEA"/>
    <w:rsid w:val="005F662B"/>
    <w:rsid w:val="00604417"/>
    <w:rsid w:val="00607FC9"/>
    <w:rsid w:val="00610556"/>
    <w:rsid w:val="00611995"/>
    <w:rsid w:val="0061247B"/>
    <w:rsid w:val="00613604"/>
    <w:rsid w:val="00613FEA"/>
    <w:rsid w:val="00622654"/>
    <w:rsid w:val="00622FE1"/>
    <w:rsid w:val="0062345F"/>
    <w:rsid w:val="0062516A"/>
    <w:rsid w:val="0062521C"/>
    <w:rsid w:val="006256CD"/>
    <w:rsid w:val="00625CD2"/>
    <w:rsid w:val="00625D42"/>
    <w:rsid w:val="00627E9B"/>
    <w:rsid w:val="00630A2B"/>
    <w:rsid w:val="00632DC7"/>
    <w:rsid w:val="00633516"/>
    <w:rsid w:val="006350B7"/>
    <w:rsid w:val="006357FB"/>
    <w:rsid w:val="00635A0B"/>
    <w:rsid w:val="006360AA"/>
    <w:rsid w:val="006406FC"/>
    <w:rsid w:val="00640E57"/>
    <w:rsid w:val="0064182D"/>
    <w:rsid w:val="0064261F"/>
    <w:rsid w:val="0064275B"/>
    <w:rsid w:val="006435F4"/>
    <w:rsid w:val="00644D29"/>
    <w:rsid w:val="00645447"/>
    <w:rsid w:val="00646122"/>
    <w:rsid w:val="006465E3"/>
    <w:rsid w:val="00650FB0"/>
    <w:rsid w:val="00653E16"/>
    <w:rsid w:val="00657220"/>
    <w:rsid w:val="00657362"/>
    <w:rsid w:val="00660B89"/>
    <w:rsid w:val="0066104B"/>
    <w:rsid w:val="00662BF6"/>
    <w:rsid w:val="0066332B"/>
    <w:rsid w:val="006655EE"/>
    <w:rsid w:val="00667315"/>
    <w:rsid w:val="00667558"/>
    <w:rsid w:val="00667C10"/>
    <w:rsid w:val="00667EF4"/>
    <w:rsid w:val="006749F6"/>
    <w:rsid w:val="00676DA6"/>
    <w:rsid w:val="00676FCA"/>
    <w:rsid w:val="00677177"/>
    <w:rsid w:val="006809D4"/>
    <w:rsid w:val="00683182"/>
    <w:rsid w:val="00683292"/>
    <w:rsid w:val="0068612E"/>
    <w:rsid w:val="006870B6"/>
    <w:rsid w:val="00687C92"/>
    <w:rsid w:val="00691631"/>
    <w:rsid w:val="006929DE"/>
    <w:rsid w:val="00693C8C"/>
    <w:rsid w:val="00694C00"/>
    <w:rsid w:val="0069534E"/>
    <w:rsid w:val="0069669C"/>
    <w:rsid w:val="006A1200"/>
    <w:rsid w:val="006A18FE"/>
    <w:rsid w:val="006A1BA0"/>
    <w:rsid w:val="006A37E8"/>
    <w:rsid w:val="006A4F4E"/>
    <w:rsid w:val="006A57C5"/>
    <w:rsid w:val="006A6099"/>
    <w:rsid w:val="006A6C23"/>
    <w:rsid w:val="006B14DB"/>
    <w:rsid w:val="006B1810"/>
    <w:rsid w:val="006B21C4"/>
    <w:rsid w:val="006B29F3"/>
    <w:rsid w:val="006B3903"/>
    <w:rsid w:val="006B5C3A"/>
    <w:rsid w:val="006B66B0"/>
    <w:rsid w:val="006C0F7F"/>
    <w:rsid w:val="006C435C"/>
    <w:rsid w:val="006C4A1A"/>
    <w:rsid w:val="006C699B"/>
    <w:rsid w:val="006C71E2"/>
    <w:rsid w:val="006C7E20"/>
    <w:rsid w:val="006D0393"/>
    <w:rsid w:val="006D0486"/>
    <w:rsid w:val="006D097D"/>
    <w:rsid w:val="006D1A83"/>
    <w:rsid w:val="006D271F"/>
    <w:rsid w:val="006D41C0"/>
    <w:rsid w:val="006D4269"/>
    <w:rsid w:val="006E0C86"/>
    <w:rsid w:val="006E145A"/>
    <w:rsid w:val="006E1A8B"/>
    <w:rsid w:val="006E1CFE"/>
    <w:rsid w:val="006E6550"/>
    <w:rsid w:val="006E6834"/>
    <w:rsid w:val="006F028B"/>
    <w:rsid w:val="006F042C"/>
    <w:rsid w:val="006F10C4"/>
    <w:rsid w:val="006F2FD5"/>
    <w:rsid w:val="006F3689"/>
    <w:rsid w:val="006F3D7F"/>
    <w:rsid w:val="006F40E9"/>
    <w:rsid w:val="006F522E"/>
    <w:rsid w:val="006F5603"/>
    <w:rsid w:val="006F5E8D"/>
    <w:rsid w:val="006F6B3A"/>
    <w:rsid w:val="006F7B87"/>
    <w:rsid w:val="007003A6"/>
    <w:rsid w:val="0070132C"/>
    <w:rsid w:val="00701400"/>
    <w:rsid w:val="00701E74"/>
    <w:rsid w:val="00702F83"/>
    <w:rsid w:val="007037CF"/>
    <w:rsid w:val="007037DF"/>
    <w:rsid w:val="00703FE8"/>
    <w:rsid w:val="00714D31"/>
    <w:rsid w:val="00715B1A"/>
    <w:rsid w:val="007167C0"/>
    <w:rsid w:val="00716990"/>
    <w:rsid w:val="00720481"/>
    <w:rsid w:val="00723100"/>
    <w:rsid w:val="00723CA1"/>
    <w:rsid w:val="007248E5"/>
    <w:rsid w:val="00733193"/>
    <w:rsid w:val="00733765"/>
    <w:rsid w:val="007356FE"/>
    <w:rsid w:val="00735AEC"/>
    <w:rsid w:val="00735BDA"/>
    <w:rsid w:val="007368CD"/>
    <w:rsid w:val="0073765D"/>
    <w:rsid w:val="0073775A"/>
    <w:rsid w:val="00742CC6"/>
    <w:rsid w:val="00744DDA"/>
    <w:rsid w:val="00745E03"/>
    <w:rsid w:val="00750C34"/>
    <w:rsid w:val="00753C0F"/>
    <w:rsid w:val="007557E0"/>
    <w:rsid w:val="0075732A"/>
    <w:rsid w:val="007600F8"/>
    <w:rsid w:val="00760262"/>
    <w:rsid w:val="0076050A"/>
    <w:rsid w:val="0076310C"/>
    <w:rsid w:val="007649D6"/>
    <w:rsid w:val="00765337"/>
    <w:rsid w:val="00767016"/>
    <w:rsid w:val="0076744F"/>
    <w:rsid w:val="00767BCE"/>
    <w:rsid w:val="00767EFC"/>
    <w:rsid w:val="007707DE"/>
    <w:rsid w:val="00770956"/>
    <w:rsid w:val="00770B5D"/>
    <w:rsid w:val="0077168E"/>
    <w:rsid w:val="007752F1"/>
    <w:rsid w:val="00776768"/>
    <w:rsid w:val="0077783D"/>
    <w:rsid w:val="007809DC"/>
    <w:rsid w:val="0078187A"/>
    <w:rsid w:val="007838C7"/>
    <w:rsid w:val="0078486B"/>
    <w:rsid w:val="0078533D"/>
    <w:rsid w:val="007854CD"/>
    <w:rsid w:val="007872AF"/>
    <w:rsid w:val="00790387"/>
    <w:rsid w:val="00790EE1"/>
    <w:rsid w:val="00794ED8"/>
    <w:rsid w:val="0079661C"/>
    <w:rsid w:val="00797BB5"/>
    <w:rsid w:val="007A02A5"/>
    <w:rsid w:val="007A2573"/>
    <w:rsid w:val="007A4B47"/>
    <w:rsid w:val="007A4C4A"/>
    <w:rsid w:val="007A4E30"/>
    <w:rsid w:val="007A655F"/>
    <w:rsid w:val="007A7239"/>
    <w:rsid w:val="007B106C"/>
    <w:rsid w:val="007B1A4E"/>
    <w:rsid w:val="007B3D05"/>
    <w:rsid w:val="007B4202"/>
    <w:rsid w:val="007B5503"/>
    <w:rsid w:val="007B5854"/>
    <w:rsid w:val="007B6CFA"/>
    <w:rsid w:val="007C013B"/>
    <w:rsid w:val="007C06CB"/>
    <w:rsid w:val="007C179C"/>
    <w:rsid w:val="007C6BB3"/>
    <w:rsid w:val="007D0A6D"/>
    <w:rsid w:val="007D14B4"/>
    <w:rsid w:val="007D3AD7"/>
    <w:rsid w:val="007D6D39"/>
    <w:rsid w:val="007D6F67"/>
    <w:rsid w:val="007E096C"/>
    <w:rsid w:val="007E1247"/>
    <w:rsid w:val="007E24F6"/>
    <w:rsid w:val="007E3684"/>
    <w:rsid w:val="007E434B"/>
    <w:rsid w:val="007E5270"/>
    <w:rsid w:val="007F5FF1"/>
    <w:rsid w:val="007F6C66"/>
    <w:rsid w:val="007F7523"/>
    <w:rsid w:val="007F767E"/>
    <w:rsid w:val="00800F64"/>
    <w:rsid w:val="00801050"/>
    <w:rsid w:val="00802F0B"/>
    <w:rsid w:val="00803332"/>
    <w:rsid w:val="0081089B"/>
    <w:rsid w:val="00810A67"/>
    <w:rsid w:val="00811340"/>
    <w:rsid w:val="00814C80"/>
    <w:rsid w:val="00814D78"/>
    <w:rsid w:val="00815FF5"/>
    <w:rsid w:val="00816430"/>
    <w:rsid w:val="00820327"/>
    <w:rsid w:val="008224BE"/>
    <w:rsid w:val="00822863"/>
    <w:rsid w:val="00826D35"/>
    <w:rsid w:val="008271B3"/>
    <w:rsid w:val="00830B05"/>
    <w:rsid w:val="00831637"/>
    <w:rsid w:val="00831694"/>
    <w:rsid w:val="00831D14"/>
    <w:rsid w:val="0083226B"/>
    <w:rsid w:val="00833584"/>
    <w:rsid w:val="0083393B"/>
    <w:rsid w:val="00833CF7"/>
    <w:rsid w:val="008349C2"/>
    <w:rsid w:val="00834CDE"/>
    <w:rsid w:val="008374D0"/>
    <w:rsid w:val="00842464"/>
    <w:rsid w:val="00843226"/>
    <w:rsid w:val="00844956"/>
    <w:rsid w:val="00845601"/>
    <w:rsid w:val="00847E30"/>
    <w:rsid w:val="00853767"/>
    <w:rsid w:val="00854D76"/>
    <w:rsid w:val="00855C5C"/>
    <w:rsid w:val="008569A6"/>
    <w:rsid w:val="00857ED9"/>
    <w:rsid w:val="008627A6"/>
    <w:rsid w:val="008653E1"/>
    <w:rsid w:val="008657BD"/>
    <w:rsid w:val="00866FDF"/>
    <w:rsid w:val="008671E9"/>
    <w:rsid w:val="00871C3E"/>
    <w:rsid w:val="0087435C"/>
    <w:rsid w:val="008757E9"/>
    <w:rsid w:val="00877A93"/>
    <w:rsid w:val="0088150C"/>
    <w:rsid w:val="0088213A"/>
    <w:rsid w:val="008836C2"/>
    <w:rsid w:val="00883D5A"/>
    <w:rsid w:val="00885748"/>
    <w:rsid w:val="00886409"/>
    <w:rsid w:val="00887BDF"/>
    <w:rsid w:val="0089062C"/>
    <w:rsid w:val="00890B3A"/>
    <w:rsid w:val="00892551"/>
    <w:rsid w:val="00895B91"/>
    <w:rsid w:val="00897BD8"/>
    <w:rsid w:val="008A2621"/>
    <w:rsid w:val="008A2F68"/>
    <w:rsid w:val="008A3C96"/>
    <w:rsid w:val="008A406B"/>
    <w:rsid w:val="008A53BC"/>
    <w:rsid w:val="008B4019"/>
    <w:rsid w:val="008B510F"/>
    <w:rsid w:val="008B65C9"/>
    <w:rsid w:val="008B7279"/>
    <w:rsid w:val="008C2D4A"/>
    <w:rsid w:val="008C3876"/>
    <w:rsid w:val="008C6420"/>
    <w:rsid w:val="008C6E80"/>
    <w:rsid w:val="008D116C"/>
    <w:rsid w:val="008D3057"/>
    <w:rsid w:val="008D34BF"/>
    <w:rsid w:val="008D3900"/>
    <w:rsid w:val="008D3DBC"/>
    <w:rsid w:val="008D4243"/>
    <w:rsid w:val="008D4D37"/>
    <w:rsid w:val="008D6E1D"/>
    <w:rsid w:val="008D7035"/>
    <w:rsid w:val="008E144C"/>
    <w:rsid w:val="008E4B07"/>
    <w:rsid w:val="008E4B74"/>
    <w:rsid w:val="008E6AF5"/>
    <w:rsid w:val="008F1C7B"/>
    <w:rsid w:val="008F31FF"/>
    <w:rsid w:val="008F39B4"/>
    <w:rsid w:val="008F4162"/>
    <w:rsid w:val="008F510F"/>
    <w:rsid w:val="008F6C8B"/>
    <w:rsid w:val="00900F90"/>
    <w:rsid w:val="009021B5"/>
    <w:rsid w:val="00903E02"/>
    <w:rsid w:val="0090649E"/>
    <w:rsid w:val="00910B21"/>
    <w:rsid w:val="00912DCB"/>
    <w:rsid w:val="00913175"/>
    <w:rsid w:val="00916780"/>
    <w:rsid w:val="00916EDB"/>
    <w:rsid w:val="00917279"/>
    <w:rsid w:val="009178D8"/>
    <w:rsid w:val="00920861"/>
    <w:rsid w:val="00922724"/>
    <w:rsid w:val="00922B13"/>
    <w:rsid w:val="0092316B"/>
    <w:rsid w:val="009242EF"/>
    <w:rsid w:val="00925903"/>
    <w:rsid w:val="00930556"/>
    <w:rsid w:val="00930C91"/>
    <w:rsid w:val="00931D21"/>
    <w:rsid w:val="00932291"/>
    <w:rsid w:val="00932402"/>
    <w:rsid w:val="00932861"/>
    <w:rsid w:val="00932936"/>
    <w:rsid w:val="00933C3C"/>
    <w:rsid w:val="0093408E"/>
    <w:rsid w:val="00934AF9"/>
    <w:rsid w:val="00941363"/>
    <w:rsid w:val="009455FC"/>
    <w:rsid w:val="0094564C"/>
    <w:rsid w:val="0094620E"/>
    <w:rsid w:val="00947DA9"/>
    <w:rsid w:val="00952DDF"/>
    <w:rsid w:val="0095385C"/>
    <w:rsid w:val="00954CFA"/>
    <w:rsid w:val="00957170"/>
    <w:rsid w:val="00960B4D"/>
    <w:rsid w:val="009610A3"/>
    <w:rsid w:val="009611D9"/>
    <w:rsid w:val="00962ECF"/>
    <w:rsid w:val="00963B6A"/>
    <w:rsid w:val="009640E4"/>
    <w:rsid w:val="00970950"/>
    <w:rsid w:val="00971529"/>
    <w:rsid w:val="00972C9A"/>
    <w:rsid w:val="009734EC"/>
    <w:rsid w:val="009746B6"/>
    <w:rsid w:val="0097778B"/>
    <w:rsid w:val="00977B3C"/>
    <w:rsid w:val="009806D8"/>
    <w:rsid w:val="00980773"/>
    <w:rsid w:val="009812D4"/>
    <w:rsid w:val="009844A5"/>
    <w:rsid w:val="00984678"/>
    <w:rsid w:val="009870C8"/>
    <w:rsid w:val="009871B9"/>
    <w:rsid w:val="00991551"/>
    <w:rsid w:val="009920D8"/>
    <w:rsid w:val="00993650"/>
    <w:rsid w:val="009952F5"/>
    <w:rsid w:val="009A0771"/>
    <w:rsid w:val="009A5DA9"/>
    <w:rsid w:val="009B1279"/>
    <w:rsid w:val="009B38BE"/>
    <w:rsid w:val="009B5797"/>
    <w:rsid w:val="009B58EB"/>
    <w:rsid w:val="009B7CCC"/>
    <w:rsid w:val="009B7DE5"/>
    <w:rsid w:val="009C3D0F"/>
    <w:rsid w:val="009C3F75"/>
    <w:rsid w:val="009C4A16"/>
    <w:rsid w:val="009C5771"/>
    <w:rsid w:val="009D17D2"/>
    <w:rsid w:val="009D262F"/>
    <w:rsid w:val="009D6274"/>
    <w:rsid w:val="009D7050"/>
    <w:rsid w:val="009D78C0"/>
    <w:rsid w:val="009D7FA3"/>
    <w:rsid w:val="009E12D7"/>
    <w:rsid w:val="009E1B19"/>
    <w:rsid w:val="009E1CE1"/>
    <w:rsid w:val="009E7846"/>
    <w:rsid w:val="009F098E"/>
    <w:rsid w:val="009F2D38"/>
    <w:rsid w:val="009F345E"/>
    <w:rsid w:val="009F35E2"/>
    <w:rsid w:val="009F3CB1"/>
    <w:rsid w:val="009F4CD8"/>
    <w:rsid w:val="009F65F9"/>
    <w:rsid w:val="009F68BA"/>
    <w:rsid w:val="00A00587"/>
    <w:rsid w:val="00A0074E"/>
    <w:rsid w:val="00A00EC9"/>
    <w:rsid w:val="00A02E9A"/>
    <w:rsid w:val="00A06277"/>
    <w:rsid w:val="00A079DC"/>
    <w:rsid w:val="00A111C2"/>
    <w:rsid w:val="00A116EF"/>
    <w:rsid w:val="00A1200E"/>
    <w:rsid w:val="00A128A4"/>
    <w:rsid w:val="00A1436D"/>
    <w:rsid w:val="00A1521E"/>
    <w:rsid w:val="00A1625E"/>
    <w:rsid w:val="00A233C7"/>
    <w:rsid w:val="00A25D30"/>
    <w:rsid w:val="00A277BF"/>
    <w:rsid w:val="00A2782E"/>
    <w:rsid w:val="00A3316C"/>
    <w:rsid w:val="00A338E7"/>
    <w:rsid w:val="00A35CAA"/>
    <w:rsid w:val="00A36E7F"/>
    <w:rsid w:val="00A41554"/>
    <w:rsid w:val="00A41E65"/>
    <w:rsid w:val="00A43E0A"/>
    <w:rsid w:val="00A4411F"/>
    <w:rsid w:val="00A446CB"/>
    <w:rsid w:val="00A44BE1"/>
    <w:rsid w:val="00A44DAC"/>
    <w:rsid w:val="00A45224"/>
    <w:rsid w:val="00A45472"/>
    <w:rsid w:val="00A46B8E"/>
    <w:rsid w:val="00A46C54"/>
    <w:rsid w:val="00A51774"/>
    <w:rsid w:val="00A51A92"/>
    <w:rsid w:val="00A530C7"/>
    <w:rsid w:val="00A55F5B"/>
    <w:rsid w:val="00A5798B"/>
    <w:rsid w:val="00A60185"/>
    <w:rsid w:val="00A65CDB"/>
    <w:rsid w:val="00A661EA"/>
    <w:rsid w:val="00A70AF6"/>
    <w:rsid w:val="00A73C9E"/>
    <w:rsid w:val="00A75CE0"/>
    <w:rsid w:val="00A776E1"/>
    <w:rsid w:val="00A80DC5"/>
    <w:rsid w:val="00A81500"/>
    <w:rsid w:val="00A820C6"/>
    <w:rsid w:val="00A83019"/>
    <w:rsid w:val="00A830E5"/>
    <w:rsid w:val="00A84E87"/>
    <w:rsid w:val="00A85E9F"/>
    <w:rsid w:val="00A87135"/>
    <w:rsid w:val="00A9084C"/>
    <w:rsid w:val="00A92E62"/>
    <w:rsid w:val="00A93280"/>
    <w:rsid w:val="00A951EA"/>
    <w:rsid w:val="00A95915"/>
    <w:rsid w:val="00A964B5"/>
    <w:rsid w:val="00AA12FB"/>
    <w:rsid w:val="00AA1E41"/>
    <w:rsid w:val="00AA2548"/>
    <w:rsid w:val="00AA304D"/>
    <w:rsid w:val="00AA4A56"/>
    <w:rsid w:val="00AA58C4"/>
    <w:rsid w:val="00AA5B0D"/>
    <w:rsid w:val="00AA6A06"/>
    <w:rsid w:val="00AA7003"/>
    <w:rsid w:val="00AB083F"/>
    <w:rsid w:val="00AB11C8"/>
    <w:rsid w:val="00AB15DC"/>
    <w:rsid w:val="00AB1A5D"/>
    <w:rsid w:val="00AB5EA9"/>
    <w:rsid w:val="00AC08A8"/>
    <w:rsid w:val="00AC09E9"/>
    <w:rsid w:val="00AC1A28"/>
    <w:rsid w:val="00AC1D22"/>
    <w:rsid w:val="00AC4A4A"/>
    <w:rsid w:val="00AC71D3"/>
    <w:rsid w:val="00AD160B"/>
    <w:rsid w:val="00AD3A23"/>
    <w:rsid w:val="00AD493B"/>
    <w:rsid w:val="00AD4D4B"/>
    <w:rsid w:val="00AD53C2"/>
    <w:rsid w:val="00AD56C8"/>
    <w:rsid w:val="00AD58F2"/>
    <w:rsid w:val="00AD5F43"/>
    <w:rsid w:val="00AD7BDE"/>
    <w:rsid w:val="00AE16E8"/>
    <w:rsid w:val="00AE27CB"/>
    <w:rsid w:val="00AE43D0"/>
    <w:rsid w:val="00AE4506"/>
    <w:rsid w:val="00AF1C63"/>
    <w:rsid w:val="00AF57DD"/>
    <w:rsid w:val="00B04B52"/>
    <w:rsid w:val="00B0512A"/>
    <w:rsid w:val="00B0529F"/>
    <w:rsid w:val="00B075D9"/>
    <w:rsid w:val="00B10A19"/>
    <w:rsid w:val="00B118D4"/>
    <w:rsid w:val="00B11D38"/>
    <w:rsid w:val="00B1418B"/>
    <w:rsid w:val="00B16731"/>
    <w:rsid w:val="00B20F58"/>
    <w:rsid w:val="00B21195"/>
    <w:rsid w:val="00B21CC2"/>
    <w:rsid w:val="00B220B5"/>
    <w:rsid w:val="00B23271"/>
    <w:rsid w:val="00B24B22"/>
    <w:rsid w:val="00B25310"/>
    <w:rsid w:val="00B258F8"/>
    <w:rsid w:val="00B26D06"/>
    <w:rsid w:val="00B30394"/>
    <w:rsid w:val="00B3190C"/>
    <w:rsid w:val="00B32F8F"/>
    <w:rsid w:val="00B3492A"/>
    <w:rsid w:val="00B355A6"/>
    <w:rsid w:val="00B37076"/>
    <w:rsid w:val="00B375FD"/>
    <w:rsid w:val="00B471C6"/>
    <w:rsid w:val="00B54346"/>
    <w:rsid w:val="00B54510"/>
    <w:rsid w:val="00B5496B"/>
    <w:rsid w:val="00B54DE9"/>
    <w:rsid w:val="00B553EC"/>
    <w:rsid w:val="00B55E3F"/>
    <w:rsid w:val="00B5717D"/>
    <w:rsid w:val="00B6034E"/>
    <w:rsid w:val="00B61207"/>
    <w:rsid w:val="00B61B53"/>
    <w:rsid w:val="00B63C1E"/>
    <w:rsid w:val="00B65B01"/>
    <w:rsid w:val="00B668F2"/>
    <w:rsid w:val="00B67262"/>
    <w:rsid w:val="00B6735C"/>
    <w:rsid w:val="00B7157E"/>
    <w:rsid w:val="00B7254E"/>
    <w:rsid w:val="00B72A11"/>
    <w:rsid w:val="00B77B5E"/>
    <w:rsid w:val="00B85951"/>
    <w:rsid w:val="00B860C2"/>
    <w:rsid w:val="00B87572"/>
    <w:rsid w:val="00B914C2"/>
    <w:rsid w:val="00B91A39"/>
    <w:rsid w:val="00B93DD0"/>
    <w:rsid w:val="00B94FA0"/>
    <w:rsid w:val="00B96273"/>
    <w:rsid w:val="00B97732"/>
    <w:rsid w:val="00BA610E"/>
    <w:rsid w:val="00BA622B"/>
    <w:rsid w:val="00BA65A8"/>
    <w:rsid w:val="00BA6D19"/>
    <w:rsid w:val="00BA7461"/>
    <w:rsid w:val="00BA7DA9"/>
    <w:rsid w:val="00BB06E4"/>
    <w:rsid w:val="00BB332B"/>
    <w:rsid w:val="00BB7EA9"/>
    <w:rsid w:val="00BC0711"/>
    <w:rsid w:val="00BC0BBE"/>
    <w:rsid w:val="00BC190C"/>
    <w:rsid w:val="00BC28AA"/>
    <w:rsid w:val="00BC2B49"/>
    <w:rsid w:val="00BC4215"/>
    <w:rsid w:val="00BC47DF"/>
    <w:rsid w:val="00BC7198"/>
    <w:rsid w:val="00BD1A6F"/>
    <w:rsid w:val="00BD4C3E"/>
    <w:rsid w:val="00BE3976"/>
    <w:rsid w:val="00BE3D56"/>
    <w:rsid w:val="00BE46FC"/>
    <w:rsid w:val="00BE5F6A"/>
    <w:rsid w:val="00BE6D3C"/>
    <w:rsid w:val="00BE7852"/>
    <w:rsid w:val="00BF33CD"/>
    <w:rsid w:val="00BF56A7"/>
    <w:rsid w:val="00BF7206"/>
    <w:rsid w:val="00BF7CEE"/>
    <w:rsid w:val="00C03139"/>
    <w:rsid w:val="00C0333B"/>
    <w:rsid w:val="00C03880"/>
    <w:rsid w:val="00C07507"/>
    <w:rsid w:val="00C119C4"/>
    <w:rsid w:val="00C12C7B"/>
    <w:rsid w:val="00C12F3B"/>
    <w:rsid w:val="00C133FC"/>
    <w:rsid w:val="00C135CF"/>
    <w:rsid w:val="00C13896"/>
    <w:rsid w:val="00C165EF"/>
    <w:rsid w:val="00C1680B"/>
    <w:rsid w:val="00C16DFD"/>
    <w:rsid w:val="00C21EAC"/>
    <w:rsid w:val="00C2622B"/>
    <w:rsid w:val="00C2683F"/>
    <w:rsid w:val="00C3184D"/>
    <w:rsid w:val="00C35616"/>
    <w:rsid w:val="00C3783A"/>
    <w:rsid w:val="00C4056C"/>
    <w:rsid w:val="00C41FDF"/>
    <w:rsid w:val="00C427F8"/>
    <w:rsid w:val="00C43B5F"/>
    <w:rsid w:val="00C44087"/>
    <w:rsid w:val="00C441BA"/>
    <w:rsid w:val="00C46A5F"/>
    <w:rsid w:val="00C4714E"/>
    <w:rsid w:val="00C5102D"/>
    <w:rsid w:val="00C51A3E"/>
    <w:rsid w:val="00C51CCA"/>
    <w:rsid w:val="00C5504F"/>
    <w:rsid w:val="00C55E8D"/>
    <w:rsid w:val="00C5637E"/>
    <w:rsid w:val="00C567A6"/>
    <w:rsid w:val="00C57B55"/>
    <w:rsid w:val="00C608E8"/>
    <w:rsid w:val="00C6214D"/>
    <w:rsid w:val="00C6285C"/>
    <w:rsid w:val="00C63376"/>
    <w:rsid w:val="00C63B74"/>
    <w:rsid w:val="00C64407"/>
    <w:rsid w:val="00C71AF6"/>
    <w:rsid w:val="00C72116"/>
    <w:rsid w:val="00C727AD"/>
    <w:rsid w:val="00C743A4"/>
    <w:rsid w:val="00C74F97"/>
    <w:rsid w:val="00C76129"/>
    <w:rsid w:val="00C775C0"/>
    <w:rsid w:val="00C806B1"/>
    <w:rsid w:val="00C808B1"/>
    <w:rsid w:val="00C8201A"/>
    <w:rsid w:val="00C8276E"/>
    <w:rsid w:val="00C842AC"/>
    <w:rsid w:val="00C85820"/>
    <w:rsid w:val="00C87F07"/>
    <w:rsid w:val="00C90333"/>
    <w:rsid w:val="00C90A2F"/>
    <w:rsid w:val="00C90B5D"/>
    <w:rsid w:val="00C91A80"/>
    <w:rsid w:val="00C91E5A"/>
    <w:rsid w:val="00C937EF"/>
    <w:rsid w:val="00C960D6"/>
    <w:rsid w:val="00C96688"/>
    <w:rsid w:val="00CA0723"/>
    <w:rsid w:val="00CA2435"/>
    <w:rsid w:val="00CA26F5"/>
    <w:rsid w:val="00CA6833"/>
    <w:rsid w:val="00CA6E90"/>
    <w:rsid w:val="00CB1690"/>
    <w:rsid w:val="00CB1E88"/>
    <w:rsid w:val="00CB7813"/>
    <w:rsid w:val="00CC04FE"/>
    <w:rsid w:val="00CC0B23"/>
    <w:rsid w:val="00CC4365"/>
    <w:rsid w:val="00CC4590"/>
    <w:rsid w:val="00CC6A59"/>
    <w:rsid w:val="00CD0405"/>
    <w:rsid w:val="00CD11B0"/>
    <w:rsid w:val="00CD1F79"/>
    <w:rsid w:val="00CD27A7"/>
    <w:rsid w:val="00CD539E"/>
    <w:rsid w:val="00CE1231"/>
    <w:rsid w:val="00CE1282"/>
    <w:rsid w:val="00CE2917"/>
    <w:rsid w:val="00CE52FD"/>
    <w:rsid w:val="00CE54EB"/>
    <w:rsid w:val="00CE58F1"/>
    <w:rsid w:val="00CE5E76"/>
    <w:rsid w:val="00CE6D87"/>
    <w:rsid w:val="00CE71C2"/>
    <w:rsid w:val="00CE7EDB"/>
    <w:rsid w:val="00CF024E"/>
    <w:rsid w:val="00CF04B3"/>
    <w:rsid w:val="00CF34E9"/>
    <w:rsid w:val="00CF42D5"/>
    <w:rsid w:val="00CF4EDA"/>
    <w:rsid w:val="00CF50AA"/>
    <w:rsid w:val="00CF6EBD"/>
    <w:rsid w:val="00D021CB"/>
    <w:rsid w:val="00D0405E"/>
    <w:rsid w:val="00D07499"/>
    <w:rsid w:val="00D102BE"/>
    <w:rsid w:val="00D10F1A"/>
    <w:rsid w:val="00D116F8"/>
    <w:rsid w:val="00D11C1D"/>
    <w:rsid w:val="00D134E9"/>
    <w:rsid w:val="00D13FD3"/>
    <w:rsid w:val="00D14AC6"/>
    <w:rsid w:val="00D15367"/>
    <w:rsid w:val="00D17596"/>
    <w:rsid w:val="00D21D54"/>
    <w:rsid w:val="00D22640"/>
    <w:rsid w:val="00D2267A"/>
    <w:rsid w:val="00D26D3A"/>
    <w:rsid w:val="00D308B8"/>
    <w:rsid w:val="00D31CD9"/>
    <w:rsid w:val="00D3361C"/>
    <w:rsid w:val="00D341C1"/>
    <w:rsid w:val="00D37A30"/>
    <w:rsid w:val="00D40634"/>
    <w:rsid w:val="00D40787"/>
    <w:rsid w:val="00D41A53"/>
    <w:rsid w:val="00D435D9"/>
    <w:rsid w:val="00D448BC"/>
    <w:rsid w:val="00D44ACB"/>
    <w:rsid w:val="00D45EE3"/>
    <w:rsid w:val="00D47283"/>
    <w:rsid w:val="00D472D6"/>
    <w:rsid w:val="00D50618"/>
    <w:rsid w:val="00D509E9"/>
    <w:rsid w:val="00D53B1C"/>
    <w:rsid w:val="00D5532D"/>
    <w:rsid w:val="00D611A4"/>
    <w:rsid w:val="00D6236C"/>
    <w:rsid w:val="00D663C3"/>
    <w:rsid w:val="00D71FB7"/>
    <w:rsid w:val="00D749A8"/>
    <w:rsid w:val="00D75C06"/>
    <w:rsid w:val="00D77D33"/>
    <w:rsid w:val="00D806F4"/>
    <w:rsid w:val="00D8099C"/>
    <w:rsid w:val="00D81E56"/>
    <w:rsid w:val="00D82D4A"/>
    <w:rsid w:val="00D84E11"/>
    <w:rsid w:val="00D86CC3"/>
    <w:rsid w:val="00D86D98"/>
    <w:rsid w:val="00D94905"/>
    <w:rsid w:val="00D94C21"/>
    <w:rsid w:val="00D94D87"/>
    <w:rsid w:val="00D95651"/>
    <w:rsid w:val="00D9779F"/>
    <w:rsid w:val="00D97D9D"/>
    <w:rsid w:val="00DA0049"/>
    <w:rsid w:val="00DA1B12"/>
    <w:rsid w:val="00DA4B2F"/>
    <w:rsid w:val="00DA54C9"/>
    <w:rsid w:val="00DA6739"/>
    <w:rsid w:val="00DA6CAE"/>
    <w:rsid w:val="00DA6EC5"/>
    <w:rsid w:val="00DB0B15"/>
    <w:rsid w:val="00DB1A9E"/>
    <w:rsid w:val="00DB31D6"/>
    <w:rsid w:val="00DB4005"/>
    <w:rsid w:val="00DB4CC0"/>
    <w:rsid w:val="00DB5C0A"/>
    <w:rsid w:val="00DB6B4F"/>
    <w:rsid w:val="00DC163D"/>
    <w:rsid w:val="00DC34EB"/>
    <w:rsid w:val="00DC481D"/>
    <w:rsid w:val="00DC532A"/>
    <w:rsid w:val="00DD04C1"/>
    <w:rsid w:val="00DD1E9C"/>
    <w:rsid w:val="00DD2CB8"/>
    <w:rsid w:val="00DE2330"/>
    <w:rsid w:val="00DE40F5"/>
    <w:rsid w:val="00DE41F0"/>
    <w:rsid w:val="00DF1B92"/>
    <w:rsid w:val="00DF1E5B"/>
    <w:rsid w:val="00DF2275"/>
    <w:rsid w:val="00DF3F5E"/>
    <w:rsid w:val="00DF452C"/>
    <w:rsid w:val="00DF5174"/>
    <w:rsid w:val="00DF5653"/>
    <w:rsid w:val="00DF5BC7"/>
    <w:rsid w:val="00DF6146"/>
    <w:rsid w:val="00E01B40"/>
    <w:rsid w:val="00E02432"/>
    <w:rsid w:val="00E02E45"/>
    <w:rsid w:val="00E057E4"/>
    <w:rsid w:val="00E0596E"/>
    <w:rsid w:val="00E06F66"/>
    <w:rsid w:val="00E14688"/>
    <w:rsid w:val="00E15979"/>
    <w:rsid w:val="00E21266"/>
    <w:rsid w:val="00E271B1"/>
    <w:rsid w:val="00E275DE"/>
    <w:rsid w:val="00E300E1"/>
    <w:rsid w:val="00E30F95"/>
    <w:rsid w:val="00E3172B"/>
    <w:rsid w:val="00E3255C"/>
    <w:rsid w:val="00E331F6"/>
    <w:rsid w:val="00E3444A"/>
    <w:rsid w:val="00E356E5"/>
    <w:rsid w:val="00E35F87"/>
    <w:rsid w:val="00E36D96"/>
    <w:rsid w:val="00E36F81"/>
    <w:rsid w:val="00E404A4"/>
    <w:rsid w:val="00E41ACB"/>
    <w:rsid w:val="00E44C59"/>
    <w:rsid w:val="00E45765"/>
    <w:rsid w:val="00E5098C"/>
    <w:rsid w:val="00E51BCA"/>
    <w:rsid w:val="00E543AF"/>
    <w:rsid w:val="00E60213"/>
    <w:rsid w:val="00E65F11"/>
    <w:rsid w:val="00E661B2"/>
    <w:rsid w:val="00E679B3"/>
    <w:rsid w:val="00E71152"/>
    <w:rsid w:val="00E73A30"/>
    <w:rsid w:val="00E74D29"/>
    <w:rsid w:val="00E80316"/>
    <w:rsid w:val="00E80BF0"/>
    <w:rsid w:val="00E822B2"/>
    <w:rsid w:val="00E83538"/>
    <w:rsid w:val="00E836EC"/>
    <w:rsid w:val="00E83C74"/>
    <w:rsid w:val="00E83CEE"/>
    <w:rsid w:val="00E84105"/>
    <w:rsid w:val="00E85DF2"/>
    <w:rsid w:val="00E870DA"/>
    <w:rsid w:val="00E91462"/>
    <w:rsid w:val="00E91F18"/>
    <w:rsid w:val="00E9226D"/>
    <w:rsid w:val="00E93905"/>
    <w:rsid w:val="00E94A25"/>
    <w:rsid w:val="00E95782"/>
    <w:rsid w:val="00E95D8E"/>
    <w:rsid w:val="00E96294"/>
    <w:rsid w:val="00EA0A05"/>
    <w:rsid w:val="00EA416C"/>
    <w:rsid w:val="00EA5941"/>
    <w:rsid w:val="00EA7441"/>
    <w:rsid w:val="00EB000F"/>
    <w:rsid w:val="00EB0689"/>
    <w:rsid w:val="00EB149D"/>
    <w:rsid w:val="00EB2E5B"/>
    <w:rsid w:val="00EB381F"/>
    <w:rsid w:val="00EB4145"/>
    <w:rsid w:val="00EB49CC"/>
    <w:rsid w:val="00EB508D"/>
    <w:rsid w:val="00EB60CE"/>
    <w:rsid w:val="00EB66A3"/>
    <w:rsid w:val="00EB7D53"/>
    <w:rsid w:val="00EC043D"/>
    <w:rsid w:val="00EC3795"/>
    <w:rsid w:val="00EC3925"/>
    <w:rsid w:val="00EC3BC0"/>
    <w:rsid w:val="00ED1E42"/>
    <w:rsid w:val="00ED22F7"/>
    <w:rsid w:val="00ED2B3C"/>
    <w:rsid w:val="00ED3088"/>
    <w:rsid w:val="00ED5A6B"/>
    <w:rsid w:val="00ED790E"/>
    <w:rsid w:val="00EE0A2F"/>
    <w:rsid w:val="00EE1B7F"/>
    <w:rsid w:val="00EE3146"/>
    <w:rsid w:val="00EE55D5"/>
    <w:rsid w:val="00EE5AFA"/>
    <w:rsid w:val="00EE62C2"/>
    <w:rsid w:val="00EE6B79"/>
    <w:rsid w:val="00EF0623"/>
    <w:rsid w:val="00EF31E4"/>
    <w:rsid w:val="00EF34CE"/>
    <w:rsid w:val="00EF45B2"/>
    <w:rsid w:val="00EF4BDD"/>
    <w:rsid w:val="00EF50BB"/>
    <w:rsid w:val="00EF53FF"/>
    <w:rsid w:val="00EF6CC1"/>
    <w:rsid w:val="00EF7D84"/>
    <w:rsid w:val="00F00192"/>
    <w:rsid w:val="00F012EA"/>
    <w:rsid w:val="00F01818"/>
    <w:rsid w:val="00F01DF6"/>
    <w:rsid w:val="00F020CC"/>
    <w:rsid w:val="00F0340D"/>
    <w:rsid w:val="00F04C18"/>
    <w:rsid w:val="00F059A6"/>
    <w:rsid w:val="00F142B3"/>
    <w:rsid w:val="00F16161"/>
    <w:rsid w:val="00F174CA"/>
    <w:rsid w:val="00F20768"/>
    <w:rsid w:val="00F22BCC"/>
    <w:rsid w:val="00F2323A"/>
    <w:rsid w:val="00F23400"/>
    <w:rsid w:val="00F23756"/>
    <w:rsid w:val="00F2523A"/>
    <w:rsid w:val="00F25FFA"/>
    <w:rsid w:val="00F310D2"/>
    <w:rsid w:val="00F32A9A"/>
    <w:rsid w:val="00F3693B"/>
    <w:rsid w:val="00F36F3D"/>
    <w:rsid w:val="00F36FF5"/>
    <w:rsid w:val="00F404AE"/>
    <w:rsid w:val="00F43295"/>
    <w:rsid w:val="00F43A3D"/>
    <w:rsid w:val="00F4556B"/>
    <w:rsid w:val="00F4628B"/>
    <w:rsid w:val="00F469FF"/>
    <w:rsid w:val="00F477BD"/>
    <w:rsid w:val="00F47E94"/>
    <w:rsid w:val="00F53112"/>
    <w:rsid w:val="00F53491"/>
    <w:rsid w:val="00F556BC"/>
    <w:rsid w:val="00F5630E"/>
    <w:rsid w:val="00F57DE8"/>
    <w:rsid w:val="00F634BA"/>
    <w:rsid w:val="00F64353"/>
    <w:rsid w:val="00F65449"/>
    <w:rsid w:val="00F65479"/>
    <w:rsid w:val="00F65A1C"/>
    <w:rsid w:val="00F66F50"/>
    <w:rsid w:val="00F73145"/>
    <w:rsid w:val="00F778EE"/>
    <w:rsid w:val="00F82FF8"/>
    <w:rsid w:val="00F8330D"/>
    <w:rsid w:val="00F833DF"/>
    <w:rsid w:val="00F84305"/>
    <w:rsid w:val="00F8485C"/>
    <w:rsid w:val="00F85ABF"/>
    <w:rsid w:val="00F86054"/>
    <w:rsid w:val="00F87149"/>
    <w:rsid w:val="00F872AA"/>
    <w:rsid w:val="00F87FFE"/>
    <w:rsid w:val="00F9165F"/>
    <w:rsid w:val="00F92AC0"/>
    <w:rsid w:val="00F93A76"/>
    <w:rsid w:val="00F954C9"/>
    <w:rsid w:val="00F95A15"/>
    <w:rsid w:val="00F96303"/>
    <w:rsid w:val="00F9666D"/>
    <w:rsid w:val="00FA4CF0"/>
    <w:rsid w:val="00FA52E5"/>
    <w:rsid w:val="00FA55F8"/>
    <w:rsid w:val="00FA61AA"/>
    <w:rsid w:val="00FA69A4"/>
    <w:rsid w:val="00FB1279"/>
    <w:rsid w:val="00FB1495"/>
    <w:rsid w:val="00FB295B"/>
    <w:rsid w:val="00FB2CFF"/>
    <w:rsid w:val="00FB7879"/>
    <w:rsid w:val="00FC1A89"/>
    <w:rsid w:val="00FC449F"/>
    <w:rsid w:val="00FC7264"/>
    <w:rsid w:val="00FD01A0"/>
    <w:rsid w:val="00FD0A13"/>
    <w:rsid w:val="00FD1694"/>
    <w:rsid w:val="00FD1B38"/>
    <w:rsid w:val="00FD1D87"/>
    <w:rsid w:val="00FD2F60"/>
    <w:rsid w:val="00FD4CA9"/>
    <w:rsid w:val="00FD64C7"/>
    <w:rsid w:val="00FD7636"/>
    <w:rsid w:val="00FE00D0"/>
    <w:rsid w:val="00FE071F"/>
    <w:rsid w:val="00FE3229"/>
    <w:rsid w:val="00FE3AEE"/>
    <w:rsid w:val="00FE419D"/>
    <w:rsid w:val="00FE74C3"/>
    <w:rsid w:val="00FF1C19"/>
    <w:rsid w:val="00FF215C"/>
    <w:rsid w:val="00FF49E8"/>
    <w:rsid w:val="00FF5ED1"/>
    <w:rsid w:val="00FF672F"/>
    <w:rsid w:val="00FF75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11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iPriority="10" w:unhideWhenUsed="0" w:qFormat="1"/>
    <w:lsdException w:name="Default Paragraph Font" w:uiPriority="1"/>
    <w:lsdException w:name="List Continue" w:semiHidden="0" w:unhideWhenUsed="0"/>
    <w:lsdException w:name="Subtitle" w:uiPriority="11"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BA610E"/>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paragraph" w:styleId="Heading9">
    <w:name w:val="heading 9"/>
    <w:basedOn w:val="Normal"/>
    <w:next w:val="Normal"/>
    <w:link w:val="Heading9Char"/>
    <w:qFormat/>
    <w:rsid w:val="00BA610E"/>
    <w:pPr>
      <w:keepNext/>
      <w:autoSpaceDE w:val="0"/>
      <w:autoSpaceDN w:val="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rPr>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cs="Arial"/>
      <w:color w:val="FF0000"/>
      <w:sz w:val="28"/>
      <w:szCs w:val="28"/>
      <w:lang w:eastAsia="en-AU"/>
    </w:rPr>
  </w:style>
  <w:style w:type="paragraph" w:styleId="ListParagraph">
    <w:name w:val="List Paragraph"/>
    <w:basedOn w:val="Normal"/>
    <w:uiPriority w:val="34"/>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style>
  <w:style w:type="paragraph" w:customStyle="1" w:styleId="Classificationsensitivity">
    <w:name w:val="Classification sensitivity"/>
    <w:basedOn w:val="Classification"/>
    <w:rsid w:val="002C5813"/>
    <w:rPr>
      <w:sz w:val="22"/>
    </w:rPr>
  </w:style>
  <w:style w:type="character" w:customStyle="1" w:styleId="Heading9Char">
    <w:name w:val="Heading 9 Char"/>
    <w:basedOn w:val="DefaultParagraphFont"/>
    <w:link w:val="Heading9"/>
    <w:rsid w:val="00BA610E"/>
    <w:rPr>
      <w:rFonts w:ascii="Times New Roman" w:eastAsia="Times New Roman" w:hAnsi="Times New Roman"/>
      <w:b/>
      <w:bCs/>
      <w:sz w:val="24"/>
      <w:szCs w:val="24"/>
      <w:lang w:eastAsia="en-US"/>
    </w:rPr>
  </w:style>
  <w:style w:type="paragraph" w:customStyle="1" w:styleId="Default">
    <w:name w:val="Default"/>
    <w:rsid w:val="00BA610E"/>
    <w:pPr>
      <w:autoSpaceDE w:val="0"/>
      <w:autoSpaceDN w:val="0"/>
      <w:adjustRightInd w:val="0"/>
    </w:pPr>
    <w:rPr>
      <w:rFonts w:ascii="Times New Roman" w:hAnsi="Times New Roman"/>
      <w:color w:val="000000"/>
      <w:sz w:val="24"/>
      <w:szCs w:val="24"/>
      <w:lang w:eastAsia="en-US"/>
    </w:rPr>
  </w:style>
  <w:style w:type="paragraph" w:customStyle="1" w:styleId="Clauses">
    <w:name w:val="Clauses"/>
    <w:basedOn w:val="Normal"/>
    <w:next w:val="Numberedparagraph"/>
    <w:qFormat/>
    <w:rsid w:val="00BA610E"/>
    <w:pPr>
      <w:keepNext/>
      <w:spacing w:after="120"/>
      <w:outlineLvl w:val="2"/>
    </w:pPr>
    <w:rPr>
      <w:b/>
      <w:bCs/>
    </w:rPr>
  </w:style>
  <w:style w:type="paragraph" w:customStyle="1" w:styleId="Parts">
    <w:name w:val="Parts"/>
    <w:basedOn w:val="Normal"/>
    <w:next w:val="Normal"/>
    <w:qFormat/>
    <w:rsid w:val="00BA610E"/>
    <w:pPr>
      <w:keepNext/>
      <w:spacing w:before="240" w:after="120"/>
      <w:outlineLvl w:val="0"/>
    </w:pPr>
    <w:rPr>
      <w:b/>
    </w:rPr>
  </w:style>
  <w:style w:type="paragraph" w:customStyle="1" w:styleId="Numberedparagraph">
    <w:name w:val="Numbered paragraph"/>
    <w:uiPriority w:val="99"/>
    <w:qFormat/>
    <w:rsid w:val="00BA610E"/>
    <w:pPr>
      <w:numPr>
        <w:numId w:val="7"/>
      </w:numPr>
      <w:spacing w:after="120"/>
    </w:pPr>
    <w:rPr>
      <w:rFonts w:ascii="Times New Roman" w:eastAsia="Times New Roman" w:hAnsi="Times New Roman" w:cs="Arial"/>
      <w:kern w:val="28"/>
      <w:sz w:val="24"/>
      <w:szCs w:val="24"/>
      <w:lang w:eastAsia="en-US"/>
    </w:rPr>
  </w:style>
  <w:style w:type="character" w:styleId="Hyperlink">
    <w:name w:val="Hyperlink"/>
    <w:basedOn w:val="DefaultParagraphFont"/>
    <w:uiPriority w:val="99"/>
    <w:unhideWhenUsed/>
    <w:rsid w:val="001D298C"/>
    <w:rPr>
      <w:color w:val="0000FF" w:themeColor="hyperlink"/>
      <w:u w:val="single"/>
    </w:rPr>
  </w:style>
  <w:style w:type="character" w:styleId="CommentReference">
    <w:name w:val="annotation reference"/>
    <w:basedOn w:val="DefaultParagraphFont"/>
    <w:uiPriority w:val="99"/>
    <w:semiHidden/>
    <w:unhideWhenUsed/>
    <w:rsid w:val="00537002"/>
    <w:rPr>
      <w:sz w:val="16"/>
      <w:szCs w:val="16"/>
    </w:rPr>
  </w:style>
  <w:style w:type="paragraph" w:styleId="CommentText">
    <w:name w:val="annotation text"/>
    <w:basedOn w:val="Normal"/>
    <w:link w:val="CommentTextChar"/>
    <w:uiPriority w:val="99"/>
    <w:semiHidden/>
    <w:unhideWhenUsed/>
    <w:rsid w:val="00537002"/>
    <w:rPr>
      <w:sz w:val="20"/>
      <w:szCs w:val="20"/>
    </w:rPr>
  </w:style>
  <w:style w:type="character" w:customStyle="1" w:styleId="CommentTextChar">
    <w:name w:val="Comment Text Char"/>
    <w:basedOn w:val="DefaultParagraphFont"/>
    <w:link w:val="CommentText"/>
    <w:uiPriority w:val="99"/>
    <w:semiHidden/>
    <w:rsid w:val="00537002"/>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37002"/>
    <w:rPr>
      <w:b/>
      <w:bCs/>
    </w:rPr>
  </w:style>
  <w:style w:type="character" w:customStyle="1" w:styleId="CommentSubjectChar">
    <w:name w:val="Comment Subject Char"/>
    <w:basedOn w:val="CommentTextChar"/>
    <w:link w:val="CommentSubject"/>
    <w:uiPriority w:val="99"/>
    <w:semiHidden/>
    <w:rsid w:val="00537002"/>
    <w:rPr>
      <w:rFonts w:ascii="Times New Roman" w:eastAsia="Times New Roman" w:hAnsi="Times New Roman"/>
      <w:b/>
      <w:bCs/>
      <w:lang w:eastAsia="en-US"/>
    </w:rPr>
  </w:style>
  <w:style w:type="paragraph" w:styleId="Revision">
    <w:name w:val="Revision"/>
    <w:hidden/>
    <w:uiPriority w:val="99"/>
    <w:semiHidden/>
    <w:rsid w:val="00563B8A"/>
    <w:rPr>
      <w:rFonts w:ascii="Times New Roman" w:eastAsia="Times New Roman" w:hAnsi="Times New Roman"/>
      <w:sz w:val="24"/>
      <w:szCs w:val="24"/>
      <w:lang w:eastAsia="en-US"/>
    </w:rPr>
  </w:style>
  <w:style w:type="paragraph" w:customStyle="1" w:styleId="Definition">
    <w:name w:val="Definition"/>
    <w:aliases w:val="dd"/>
    <w:basedOn w:val="Normal"/>
    <w:rsid w:val="000077C2"/>
    <w:pPr>
      <w:spacing w:before="180"/>
      <w:ind w:left="1134"/>
    </w:pPr>
    <w:rPr>
      <w:sz w:val="22"/>
      <w:szCs w:val="20"/>
      <w:lang w:eastAsia="en-AU"/>
    </w:rPr>
  </w:style>
  <w:style w:type="paragraph" w:customStyle="1" w:styleId="numberedparagraph0">
    <w:name w:val="numberedparagraph"/>
    <w:basedOn w:val="Normal"/>
    <w:rsid w:val="00F32A9A"/>
    <w:pPr>
      <w:spacing w:before="100" w:beforeAutospacing="1" w:after="100" w:afterAutospacing="1"/>
    </w:pPr>
    <w:rPr>
      <w:lang w:eastAsia="en-AU"/>
    </w:rPr>
  </w:style>
  <w:style w:type="character" w:styleId="FollowedHyperlink">
    <w:name w:val="FollowedHyperlink"/>
    <w:basedOn w:val="DefaultParagraphFont"/>
    <w:uiPriority w:val="99"/>
    <w:semiHidden/>
    <w:unhideWhenUsed/>
    <w:rsid w:val="000055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iPriority="10" w:unhideWhenUsed="0" w:qFormat="1"/>
    <w:lsdException w:name="Default Paragraph Font" w:uiPriority="1"/>
    <w:lsdException w:name="List Continue" w:semiHidden="0" w:unhideWhenUsed="0"/>
    <w:lsdException w:name="Subtitle" w:uiPriority="11"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BA610E"/>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paragraph" w:styleId="Heading9">
    <w:name w:val="heading 9"/>
    <w:basedOn w:val="Normal"/>
    <w:next w:val="Normal"/>
    <w:link w:val="Heading9Char"/>
    <w:qFormat/>
    <w:rsid w:val="00BA610E"/>
    <w:pPr>
      <w:keepNext/>
      <w:autoSpaceDE w:val="0"/>
      <w:autoSpaceDN w:val="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rPr>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cs="Arial"/>
      <w:color w:val="FF0000"/>
      <w:sz w:val="28"/>
      <w:szCs w:val="28"/>
      <w:lang w:eastAsia="en-AU"/>
    </w:rPr>
  </w:style>
  <w:style w:type="paragraph" w:styleId="ListParagraph">
    <w:name w:val="List Paragraph"/>
    <w:basedOn w:val="Normal"/>
    <w:uiPriority w:val="34"/>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style>
  <w:style w:type="paragraph" w:customStyle="1" w:styleId="Classificationsensitivity">
    <w:name w:val="Classification sensitivity"/>
    <w:basedOn w:val="Classification"/>
    <w:rsid w:val="002C5813"/>
    <w:rPr>
      <w:sz w:val="22"/>
    </w:rPr>
  </w:style>
  <w:style w:type="character" w:customStyle="1" w:styleId="Heading9Char">
    <w:name w:val="Heading 9 Char"/>
    <w:basedOn w:val="DefaultParagraphFont"/>
    <w:link w:val="Heading9"/>
    <w:rsid w:val="00BA610E"/>
    <w:rPr>
      <w:rFonts w:ascii="Times New Roman" w:eastAsia="Times New Roman" w:hAnsi="Times New Roman"/>
      <w:b/>
      <w:bCs/>
      <w:sz w:val="24"/>
      <w:szCs w:val="24"/>
      <w:lang w:eastAsia="en-US"/>
    </w:rPr>
  </w:style>
  <w:style w:type="paragraph" w:customStyle="1" w:styleId="Default">
    <w:name w:val="Default"/>
    <w:rsid w:val="00BA610E"/>
    <w:pPr>
      <w:autoSpaceDE w:val="0"/>
      <w:autoSpaceDN w:val="0"/>
      <w:adjustRightInd w:val="0"/>
    </w:pPr>
    <w:rPr>
      <w:rFonts w:ascii="Times New Roman" w:hAnsi="Times New Roman"/>
      <w:color w:val="000000"/>
      <w:sz w:val="24"/>
      <w:szCs w:val="24"/>
      <w:lang w:eastAsia="en-US"/>
    </w:rPr>
  </w:style>
  <w:style w:type="paragraph" w:customStyle="1" w:styleId="Clauses">
    <w:name w:val="Clauses"/>
    <w:basedOn w:val="Normal"/>
    <w:next w:val="Numberedparagraph"/>
    <w:qFormat/>
    <w:rsid w:val="00BA610E"/>
    <w:pPr>
      <w:keepNext/>
      <w:spacing w:after="120"/>
      <w:outlineLvl w:val="2"/>
    </w:pPr>
    <w:rPr>
      <w:b/>
      <w:bCs/>
    </w:rPr>
  </w:style>
  <w:style w:type="paragraph" w:customStyle="1" w:styleId="Parts">
    <w:name w:val="Parts"/>
    <w:basedOn w:val="Normal"/>
    <w:next w:val="Normal"/>
    <w:qFormat/>
    <w:rsid w:val="00BA610E"/>
    <w:pPr>
      <w:keepNext/>
      <w:spacing w:before="240" w:after="120"/>
      <w:outlineLvl w:val="0"/>
    </w:pPr>
    <w:rPr>
      <w:b/>
    </w:rPr>
  </w:style>
  <w:style w:type="paragraph" w:customStyle="1" w:styleId="Numberedparagraph">
    <w:name w:val="Numbered paragraph"/>
    <w:uiPriority w:val="99"/>
    <w:qFormat/>
    <w:rsid w:val="00BA610E"/>
    <w:pPr>
      <w:numPr>
        <w:numId w:val="7"/>
      </w:numPr>
      <w:spacing w:after="120"/>
    </w:pPr>
    <w:rPr>
      <w:rFonts w:ascii="Times New Roman" w:eastAsia="Times New Roman" w:hAnsi="Times New Roman" w:cs="Arial"/>
      <w:kern w:val="28"/>
      <w:sz w:val="24"/>
      <w:szCs w:val="24"/>
      <w:lang w:eastAsia="en-US"/>
    </w:rPr>
  </w:style>
  <w:style w:type="character" w:styleId="Hyperlink">
    <w:name w:val="Hyperlink"/>
    <w:basedOn w:val="DefaultParagraphFont"/>
    <w:uiPriority w:val="99"/>
    <w:unhideWhenUsed/>
    <w:rsid w:val="001D298C"/>
    <w:rPr>
      <w:color w:val="0000FF" w:themeColor="hyperlink"/>
      <w:u w:val="single"/>
    </w:rPr>
  </w:style>
  <w:style w:type="character" w:styleId="CommentReference">
    <w:name w:val="annotation reference"/>
    <w:basedOn w:val="DefaultParagraphFont"/>
    <w:uiPriority w:val="99"/>
    <w:semiHidden/>
    <w:unhideWhenUsed/>
    <w:rsid w:val="00537002"/>
    <w:rPr>
      <w:sz w:val="16"/>
      <w:szCs w:val="16"/>
    </w:rPr>
  </w:style>
  <w:style w:type="paragraph" w:styleId="CommentText">
    <w:name w:val="annotation text"/>
    <w:basedOn w:val="Normal"/>
    <w:link w:val="CommentTextChar"/>
    <w:uiPriority w:val="99"/>
    <w:semiHidden/>
    <w:unhideWhenUsed/>
    <w:rsid w:val="00537002"/>
    <w:rPr>
      <w:sz w:val="20"/>
      <w:szCs w:val="20"/>
    </w:rPr>
  </w:style>
  <w:style w:type="character" w:customStyle="1" w:styleId="CommentTextChar">
    <w:name w:val="Comment Text Char"/>
    <w:basedOn w:val="DefaultParagraphFont"/>
    <w:link w:val="CommentText"/>
    <w:uiPriority w:val="99"/>
    <w:semiHidden/>
    <w:rsid w:val="00537002"/>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37002"/>
    <w:rPr>
      <w:b/>
      <w:bCs/>
    </w:rPr>
  </w:style>
  <w:style w:type="character" w:customStyle="1" w:styleId="CommentSubjectChar">
    <w:name w:val="Comment Subject Char"/>
    <w:basedOn w:val="CommentTextChar"/>
    <w:link w:val="CommentSubject"/>
    <w:uiPriority w:val="99"/>
    <w:semiHidden/>
    <w:rsid w:val="00537002"/>
    <w:rPr>
      <w:rFonts w:ascii="Times New Roman" w:eastAsia="Times New Roman" w:hAnsi="Times New Roman"/>
      <w:b/>
      <w:bCs/>
      <w:lang w:eastAsia="en-US"/>
    </w:rPr>
  </w:style>
  <w:style w:type="paragraph" w:styleId="Revision">
    <w:name w:val="Revision"/>
    <w:hidden/>
    <w:uiPriority w:val="99"/>
    <w:semiHidden/>
    <w:rsid w:val="00563B8A"/>
    <w:rPr>
      <w:rFonts w:ascii="Times New Roman" w:eastAsia="Times New Roman" w:hAnsi="Times New Roman"/>
      <w:sz w:val="24"/>
      <w:szCs w:val="24"/>
      <w:lang w:eastAsia="en-US"/>
    </w:rPr>
  </w:style>
  <w:style w:type="paragraph" w:customStyle="1" w:styleId="Definition">
    <w:name w:val="Definition"/>
    <w:aliases w:val="dd"/>
    <w:basedOn w:val="Normal"/>
    <w:rsid w:val="000077C2"/>
    <w:pPr>
      <w:spacing w:before="180"/>
      <w:ind w:left="1134"/>
    </w:pPr>
    <w:rPr>
      <w:sz w:val="22"/>
      <w:szCs w:val="20"/>
      <w:lang w:eastAsia="en-AU"/>
    </w:rPr>
  </w:style>
  <w:style w:type="paragraph" w:customStyle="1" w:styleId="numberedparagraph0">
    <w:name w:val="numberedparagraph"/>
    <w:basedOn w:val="Normal"/>
    <w:rsid w:val="00F32A9A"/>
    <w:pPr>
      <w:spacing w:before="100" w:beforeAutospacing="1" w:after="100" w:afterAutospacing="1"/>
    </w:pPr>
    <w:rPr>
      <w:lang w:eastAsia="en-AU"/>
    </w:rPr>
  </w:style>
  <w:style w:type="character" w:styleId="FollowedHyperlink">
    <w:name w:val="FollowedHyperlink"/>
    <w:basedOn w:val="DefaultParagraphFont"/>
    <w:uiPriority w:val="99"/>
    <w:semiHidden/>
    <w:unhideWhenUsed/>
    <w:rsid w:val="000055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57563">
      <w:bodyDiv w:val="1"/>
      <w:marLeft w:val="0"/>
      <w:marRight w:val="0"/>
      <w:marTop w:val="0"/>
      <w:marBottom w:val="0"/>
      <w:divBdr>
        <w:top w:val="none" w:sz="0" w:space="0" w:color="auto"/>
        <w:left w:val="none" w:sz="0" w:space="0" w:color="auto"/>
        <w:bottom w:val="none" w:sz="0" w:space="0" w:color="auto"/>
        <w:right w:val="none" w:sz="0" w:space="0" w:color="auto"/>
      </w:divBdr>
    </w:div>
    <w:div w:id="305281972">
      <w:bodyDiv w:val="1"/>
      <w:marLeft w:val="0"/>
      <w:marRight w:val="0"/>
      <w:marTop w:val="0"/>
      <w:marBottom w:val="0"/>
      <w:divBdr>
        <w:top w:val="none" w:sz="0" w:space="0" w:color="auto"/>
        <w:left w:val="none" w:sz="0" w:space="0" w:color="auto"/>
        <w:bottom w:val="none" w:sz="0" w:space="0" w:color="auto"/>
        <w:right w:val="none" w:sz="0" w:space="0" w:color="auto"/>
      </w:divBdr>
    </w:div>
    <w:div w:id="616638556">
      <w:bodyDiv w:val="1"/>
      <w:marLeft w:val="0"/>
      <w:marRight w:val="0"/>
      <w:marTop w:val="0"/>
      <w:marBottom w:val="0"/>
      <w:divBdr>
        <w:top w:val="none" w:sz="0" w:space="0" w:color="auto"/>
        <w:left w:val="none" w:sz="0" w:space="0" w:color="auto"/>
        <w:bottom w:val="none" w:sz="0" w:space="0" w:color="auto"/>
        <w:right w:val="none" w:sz="0" w:space="0" w:color="auto"/>
      </w:divBdr>
    </w:div>
    <w:div w:id="1015157128">
      <w:bodyDiv w:val="1"/>
      <w:marLeft w:val="0"/>
      <w:marRight w:val="0"/>
      <w:marTop w:val="0"/>
      <w:marBottom w:val="0"/>
      <w:divBdr>
        <w:top w:val="none" w:sz="0" w:space="0" w:color="auto"/>
        <w:left w:val="none" w:sz="0" w:space="0" w:color="auto"/>
        <w:bottom w:val="none" w:sz="0" w:space="0" w:color="auto"/>
        <w:right w:val="none" w:sz="0" w:space="0" w:color="auto"/>
      </w:divBdr>
    </w:div>
    <w:div w:id="1819688523">
      <w:bodyDiv w:val="1"/>
      <w:marLeft w:val="0"/>
      <w:marRight w:val="0"/>
      <w:marTop w:val="0"/>
      <w:marBottom w:val="0"/>
      <w:divBdr>
        <w:top w:val="none" w:sz="0" w:space="0" w:color="auto"/>
        <w:left w:val="none" w:sz="0" w:space="0" w:color="auto"/>
        <w:bottom w:val="none" w:sz="0" w:space="0" w:color="auto"/>
        <w:right w:val="none" w:sz="0" w:space="0" w:color="auto"/>
      </w:divBdr>
    </w:div>
    <w:div w:id="1845170173">
      <w:bodyDiv w:val="1"/>
      <w:marLeft w:val="0"/>
      <w:marRight w:val="0"/>
      <w:marTop w:val="0"/>
      <w:marBottom w:val="0"/>
      <w:divBdr>
        <w:top w:val="none" w:sz="0" w:space="0" w:color="auto"/>
        <w:left w:val="none" w:sz="0" w:space="0" w:color="auto"/>
        <w:bottom w:val="none" w:sz="0" w:space="0" w:color="auto"/>
        <w:right w:val="none" w:sz="0" w:space="0" w:color="auto"/>
      </w:divBdr>
    </w:div>
    <w:div w:id="1862664325">
      <w:bodyDiv w:val="1"/>
      <w:marLeft w:val="0"/>
      <w:marRight w:val="0"/>
      <w:marTop w:val="0"/>
      <w:marBottom w:val="0"/>
      <w:divBdr>
        <w:top w:val="none" w:sz="0" w:space="0" w:color="auto"/>
        <w:left w:val="none" w:sz="0" w:space="0" w:color="auto"/>
        <w:bottom w:val="none" w:sz="0" w:space="0" w:color="auto"/>
        <w:right w:val="none" w:sz="0" w:space="0" w:color="auto"/>
      </w:divBdr>
    </w:div>
    <w:div w:id="1889955635">
      <w:bodyDiv w:val="1"/>
      <w:marLeft w:val="0"/>
      <w:marRight w:val="0"/>
      <w:marTop w:val="0"/>
      <w:marBottom w:val="0"/>
      <w:divBdr>
        <w:top w:val="none" w:sz="0" w:space="0" w:color="auto"/>
        <w:left w:val="none" w:sz="0" w:space="0" w:color="auto"/>
        <w:bottom w:val="none" w:sz="0" w:space="0" w:color="auto"/>
        <w:right w:val="none" w:sz="0" w:space="0" w:color="auto"/>
      </w:divBdr>
      <w:divsChild>
        <w:div w:id="817350">
          <w:marLeft w:val="0"/>
          <w:marRight w:val="0"/>
          <w:marTop w:val="0"/>
          <w:marBottom w:val="0"/>
          <w:divBdr>
            <w:top w:val="none" w:sz="0" w:space="0" w:color="auto"/>
            <w:left w:val="none" w:sz="0" w:space="0" w:color="auto"/>
            <w:bottom w:val="none" w:sz="0" w:space="0" w:color="auto"/>
            <w:right w:val="none" w:sz="0" w:space="0" w:color="auto"/>
          </w:divBdr>
          <w:divsChild>
            <w:div w:id="1462846072">
              <w:marLeft w:val="0"/>
              <w:marRight w:val="0"/>
              <w:marTop w:val="0"/>
              <w:marBottom w:val="0"/>
              <w:divBdr>
                <w:top w:val="none" w:sz="0" w:space="0" w:color="auto"/>
                <w:left w:val="none" w:sz="0" w:space="0" w:color="auto"/>
                <w:bottom w:val="none" w:sz="0" w:space="0" w:color="auto"/>
                <w:right w:val="none" w:sz="0" w:space="0" w:color="auto"/>
              </w:divBdr>
              <w:divsChild>
                <w:div w:id="1093667936">
                  <w:marLeft w:val="0"/>
                  <w:marRight w:val="0"/>
                  <w:marTop w:val="0"/>
                  <w:marBottom w:val="0"/>
                  <w:divBdr>
                    <w:top w:val="none" w:sz="0" w:space="0" w:color="auto"/>
                    <w:left w:val="none" w:sz="0" w:space="0" w:color="auto"/>
                    <w:bottom w:val="none" w:sz="0" w:space="0" w:color="auto"/>
                    <w:right w:val="none" w:sz="0" w:space="0" w:color="auto"/>
                  </w:divBdr>
                  <w:divsChild>
                    <w:div w:id="1293054659">
                      <w:marLeft w:val="0"/>
                      <w:marRight w:val="0"/>
                      <w:marTop w:val="0"/>
                      <w:marBottom w:val="0"/>
                      <w:divBdr>
                        <w:top w:val="none" w:sz="0" w:space="0" w:color="auto"/>
                        <w:left w:val="none" w:sz="0" w:space="0" w:color="auto"/>
                        <w:bottom w:val="none" w:sz="0" w:space="0" w:color="auto"/>
                        <w:right w:val="none" w:sz="0" w:space="0" w:color="auto"/>
                      </w:divBdr>
                      <w:divsChild>
                        <w:div w:id="283275017">
                          <w:marLeft w:val="0"/>
                          <w:marRight w:val="0"/>
                          <w:marTop w:val="0"/>
                          <w:marBottom w:val="0"/>
                          <w:divBdr>
                            <w:top w:val="none" w:sz="0" w:space="0" w:color="auto"/>
                            <w:left w:val="none" w:sz="0" w:space="0" w:color="auto"/>
                            <w:bottom w:val="none" w:sz="0" w:space="0" w:color="auto"/>
                            <w:right w:val="none" w:sz="0" w:space="0" w:color="auto"/>
                          </w:divBdr>
                          <w:divsChild>
                            <w:div w:id="1616407777">
                              <w:marLeft w:val="0"/>
                              <w:marRight w:val="0"/>
                              <w:marTop w:val="0"/>
                              <w:marBottom w:val="0"/>
                              <w:divBdr>
                                <w:top w:val="none" w:sz="0" w:space="0" w:color="auto"/>
                                <w:left w:val="none" w:sz="0" w:space="0" w:color="auto"/>
                                <w:bottom w:val="none" w:sz="0" w:space="0" w:color="auto"/>
                                <w:right w:val="none" w:sz="0" w:space="0" w:color="auto"/>
                              </w:divBdr>
                              <w:divsChild>
                                <w:div w:id="63383744">
                                  <w:marLeft w:val="0"/>
                                  <w:marRight w:val="0"/>
                                  <w:marTop w:val="0"/>
                                  <w:marBottom w:val="0"/>
                                  <w:divBdr>
                                    <w:top w:val="none" w:sz="0" w:space="0" w:color="auto"/>
                                    <w:left w:val="none" w:sz="0" w:space="0" w:color="auto"/>
                                    <w:bottom w:val="none" w:sz="0" w:space="0" w:color="auto"/>
                                    <w:right w:val="none" w:sz="0" w:space="0" w:color="auto"/>
                                  </w:divBdr>
                                  <w:divsChild>
                                    <w:div w:id="761099796">
                                      <w:marLeft w:val="0"/>
                                      <w:marRight w:val="0"/>
                                      <w:marTop w:val="0"/>
                                      <w:marBottom w:val="0"/>
                                      <w:divBdr>
                                        <w:top w:val="none" w:sz="0" w:space="0" w:color="auto"/>
                                        <w:left w:val="none" w:sz="0" w:space="0" w:color="auto"/>
                                        <w:bottom w:val="none" w:sz="0" w:space="0" w:color="auto"/>
                                        <w:right w:val="none" w:sz="0" w:space="0" w:color="auto"/>
                                      </w:divBdr>
                                      <w:divsChild>
                                        <w:div w:id="1728187711">
                                          <w:marLeft w:val="0"/>
                                          <w:marRight w:val="0"/>
                                          <w:marTop w:val="0"/>
                                          <w:marBottom w:val="0"/>
                                          <w:divBdr>
                                            <w:top w:val="none" w:sz="0" w:space="0" w:color="auto"/>
                                            <w:left w:val="none" w:sz="0" w:space="0" w:color="auto"/>
                                            <w:bottom w:val="none" w:sz="0" w:space="0" w:color="auto"/>
                                            <w:right w:val="none" w:sz="0" w:space="0" w:color="auto"/>
                                          </w:divBdr>
                                          <w:divsChild>
                                            <w:div w:id="561869541">
                                              <w:marLeft w:val="0"/>
                                              <w:marRight w:val="0"/>
                                              <w:marTop w:val="0"/>
                                              <w:marBottom w:val="0"/>
                                              <w:divBdr>
                                                <w:top w:val="none" w:sz="0" w:space="0" w:color="auto"/>
                                                <w:left w:val="none" w:sz="0" w:space="0" w:color="auto"/>
                                                <w:bottom w:val="none" w:sz="0" w:space="0" w:color="auto"/>
                                                <w:right w:val="none" w:sz="0" w:space="0" w:color="auto"/>
                                              </w:divBdr>
                                              <w:divsChild>
                                                <w:div w:id="1029723863">
                                                  <w:marLeft w:val="0"/>
                                                  <w:marRight w:val="0"/>
                                                  <w:marTop w:val="0"/>
                                                  <w:marBottom w:val="0"/>
                                                  <w:divBdr>
                                                    <w:top w:val="none" w:sz="0" w:space="0" w:color="auto"/>
                                                    <w:left w:val="none" w:sz="0" w:space="0" w:color="auto"/>
                                                    <w:bottom w:val="none" w:sz="0" w:space="0" w:color="auto"/>
                                                    <w:right w:val="none" w:sz="0" w:space="0" w:color="auto"/>
                                                  </w:divBdr>
                                                  <w:divsChild>
                                                    <w:div w:id="19362512">
                                                      <w:marLeft w:val="0"/>
                                                      <w:marRight w:val="0"/>
                                                      <w:marTop w:val="0"/>
                                                      <w:marBottom w:val="0"/>
                                                      <w:divBdr>
                                                        <w:top w:val="none" w:sz="0" w:space="0" w:color="auto"/>
                                                        <w:left w:val="none" w:sz="0" w:space="0" w:color="auto"/>
                                                        <w:bottom w:val="none" w:sz="0" w:space="0" w:color="auto"/>
                                                        <w:right w:val="none" w:sz="0" w:space="0" w:color="auto"/>
                                                      </w:divBdr>
                                                      <w:divsChild>
                                                        <w:div w:id="7782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704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slp.wa.gov.au"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documentManagement>
    <IconOverlay xmlns="http://schemas.microsoft.com/sharepoint/v4" xsi:nil="true"/>
    <Function xmlns="7d1753f3-b6db-484b-93d6-b74f5ca30d2d">Legal</Function>
    <DocumentDescription xmlns="7d1753f3-b6db-484b-93d6-b74f5ca30d2d" xsi:nil="true"/>
    <RecordNumber xmlns="7d1753f3-b6db-484b-93d6-b74f5ca30d2d">001996405</RecordNumber>
    <Approval xmlns="7d1753f3-b6db-484b-93d6-b74f5ca30d2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9" ma:contentTypeDescription="SPIRE Document" ma:contentTypeScope="" ma:versionID="0190754519eefa10b0f2e0b56d655d48">
  <xsd:schema xmlns:xsd="http://www.w3.org/2001/XMLSchema" xmlns:xs="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753f3-b6db-484b-93d6-b74f5ca30d2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6F4AD-F37C-4A00-A7AD-B08C46118F2E}">
  <ds:schemaRefs>
    <ds:schemaRef ds:uri="http://schemas.microsoft.com/office/2006/metadata/customXsn"/>
  </ds:schemaRefs>
</ds:datastoreItem>
</file>

<file path=customXml/itemProps2.xml><?xml version="1.0" encoding="utf-8"?>
<ds:datastoreItem xmlns:ds="http://schemas.openxmlformats.org/officeDocument/2006/customXml" ds:itemID="{6FC5E7A1-9C99-4EE4-BBC6-A242BDDAFA61}">
  <ds:schemaRefs>
    <ds:schemaRef ds:uri="http://schemas.microsoft.com/sharepoint/events"/>
  </ds:schemaRefs>
</ds:datastoreItem>
</file>

<file path=customXml/itemProps3.xml><?xml version="1.0" encoding="utf-8"?>
<ds:datastoreItem xmlns:ds="http://schemas.openxmlformats.org/officeDocument/2006/customXml" ds:itemID="{9BAD3DB7-147D-407B-B034-A63C38F3EB9D}">
  <ds:schemaRefs>
    <ds:schemaRef ds:uri="http://www.w3.org/XML/1998/namespace"/>
    <ds:schemaRef ds:uri="7d1753f3-b6db-484b-93d6-b74f5ca30d2d"/>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schemas.microsoft.com/sharepoint/v4"/>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05C57DA-EC8B-4927-8614-0E7B09783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753f3-b6db-484b-93d6-b74f5ca30d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6.xml><?xml version="1.0" encoding="utf-8"?>
<ds:datastoreItem xmlns:ds="http://schemas.openxmlformats.org/officeDocument/2006/customXml" ds:itemID="{27A4468B-7ADA-4609-826A-E41733120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17918</Words>
  <Characters>91923</Characters>
  <Application>Microsoft Office Word</Application>
  <DocSecurity>0</DocSecurity>
  <Lines>1532</Lines>
  <Paragraphs>669</Paragraphs>
  <ScaleCrop>false</ScaleCrop>
  <HeadingPairs>
    <vt:vector size="2" baseType="variant">
      <vt:variant>
        <vt:lpstr>Title</vt:lpstr>
      </vt:variant>
      <vt:variant>
        <vt:i4>1</vt:i4>
      </vt:variant>
    </vt:vector>
  </HeadingPairs>
  <TitlesOfParts>
    <vt:vector size="1" baseType="lpstr">
      <vt:lpstr>12 October 2017 - explanatory statement - Legal Review</vt:lpstr>
    </vt:vector>
  </TitlesOfParts>
  <Company>The Department of the Environment</Company>
  <LinksUpToDate>false</LinksUpToDate>
  <CharactersWithSpaces>109172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October 2017 - explanatory statement - Legal Review</dc:title>
  <dc:creator>Sheil, Clement</dc:creator>
  <cp:lastModifiedBy>Luke Robert</cp:lastModifiedBy>
  <cp:revision>2</cp:revision>
  <cp:lastPrinted>2017-10-31T22:03:00Z</cp:lastPrinted>
  <dcterms:created xsi:type="dcterms:W3CDTF">2017-11-14T00:55:00Z</dcterms:created>
  <dcterms:modified xsi:type="dcterms:W3CDTF">2017-11-14T00:55:00Z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0x010100BB2CA5D4910ACE4AADB481B488BD147400FA829B4AF55F244EAE47CDC9BD732406</vt:lpwstr>
  </property>
  <property fmtid="{D5CDD505-2E9C-101B-9397-08002B2CF9AE}" pid="3" name="RecordPoint_ActiveItemUniqueId">
    <vt:lpwstr>{ed586a26-bb43-4f5c-bd49-283b018b84cc}</vt:lpwstr>
  </property>
  <property fmtid="{D5CDD505-2E9C-101B-9397-08002B2CF9AE}" pid="4" name="RecordPoint_WorkflowType">
    <vt:lpwstr>ActiveSubmitStub</vt:lpwstr>
  </property>
  <property fmtid="{D5CDD505-2E9C-101B-9397-08002B2CF9AE}" pid="5" name="RecordPoint_ActiveItemSiteId">
    <vt:lpwstr>{890acc58-830d-4c0f-8f38-0a6dcc0cb92f}</vt:lpwstr>
  </property>
  <property fmtid="{D5CDD505-2E9C-101B-9397-08002B2CF9AE}" pid="6" name="RecordPoint_ActiveItemListId">
    <vt:lpwstr>{1039aa42-d780-4303-ad9d-03640828c2ab}</vt:lpwstr>
  </property>
  <property fmtid="{D5CDD505-2E9C-101B-9397-08002B2CF9AE}" pid="7" name="RecordPoint_ActiveItemWebId">
    <vt:lpwstr>{6d41c480-fa06-4035-a3bb-73cb3d9b74d2}</vt:lpwstr>
  </property>
  <property fmtid="{D5CDD505-2E9C-101B-9397-08002B2CF9AE}" pid="8" name="RecordPoint_SubmissionDate">
    <vt:lpwstr/>
  </property>
  <property fmtid="{D5CDD505-2E9C-101B-9397-08002B2CF9AE}" pid="9" name="RecordPoint_RecordNumberSubmitted">
    <vt:lpwstr>001996405</vt:lpwstr>
  </property>
  <property fmtid="{D5CDD505-2E9C-101B-9397-08002B2CF9AE}" pid="10" name="RecordPoint_ActiveItemMoved">
    <vt:lpwstr/>
  </property>
  <property fmtid="{D5CDD505-2E9C-101B-9397-08002B2CF9AE}" pid="11" name="RecordPoint_SubmissionCompleted">
    <vt:lpwstr>2017-10-12T17:29:57.5430340+11:00</vt:lpwstr>
  </property>
  <property fmtid="{D5CDD505-2E9C-101B-9397-08002B2CF9AE}" pid="12" name="RecordPoint_RecordFormat">
    <vt:lpwstr/>
  </property>
</Properties>
</file>