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13AAF" w:rsidRDefault="00193461" w:rsidP="0020300C">
      <w:pPr>
        <w:rPr>
          <w:sz w:val="28"/>
        </w:rPr>
      </w:pPr>
      <w:r w:rsidRPr="00B13AAF">
        <w:rPr>
          <w:noProof/>
          <w:lang w:eastAsia="en-AU"/>
        </w:rPr>
        <w:drawing>
          <wp:inline distT="0" distB="0" distL="0" distR="0" wp14:anchorId="3CA7CB89" wp14:editId="0C3809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13AAF" w:rsidRDefault="0048364F" w:rsidP="0048364F">
      <w:pPr>
        <w:rPr>
          <w:sz w:val="19"/>
        </w:rPr>
      </w:pPr>
    </w:p>
    <w:p w:rsidR="0048364F" w:rsidRPr="00B13AAF" w:rsidRDefault="00140F98" w:rsidP="0048364F">
      <w:pPr>
        <w:pStyle w:val="ShortT"/>
      </w:pPr>
      <w:r w:rsidRPr="00B13AAF">
        <w:t>High Court Amendment (Fees) Rules</w:t>
      </w:r>
      <w:r w:rsidR="00B13AAF" w:rsidRPr="00B13AAF">
        <w:t> </w:t>
      </w:r>
      <w:r w:rsidRPr="00B13AAF">
        <w:t>2017</w:t>
      </w:r>
    </w:p>
    <w:p w:rsidR="00A16EEF" w:rsidRPr="00B13AAF" w:rsidRDefault="00A16EEF" w:rsidP="00A16EEF">
      <w:pPr>
        <w:pStyle w:val="SignCoverPageStart"/>
        <w:rPr>
          <w:i/>
          <w:szCs w:val="22"/>
        </w:rPr>
      </w:pPr>
      <w:r w:rsidRPr="00B13AAF">
        <w:rPr>
          <w:szCs w:val="22"/>
        </w:rPr>
        <w:t>We, Justices of the High Court of Australia, make the following Rules of Court.</w:t>
      </w:r>
    </w:p>
    <w:p w:rsidR="00A16EEF" w:rsidRPr="00B13AAF" w:rsidRDefault="00A16EEF" w:rsidP="00A16EEF">
      <w:pPr>
        <w:keepNext/>
        <w:spacing w:before="300" w:line="240" w:lineRule="atLeast"/>
        <w:ind w:right="397"/>
        <w:jc w:val="both"/>
        <w:rPr>
          <w:szCs w:val="22"/>
        </w:rPr>
      </w:pPr>
      <w:r w:rsidRPr="00B13AAF">
        <w:rPr>
          <w:szCs w:val="22"/>
        </w:rPr>
        <w:t>Dated</w:t>
      </w:r>
      <w:r w:rsidRPr="00B13AAF">
        <w:rPr>
          <w:szCs w:val="22"/>
        </w:rPr>
        <w:tab/>
      </w:r>
      <w:bookmarkStart w:id="0" w:name="_GoBack"/>
      <w:bookmarkEnd w:id="0"/>
      <w:r w:rsidRPr="00B13AAF">
        <w:rPr>
          <w:szCs w:val="22"/>
        </w:rPr>
        <w:fldChar w:fldCharType="begin"/>
      </w:r>
      <w:r w:rsidRPr="00B13AAF">
        <w:rPr>
          <w:szCs w:val="22"/>
        </w:rPr>
        <w:instrText xml:space="preserve"> DOCPROPERTY  DateMade </w:instrText>
      </w:r>
      <w:r w:rsidRPr="00B13AAF">
        <w:rPr>
          <w:szCs w:val="22"/>
        </w:rPr>
        <w:fldChar w:fldCharType="separate"/>
      </w:r>
      <w:r w:rsidR="00A61134">
        <w:rPr>
          <w:szCs w:val="22"/>
        </w:rPr>
        <w:t>6 November 2017</w:t>
      </w:r>
      <w:r w:rsidRPr="00B13AAF">
        <w:rPr>
          <w:szCs w:val="22"/>
        </w:rPr>
        <w:fldChar w:fldCharType="end"/>
      </w:r>
    </w:p>
    <w:p w:rsidR="00A16EEF" w:rsidRPr="00B13AAF" w:rsidRDefault="00A16EEF" w:rsidP="00A16EEF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 xml:space="preserve">S. M. </w:t>
      </w:r>
      <w:proofErr w:type="spellStart"/>
      <w:r w:rsidRPr="00B13AAF">
        <w:t>Kiefel</w:t>
      </w:r>
      <w:proofErr w:type="spellEnd"/>
    </w:p>
    <w:p w:rsidR="00A16EEF" w:rsidRPr="00B13AAF" w:rsidRDefault="00A16EEF" w:rsidP="00A16EEF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>V. M. Bell</w:t>
      </w:r>
    </w:p>
    <w:p w:rsidR="00A16EEF" w:rsidRPr="00B13AAF" w:rsidRDefault="00A16EEF" w:rsidP="00A16EEF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 xml:space="preserve">S. J. </w:t>
      </w:r>
      <w:proofErr w:type="spellStart"/>
      <w:r w:rsidRPr="00B13AAF">
        <w:t>Gageler</w:t>
      </w:r>
      <w:proofErr w:type="spellEnd"/>
    </w:p>
    <w:p w:rsidR="00A16EEF" w:rsidRPr="00B13AAF" w:rsidRDefault="00A16EEF" w:rsidP="00A16EEF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>P. A. Keane</w:t>
      </w:r>
    </w:p>
    <w:p w:rsidR="00A16EEF" w:rsidRPr="00B13AAF" w:rsidRDefault="00A16EEF" w:rsidP="00A16EEF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>G. A. A. Nettle</w:t>
      </w:r>
    </w:p>
    <w:p w:rsidR="00A16EEF" w:rsidRPr="00B13AAF" w:rsidRDefault="00A16EEF" w:rsidP="00A16EEF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>M. M. Gordon</w:t>
      </w: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  <w:r w:rsidRPr="00B13AAF">
        <w:t>J. J. Edelman</w:t>
      </w:r>
    </w:p>
    <w:p w:rsidR="00A16EEF" w:rsidRPr="00B13AAF" w:rsidRDefault="00A16EEF" w:rsidP="00A16EEF">
      <w:pPr>
        <w:tabs>
          <w:tab w:val="left" w:pos="3402"/>
        </w:tabs>
        <w:spacing w:before="120" w:line="240" w:lineRule="auto"/>
        <w:ind w:left="397" w:right="397"/>
        <w:jc w:val="right"/>
      </w:pPr>
    </w:p>
    <w:p w:rsidR="00A16EEF" w:rsidRPr="00B13AAF" w:rsidRDefault="00A16EEF" w:rsidP="00A16EEF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B13AAF">
        <w:rPr>
          <w:szCs w:val="22"/>
        </w:rPr>
        <w:t>Justices of the High Court of Australia</w:t>
      </w:r>
    </w:p>
    <w:p w:rsidR="00A16EEF" w:rsidRPr="00B13AAF" w:rsidRDefault="00A16EEF" w:rsidP="00A16EEF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B13AAF">
        <w:rPr>
          <w:szCs w:val="22"/>
        </w:rPr>
        <w:t>A. M. Phelan</w:t>
      </w:r>
      <w:r w:rsidRPr="00B13AAF">
        <w:rPr>
          <w:szCs w:val="22"/>
        </w:rPr>
        <w:br/>
        <w:t>Chief Executive and</w:t>
      </w:r>
    </w:p>
    <w:p w:rsidR="00A16EEF" w:rsidRPr="00B13AAF" w:rsidRDefault="00A16EEF" w:rsidP="00A16EEF">
      <w:pPr>
        <w:pStyle w:val="SignCoverPageEnd"/>
      </w:pPr>
      <w:r w:rsidRPr="00B13AAF">
        <w:rPr>
          <w:szCs w:val="22"/>
        </w:rPr>
        <w:t>Principal Registrar</w:t>
      </w:r>
    </w:p>
    <w:p w:rsidR="00A16EEF" w:rsidRPr="00B13AAF" w:rsidRDefault="00A16EEF" w:rsidP="00A16EEF"/>
    <w:p w:rsidR="0048364F" w:rsidRPr="00B13AAF" w:rsidRDefault="0048364F" w:rsidP="0048364F">
      <w:pPr>
        <w:pStyle w:val="Header"/>
        <w:tabs>
          <w:tab w:val="clear" w:pos="4150"/>
          <w:tab w:val="clear" w:pos="8307"/>
        </w:tabs>
      </w:pPr>
      <w:r w:rsidRPr="00B13AAF">
        <w:rPr>
          <w:rStyle w:val="CharAmSchNo"/>
        </w:rPr>
        <w:t xml:space="preserve"> </w:t>
      </w:r>
      <w:r w:rsidRPr="00B13AAF">
        <w:rPr>
          <w:rStyle w:val="CharAmSchText"/>
        </w:rPr>
        <w:t xml:space="preserve"> </w:t>
      </w:r>
    </w:p>
    <w:p w:rsidR="0048364F" w:rsidRPr="00B13AAF" w:rsidRDefault="0048364F" w:rsidP="0048364F">
      <w:pPr>
        <w:pStyle w:val="Header"/>
        <w:tabs>
          <w:tab w:val="clear" w:pos="4150"/>
          <w:tab w:val="clear" w:pos="8307"/>
        </w:tabs>
      </w:pPr>
      <w:r w:rsidRPr="00B13AAF">
        <w:rPr>
          <w:rStyle w:val="CharAmPartNo"/>
        </w:rPr>
        <w:t xml:space="preserve"> </w:t>
      </w:r>
      <w:r w:rsidRPr="00B13AAF">
        <w:rPr>
          <w:rStyle w:val="CharAmPartText"/>
        </w:rPr>
        <w:t xml:space="preserve"> </w:t>
      </w:r>
    </w:p>
    <w:p w:rsidR="0048364F" w:rsidRPr="00B13AAF" w:rsidRDefault="0048364F" w:rsidP="0048364F">
      <w:pPr>
        <w:sectPr w:rsidR="0048364F" w:rsidRPr="00B13AAF" w:rsidSect="007116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13AAF" w:rsidRDefault="0048364F" w:rsidP="007D53B4">
      <w:pPr>
        <w:rPr>
          <w:sz w:val="36"/>
        </w:rPr>
      </w:pPr>
      <w:r w:rsidRPr="00B13AAF">
        <w:rPr>
          <w:sz w:val="36"/>
        </w:rPr>
        <w:lastRenderedPageBreak/>
        <w:t>Contents</w:t>
      </w:r>
    </w:p>
    <w:p w:rsidR="005D0556" w:rsidRPr="00B13AAF" w:rsidRDefault="005D05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3AAF">
        <w:fldChar w:fldCharType="begin"/>
      </w:r>
      <w:r w:rsidRPr="00B13AAF">
        <w:instrText xml:space="preserve"> TOC \o "1-9" </w:instrText>
      </w:r>
      <w:r w:rsidRPr="00B13AAF">
        <w:fldChar w:fldCharType="separate"/>
      </w:r>
      <w:r w:rsidRPr="00B13AAF">
        <w:rPr>
          <w:noProof/>
        </w:rPr>
        <w:t>1</w:t>
      </w:r>
      <w:r w:rsidRPr="00B13AAF">
        <w:rPr>
          <w:noProof/>
        </w:rPr>
        <w:tab/>
        <w:t>Name</w:t>
      </w:r>
      <w:r w:rsidRPr="00B13AAF">
        <w:rPr>
          <w:noProof/>
        </w:rPr>
        <w:tab/>
      </w:r>
      <w:r w:rsidRPr="00B13AAF">
        <w:rPr>
          <w:noProof/>
        </w:rPr>
        <w:fldChar w:fldCharType="begin"/>
      </w:r>
      <w:r w:rsidRPr="00B13AAF">
        <w:rPr>
          <w:noProof/>
        </w:rPr>
        <w:instrText xml:space="preserve"> PAGEREF _Toc497139006 \h </w:instrText>
      </w:r>
      <w:r w:rsidRPr="00B13AAF">
        <w:rPr>
          <w:noProof/>
        </w:rPr>
      </w:r>
      <w:r w:rsidRPr="00B13AAF">
        <w:rPr>
          <w:noProof/>
        </w:rPr>
        <w:fldChar w:fldCharType="separate"/>
      </w:r>
      <w:r w:rsidR="00A61134">
        <w:rPr>
          <w:noProof/>
        </w:rPr>
        <w:t>1</w:t>
      </w:r>
      <w:r w:rsidRPr="00B13AAF">
        <w:rPr>
          <w:noProof/>
        </w:rPr>
        <w:fldChar w:fldCharType="end"/>
      </w:r>
    </w:p>
    <w:p w:rsidR="005D0556" w:rsidRPr="00B13AAF" w:rsidRDefault="005D05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3AAF">
        <w:rPr>
          <w:noProof/>
        </w:rPr>
        <w:t>2</w:t>
      </w:r>
      <w:r w:rsidRPr="00B13AAF">
        <w:rPr>
          <w:noProof/>
        </w:rPr>
        <w:tab/>
        <w:t>Commencement</w:t>
      </w:r>
      <w:r w:rsidRPr="00B13AAF">
        <w:rPr>
          <w:noProof/>
        </w:rPr>
        <w:tab/>
      </w:r>
      <w:r w:rsidRPr="00B13AAF">
        <w:rPr>
          <w:noProof/>
        </w:rPr>
        <w:fldChar w:fldCharType="begin"/>
      </w:r>
      <w:r w:rsidRPr="00B13AAF">
        <w:rPr>
          <w:noProof/>
        </w:rPr>
        <w:instrText xml:space="preserve"> PAGEREF _Toc497139007 \h </w:instrText>
      </w:r>
      <w:r w:rsidRPr="00B13AAF">
        <w:rPr>
          <w:noProof/>
        </w:rPr>
      </w:r>
      <w:r w:rsidRPr="00B13AAF">
        <w:rPr>
          <w:noProof/>
        </w:rPr>
        <w:fldChar w:fldCharType="separate"/>
      </w:r>
      <w:r w:rsidR="00A61134">
        <w:rPr>
          <w:noProof/>
        </w:rPr>
        <w:t>1</w:t>
      </w:r>
      <w:r w:rsidRPr="00B13AAF">
        <w:rPr>
          <w:noProof/>
        </w:rPr>
        <w:fldChar w:fldCharType="end"/>
      </w:r>
    </w:p>
    <w:p w:rsidR="005D0556" w:rsidRPr="00B13AAF" w:rsidRDefault="005D05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3AAF">
        <w:rPr>
          <w:noProof/>
        </w:rPr>
        <w:t>3</w:t>
      </w:r>
      <w:r w:rsidRPr="00B13AAF">
        <w:rPr>
          <w:noProof/>
        </w:rPr>
        <w:tab/>
        <w:t>Authority</w:t>
      </w:r>
      <w:r w:rsidRPr="00B13AAF">
        <w:rPr>
          <w:noProof/>
        </w:rPr>
        <w:tab/>
      </w:r>
      <w:r w:rsidRPr="00B13AAF">
        <w:rPr>
          <w:noProof/>
        </w:rPr>
        <w:fldChar w:fldCharType="begin"/>
      </w:r>
      <w:r w:rsidRPr="00B13AAF">
        <w:rPr>
          <w:noProof/>
        </w:rPr>
        <w:instrText xml:space="preserve"> PAGEREF _Toc497139008 \h </w:instrText>
      </w:r>
      <w:r w:rsidRPr="00B13AAF">
        <w:rPr>
          <w:noProof/>
        </w:rPr>
      </w:r>
      <w:r w:rsidRPr="00B13AAF">
        <w:rPr>
          <w:noProof/>
        </w:rPr>
        <w:fldChar w:fldCharType="separate"/>
      </w:r>
      <w:r w:rsidR="00A61134">
        <w:rPr>
          <w:noProof/>
        </w:rPr>
        <w:t>1</w:t>
      </w:r>
      <w:r w:rsidRPr="00B13AAF">
        <w:rPr>
          <w:noProof/>
        </w:rPr>
        <w:fldChar w:fldCharType="end"/>
      </w:r>
    </w:p>
    <w:p w:rsidR="005D0556" w:rsidRPr="00B13AAF" w:rsidRDefault="005D055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13AAF">
        <w:rPr>
          <w:noProof/>
        </w:rPr>
        <w:t>4</w:t>
      </w:r>
      <w:r w:rsidRPr="00B13AAF">
        <w:rPr>
          <w:noProof/>
        </w:rPr>
        <w:tab/>
        <w:t>Schedules</w:t>
      </w:r>
      <w:r w:rsidRPr="00B13AAF">
        <w:rPr>
          <w:noProof/>
        </w:rPr>
        <w:tab/>
      </w:r>
      <w:r w:rsidRPr="00B13AAF">
        <w:rPr>
          <w:noProof/>
        </w:rPr>
        <w:fldChar w:fldCharType="begin"/>
      </w:r>
      <w:r w:rsidRPr="00B13AAF">
        <w:rPr>
          <w:noProof/>
        </w:rPr>
        <w:instrText xml:space="preserve"> PAGEREF _Toc497139009 \h </w:instrText>
      </w:r>
      <w:r w:rsidRPr="00B13AAF">
        <w:rPr>
          <w:noProof/>
        </w:rPr>
      </w:r>
      <w:r w:rsidRPr="00B13AAF">
        <w:rPr>
          <w:noProof/>
        </w:rPr>
        <w:fldChar w:fldCharType="separate"/>
      </w:r>
      <w:r w:rsidR="00A61134">
        <w:rPr>
          <w:noProof/>
        </w:rPr>
        <w:t>1</w:t>
      </w:r>
      <w:r w:rsidRPr="00B13AAF">
        <w:rPr>
          <w:noProof/>
        </w:rPr>
        <w:fldChar w:fldCharType="end"/>
      </w:r>
    </w:p>
    <w:p w:rsidR="005D0556" w:rsidRPr="00B13AAF" w:rsidRDefault="005D055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13AAF">
        <w:rPr>
          <w:noProof/>
        </w:rPr>
        <w:t>Schedule</w:t>
      </w:r>
      <w:r w:rsidR="00B13AAF" w:rsidRPr="00B13AAF">
        <w:rPr>
          <w:noProof/>
        </w:rPr>
        <w:t> </w:t>
      </w:r>
      <w:r w:rsidRPr="00B13AAF">
        <w:rPr>
          <w:noProof/>
        </w:rPr>
        <w:t>1—Amendments</w:t>
      </w:r>
      <w:r w:rsidRPr="00B13AAF">
        <w:rPr>
          <w:b w:val="0"/>
          <w:noProof/>
          <w:sz w:val="18"/>
        </w:rPr>
        <w:tab/>
      </w:r>
      <w:r w:rsidRPr="00B13AAF">
        <w:rPr>
          <w:b w:val="0"/>
          <w:noProof/>
          <w:sz w:val="18"/>
        </w:rPr>
        <w:fldChar w:fldCharType="begin"/>
      </w:r>
      <w:r w:rsidRPr="00B13AAF">
        <w:rPr>
          <w:b w:val="0"/>
          <w:noProof/>
          <w:sz w:val="18"/>
        </w:rPr>
        <w:instrText xml:space="preserve"> PAGEREF _Toc497139010 \h </w:instrText>
      </w:r>
      <w:r w:rsidRPr="00B13AAF">
        <w:rPr>
          <w:b w:val="0"/>
          <w:noProof/>
          <w:sz w:val="18"/>
        </w:rPr>
      </w:r>
      <w:r w:rsidRPr="00B13AAF">
        <w:rPr>
          <w:b w:val="0"/>
          <w:noProof/>
          <w:sz w:val="18"/>
        </w:rPr>
        <w:fldChar w:fldCharType="separate"/>
      </w:r>
      <w:r w:rsidR="00A61134">
        <w:rPr>
          <w:b w:val="0"/>
          <w:noProof/>
          <w:sz w:val="18"/>
        </w:rPr>
        <w:t>2</w:t>
      </w:r>
      <w:r w:rsidRPr="00B13AAF">
        <w:rPr>
          <w:b w:val="0"/>
          <w:noProof/>
          <w:sz w:val="18"/>
        </w:rPr>
        <w:fldChar w:fldCharType="end"/>
      </w:r>
    </w:p>
    <w:p w:rsidR="005D0556" w:rsidRPr="00B13AAF" w:rsidRDefault="005D055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13AAF">
        <w:rPr>
          <w:noProof/>
        </w:rPr>
        <w:t>High Court Rules</w:t>
      </w:r>
      <w:r w:rsidR="00B13AAF" w:rsidRPr="00B13AAF">
        <w:rPr>
          <w:noProof/>
        </w:rPr>
        <w:t> </w:t>
      </w:r>
      <w:r w:rsidRPr="00B13AAF">
        <w:rPr>
          <w:noProof/>
        </w:rPr>
        <w:t>2004</w:t>
      </w:r>
      <w:r w:rsidRPr="00B13AAF">
        <w:rPr>
          <w:i w:val="0"/>
          <w:noProof/>
          <w:sz w:val="18"/>
        </w:rPr>
        <w:tab/>
      </w:r>
      <w:r w:rsidRPr="00B13AAF">
        <w:rPr>
          <w:i w:val="0"/>
          <w:noProof/>
          <w:sz w:val="18"/>
        </w:rPr>
        <w:fldChar w:fldCharType="begin"/>
      </w:r>
      <w:r w:rsidRPr="00B13AAF">
        <w:rPr>
          <w:i w:val="0"/>
          <w:noProof/>
          <w:sz w:val="18"/>
        </w:rPr>
        <w:instrText xml:space="preserve"> PAGEREF _Toc497139011 \h </w:instrText>
      </w:r>
      <w:r w:rsidRPr="00B13AAF">
        <w:rPr>
          <w:i w:val="0"/>
          <w:noProof/>
          <w:sz w:val="18"/>
        </w:rPr>
      </w:r>
      <w:r w:rsidRPr="00B13AAF">
        <w:rPr>
          <w:i w:val="0"/>
          <w:noProof/>
          <w:sz w:val="18"/>
        </w:rPr>
        <w:fldChar w:fldCharType="separate"/>
      </w:r>
      <w:r w:rsidR="00A61134">
        <w:rPr>
          <w:i w:val="0"/>
          <w:noProof/>
          <w:sz w:val="18"/>
        </w:rPr>
        <w:t>2</w:t>
      </w:r>
      <w:r w:rsidRPr="00B13AAF">
        <w:rPr>
          <w:i w:val="0"/>
          <w:noProof/>
          <w:sz w:val="18"/>
        </w:rPr>
        <w:fldChar w:fldCharType="end"/>
      </w:r>
    </w:p>
    <w:p w:rsidR="0048364F" w:rsidRPr="00B13AAF" w:rsidRDefault="005D0556" w:rsidP="0048364F">
      <w:r w:rsidRPr="00B13AAF">
        <w:fldChar w:fldCharType="end"/>
      </w:r>
    </w:p>
    <w:p w:rsidR="0048364F" w:rsidRPr="00B13AAF" w:rsidRDefault="0048364F" w:rsidP="0048364F">
      <w:pPr>
        <w:sectPr w:rsidR="0048364F" w:rsidRPr="00B13AAF" w:rsidSect="007116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13AAF" w:rsidRDefault="0048364F" w:rsidP="0048364F">
      <w:pPr>
        <w:pStyle w:val="ActHead5"/>
      </w:pPr>
      <w:bookmarkStart w:id="1" w:name="_Toc497139006"/>
      <w:r w:rsidRPr="00B13AAF">
        <w:rPr>
          <w:rStyle w:val="CharSectno"/>
        </w:rPr>
        <w:lastRenderedPageBreak/>
        <w:t>1</w:t>
      </w:r>
      <w:r w:rsidRPr="00B13AAF">
        <w:t xml:space="preserve">  </w:t>
      </w:r>
      <w:r w:rsidR="004F676E" w:rsidRPr="00B13AAF">
        <w:t>Name</w:t>
      </w:r>
      <w:bookmarkEnd w:id="1"/>
    </w:p>
    <w:p w:rsidR="0048364F" w:rsidRPr="00B13AAF" w:rsidRDefault="0048364F" w:rsidP="0048364F">
      <w:pPr>
        <w:pStyle w:val="subsection"/>
      </w:pPr>
      <w:r w:rsidRPr="00B13AAF">
        <w:tab/>
      </w:r>
      <w:r w:rsidRPr="00B13AAF">
        <w:tab/>
      </w:r>
      <w:r w:rsidR="00140F98" w:rsidRPr="00B13AAF">
        <w:t>These Rules are</w:t>
      </w:r>
      <w:r w:rsidRPr="00B13AAF">
        <w:t xml:space="preserve"> the </w:t>
      </w:r>
      <w:r w:rsidR="00414ADE" w:rsidRPr="00B13AAF">
        <w:rPr>
          <w:i/>
        </w:rPr>
        <w:fldChar w:fldCharType="begin"/>
      </w:r>
      <w:r w:rsidR="00414ADE" w:rsidRPr="00B13AAF">
        <w:rPr>
          <w:i/>
        </w:rPr>
        <w:instrText xml:space="preserve"> STYLEREF  ShortT </w:instrText>
      </w:r>
      <w:r w:rsidR="00414ADE" w:rsidRPr="00B13AAF">
        <w:rPr>
          <w:i/>
        </w:rPr>
        <w:fldChar w:fldCharType="separate"/>
      </w:r>
      <w:r w:rsidR="00A61134">
        <w:rPr>
          <w:i/>
          <w:noProof/>
        </w:rPr>
        <w:t>High Court Amendment (Fees) Rules 2017</w:t>
      </w:r>
      <w:r w:rsidR="00414ADE" w:rsidRPr="00B13AAF">
        <w:rPr>
          <w:i/>
        </w:rPr>
        <w:fldChar w:fldCharType="end"/>
      </w:r>
      <w:r w:rsidRPr="00B13AAF">
        <w:t>.</w:t>
      </w:r>
    </w:p>
    <w:p w:rsidR="004F676E" w:rsidRPr="00B13AAF" w:rsidRDefault="0048364F" w:rsidP="005452CC">
      <w:pPr>
        <w:pStyle w:val="ActHead5"/>
      </w:pPr>
      <w:bookmarkStart w:id="2" w:name="_Toc497139007"/>
      <w:r w:rsidRPr="00B13AAF">
        <w:rPr>
          <w:rStyle w:val="CharSectno"/>
        </w:rPr>
        <w:t>2</w:t>
      </w:r>
      <w:r w:rsidRPr="00B13AAF">
        <w:t xml:space="preserve">  Commencement</w:t>
      </w:r>
      <w:bookmarkEnd w:id="2"/>
    </w:p>
    <w:p w:rsidR="005452CC" w:rsidRPr="00B13AAF" w:rsidRDefault="005452CC" w:rsidP="00593449">
      <w:pPr>
        <w:pStyle w:val="subsection"/>
      </w:pPr>
      <w:r w:rsidRPr="00B13AAF">
        <w:tab/>
        <w:t>(1)</w:t>
      </w:r>
      <w:r w:rsidRPr="00B13AAF">
        <w:tab/>
        <w:t xml:space="preserve">Each provision of </w:t>
      </w:r>
      <w:r w:rsidR="00140F98" w:rsidRPr="00B13AAF">
        <w:t>these Rules</w:t>
      </w:r>
      <w:r w:rsidRPr="00B13AA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13AA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13AAF" w:rsidTr="00A16EE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Commencement information</w:t>
            </w:r>
          </w:p>
        </w:tc>
      </w:tr>
      <w:tr w:rsidR="005452CC" w:rsidRPr="00B13AAF" w:rsidTr="00A16EE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Column 3</w:t>
            </w:r>
          </w:p>
        </w:tc>
      </w:tr>
      <w:tr w:rsidR="005452CC" w:rsidRPr="00B13AAF" w:rsidTr="00A16EE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3AAF" w:rsidRDefault="005452CC" w:rsidP="00612709">
            <w:pPr>
              <w:pStyle w:val="TableHeading"/>
            </w:pPr>
            <w:r w:rsidRPr="00B13AAF">
              <w:t>Date/Details</w:t>
            </w:r>
          </w:p>
        </w:tc>
      </w:tr>
      <w:tr w:rsidR="005452CC" w:rsidRPr="00B13AAF" w:rsidTr="00A16EE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3AAF" w:rsidRDefault="005452CC" w:rsidP="00A16EEF">
            <w:pPr>
              <w:pStyle w:val="Tabletext"/>
            </w:pPr>
            <w:r w:rsidRPr="00B13AAF">
              <w:t xml:space="preserve">1.  </w:t>
            </w:r>
            <w:r w:rsidR="00A16EEF" w:rsidRPr="00B13AAF">
              <w:t xml:space="preserve">The whole of </w:t>
            </w:r>
            <w:r w:rsidR="00140F98" w:rsidRPr="00B13AAF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3AAF" w:rsidRDefault="00A16EEF" w:rsidP="005452CC">
            <w:pPr>
              <w:pStyle w:val="Tabletext"/>
            </w:pPr>
            <w:r w:rsidRPr="00B13AAF">
              <w:t>1</w:t>
            </w:r>
            <w:r w:rsidR="00B13AAF" w:rsidRPr="00B13AAF">
              <w:t> </w:t>
            </w:r>
            <w:r w:rsidRPr="00B13AAF">
              <w:t>January 2018</w:t>
            </w:r>
            <w:r w:rsidR="005452CC" w:rsidRPr="00B13AAF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13AAF" w:rsidRDefault="00A16EEF">
            <w:pPr>
              <w:pStyle w:val="Tabletext"/>
            </w:pPr>
            <w:r w:rsidRPr="00B13AAF">
              <w:t>1</w:t>
            </w:r>
            <w:r w:rsidR="00B13AAF" w:rsidRPr="00B13AAF">
              <w:t> </w:t>
            </w:r>
            <w:r w:rsidRPr="00B13AAF">
              <w:t>January 2018</w:t>
            </w:r>
          </w:p>
        </w:tc>
      </w:tr>
    </w:tbl>
    <w:p w:rsidR="005452CC" w:rsidRPr="00B13AAF" w:rsidRDefault="005452CC" w:rsidP="00D21F74">
      <w:pPr>
        <w:pStyle w:val="notetext"/>
      </w:pPr>
      <w:r w:rsidRPr="00B13AAF">
        <w:rPr>
          <w:snapToGrid w:val="0"/>
          <w:lang w:eastAsia="en-US"/>
        </w:rPr>
        <w:t>Note:</w:t>
      </w:r>
      <w:r w:rsidRPr="00B13AAF">
        <w:rPr>
          <w:snapToGrid w:val="0"/>
          <w:lang w:eastAsia="en-US"/>
        </w:rPr>
        <w:tab/>
        <w:t xml:space="preserve">This table relates only to the provisions of </w:t>
      </w:r>
      <w:r w:rsidR="00140F98" w:rsidRPr="00B13AAF">
        <w:rPr>
          <w:snapToGrid w:val="0"/>
          <w:lang w:eastAsia="en-US"/>
        </w:rPr>
        <w:t>these Rules</w:t>
      </w:r>
      <w:r w:rsidRPr="00B13AAF">
        <w:t xml:space="preserve"> </w:t>
      </w:r>
      <w:r w:rsidRPr="00B13AAF">
        <w:rPr>
          <w:snapToGrid w:val="0"/>
          <w:lang w:eastAsia="en-US"/>
        </w:rPr>
        <w:t xml:space="preserve">as originally made. It will not be amended to deal with any later amendments of </w:t>
      </w:r>
      <w:r w:rsidR="00140F98" w:rsidRPr="00B13AAF">
        <w:rPr>
          <w:snapToGrid w:val="0"/>
          <w:lang w:eastAsia="en-US"/>
        </w:rPr>
        <w:t>these Rules</w:t>
      </w:r>
      <w:r w:rsidRPr="00B13AAF">
        <w:rPr>
          <w:snapToGrid w:val="0"/>
          <w:lang w:eastAsia="en-US"/>
        </w:rPr>
        <w:t>.</w:t>
      </w:r>
    </w:p>
    <w:p w:rsidR="005452CC" w:rsidRPr="00B13AAF" w:rsidRDefault="005452CC" w:rsidP="00D455E3">
      <w:pPr>
        <w:pStyle w:val="subsection"/>
      </w:pPr>
      <w:r w:rsidRPr="00B13AAF">
        <w:tab/>
        <w:t>(2)</w:t>
      </w:r>
      <w:r w:rsidRPr="00B13AAF">
        <w:tab/>
        <w:t xml:space="preserve">Any information in column 3 of the table is not part of </w:t>
      </w:r>
      <w:r w:rsidR="00140F98" w:rsidRPr="00B13AAF">
        <w:t>these Rules</w:t>
      </w:r>
      <w:r w:rsidRPr="00B13AAF">
        <w:t xml:space="preserve">. Information may be inserted in this column, or information in it may be edited, in any published version of </w:t>
      </w:r>
      <w:r w:rsidR="00140F98" w:rsidRPr="00B13AAF">
        <w:t>these Rules</w:t>
      </w:r>
      <w:r w:rsidRPr="00B13AAF">
        <w:t>.</w:t>
      </w:r>
    </w:p>
    <w:p w:rsidR="00A16EEF" w:rsidRPr="00B13AAF" w:rsidRDefault="00A16EEF" w:rsidP="00A16EEF">
      <w:pPr>
        <w:pStyle w:val="ActHead5"/>
      </w:pPr>
      <w:bookmarkStart w:id="3" w:name="_Toc497139008"/>
      <w:r w:rsidRPr="00B13AAF">
        <w:rPr>
          <w:rStyle w:val="CharSectno"/>
        </w:rPr>
        <w:t>3</w:t>
      </w:r>
      <w:r w:rsidRPr="00B13AAF">
        <w:t xml:space="preserve">  Authority</w:t>
      </w:r>
      <w:bookmarkEnd w:id="3"/>
    </w:p>
    <w:p w:rsidR="00A16EEF" w:rsidRPr="00B13AAF" w:rsidRDefault="00A16EEF" w:rsidP="00A16EEF">
      <w:pPr>
        <w:pStyle w:val="subsection"/>
      </w:pPr>
      <w:r w:rsidRPr="00B13AAF">
        <w:tab/>
      </w:r>
      <w:r w:rsidRPr="00B13AAF">
        <w:tab/>
        <w:t>These Rules are made under the following:</w:t>
      </w:r>
    </w:p>
    <w:p w:rsidR="00A16EEF" w:rsidRPr="00B13AAF" w:rsidRDefault="00A16EEF" w:rsidP="00A16EEF">
      <w:pPr>
        <w:pStyle w:val="paragraph"/>
      </w:pPr>
      <w:r w:rsidRPr="00B13AAF">
        <w:tab/>
        <w:t>(a)</w:t>
      </w:r>
      <w:r w:rsidRPr="00B13AAF">
        <w:tab/>
        <w:t xml:space="preserve">the </w:t>
      </w:r>
      <w:r w:rsidRPr="00B13AAF">
        <w:rPr>
          <w:i/>
        </w:rPr>
        <w:t>Judiciary Act 1903</w:t>
      </w:r>
      <w:r w:rsidRPr="00B13AAF">
        <w:t>;</w:t>
      </w:r>
    </w:p>
    <w:p w:rsidR="00A16EEF" w:rsidRPr="00B13AAF" w:rsidRDefault="00A16EEF" w:rsidP="00A16EEF">
      <w:pPr>
        <w:pStyle w:val="paragraph"/>
      </w:pPr>
      <w:r w:rsidRPr="00B13AAF">
        <w:tab/>
        <w:t>(b)</w:t>
      </w:r>
      <w:r w:rsidRPr="00B13AAF">
        <w:tab/>
        <w:t xml:space="preserve">the </w:t>
      </w:r>
      <w:r w:rsidRPr="00B13AAF">
        <w:rPr>
          <w:i/>
        </w:rPr>
        <w:t>Commonwealth Electoral Act 1918</w:t>
      </w:r>
      <w:r w:rsidRPr="00B13AAF">
        <w:t>;</w:t>
      </w:r>
    </w:p>
    <w:p w:rsidR="00A16EEF" w:rsidRPr="00B13AAF" w:rsidRDefault="00A16EEF" w:rsidP="00A16EEF">
      <w:pPr>
        <w:pStyle w:val="paragraph"/>
      </w:pPr>
      <w:r w:rsidRPr="00B13AAF">
        <w:tab/>
        <w:t>(c)</w:t>
      </w:r>
      <w:r w:rsidRPr="00B13AAF">
        <w:tab/>
        <w:t xml:space="preserve">the </w:t>
      </w:r>
      <w:r w:rsidRPr="00B13AAF">
        <w:rPr>
          <w:i/>
        </w:rPr>
        <w:t>Nauru (High Court Appeals) Act 1976</w:t>
      </w:r>
      <w:r w:rsidRPr="00B13AAF">
        <w:t>;</w:t>
      </w:r>
    </w:p>
    <w:p w:rsidR="00A16EEF" w:rsidRPr="00B13AAF" w:rsidRDefault="00A16EEF" w:rsidP="00A16EEF">
      <w:pPr>
        <w:pStyle w:val="paragraph"/>
      </w:pPr>
      <w:r w:rsidRPr="00B13AAF">
        <w:tab/>
        <w:t>(d)</w:t>
      </w:r>
      <w:r w:rsidRPr="00B13AAF">
        <w:tab/>
        <w:t xml:space="preserve">the </w:t>
      </w:r>
      <w:r w:rsidRPr="00B13AAF">
        <w:rPr>
          <w:i/>
        </w:rPr>
        <w:t>High Court of Australia Act 1979</w:t>
      </w:r>
      <w:r w:rsidRPr="00B13AAF">
        <w:t>.</w:t>
      </w:r>
    </w:p>
    <w:p w:rsidR="00557C7A" w:rsidRPr="00B13AAF" w:rsidRDefault="00BF6650" w:rsidP="00557C7A">
      <w:pPr>
        <w:pStyle w:val="ActHead5"/>
      </w:pPr>
      <w:bookmarkStart w:id="4" w:name="_Toc497139009"/>
      <w:r w:rsidRPr="00B13AAF">
        <w:rPr>
          <w:rStyle w:val="CharSectno"/>
        </w:rPr>
        <w:t>4</w:t>
      </w:r>
      <w:r w:rsidR="00557C7A" w:rsidRPr="00B13AAF">
        <w:t xml:space="preserve">  </w:t>
      </w:r>
      <w:r w:rsidR="00083F48" w:rsidRPr="00B13AAF">
        <w:t>Schedules</w:t>
      </w:r>
      <w:bookmarkEnd w:id="4"/>
    </w:p>
    <w:p w:rsidR="00557C7A" w:rsidRPr="00B13AAF" w:rsidRDefault="00557C7A" w:rsidP="00557C7A">
      <w:pPr>
        <w:pStyle w:val="subsection"/>
      </w:pPr>
      <w:r w:rsidRPr="00B13AAF">
        <w:tab/>
      </w:r>
      <w:r w:rsidRPr="00B13AAF">
        <w:tab/>
      </w:r>
      <w:r w:rsidR="00083F48" w:rsidRPr="00B13AAF">
        <w:t xml:space="preserve">Each </w:t>
      </w:r>
      <w:r w:rsidR="00160BD7" w:rsidRPr="00B13AAF">
        <w:t>instrument</w:t>
      </w:r>
      <w:r w:rsidR="00083F48" w:rsidRPr="00B13AAF">
        <w:t xml:space="preserve"> that is specified in a Schedule to </w:t>
      </w:r>
      <w:r w:rsidR="00140F98" w:rsidRPr="00B13AAF">
        <w:t>these Rules</w:t>
      </w:r>
      <w:r w:rsidR="00083F48" w:rsidRPr="00B13AAF">
        <w:t xml:space="preserve"> is amended or repealed as set out in the applicable items in the Schedule concerned, and any other item in a Schedule to </w:t>
      </w:r>
      <w:r w:rsidR="00140F98" w:rsidRPr="00B13AAF">
        <w:t>these Rules</w:t>
      </w:r>
      <w:r w:rsidR="00083F48" w:rsidRPr="00B13AAF">
        <w:t xml:space="preserve"> has effect according to its terms.</w:t>
      </w:r>
    </w:p>
    <w:p w:rsidR="00A16EEF" w:rsidRPr="00B13AAF" w:rsidRDefault="00A16EEF" w:rsidP="00A16EEF">
      <w:pPr>
        <w:pStyle w:val="ActHead6"/>
        <w:pageBreakBefore/>
      </w:pPr>
      <w:bookmarkStart w:id="5" w:name="_Toc497139010"/>
      <w:bookmarkStart w:id="6" w:name="opcAmSched"/>
      <w:bookmarkStart w:id="7" w:name="opcCurrentFind"/>
      <w:r w:rsidRPr="00B13AAF">
        <w:rPr>
          <w:rStyle w:val="CharAmSchNo"/>
        </w:rPr>
        <w:lastRenderedPageBreak/>
        <w:t>Schedule</w:t>
      </w:r>
      <w:r w:rsidR="00B13AAF" w:rsidRPr="00B13AAF">
        <w:rPr>
          <w:rStyle w:val="CharAmSchNo"/>
        </w:rPr>
        <w:t> </w:t>
      </w:r>
      <w:r w:rsidRPr="00B13AAF">
        <w:rPr>
          <w:rStyle w:val="CharAmSchNo"/>
        </w:rPr>
        <w:t>1</w:t>
      </w:r>
      <w:r w:rsidRPr="00B13AAF">
        <w:t>—</w:t>
      </w:r>
      <w:r w:rsidRPr="00B13AAF">
        <w:rPr>
          <w:rStyle w:val="CharAmSchText"/>
        </w:rPr>
        <w:t>Amendments</w:t>
      </w:r>
      <w:bookmarkEnd w:id="5"/>
    </w:p>
    <w:bookmarkEnd w:id="6"/>
    <w:bookmarkEnd w:id="7"/>
    <w:p w:rsidR="00F31E52" w:rsidRPr="00B13AAF" w:rsidRDefault="00F31E52" w:rsidP="00F31E52">
      <w:pPr>
        <w:pStyle w:val="Header"/>
      </w:pPr>
      <w:r w:rsidRPr="00B13AAF">
        <w:rPr>
          <w:rStyle w:val="CharAmPartNo"/>
        </w:rPr>
        <w:t xml:space="preserve"> </w:t>
      </w:r>
      <w:r w:rsidRPr="00B13AAF">
        <w:rPr>
          <w:rStyle w:val="CharAmPartText"/>
        </w:rPr>
        <w:t xml:space="preserve"> </w:t>
      </w:r>
    </w:p>
    <w:p w:rsidR="00A16EEF" w:rsidRPr="00B13AAF" w:rsidRDefault="00A16EEF" w:rsidP="00A16EEF">
      <w:pPr>
        <w:pStyle w:val="ActHead9"/>
      </w:pPr>
      <w:bookmarkStart w:id="8" w:name="_Toc497139011"/>
      <w:r w:rsidRPr="00B13AAF">
        <w:t>High Court Rules</w:t>
      </w:r>
      <w:r w:rsidR="00B13AAF" w:rsidRPr="00B13AAF">
        <w:t> </w:t>
      </w:r>
      <w:r w:rsidRPr="00B13AAF">
        <w:t>2004</w:t>
      </w:r>
      <w:bookmarkEnd w:id="8"/>
    </w:p>
    <w:p w:rsidR="00F31E52" w:rsidRPr="00B13AAF" w:rsidRDefault="00F31E52" w:rsidP="00F31E52">
      <w:pPr>
        <w:pStyle w:val="ItemHead"/>
      </w:pPr>
      <w:r w:rsidRPr="00B13AAF">
        <w:t>1  Schedule</w:t>
      </w:r>
      <w:r w:rsidR="00B13AAF" w:rsidRPr="00B13AAF">
        <w:t> </w:t>
      </w:r>
      <w:r w:rsidRPr="00B13AAF">
        <w:t>2</w:t>
      </w:r>
    </w:p>
    <w:p w:rsidR="00F31E52" w:rsidRPr="00B13AAF" w:rsidRDefault="00F31E52" w:rsidP="00F31E52">
      <w:pPr>
        <w:pStyle w:val="Item"/>
      </w:pPr>
      <w:r w:rsidRPr="00B13AAF">
        <w:t>Repeal the Schedule, substitute:</w:t>
      </w:r>
    </w:p>
    <w:p w:rsidR="00F31E52" w:rsidRPr="00B13AAF" w:rsidRDefault="00F31E52" w:rsidP="00F31E52">
      <w:pPr>
        <w:pStyle w:val="ActHead1"/>
      </w:pPr>
      <w:bookmarkStart w:id="9" w:name="_Toc497139012"/>
      <w:r w:rsidRPr="00B13AAF">
        <w:rPr>
          <w:rStyle w:val="CharChapNo"/>
        </w:rPr>
        <w:t>Schedule</w:t>
      </w:r>
      <w:r w:rsidR="00B13AAF" w:rsidRPr="00B13AAF">
        <w:rPr>
          <w:rStyle w:val="CharChapNo"/>
        </w:rPr>
        <w:t> </w:t>
      </w:r>
      <w:r w:rsidRPr="00B13AAF">
        <w:rPr>
          <w:rStyle w:val="CharChapNo"/>
        </w:rPr>
        <w:t>2</w:t>
      </w:r>
      <w:r w:rsidRPr="00B13AAF">
        <w:t>—</w:t>
      </w:r>
      <w:r w:rsidRPr="00B13AAF">
        <w:rPr>
          <w:rStyle w:val="CharChapText"/>
        </w:rPr>
        <w:t>Fees for work done and services performed</w:t>
      </w:r>
      <w:bookmarkEnd w:id="9"/>
    </w:p>
    <w:p w:rsidR="00F31E52" w:rsidRPr="00B13AAF" w:rsidRDefault="00F31E52" w:rsidP="00F31E52">
      <w:pPr>
        <w:pStyle w:val="notemargin"/>
      </w:pPr>
      <w:r w:rsidRPr="00B13AAF">
        <w:t>Note:</w:t>
      </w:r>
      <w:r w:rsidRPr="00B13AAF">
        <w:tab/>
        <w:t>See rule</w:t>
      </w:r>
      <w:r w:rsidR="00B13AAF" w:rsidRPr="00B13AAF">
        <w:t> </w:t>
      </w:r>
      <w:r w:rsidRPr="00B13AAF">
        <w:t>52.02.</w:t>
      </w:r>
    </w:p>
    <w:p w:rsidR="00F31E52" w:rsidRPr="00B13AAF" w:rsidRDefault="00F31E52" w:rsidP="00F31E52">
      <w:pPr>
        <w:pStyle w:val="Header"/>
      </w:pPr>
      <w:bookmarkStart w:id="10" w:name="f_Check_Lines_below"/>
      <w:bookmarkEnd w:id="10"/>
      <w:r w:rsidRPr="00B13AAF">
        <w:rPr>
          <w:rStyle w:val="CharPartNo"/>
        </w:rPr>
        <w:t xml:space="preserve"> </w:t>
      </w:r>
      <w:r w:rsidRPr="00B13AAF">
        <w:rPr>
          <w:rStyle w:val="CharPartText"/>
        </w:rPr>
        <w:t xml:space="preserve"> </w:t>
      </w:r>
    </w:p>
    <w:p w:rsidR="00F31E52" w:rsidRPr="00B13AAF" w:rsidRDefault="00F31E52" w:rsidP="00F31E52">
      <w:pPr>
        <w:pStyle w:val="Header"/>
      </w:pPr>
      <w:r w:rsidRPr="00B13AAF">
        <w:rPr>
          <w:rStyle w:val="CharDivNo"/>
        </w:rPr>
        <w:t xml:space="preserve"> </w:t>
      </w:r>
      <w:r w:rsidRPr="00B13AAF">
        <w:rPr>
          <w:rStyle w:val="CharDivText"/>
        </w:rPr>
        <w:t xml:space="preserve"> </w:t>
      </w:r>
    </w:p>
    <w:p w:rsidR="00F31E52" w:rsidRPr="00B13AAF" w:rsidRDefault="00F31E52" w:rsidP="00F31E52">
      <w:pPr>
        <w:pStyle w:val="ActHead5"/>
      </w:pPr>
      <w:bookmarkStart w:id="11" w:name="_Toc497139013"/>
      <w:r w:rsidRPr="00B13AAF">
        <w:rPr>
          <w:rStyle w:val="CharSectno"/>
        </w:rPr>
        <w:t>1</w:t>
      </w:r>
      <w:r w:rsidRPr="00B13AAF">
        <w:t xml:space="preserve">  Application of this Schedule</w:t>
      </w:r>
      <w:bookmarkEnd w:id="11"/>
    </w:p>
    <w:p w:rsidR="00F31E52" w:rsidRPr="00B13AAF" w:rsidRDefault="00F31E52" w:rsidP="00F31E52">
      <w:pPr>
        <w:pStyle w:val="subsection"/>
      </w:pPr>
      <w:r w:rsidRPr="00B13AAF">
        <w:tab/>
      </w:r>
      <w:r w:rsidRPr="00B13AAF">
        <w:tab/>
        <w:t xml:space="preserve">This Schedule, as substituted by the </w:t>
      </w:r>
      <w:r w:rsidRPr="00B13AAF">
        <w:rPr>
          <w:i/>
        </w:rPr>
        <w:t>High Court Amendment (Fees) Rules</w:t>
      </w:r>
      <w:r w:rsidR="00B13AAF" w:rsidRPr="00B13AAF">
        <w:rPr>
          <w:i/>
        </w:rPr>
        <w:t> </w:t>
      </w:r>
      <w:r w:rsidR="0085130C" w:rsidRPr="00B13AAF">
        <w:rPr>
          <w:i/>
        </w:rPr>
        <w:t>2017</w:t>
      </w:r>
      <w:r w:rsidRPr="00B13AAF">
        <w:t>, applies to work done or services performed on or after 1</w:t>
      </w:r>
      <w:r w:rsidR="00B13AAF" w:rsidRPr="00B13AAF">
        <w:t> </w:t>
      </w:r>
      <w:r w:rsidRPr="00B13AAF">
        <w:t>January 2018.</w:t>
      </w:r>
    </w:p>
    <w:p w:rsidR="00F31E52" w:rsidRPr="00B13AAF" w:rsidRDefault="00F31E52" w:rsidP="00F31E52">
      <w:pPr>
        <w:pStyle w:val="ActHead5"/>
      </w:pPr>
      <w:bookmarkStart w:id="12" w:name="_Toc497139014"/>
      <w:r w:rsidRPr="00B13AAF">
        <w:rPr>
          <w:rStyle w:val="CharSectno"/>
        </w:rPr>
        <w:t>2</w:t>
      </w:r>
      <w:r w:rsidRPr="00B13AAF">
        <w:t xml:space="preserve">  Fees for work done and services performed</w:t>
      </w:r>
      <w:bookmarkEnd w:id="12"/>
    </w:p>
    <w:p w:rsidR="00F31E52" w:rsidRPr="00B13AAF" w:rsidRDefault="00F31E52" w:rsidP="00F31E52">
      <w:pPr>
        <w:pStyle w:val="subsection"/>
      </w:pPr>
      <w:r w:rsidRPr="00B13AAF">
        <w:tab/>
      </w:r>
      <w:r w:rsidRPr="00B13AAF">
        <w:tab/>
        <w:t>The following table sets out the fees allowable for work done and services performed.</w:t>
      </w:r>
    </w:p>
    <w:p w:rsidR="00F31E52" w:rsidRPr="00B13AAF" w:rsidRDefault="00F31E52" w:rsidP="00F31E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6025"/>
        <w:gridCol w:w="1735"/>
      </w:tblGrid>
      <w:tr w:rsidR="00F31E52" w:rsidRPr="00B13AAF" w:rsidTr="008258F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Fees for work done and services performed</w:t>
            </w:r>
          </w:p>
        </w:tc>
      </w:tr>
      <w:tr w:rsidR="00F31E52" w:rsidRPr="00B13AAF" w:rsidTr="008258F5">
        <w:trPr>
          <w:tblHeader/>
        </w:trPr>
        <w:tc>
          <w:tcPr>
            <w:tcW w:w="45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Item</w:t>
            </w:r>
          </w:p>
        </w:tc>
        <w:tc>
          <w:tcPr>
            <w:tcW w:w="353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Matter for which fee may be charged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Fee</w:t>
            </w:r>
          </w:p>
        </w:tc>
      </w:tr>
      <w:tr w:rsidR="00F31E52" w:rsidRPr="00B13AAF" w:rsidTr="008258F5">
        <w:tc>
          <w:tcPr>
            <w:tcW w:w="451" w:type="pct"/>
            <w:tcBorders>
              <w:top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tcBorders>
              <w:top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INSTRUCTIONS</w:t>
            </w:r>
          </w:p>
        </w:tc>
        <w:tc>
          <w:tcPr>
            <w:tcW w:w="1017" w:type="pct"/>
            <w:tcBorders>
              <w:top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Instructions to commence or oppose a proceeding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$533.70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2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Instructions to make or oppose any interlocutory application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$266.90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3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Instructions to prepare any pleading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$266.90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4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Instructions to brief counsel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$266.90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5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Instructions to do any other thing not otherwise provided for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$266.90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PREPARING DOCUMENTS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6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Preparing any document, other than court books and correspondence: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by a solicitor, if 5 minutes or less;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$42.70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by a solicitor, if more than 5 minutes;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$133.45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(c) by a law clerk, if 5 minutes or less;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$21.35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(d) by a law clerk, if more than 5 minutes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$66.75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PREPARING COURT BOOKS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7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Preparing court books, including application books, appeal books, case stated books, special case books and questions reserved books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  <w:rPr>
                <w:i/>
              </w:rPr>
            </w:pPr>
            <w:r w:rsidRPr="00B13AAF">
              <w:t>$133</w:t>
            </w:r>
            <w:r w:rsidR="007D53B4" w:rsidRPr="00B13AAF">
              <w:t>.4</w:t>
            </w:r>
            <w:r w:rsidRPr="00B13AAF">
              <w:t>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8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If court books are prepared in</w:t>
            </w:r>
            <w:r w:rsidR="00B13AAF">
              <w:noBreakHyphen/>
            </w:r>
            <w:r w:rsidRPr="00B13AAF">
              <w:t>house, the Taxing Officer may allow a reasonable amount in the circumstances for their copying and binding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PREPARING CORRESPONDENCE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9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Preparing: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simple correspondence;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$53.40 per page of text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other correspondence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$133.45 per page of text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READING DOCUMENTS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10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Reading: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simple correspondence;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$10.70 per page of text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other correspondence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$133.45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11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Reading documents, other than correspondence: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up to 10 pages of text;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$10.70 per page of text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otherwise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$133.45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EXAMINING DOCUMENTS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12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Examining a document to ensure that it is correct or complete (for example, a proof print of a court book):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up to 10 pages of text;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$5.35 per page of text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otherwise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$66.75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COPYING DOCUMENTS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13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Copying documents: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black and white photocopies;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54 cents per page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colour photocopies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$1.65 per page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ATTENDANCES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14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Attendances, including telephone attendances, research, conferences with clients, conferences with counsel and attendances at Court to file or collect documents: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by a solicitor, if 5 minutes or less;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$42.70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by a solicitor, if more than 5 minutes;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$133.4</w:t>
            </w:r>
            <w:r w:rsidR="00F31E52" w:rsidRPr="00B13AAF">
              <w:t>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(c) by a law clerk, if 5 minutes or less;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$21.3</w:t>
            </w:r>
            <w:r w:rsidR="00F31E52" w:rsidRPr="00B13AAF">
              <w:t>5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(d) by a law clerk, if more than 5 minutes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$66.75</w:t>
            </w:r>
            <w:r w:rsidR="00F31E52" w:rsidRPr="00B13AAF">
              <w:t xml:space="preserve">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  <w:keepNext/>
            </w:pPr>
            <w:r w:rsidRPr="00B13AAF">
              <w:lastRenderedPageBreak/>
              <w:t>15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  <w:keepNext/>
            </w:pPr>
            <w:r w:rsidRPr="00B13AAF">
              <w:t>Attendances in Court, including travelling time to and from Court: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rPr>
          <w:cantSplit/>
        </w:trPr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(a) by a solicitor; 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$133.4</w:t>
            </w:r>
            <w:r w:rsidR="00F31E52" w:rsidRPr="00B13AAF">
              <w:t>5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a"/>
            </w:pPr>
            <w:r w:rsidRPr="00B13AAF">
              <w:t>(b) by a law clerk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$66.75</w:t>
            </w:r>
            <w:r w:rsidR="00F31E52" w:rsidRPr="00B13AAF">
              <w:t xml:space="preserve">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notemargin"/>
            </w:pPr>
            <w:r w:rsidRPr="00B13AAF">
              <w:t>Note:</w:t>
            </w:r>
            <w:r w:rsidRPr="00B13AAF">
              <w:tab/>
              <w:t>The Taxing Officer has the discretion to allow for the attendance of more than one solicitor or law clerk in Court if the circumstances warrant it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16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Any other attendance not otherwise provided for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$66.75</w:t>
            </w:r>
            <w:r w:rsidR="00F31E52" w:rsidRPr="00B13AAF">
              <w:t xml:space="preserve"> per quarter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GENERAL CARE AND CONDUCT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17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 complex or novel matters the Taxing Officer may allow an additional amount for the general care and conduct of the matter, not exceeding 5% of the total of the fees and disbursements otherwise allowed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WITNESSES’ EXPENSES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18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For each witness, including that witness’ travelling time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7D53B4" w:rsidP="008258F5">
            <w:pPr>
              <w:pStyle w:val="Tabletext"/>
            </w:pPr>
            <w:r w:rsidRPr="00B13AAF">
              <w:t>$266</w:t>
            </w:r>
            <w:r w:rsidR="00F31E52" w:rsidRPr="00B13AAF">
              <w:t>.90 per hour or part thereof</w:t>
            </w: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19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If a witness is an expert, the Taxing Officer may allow an amount equal to the expert’s actual fees for preparing to give evidence and for attending to give evidence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  <w:r w:rsidRPr="00B13AAF">
              <w:t>DISBURSEMENTS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20</w:t>
            </w:r>
          </w:p>
        </w:tc>
        <w:tc>
          <w:tcPr>
            <w:tcW w:w="3532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All disbursements reasonably incurred and paid are to be allowed</w:t>
            </w:r>
          </w:p>
        </w:tc>
        <w:tc>
          <w:tcPr>
            <w:tcW w:w="1017" w:type="pct"/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</w:pPr>
          </w:p>
        </w:tc>
        <w:tc>
          <w:tcPr>
            <w:tcW w:w="3532" w:type="pct"/>
            <w:tcBorders>
              <w:bottom w:val="single" w:sz="4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Heading"/>
              <w:rPr>
                <w:b w:val="0"/>
              </w:rPr>
            </w:pPr>
            <w:r w:rsidRPr="00B13AAF">
              <w:t>MISCELLANEOUS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  <w:tr w:rsidR="00F31E52" w:rsidRPr="00B13AAF" w:rsidTr="008258F5">
        <w:tc>
          <w:tcPr>
            <w:tcW w:w="451" w:type="pct"/>
            <w:tcBorders>
              <w:bottom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21</w:t>
            </w:r>
          </w:p>
        </w:tc>
        <w:tc>
          <w:tcPr>
            <w:tcW w:w="3532" w:type="pct"/>
            <w:tcBorders>
              <w:bottom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  <w:r w:rsidRPr="00B13AAF">
              <w:t>In unusual cases, or in instances which are not otherwise covered by the preceding items, the Taxing Officer may allow such additional charges or disbursements as are reasonable in the circumstances</w:t>
            </w:r>
          </w:p>
        </w:tc>
        <w:tc>
          <w:tcPr>
            <w:tcW w:w="1017" w:type="pct"/>
            <w:tcBorders>
              <w:bottom w:val="single" w:sz="12" w:space="0" w:color="auto"/>
            </w:tcBorders>
            <w:shd w:val="clear" w:color="auto" w:fill="auto"/>
          </w:tcPr>
          <w:p w:rsidR="00F31E52" w:rsidRPr="00B13AAF" w:rsidRDefault="00F31E52" w:rsidP="008258F5">
            <w:pPr>
              <w:pStyle w:val="Tabletext"/>
            </w:pPr>
          </w:p>
        </w:tc>
      </w:tr>
    </w:tbl>
    <w:p w:rsidR="00F31E52" w:rsidRPr="00B13AAF" w:rsidRDefault="00F31E52" w:rsidP="00F31E52">
      <w:pPr>
        <w:pStyle w:val="Tabletext"/>
      </w:pPr>
    </w:p>
    <w:sectPr w:rsidR="00F31E52" w:rsidRPr="00B13AAF" w:rsidSect="007116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98" w:rsidRDefault="00140F98" w:rsidP="0048364F">
      <w:pPr>
        <w:spacing w:line="240" w:lineRule="auto"/>
      </w:pPr>
      <w:r>
        <w:separator/>
      </w:r>
    </w:p>
  </w:endnote>
  <w:endnote w:type="continuationSeparator" w:id="0">
    <w:p w:rsidR="00140F98" w:rsidRDefault="00140F9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116CE" w:rsidRDefault="007116CE" w:rsidP="007116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16CE">
      <w:rPr>
        <w:i/>
        <w:sz w:val="18"/>
      </w:rPr>
      <w:t>OPC62987 -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7116CE" w:rsidRDefault="007116CE" w:rsidP="007116CE">
    <w:pPr>
      <w:rPr>
        <w:rFonts w:cs="Times New Roman"/>
        <w:i/>
        <w:sz w:val="18"/>
      </w:rPr>
    </w:pPr>
    <w:r w:rsidRPr="007116CE">
      <w:rPr>
        <w:rFonts w:cs="Times New Roman"/>
        <w:i/>
        <w:sz w:val="18"/>
      </w:rPr>
      <w:t>OPC62987 -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116CE" w:rsidRDefault="007116CE" w:rsidP="007116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116CE">
      <w:rPr>
        <w:i/>
        <w:sz w:val="18"/>
      </w:rPr>
      <w:t>OPC62987 -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13AA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13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1134">
            <w:rPr>
              <w:i/>
              <w:sz w:val="18"/>
            </w:rPr>
            <w:t>High Court Amendment (Fees)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116CE" w:rsidRDefault="007116CE" w:rsidP="007116CE">
    <w:pPr>
      <w:rPr>
        <w:rFonts w:cs="Times New Roman"/>
        <w:i/>
        <w:sz w:val="18"/>
      </w:rPr>
    </w:pPr>
    <w:r w:rsidRPr="007116CE">
      <w:rPr>
        <w:rFonts w:cs="Times New Roman"/>
        <w:i/>
        <w:sz w:val="18"/>
      </w:rPr>
      <w:t>OPC62987 -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13AA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1134">
            <w:rPr>
              <w:i/>
              <w:sz w:val="18"/>
            </w:rPr>
            <w:t>High Court Amendment (Fees)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1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116CE" w:rsidRDefault="007116CE" w:rsidP="007116CE">
    <w:pPr>
      <w:rPr>
        <w:rFonts w:cs="Times New Roman"/>
        <w:i/>
        <w:sz w:val="18"/>
      </w:rPr>
    </w:pPr>
    <w:r w:rsidRPr="007116CE">
      <w:rPr>
        <w:rFonts w:cs="Times New Roman"/>
        <w:i/>
        <w:sz w:val="18"/>
      </w:rPr>
      <w:t>OPC62987 -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13AA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13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1134">
            <w:rPr>
              <w:i/>
              <w:sz w:val="18"/>
            </w:rPr>
            <w:t>High Court Amendment (Fees)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7116CE" w:rsidRDefault="007116CE" w:rsidP="007116CE">
    <w:pPr>
      <w:rPr>
        <w:rFonts w:cs="Times New Roman"/>
        <w:i/>
        <w:sz w:val="18"/>
      </w:rPr>
    </w:pPr>
    <w:r w:rsidRPr="007116CE">
      <w:rPr>
        <w:rFonts w:cs="Times New Roman"/>
        <w:i/>
        <w:sz w:val="18"/>
      </w:rPr>
      <w:t>OPC62987 -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1134">
            <w:rPr>
              <w:i/>
              <w:sz w:val="18"/>
            </w:rPr>
            <w:t>High Court Amendment (Fees)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13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7116CE" w:rsidRDefault="007116CE" w:rsidP="007116CE">
    <w:pPr>
      <w:rPr>
        <w:rFonts w:cs="Times New Roman"/>
        <w:i/>
        <w:sz w:val="18"/>
      </w:rPr>
    </w:pPr>
    <w:r w:rsidRPr="007116CE">
      <w:rPr>
        <w:rFonts w:cs="Times New Roman"/>
        <w:i/>
        <w:sz w:val="18"/>
      </w:rPr>
      <w:t>OPC62987 -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1134">
            <w:rPr>
              <w:i/>
              <w:sz w:val="18"/>
            </w:rPr>
            <w:t>High Court Amendment (Fees)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113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7116CE" w:rsidRDefault="007116CE" w:rsidP="007116CE">
    <w:pPr>
      <w:rPr>
        <w:rFonts w:cs="Times New Roman"/>
        <w:i/>
        <w:sz w:val="18"/>
      </w:rPr>
    </w:pPr>
    <w:r w:rsidRPr="007116CE">
      <w:rPr>
        <w:rFonts w:cs="Times New Roman"/>
        <w:i/>
        <w:sz w:val="18"/>
      </w:rPr>
      <w:t>OPC62987 -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98" w:rsidRDefault="00140F98" w:rsidP="0048364F">
      <w:pPr>
        <w:spacing w:line="240" w:lineRule="auto"/>
      </w:pPr>
      <w:r>
        <w:separator/>
      </w:r>
    </w:p>
  </w:footnote>
  <w:footnote w:type="continuationSeparator" w:id="0">
    <w:p w:rsidR="00140F98" w:rsidRDefault="00140F9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61134">
      <w:rPr>
        <w:b/>
        <w:sz w:val="20"/>
      </w:rPr>
      <w:fldChar w:fldCharType="separate"/>
    </w:r>
    <w:r w:rsidR="00A6113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61134">
      <w:rPr>
        <w:sz w:val="20"/>
      </w:rPr>
      <w:fldChar w:fldCharType="separate"/>
    </w:r>
    <w:r w:rsidR="00A6113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61134">
      <w:rPr>
        <w:sz w:val="20"/>
      </w:rPr>
      <w:fldChar w:fldCharType="separate"/>
    </w:r>
    <w:r w:rsidR="00A61134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61134">
      <w:rPr>
        <w:b/>
        <w:sz w:val="20"/>
      </w:rPr>
      <w:fldChar w:fldCharType="separate"/>
    </w:r>
    <w:r w:rsidR="00A6113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9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53E"/>
    <w:rsid w:val="000A7DF9"/>
    <w:rsid w:val="000D05EF"/>
    <w:rsid w:val="000D5485"/>
    <w:rsid w:val="000F21C1"/>
    <w:rsid w:val="00105D72"/>
    <w:rsid w:val="0010745C"/>
    <w:rsid w:val="00117277"/>
    <w:rsid w:val="00140F98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0FB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1659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1039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0556"/>
    <w:rsid w:val="005D168D"/>
    <w:rsid w:val="005D5EA1"/>
    <w:rsid w:val="005E61D3"/>
    <w:rsid w:val="005F7738"/>
    <w:rsid w:val="00600219"/>
    <w:rsid w:val="00613EAD"/>
    <w:rsid w:val="006158AC"/>
    <w:rsid w:val="00624272"/>
    <w:rsid w:val="00640402"/>
    <w:rsid w:val="00640F78"/>
    <w:rsid w:val="00646E7B"/>
    <w:rsid w:val="00647520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16CE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D53B4"/>
    <w:rsid w:val="007E7D4A"/>
    <w:rsid w:val="007F48ED"/>
    <w:rsid w:val="007F7947"/>
    <w:rsid w:val="00812F45"/>
    <w:rsid w:val="0084172C"/>
    <w:rsid w:val="0085130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16EEF"/>
    <w:rsid w:val="00A231E2"/>
    <w:rsid w:val="00A2550D"/>
    <w:rsid w:val="00A4169B"/>
    <w:rsid w:val="00A445F2"/>
    <w:rsid w:val="00A50D55"/>
    <w:rsid w:val="00A5165B"/>
    <w:rsid w:val="00A52FDA"/>
    <w:rsid w:val="00A61134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13AAF"/>
    <w:rsid w:val="00B2572C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5E20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4602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1E52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3A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3AAF"/>
  </w:style>
  <w:style w:type="paragraph" w:customStyle="1" w:styleId="OPCParaBase">
    <w:name w:val="OPCParaBase"/>
    <w:qFormat/>
    <w:rsid w:val="00B13A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3A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3A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3A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3A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3A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13A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3A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3A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3A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3A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3AAF"/>
  </w:style>
  <w:style w:type="paragraph" w:customStyle="1" w:styleId="Blocks">
    <w:name w:val="Blocks"/>
    <w:aliases w:val="bb"/>
    <w:basedOn w:val="OPCParaBase"/>
    <w:qFormat/>
    <w:rsid w:val="00B13A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3A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3AAF"/>
    <w:rPr>
      <w:i/>
    </w:rPr>
  </w:style>
  <w:style w:type="paragraph" w:customStyle="1" w:styleId="BoxList">
    <w:name w:val="BoxList"/>
    <w:aliases w:val="bl"/>
    <w:basedOn w:val="BoxText"/>
    <w:qFormat/>
    <w:rsid w:val="00B13A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3A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3A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3AAF"/>
    <w:pPr>
      <w:ind w:left="1985" w:hanging="851"/>
    </w:pPr>
  </w:style>
  <w:style w:type="character" w:customStyle="1" w:styleId="CharAmPartNo">
    <w:name w:val="CharAmPartNo"/>
    <w:basedOn w:val="OPCCharBase"/>
    <w:qFormat/>
    <w:rsid w:val="00B13AAF"/>
  </w:style>
  <w:style w:type="character" w:customStyle="1" w:styleId="CharAmPartText">
    <w:name w:val="CharAmPartText"/>
    <w:basedOn w:val="OPCCharBase"/>
    <w:qFormat/>
    <w:rsid w:val="00B13AAF"/>
  </w:style>
  <w:style w:type="character" w:customStyle="1" w:styleId="CharAmSchNo">
    <w:name w:val="CharAmSchNo"/>
    <w:basedOn w:val="OPCCharBase"/>
    <w:qFormat/>
    <w:rsid w:val="00B13AAF"/>
  </w:style>
  <w:style w:type="character" w:customStyle="1" w:styleId="CharAmSchText">
    <w:name w:val="CharAmSchText"/>
    <w:basedOn w:val="OPCCharBase"/>
    <w:qFormat/>
    <w:rsid w:val="00B13AAF"/>
  </w:style>
  <w:style w:type="character" w:customStyle="1" w:styleId="CharBoldItalic">
    <w:name w:val="CharBoldItalic"/>
    <w:basedOn w:val="OPCCharBase"/>
    <w:uiPriority w:val="1"/>
    <w:qFormat/>
    <w:rsid w:val="00B13A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3AAF"/>
  </w:style>
  <w:style w:type="character" w:customStyle="1" w:styleId="CharChapText">
    <w:name w:val="CharChapText"/>
    <w:basedOn w:val="OPCCharBase"/>
    <w:uiPriority w:val="1"/>
    <w:qFormat/>
    <w:rsid w:val="00B13AAF"/>
  </w:style>
  <w:style w:type="character" w:customStyle="1" w:styleId="CharDivNo">
    <w:name w:val="CharDivNo"/>
    <w:basedOn w:val="OPCCharBase"/>
    <w:uiPriority w:val="1"/>
    <w:qFormat/>
    <w:rsid w:val="00B13AAF"/>
  </w:style>
  <w:style w:type="character" w:customStyle="1" w:styleId="CharDivText">
    <w:name w:val="CharDivText"/>
    <w:basedOn w:val="OPCCharBase"/>
    <w:uiPriority w:val="1"/>
    <w:qFormat/>
    <w:rsid w:val="00B13AAF"/>
  </w:style>
  <w:style w:type="character" w:customStyle="1" w:styleId="CharItalic">
    <w:name w:val="CharItalic"/>
    <w:basedOn w:val="OPCCharBase"/>
    <w:uiPriority w:val="1"/>
    <w:qFormat/>
    <w:rsid w:val="00B13AAF"/>
    <w:rPr>
      <w:i/>
    </w:rPr>
  </w:style>
  <w:style w:type="character" w:customStyle="1" w:styleId="CharPartNo">
    <w:name w:val="CharPartNo"/>
    <w:basedOn w:val="OPCCharBase"/>
    <w:uiPriority w:val="1"/>
    <w:qFormat/>
    <w:rsid w:val="00B13AAF"/>
  </w:style>
  <w:style w:type="character" w:customStyle="1" w:styleId="CharPartText">
    <w:name w:val="CharPartText"/>
    <w:basedOn w:val="OPCCharBase"/>
    <w:uiPriority w:val="1"/>
    <w:qFormat/>
    <w:rsid w:val="00B13AAF"/>
  </w:style>
  <w:style w:type="character" w:customStyle="1" w:styleId="CharSectno">
    <w:name w:val="CharSectno"/>
    <w:basedOn w:val="OPCCharBase"/>
    <w:qFormat/>
    <w:rsid w:val="00B13AAF"/>
  </w:style>
  <w:style w:type="character" w:customStyle="1" w:styleId="CharSubdNo">
    <w:name w:val="CharSubdNo"/>
    <w:basedOn w:val="OPCCharBase"/>
    <w:uiPriority w:val="1"/>
    <w:qFormat/>
    <w:rsid w:val="00B13AAF"/>
  </w:style>
  <w:style w:type="character" w:customStyle="1" w:styleId="CharSubdText">
    <w:name w:val="CharSubdText"/>
    <w:basedOn w:val="OPCCharBase"/>
    <w:uiPriority w:val="1"/>
    <w:qFormat/>
    <w:rsid w:val="00B13AAF"/>
  </w:style>
  <w:style w:type="paragraph" w:customStyle="1" w:styleId="CTA--">
    <w:name w:val="CTA --"/>
    <w:basedOn w:val="OPCParaBase"/>
    <w:next w:val="Normal"/>
    <w:rsid w:val="00B13A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3A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3A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3A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3A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3A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3A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3A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3A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3A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3A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3A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3A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3A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3A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3A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3A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3A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3A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3A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3A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3A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3A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3A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3A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3A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3A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3A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3A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3A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3A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3A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3A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3A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3A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3A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3A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3A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3A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3A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3A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3A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3A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3A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3A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3A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3A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3A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3A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3A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3A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13A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13A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13A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13AA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13A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13AA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13AA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13AA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13AA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13A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3A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3A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3A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3A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3A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3A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3A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13AAF"/>
    <w:rPr>
      <w:sz w:val="16"/>
    </w:rPr>
  </w:style>
  <w:style w:type="table" w:customStyle="1" w:styleId="CFlag">
    <w:name w:val="CFlag"/>
    <w:basedOn w:val="TableNormal"/>
    <w:uiPriority w:val="99"/>
    <w:rsid w:val="00B13AA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13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3A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3A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3A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3A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3A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3AA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13AAF"/>
    <w:pPr>
      <w:spacing w:before="120"/>
    </w:pPr>
  </w:style>
  <w:style w:type="paragraph" w:customStyle="1" w:styleId="CompiledActNo">
    <w:name w:val="CompiledActNo"/>
    <w:basedOn w:val="OPCParaBase"/>
    <w:next w:val="Normal"/>
    <w:rsid w:val="00B13A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3A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3A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3A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3A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3A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3A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3A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3A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3A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3A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3A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13A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3A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3AAF"/>
  </w:style>
  <w:style w:type="character" w:customStyle="1" w:styleId="CharSubPartNoCASA">
    <w:name w:val="CharSubPartNo(CASA)"/>
    <w:basedOn w:val="OPCCharBase"/>
    <w:uiPriority w:val="1"/>
    <w:rsid w:val="00B13AAF"/>
  </w:style>
  <w:style w:type="paragraph" w:customStyle="1" w:styleId="ENoteTTIndentHeadingSub">
    <w:name w:val="ENoteTTIndentHeadingSub"/>
    <w:aliases w:val="enTTHis"/>
    <w:basedOn w:val="OPCParaBase"/>
    <w:rsid w:val="00B13A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3A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3A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3A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3A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3AAF"/>
    <w:rPr>
      <w:sz w:val="22"/>
    </w:rPr>
  </w:style>
  <w:style w:type="paragraph" w:customStyle="1" w:styleId="SOTextNote">
    <w:name w:val="SO TextNote"/>
    <w:aliases w:val="sont"/>
    <w:basedOn w:val="SOText"/>
    <w:qFormat/>
    <w:rsid w:val="00B13A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3A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3AAF"/>
    <w:rPr>
      <w:sz w:val="22"/>
    </w:rPr>
  </w:style>
  <w:style w:type="paragraph" w:customStyle="1" w:styleId="FileName">
    <w:name w:val="FileName"/>
    <w:basedOn w:val="Normal"/>
    <w:rsid w:val="00B13AAF"/>
  </w:style>
  <w:style w:type="paragraph" w:customStyle="1" w:styleId="TableHeading">
    <w:name w:val="TableHeading"/>
    <w:aliases w:val="th"/>
    <w:basedOn w:val="OPCParaBase"/>
    <w:next w:val="Tabletext"/>
    <w:rsid w:val="00B13A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3A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3A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3A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3A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3A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3A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3A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3A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3A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3A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3A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3AA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3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A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3AA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A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A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A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AA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A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AA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A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AA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3AAF"/>
  </w:style>
  <w:style w:type="paragraph" w:customStyle="1" w:styleId="OPCParaBase">
    <w:name w:val="OPCParaBase"/>
    <w:qFormat/>
    <w:rsid w:val="00B13A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3A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3A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3A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3A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3A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13A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3A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3A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3A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3A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3AAF"/>
  </w:style>
  <w:style w:type="paragraph" w:customStyle="1" w:styleId="Blocks">
    <w:name w:val="Blocks"/>
    <w:aliases w:val="bb"/>
    <w:basedOn w:val="OPCParaBase"/>
    <w:qFormat/>
    <w:rsid w:val="00B13A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3A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3AAF"/>
    <w:rPr>
      <w:i/>
    </w:rPr>
  </w:style>
  <w:style w:type="paragraph" w:customStyle="1" w:styleId="BoxList">
    <w:name w:val="BoxList"/>
    <w:aliases w:val="bl"/>
    <w:basedOn w:val="BoxText"/>
    <w:qFormat/>
    <w:rsid w:val="00B13A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3A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3A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3AAF"/>
    <w:pPr>
      <w:ind w:left="1985" w:hanging="851"/>
    </w:pPr>
  </w:style>
  <w:style w:type="character" w:customStyle="1" w:styleId="CharAmPartNo">
    <w:name w:val="CharAmPartNo"/>
    <w:basedOn w:val="OPCCharBase"/>
    <w:qFormat/>
    <w:rsid w:val="00B13AAF"/>
  </w:style>
  <w:style w:type="character" w:customStyle="1" w:styleId="CharAmPartText">
    <w:name w:val="CharAmPartText"/>
    <w:basedOn w:val="OPCCharBase"/>
    <w:qFormat/>
    <w:rsid w:val="00B13AAF"/>
  </w:style>
  <w:style w:type="character" w:customStyle="1" w:styleId="CharAmSchNo">
    <w:name w:val="CharAmSchNo"/>
    <w:basedOn w:val="OPCCharBase"/>
    <w:qFormat/>
    <w:rsid w:val="00B13AAF"/>
  </w:style>
  <w:style w:type="character" w:customStyle="1" w:styleId="CharAmSchText">
    <w:name w:val="CharAmSchText"/>
    <w:basedOn w:val="OPCCharBase"/>
    <w:qFormat/>
    <w:rsid w:val="00B13AAF"/>
  </w:style>
  <w:style w:type="character" w:customStyle="1" w:styleId="CharBoldItalic">
    <w:name w:val="CharBoldItalic"/>
    <w:basedOn w:val="OPCCharBase"/>
    <w:uiPriority w:val="1"/>
    <w:qFormat/>
    <w:rsid w:val="00B13A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3AAF"/>
  </w:style>
  <w:style w:type="character" w:customStyle="1" w:styleId="CharChapText">
    <w:name w:val="CharChapText"/>
    <w:basedOn w:val="OPCCharBase"/>
    <w:uiPriority w:val="1"/>
    <w:qFormat/>
    <w:rsid w:val="00B13AAF"/>
  </w:style>
  <w:style w:type="character" w:customStyle="1" w:styleId="CharDivNo">
    <w:name w:val="CharDivNo"/>
    <w:basedOn w:val="OPCCharBase"/>
    <w:uiPriority w:val="1"/>
    <w:qFormat/>
    <w:rsid w:val="00B13AAF"/>
  </w:style>
  <w:style w:type="character" w:customStyle="1" w:styleId="CharDivText">
    <w:name w:val="CharDivText"/>
    <w:basedOn w:val="OPCCharBase"/>
    <w:uiPriority w:val="1"/>
    <w:qFormat/>
    <w:rsid w:val="00B13AAF"/>
  </w:style>
  <w:style w:type="character" w:customStyle="1" w:styleId="CharItalic">
    <w:name w:val="CharItalic"/>
    <w:basedOn w:val="OPCCharBase"/>
    <w:uiPriority w:val="1"/>
    <w:qFormat/>
    <w:rsid w:val="00B13AAF"/>
    <w:rPr>
      <w:i/>
    </w:rPr>
  </w:style>
  <w:style w:type="character" w:customStyle="1" w:styleId="CharPartNo">
    <w:name w:val="CharPartNo"/>
    <w:basedOn w:val="OPCCharBase"/>
    <w:uiPriority w:val="1"/>
    <w:qFormat/>
    <w:rsid w:val="00B13AAF"/>
  </w:style>
  <w:style w:type="character" w:customStyle="1" w:styleId="CharPartText">
    <w:name w:val="CharPartText"/>
    <w:basedOn w:val="OPCCharBase"/>
    <w:uiPriority w:val="1"/>
    <w:qFormat/>
    <w:rsid w:val="00B13AAF"/>
  </w:style>
  <w:style w:type="character" w:customStyle="1" w:styleId="CharSectno">
    <w:name w:val="CharSectno"/>
    <w:basedOn w:val="OPCCharBase"/>
    <w:qFormat/>
    <w:rsid w:val="00B13AAF"/>
  </w:style>
  <w:style w:type="character" w:customStyle="1" w:styleId="CharSubdNo">
    <w:name w:val="CharSubdNo"/>
    <w:basedOn w:val="OPCCharBase"/>
    <w:uiPriority w:val="1"/>
    <w:qFormat/>
    <w:rsid w:val="00B13AAF"/>
  </w:style>
  <w:style w:type="character" w:customStyle="1" w:styleId="CharSubdText">
    <w:name w:val="CharSubdText"/>
    <w:basedOn w:val="OPCCharBase"/>
    <w:uiPriority w:val="1"/>
    <w:qFormat/>
    <w:rsid w:val="00B13AAF"/>
  </w:style>
  <w:style w:type="paragraph" w:customStyle="1" w:styleId="CTA--">
    <w:name w:val="CTA --"/>
    <w:basedOn w:val="OPCParaBase"/>
    <w:next w:val="Normal"/>
    <w:rsid w:val="00B13A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3A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3A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3A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3A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3A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3A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3A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3A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3A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3A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3A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3A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3A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3A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3A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3A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3A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3A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3A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3A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3A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3A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3A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3A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3A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3A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3A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3A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3A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3A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3A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3A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3A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3A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3A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3A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3A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3A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3A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3A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3A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3A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3A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3A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3A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3A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3A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3A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3A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3A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13AA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13AA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13AA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13AA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13AA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13AA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13AA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13AA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13AA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13A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3A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3A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3A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3A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3A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3A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3A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13AAF"/>
    <w:rPr>
      <w:sz w:val="16"/>
    </w:rPr>
  </w:style>
  <w:style w:type="table" w:customStyle="1" w:styleId="CFlag">
    <w:name w:val="CFlag"/>
    <w:basedOn w:val="TableNormal"/>
    <w:uiPriority w:val="99"/>
    <w:rsid w:val="00B13AA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13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3AA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3AA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3AA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3A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3A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3AA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13AAF"/>
    <w:pPr>
      <w:spacing w:before="120"/>
    </w:pPr>
  </w:style>
  <w:style w:type="paragraph" w:customStyle="1" w:styleId="CompiledActNo">
    <w:name w:val="CompiledActNo"/>
    <w:basedOn w:val="OPCParaBase"/>
    <w:next w:val="Normal"/>
    <w:rsid w:val="00B13A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3AA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3A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3A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3A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3A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3A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3AA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3A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3A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3A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3A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3A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3A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3A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13A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3A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3AAF"/>
  </w:style>
  <w:style w:type="character" w:customStyle="1" w:styleId="CharSubPartNoCASA">
    <w:name w:val="CharSubPartNo(CASA)"/>
    <w:basedOn w:val="OPCCharBase"/>
    <w:uiPriority w:val="1"/>
    <w:rsid w:val="00B13AAF"/>
  </w:style>
  <w:style w:type="paragraph" w:customStyle="1" w:styleId="ENoteTTIndentHeadingSub">
    <w:name w:val="ENoteTTIndentHeadingSub"/>
    <w:aliases w:val="enTTHis"/>
    <w:basedOn w:val="OPCParaBase"/>
    <w:rsid w:val="00B13A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3A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3A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3A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3A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3AAF"/>
    <w:rPr>
      <w:sz w:val="22"/>
    </w:rPr>
  </w:style>
  <w:style w:type="paragraph" w:customStyle="1" w:styleId="SOTextNote">
    <w:name w:val="SO TextNote"/>
    <w:aliases w:val="sont"/>
    <w:basedOn w:val="SOText"/>
    <w:qFormat/>
    <w:rsid w:val="00B13A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3A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3AAF"/>
    <w:rPr>
      <w:sz w:val="22"/>
    </w:rPr>
  </w:style>
  <w:style w:type="paragraph" w:customStyle="1" w:styleId="FileName">
    <w:name w:val="FileName"/>
    <w:basedOn w:val="Normal"/>
    <w:rsid w:val="00B13AAF"/>
  </w:style>
  <w:style w:type="paragraph" w:customStyle="1" w:styleId="TableHeading">
    <w:name w:val="TableHeading"/>
    <w:aliases w:val="th"/>
    <w:basedOn w:val="OPCParaBase"/>
    <w:next w:val="Tabletext"/>
    <w:rsid w:val="00B13A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3A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3A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3A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3A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3A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3A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3A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3A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3A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3A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3A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3AA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3AA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3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AA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AA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AA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AA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AA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AA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AA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1065</Words>
  <Characters>5134</Characters>
  <Application>Microsoft Office Word</Application>
  <DocSecurity>0</DocSecurity>
  <PresentationFormat/>
  <Lines>320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Amendment (Fees) Rules 2017</vt:lpstr>
    </vt:vector>
  </TitlesOfParts>
  <Manager/>
  <Company/>
  <LinksUpToDate>false</LinksUpToDate>
  <CharactersWithSpaces>5993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2017-10-23T01:37:00Z</cp:lastPrinted>
  <dcterms:created xsi:type="dcterms:W3CDTF">2017-11-09T01:06:00Z</dcterms:created>
  <dcterms:modified xsi:type="dcterms:W3CDTF">2017-11-09T01:07:00Z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(Fees) Rules 2017</vt:lpwstr>
  </property>
  <property fmtid="{D5CDD505-2E9C-101B-9397-08002B2CF9AE}" pid="4" name="Class">
    <vt:lpwstr>High Court 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OPC62987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6 November 2017</vt:lpwstr>
  </property>
</Properties>
</file>