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B8" w:rsidRDefault="004775B8" w:rsidP="004775B8">
      <w:pPr>
        <w:pStyle w:val="Heading4"/>
        <w:rPr>
          <w:sz w:val="24"/>
          <w:szCs w:val="24"/>
        </w:rPr>
      </w:pPr>
      <w:bookmarkStart w:id="0" w:name="_GoBack"/>
      <w:bookmarkEnd w:id="0"/>
      <w:r w:rsidRPr="004775B8">
        <w:rPr>
          <w:sz w:val="24"/>
          <w:szCs w:val="24"/>
        </w:rPr>
        <w:t>EXPLANATORY STATEMENT</w:t>
      </w:r>
    </w:p>
    <w:p w:rsidR="004775B8" w:rsidRPr="00686B8D" w:rsidRDefault="004775B8" w:rsidP="004775B8">
      <w:pPr>
        <w:pStyle w:val="Heading5"/>
        <w:rPr>
          <w:b/>
          <w:sz w:val="24"/>
          <w:szCs w:val="24"/>
        </w:rPr>
      </w:pPr>
      <w:r w:rsidRPr="00686B8D">
        <w:rPr>
          <w:b/>
          <w:sz w:val="24"/>
          <w:szCs w:val="24"/>
        </w:rPr>
        <w:t>NATIONAL HEALTH ACT 1953</w:t>
      </w:r>
    </w:p>
    <w:p w:rsidR="004775B8" w:rsidRPr="00755A66" w:rsidRDefault="00686B8D" w:rsidP="00686B8D">
      <w:pPr>
        <w:pStyle w:val="Heading4"/>
        <w:rPr>
          <w:i/>
        </w:rPr>
      </w:pPr>
      <w:r w:rsidRPr="00755A66">
        <w:rPr>
          <w:i/>
          <w:sz w:val="24"/>
          <w:szCs w:val="24"/>
        </w:rPr>
        <w:t>National Health (</w:t>
      </w:r>
      <w:r w:rsidR="00421AB1">
        <w:rPr>
          <w:i/>
          <w:sz w:val="24"/>
          <w:szCs w:val="24"/>
        </w:rPr>
        <w:t>Growth Hormone</w:t>
      </w:r>
      <w:r w:rsidRPr="00755A66">
        <w:rPr>
          <w:i/>
          <w:sz w:val="24"/>
          <w:szCs w:val="24"/>
        </w:rPr>
        <w:t xml:space="preserve"> Program) Special Arrangement Amendment</w:t>
      </w:r>
      <w:r w:rsidR="00421AB1">
        <w:rPr>
          <w:i/>
          <w:sz w:val="24"/>
          <w:szCs w:val="24"/>
        </w:rPr>
        <w:t> </w:t>
      </w:r>
      <w:r w:rsidRPr="00755A66">
        <w:rPr>
          <w:i/>
          <w:sz w:val="24"/>
          <w:szCs w:val="24"/>
        </w:rPr>
        <w:t xml:space="preserve">Instrument </w:t>
      </w:r>
      <w:r w:rsidR="00686B08">
        <w:rPr>
          <w:i/>
          <w:sz w:val="24"/>
          <w:szCs w:val="24"/>
        </w:rPr>
        <w:t>2017</w:t>
      </w:r>
      <w:r w:rsidRPr="00755A66">
        <w:rPr>
          <w:i/>
          <w:sz w:val="24"/>
          <w:szCs w:val="24"/>
        </w:rPr>
        <w:t xml:space="preserve"> </w:t>
      </w:r>
      <w:r w:rsidRPr="000363BA">
        <w:rPr>
          <w:i/>
          <w:sz w:val="24"/>
          <w:szCs w:val="24"/>
        </w:rPr>
        <w:t>(No.</w:t>
      </w:r>
      <w:r w:rsidR="00A35F92">
        <w:rPr>
          <w:i/>
          <w:sz w:val="24"/>
          <w:szCs w:val="24"/>
        </w:rPr>
        <w:t xml:space="preserve"> </w:t>
      </w:r>
      <w:r w:rsidR="00EF6EDA">
        <w:rPr>
          <w:i/>
          <w:sz w:val="24"/>
          <w:szCs w:val="24"/>
        </w:rPr>
        <w:t>2</w:t>
      </w:r>
      <w:r w:rsidRPr="000363BA">
        <w:rPr>
          <w:i/>
          <w:sz w:val="24"/>
          <w:szCs w:val="24"/>
        </w:rPr>
        <w:t>)</w:t>
      </w:r>
    </w:p>
    <w:p w:rsidR="00686B8D" w:rsidRPr="004A53E4" w:rsidRDefault="00686B8D" w:rsidP="00686B8D">
      <w:pPr>
        <w:pStyle w:val="Heading4"/>
        <w:rPr>
          <w:sz w:val="24"/>
          <w:szCs w:val="24"/>
        </w:rPr>
      </w:pPr>
      <w:r w:rsidRPr="00B640B3">
        <w:rPr>
          <w:sz w:val="24"/>
          <w:szCs w:val="24"/>
        </w:rPr>
        <w:t xml:space="preserve">PB </w:t>
      </w:r>
      <w:r w:rsidR="00D85686">
        <w:rPr>
          <w:sz w:val="24"/>
          <w:szCs w:val="24"/>
        </w:rPr>
        <w:t>91</w:t>
      </w:r>
      <w:r w:rsidRPr="00B640B3">
        <w:rPr>
          <w:sz w:val="24"/>
          <w:szCs w:val="24"/>
        </w:rPr>
        <w:t xml:space="preserve"> of </w:t>
      </w:r>
      <w:r w:rsidR="00DC64D3">
        <w:rPr>
          <w:sz w:val="24"/>
          <w:szCs w:val="24"/>
        </w:rPr>
        <w:t>201</w:t>
      </w:r>
      <w:r w:rsidR="00686B08">
        <w:rPr>
          <w:sz w:val="24"/>
          <w:szCs w:val="24"/>
        </w:rPr>
        <w:t>7</w:t>
      </w:r>
    </w:p>
    <w:p w:rsidR="004775B8" w:rsidRPr="004A53E4" w:rsidRDefault="004775B8" w:rsidP="00DC64D3">
      <w:pPr>
        <w:pStyle w:val="Heading60"/>
        <w:spacing w:after="0"/>
        <w:jc w:val="left"/>
        <w:rPr>
          <w:sz w:val="24"/>
          <w:szCs w:val="24"/>
        </w:rPr>
      </w:pPr>
      <w:r w:rsidRPr="004A53E4">
        <w:rPr>
          <w:sz w:val="24"/>
          <w:szCs w:val="24"/>
        </w:rPr>
        <w:t>Authority</w:t>
      </w:r>
    </w:p>
    <w:p w:rsidR="00F3611D" w:rsidRPr="004A53E4" w:rsidRDefault="00686B8D" w:rsidP="00251C29">
      <w:pPr>
        <w:jc w:val="left"/>
        <w:rPr>
          <w:sz w:val="24"/>
          <w:szCs w:val="24"/>
        </w:rPr>
      </w:pPr>
      <w:r w:rsidRPr="004A53E4">
        <w:rPr>
          <w:sz w:val="24"/>
          <w:szCs w:val="24"/>
        </w:rPr>
        <w:t xml:space="preserve">Subsection 100(1) of the </w:t>
      </w:r>
      <w:r w:rsidRPr="004A53E4">
        <w:rPr>
          <w:i/>
          <w:sz w:val="24"/>
          <w:szCs w:val="24"/>
        </w:rPr>
        <w:t>National Health Act 1953</w:t>
      </w:r>
      <w:r w:rsidRPr="004A53E4">
        <w:rPr>
          <w:sz w:val="24"/>
          <w:szCs w:val="24"/>
        </w:rPr>
        <w:t xml:space="preserve"> (the Act) enables the Minister to make special arrangements for</w:t>
      </w:r>
      <w:r w:rsidR="00473BA4">
        <w:rPr>
          <w:sz w:val="24"/>
          <w:szCs w:val="24"/>
        </w:rPr>
        <w:t xml:space="preserve"> the supply of pharmaceutical benefits.</w:t>
      </w:r>
      <w:r w:rsidR="00EE0EEE">
        <w:rPr>
          <w:sz w:val="24"/>
          <w:szCs w:val="24"/>
        </w:rPr>
        <w:t xml:space="preserve"> </w:t>
      </w:r>
      <w:r w:rsidR="00A32146">
        <w:rPr>
          <w:sz w:val="24"/>
          <w:szCs w:val="24"/>
        </w:rPr>
        <w:t xml:space="preserve"> </w:t>
      </w:r>
      <w:r w:rsidR="00F3611D" w:rsidRPr="004A53E4">
        <w:rPr>
          <w:sz w:val="24"/>
          <w:szCs w:val="24"/>
        </w:rPr>
        <w:t xml:space="preserve">Subsection 100(2) </w:t>
      </w:r>
      <w:r w:rsidR="00473BA4">
        <w:rPr>
          <w:sz w:val="24"/>
          <w:szCs w:val="24"/>
        </w:rPr>
        <w:t xml:space="preserve">of the Act </w:t>
      </w:r>
      <w:r w:rsidR="00F3611D" w:rsidRPr="004A53E4">
        <w:rPr>
          <w:sz w:val="24"/>
          <w:szCs w:val="24"/>
        </w:rPr>
        <w:t>provides that the Minister may vary or revoke a special arrangement made under subsection 100(1).</w:t>
      </w:r>
    </w:p>
    <w:p w:rsidR="0017330C" w:rsidRDefault="0017330C" w:rsidP="0073452D">
      <w:pPr>
        <w:spacing w:after="0"/>
        <w:jc w:val="left"/>
        <w:rPr>
          <w:sz w:val="24"/>
          <w:szCs w:val="24"/>
        </w:rPr>
      </w:pPr>
      <w:r w:rsidRPr="004A53E4">
        <w:rPr>
          <w:sz w:val="24"/>
          <w:szCs w:val="24"/>
        </w:rPr>
        <w:t xml:space="preserve">Subsection 100(3) </w:t>
      </w:r>
      <w:r w:rsidR="00E75D31">
        <w:rPr>
          <w:sz w:val="24"/>
          <w:szCs w:val="24"/>
        </w:rPr>
        <w:t xml:space="preserve">of the Act </w:t>
      </w:r>
      <w:r w:rsidRPr="004A53E4">
        <w:rPr>
          <w:sz w:val="24"/>
          <w:szCs w:val="24"/>
        </w:rPr>
        <w:t>provides that Part VII of the Act, and instruments made for the purposes of Part VII</w:t>
      </w:r>
      <w:r w:rsidR="00845804">
        <w:rPr>
          <w:sz w:val="24"/>
          <w:szCs w:val="24"/>
        </w:rPr>
        <w:t>,</w:t>
      </w:r>
      <w:r w:rsidRPr="004A53E4">
        <w:rPr>
          <w:sz w:val="24"/>
          <w:szCs w:val="24"/>
        </w:rPr>
        <w:t xml:space="preserve"> have effect subject to a special arrangement made under subsection 100(1). </w:t>
      </w:r>
    </w:p>
    <w:p w:rsidR="00581921" w:rsidRPr="004A53E4" w:rsidRDefault="00581921" w:rsidP="0073452D">
      <w:pPr>
        <w:spacing w:after="0"/>
        <w:jc w:val="left"/>
        <w:rPr>
          <w:sz w:val="24"/>
          <w:szCs w:val="24"/>
        </w:rPr>
      </w:pPr>
    </w:p>
    <w:p w:rsidR="00F3611D" w:rsidRPr="004A53E4" w:rsidRDefault="00F3611D" w:rsidP="007A2C1E">
      <w:pPr>
        <w:spacing w:after="0"/>
        <w:jc w:val="left"/>
        <w:rPr>
          <w:b/>
          <w:sz w:val="24"/>
          <w:szCs w:val="24"/>
        </w:rPr>
      </w:pPr>
      <w:r w:rsidRPr="004A53E4">
        <w:rPr>
          <w:b/>
          <w:sz w:val="24"/>
          <w:szCs w:val="24"/>
        </w:rPr>
        <w:t>Purpose</w:t>
      </w:r>
    </w:p>
    <w:p w:rsidR="00F3611D" w:rsidRPr="00755A66" w:rsidRDefault="00F3611D" w:rsidP="00251C29">
      <w:pPr>
        <w:jc w:val="left"/>
        <w:rPr>
          <w:sz w:val="24"/>
          <w:szCs w:val="24"/>
        </w:rPr>
      </w:pPr>
      <w:r w:rsidRPr="004A53E4">
        <w:rPr>
          <w:sz w:val="24"/>
          <w:szCs w:val="24"/>
        </w:rPr>
        <w:t>The purpose of th</w:t>
      </w:r>
      <w:r w:rsidR="00C24AB5">
        <w:rPr>
          <w:sz w:val="24"/>
          <w:szCs w:val="24"/>
        </w:rPr>
        <w:t xml:space="preserve">e </w:t>
      </w:r>
      <w:r w:rsidR="00C24AB5" w:rsidRPr="00A16703">
        <w:rPr>
          <w:i/>
          <w:sz w:val="24"/>
          <w:szCs w:val="24"/>
        </w:rPr>
        <w:t>National Health (Growth Hormone Program) Special Arrangement Amendment Instrument 2017 (No. 2)</w:t>
      </w:r>
      <w:r w:rsidR="00C24AB5">
        <w:rPr>
          <w:sz w:val="24"/>
          <w:szCs w:val="24"/>
        </w:rPr>
        <w:t xml:space="preserve"> (the </w:t>
      </w:r>
      <w:r w:rsidR="001D584A">
        <w:rPr>
          <w:sz w:val="24"/>
          <w:szCs w:val="24"/>
        </w:rPr>
        <w:t>I</w:t>
      </w:r>
      <w:r w:rsidRPr="004A53E4">
        <w:rPr>
          <w:sz w:val="24"/>
          <w:szCs w:val="24"/>
        </w:rPr>
        <w:t>nstrument</w:t>
      </w:r>
      <w:r w:rsidR="00C24AB5">
        <w:rPr>
          <w:sz w:val="24"/>
          <w:szCs w:val="24"/>
        </w:rPr>
        <w:t xml:space="preserve">) </w:t>
      </w:r>
      <w:r w:rsidRPr="00755A66">
        <w:rPr>
          <w:sz w:val="24"/>
          <w:szCs w:val="24"/>
        </w:rPr>
        <w:t xml:space="preserve">is to amend the </w:t>
      </w:r>
      <w:r w:rsidRPr="00755A66">
        <w:rPr>
          <w:i/>
          <w:sz w:val="24"/>
          <w:szCs w:val="24"/>
        </w:rPr>
        <w:t>National Health (</w:t>
      </w:r>
      <w:r w:rsidR="00421AB1">
        <w:rPr>
          <w:i/>
          <w:sz w:val="24"/>
          <w:szCs w:val="24"/>
        </w:rPr>
        <w:t>Growth Hormone</w:t>
      </w:r>
      <w:r w:rsidRPr="00755A66">
        <w:rPr>
          <w:i/>
          <w:sz w:val="24"/>
          <w:szCs w:val="24"/>
        </w:rPr>
        <w:t xml:space="preserve"> Program) Special Arrangement 201</w:t>
      </w:r>
      <w:r w:rsidR="004D3F0C">
        <w:rPr>
          <w:i/>
          <w:sz w:val="24"/>
          <w:szCs w:val="24"/>
        </w:rPr>
        <w:t>5</w:t>
      </w:r>
      <w:r w:rsidRPr="00755A66">
        <w:rPr>
          <w:sz w:val="24"/>
          <w:szCs w:val="24"/>
        </w:rPr>
        <w:t xml:space="preserve"> (PB </w:t>
      </w:r>
      <w:r w:rsidR="00421AB1">
        <w:rPr>
          <w:sz w:val="24"/>
          <w:szCs w:val="24"/>
        </w:rPr>
        <w:t>85</w:t>
      </w:r>
      <w:r w:rsidRPr="00755A66">
        <w:rPr>
          <w:sz w:val="24"/>
          <w:szCs w:val="24"/>
        </w:rPr>
        <w:t xml:space="preserve"> of 201</w:t>
      </w:r>
      <w:r w:rsidR="004D3F0C">
        <w:rPr>
          <w:sz w:val="24"/>
          <w:szCs w:val="24"/>
        </w:rPr>
        <w:t>5</w:t>
      </w:r>
      <w:r w:rsidRPr="00755A66">
        <w:rPr>
          <w:sz w:val="24"/>
          <w:szCs w:val="24"/>
        </w:rPr>
        <w:t xml:space="preserve">) </w:t>
      </w:r>
      <w:r w:rsidR="00CD3B27" w:rsidRPr="00755A66">
        <w:rPr>
          <w:sz w:val="24"/>
          <w:szCs w:val="24"/>
        </w:rPr>
        <w:t>(the Special Arrangement</w:t>
      </w:r>
      <w:r w:rsidR="00C24AB5">
        <w:rPr>
          <w:sz w:val="24"/>
          <w:szCs w:val="24"/>
        </w:rPr>
        <w:t>)</w:t>
      </w:r>
      <w:r w:rsidR="00CD3B27" w:rsidRPr="00755A66">
        <w:rPr>
          <w:sz w:val="24"/>
          <w:szCs w:val="24"/>
        </w:rPr>
        <w:t xml:space="preserve"> </w:t>
      </w:r>
      <w:r w:rsidRPr="00755A66">
        <w:rPr>
          <w:sz w:val="24"/>
          <w:szCs w:val="24"/>
        </w:rPr>
        <w:t xml:space="preserve">to make changes </w:t>
      </w:r>
      <w:r w:rsidR="009A0760">
        <w:rPr>
          <w:sz w:val="24"/>
          <w:szCs w:val="24"/>
        </w:rPr>
        <w:t>r</w:t>
      </w:r>
      <w:r w:rsidRPr="00755A66">
        <w:rPr>
          <w:sz w:val="24"/>
          <w:szCs w:val="24"/>
        </w:rPr>
        <w:t xml:space="preserve">elating to </w:t>
      </w:r>
      <w:r w:rsidR="000007BF" w:rsidRPr="00755A66">
        <w:rPr>
          <w:sz w:val="24"/>
          <w:szCs w:val="24"/>
        </w:rPr>
        <w:t>the</w:t>
      </w:r>
      <w:r w:rsidR="000007BF">
        <w:rPr>
          <w:sz w:val="24"/>
          <w:szCs w:val="24"/>
        </w:rPr>
        <w:t xml:space="preserve"> circumstances</w:t>
      </w:r>
      <w:r w:rsidR="00822650">
        <w:rPr>
          <w:sz w:val="24"/>
          <w:szCs w:val="24"/>
        </w:rPr>
        <w:t xml:space="preserve"> in which growth hormone can be prescribed</w:t>
      </w:r>
      <w:r w:rsidR="00C24AB5">
        <w:rPr>
          <w:sz w:val="24"/>
          <w:szCs w:val="24"/>
        </w:rPr>
        <w:t xml:space="preserve"> as a pharmaceutical benefit under the </w:t>
      </w:r>
      <w:r w:rsidR="00593B00">
        <w:rPr>
          <w:sz w:val="24"/>
          <w:szCs w:val="24"/>
        </w:rPr>
        <w:t xml:space="preserve">Pharmaceutical Benefits Scheme (PBS) </w:t>
      </w:r>
      <w:r w:rsidR="00421AB1">
        <w:rPr>
          <w:sz w:val="24"/>
          <w:szCs w:val="24"/>
        </w:rPr>
        <w:t>Growth Hormone</w:t>
      </w:r>
      <w:r w:rsidRPr="00755A66">
        <w:rPr>
          <w:sz w:val="24"/>
          <w:szCs w:val="24"/>
        </w:rPr>
        <w:t xml:space="preserve"> Program.</w:t>
      </w:r>
    </w:p>
    <w:p w:rsidR="00755A66" w:rsidRDefault="00755A66" w:rsidP="00251C29">
      <w:pPr>
        <w:jc w:val="left"/>
        <w:rPr>
          <w:sz w:val="24"/>
          <w:szCs w:val="24"/>
        </w:rPr>
      </w:pPr>
      <w:r w:rsidRPr="004775B8">
        <w:rPr>
          <w:sz w:val="24"/>
          <w:szCs w:val="24"/>
        </w:rPr>
        <w:t xml:space="preserve">The </w:t>
      </w:r>
      <w:r>
        <w:rPr>
          <w:sz w:val="24"/>
          <w:szCs w:val="24"/>
        </w:rPr>
        <w:t>Special A</w:t>
      </w:r>
      <w:r w:rsidRPr="004775B8">
        <w:rPr>
          <w:sz w:val="24"/>
          <w:szCs w:val="24"/>
        </w:rPr>
        <w:t>rrangement ensure</w:t>
      </w:r>
      <w:r w:rsidR="00C24AB5">
        <w:rPr>
          <w:sz w:val="24"/>
          <w:szCs w:val="24"/>
        </w:rPr>
        <w:t>s</w:t>
      </w:r>
      <w:r w:rsidRPr="004775B8">
        <w:rPr>
          <w:sz w:val="24"/>
          <w:szCs w:val="24"/>
        </w:rPr>
        <w:t xml:space="preserve"> that an adequate supply of </w:t>
      </w:r>
      <w:r>
        <w:rPr>
          <w:sz w:val="24"/>
          <w:szCs w:val="24"/>
        </w:rPr>
        <w:t>pharmaceutical benefits</w:t>
      </w:r>
      <w:r w:rsidRPr="004775B8">
        <w:rPr>
          <w:sz w:val="24"/>
          <w:szCs w:val="24"/>
        </w:rPr>
        <w:t xml:space="preserve"> is available for patients who require treatment</w:t>
      </w:r>
      <w:r w:rsidR="00CA36F4">
        <w:rPr>
          <w:sz w:val="24"/>
          <w:szCs w:val="24"/>
        </w:rPr>
        <w:t xml:space="preserve"> with growth hormone. </w:t>
      </w:r>
      <w:r w:rsidR="00A32146">
        <w:rPr>
          <w:sz w:val="24"/>
          <w:szCs w:val="24"/>
        </w:rPr>
        <w:t xml:space="preserve"> </w:t>
      </w:r>
      <w:r w:rsidRPr="004775B8">
        <w:rPr>
          <w:sz w:val="24"/>
          <w:szCs w:val="24"/>
        </w:rPr>
        <w:t>Restrictions on the provision of th</w:t>
      </w:r>
      <w:r w:rsidR="005F379E">
        <w:rPr>
          <w:sz w:val="24"/>
          <w:szCs w:val="24"/>
        </w:rPr>
        <w:t>i</w:t>
      </w:r>
      <w:r w:rsidRPr="004775B8">
        <w:rPr>
          <w:sz w:val="24"/>
          <w:szCs w:val="24"/>
        </w:rPr>
        <w:t xml:space="preserve">s treatment mean that these </w:t>
      </w:r>
      <w:r>
        <w:rPr>
          <w:sz w:val="24"/>
          <w:szCs w:val="24"/>
        </w:rPr>
        <w:t>pharmaceutical benefits</w:t>
      </w:r>
      <w:r w:rsidRPr="004775B8">
        <w:rPr>
          <w:sz w:val="24"/>
          <w:szCs w:val="24"/>
        </w:rPr>
        <w:t xml:space="preserve"> can</w:t>
      </w:r>
      <w:r>
        <w:rPr>
          <w:sz w:val="24"/>
          <w:szCs w:val="24"/>
        </w:rPr>
        <w:t xml:space="preserve"> more</w:t>
      </w:r>
      <w:r w:rsidRPr="004775B8">
        <w:rPr>
          <w:sz w:val="24"/>
          <w:szCs w:val="24"/>
        </w:rPr>
        <w:t xml:space="preserve"> conveniently or efficiently be supplied </w:t>
      </w:r>
      <w:r>
        <w:rPr>
          <w:sz w:val="24"/>
          <w:szCs w:val="24"/>
        </w:rPr>
        <w:t>under a special arrangement</w:t>
      </w:r>
      <w:r w:rsidRPr="004775B8">
        <w:rPr>
          <w:sz w:val="24"/>
          <w:szCs w:val="24"/>
        </w:rPr>
        <w:t>.</w:t>
      </w:r>
    </w:p>
    <w:p w:rsidR="00074E80" w:rsidRPr="00593B00" w:rsidRDefault="00074E80" w:rsidP="00782395">
      <w:pPr>
        <w:jc w:val="left"/>
        <w:rPr>
          <w:sz w:val="24"/>
          <w:szCs w:val="24"/>
        </w:rPr>
      </w:pPr>
      <w:r w:rsidRPr="00593B00">
        <w:rPr>
          <w:sz w:val="24"/>
          <w:szCs w:val="24"/>
        </w:rPr>
        <w:t>Th</w:t>
      </w:r>
      <w:r w:rsidR="00350552">
        <w:rPr>
          <w:sz w:val="24"/>
          <w:szCs w:val="24"/>
        </w:rPr>
        <w:t>e</w:t>
      </w:r>
      <w:r w:rsidRPr="00593B00">
        <w:rPr>
          <w:sz w:val="24"/>
          <w:szCs w:val="24"/>
        </w:rPr>
        <w:t xml:space="preserve"> Instrument:</w:t>
      </w:r>
    </w:p>
    <w:p w:rsidR="00074E80" w:rsidRPr="008906D7" w:rsidRDefault="00074E80" w:rsidP="00074E80">
      <w:pPr>
        <w:pStyle w:val="ListParagraph"/>
        <w:numPr>
          <w:ilvl w:val="0"/>
          <w:numId w:val="12"/>
        </w:numPr>
        <w:rPr>
          <w:rFonts w:ascii="Times New Roman" w:hAnsi="Times New Roman"/>
          <w:sz w:val="24"/>
          <w:szCs w:val="24"/>
        </w:rPr>
      </w:pPr>
      <w:r w:rsidRPr="008906D7">
        <w:rPr>
          <w:rFonts w:ascii="Times New Roman" w:hAnsi="Times New Roman"/>
          <w:sz w:val="24"/>
          <w:szCs w:val="24"/>
        </w:rPr>
        <w:t xml:space="preserve">allows the calculation of ideal body weight (IBW) </w:t>
      </w:r>
      <w:r w:rsidR="00593B00" w:rsidRPr="008906D7">
        <w:rPr>
          <w:rFonts w:ascii="Times New Roman" w:hAnsi="Times New Roman"/>
          <w:sz w:val="24"/>
          <w:szCs w:val="24"/>
        </w:rPr>
        <w:t xml:space="preserve">(required for assessment of eligibility and dosage for treatment with PBS-subsidised growth hormone) </w:t>
      </w:r>
      <w:r w:rsidRPr="008906D7">
        <w:rPr>
          <w:rFonts w:ascii="Times New Roman" w:hAnsi="Times New Roman"/>
          <w:sz w:val="24"/>
          <w:szCs w:val="24"/>
        </w:rPr>
        <w:t xml:space="preserve">for patients with Prader-Willi Syndrome </w:t>
      </w:r>
      <w:r w:rsidR="00593B00" w:rsidRPr="008906D7">
        <w:rPr>
          <w:rFonts w:ascii="Times New Roman" w:hAnsi="Times New Roman"/>
          <w:sz w:val="24"/>
          <w:szCs w:val="24"/>
        </w:rPr>
        <w:t xml:space="preserve">(PWS) </w:t>
      </w:r>
      <w:r w:rsidRPr="008906D7">
        <w:rPr>
          <w:rFonts w:ascii="Times New Roman" w:hAnsi="Times New Roman"/>
          <w:sz w:val="24"/>
          <w:szCs w:val="24"/>
        </w:rPr>
        <w:t>whose height is greater than 176.8</w:t>
      </w:r>
      <w:r w:rsidR="00C24AB5">
        <w:rPr>
          <w:rFonts w:ascii="Times New Roman" w:hAnsi="Times New Roman"/>
          <w:sz w:val="24"/>
          <w:szCs w:val="24"/>
        </w:rPr>
        <w:t> </w:t>
      </w:r>
      <w:r w:rsidRPr="008906D7">
        <w:rPr>
          <w:rFonts w:ascii="Times New Roman" w:hAnsi="Times New Roman"/>
          <w:sz w:val="24"/>
          <w:szCs w:val="24"/>
        </w:rPr>
        <w:t xml:space="preserve">centimetres (males) </w:t>
      </w:r>
      <w:r w:rsidR="00593B00" w:rsidRPr="008906D7">
        <w:rPr>
          <w:rFonts w:ascii="Times New Roman" w:hAnsi="Times New Roman"/>
          <w:sz w:val="24"/>
          <w:szCs w:val="24"/>
        </w:rPr>
        <w:t>or</w:t>
      </w:r>
      <w:r w:rsidRPr="008906D7">
        <w:rPr>
          <w:rFonts w:ascii="Times New Roman" w:hAnsi="Times New Roman"/>
          <w:sz w:val="24"/>
          <w:szCs w:val="24"/>
        </w:rPr>
        <w:t xml:space="preserve"> 163.3</w:t>
      </w:r>
      <w:r w:rsidR="00C24AB5">
        <w:rPr>
          <w:rFonts w:ascii="Times New Roman" w:hAnsi="Times New Roman"/>
          <w:sz w:val="24"/>
          <w:szCs w:val="24"/>
        </w:rPr>
        <w:t> </w:t>
      </w:r>
      <w:r w:rsidRPr="008906D7">
        <w:rPr>
          <w:rFonts w:ascii="Times New Roman" w:hAnsi="Times New Roman"/>
          <w:sz w:val="24"/>
          <w:szCs w:val="24"/>
        </w:rPr>
        <w:t>centimetres (females</w:t>
      </w:r>
      <w:r w:rsidR="00593B00" w:rsidRPr="008906D7">
        <w:rPr>
          <w:rFonts w:ascii="Times New Roman" w:hAnsi="Times New Roman"/>
          <w:sz w:val="24"/>
          <w:szCs w:val="24"/>
        </w:rPr>
        <w:t>)</w:t>
      </w:r>
      <w:r w:rsidRPr="008906D7">
        <w:rPr>
          <w:rFonts w:ascii="Times New Roman" w:hAnsi="Times New Roman"/>
          <w:sz w:val="24"/>
          <w:szCs w:val="24"/>
        </w:rPr>
        <w:t>; and</w:t>
      </w:r>
    </w:p>
    <w:p w:rsidR="00822650" w:rsidRPr="00A16703" w:rsidRDefault="00074E80" w:rsidP="00822650">
      <w:pPr>
        <w:pStyle w:val="ListParagraph"/>
        <w:numPr>
          <w:ilvl w:val="0"/>
          <w:numId w:val="12"/>
        </w:numPr>
        <w:spacing w:before="120"/>
        <w:ind w:left="714" w:hanging="357"/>
        <w:rPr>
          <w:rFonts w:ascii="Times New Roman" w:hAnsi="Times New Roman"/>
          <w:sz w:val="24"/>
          <w:szCs w:val="24"/>
        </w:rPr>
      </w:pPr>
      <w:r w:rsidRPr="008906D7">
        <w:rPr>
          <w:rFonts w:ascii="Times New Roman" w:hAnsi="Times New Roman"/>
          <w:sz w:val="24"/>
          <w:szCs w:val="24"/>
        </w:rPr>
        <w:t xml:space="preserve">removes the requirement for prescribers to provide an original PBS Authority prescription when applying for authority to prescribe PBS-subsidised growth hormone through the Department of Human Services’ (DHS) Online PBS Authorities </w:t>
      </w:r>
      <w:r w:rsidR="00593B00" w:rsidRPr="008906D7">
        <w:rPr>
          <w:rFonts w:ascii="Times New Roman" w:hAnsi="Times New Roman"/>
          <w:sz w:val="24"/>
          <w:szCs w:val="24"/>
        </w:rPr>
        <w:t>s</w:t>
      </w:r>
      <w:r w:rsidRPr="008906D7">
        <w:rPr>
          <w:rFonts w:ascii="Times New Roman" w:hAnsi="Times New Roman"/>
          <w:sz w:val="24"/>
          <w:szCs w:val="24"/>
        </w:rPr>
        <w:t>ystem.</w:t>
      </w:r>
      <w:r w:rsidR="00822650">
        <w:rPr>
          <w:rFonts w:ascii="Times New Roman" w:hAnsi="Times New Roman"/>
          <w:sz w:val="24"/>
          <w:szCs w:val="24"/>
        </w:rPr>
        <w:t xml:space="preserve">  Instead, prescribers will obtain autho</w:t>
      </w:r>
      <w:r w:rsidR="004C7479">
        <w:rPr>
          <w:rFonts w:ascii="Times New Roman" w:hAnsi="Times New Roman"/>
          <w:sz w:val="24"/>
          <w:szCs w:val="24"/>
        </w:rPr>
        <w:t xml:space="preserve">rity by providing </w:t>
      </w:r>
      <w:r w:rsidR="000B4088">
        <w:rPr>
          <w:rFonts w:ascii="Times New Roman" w:hAnsi="Times New Roman"/>
          <w:sz w:val="24"/>
          <w:szCs w:val="24"/>
        </w:rPr>
        <w:t xml:space="preserve">written </w:t>
      </w:r>
      <w:r w:rsidR="004C7479">
        <w:rPr>
          <w:rFonts w:ascii="Times New Roman" w:hAnsi="Times New Roman"/>
          <w:sz w:val="24"/>
          <w:szCs w:val="24"/>
        </w:rPr>
        <w:t>details of the prescription to the Chief Executive Medicare</w:t>
      </w:r>
      <w:r w:rsidR="000007BF">
        <w:rPr>
          <w:rFonts w:ascii="Times New Roman" w:hAnsi="Times New Roman"/>
          <w:sz w:val="24"/>
          <w:szCs w:val="24"/>
        </w:rPr>
        <w:t xml:space="preserve">, </w:t>
      </w:r>
      <w:r w:rsidR="000B4088">
        <w:rPr>
          <w:rFonts w:ascii="Times New Roman" w:hAnsi="Times New Roman"/>
          <w:sz w:val="24"/>
          <w:szCs w:val="24"/>
        </w:rPr>
        <w:t xml:space="preserve">electronically and </w:t>
      </w:r>
      <w:r w:rsidR="000007BF">
        <w:rPr>
          <w:rFonts w:ascii="Times New Roman" w:hAnsi="Times New Roman"/>
          <w:sz w:val="24"/>
          <w:szCs w:val="24"/>
        </w:rPr>
        <w:t>in a form approved by the Chief Executive Medicare</w:t>
      </w:r>
      <w:r w:rsidR="004C7479">
        <w:rPr>
          <w:rFonts w:ascii="Times New Roman" w:hAnsi="Times New Roman"/>
          <w:sz w:val="24"/>
          <w:szCs w:val="24"/>
        </w:rPr>
        <w:t>.</w:t>
      </w:r>
    </w:p>
    <w:p w:rsidR="00782395" w:rsidRPr="008906D7" w:rsidRDefault="00782395" w:rsidP="00782395">
      <w:pPr>
        <w:spacing w:before="120" w:after="0"/>
        <w:jc w:val="left"/>
        <w:rPr>
          <w:sz w:val="24"/>
          <w:szCs w:val="24"/>
        </w:rPr>
      </w:pPr>
      <w:r w:rsidRPr="008906D7">
        <w:rPr>
          <w:sz w:val="24"/>
          <w:szCs w:val="24"/>
        </w:rPr>
        <w:t>A provision</w:t>
      </w:r>
      <w:r w:rsidR="00845804" w:rsidRPr="008906D7">
        <w:rPr>
          <w:sz w:val="24"/>
          <w:szCs w:val="24"/>
        </w:rPr>
        <w:t>-</w:t>
      </w:r>
      <w:r w:rsidRPr="008906D7">
        <w:rPr>
          <w:sz w:val="24"/>
          <w:szCs w:val="24"/>
        </w:rPr>
        <w:t>by</w:t>
      </w:r>
      <w:r w:rsidR="00845804" w:rsidRPr="008906D7">
        <w:rPr>
          <w:sz w:val="24"/>
          <w:szCs w:val="24"/>
        </w:rPr>
        <w:t>-</w:t>
      </w:r>
      <w:r w:rsidRPr="008906D7">
        <w:rPr>
          <w:sz w:val="24"/>
          <w:szCs w:val="24"/>
        </w:rPr>
        <w:t>provision description of th</w:t>
      </w:r>
      <w:r w:rsidR="00350552">
        <w:rPr>
          <w:sz w:val="24"/>
          <w:szCs w:val="24"/>
        </w:rPr>
        <w:t>e</w:t>
      </w:r>
      <w:r w:rsidRPr="008906D7">
        <w:rPr>
          <w:sz w:val="24"/>
          <w:szCs w:val="24"/>
        </w:rPr>
        <w:t xml:space="preserve"> </w:t>
      </w:r>
      <w:r w:rsidR="00CA36F4" w:rsidRPr="008906D7">
        <w:rPr>
          <w:sz w:val="24"/>
          <w:szCs w:val="24"/>
        </w:rPr>
        <w:t>I</w:t>
      </w:r>
      <w:r w:rsidRPr="008906D7">
        <w:rPr>
          <w:sz w:val="24"/>
          <w:szCs w:val="24"/>
        </w:rPr>
        <w:t xml:space="preserve">nstrument is contained in the </w:t>
      </w:r>
      <w:r w:rsidRPr="008906D7">
        <w:rPr>
          <w:sz w:val="24"/>
          <w:szCs w:val="24"/>
          <w:u w:val="single"/>
        </w:rPr>
        <w:t>Attachment</w:t>
      </w:r>
      <w:r w:rsidRPr="008906D7">
        <w:rPr>
          <w:sz w:val="24"/>
          <w:szCs w:val="24"/>
        </w:rPr>
        <w:t>.</w:t>
      </w:r>
    </w:p>
    <w:p w:rsidR="005F379E" w:rsidRPr="00AD0C9F" w:rsidRDefault="005F379E" w:rsidP="0073452D">
      <w:pPr>
        <w:pStyle w:val="Heading60"/>
        <w:keepNext w:val="0"/>
        <w:keepLines w:val="0"/>
        <w:spacing w:after="0"/>
        <w:jc w:val="left"/>
        <w:rPr>
          <w:b w:val="0"/>
          <w:sz w:val="24"/>
          <w:szCs w:val="24"/>
        </w:rPr>
      </w:pPr>
    </w:p>
    <w:p w:rsidR="00CE2E56" w:rsidRPr="004A53E4" w:rsidRDefault="00CE2E56" w:rsidP="007A2C1E">
      <w:pPr>
        <w:pStyle w:val="Heading60"/>
        <w:keepNext w:val="0"/>
        <w:keepLines w:val="0"/>
        <w:spacing w:after="0"/>
        <w:jc w:val="left"/>
        <w:rPr>
          <w:sz w:val="24"/>
          <w:szCs w:val="24"/>
        </w:rPr>
      </w:pPr>
      <w:r w:rsidRPr="004A53E4">
        <w:rPr>
          <w:sz w:val="24"/>
          <w:szCs w:val="24"/>
        </w:rPr>
        <w:t>Consultation</w:t>
      </w:r>
    </w:p>
    <w:p w:rsidR="008468D6" w:rsidRPr="00627068" w:rsidRDefault="008468D6" w:rsidP="007251F9">
      <w:pPr>
        <w:keepLines w:val="0"/>
        <w:jc w:val="left"/>
        <w:rPr>
          <w:sz w:val="24"/>
          <w:szCs w:val="24"/>
        </w:rPr>
      </w:pPr>
      <w:r w:rsidRPr="00627068">
        <w:rPr>
          <w:sz w:val="24"/>
          <w:szCs w:val="24"/>
        </w:rPr>
        <w:t>An ongoing and formal process of consultation in relation to matters relevant to the Special Arrangement includes the involvement of interested parties through the membership of the Pharmaceutical Benefits Advisory Committee (PBAC).</w:t>
      </w:r>
    </w:p>
    <w:p w:rsidR="00CE2E56" w:rsidRPr="00627068" w:rsidRDefault="00A56514" w:rsidP="007251F9">
      <w:pPr>
        <w:keepLines w:val="0"/>
        <w:jc w:val="left"/>
        <w:rPr>
          <w:sz w:val="24"/>
          <w:szCs w:val="24"/>
        </w:rPr>
      </w:pPr>
      <w:r w:rsidRPr="00627068">
        <w:rPr>
          <w:sz w:val="24"/>
          <w:szCs w:val="24"/>
        </w:rPr>
        <w:t xml:space="preserve">The PBAC is </w:t>
      </w:r>
      <w:r w:rsidR="00CE2E56" w:rsidRPr="00627068">
        <w:rPr>
          <w:sz w:val="24"/>
          <w:szCs w:val="24"/>
        </w:rPr>
        <w:t>an independent expert body established by section 100A of the Act, which makes recommendations to the Minister for Health about which drugs and medicinal preparations should be available as pharmaceutical benefits</w:t>
      </w:r>
      <w:r w:rsidR="00E9492F" w:rsidRPr="00627068">
        <w:rPr>
          <w:sz w:val="24"/>
          <w:szCs w:val="24"/>
        </w:rPr>
        <w:t xml:space="preserve"> and the </w:t>
      </w:r>
      <w:r w:rsidR="00E9492F" w:rsidRPr="00627068">
        <w:rPr>
          <w:sz w:val="24"/>
          <w:szCs w:val="24"/>
        </w:rPr>
        <w:lastRenderedPageBreak/>
        <w:t>circumstances in which they should be available</w:t>
      </w:r>
      <w:r w:rsidR="00CE2E56" w:rsidRPr="00627068">
        <w:rPr>
          <w:sz w:val="24"/>
          <w:szCs w:val="24"/>
        </w:rPr>
        <w:t xml:space="preserve">. </w:t>
      </w:r>
      <w:r w:rsidR="00A32146" w:rsidRPr="00627068">
        <w:rPr>
          <w:sz w:val="24"/>
          <w:szCs w:val="24"/>
        </w:rPr>
        <w:t xml:space="preserve"> </w:t>
      </w:r>
      <w:r w:rsidR="00CE2E56" w:rsidRPr="00627068">
        <w:rPr>
          <w:sz w:val="24"/>
          <w:szCs w:val="24"/>
        </w:rPr>
        <w:t>Part VII of the Act only applies to drugs or medicinal prepar</w:t>
      </w:r>
      <w:r w:rsidR="000402A5" w:rsidRPr="00627068">
        <w:rPr>
          <w:sz w:val="24"/>
          <w:szCs w:val="24"/>
        </w:rPr>
        <w:t>ations recommended by the PBAC.</w:t>
      </w:r>
    </w:p>
    <w:p w:rsidR="00805005" w:rsidRPr="00392E3C" w:rsidRDefault="00CE2E56" w:rsidP="00782395">
      <w:pPr>
        <w:keepLines w:val="0"/>
        <w:jc w:val="left"/>
        <w:rPr>
          <w:sz w:val="24"/>
          <w:szCs w:val="24"/>
        </w:rPr>
      </w:pPr>
      <w:r w:rsidRPr="00392E3C">
        <w:rPr>
          <w:sz w:val="24"/>
          <w:szCs w:val="24"/>
        </w:rPr>
        <w:t xml:space="preserve">PBAC members are </w:t>
      </w:r>
      <w:r w:rsidR="00392E3C" w:rsidRPr="00392E3C">
        <w:rPr>
          <w:sz w:val="24"/>
          <w:szCs w:val="24"/>
        </w:rPr>
        <w:t xml:space="preserve">appointed following nomination by prescribed organisations and associations </w:t>
      </w:r>
      <w:r w:rsidRPr="00392E3C">
        <w:rPr>
          <w:sz w:val="24"/>
          <w:szCs w:val="24"/>
        </w:rPr>
        <w:t>from consumers, health economists, practising community pharmacists, general practitioners, clinical pharmacologists and specialists, with at least one member selected from each of th</w:t>
      </w:r>
      <w:r w:rsidR="00A32146" w:rsidRPr="00392E3C">
        <w:rPr>
          <w:sz w:val="24"/>
          <w:szCs w:val="24"/>
        </w:rPr>
        <w:t>e</w:t>
      </w:r>
      <w:r w:rsidR="006071AB" w:rsidRPr="00392E3C">
        <w:rPr>
          <w:sz w:val="24"/>
          <w:szCs w:val="24"/>
        </w:rPr>
        <w:t xml:space="preserve">se interests or professions. </w:t>
      </w:r>
      <w:r w:rsidR="00A32146" w:rsidRPr="00392E3C">
        <w:rPr>
          <w:sz w:val="24"/>
          <w:szCs w:val="24"/>
        </w:rPr>
        <w:t xml:space="preserve"> </w:t>
      </w:r>
      <w:r w:rsidR="006071AB" w:rsidRPr="00392E3C">
        <w:rPr>
          <w:sz w:val="24"/>
          <w:szCs w:val="24"/>
        </w:rPr>
        <w:t>R</w:t>
      </w:r>
      <w:r w:rsidRPr="00392E3C">
        <w:rPr>
          <w:sz w:val="24"/>
          <w:szCs w:val="24"/>
        </w:rPr>
        <w:t>e</w:t>
      </w:r>
      <w:r w:rsidR="00392E3C" w:rsidRPr="00392E3C">
        <w:rPr>
          <w:sz w:val="24"/>
          <w:szCs w:val="24"/>
        </w:rPr>
        <w:t>maining members are persons whom</w:t>
      </w:r>
      <w:r w:rsidRPr="00392E3C">
        <w:rPr>
          <w:sz w:val="24"/>
          <w:szCs w:val="24"/>
        </w:rPr>
        <w:t xml:space="preserve"> the Minister is satisfied have qualifications and experience in a field relevant to the functions of the PBAC, and that would enable them to contribute meaningfully t</w:t>
      </w:r>
      <w:r w:rsidR="002C60CC" w:rsidRPr="00392E3C">
        <w:rPr>
          <w:sz w:val="24"/>
          <w:szCs w:val="24"/>
        </w:rPr>
        <w:t>o the deliberations of the PBAC.</w:t>
      </w:r>
    </w:p>
    <w:p w:rsidR="0016602B" w:rsidRDefault="00392E3C" w:rsidP="00782395">
      <w:pPr>
        <w:keepLines w:val="0"/>
        <w:jc w:val="left"/>
        <w:rPr>
          <w:sz w:val="24"/>
          <w:szCs w:val="24"/>
        </w:rPr>
      </w:pPr>
      <w:r w:rsidRPr="00DB4DC9">
        <w:rPr>
          <w:sz w:val="24"/>
          <w:szCs w:val="24"/>
        </w:rPr>
        <w:t xml:space="preserve">The amendments to the Special Arrangement </w:t>
      </w:r>
      <w:r w:rsidR="00121967">
        <w:rPr>
          <w:sz w:val="24"/>
          <w:szCs w:val="24"/>
        </w:rPr>
        <w:t>concerning</w:t>
      </w:r>
      <w:r w:rsidRPr="00DB4DC9">
        <w:rPr>
          <w:sz w:val="24"/>
          <w:szCs w:val="24"/>
        </w:rPr>
        <w:t xml:space="preserve"> the </w:t>
      </w:r>
      <w:r w:rsidR="00A56514" w:rsidRPr="00DB4DC9">
        <w:rPr>
          <w:sz w:val="24"/>
          <w:szCs w:val="24"/>
        </w:rPr>
        <w:t>calculation of IBW were made having regard to advice provided by the PBAC</w:t>
      </w:r>
      <w:r w:rsidR="0016602B">
        <w:rPr>
          <w:sz w:val="24"/>
          <w:szCs w:val="24"/>
        </w:rPr>
        <w:t xml:space="preserve"> at its July 2017 meeting, as well as prior clinical advice sought internally to the Department of Health (the Department)</w:t>
      </w:r>
      <w:r w:rsidR="00A56514" w:rsidRPr="00DB4DC9">
        <w:rPr>
          <w:sz w:val="24"/>
          <w:szCs w:val="24"/>
        </w:rPr>
        <w:t>.</w:t>
      </w:r>
    </w:p>
    <w:p w:rsidR="00A56514" w:rsidRPr="00DB4DC9" w:rsidRDefault="00A56514" w:rsidP="00782395">
      <w:pPr>
        <w:keepLines w:val="0"/>
        <w:jc w:val="left"/>
        <w:rPr>
          <w:sz w:val="24"/>
          <w:szCs w:val="24"/>
        </w:rPr>
      </w:pPr>
      <w:r w:rsidRPr="00DB4DC9">
        <w:rPr>
          <w:sz w:val="24"/>
          <w:szCs w:val="24"/>
        </w:rPr>
        <w:t xml:space="preserve">In developing the operational aspects </w:t>
      </w:r>
      <w:r w:rsidR="00392E3C" w:rsidRPr="00DB4DC9">
        <w:rPr>
          <w:sz w:val="24"/>
          <w:szCs w:val="24"/>
        </w:rPr>
        <w:t xml:space="preserve">of </w:t>
      </w:r>
      <w:r w:rsidRPr="00DB4DC9">
        <w:rPr>
          <w:sz w:val="24"/>
          <w:szCs w:val="24"/>
        </w:rPr>
        <w:t>the amendments, the Department has also consulted with the DHS</w:t>
      </w:r>
      <w:r w:rsidR="0016602B">
        <w:rPr>
          <w:sz w:val="24"/>
          <w:szCs w:val="24"/>
        </w:rPr>
        <w:t>.</w:t>
      </w:r>
    </w:p>
    <w:p w:rsidR="004C7479" w:rsidRPr="004C7479" w:rsidRDefault="004C7479" w:rsidP="005713BA">
      <w:pPr>
        <w:jc w:val="left"/>
        <w:rPr>
          <w:sz w:val="24"/>
          <w:szCs w:val="24"/>
        </w:rPr>
      </w:pPr>
      <w:r>
        <w:rPr>
          <w:sz w:val="24"/>
          <w:szCs w:val="24"/>
        </w:rPr>
        <w:t>Th</w:t>
      </w:r>
      <w:r w:rsidR="00350552">
        <w:rPr>
          <w:sz w:val="24"/>
          <w:szCs w:val="24"/>
        </w:rPr>
        <w:t>e</w:t>
      </w:r>
      <w:r>
        <w:rPr>
          <w:sz w:val="24"/>
          <w:szCs w:val="24"/>
        </w:rPr>
        <w:t xml:space="preserve"> Instrument incorporates </w:t>
      </w:r>
      <w:r w:rsidR="00350552">
        <w:rPr>
          <w:sz w:val="24"/>
          <w:szCs w:val="24"/>
        </w:rPr>
        <w:t xml:space="preserve">reference to </w:t>
      </w:r>
      <w:r>
        <w:rPr>
          <w:sz w:val="24"/>
          <w:szCs w:val="24"/>
        </w:rPr>
        <w:t xml:space="preserve">the </w:t>
      </w:r>
      <w:r w:rsidRPr="006031D1">
        <w:rPr>
          <w:i/>
          <w:sz w:val="24"/>
          <w:szCs w:val="24"/>
        </w:rPr>
        <w:t>National Health (List</w:t>
      </w:r>
      <w:r>
        <w:rPr>
          <w:i/>
          <w:sz w:val="24"/>
          <w:szCs w:val="24"/>
        </w:rPr>
        <w:t>i</w:t>
      </w:r>
      <w:r w:rsidRPr="006031D1">
        <w:rPr>
          <w:i/>
          <w:sz w:val="24"/>
          <w:szCs w:val="24"/>
        </w:rPr>
        <w:t>ng of Pharmaceutical Benefits) Instrument 2012</w:t>
      </w:r>
      <w:r>
        <w:rPr>
          <w:i/>
          <w:sz w:val="24"/>
          <w:szCs w:val="24"/>
        </w:rPr>
        <w:t xml:space="preserve"> </w:t>
      </w:r>
      <w:r>
        <w:rPr>
          <w:sz w:val="24"/>
          <w:szCs w:val="24"/>
        </w:rPr>
        <w:t xml:space="preserve">as in force from time to time. </w:t>
      </w:r>
    </w:p>
    <w:p w:rsidR="00F3611D" w:rsidRPr="00686B08" w:rsidRDefault="00473BA4" w:rsidP="005713BA">
      <w:pPr>
        <w:jc w:val="left"/>
        <w:rPr>
          <w:sz w:val="24"/>
          <w:szCs w:val="24"/>
        </w:rPr>
      </w:pPr>
      <w:r w:rsidRPr="00686B08">
        <w:rPr>
          <w:sz w:val="24"/>
          <w:szCs w:val="24"/>
        </w:rPr>
        <w:t>Th</w:t>
      </w:r>
      <w:r w:rsidR="00350552">
        <w:rPr>
          <w:sz w:val="24"/>
          <w:szCs w:val="24"/>
        </w:rPr>
        <w:t>e</w:t>
      </w:r>
      <w:r w:rsidRPr="00686B08">
        <w:rPr>
          <w:sz w:val="24"/>
          <w:szCs w:val="24"/>
        </w:rPr>
        <w:t xml:space="preserve"> Instrument commences on </w:t>
      </w:r>
      <w:r w:rsidRPr="00074E80">
        <w:rPr>
          <w:sz w:val="24"/>
          <w:szCs w:val="24"/>
        </w:rPr>
        <w:t>1</w:t>
      </w:r>
      <w:r w:rsidR="00074E80" w:rsidRPr="00074E80">
        <w:rPr>
          <w:sz w:val="24"/>
          <w:szCs w:val="24"/>
        </w:rPr>
        <w:t> </w:t>
      </w:r>
      <w:r w:rsidR="00686B08" w:rsidRPr="00074E80">
        <w:rPr>
          <w:sz w:val="24"/>
          <w:szCs w:val="24"/>
        </w:rPr>
        <w:t>November</w:t>
      </w:r>
      <w:r w:rsidR="00074E80" w:rsidRPr="00074E80">
        <w:rPr>
          <w:sz w:val="24"/>
          <w:szCs w:val="24"/>
        </w:rPr>
        <w:t> </w:t>
      </w:r>
      <w:r w:rsidR="006071AB" w:rsidRPr="00074E80">
        <w:rPr>
          <w:sz w:val="24"/>
          <w:szCs w:val="24"/>
        </w:rPr>
        <w:t>2017</w:t>
      </w:r>
      <w:r w:rsidRPr="00686B08">
        <w:rPr>
          <w:sz w:val="24"/>
          <w:szCs w:val="24"/>
        </w:rPr>
        <w:t>.</w:t>
      </w:r>
    </w:p>
    <w:p w:rsidR="00F3611D" w:rsidRDefault="00F3611D" w:rsidP="005713BA">
      <w:pPr>
        <w:jc w:val="left"/>
        <w:rPr>
          <w:i/>
          <w:sz w:val="24"/>
          <w:szCs w:val="24"/>
        </w:rPr>
      </w:pPr>
      <w:r w:rsidRPr="004A53E4">
        <w:rPr>
          <w:sz w:val="24"/>
          <w:szCs w:val="24"/>
        </w:rPr>
        <w:t>Th</w:t>
      </w:r>
      <w:r w:rsidR="00350552">
        <w:rPr>
          <w:sz w:val="24"/>
          <w:szCs w:val="24"/>
        </w:rPr>
        <w:t>e</w:t>
      </w:r>
      <w:r w:rsidRPr="004A53E4">
        <w:rPr>
          <w:sz w:val="24"/>
          <w:szCs w:val="24"/>
        </w:rPr>
        <w:t xml:space="preserve"> </w:t>
      </w:r>
      <w:r w:rsidR="00CE7E07">
        <w:rPr>
          <w:sz w:val="24"/>
          <w:szCs w:val="24"/>
        </w:rPr>
        <w:t>I</w:t>
      </w:r>
      <w:r w:rsidRPr="004A53E4">
        <w:rPr>
          <w:sz w:val="24"/>
          <w:szCs w:val="24"/>
        </w:rPr>
        <w:t xml:space="preserve">nstrument is a legislative instrument for the purposes of the </w:t>
      </w:r>
      <w:r w:rsidRPr="004A53E4">
        <w:rPr>
          <w:i/>
          <w:sz w:val="24"/>
          <w:szCs w:val="24"/>
        </w:rPr>
        <w:t>Legislat</w:t>
      </w:r>
      <w:r w:rsidR="006734AD">
        <w:rPr>
          <w:i/>
          <w:sz w:val="24"/>
          <w:szCs w:val="24"/>
        </w:rPr>
        <w:t>ion</w:t>
      </w:r>
      <w:r w:rsidRPr="004A53E4">
        <w:rPr>
          <w:i/>
          <w:sz w:val="24"/>
          <w:szCs w:val="24"/>
        </w:rPr>
        <w:t xml:space="preserve"> </w:t>
      </w:r>
      <w:r w:rsidR="00CE7E07">
        <w:rPr>
          <w:i/>
          <w:sz w:val="24"/>
          <w:szCs w:val="24"/>
        </w:rPr>
        <w:t>Act 2003.</w:t>
      </w:r>
    </w:p>
    <w:p w:rsidR="0014157B" w:rsidRPr="00593176" w:rsidRDefault="0073452D" w:rsidP="0073452D">
      <w:pPr>
        <w:keepLines w:val="0"/>
        <w:jc w:val="right"/>
        <w:rPr>
          <w:b/>
          <w:sz w:val="24"/>
          <w:szCs w:val="24"/>
          <w:lang w:eastAsia="en-US"/>
        </w:rPr>
      </w:pPr>
      <w:r>
        <w:rPr>
          <w:i/>
          <w:sz w:val="24"/>
          <w:szCs w:val="24"/>
        </w:rPr>
        <w:br w:type="page"/>
      </w:r>
      <w:r w:rsidR="0014157B" w:rsidRPr="00593176">
        <w:rPr>
          <w:b/>
          <w:sz w:val="24"/>
          <w:szCs w:val="24"/>
          <w:lang w:eastAsia="en-US"/>
        </w:rPr>
        <w:lastRenderedPageBreak/>
        <w:t>ATTACHMENT</w:t>
      </w:r>
    </w:p>
    <w:p w:rsidR="0014157B" w:rsidRPr="00593176" w:rsidRDefault="00EF6EDA" w:rsidP="0014157B">
      <w:pPr>
        <w:keepLines w:val="0"/>
        <w:jc w:val="left"/>
        <w:rPr>
          <w:b/>
          <w:i/>
          <w:sz w:val="24"/>
          <w:szCs w:val="24"/>
          <w:lang w:eastAsia="en-US"/>
        </w:rPr>
      </w:pPr>
      <w:r>
        <w:rPr>
          <w:b/>
          <w:i/>
          <w:sz w:val="24"/>
          <w:szCs w:val="24"/>
          <w:lang w:eastAsia="en-US"/>
        </w:rPr>
        <w:t>DETAILS</w:t>
      </w:r>
      <w:r w:rsidR="0014157B" w:rsidRPr="00593176">
        <w:rPr>
          <w:b/>
          <w:i/>
          <w:sz w:val="24"/>
          <w:szCs w:val="24"/>
          <w:lang w:eastAsia="en-US"/>
        </w:rPr>
        <w:t xml:space="preserve"> OF THE NATIONAL HEALTH (</w:t>
      </w:r>
      <w:r w:rsidR="0084372F">
        <w:rPr>
          <w:b/>
          <w:i/>
          <w:sz w:val="24"/>
          <w:szCs w:val="24"/>
          <w:lang w:eastAsia="en-US"/>
        </w:rPr>
        <w:t>GROWTH HORMONE</w:t>
      </w:r>
      <w:r w:rsidR="0014157B">
        <w:rPr>
          <w:b/>
          <w:i/>
          <w:sz w:val="24"/>
          <w:szCs w:val="24"/>
          <w:lang w:eastAsia="en-US"/>
        </w:rPr>
        <w:t xml:space="preserve"> PROGRAM</w:t>
      </w:r>
      <w:r w:rsidR="0014157B" w:rsidRPr="00593176">
        <w:rPr>
          <w:b/>
          <w:i/>
          <w:sz w:val="24"/>
          <w:szCs w:val="24"/>
          <w:lang w:eastAsia="en-US"/>
        </w:rPr>
        <w:t>) SPECIAL ARRAN</w:t>
      </w:r>
      <w:r w:rsidR="00410CEA">
        <w:rPr>
          <w:b/>
          <w:i/>
          <w:sz w:val="24"/>
          <w:szCs w:val="24"/>
          <w:lang w:eastAsia="en-US"/>
        </w:rPr>
        <w:t xml:space="preserve">GEMENT AMENDMENT INSTRUMENT </w:t>
      </w:r>
      <w:r w:rsidR="001753BB">
        <w:rPr>
          <w:b/>
          <w:i/>
          <w:sz w:val="24"/>
          <w:szCs w:val="24"/>
          <w:lang w:eastAsia="en-US"/>
        </w:rPr>
        <w:t>201</w:t>
      </w:r>
      <w:r w:rsidR="00686B08">
        <w:rPr>
          <w:b/>
          <w:i/>
          <w:sz w:val="24"/>
          <w:szCs w:val="24"/>
          <w:lang w:eastAsia="en-US"/>
        </w:rPr>
        <w:t>7</w:t>
      </w:r>
      <w:r w:rsidR="0014157B" w:rsidRPr="00593176">
        <w:rPr>
          <w:b/>
          <w:i/>
          <w:sz w:val="24"/>
          <w:szCs w:val="24"/>
          <w:lang w:eastAsia="en-US"/>
        </w:rPr>
        <w:t xml:space="preserve"> </w:t>
      </w:r>
      <w:r w:rsidR="00A32146">
        <w:rPr>
          <w:b/>
          <w:i/>
          <w:sz w:val="24"/>
          <w:szCs w:val="24"/>
          <w:lang w:eastAsia="en-US"/>
        </w:rPr>
        <w:t>(No</w:t>
      </w:r>
      <w:r w:rsidR="00686B08">
        <w:rPr>
          <w:b/>
          <w:i/>
          <w:sz w:val="24"/>
          <w:szCs w:val="24"/>
          <w:lang w:eastAsia="en-US"/>
        </w:rPr>
        <w:t>.</w:t>
      </w:r>
      <w:r w:rsidR="00A00CD6">
        <w:rPr>
          <w:b/>
          <w:i/>
          <w:sz w:val="24"/>
          <w:szCs w:val="24"/>
          <w:lang w:eastAsia="en-US"/>
        </w:rPr>
        <w:t xml:space="preserve"> </w:t>
      </w:r>
      <w:r w:rsidR="00480529">
        <w:rPr>
          <w:b/>
          <w:i/>
          <w:sz w:val="24"/>
          <w:szCs w:val="24"/>
          <w:lang w:eastAsia="en-US"/>
        </w:rPr>
        <w:t>2</w:t>
      </w:r>
      <w:r w:rsidR="0014157B" w:rsidRPr="00593176">
        <w:rPr>
          <w:b/>
          <w:i/>
          <w:sz w:val="24"/>
          <w:szCs w:val="24"/>
          <w:lang w:eastAsia="en-US"/>
        </w:rPr>
        <w:t>)</w:t>
      </w:r>
    </w:p>
    <w:p w:rsidR="0014157B" w:rsidRPr="00593176" w:rsidRDefault="0014157B" w:rsidP="0014157B">
      <w:pPr>
        <w:keepLines w:val="0"/>
        <w:jc w:val="left"/>
        <w:rPr>
          <w:b/>
          <w:sz w:val="24"/>
          <w:szCs w:val="24"/>
          <w:lang w:eastAsia="en-US"/>
        </w:rPr>
      </w:pPr>
      <w:r w:rsidRPr="00593176">
        <w:rPr>
          <w:b/>
          <w:sz w:val="24"/>
          <w:szCs w:val="24"/>
          <w:lang w:eastAsia="en-US"/>
        </w:rPr>
        <w:t>Section 1</w:t>
      </w:r>
      <w:r w:rsidRPr="00593176">
        <w:rPr>
          <w:b/>
          <w:sz w:val="24"/>
          <w:szCs w:val="24"/>
          <w:lang w:eastAsia="en-US"/>
        </w:rPr>
        <w:tab/>
        <w:t>Name of Instrument</w:t>
      </w:r>
    </w:p>
    <w:p w:rsidR="0014157B" w:rsidRPr="003A603B" w:rsidRDefault="0014157B" w:rsidP="0014157B">
      <w:pPr>
        <w:keepLines w:val="0"/>
        <w:jc w:val="left"/>
        <w:rPr>
          <w:sz w:val="24"/>
          <w:szCs w:val="24"/>
          <w:lang w:eastAsia="en-US"/>
        </w:rPr>
      </w:pPr>
      <w:r w:rsidRPr="003A603B">
        <w:rPr>
          <w:sz w:val="24"/>
          <w:szCs w:val="24"/>
          <w:lang w:eastAsia="en-US"/>
        </w:rPr>
        <w:t xml:space="preserve">This section provides that this Instrument is the </w:t>
      </w:r>
      <w:r w:rsidRPr="003A603B">
        <w:rPr>
          <w:i/>
          <w:sz w:val="24"/>
          <w:szCs w:val="24"/>
          <w:lang w:eastAsia="en-US"/>
        </w:rPr>
        <w:t>National Health (</w:t>
      </w:r>
      <w:r w:rsidR="0084372F" w:rsidRPr="003A603B">
        <w:rPr>
          <w:i/>
          <w:sz w:val="24"/>
          <w:szCs w:val="24"/>
          <w:lang w:eastAsia="en-US"/>
        </w:rPr>
        <w:t>Growth Hormone</w:t>
      </w:r>
      <w:r w:rsidRPr="003A603B">
        <w:rPr>
          <w:i/>
          <w:sz w:val="24"/>
          <w:szCs w:val="24"/>
          <w:lang w:eastAsia="en-US"/>
        </w:rPr>
        <w:t xml:space="preserve"> Program) Special Arra</w:t>
      </w:r>
      <w:r w:rsidR="00D44C8D" w:rsidRPr="003A603B">
        <w:rPr>
          <w:i/>
          <w:sz w:val="24"/>
          <w:szCs w:val="24"/>
          <w:lang w:eastAsia="en-US"/>
        </w:rPr>
        <w:t>ngement Amendment Instrument 201</w:t>
      </w:r>
      <w:r w:rsidR="00686B08" w:rsidRPr="003A603B">
        <w:rPr>
          <w:i/>
          <w:sz w:val="24"/>
          <w:szCs w:val="24"/>
          <w:lang w:eastAsia="en-US"/>
        </w:rPr>
        <w:t>7</w:t>
      </w:r>
      <w:r w:rsidRPr="003A603B">
        <w:rPr>
          <w:i/>
          <w:sz w:val="24"/>
          <w:szCs w:val="24"/>
          <w:lang w:eastAsia="en-US"/>
        </w:rPr>
        <w:t xml:space="preserve"> (No. </w:t>
      </w:r>
      <w:r w:rsidR="00362F8F" w:rsidRPr="003A603B">
        <w:rPr>
          <w:i/>
          <w:sz w:val="24"/>
          <w:szCs w:val="24"/>
          <w:lang w:eastAsia="en-US"/>
        </w:rPr>
        <w:t>2</w:t>
      </w:r>
      <w:r w:rsidRPr="003A603B">
        <w:rPr>
          <w:i/>
          <w:sz w:val="24"/>
          <w:szCs w:val="24"/>
          <w:lang w:eastAsia="en-US"/>
        </w:rPr>
        <w:t>)</w:t>
      </w:r>
      <w:r w:rsidR="005E00A0" w:rsidRPr="003A603B">
        <w:rPr>
          <w:sz w:val="24"/>
          <w:szCs w:val="24"/>
          <w:lang w:eastAsia="en-US"/>
        </w:rPr>
        <w:t>,</w:t>
      </w:r>
      <w:r w:rsidRPr="003A603B">
        <w:rPr>
          <w:sz w:val="24"/>
          <w:szCs w:val="24"/>
          <w:lang w:eastAsia="en-US"/>
        </w:rPr>
        <w:t xml:space="preserve"> and that it may also be cited as PB</w:t>
      </w:r>
      <w:r w:rsidR="00362F8F" w:rsidRPr="003A603B">
        <w:rPr>
          <w:sz w:val="24"/>
          <w:szCs w:val="24"/>
          <w:lang w:eastAsia="en-US"/>
        </w:rPr>
        <w:t> 91 </w:t>
      </w:r>
      <w:r w:rsidR="00410CEA" w:rsidRPr="003A603B">
        <w:rPr>
          <w:sz w:val="24"/>
          <w:szCs w:val="24"/>
          <w:lang w:eastAsia="en-US"/>
        </w:rPr>
        <w:t>of</w:t>
      </w:r>
      <w:r w:rsidR="00362F8F" w:rsidRPr="003A603B">
        <w:rPr>
          <w:sz w:val="24"/>
          <w:szCs w:val="24"/>
          <w:lang w:eastAsia="en-US"/>
        </w:rPr>
        <w:t> </w:t>
      </w:r>
      <w:r w:rsidR="00686B08" w:rsidRPr="003A603B">
        <w:rPr>
          <w:sz w:val="24"/>
          <w:szCs w:val="24"/>
          <w:lang w:eastAsia="en-US"/>
        </w:rPr>
        <w:t>2017</w:t>
      </w:r>
      <w:r w:rsidRPr="003A603B">
        <w:rPr>
          <w:sz w:val="24"/>
          <w:szCs w:val="24"/>
          <w:lang w:eastAsia="en-US"/>
        </w:rPr>
        <w:t>.</w:t>
      </w:r>
    </w:p>
    <w:p w:rsidR="0014157B" w:rsidRPr="00593176" w:rsidRDefault="0014157B" w:rsidP="0014157B">
      <w:pPr>
        <w:keepLines w:val="0"/>
        <w:jc w:val="left"/>
        <w:rPr>
          <w:b/>
          <w:sz w:val="24"/>
          <w:szCs w:val="24"/>
          <w:lang w:eastAsia="en-US"/>
        </w:rPr>
      </w:pPr>
      <w:r w:rsidRPr="00593176">
        <w:rPr>
          <w:b/>
          <w:sz w:val="24"/>
          <w:szCs w:val="24"/>
          <w:lang w:eastAsia="en-US"/>
        </w:rPr>
        <w:t>Section 2</w:t>
      </w:r>
      <w:r w:rsidRPr="00593176">
        <w:rPr>
          <w:b/>
          <w:sz w:val="24"/>
          <w:szCs w:val="24"/>
          <w:lang w:eastAsia="en-US"/>
        </w:rPr>
        <w:tab/>
        <w:t>Commencement</w:t>
      </w:r>
    </w:p>
    <w:p w:rsidR="0014157B" w:rsidRPr="003A603B" w:rsidRDefault="0014157B" w:rsidP="0014157B">
      <w:pPr>
        <w:keepLines w:val="0"/>
        <w:jc w:val="left"/>
        <w:rPr>
          <w:sz w:val="24"/>
          <w:szCs w:val="24"/>
          <w:lang w:eastAsia="en-US"/>
        </w:rPr>
      </w:pPr>
      <w:r w:rsidRPr="003A603B">
        <w:rPr>
          <w:sz w:val="24"/>
          <w:szCs w:val="24"/>
          <w:lang w:eastAsia="en-US"/>
        </w:rPr>
        <w:t xml:space="preserve">This section provides that this Instrument commences on </w:t>
      </w:r>
      <w:r w:rsidR="005E00A0" w:rsidRPr="003A603B">
        <w:rPr>
          <w:sz w:val="24"/>
          <w:szCs w:val="24"/>
          <w:lang w:eastAsia="en-US"/>
        </w:rPr>
        <w:t>1</w:t>
      </w:r>
      <w:r w:rsidR="00362F8F" w:rsidRPr="003A603B">
        <w:rPr>
          <w:sz w:val="24"/>
          <w:szCs w:val="24"/>
          <w:lang w:eastAsia="en-US"/>
        </w:rPr>
        <w:t> </w:t>
      </w:r>
      <w:r w:rsidR="00686B08" w:rsidRPr="003A603B">
        <w:rPr>
          <w:sz w:val="24"/>
          <w:szCs w:val="24"/>
          <w:lang w:eastAsia="en-US"/>
        </w:rPr>
        <w:t>November</w:t>
      </w:r>
      <w:r w:rsidR="00362F8F" w:rsidRPr="003A603B">
        <w:rPr>
          <w:sz w:val="24"/>
          <w:szCs w:val="24"/>
          <w:lang w:eastAsia="en-US"/>
        </w:rPr>
        <w:t> </w:t>
      </w:r>
      <w:r w:rsidR="001753BB" w:rsidRPr="003A603B">
        <w:rPr>
          <w:sz w:val="24"/>
          <w:szCs w:val="24"/>
          <w:lang w:eastAsia="en-US"/>
        </w:rPr>
        <w:t>201</w:t>
      </w:r>
      <w:r w:rsidR="006071AB" w:rsidRPr="003A603B">
        <w:rPr>
          <w:sz w:val="24"/>
          <w:szCs w:val="24"/>
          <w:lang w:eastAsia="en-US"/>
        </w:rPr>
        <w:t>7</w:t>
      </w:r>
      <w:r w:rsidRPr="003A603B">
        <w:rPr>
          <w:sz w:val="24"/>
          <w:szCs w:val="24"/>
          <w:lang w:eastAsia="en-US"/>
        </w:rPr>
        <w:t xml:space="preserve">. </w:t>
      </w:r>
    </w:p>
    <w:p w:rsidR="00686B08" w:rsidRDefault="0084372F" w:rsidP="0014157B">
      <w:pPr>
        <w:keepLines w:val="0"/>
        <w:jc w:val="left"/>
        <w:rPr>
          <w:b/>
          <w:sz w:val="24"/>
          <w:szCs w:val="24"/>
          <w:lang w:eastAsia="en-US"/>
        </w:rPr>
      </w:pPr>
      <w:r>
        <w:rPr>
          <w:b/>
          <w:sz w:val="24"/>
          <w:szCs w:val="24"/>
          <w:lang w:eastAsia="en-US"/>
        </w:rPr>
        <w:t>Section 3</w:t>
      </w:r>
      <w:r w:rsidR="0014157B" w:rsidRPr="00593176">
        <w:rPr>
          <w:b/>
          <w:sz w:val="24"/>
          <w:szCs w:val="24"/>
          <w:lang w:eastAsia="en-US"/>
        </w:rPr>
        <w:tab/>
      </w:r>
      <w:r w:rsidR="00686B08">
        <w:rPr>
          <w:b/>
          <w:sz w:val="24"/>
          <w:szCs w:val="24"/>
          <w:lang w:eastAsia="en-US"/>
        </w:rPr>
        <w:t>Authority</w:t>
      </w:r>
    </w:p>
    <w:p w:rsidR="00686B08" w:rsidRPr="003A603B" w:rsidRDefault="00686B08" w:rsidP="0014157B">
      <w:pPr>
        <w:keepLines w:val="0"/>
        <w:jc w:val="left"/>
        <w:rPr>
          <w:sz w:val="24"/>
          <w:szCs w:val="24"/>
          <w:lang w:eastAsia="en-US"/>
        </w:rPr>
      </w:pPr>
      <w:r w:rsidRPr="003A603B">
        <w:rPr>
          <w:sz w:val="24"/>
          <w:szCs w:val="24"/>
          <w:lang w:eastAsia="en-US"/>
        </w:rPr>
        <w:t xml:space="preserve">This section provides that </w:t>
      </w:r>
      <w:r w:rsidR="00362F8F" w:rsidRPr="003A603B">
        <w:rPr>
          <w:sz w:val="24"/>
          <w:szCs w:val="24"/>
          <w:lang w:eastAsia="en-US"/>
        </w:rPr>
        <w:t>this</w:t>
      </w:r>
      <w:r w:rsidRPr="003A603B">
        <w:rPr>
          <w:sz w:val="24"/>
          <w:szCs w:val="24"/>
          <w:lang w:eastAsia="en-US"/>
        </w:rPr>
        <w:t xml:space="preserve"> Instrument is made under subsection 100(2) of the </w:t>
      </w:r>
      <w:r w:rsidRPr="003A603B">
        <w:rPr>
          <w:i/>
          <w:sz w:val="24"/>
          <w:szCs w:val="24"/>
          <w:lang w:eastAsia="en-US"/>
        </w:rPr>
        <w:t>National Health Act 1953</w:t>
      </w:r>
      <w:r w:rsidRPr="003A603B">
        <w:rPr>
          <w:sz w:val="24"/>
          <w:szCs w:val="24"/>
          <w:lang w:eastAsia="en-US"/>
        </w:rPr>
        <w:t>.</w:t>
      </w:r>
    </w:p>
    <w:p w:rsidR="00686B08" w:rsidRPr="00686B08" w:rsidRDefault="00686B08" w:rsidP="0014157B">
      <w:pPr>
        <w:keepLines w:val="0"/>
        <w:jc w:val="left"/>
        <w:rPr>
          <w:b/>
          <w:sz w:val="24"/>
          <w:szCs w:val="24"/>
          <w:lang w:eastAsia="en-US"/>
        </w:rPr>
      </w:pPr>
      <w:r w:rsidRPr="00686B08">
        <w:rPr>
          <w:b/>
          <w:sz w:val="24"/>
          <w:szCs w:val="24"/>
          <w:lang w:eastAsia="en-US"/>
        </w:rPr>
        <w:t>Section 4</w:t>
      </w:r>
      <w:r w:rsidRPr="00686B08">
        <w:rPr>
          <w:b/>
          <w:sz w:val="24"/>
          <w:szCs w:val="24"/>
          <w:lang w:eastAsia="en-US"/>
        </w:rPr>
        <w:tab/>
        <w:t>Schedule</w:t>
      </w:r>
    </w:p>
    <w:p w:rsidR="00686B08" w:rsidRPr="003A603B" w:rsidRDefault="003A6952" w:rsidP="00D01134">
      <w:pPr>
        <w:keepLines w:val="0"/>
        <w:jc w:val="left"/>
        <w:rPr>
          <w:b/>
          <w:sz w:val="24"/>
          <w:szCs w:val="24"/>
          <w:lang w:eastAsia="en-US"/>
        </w:rPr>
      </w:pPr>
      <w:r w:rsidRPr="003A603B">
        <w:rPr>
          <w:color w:val="000000"/>
          <w:sz w:val="24"/>
          <w:szCs w:val="24"/>
        </w:rPr>
        <w:t xml:space="preserve">This section provides that each instrument that is specified in a Schedule to this </w:t>
      </w:r>
      <w:r w:rsidR="00FC6B55" w:rsidRPr="003A603B">
        <w:rPr>
          <w:color w:val="000000"/>
          <w:sz w:val="24"/>
          <w:szCs w:val="24"/>
        </w:rPr>
        <w:t>I</w:t>
      </w:r>
      <w:r w:rsidRPr="003A603B">
        <w:rPr>
          <w:color w:val="000000"/>
          <w:sz w:val="24"/>
          <w:szCs w:val="24"/>
        </w:rPr>
        <w:t xml:space="preserve">nstrument is amended or repealed as set out in the </w:t>
      </w:r>
      <w:r w:rsidR="00FC6B55" w:rsidRPr="003A603B">
        <w:rPr>
          <w:color w:val="000000"/>
          <w:sz w:val="24"/>
          <w:szCs w:val="24"/>
        </w:rPr>
        <w:t xml:space="preserve">applicable items in the </w:t>
      </w:r>
      <w:r w:rsidRPr="003A603B">
        <w:rPr>
          <w:color w:val="000000"/>
          <w:sz w:val="24"/>
          <w:szCs w:val="24"/>
        </w:rPr>
        <w:t xml:space="preserve">Schedule concerned.  It also provides that any other item in a Schedule to this </w:t>
      </w:r>
      <w:r w:rsidR="00DA2168" w:rsidRPr="003A603B">
        <w:rPr>
          <w:color w:val="000000"/>
          <w:sz w:val="24"/>
          <w:szCs w:val="24"/>
        </w:rPr>
        <w:t>I</w:t>
      </w:r>
      <w:r w:rsidRPr="003A603B">
        <w:rPr>
          <w:color w:val="000000"/>
          <w:sz w:val="24"/>
          <w:szCs w:val="24"/>
        </w:rPr>
        <w:t>nstrument has effect according to its terms</w:t>
      </w:r>
      <w:r w:rsidR="00DA2168" w:rsidRPr="003A603B">
        <w:rPr>
          <w:color w:val="000000"/>
          <w:sz w:val="24"/>
          <w:szCs w:val="24"/>
        </w:rPr>
        <w:t>.</w:t>
      </w:r>
      <w:r w:rsidR="0001135D">
        <w:rPr>
          <w:color w:val="000000"/>
          <w:sz w:val="24"/>
          <w:szCs w:val="24"/>
        </w:rPr>
        <w:t xml:space="preserve">  The </w:t>
      </w:r>
      <w:r w:rsidR="0001135D" w:rsidRPr="0004343A">
        <w:rPr>
          <w:i/>
          <w:color w:val="000000"/>
          <w:sz w:val="24"/>
          <w:szCs w:val="24"/>
        </w:rPr>
        <w:t>National Health (Growth Hormone Program) Special Arrangement 2015</w:t>
      </w:r>
      <w:r w:rsidR="0001135D">
        <w:rPr>
          <w:color w:val="000000"/>
          <w:sz w:val="24"/>
          <w:szCs w:val="24"/>
        </w:rPr>
        <w:t xml:space="preserve"> (PB 85 of 2015) </w:t>
      </w:r>
      <w:r w:rsidR="00392508">
        <w:rPr>
          <w:color w:val="000000"/>
          <w:sz w:val="24"/>
          <w:szCs w:val="24"/>
        </w:rPr>
        <w:t xml:space="preserve">(the Special Arrangement) </w:t>
      </w:r>
      <w:r w:rsidR="0001135D">
        <w:rPr>
          <w:color w:val="000000"/>
          <w:sz w:val="24"/>
          <w:szCs w:val="24"/>
        </w:rPr>
        <w:t>is amended by the Schedule.</w:t>
      </w:r>
    </w:p>
    <w:p w:rsidR="00B84F81" w:rsidRPr="005B4B2E" w:rsidRDefault="0014157B" w:rsidP="00D01134">
      <w:pPr>
        <w:keepLines w:val="0"/>
        <w:jc w:val="left"/>
        <w:rPr>
          <w:b/>
          <w:sz w:val="24"/>
          <w:szCs w:val="24"/>
          <w:lang w:eastAsia="en-US"/>
        </w:rPr>
      </w:pPr>
      <w:r w:rsidRPr="00593176">
        <w:rPr>
          <w:b/>
          <w:sz w:val="24"/>
          <w:szCs w:val="24"/>
          <w:lang w:eastAsia="en-US"/>
        </w:rPr>
        <w:t>Schedule 1</w:t>
      </w:r>
      <w:r w:rsidR="0084372F">
        <w:rPr>
          <w:b/>
          <w:sz w:val="24"/>
          <w:szCs w:val="24"/>
          <w:lang w:eastAsia="en-US"/>
        </w:rPr>
        <w:tab/>
      </w:r>
      <w:r w:rsidR="00FB7AE6">
        <w:rPr>
          <w:b/>
          <w:sz w:val="24"/>
          <w:szCs w:val="24"/>
          <w:lang w:eastAsia="en-US"/>
        </w:rPr>
        <w:t>Amendments</w:t>
      </w:r>
    </w:p>
    <w:p w:rsidR="000A6332" w:rsidRPr="009256C4" w:rsidRDefault="009D142B" w:rsidP="001F1000">
      <w:pPr>
        <w:jc w:val="left"/>
        <w:rPr>
          <w:sz w:val="24"/>
          <w:szCs w:val="24"/>
        </w:rPr>
      </w:pPr>
      <w:r w:rsidRPr="00E7602D">
        <w:rPr>
          <w:b/>
          <w:sz w:val="24"/>
          <w:szCs w:val="24"/>
        </w:rPr>
        <w:t>Item 1</w:t>
      </w:r>
      <w:r w:rsidRPr="00E7602D">
        <w:rPr>
          <w:sz w:val="24"/>
          <w:szCs w:val="24"/>
        </w:rPr>
        <w:t xml:space="preserve"> </w:t>
      </w:r>
      <w:r w:rsidR="003A6952" w:rsidRPr="00E7602D">
        <w:rPr>
          <w:sz w:val="24"/>
          <w:szCs w:val="24"/>
        </w:rPr>
        <w:t xml:space="preserve">inserts </w:t>
      </w:r>
      <w:r w:rsidR="0076413C" w:rsidRPr="00E7602D">
        <w:rPr>
          <w:sz w:val="24"/>
          <w:szCs w:val="24"/>
        </w:rPr>
        <w:t xml:space="preserve">a definition </w:t>
      </w:r>
      <w:r w:rsidR="00F805F0" w:rsidRPr="00E7602D">
        <w:rPr>
          <w:sz w:val="24"/>
          <w:szCs w:val="24"/>
        </w:rPr>
        <w:t>of</w:t>
      </w:r>
      <w:r w:rsidR="0076413C" w:rsidRPr="00E7602D">
        <w:rPr>
          <w:sz w:val="24"/>
          <w:szCs w:val="24"/>
        </w:rPr>
        <w:t xml:space="preserve"> ‘ideal body weight’</w:t>
      </w:r>
      <w:r w:rsidR="00F805F0" w:rsidRPr="00E7602D">
        <w:rPr>
          <w:sz w:val="24"/>
          <w:szCs w:val="24"/>
        </w:rPr>
        <w:t xml:space="preserve"> (IBW) </w:t>
      </w:r>
      <w:r w:rsidR="00392508">
        <w:rPr>
          <w:sz w:val="24"/>
          <w:szCs w:val="24"/>
        </w:rPr>
        <w:t xml:space="preserve">in subsection 4(1) of the Special Arrangement </w:t>
      </w:r>
      <w:r w:rsidR="00F805F0" w:rsidRPr="00E7602D">
        <w:rPr>
          <w:sz w:val="24"/>
          <w:szCs w:val="24"/>
        </w:rPr>
        <w:t xml:space="preserve">that replaces the existing definition of ‘ideal weight for height’.  </w:t>
      </w:r>
      <w:r w:rsidR="00FE0903" w:rsidRPr="00E7602D">
        <w:rPr>
          <w:sz w:val="24"/>
          <w:szCs w:val="24"/>
        </w:rPr>
        <w:t xml:space="preserve">The definition </w:t>
      </w:r>
      <w:r w:rsidR="00F805F0" w:rsidRPr="00E7602D">
        <w:rPr>
          <w:sz w:val="24"/>
          <w:szCs w:val="24"/>
        </w:rPr>
        <w:t xml:space="preserve">of IBW </w:t>
      </w:r>
      <w:r w:rsidR="003A603B" w:rsidRPr="00E7602D">
        <w:rPr>
          <w:sz w:val="24"/>
          <w:szCs w:val="24"/>
        </w:rPr>
        <w:t>includes</w:t>
      </w:r>
      <w:r w:rsidR="00F805F0" w:rsidRPr="00E7602D">
        <w:rPr>
          <w:sz w:val="24"/>
          <w:szCs w:val="24"/>
        </w:rPr>
        <w:t xml:space="preserve"> the </w:t>
      </w:r>
      <w:r w:rsidR="003A603B" w:rsidRPr="00E7602D">
        <w:rPr>
          <w:sz w:val="24"/>
          <w:szCs w:val="24"/>
        </w:rPr>
        <w:t xml:space="preserve">existing </w:t>
      </w:r>
      <w:r w:rsidR="00F805F0" w:rsidRPr="00E7602D">
        <w:rPr>
          <w:sz w:val="24"/>
          <w:szCs w:val="24"/>
        </w:rPr>
        <w:t>method of calculation</w:t>
      </w:r>
      <w:r w:rsidR="009972A4" w:rsidRPr="00E7602D">
        <w:rPr>
          <w:sz w:val="24"/>
          <w:szCs w:val="24"/>
        </w:rPr>
        <w:t xml:space="preserve"> </w:t>
      </w:r>
      <w:r w:rsidR="00FE0903" w:rsidRPr="00E7602D">
        <w:rPr>
          <w:sz w:val="24"/>
          <w:szCs w:val="24"/>
        </w:rPr>
        <w:t xml:space="preserve">previously </w:t>
      </w:r>
      <w:r w:rsidR="00AA1517" w:rsidRPr="00E7602D">
        <w:rPr>
          <w:sz w:val="24"/>
          <w:szCs w:val="24"/>
        </w:rPr>
        <w:t xml:space="preserve">referred to </w:t>
      </w:r>
      <w:r w:rsidR="003A603B" w:rsidRPr="00E7602D">
        <w:rPr>
          <w:sz w:val="24"/>
          <w:szCs w:val="24"/>
        </w:rPr>
        <w:t xml:space="preserve">within the </w:t>
      </w:r>
      <w:r w:rsidR="00AA1517" w:rsidRPr="00E7602D">
        <w:rPr>
          <w:sz w:val="24"/>
          <w:szCs w:val="24"/>
        </w:rPr>
        <w:t xml:space="preserve">definition </w:t>
      </w:r>
      <w:r w:rsidR="00FE0903" w:rsidRPr="00E7602D">
        <w:rPr>
          <w:sz w:val="24"/>
          <w:szCs w:val="24"/>
        </w:rPr>
        <w:t>of</w:t>
      </w:r>
      <w:r w:rsidR="003A603B" w:rsidRPr="00E7602D">
        <w:rPr>
          <w:sz w:val="24"/>
          <w:szCs w:val="24"/>
        </w:rPr>
        <w:t xml:space="preserve"> </w:t>
      </w:r>
      <w:r w:rsidR="00AA1517" w:rsidRPr="00E7602D">
        <w:rPr>
          <w:sz w:val="24"/>
          <w:szCs w:val="24"/>
        </w:rPr>
        <w:t>‘ideal weight for height’</w:t>
      </w:r>
      <w:r w:rsidR="0001135D">
        <w:rPr>
          <w:sz w:val="24"/>
          <w:szCs w:val="24"/>
        </w:rPr>
        <w:t xml:space="preserve">, to be used for </w:t>
      </w:r>
      <w:r w:rsidR="0004343A">
        <w:rPr>
          <w:sz w:val="24"/>
          <w:szCs w:val="24"/>
        </w:rPr>
        <w:t xml:space="preserve">patients with Prader-Willi Syndrome (PWS) </w:t>
      </w:r>
      <w:r w:rsidR="0001135D">
        <w:rPr>
          <w:sz w:val="24"/>
          <w:szCs w:val="24"/>
        </w:rPr>
        <w:t xml:space="preserve">whose height is less than or equal to 176.8 centimetres </w:t>
      </w:r>
      <w:r w:rsidR="0004343A">
        <w:rPr>
          <w:sz w:val="24"/>
          <w:szCs w:val="24"/>
        </w:rPr>
        <w:t xml:space="preserve">(males) </w:t>
      </w:r>
      <w:r w:rsidR="0001135D">
        <w:rPr>
          <w:sz w:val="24"/>
          <w:szCs w:val="24"/>
        </w:rPr>
        <w:t>or 163.3 centimetres</w:t>
      </w:r>
      <w:r w:rsidR="0004343A">
        <w:rPr>
          <w:sz w:val="24"/>
          <w:szCs w:val="24"/>
        </w:rPr>
        <w:t xml:space="preserve"> (females)</w:t>
      </w:r>
      <w:r w:rsidR="0001135D">
        <w:rPr>
          <w:sz w:val="24"/>
          <w:szCs w:val="24"/>
        </w:rPr>
        <w:t xml:space="preserve">. </w:t>
      </w:r>
      <w:r w:rsidR="00AA1517" w:rsidRPr="00E7602D">
        <w:rPr>
          <w:sz w:val="24"/>
          <w:szCs w:val="24"/>
        </w:rPr>
        <w:t xml:space="preserve"> </w:t>
      </w:r>
      <w:r w:rsidR="0001135D">
        <w:rPr>
          <w:sz w:val="24"/>
          <w:szCs w:val="24"/>
        </w:rPr>
        <w:t xml:space="preserve">The definition also includes </w:t>
      </w:r>
      <w:r w:rsidR="00F805F0" w:rsidRPr="00E7602D">
        <w:rPr>
          <w:sz w:val="24"/>
          <w:szCs w:val="24"/>
        </w:rPr>
        <w:t xml:space="preserve">an alternative method </w:t>
      </w:r>
      <w:r w:rsidR="00AA1517" w:rsidRPr="00E7602D">
        <w:rPr>
          <w:sz w:val="24"/>
          <w:szCs w:val="24"/>
        </w:rPr>
        <w:t xml:space="preserve">of calculation </w:t>
      </w:r>
      <w:r w:rsidR="00F805F0" w:rsidRPr="00E7602D">
        <w:rPr>
          <w:sz w:val="24"/>
          <w:szCs w:val="24"/>
        </w:rPr>
        <w:t xml:space="preserve">that </w:t>
      </w:r>
      <w:r w:rsidR="00A76A77">
        <w:rPr>
          <w:sz w:val="24"/>
          <w:szCs w:val="24"/>
        </w:rPr>
        <w:t xml:space="preserve">will </w:t>
      </w:r>
      <w:r w:rsidR="00AA1517" w:rsidRPr="00E7602D">
        <w:rPr>
          <w:sz w:val="24"/>
          <w:szCs w:val="24"/>
        </w:rPr>
        <w:t>appl</w:t>
      </w:r>
      <w:r w:rsidR="00A76A77">
        <w:rPr>
          <w:sz w:val="24"/>
          <w:szCs w:val="24"/>
        </w:rPr>
        <w:t>y</w:t>
      </w:r>
      <w:r w:rsidR="00AA1517" w:rsidRPr="00E7602D">
        <w:rPr>
          <w:sz w:val="24"/>
          <w:szCs w:val="24"/>
        </w:rPr>
        <w:t xml:space="preserve"> to </w:t>
      </w:r>
      <w:r w:rsidR="00F805F0" w:rsidRPr="00E7602D">
        <w:rPr>
          <w:sz w:val="24"/>
          <w:szCs w:val="24"/>
        </w:rPr>
        <w:t xml:space="preserve">patients with </w:t>
      </w:r>
      <w:r w:rsidR="0004343A">
        <w:rPr>
          <w:sz w:val="24"/>
          <w:szCs w:val="24"/>
        </w:rPr>
        <w:t>PWS</w:t>
      </w:r>
      <w:r w:rsidR="00F805F0" w:rsidRPr="00E7602D">
        <w:rPr>
          <w:sz w:val="24"/>
          <w:szCs w:val="24"/>
        </w:rPr>
        <w:t xml:space="preserve"> whose height is greater than 176.8 centimetres (males) or 163.3 centimetres (females</w:t>
      </w:r>
      <w:r w:rsidR="009972A4" w:rsidRPr="00E7602D">
        <w:rPr>
          <w:sz w:val="24"/>
          <w:szCs w:val="24"/>
        </w:rPr>
        <w:t>).</w:t>
      </w:r>
      <w:r w:rsidR="003A603B" w:rsidRPr="00E7602D">
        <w:rPr>
          <w:sz w:val="24"/>
          <w:szCs w:val="24"/>
        </w:rPr>
        <w:t xml:space="preserve">  </w:t>
      </w:r>
      <w:r w:rsidR="00D367DC">
        <w:rPr>
          <w:sz w:val="24"/>
          <w:szCs w:val="24"/>
        </w:rPr>
        <w:t>This allows prescribers to determine IBW for patients whose height exceed</w:t>
      </w:r>
      <w:r w:rsidR="00C66F2E">
        <w:rPr>
          <w:sz w:val="24"/>
          <w:szCs w:val="24"/>
        </w:rPr>
        <w:t xml:space="preserve">s </w:t>
      </w:r>
      <w:r w:rsidR="00D367DC">
        <w:rPr>
          <w:sz w:val="24"/>
          <w:szCs w:val="24"/>
        </w:rPr>
        <w:t xml:space="preserve">the maximum </w:t>
      </w:r>
      <w:r w:rsidR="009256C4">
        <w:rPr>
          <w:sz w:val="24"/>
          <w:szCs w:val="24"/>
        </w:rPr>
        <w:t xml:space="preserve">applicable </w:t>
      </w:r>
      <w:r w:rsidR="00D367DC">
        <w:rPr>
          <w:sz w:val="24"/>
          <w:szCs w:val="24"/>
        </w:rPr>
        <w:t>limit on</w:t>
      </w:r>
      <w:r w:rsidR="00DD293A">
        <w:rPr>
          <w:sz w:val="24"/>
          <w:szCs w:val="24"/>
        </w:rPr>
        <w:t xml:space="preserve"> the Centers for Disease Control and Prevention (CDC) 2000 growth charts.</w:t>
      </w:r>
      <w:r w:rsidR="009256C4">
        <w:rPr>
          <w:sz w:val="24"/>
          <w:szCs w:val="24"/>
        </w:rPr>
        <w:t xml:space="preserve">  This CDC document, which is</w:t>
      </w:r>
      <w:r w:rsidR="002913A8" w:rsidRPr="00E7602D">
        <w:rPr>
          <w:sz w:val="24"/>
          <w:szCs w:val="24"/>
        </w:rPr>
        <w:t xml:space="preserve"> referred to within the definition </w:t>
      </w:r>
      <w:r w:rsidR="009256C4">
        <w:rPr>
          <w:sz w:val="24"/>
          <w:szCs w:val="24"/>
        </w:rPr>
        <w:t xml:space="preserve">of </w:t>
      </w:r>
      <w:r w:rsidR="002913A8" w:rsidRPr="00E7602D">
        <w:rPr>
          <w:sz w:val="24"/>
          <w:szCs w:val="24"/>
        </w:rPr>
        <w:t>IBW</w:t>
      </w:r>
      <w:r w:rsidR="009256C4">
        <w:rPr>
          <w:sz w:val="24"/>
          <w:szCs w:val="24"/>
        </w:rPr>
        <w:t>,</w:t>
      </w:r>
      <w:r w:rsidR="002913A8" w:rsidRPr="00E7602D">
        <w:rPr>
          <w:sz w:val="24"/>
          <w:szCs w:val="24"/>
        </w:rPr>
        <w:t xml:space="preserve"> is incorporated as dated May 2002;</w:t>
      </w:r>
      <w:r w:rsidR="00A1731D">
        <w:rPr>
          <w:sz w:val="24"/>
          <w:szCs w:val="24"/>
        </w:rPr>
        <w:t xml:space="preserve"> it</w:t>
      </w:r>
      <w:r w:rsidR="002913A8" w:rsidRPr="00E7602D">
        <w:rPr>
          <w:sz w:val="24"/>
          <w:szCs w:val="24"/>
        </w:rPr>
        <w:t xml:space="preserve"> is available online</w:t>
      </w:r>
      <w:r w:rsidR="00A1731D">
        <w:rPr>
          <w:sz w:val="24"/>
          <w:szCs w:val="24"/>
        </w:rPr>
        <w:t xml:space="preserve"> and free of charge</w:t>
      </w:r>
      <w:r w:rsidR="002913A8" w:rsidRPr="00E7602D">
        <w:rPr>
          <w:sz w:val="24"/>
          <w:szCs w:val="24"/>
        </w:rPr>
        <w:t xml:space="preserve"> at </w:t>
      </w:r>
      <w:hyperlink r:id="rId9" w:history="1">
        <w:r w:rsidR="002913A8" w:rsidRPr="003A603B">
          <w:rPr>
            <w:rStyle w:val="Hyperlink"/>
            <w:sz w:val="24"/>
            <w:szCs w:val="24"/>
          </w:rPr>
          <w:t>https://www.cdc.gov/growthcharts/clinical_charts.htm</w:t>
        </w:r>
      </w:hyperlink>
      <w:r w:rsidR="002913A8" w:rsidRPr="00E7602D">
        <w:rPr>
          <w:sz w:val="24"/>
          <w:szCs w:val="24"/>
        </w:rPr>
        <w:t>.</w:t>
      </w:r>
    </w:p>
    <w:p w:rsidR="003A6952" w:rsidRPr="003A603B" w:rsidRDefault="003A6952" w:rsidP="001F1000">
      <w:pPr>
        <w:jc w:val="left"/>
        <w:rPr>
          <w:color w:val="000000" w:themeColor="text1"/>
          <w:sz w:val="24"/>
          <w:szCs w:val="24"/>
        </w:rPr>
      </w:pPr>
      <w:r w:rsidRPr="003A603B">
        <w:rPr>
          <w:b/>
          <w:color w:val="000000" w:themeColor="text1"/>
          <w:sz w:val="24"/>
          <w:szCs w:val="24"/>
        </w:rPr>
        <w:t>Item 2</w:t>
      </w:r>
      <w:r w:rsidRPr="003A603B">
        <w:rPr>
          <w:color w:val="000000" w:themeColor="text1"/>
          <w:sz w:val="24"/>
          <w:szCs w:val="24"/>
        </w:rPr>
        <w:t xml:space="preserve"> </w:t>
      </w:r>
      <w:r w:rsidR="00F805F0" w:rsidRPr="003A603B">
        <w:rPr>
          <w:color w:val="000000" w:themeColor="text1"/>
          <w:sz w:val="24"/>
          <w:szCs w:val="24"/>
        </w:rPr>
        <w:t xml:space="preserve">removes the definition </w:t>
      </w:r>
      <w:r w:rsidR="002913A8" w:rsidRPr="003A603B">
        <w:rPr>
          <w:color w:val="000000" w:themeColor="text1"/>
          <w:sz w:val="24"/>
          <w:szCs w:val="24"/>
        </w:rPr>
        <w:t>of</w:t>
      </w:r>
      <w:r w:rsidR="00F805F0" w:rsidRPr="003A603B">
        <w:rPr>
          <w:color w:val="000000" w:themeColor="text1"/>
          <w:sz w:val="24"/>
          <w:szCs w:val="24"/>
        </w:rPr>
        <w:t xml:space="preserve"> ‘ideal weight for height’</w:t>
      </w:r>
      <w:r w:rsidR="00392508">
        <w:rPr>
          <w:color w:val="000000" w:themeColor="text1"/>
          <w:sz w:val="24"/>
          <w:szCs w:val="24"/>
        </w:rPr>
        <w:t xml:space="preserve"> from subsection 4(1) of the Special Arrangement</w:t>
      </w:r>
      <w:r w:rsidR="00F805F0" w:rsidRPr="003A603B">
        <w:rPr>
          <w:color w:val="000000" w:themeColor="text1"/>
          <w:sz w:val="24"/>
          <w:szCs w:val="24"/>
        </w:rPr>
        <w:t>.</w:t>
      </w:r>
    </w:p>
    <w:p w:rsidR="00CE2820" w:rsidRPr="003A603B" w:rsidRDefault="003A6952" w:rsidP="001F1000">
      <w:pPr>
        <w:jc w:val="left"/>
        <w:rPr>
          <w:color w:val="000000" w:themeColor="text1"/>
          <w:sz w:val="24"/>
          <w:szCs w:val="24"/>
        </w:rPr>
      </w:pPr>
      <w:r w:rsidRPr="003A603B">
        <w:rPr>
          <w:b/>
          <w:color w:val="000000" w:themeColor="text1"/>
          <w:sz w:val="24"/>
          <w:szCs w:val="24"/>
        </w:rPr>
        <w:t>Item 3</w:t>
      </w:r>
      <w:r w:rsidRPr="003A603B">
        <w:rPr>
          <w:color w:val="000000" w:themeColor="text1"/>
          <w:sz w:val="24"/>
          <w:szCs w:val="24"/>
        </w:rPr>
        <w:t xml:space="preserve"> </w:t>
      </w:r>
      <w:r w:rsidR="009972A4" w:rsidRPr="003A603B">
        <w:rPr>
          <w:color w:val="000000" w:themeColor="text1"/>
          <w:sz w:val="24"/>
          <w:szCs w:val="24"/>
        </w:rPr>
        <w:t xml:space="preserve">inserts a definition </w:t>
      </w:r>
      <w:r w:rsidR="00AA1517" w:rsidRPr="003A603B">
        <w:rPr>
          <w:color w:val="000000" w:themeColor="text1"/>
          <w:sz w:val="24"/>
          <w:szCs w:val="24"/>
        </w:rPr>
        <w:t xml:space="preserve">of </w:t>
      </w:r>
      <w:r w:rsidR="009972A4" w:rsidRPr="003A603B">
        <w:rPr>
          <w:color w:val="000000" w:themeColor="text1"/>
          <w:sz w:val="24"/>
          <w:szCs w:val="24"/>
        </w:rPr>
        <w:t>‘main listing instrument’</w:t>
      </w:r>
      <w:r w:rsidR="004C7479">
        <w:rPr>
          <w:color w:val="000000" w:themeColor="text1"/>
          <w:sz w:val="24"/>
          <w:szCs w:val="24"/>
        </w:rPr>
        <w:t xml:space="preserve"> </w:t>
      </w:r>
      <w:r w:rsidR="00392508">
        <w:rPr>
          <w:color w:val="000000" w:themeColor="text1"/>
          <w:sz w:val="24"/>
          <w:szCs w:val="24"/>
        </w:rPr>
        <w:t xml:space="preserve">in subsection 4(1) of the Special Arrangement. </w:t>
      </w:r>
      <w:r w:rsidR="002E4B95">
        <w:rPr>
          <w:color w:val="000000" w:themeColor="text1"/>
          <w:sz w:val="24"/>
          <w:szCs w:val="24"/>
        </w:rPr>
        <w:t xml:space="preserve"> </w:t>
      </w:r>
      <w:r w:rsidR="00392508">
        <w:rPr>
          <w:color w:val="000000" w:themeColor="text1"/>
          <w:sz w:val="24"/>
          <w:szCs w:val="24"/>
        </w:rPr>
        <w:t xml:space="preserve">The definition refers to </w:t>
      </w:r>
      <w:r w:rsidR="004C7479">
        <w:rPr>
          <w:sz w:val="24"/>
          <w:szCs w:val="24"/>
        </w:rPr>
        <w:t xml:space="preserve">the </w:t>
      </w:r>
      <w:r w:rsidR="004C7479" w:rsidRPr="006031D1">
        <w:rPr>
          <w:i/>
          <w:sz w:val="24"/>
          <w:szCs w:val="24"/>
        </w:rPr>
        <w:t>National Health (List</w:t>
      </w:r>
      <w:r w:rsidR="004C7479">
        <w:rPr>
          <w:i/>
          <w:sz w:val="24"/>
          <w:szCs w:val="24"/>
        </w:rPr>
        <w:t>i</w:t>
      </w:r>
      <w:r w:rsidR="004C7479" w:rsidRPr="006031D1">
        <w:rPr>
          <w:i/>
          <w:sz w:val="24"/>
          <w:szCs w:val="24"/>
        </w:rPr>
        <w:t>ng of Pharmaceutical Benefits) Instrument 2012</w:t>
      </w:r>
      <w:r w:rsidR="004C7479">
        <w:rPr>
          <w:sz w:val="24"/>
          <w:szCs w:val="24"/>
        </w:rPr>
        <w:t>, or an instrument made to replace that instrument</w:t>
      </w:r>
      <w:r w:rsidR="00357874" w:rsidRPr="003A603B">
        <w:rPr>
          <w:color w:val="000000" w:themeColor="text1"/>
          <w:sz w:val="24"/>
          <w:szCs w:val="24"/>
        </w:rPr>
        <w:t xml:space="preserve">.  </w:t>
      </w:r>
      <w:r w:rsidR="00AA1517" w:rsidRPr="003A603B">
        <w:rPr>
          <w:color w:val="000000" w:themeColor="text1"/>
          <w:sz w:val="24"/>
          <w:szCs w:val="24"/>
        </w:rPr>
        <w:t>Th</w:t>
      </w:r>
      <w:r w:rsidR="004C7479">
        <w:rPr>
          <w:color w:val="000000" w:themeColor="text1"/>
          <w:sz w:val="24"/>
          <w:szCs w:val="24"/>
        </w:rPr>
        <w:t>e</w:t>
      </w:r>
      <w:r w:rsidR="00AA1517" w:rsidRPr="003A603B">
        <w:rPr>
          <w:color w:val="000000" w:themeColor="text1"/>
          <w:sz w:val="24"/>
          <w:szCs w:val="24"/>
        </w:rPr>
        <w:t xml:space="preserve"> </w:t>
      </w:r>
      <w:r w:rsidR="004C7479">
        <w:rPr>
          <w:color w:val="000000" w:themeColor="text1"/>
          <w:sz w:val="24"/>
          <w:szCs w:val="24"/>
        </w:rPr>
        <w:t xml:space="preserve">main listing </w:t>
      </w:r>
      <w:r w:rsidR="00AA1517" w:rsidRPr="003A603B">
        <w:rPr>
          <w:color w:val="000000" w:themeColor="text1"/>
          <w:sz w:val="24"/>
          <w:szCs w:val="24"/>
        </w:rPr>
        <w:t xml:space="preserve">instrument </w:t>
      </w:r>
      <w:r w:rsidR="009972A4" w:rsidRPr="003A603B">
        <w:rPr>
          <w:color w:val="000000" w:themeColor="text1"/>
          <w:sz w:val="24"/>
          <w:szCs w:val="24"/>
        </w:rPr>
        <w:t>is incorporated as in force from time to time.</w:t>
      </w:r>
      <w:r w:rsidR="00304A84">
        <w:rPr>
          <w:color w:val="000000" w:themeColor="text1"/>
          <w:sz w:val="24"/>
          <w:szCs w:val="24"/>
        </w:rPr>
        <w:t xml:space="preserve"> </w:t>
      </w:r>
      <w:r w:rsidR="002E4B95">
        <w:rPr>
          <w:color w:val="000000" w:themeColor="text1"/>
          <w:sz w:val="24"/>
          <w:szCs w:val="24"/>
        </w:rPr>
        <w:t xml:space="preserve"> </w:t>
      </w:r>
      <w:r w:rsidR="00304A84">
        <w:rPr>
          <w:color w:val="000000" w:themeColor="text1"/>
          <w:sz w:val="24"/>
          <w:szCs w:val="24"/>
        </w:rPr>
        <w:t>This definition is relevant for new section 9A (see item 5).</w:t>
      </w:r>
    </w:p>
    <w:p w:rsidR="0076413C" w:rsidRPr="00304A84" w:rsidRDefault="003A6952" w:rsidP="001F1000">
      <w:pPr>
        <w:jc w:val="left"/>
        <w:rPr>
          <w:sz w:val="24"/>
          <w:szCs w:val="24"/>
        </w:rPr>
      </w:pPr>
      <w:r w:rsidRPr="003A603B">
        <w:rPr>
          <w:b/>
          <w:sz w:val="24"/>
          <w:szCs w:val="24"/>
        </w:rPr>
        <w:lastRenderedPageBreak/>
        <w:t>Item 4</w:t>
      </w:r>
      <w:r w:rsidR="000A6332" w:rsidRPr="003A603B">
        <w:rPr>
          <w:sz w:val="24"/>
          <w:szCs w:val="24"/>
        </w:rPr>
        <w:t xml:space="preserve"> </w:t>
      </w:r>
      <w:r w:rsidR="0076413C" w:rsidRPr="003A603B">
        <w:rPr>
          <w:sz w:val="24"/>
          <w:szCs w:val="24"/>
        </w:rPr>
        <w:t>replaces the definition of ‘Regulations’</w:t>
      </w:r>
      <w:r w:rsidR="004C7479">
        <w:rPr>
          <w:sz w:val="24"/>
          <w:szCs w:val="24"/>
        </w:rPr>
        <w:t xml:space="preserve"> </w:t>
      </w:r>
      <w:r w:rsidR="00392508">
        <w:rPr>
          <w:sz w:val="24"/>
          <w:szCs w:val="24"/>
        </w:rPr>
        <w:t xml:space="preserve">in subsection 4(1) </w:t>
      </w:r>
      <w:r w:rsidR="00A1731D">
        <w:rPr>
          <w:sz w:val="24"/>
          <w:szCs w:val="24"/>
        </w:rPr>
        <w:t xml:space="preserve">with </w:t>
      </w:r>
      <w:r w:rsidR="00304A84">
        <w:rPr>
          <w:sz w:val="24"/>
          <w:szCs w:val="24"/>
        </w:rPr>
        <w:t xml:space="preserve">reference to </w:t>
      </w:r>
      <w:r w:rsidR="004C7479">
        <w:rPr>
          <w:sz w:val="24"/>
          <w:szCs w:val="24"/>
        </w:rPr>
        <w:t xml:space="preserve">the </w:t>
      </w:r>
      <w:r w:rsidR="004C7479" w:rsidRPr="006D6949">
        <w:rPr>
          <w:i/>
          <w:sz w:val="24"/>
          <w:szCs w:val="24"/>
        </w:rPr>
        <w:t>National Health (Pharmaceutical Benefits) Regulations 2017</w:t>
      </w:r>
      <w:r w:rsidR="0076413C" w:rsidRPr="003A603B">
        <w:rPr>
          <w:sz w:val="24"/>
          <w:szCs w:val="24"/>
        </w:rPr>
        <w:t>.</w:t>
      </w:r>
      <w:r w:rsidR="00304A84">
        <w:rPr>
          <w:sz w:val="24"/>
          <w:szCs w:val="24"/>
        </w:rPr>
        <w:t xml:space="preserve">  This is a consequential change resulting from the repeal of the </w:t>
      </w:r>
      <w:r w:rsidR="00304A84" w:rsidRPr="005D4DF2">
        <w:rPr>
          <w:i/>
          <w:sz w:val="24"/>
          <w:szCs w:val="24"/>
        </w:rPr>
        <w:t xml:space="preserve">National Health (Pharmaceutical Benefits) Regulations </w:t>
      </w:r>
      <w:r w:rsidR="00304A84">
        <w:rPr>
          <w:i/>
          <w:sz w:val="24"/>
          <w:szCs w:val="24"/>
        </w:rPr>
        <w:t xml:space="preserve">1960 </w:t>
      </w:r>
      <w:r w:rsidR="00304A84">
        <w:rPr>
          <w:sz w:val="24"/>
          <w:szCs w:val="24"/>
        </w:rPr>
        <w:t xml:space="preserve">and remaking as the </w:t>
      </w:r>
      <w:r w:rsidR="00304A84" w:rsidRPr="005D4DF2">
        <w:rPr>
          <w:i/>
          <w:sz w:val="24"/>
          <w:szCs w:val="24"/>
        </w:rPr>
        <w:t>National Health (Pharmaceutical Benefits) Regulations 2017</w:t>
      </w:r>
      <w:r w:rsidR="00304A84">
        <w:rPr>
          <w:i/>
          <w:sz w:val="24"/>
          <w:szCs w:val="24"/>
        </w:rPr>
        <w:t xml:space="preserve">. </w:t>
      </w:r>
    </w:p>
    <w:p w:rsidR="0053299F" w:rsidRDefault="00AF2AE2" w:rsidP="0053299F">
      <w:pPr>
        <w:jc w:val="left"/>
        <w:rPr>
          <w:sz w:val="24"/>
          <w:szCs w:val="24"/>
        </w:rPr>
      </w:pPr>
      <w:r w:rsidRPr="00CD7B1B">
        <w:rPr>
          <w:b/>
          <w:sz w:val="24"/>
          <w:szCs w:val="24"/>
        </w:rPr>
        <w:t>Item 5</w:t>
      </w:r>
      <w:r w:rsidRPr="00CD7B1B">
        <w:rPr>
          <w:sz w:val="24"/>
          <w:szCs w:val="24"/>
        </w:rPr>
        <w:t xml:space="preserve"> </w:t>
      </w:r>
      <w:r w:rsidR="009972A4" w:rsidRPr="00CD7B1B">
        <w:rPr>
          <w:sz w:val="24"/>
          <w:szCs w:val="24"/>
        </w:rPr>
        <w:t xml:space="preserve">adds a new section </w:t>
      </w:r>
      <w:r w:rsidR="009972A4" w:rsidRPr="00CD7B1B">
        <w:rPr>
          <w:i/>
          <w:sz w:val="24"/>
          <w:szCs w:val="24"/>
        </w:rPr>
        <w:t>9A Prescription – Authority required procedures</w:t>
      </w:r>
      <w:r w:rsidR="009972A4" w:rsidRPr="00CD7B1B">
        <w:rPr>
          <w:sz w:val="24"/>
          <w:szCs w:val="24"/>
        </w:rPr>
        <w:t xml:space="preserve">. </w:t>
      </w:r>
      <w:r w:rsidR="00987905" w:rsidRPr="00CD7B1B">
        <w:rPr>
          <w:sz w:val="24"/>
          <w:szCs w:val="24"/>
        </w:rPr>
        <w:t xml:space="preserve"> </w:t>
      </w:r>
      <w:r w:rsidR="009972A4" w:rsidRPr="00CD7B1B">
        <w:rPr>
          <w:sz w:val="24"/>
          <w:szCs w:val="24"/>
        </w:rPr>
        <w:t xml:space="preserve">This section is intended to </w:t>
      </w:r>
      <w:r w:rsidR="004C7479">
        <w:rPr>
          <w:sz w:val="24"/>
          <w:szCs w:val="24"/>
        </w:rPr>
        <w:t xml:space="preserve">adjust the </w:t>
      </w:r>
      <w:r w:rsidR="0053299F">
        <w:rPr>
          <w:sz w:val="24"/>
          <w:szCs w:val="24"/>
        </w:rPr>
        <w:t>‘</w:t>
      </w:r>
      <w:r w:rsidR="00387896">
        <w:rPr>
          <w:sz w:val="24"/>
          <w:szCs w:val="24"/>
        </w:rPr>
        <w:t>A</w:t>
      </w:r>
      <w:r w:rsidR="004C7479">
        <w:rPr>
          <w:sz w:val="24"/>
          <w:szCs w:val="24"/>
        </w:rPr>
        <w:t>uthority required</w:t>
      </w:r>
      <w:r w:rsidR="0053299F">
        <w:rPr>
          <w:sz w:val="24"/>
          <w:szCs w:val="24"/>
        </w:rPr>
        <w:t>’</w:t>
      </w:r>
      <w:r w:rsidR="004C7479">
        <w:rPr>
          <w:sz w:val="24"/>
          <w:szCs w:val="24"/>
        </w:rPr>
        <w:t xml:space="preserve"> </w:t>
      </w:r>
      <w:r w:rsidR="00A1731D">
        <w:rPr>
          <w:sz w:val="24"/>
          <w:szCs w:val="24"/>
        </w:rPr>
        <w:t>procedures</w:t>
      </w:r>
      <w:r w:rsidR="004C7479">
        <w:rPr>
          <w:sz w:val="24"/>
          <w:szCs w:val="24"/>
        </w:rPr>
        <w:t xml:space="preserve"> </w:t>
      </w:r>
      <w:r w:rsidR="0053299F">
        <w:rPr>
          <w:sz w:val="24"/>
          <w:szCs w:val="24"/>
        </w:rPr>
        <w:t xml:space="preserve">set out in the </w:t>
      </w:r>
      <w:r w:rsidR="0053299F" w:rsidRPr="006031D1">
        <w:rPr>
          <w:i/>
          <w:sz w:val="24"/>
          <w:szCs w:val="24"/>
        </w:rPr>
        <w:t>National Health (List</w:t>
      </w:r>
      <w:r w:rsidR="0053299F">
        <w:rPr>
          <w:i/>
          <w:sz w:val="24"/>
          <w:szCs w:val="24"/>
        </w:rPr>
        <w:t>i</w:t>
      </w:r>
      <w:r w:rsidR="0053299F" w:rsidRPr="006031D1">
        <w:rPr>
          <w:i/>
          <w:sz w:val="24"/>
          <w:szCs w:val="24"/>
        </w:rPr>
        <w:t>ng of Pharmaceutical Benefits) Instrument 2012</w:t>
      </w:r>
      <w:r w:rsidR="0053299F" w:rsidRPr="00387896">
        <w:rPr>
          <w:sz w:val="24"/>
          <w:szCs w:val="24"/>
        </w:rPr>
        <w:t xml:space="preserve"> </w:t>
      </w:r>
      <w:r w:rsidR="004C7479">
        <w:rPr>
          <w:sz w:val="24"/>
          <w:szCs w:val="24"/>
        </w:rPr>
        <w:t xml:space="preserve">as they apply to </w:t>
      </w:r>
      <w:r w:rsidR="00387896">
        <w:rPr>
          <w:sz w:val="24"/>
          <w:szCs w:val="24"/>
        </w:rPr>
        <w:t>somatropin (</w:t>
      </w:r>
      <w:r w:rsidR="004C7479">
        <w:rPr>
          <w:sz w:val="24"/>
          <w:szCs w:val="24"/>
        </w:rPr>
        <w:t>growth hormone</w:t>
      </w:r>
      <w:r w:rsidR="00387896">
        <w:rPr>
          <w:sz w:val="24"/>
          <w:szCs w:val="24"/>
        </w:rPr>
        <w:t>)</w:t>
      </w:r>
      <w:r w:rsidR="004C7479">
        <w:rPr>
          <w:sz w:val="24"/>
          <w:szCs w:val="24"/>
        </w:rPr>
        <w:t xml:space="preserve">.  </w:t>
      </w:r>
      <w:r w:rsidR="00387896">
        <w:rPr>
          <w:sz w:val="24"/>
          <w:szCs w:val="24"/>
        </w:rPr>
        <w:t xml:space="preserve">Growth hormone is listed </w:t>
      </w:r>
      <w:r w:rsidR="0028738D">
        <w:rPr>
          <w:sz w:val="24"/>
          <w:szCs w:val="24"/>
        </w:rPr>
        <w:t xml:space="preserve">within this instrument </w:t>
      </w:r>
      <w:r w:rsidR="00387896">
        <w:rPr>
          <w:sz w:val="24"/>
          <w:szCs w:val="24"/>
        </w:rPr>
        <w:t xml:space="preserve">as a ‘Written Authority Required’ medicine.  Written </w:t>
      </w:r>
      <w:r w:rsidR="000B4088">
        <w:rPr>
          <w:sz w:val="24"/>
          <w:szCs w:val="24"/>
        </w:rPr>
        <w:t>A</w:t>
      </w:r>
      <w:r w:rsidR="0053299F">
        <w:rPr>
          <w:sz w:val="24"/>
          <w:szCs w:val="24"/>
        </w:rPr>
        <w:t xml:space="preserve">uthority required </w:t>
      </w:r>
      <w:r w:rsidR="000B4088">
        <w:rPr>
          <w:sz w:val="24"/>
          <w:szCs w:val="24"/>
        </w:rPr>
        <w:t xml:space="preserve">prescriptions require the prior authorisation of the Chief Executive Medicare, including by means of </w:t>
      </w:r>
      <w:r w:rsidR="0053299F">
        <w:rPr>
          <w:sz w:val="24"/>
          <w:szCs w:val="24"/>
        </w:rPr>
        <w:t xml:space="preserve">submission of </w:t>
      </w:r>
      <w:r w:rsidR="000B4088">
        <w:rPr>
          <w:sz w:val="24"/>
          <w:szCs w:val="24"/>
        </w:rPr>
        <w:t>the</w:t>
      </w:r>
      <w:r w:rsidR="0053299F">
        <w:rPr>
          <w:sz w:val="24"/>
          <w:szCs w:val="24"/>
        </w:rPr>
        <w:t xml:space="preserve"> prescription </w:t>
      </w:r>
      <w:r w:rsidR="000B4088">
        <w:rPr>
          <w:sz w:val="24"/>
          <w:szCs w:val="24"/>
        </w:rPr>
        <w:t>itself to the Chief Executive Medicare</w:t>
      </w:r>
      <w:r w:rsidR="0053299F">
        <w:rPr>
          <w:sz w:val="24"/>
          <w:szCs w:val="24"/>
        </w:rPr>
        <w:t>.</w:t>
      </w:r>
    </w:p>
    <w:p w:rsidR="00AF2AE2" w:rsidRDefault="0053299F" w:rsidP="0053299F">
      <w:pPr>
        <w:jc w:val="left"/>
        <w:rPr>
          <w:sz w:val="24"/>
          <w:szCs w:val="24"/>
        </w:rPr>
      </w:pPr>
      <w:r>
        <w:rPr>
          <w:sz w:val="24"/>
          <w:szCs w:val="24"/>
        </w:rPr>
        <w:t>N</w:t>
      </w:r>
      <w:r w:rsidR="004C7479">
        <w:rPr>
          <w:sz w:val="24"/>
          <w:szCs w:val="24"/>
        </w:rPr>
        <w:t xml:space="preserve">ew section 9A will </w:t>
      </w:r>
      <w:r w:rsidR="009972A4" w:rsidRPr="00CD7B1B">
        <w:rPr>
          <w:sz w:val="24"/>
          <w:szCs w:val="24"/>
        </w:rPr>
        <w:t xml:space="preserve">remove the requirement for a prescriber to submit </w:t>
      </w:r>
      <w:r w:rsidR="00CD7B1B" w:rsidRPr="00CD7B1B">
        <w:rPr>
          <w:sz w:val="24"/>
          <w:szCs w:val="24"/>
        </w:rPr>
        <w:t>the</w:t>
      </w:r>
      <w:r w:rsidR="009972A4" w:rsidRPr="00CD7B1B">
        <w:rPr>
          <w:sz w:val="24"/>
          <w:szCs w:val="24"/>
        </w:rPr>
        <w:t xml:space="preserve"> </w:t>
      </w:r>
      <w:r w:rsidR="00F86371" w:rsidRPr="00CD7B1B">
        <w:rPr>
          <w:sz w:val="24"/>
          <w:szCs w:val="24"/>
        </w:rPr>
        <w:t>a</w:t>
      </w:r>
      <w:r w:rsidR="009972A4" w:rsidRPr="00CD7B1B">
        <w:rPr>
          <w:sz w:val="24"/>
          <w:szCs w:val="24"/>
        </w:rPr>
        <w:t xml:space="preserve">uthority prescription form to the Chief Executive Medicare when lodging an electronic </w:t>
      </w:r>
      <w:r w:rsidR="00F86371" w:rsidRPr="00CD7B1B">
        <w:rPr>
          <w:sz w:val="24"/>
          <w:szCs w:val="24"/>
        </w:rPr>
        <w:t>application for authority to prescribe growth hormone</w:t>
      </w:r>
      <w:r w:rsidR="009972A4" w:rsidRPr="00CD7B1B">
        <w:rPr>
          <w:sz w:val="24"/>
          <w:szCs w:val="24"/>
        </w:rPr>
        <w:t>.</w:t>
      </w:r>
      <w:r w:rsidR="004C7479">
        <w:rPr>
          <w:sz w:val="24"/>
          <w:szCs w:val="24"/>
        </w:rPr>
        <w:t xml:space="preserve">  Instead, the prescriber will be required to submit details of the prescription to the Chief Executive Medicare </w:t>
      </w:r>
      <w:r w:rsidR="001856E2">
        <w:rPr>
          <w:sz w:val="24"/>
          <w:szCs w:val="24"/>
        </w:rPr>
        <w:t xml:space="preserve">in </w:t>
      </w:r>
      <w:r>
        <w:rPr>
          <w:sz w:val="24"/>
          <w:szCs w:val="24"/>
        </w:rPr>
        <w:t xml:space="preserve">writing, by means of an electronic communication and in </w:t>
      </w:r>
      <w:r w:rsidR="001856E2">
        <w:rPr>
          <w:sz w:val="24"/>
          <w:szCs w:val="24"/>
        </w:rPr>
        <w:t>a form approved</w:t>
      </w:r>
      <w:r w:rsidR="004C7479">
        <w:rPr>
          <w:sz w:val="24"/>
          <w:szCs w:val="24"/>
        </w:rPr>
        <w:t xml:space="preserve"> </w:t>
      </w:r>
      <w:r w:rsidR="000B4088">
        <w:rPr>
          <w:sz w:val="24"/>
          <w:szCs w:val="24"/>
        </w:rPr>
        <w:t>by the Chief Executive Medicare</w:t>
      </w:r>
      <w:r w:rsidR="001856E2">
        <w:rPr>
          <w:sz w:val="24"/>
          <w:szCs w:val="24"/>
        </w:rPr>
        <w:t>.</w:t>
      </w:r>
    </w:p>
    <w:p w:rsidR="000B4088" w:rsidRPr="00CD7B1B" w:rsidRDefault="000B4088" w:rsidP="0053299F">
      <w:pPr>
        <w:jc w:val="left"/>
        <w:rPr>
          <w:sz w:val="24"/>
          <w:szCs w:val="24"/>
        </w:rPr>
      </w:pPr>
      <w:r>
        <w:rPr>
          <w:sz w:val="24"/>
          <w:szCs w:val="24"/>
        </w:rPr>
        <w:t xml:space="preserve">A prescription submitted in accordance with section 9A will be taken to have been authorised where the Chief Executive Medicare </w:t>
      </w:r>
      <w:r w:rsidR="007A44E6">
        <w:rPr>
          <w:sz w:val="24"/>
          <w:szCs w:val="24"/>
        </w:rPr>
        <w:t xml:space="preserve">provides authorisation by an electronic communication to the prescriber. </w:t>
      </w:r>
    </w:p>
    <w:p w:rsidR="00AF2AE2" w:rsidRPr="003A603B" w:rsidRDefault="00AF2AE2" w:rsidP="00AF2AE2">
      <w:pPr>
        <w:jc w:val="left"/>
        <w:rPr>
          <w:color w:val="808080" w:themeColor="background1" w:themeShade="80"/>
          <w:sz w:val="24"/>
          <w:szCs w:val="24"/>
        </w:rPr>
      </w:pPr>
      <w:r w:rsidRPr="003A603B">
        <w:rPr>
          <w:b/>
          <w:sz w:val="24"/>
          <w:szCs w:val="24"/>
        </w:rPr>
        <w:t>Item 6</w:t>
      </w:r>
      <w:r w:rsidRPr="003A603B">
        <w:rPr>
          <w:sz w:val="24"/>
          <w:szCs w:val="24"/>
        </w:rPr>
        <w:t xml:space="preserve"> </w:t>
      </w:r>
      <w:r w:rsidR="00D47BD4">
        <w:rPr>
          <w:sz w:val="24"/>
          <w:szCs w:val="24"/>
        </w:rPr>
        <w:t xml:space="preserve">replaces the reference to ‘ideal weight for height (kg)’ in subsection 10(2) </w:t>
      </w:r>
      <w:r w:rsidR="00392508">
        <w:rPr>
          <w:sz w:val="24"/>
          <w:szCs w:val="24"/>
        </w:rPr>
        <w:t xml:space="preserve">of the Special Arrangement </w:t>
      </w:r>
      <w:r w:rsidR="00D47BD4">
        <w:rPr>
          <w:sz w:val="24"/>
          <w:szCs w:val="24"/>
        </w:rPr>
        <w:t>with a reference to ‘ideal body weight (kg)’.</w:t>
      </w:r>
      <w:r w:rsidR="00392508">
        <w:rPr>
          <w:sz w:val="24"/>
          <w:szCs w:val="24"/>
        </w:rPr>
        <w:t xml:space="preserve"> </w:t>
      </w:r>
      <w:r w:rsidR="00C20738">
        <w:rPr>
          <w:sz w:val="24"/>
          <w:szCs w:val="24"/>
        </w:rPr>
        <w:t xml:space="preserve"> </w:t>
      </w:r>
      <w:r w:rsidR="00392508">
        <w:rPr>
          <w:sz w:val="24"/>
          <w:szCs w:val="24"/>
        </w:rPr>
        <w:t xml:space="preserve">Section 10 sets out definitions for the purposes of Part 3 of the Special Arrangement, which deals with the calculation of the treatment dose for </w:t>
      </w:r>
      <w:r w:rsidR="00B81BBD">
        <w:rPr>
          <w:sz w:val="24"/>
          <w:szCs w:val="24"/>
        </w:rPr>
        <w:t>growth hormone</w:t>
      </w:r>
      <w:r w:rsidR="00392508">
        <w:rPr>
          <w:sz w:val="24"/>
          <w:szCs w:val="24"/>
        </w:rPr>
        <w:t>.</w:t>
      </w:r>
    </w:p>
    <w:p w:rsidR="00AF2AE2" w:rsidRPr="00FB1163" w:rsidRDefault="00AF2AE2" w:rsidP="00AF2AE2">
      <w:pPr>
        <w:jc w:val="left"/>
        <w:rPr>
          <w:sz w:val="24"/>
          <w:szCs w:val="24"/>
        </w:rPr>
      </w:pPr>
      <w:r w:rsidRPr="00FB1163">
        <w:rPr>
          <w:b/>
          <w:sz w:val="24"/>
          <w:szCs w:val="24"/>
        </w:rPr>
        <w:t>Item 7</w:t>
      </w:r>
      <w:r w:rsidRPr="00FB1163">
        <w:rPr>
          <w:sz w:val="24"/>
          <w:szCs w:val="24"/>
        </w:rPr>
        <w:t xml:space="preserve"> </w:t>
      </w:r>
      <w:r w:rsidR="00FB1163" w:rsidRPr="00FB1163">
        <w:rPr>
          <w:sz w:val="24"/>
          <w:szCs w:val="24"/>
        </w:rPr>
        <w:t xml:space="preserve">replaces the reference to ‘ideal weight for height’ in subsection 10(3) </w:t>
      </w:r>
      <w:r w:rsidR="000A70C5">
        <w:rPr>
          <w:sz w:val="24"/>
          <w:szCs w:val="24"/>
        </w:rPr>
        <w:t xml:space="preserve">of the Special Arrangement </w:t>
      </w:r>
      <w:r w:rsidR="00FB1163" w:rsidRPr="00FB1163">
        <w:rPr>
          <w:sz w:val="24"/>
          <w:szCs w:val="24"/>
        </w:rPr>
        <w:t>with a reference to ‘ideal body weight in kilograms’.</w:t>
      </w:r>
    </w:p>
    <w:p w:rsidR="009D3A18" w:rsidRPr="00ED69F8" w:rsidRDefault="00AF2AE2" w:rsidP="00ED69F8">
      <w:pPr>
        <w:jc w:val="left"/>
        <w:rPr>
          <w:sz w:val="24"/>
          <w:szCs w:val="24"/>
        </w:rPr>
      </w:pPr>
      <w:r w:rsidRPr="00FB1163">
        <w:rPr>
          <w:b/>
          <w:sz w:val="24"/>
          <w:szCs w:val="24"/>
        </w:rPr>
        <w:t>Item 8</w:t>
      </w:r>
      <w:r w:rsidRPr="00FB1163">
        <w:rPr>
          <w:sz w:val="24"/>
          <w:szCs w:val="24"/>
        </w:rPr>
        <w:t xml:space="preserve"> </w:t>
      </w:r>
      <w:r w:rsidR="00FB1163" w:rsidRPr="00FB1163">
        <w:rPr>
          <w:sz w:val="24"/>
          <w:szCs w:val="24"/>
        </w:rPr>
        <w:t xml:space="preserve">replaces the reference to ‘ideal weight for height’ in subsection 11(4) </w:t>
      </w:r>
      <w:r w:rsidR="00D6449A">
        <w:rPr>
          <w:sz w:val="24"/>
          <w:szCs w:val="24"/>
        </w:rPr>
        <w:t xml:space="preserve">of the Special Arrangement </w:t>
      </w:r>
      <w:r w:rsidR="00FB1163" w:rsidRPr="00FB1163">
        <w:rPr>
          <w:sz w:val="24"/>
          <w:szCs w:val="24"/>
        </w:rPr>
        <w:t>with a reference to ‘ideal body weight in kilograms’.</w:t>
      </w:r>
      <w:r w:rsidR="00B81BBD">
        <w:rPr>
          <w:sz w:val="24"/>
          <w:szCs w:val="24"/>
        </w:rPr>
        <w:t xml:space="preserve">  Section 11 of the Special Arrangement sets out the maximum dosages that may be prescribed under the Special Arrangement for various categories of patient.</w:t>
      </w:r>
      <w:r w:rsidR="00E864E7">
        <w:rPr>
          <w:sz w:val="24"/>
          <w:szCs w:val="24"/>
        </w:rPr>
        <w:t xml:space="preserve"> </w:t>
      </w:r>
      <w:r w:rsidR="00B81BBD">
        <w:rPr>
          <w:sz w:val="24"/>
          <w:szCs w:val="24"/>
        </w:rPr>
        <w:t xml:space="preserve"> Subsection 11(4) deals with calculating the maximum dosage for </w:t>
      </w:r>
      <w:r w:rsidR="00F5211D">
        <w:rPr>
          <w:sz w:val="24"/>
          <w:szCs w:val="24"/>
        </w:rPr>
        <w:t xml:space="preserve">a </w:t>
      </w:r>
      <w:r w:rsidR="00B81BBD">
        <w:rPr>
          <w:sz w:val="24"/>
          <w:szCs w:val="24"/>
        </w:rPr>
        <w:t xml:space="preserve">patient with </w:t>
      </w:r>
      <w:r w:rsidR="00D6449A">
        <w:rPr>
          <w:sz w:val="24"/>
          <w:szCs w:val="24"/>
        </w:rPr>
        <w:t xml:space="preserve">PWS </w:t>
      </w:r>
      <w:r w:rsidR="00B81BBD">
        <w:rPr>
          <w:sz w:val="24"/>
          <w:szCs w:val="24"/>
        </w:rPr>
        <w:t xml:space="preserve">whose BMI </w:t>
      </w:r>
      <w:r w:rsidR="00B81BBD" w:rsidRPr="00B81BBD">
        <w:rPr>
          <w:sz w:val="24"/>
          <w:szCs w:val="24"/>
        </w:rPr>
        <w:t>is greater than the 85</w:t>
      </w:r>
      <w:r w:rsidR="00D6449A" w:rsidRPr="00D6449A">
        <w:rPr>
          <w:sz w:val="24"/>
          <w:szCs w:val="24"/>
          <w:vertAlign w:val="superscript"/>
        </w:rPr>
        <w:t>th</w:t>
      </w:r>
      <w:r w:rsidR="00B81BBD" w:rsidRPr="00B81BBD">
        <w:rPr>
          <w:sz w:val="24"/>
          <w:szCs w:val="24"/>
        </w:rPr>
        <w:t xml:space="preserve"> percentile for age and sex</w:t>
      </w:r>
      <w:r w:rsidR="00B81BBD">
        <w:rPr>
          <w:sz w:val="24"/>
          <w:szCs w:val="24"/>
        </w:rPr>
        <w:t xml:space="preserve">. </w:t>
      </w:r>
      <w:r w:rsidR="00CF4F84" w:rsidRPr="00ED69F8">
        <w:rPr>
          <w:sz w:val="24"/>
          <w:szCs w:val="24"/>
        </w:rPr>
        <w:br w:type="page"/>
      </w:r>
    </w:p>
    <w:p w:rsidR="0038460B" w:rsidRDefault="0038460B" w:rsidP="005713BA">
      <w:pPr>
        <w:jc w:val="left"/>
        <w:rPr>
          <w:sz w:val="24"/>
          <w:szCs w:val="24"/>
        </w:rPr>
      </w:pPr>
    </w:p>
    <w:p w:rsidR="009D3A18" w:rsidRPr="000F6AE4" w:rsidRDefault="0072797E" w:rsidP="005713BA">
      <w:pPr>
        <w:jc w:val="left"/>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-332105</wp:posOffset>
                </wp:positionH>
                <wp:positionV relativeFrom="paragraph">
                  <wp:posOffset>-534670</wp:posOffset>
                </wp:positionV>
                <wp:extent cx="6162675" cy="9601200"/>
                <wp:effectExtent l="38100" t="3810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601200"/>
                        </a:xfrm>
                        <a:prstGeom prst="rect">
                          <a:avLst/>
                        </a:prstGeom>
                        <a:solidFill>
                          <a:srgbClr val="FFFFFF"/>
                        </a:solidFill>
                        <a:ln w="76200" cmpd="tri">
                          <a:solidFill>
                            <a:srgbClr val="000000"/>
                          </a:solidFill>
                          <a:miter lim="800000"/>
                          <a:headEnd/>
                          <a:tailEnd/>
                        </a:ln>
                      </wps:spPr>
                      <wps:txbx>
                        <w:txbxContent>
                          <w:p w:rsidR="00A264B1" w:rsidRPr="003A3272" w:rsidRDefault="00A264B1" w:rsidP="00A264B1">
                            <w:pPr>
                              <w:spacing w:before="120"/>
                              <w:jc w:val="center"/>
                              <w:rPr>
                                <w:b/>
                                <w:sz w:val="26"/>
                                <w:szCs w:val="26"/>
                              </w:rPr>
                            </w:pPr>
                            <w:r w:rsidRPr="003A3272">
                              <w:rPr>
                                <w:b/>
                                <w:sz w:val="26"/>
                                <w:szCs w:val="26"/>
                              </w:rPr>
                              <w:t>Statement of Compatibility with Human Rights</w:t>
                            </w:r>
                          </w:p>
                          <w:p w:rsidR="00A264B1" w:rsidRPr="003A3272" w:rsidRDefault="00A264B1" w:rsidP="00A264B1">
                            <w:pPr>
                              <w:spacing w:before="120"/>
                              <w:jc w:val="center"/>
                              <w:rPr>
                                <w:i/>
                                <w:sz w:val="18"/>
                                <w:szCs w:val="18"/>
                              </w:rPr>
                            </w:pPr>
                            <w:r w:rsidRPr="003A3272">
                              <w:rPr>
                                <w:i/>
                                <w:sz w:val="18"/>
                                <w:szCs w:val="18"/>
                              </w:rPr>
                              <w:t>Prepared in accordance with Part 3 of the Human Rights (Parliamentary Scrutiny) Act 2011</w:t>
                            </w:r>
                          </w:p>
                          <w:p w:rsidR="00A264B1" w:rsidRPr="003A3272" w:rsidRDefault="00A264B1" w:rsidP="00586745">
                            <w:pPr>
                              <w:spacing w:after="0"/>
                              <w:jc w:val="center"/>
                              <w:rPr>
                                <w:sz w:val="18"/>
                                <w:szCs w:val="18"/>
                              </w:rPr>
                            </w:pPr>
                          </w:p>
                          <w:p w:rsidR="00A264B1" w:rsidRPr="003A3272" w:rsidRDefault="00A264B1" w:rsidP="00CA2141">
                            <w:pPr>
                              <w:pStyle w:val="Heading4"/>
                              <w:spacing w:after="0"/>
                              <w:rPr>
                                <w:i/>
                                <w:sz w:val="22"/>
                                <w:szCs w:val="22"/>
                              </w:rPr>
                            </w:pPr>
                            <w:r w:rsidRPr="003A3272">
                              <w:rPr>
                                <w:i/>
                                <w:sz w:val="22"/>
                                <w:szCs w:val="22"/>
                              </w:rPr>
                              <w:t>National Health (</w:t>
                            </w:r>
                            <w:r w:rsidR="00273FB0" w:rsidRPr="003A3272">
                              <w:rPr>
                                <w:i/>
                                <w:sz w:val="22"/>
                                <w:szCs w:val="22"/>
                              </w:rPr>
                              <w:t>Growth Hormone</w:t>
                            </w:r>
                            <w:r w:rsidRPr="003A3272">
                              <w:rPr>
                                <w:i/>
                                <w:sz w:val="22"/>
                                <w:szCs w:val="22"/>
                              </w:rPr>
                              <w:t xml:space="preserve"> Program) </w:t>
                            </w:r>
                            <w:r w:rsidR="00B42D68" w:rsidRPr="003A3272">
                              <w:rPr>
                                <w:i/>
                                <w:sz w:val="22"/>
                                <w:szCs w:val="22"/>
                              </w:rPr>
                              <w:t>Special Arrangement</w:t>
                            </w:r>
                            <w:r w:rsidR="00586745" w:rsidRPr="003A3272">
                              <w:rPr>
                                <w:i/>
                                <w:sz w:val="22"/>
                                <w:szCs w:val="22"/>
                              </w:rPr>
                              <w:t xml:space="preserve"> </w:t>
                            </w:r>
                            <w:r w:rsidRPr="003A3272">
                              <w:rPr>
                                <w:i/>
                                <w:sz w:val="22"/>
                                <w:szCs w:val="22"/>
                              </w:rPr>
                              <w:t>Amendment</w:t>
                            </w:r>
                            <w:r w:rsidR="00586745" w:rsidRPr="003A3272">
                              <w:rPr>
                                <w:i/>
                                <w:sz w:val="22"/>
                                <w:szCs w:val="22"/>
                              </w:rPr>
                              <w:t> </w:t>
                            </w:r>
                            <w:r w:rsidRPr="003A3272">
                              <w:rPr>
                                <w:i/>
                                <w:sz w:val="22"/>
                                <w:szCs w:val="22"/>
                              </w:rPr>
                              <w:t>Instrument 201</w:t>
                            </w:r>
                            <w:r w:rsidR="00CA2141" w:rsidRPr="003A3272">
                              <w:rPr>
                                <w:i/>
                                <w:sz w:val="22"/>
                                <w:szCs w:val="22"/>
                              </w:rPr>
                              <w:t xml:space="preserve">7 </w:t>
                            </w:r>
                            <w:r w:rsidRPr="003A3272">
                              <w:rPr>
                                <w:i/>
                                <w:sz w:val="22"/>
                                <w:szCs w:val="22"/>
                              </w:rPr>
                              <w:t>(No.</w:t>
                            </w:r>
                            <w:r w:rsidR="00973B93" w:rsidRPr="003A3272">
                              <w:rPr>
                                <w:i/>
                                <w:sz w:val="22"/>
                                <w:szCs w:val="22"/>
                              </w:rPr>
                              <w:t xml:space="preserve"> </w:t>
                            </w:r>
                            <w:r w:rsidR="00480529" w:rsidRPr="003A3272">
                              <w:rPr>
                                <w:i/>
                                <w:sz w:val="22"/>
                                <w:szCs w:val="22"/>
                              </w:rPr>
                              <w:t>2</w:t>
                            </w:r>
                            <w:r w:rsidRPr="003A3272">
                              <w:rPr>
                                <w:i/>
                                <w:sz w:val="22"/>
                                <w:szCs w:val="22"/>
                              </w:rPr>
                              <w:t>)</w:t>
                            </w:r>
                          </w:p>
                          <w:p w:rsidR="00CA2141" w:rsidRPr="003A3272" w:rsidRDefault="00CA2141" w:rsidP="00CA2141">
                            <w:pPr>
                              <w:pStyle w:val="Heading4"/>
                              <w:spacing w:after="0"/>
                              <w:rPr>
                                <w:b w:val="0"/>
                                <w:sz w:val="22"/>
                                <w:szCs w:val="22"/>
                              </w:rPr>
                            </w:pPr>
                          </w:p>
                          <w:p w:rsidR="00A264B1" w:rsidRPr="003A3272" w:rsidRDefault="00A264B1" w:rsidP="00C26799">
                            <w:pPr>
                              <w:spacing w:after="0"/>
                              <w:jc w:val="center"/>
                              <w:rPr>
                                <w:sz w:val="22"/>
                                <w:szCs w:val="22"/>
                              </w:rPr>
                            </w:pPr>
                            <w:r w:rsidRPr="003A3272">
                              <w:rPr>
                                <w:sz w:val="22"/>
                                <w:szCs w:val="22"/>
                              </w:rPr>
                              <w:t>This Legislative Instrument is compatible with the human rights and freedoms recognised or declared in the international instruments listed in section 3 of the</w:t>
                            </w:r>
                            <w:r w:rsidR="00C26799" w:rsidRPr="003A3272">
                              <w:rPr>
                                <w:sz w:val="22"/>
                                <w:szCs w:val="22"/>
                              </w:rPr>
                              <w:t xml:space="preserve"> </w:t>
                            </w:r>
                            <w:r w:rsidRPr="003A3272">
                              <w:rPr>
                                <w:i/>
                                <w:sz w:val="22"/>
                                <w:szCs w:val="22"/>
                              </w:rPr>
                              <w:t>Human</w:t>
                            </w:r>
                            <w:r w:rsidR="00C26799" w:rsidRPr="003A3272">
                              <w:rPr>
                                <w:i/>
                                <w:sz w:val="22"/>
                                <w:szCs w:val="22"/>
                              </w:rPr>
                              <w:t> </w:t>
                            </w:r>
                            <w:r w:rsidRPr="003A3272">
                              <w:rPr>
                                <w:i/>
                                <w:sz w:val="22"/>
                                <w:szCs w:val="22"/>
                              </w:rPr>
                              <w:t>Rights</w:t>
                            </w:r>
                            <w:r w:rsidR="00C26799" w:rsidRPr="003A3272">
                              <w:rPr>
                                <w:i/>
                                <w:sz w:val="22"/>
                                <w:szCs w:val="22"/>
                              </w:rPr>
                              <w:t> </w:t>
                            </w:r>
                            <w:r w:rsidRPr="003A3272">
                              <w:rPr>
                                <w:i/>
                                <w:sz w:val="22"/>
                                <w:szCs w:val="22"/>
                              </w:rPr>
                              <w:t>(Parliamentary Scrutiny) Act 2011</w:t>
                            </w:r>
                            <w:r w:rsidRPr="003A3272">
                              <w:rPr>
                                <w:sz w:val="22"/>
                                <w:szCs w:val="22"/>
                              </w:rPr>
                              <w:t>.</w:t>
                            </w:r>
                          </w:p>
                          <w:p w:rsidR="00A264B1" w:rsidRPr="003A3272" w:rsidRDefault="00A264B1" w:rsidP="00586745">
                            <w:pPr>
                              <w:spacing w:after="0"/>
                              <w:jc w:val="center"/>
                              <w:rPr>
                                <w:sz w:val="22"/>
                                <w:szCs w:val="22"/>
                              </w:rPr>
                            </w:pPr>
                          </w:p>
                          <w:p w:rsidR="00A264B1" w:rsidRPr="003A3272" w:rsidRDefault="00A264B1" w:rsidP="005258CC">
                            <w:pPr>
                              <w:rPr>
                                <w:b/>
                                <w:sz w:val="22"/>
                                <w:szCs w:val="22"/>
                              </w:rPr>
                            </w:pPr>
                            <w:r w:rsidRPr="003A3272">
                              <w:rPr>
                                <w:b/>
                                <w:sz w:val="22"/>
                                <w:szCs w:val="22"/>
                              </w:rPr>
                              <w:t>Overview of the Legislative Instrument</w:t>
                            </w:r>
                          </w:p>
                          <w:p w:rsidR="00273FB0" w:rsidRPr="003A3272" w:rsidRDefault="00273FB0" w:rsidP="00273FB0">
                            <w:pPr>
                              <w:rPr>
                                <w:sz w:val="22"/>
                                <w:szCs w:val="22"/>
                              </w:rPr>
                            </w:pPr>
                            <w:r w:rsidRPr="003A3272">
                              <w:rPr>
                                <w:sz w:val="22"/>
                                <w:szCs w:val="22"/>
                              </w:rPr>
                              <w:t xml:space="preserve">The purpose of this Legislative Instrument, made under subsection 100(2) of the </w:t>
                            </w:r>
                            <w:r w:rsidRPr="003A3272">
                              <w:rPr>
                                <w:i/>
                                <w:sz w:val="22"/>
                                <w:szCs w:val="22"/>
                              </w:rPr>
                              <w:t>National Health Act 1953</w:t>
                            </w:r>
                            <w:r w:rsidRPr="003A3272">
                              <w:rPr>
                                <w:sz w:val="22"/>
                                <w:szCs w:val="22"/>
                              </w:rPr>
                              <w:t xml:space="preserve">, is to amend the </w:t>
                            </w:r>
                            <w:r w:rsidRPr="003A3272">
                              <w:rPr>
                                <w:i/>
                                <w:sz w:val="22"/>
                                <w:szCs w:val="22"/>
                              </w:rPr>
                              <w:t>National Health (Growth Hormone Program) Special Arrangement 2015</w:t>
                            </w:r>
                            <w:r w:rsidRPr="003A3272">
                              <w:rPr>
                                <w:sz w:val="22"/>
                                <w:szCs w:val="22"/>
                              </w:rPr>
                              <w:t xml:space="preserve"> (PB 85 of 2015) (the Special Arrangement) to make changes relating to</w:t>
                            </w:r>
                            <w:r w:rsidR="00642774" w:rsidRPr="003A3272">
                              <w:rPr>
                                <w:sz w:val="22"/>
                                <w:szCs w:val="22"/>
                              </w:rPr>
                              <w:t xml:space="preserve"> the circumstances in which growth hormone can be prescribed as a pharmaceutical benefit</w:t>
                            </w:r>
                            <w:r w:rsidRPr="003A3272">
                              <w:rPr>
                                <w:sz w:val="22"/>
                                <w:szCs w:val="22"/>
                              </w:rPr>
                              <w:t xml:space="preserve"> </w:t>
                            </w:r>
                            <w:r w:rsidR="00642774" w:rsidRPr="003A3272">
                              <w:rPr>
                                <w:sz w:val="22"/>
                                <w:szCs w:val="22"/>
                              </w:rPr>
                              <w:t xml:space="preserve">under </w:t>
                            </w:r>
                            <w:r w:rsidRPr="003A3272">
                              <w:rPr>
                                <w:sz w:val="22"/>
                                <w:szCs w:val="22"/>
                              </w:rPr>
                              <w:t xml:space="preserve">the </w:t>
                            </w:r>
                            <w:r w:rsidR="00586745" w:rsidRPr="003A3272">
                              <w:rPr>
                                <w:sz w:val="22"/>
                                <w:szCs w:val="22"/>
                              </w:rPr>
                              <w:t xml:space="preserve">Pharmaceutical Benefits Scheme (PBS) </w:t>
                            </w:r>
                            <w:r w:rsidRPr="003A3272">
                              <w:rPr>
                                <w:sz w:val="22"/>
                                <w:szCs w:val="22"/>
                              </w:rPr>
                              <w:t>Growth Hormone Program.</w:t>
                            </w:r>
                          </w:p>
                          <w:p w:rsidR="00A264B1" w:rsidRPr="003A3272" w:rsidRDefault="00A264B1" w:rsidP="00273FB0">
                            <w:pPr>
                              <w:rPr>
                                <w:sz w:val="22"/>
                                <w:szCs w:val="22"/>
                              </w:rPr>
                            </w:pPr>
                            <w:r w:rsidRPr="003A3272">
                              <w:rPr>
                                <w:sz w:val="22"/>
                                <w:szCs w:val="22"/>
                              </w:rPr>
                              <w:t>The Special Arrangement ensure</w:t>
                            </w:r>
                            <w:r w:rsidR="00642774" w:rsidRPr="003A3272">
                              <w:rPr>
                                <w:sz w:val="22"/>
                                <w:szCs w:val="22"/>
                              </w:rPr>
                              <w:t>s</w:t>
                            </w:r>
                            <w:r w:rsidRPr="003A3272">
                              <w:rPr>
                                <w:sz w:val="22"/>
                                <w:szCs w:val="22"/>
                              </w:rPr>
                              <w:t xml:space="preserve"> that an adequate supply of pharmaceutical benefits is available for patients who require treatment</w:t>
                            </w:r>
                            <w:r w:rsidR="00273FB0" w:rsidRPr="003A3272">
                              <w:rPr>
                                <w:sz w:val="22"/>
                                <w:szCs w:val="22"/>
                              </w:rPr>
                              <w:t xml:space="preserve"> with growth hormone</w:t>
                            </w:r>
                            <w:r w:rsidRPr="003A3272">
                              <w:rPr>
                                <w:sz w:val="22"/>
                                <w:szCs w:val="22"/>
                              </w:rPr>
                              <w:t>.</w:t>
                            </w:r>
                            <w:r w:rsidR="001C08C3" w:rsidRPr="003A3272">
                              <w:rPr>
                                <w:sz w:val="22"/>
                                <w:szCs w:val="22"/>
                              </w:rPr>
                              <w:t xml:space="preserve"> </w:t>
                            </w:r>
                            <w:r w:rsidR="00A32146" w:rsidRPr="003A3272">
                              <w:rPr>
                                <w:sz w:val="22"/>
                                <w:szCs w:val="22"/>
                              </w:rPr>
                              <w:t xml:space="preserve"> </w:t>
                            </w:r>
                            <w:r w:rsidRPr="003A3272">
                              <w:rPr>
                                <w:sz w:val="22"/>
                                <w:szCs w:val="22"/>
                              </w:rPr>
                              <w:t>Restrictions on the provision of th</w:t>
                            </w:r>
                            <w:r w:rsidR="009E0A79" w:rsidRPr="003A3272">
                              <w:rPr>
                                <w:sz w:val="22"/>
                                <w:szCs w:val="22"/>
                              </w:rPr>
                              <w:t>is</w:t>
                            </w:r>
                            <w:r w:rsidRPr="003A3272">
                              <w:rPr>
                                <w:sz w:val="22"/>
                                <w:szCs w:val="22"/>
                              </w:rPr>
                              <w:t xml:space="preserve"> treatment mean that these pharmaceutical benefits can more conveniently or efficiently be supplied under a special arrangement.</w:t>
                            </w:r>
                          </w:p>
                          <w:p w:rsidR="00586745" w:rsidRPr="003A3272" w:rsidRDefault="008B67E3" w:rsidP="00273FB0">
                            <w:pPr>
                              <w:rPr>
                                <w:sz w:val="22"/>
                                <w:szCs w:val="22"/>
                              </w:rPr>
                            </w:pPr>
                            <w:r w:rsidRPr="003A3272">
                              <w:rPr>
                                <w:sz w:val="22"/>
                                <w:szCs w:val="22"/>
                              </w:rPr>
                              <w:t>This Instrument</w:t>
                            </w:r>
                            <w:r w:rsidR="00586745" w:rsidRPr="003A3272">
                              <w:rPr>
                                <w:sz w:val="22"/>
                                <w:szCs w:val="22"/>
                              </w:rPr>
                              <w:t>:</w:t>
                            </w:r>
                          </w:p>
                          <w:p w:rsidR="00586745" w:rsidRPr="003A3272" w:rsidRDefault="00586745" w:rsidP="00586745">
                            <w:pPr>
                              <w:pStyle w:val="ListParagraph"/>
                              <w:numPr>
                                <w:ilvl w:val="0"/>
                                <w:numId w:val="13"/>
                              </w:numPr>
                              <w:rPr>
                                <w:rFonts w:ascii="Times New Roman" w:hAnsi="Times New Roman"/>
                              </w:rPr>
                            </w:pPr>
                            <w:r w:rsidRPr="003A3272">
                              <w:rPr>
                                <w:rFonts w:ascii="Times New Roman" w:hAnsi="Times New Roman"/>
                              </w:rPr>
                              <w:t>allows the calculation of ideal body weight (IBW) (required for assessment of eligibility and dosage for treatment with PBS-subsidised growth hormone) for patients with Prader-Willi Syndrome (PWS) whose height is greater than 176.8 centimetres (males) or 163.3 centimetres (females); and</w:t>
                            </w:r>
                          </w:p>
                          <w:p w:rsidR="00581921" w:rsidRPr="003A3272" w:rsidRDefault="00586745" w:rsidP="00493432">
                            <w:pPr>
                              <w:pStyle w:val="ListParagraph"/>
                              <w:numPr>
                                <w:ilvl w:val="0"/>
                                <w:numId w:val="13"/>
                              </w:numPr>
                              <w:spacing w:before="120"/>
                              <w:ind w:left="714" w:hanging="357"/>
                              <w:rPr>
                                <w:rFonts w:ascii="Times New Roman" w:hAnsi="Times New Roman"/>
                              </w:rPr>
                            </w:pPr>
                            <w:r w:rsidRPr="003A3272">
                              <w:rPr>
                                <w:rFonts w:ascii="Times New Roman" w:hAnsi="Times New Roman"/>
                              </w:rPr>
                              <w:t>removes the requirement for prescribers to provide an original PBS Authority prescription when applying for authority to prescribe PBS-subsidised growth hormone through the Department of Human Services’ Online PBS Authorities system.</w:t>
                            </w:r>
                            <w:r w:rsidR="00455A53" w:rsidRPr="003A3272">
                              <w:rPr>
                                <w:rFonts w:ascii="Times New Roman" w:hAnsi="Times New Roman"/>
                              </w:rPr>
                              <w:t xml:space="preserve">  Instead, prescribers will obtain authority by providing written details of the prescription to the Chief Executive Medicare, electronically and in a form approved by the Chief Executive Medicare.  The Chief Executive Medicare will also be able to provide authorisation of the prescription by electronic communication to the prescriber.</w:t>
                            </w:r>
                          </w:p>
                          <w:p w:rsidR="00581921" w:rsidRPr="003A3272" w:rsidRDefault="00581921" w:rsidP="00586745">
                            <w:pPr>
                              <w:spacing w:after="0"/>
                              <w:rPr>
                                <w:b/>
                                <w:sz w:val="22"/>
                                <w:szCs w:val="22"/>
                              </w:rPr>
                            </w:pPr>
                          </w:p>
                          <w:p w:rsidR="00A264B1" w:rsidRPr="003A3272" w:rsidRDefault="00A264B1" w:rsidP="005258CC">
                            <w:pPr>
                              <w:rPr>
                                <w:b/>
                                <w:sz w:val="22"/>
                                <w:szCs w:val="22"/>
                              </w:rPr>
                            </w:pPr>
                            <w:r w:rsidRPr="003A3272">
                              <w:rPr>
                                <w:b/>
                                <w:sz w:val="22"/>
                                <w:szCs w:val="22"/>
                              </w:rPr>
                              <w:t xml:space="preserve">Human </w:t>
                            </w:r>
                            <w:r w:rsidR="001D584A" w:rsidRPr="003A3272">
                              <w:rPr>
                                <w:b/>
                                <w:sz w:val="22"/>
                                <w:szCs w:val="22"/>
                              </w:rPr>
                              <w:t>R</w:t>
                            </w:r>
                            <w:r w:rsidRPr="003A3272">
                              <w:rPr>
                                <w:b/>
                                <w:sz w:val="22"/>
                                <w:szCs w:val="22"/>
                              </w:rPr>
                              <w:t xml:space="preserve">ights </w:t>
                            </w:r>
                            <w:r w:rsidR="001D584A" w:rsidRPr="003A3272">
                              <w:rPr>
                                <w:b/>
                                <w:sz w:val="22"/>
                                <w:szCs w:val="22"/>
                              </w:rPr>
                              <w:t>I</w:t>
                            </w:r>
                            <w:r w:rsidRPr="003A3272">
                              <w:rPr>
                                <w:b/>
                                <w:sz w:val="22"/>
                                <w:szCs w:val="22"/>
                              </w:rPr>
                              <w:t>mplications</w:t>
                            </w:r>
                          </w:p>
                          <w:p w:rsidR="00A264B1" w:rsidRPr="003A3272" w:rsidRDefault="00A264B1" w:rsidP="00273FB0">
                            <w:pPr>
                              <w:rPr>
                                <w:sz w:val="22"/>
                                <w:szCs w:val="22"/>
                              </w:rPr>
                            </w:pPr>
                            <w:r w:rsidRPr="003A3272">
                              <w:rPr>
                                <w:sz w:val="22"/>
                                <w:szCs w:val="22"/>
                              </w:rPr>
                              <w:t xml:space="preserve">This </w:t>
                            </w:r>
                            <w:r w:rsidR="001D584A" w:rsidRPr="003A3272">
                              <w:rPr>
                                <w:sz w:val="22"/>
                                <w:szCs w:val="22"/>
                              </w:rPr>
                              <w:t>L</w:t>
                            </w:r>
                            <w:r w:rsidRPr="003A3272">
                              <w:rPr>
                                <w:sz w:val="22"/>
                                <w:szCs w:val="22"/>
                              </w:rPr>
                              <w:t xml:space="preserve">egislative </w:t>
                            </w:r>
                            <w:r w:rsidR="001D584A" w:rsidRPr="003A3272">
                              <w:rPr>
                                <w:sz w:val="22"/>
                                <w:szCs w:val="22"/>
                              </w:rPr>
                              <w:t>I</w:t>
                            </w:r>
                            <w:r w:rsidRPr="003A3272">
                              <w:rPr>
                                <w:sz w:val="22"/>
                                <w:szCs w:val="22"/>
                              </w:rPr>
                              <w:t>nstrument engages Article 2 and 12 of the International Covenant on Economic, Social and Cultural Rights (ICESCR) by assisting with the progressive realisation by all appropriate means of the right of everyone to the enjoyment of the highest attainable standard</w:t>
                            </w:r>
                            <w:r w:rsidR="00273FB0" w:rsidRPr="003A3272">
                              <w:rPr>
                                <w:sz w:val="22"/>
                                <w:szCs w:val="22"/>
                              </w:rPr>
                              <w:t xml:space="preserve"> of physical and mental health.</w:t>
                            </w:r>
                          </w:p>
                          <w:p w:rsidR="00A264B1" w:rsidRPr="003A3272" w:rsidRDefault="003A3272" w:rsidP="00493432">
                            <w:pPr>
                              <w:spacing w:after="0"/>
                              <w:rPr>
                                <w:sz w:val="22"/>
                                <w:szCs w:val="22"/>
                              </w:rPr>
                            </w:pPr>
                            <w:r w:rsidRPr="003A3272">
                              <w:rPr>
                                <w:sz w:val="22"/>
                                <w:szCs w:val="22"/>
                              </w:rPr>
                              <w:t>The changes made by this Instrument</w:t>
                            </w:r>
                            <w:r w:rsidR="00A264B1" w:rsidRPr="003A3272">
                              <w:rPr>
                                <w:sz w:val="22"/>
                                <w:szCs w:val="22"/>
                              </w:rPr>
                              <w:t xml:space="preserve"> assist with</w:t>
                            </w:r>
                            <w:r w:rsidR="001D584A" w:rsidRPr="003A3272">
                              <w:rPr>
                                <w:sz w:val="22"/>
                                <w:szCs w:val="22"/>
                              </w:rPr>
                              <w:t xml:space="preserve"> the</w:t>
                            </w:r>
                            <w:r w:rsidR="00A264B1" w:rsidRPr="003A3272">
                              <w:rPr>
                                <w:sz w:val="22"/>
                                <w:szCs w:val="22"/>
                              </w:rPr>
                              <w:t xml:space="preserve"> advancement of this human right by</w:t>
                            </w:r>
                            <w:r w:rsidR="005258CC">
                              <w:rPr>
                                <w:sz w:val="22"/>
                                <w:szCs w:val="22"/>
                              </w:rPr>
                              <w:t xml:space="preserve"> </w:t>
                            </w:r>
                            <w:r w:rsidR="00390AFA">
                              <w:rPr>
                                <w:sz w:val="22"/>
                                <w:szCs w:val="22"/>
                              </w:rPr>
                              <w:t xml:space="preserve">enabling </w:t>
                            </w:r>
                            <w:r w:rsidR="00493432">
                              <w:rPr>
                                <w:sz w:val="22"/>
                                <w:szCs w:val="22"/>
                              </w:rPr>
                              <w:t xml:space="preserve">appropriate </w:t>
                            </w:r>
                            <w:r w:rsidR="00390AFA">
                              <w:rPr>
                                <w:sz w:val="22"/>
                                <w:szCs w:val="22"/>
                              </w:rPr>
                              <w:t>access to PBS-subsidised growth hormone for PWS patients</w:t>
                            </w:r>
                            <w:r w:rsidR="00493432">
                              <w:rPr>
                                <w:sz w:val="22"/>
                                <w:szCs w:val="22"/>
                              </w:rPr>
                              <w:t xml:space="preserve"> whose height is greater than 176.8 centimetres (males) or 163.3 centimetres (females)</w:t>
                            </w:r>
                            <w:r w:rsidR="005258CC">
                              <w:rPr>
                                <w:sz w:val="22"/>
                                <w:szCs w:val="22"/>
                              </w:rPr>
                              <w:t xml:space="preserve">; and </w:t>
                            </w:r>
                            <w:r w:rsidR="00B9525F">
                              <w:rPr>
                                <w:sz w:val="22"/>
                                <w:szCs w:val="22"/>
                              </w:rPr>
                              <w:t xml:space="preserve">by </w:t>
                            </w:r>
                            <w:r w:rsidR="005258CC">
                              <w:rPr>
                                <w:sz w:val="22"/>
                                <w:szCs w:val="22"/>
                              </w:rPr>
                              <w:t xml:space="preserve">improving </w:t>
                            </w:r>
                            <w:r w:rsidR="00390AFA">
                              <w:rPr>
                                <w:sz w:val="22"/>
                                <w:szCs w:val="22"/>
                              </w:rPr>
                              <w:t xml:space="preserve">general </w:t>
                            </w:r>
                            <w:r w:rsidR="005258CC">
                              <w:rPr>
                                <w:sz w:val="22"/>
                                <w:szCs w:val="22"/>
                              </w:rPr>
                              <w:t xml:space="preserve">ease of access to </w:t>
                            </w:r>
                            <w:r w:rsidR="00390AFA">
                              <w:rPr>
                                <w:sz w:val="22"/>
                                <w:szCs w:val="22"/>
                              </w:rPr>
                              <w:t>PBS-subsidised growth hormone</w:t>
                            </w:r>
                            <w:r w:rsidR="005258CC">
                              <w:rPr>
                                <w:sz w:val="22"/>
                                <w:szCs w:val="22"/>
                              </w:rPr>
                              <w:t xml:space="preserve"> by simplifying administrative procedures for prescribing</w:t>
                            </w:r>
                            <w:r w:rsidR="00A264B1" w:rsidRPr="003A3272">
                              <w:rPr>
                                <w:sz w:val="22"/>
                                <w:szCs w:val="22"/>
                              </w:rPr>
                              <w:t>.</w:t>
                            </w:r>
                          </w:p>
                          <w:p w:rsidR="00581921" w:rsidRPr="003A3272" w:rsidRDefault="00581921" w:rsidP="00586745">
                            <w:pPr>
                              <w:spacing w:after="0"/>
                              <w:rPr>
                                <w:sz w:val="22"/>
                                <w:szCs w:val="22"/>
                              </w:rPr>
                            </w:pPr>
                          </w:p>
                          <w:p w:rsidR="00A264B1" w:rsidRPr="003A3272" w:rsidRDefault="00A264B1" w:rsidP="00A264B1">
                            <w:pPr>
                              <w:rPr>
                                <w:b/>
                                <w:sz w:val="22"/>
                                <w:szCs w:val="22"/>
                              </w:rPr>
                            </w:pPr>
                            <w:r w:rsidRPr="003A3272">
                              <w:rPr>
                                <w:b/>
                                <w:sz w:val="22"/>
                                <w:szCs w:val="22"/>
                              </w:rPr>
                              <w:t>Conclusion</w:t>
                            </w:r>
                          </w:p>
                          <w:p w:rsidR="00A264B1" w:rsidRPr="003A3272" w:rsidRDefault="00A264B1" w:rsidP="00493432">
                            <w:pPr>
                              <w:rPr>
                                <w:sz w:val="22"/>
                                <w:szCs w:val="22"/>
                              </w:rPr>
                            </w:pPr>
                            <w:r w:rsidRPr="003A3272">
                              <w:rPr>
                                <w:sz w:val="22"/>
                                <w:szCs w:val="22"/>
                              </w:rPr>
                              <w:t>This Legislative Instrument is compatible with human rights because it advances the protection of human rights.</w:t>
                            </w:r>
                          </w:p>
                          <w:p w:rsidR="00493432" w:rsidRPr="003A3272" w:rsidRDefault="00493432" w:rsidP="00493432">
                            <w:pPr>
                              <w:spacing w:after="0"/>
                              <w:rPr>
                                <w:sz w:val="22"/>
                                <w:szCs w:val="22"/>
                              </w:rPr>
                            </w:pPr>
                          </w:p>
                          <w:p w:rsidR="002E1E9A" w:rsidRPr="003A3272" w:rsidRDefault="00B44F2D" w:rsidP="001D3333">
                            <w:pPr>
                              <w:widowControl w:val="0"/>
                              <w:tabs>
                                <w:tab w:val="left" w:pos="3119"/>
                              </w:tabs>
                              <w:spacing w:after="0" w:line="300" w:lineRule="atLeast"/>
                              <w:jc w:val="center"/>
                              <w:rPr>
                                <w:b/>
                                <w:sz w:val="22"/>
                                <w:szCs w:val="22"/>
                              </w:rPr>
                            </w:pPr>
                            <w:r w:rsidRPr="003A3272">
                              <w:rPr>
                                <w:b/>
                                <w:sz w:val="22"/>
                                <w:szCs w:val="22"/>
                              </w:rPr>
                              <w:t>Julianne Quaine</w:t>
                            </w:r>
                          </w:p>
                          <w:p w:rsidR="002E1E9A" w:rsidRPr="003A3272" w:rsidRDefault="002E1E9A" w:rsidP="001D3333">
                            <w:pPr>
                              <w:widowControl w:val="0"/>
                              <w:tabs>
                                <w:tab w:val="left" w:pos="3119"/>
                              </w:tabs>
                              <w:spacing w:after="0" w:line="300" w:lineRule="atLeast"/>
                              <w:jc w:val="center"/>
                              <w:rPr>
                                <w:b/>
                                <w:sz w:val="22"/>
                                <w:szCs w:val="22"/>
                              </w:rPr>
                            </w:pPr>
                            <w:r w:rsidRPr="003A3272">
                              <w:rPr>
                                <w:b/>
                                <w:sz w:val="22"/>
                                <w:szCs w:val="22"/>
                              </w:rPr>
                              <w:t>Assistant Secretary</w:t>
                            </w:r>
                          </w:p>
                          <w:p w:rsidR="002E1E9A" w:rsidRPr="003A3272" w:rsidRDefault="008940DC" w:rsidP="001D3333">
                            <w:pPr>
                              <w:widowControl w:val="0"/>
                              <w:tabs>
                                <w:tab w:val="left" w:pos="3119"/>
                              </w:tabs>
                              <w:spacing w:after="0" w:line="300" w:lineRule="atLeast"/>
                              <w:jc w:val="center"/>
                              <w:rPr>
                                <w:b/>
                                <w:sz w:val="22"/>
                                <w:szCs w:val="22"/>
                              </w:rPr>
                            </w:pPr>
                            <w:r w:rsidRPr="003A3272">
                              <w:rPr>
                                <w:b/>
                                <w:sz w:val="22"/>
                                <w:szCs w:val="22"/>
                              </w:rPr>
                              <w:t>Pharmacy and Insurance</w:t>
                            </w:r>
                            <w:r w:rsidR="002E1E9A" w:rsidRPr="003A3272">
                              <w:rPr>
                                <w:b/>
                                <w:sz w:val="22"/>
                                <w:szCs w:val="22"/>
                              </w:rPr>
                              <w:t xml:space="preserve"> Branch</w:t>
                            </w:r>
                          </w:p>
                          <w:p w:rsidR="001D584A" w:rsidRDefault="008940DC" w:rsidP="001D3333">
                            <w:pPr>
                              <w:widowControl w:val="0"/>
                              <w:tabs>
                                <w:tab w:val="left" w:pos="3119"/>
                              </w:tabs>
                              <w:spacing w:after="0" w:line="300" w:lineRule="atLeast"/>
                              <w:jc w:val="center"/>
                              <w:rPr>
                                <w:b/>
                                <w:sz w:val="24"/>
                                <w:szCs w:val="24"/>
                              </w:rPr>
                            </w:pPr>
                            <w:r w:rsidRPr="003A3272">
                              <w:rPr>
                                <w:b/>
                                <w:sz w:val="22"/>
                                <w:szCs w:val="22"/>
                              </w:rPr>
                              <w:t>Technology Assessment and Access Divisio</w:t>
                            </w:r>
                            <w:r>
                              <w:rPr>
                                <w:b/>
                                <w:sz w:val="24"/>
                                <w:szCs w:val="24"/>
                              </w:rPr>
                              <w:t>n</w:t>
                            </w:r>
                          </w:p>
                          <w:p w:rsidR="002E1E9A" w:rsidRPr="003A3272" w:rsidRDefault="002E1E9A" w:rsidP="001D3333">
                            <w:pPr>
                              <w:widowControl w:val="0"/>
                              <w:tabs>
                                <w:tab w:val="left" w:pos="3119"/>
                              </w:tabs>
                              <w:spacing w:after="0" w:line="300" w:lineRule="atLeast"/>
                              <w:jc w:val="center"/>
                              <w:rPr>
                                <w:b/>
                                <w:sz w:val="22"/>
                                <w:szCs w:val="22"/>
                              </w:rPr>
                            </w:pPr>
                            <w:r w:rsidRPr="003A3272">
                              <w:rPr>
                                <w:b/>
                                <w:sz w:val="22"/>
                                <w:szCs w:val="22"/>
                              </w:rPr>
                              <w:t>Department of Health</w:t>
                            </w:r>
                          </w:p>
                          <w:p w:rsidR="002E1E9A" w:rsidRDefault="002E1E9A" w:rsidP="002E1E9A"/>
                          <w:p w:rsidR="00A264B1" w:rsidRPr="00ED0106" w:rsidRDefault="00A264B1" w:rsidP="00A264B1">
                            <w:pPr>
                              <w:rPr>
                                <w:color w:val="0070C0"/>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15pt;margin-top:-42.1pt;width:485.25pt;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" strokeweight="6pt">
                <v:stroke linestyle="thickBetweenThin"/>
                <v:textbox inset="5mm,,5mm">
                  <w:txbxContent>
                    <w:p w:rsidR="00A264B1" w:rsidRPr="003A3272" w:rsidRDefault="00A264B1" w:rsidP="00A264B1">
                      <w:pPr>
                        <w:spacing w:before="120"/>
                        <w:jc w:val="center"/>
                        <w:rPr>
                          <w:b/>
                          <w:sz w:val="26"/>
                          <w:szCs w:val="26"/>
                        </w:rPr>
                      </w:pPr>
                      <w:r w:rsidRPr="003A3272">
                        <w:rPr>
                          <w:b/>
                          <w:sz w:val="26"/>
                          <w:szCs w:val="26"/>
                        </w:rPr>
                        <w:t>Statement of Compatibility with Human Rights</w:t>
                      </w:r>
                    </w:p>
                    <w:p w:rsidR="00A264B1" w:rsidRPr="003A3272" w:rsidRDefault="00A264B1" w:rsidP="00A264B1">
                      <w:pPr>
                        <w:spacing w:before="120"/>
                        <w:jc w:val="center"/>
                        <w:rPr>
                          <w:i/>
                          <w:sz w:val="18"/>
                          <w:szCs w:val="18"/>
                        </w:rPr>
                      </w:pPr>
                      <w:r w:rsidRPr="003A3272">
                        <w:rPr>
                          <w:i/>
                          <w:sz w:val="18"/>
                          <w:szCs w:val="18"/>
                        </w:rPr>
                        <w:t>Prepared in accordance with Part 3 of the Human Rights (Parliamentary Scrutiny) Act 2011</w:t>
                      </w:r>
                    </w:p>
                    <w:p w:rsidR="00A264B1" w:rsidRPr="003A3272" w:rsidRDefault="00A264B1" w:rsidP="00586745">
                      <w:pPr>
                        <w:spacing w:after="0"/>
                        <w:jc w:val="center"/>
                        <w:rPr>
                          <w:sz w:val="18"/>
                          <w:szCs w:val="18"/>
                        </w:rPr>
                      </w:pPr>
                    </w:p>
                    <w:p w:rsidR="00A264B1" w:rsidRPr="003A3272" w:rsidRDefault="00A264B1" w:rsidP="00CA2141">
                      <w:pPr>
                        <w:pStyle w:val="Heading4"/>
                        <w:spacing w:after="0"/>
                        <w:rPr>
                          <w:i/>
                          <w:sz w:val="22"/>
                          <w:szCs w:val="22"/>
                        </w:rPr>
                      </w:pPr>
                      <w:r w:rsidRPr="003A3272">
                        <w:rPr>
                          <w:i/>
                          <w:sz w:val="22"/>
                          <w:szCs w:val="22"/>
                        </w:rPr>
                        <w:t>National Health (</w:t>
                      </w:r>
                      <w:r w:rsidR="00273FB0" w:rsidRPr="003A3272">
                        <w:rPr>
                          <w:i/>
                          <w:sz w:val="22"/>
                          <w:szCs w:val="22"/>
                        </w:rPr>
                        <w:t>Growth Hormone</w:t>
                      </w:r>
                      <w:r w:rsidRPr="003A3272">
                        <w:rPr>
                          <w:i/>
                          <w:sz w:val="22"/>
                          <w:szCs w:val="22"/>
                        </w:rPr>
                        <w:t xml:space="preserve"> Program) </w:t>
                      </w:r>
                      <w:r w:rsidR="00B42D68" w:rsidRPr="003A3272">
                        <w:rPr>
                          <w:i/>
                          <w:sz w:val="22"/>
                          <w:szCs w:val="22"/>
                        </w:rPr>
                        <w:t>Special Arrangement</w:t>
                      </w:r>
                      <w:r w:rsidR="00586745" w:rsidRPr="003A3272">
                        <w:rPr>
                          <w:i/>
                          <w:sz w:val="22"/>
                          <w:szCs w:val="22"/>
                        </w:rPr>
                        <w:t xml:space="preserve"> </w:t>
                      </w:r>
                      <w:r w:rsidRPr="003A3272">
                        <w:rPr>
                          <w:i/>
                          <w:sz w:val="22"/>
                          <w:szCs w:val="22"/>
                        </w:rPr>
                        <w:t>Amendment</w:t>
                      </w:r>
                      <w:r w:rsidR="00586745" w:rsidRPr="003A3272">
                        <w:rPr>
                          <w:i/>
                          <w:sz w:val="22"/>
                          <w:szCs w:val="22"/>
                        </w:rPr>
                        <w:t> </w:t>
                      </w:r>
                      <w:r w:rsidRPr="003A3272">
                        <w:rPr>
                          <w:i/>
                          <w:sz w:val="22"/>
                          <w:szCs w:val="22"/>
                        </w:rPr>
                        <w:t>Instrument 201</w:t>
                      </w:r>
                      <w:r w:rsidR="00CA2141" w:rsidRPr="003A3272">
                        <w:rPr>
                          <w:i/>
                          <w:sz w:val="22"/>
                          <w:szCs w:val="22"/>
                        </w:rPr>
                        <w:t xml:space="preserve">7 </w:t>
                      </w:r>
                      <w:r w:rsidRPr="003A3272">
                        <w:rPr>
                          <w:i/>
                          <w:sz w:val="22"/>
                          <w:szCs w:val="22"/>
                        </w:rPr>
                        <w:t>(No.</w:t>
                      </w:r>
                      <w:r w:rsidR="00973B93" w:rsidRPr="003A3272">
                        <w:rPr>
                          <w:i/>
                          <w:sz w:val="22"/>
                          <w:szCs w:val="22"/>
                        </w:rPr>
                        <w:t xml:space="preserve"> </w:t>
                      </w:r>
                      <w:r w:rsidR="00480529" w:rsidRPr="003A3272">
                        <w:rPr>
                          <w:i/>
                          <w:sz w:val="22"/>
                          <w:szCs w:val="22"/>
                        </w:rPr>
                        <w:t>2</w:t>
                      </w:r>
                      <w:r w:rsidRPr="003A3272">
                        <w:rPr>
                          <w:i/>
                          <w:sz w:val="22"/>
                          <w:szCs w:val="22"/>
                        </w:rPr>
                        <w:t>)</w:t>
                      </w:r>
                    </w:p>
                    <w:p w:rsidR="00CA2141" w:rsidRPr="003A3272" w:rsidRDefault="00CA2141" w:rsidP="00CA2141">
                      <w:pPr>
                        <w:pStyle w:val="Heading4"/>
                        <w:spacing w:after="0"/>
                        <w:rPr>
                          <w:b w:val="0"/>
                          <w:sz w:val="22"/>
                          <w:szCs w:val="22"/>
                        </w:rPr>
                      </w:pPr>
                    </w:p>
                    <w:p w:rsidR="00A264B1" w:rsidRPr="003A3272" w:rsidRDefault="00A264B1" w:rsidP="00C26799">
                      <w:pPr>
                        <w:spacing w:after="0"/>
                        <w:jc w:val="center"/>
                        <w:rPr>
                          <w:sz w:val="22"/>
                          <w:szCs w:val="22"/>
                        </w:rPr>
                      </w:pPr>
                      <w:r w:rsidRPr="003A3272">
                        <w:rPr>
                          <w:sz w:val="22"/>
                          <w:szCs w:val="22"/>
                        </w:rPr>
                        <w:t>This Legislative Instrument is compatible with the human rights and freedoms recognised or declared in the international instruments listed in section 3 of the</w:t>
                      </w:r>
                      <w:r w:rsidR="00C26799" w:rsidRPr="003A3272">
                        <w:rPr>
                          <w:sz w:val="22"/>
                          <w:szCs w:val="22"/>
                        </w:rPr>
                        <w:t xml:space="preserve"> </w:t>
                      </w:r>
                      <w:r w:rsidRPr="003A3272">
                        <w:rPr>
                          <w:i/>
                          <w:sz w:val="22"/>
                          <w:szCs w:val="22"/>
                        </w:rPr>
                        <w:t>Human</w:t>
                      </w:r>
                      <w:r w:rsidR="00C26799" w:rsidRPr="003A3272">
                        <w:rPr>
                          <w:i/>
                          <w:sz w:val="22"/>
                          <w:szCs w:val="22"/>
                        </w:rPr>
                        <w:t> </w:t>
                      </w:r>
                      <w:r w:rsidRPr="003A3272">
                        <w:rPr>
                          <w:i/>
                          <w:sz w:val="22"/>
                          <w:szCs w:val="22"/>
                        </w:rPr>
                        <w:t>Rights</w:t>
                      </w:r>
                      <w:r w:rsidR="00C26799" w:rsidRPr="003A3272">
                        <w:rPr>
                          <w:i/>
                          <w:sz w:val="22"/>
                          <w:szCs w:val="22"/>
                        </w:rPr>
                        <w:t> </w:t>
                      </w:r>
                      <w:r w:rsidRPr="003A3272">
                        <w:rPr>
                          <w:i/>
                          <w:sz w:val="22"/>
                          <w:szCs w:val="22"/>
                        </w:rPr>
                        <w:t>(Parliamentary Scrutiny) Act 2011</w:t>
                      </w:r>
                      <w:r w:rsidRPr="003A3272">
                        <w:rPr>
                          <w:sz w:val="22"/>
                          <w:szCs w:val="22"/>
                        </w:rPr>
                        <w:t>.</w:t>
                      </w:r>
                    </w:p>
                    <w:p w:rsidR="00A264B1" w:rsidRPr="003A3272" w:rsidRDefault="00A264B1" w:rsidP="00586745">
                      <w:pPr>
                        <w:spacing w:after="0"/>
                        <w:jc w:val="center"/>
                        <w:rPr>
                          <w:sz w:val="22"/>
                          <w:szCs w:val="22"/>
                        </w:rPr>
                      </w:pPr>
                    </w:p>
                    <w:p w:rsidR="00A264B1" w:rsidRPr="003A3272" w:rsidRDefault="00A264B1" w:rsidP="005258CC">
                      <w:pPr>
                        <w:rPr>
                          <w:b/>
                          <w:sz w:val="22"/>
                          <w:szCs w:val="22"/>
                        </w:rPr>
                      </w:pPr>
                      <w:r w:rsidRPr="003A3272">
                        <w:rPr>
                          <w:b/>
                          <w:sz w:val="22"/>
                          <w:szCs w:val="22"/>
                        </w:rPr>
                        <w:t>Overview of the Legislative Instrument</w:t>
                      </w:r>
                    </w:p>
                    <w:p w:rsidR="00273FB0" w:rsidRPr="003A3272" w:rsidRDefault="00273FB0" w:rsidP="00273FB0">
                      <w:pPr>
                        <w:rPr>
                          <w:sz w:val="22"/>
                          <w:szCs w:val="22"/>
                        </w:rPr>
                      </w:pPr>
                      <w:r w:rsidRPr="003A3272">
                        <w:rPr>
                          <w:sz w:val="22"/>
                          <w:szCs w:val="22"/>
                        </w:rPr>
                        <w:t xml:space="preserve">The purpose of this Legislative Instrument, made under subsection 100(2) of the </w:t>
                      </w:r>
                      <w:r w:rsidRPr="003A3272">
                        <w:rPr>
                          <w:i/>
                          <w:sz w:val="22"/>
                          <w:szCs w:val="22"/>
                        </w:rPr>
                        <w:t>National Health Act 1953</w:t>
                      </w:r>
                      <w:r w:rsidRPr="003A3272">
                        <w:rPr>
                          <w:sz w:val="22"/>
                          <w:szCs w:val="22"/>
                        </w:rPr>
                        <w:t xml:space="preserve">, is to amend the </w:t>
                      </w:r>
                      <w:r w:rsidRPr="003A3272">
                        <w:rPr>
                          <w:i/>
                          <w:sz w:val="22"/>
                          <w:szCs w:val="22"/>
                        </w:rPr>
                        <w:t>National Health (Growth Hormone Program) Special Arrangement 2015</w:t>
                      </w:r>
                      <w:r w:rsidRPr="003A3272">
                        <w:rPr>
                          <w:sz w:val="22"/>
                          <w:szCs w:val="22"/>
                        </w:rPr>
                        <w:t xml:space="preserve"> (PB 85 of 2015) (the Special Arrangement) to make changes relating to</w:t>
                      </w:r>
                      <w:r w:rsidR="00642774" w:rsidRPr="003A3272">
                        <w:rPr>
                          <w:sz w:val="22"/>
                          <w:szCs w:val="22"/>
                        </w:rPr>
                        <w:t xml:space="preserve"> the circumstances in which growth hormone can be prescribed as a pharmaceutical benefit</w:t>
                      </w:r>
                      <w:r w:rsidRPr="003A3272">
                        <w:rPr>
                          <w:sz w:val="22"/>
                          <w:szCs w:val="22"/>
                        </w:rPr>
                        <w:t xml:space="preserve"> </w:t>
                      </w:r>
                      <w:r w:rsidR="00642774" w:rsidRPr="003A3272">
                        <w:rPr>
                          <w:sz w:val="22"/>
                          <w:szCs w:val="22"/>
                        </w:rPr>
                        <w:t xml:space="preserve">under </w:t>
                      </w:r>
                      <w:r w:rsidRPr="003A3272">
                        <w:rPr>
                          <w:sz w:val="22"/>
                          <w:szCs w:val="22"/>
                        </w:rPr>
                        <w:t xml:space="preserve">the </w:t>
                      </w:r>
                      <w:r w:rsidR="00586745" w:rsidRPr="003A3272">
                        <w:rPr>
                          <w:sz w:val="22"/>
                          <w:szCs w:val="22"/>
                        </w:rPr>
                        <w:t xml:space="preserve">Pharmaceutical Benefits Scheme (PBS) </w:t>
                      </w:r>
                      <w:r w:rsidRPr="003A3272">
                        <w:rPr>
                          <w:sz w:val="22"/>
                          <w:szCs w:val="22"/>
                        </w:rPr>
                        <w:t>Growth Hormone Program.</w:t>
                      </w:r>
                    </w:p>
                    <w:p w:rsidR="00A264B1" w:rsidRPr="003A3272" w:rsidRDefault="00A264B1" w:rsidP="00273FB0">
                      <w:pPr>
                        <w:rPr>
                          <w:sz w:val="22"/>
                          <w:szCs w:val="22"/>
                        </w:rPr>
                      </w:pPr>
                      <w:r w:rsidRPr="003A3272">
                        <w:rPr>
                          <w:sz w:val="22"/>
                          <w:szCs w:val="22"/>
                        </w:rPr>
                        <w:t>The Special Arrangement ensure</w:t>
                      </w:r>
                      <w:r w:rsidR="00642774" w:rsidRPr="003A3272">
                        <w:rPr>
                          <w:sz w:val="22"/>
                          <w:szCs w:val="22"/>
                        </w:rPr>
                        <w:t>s</w:t>
                      </w:r>
                      <w:r w:rsidRPr="003A3272">
                        <w:rPr>
                          <w:sz w:val="22"/>
                          <w:szCs w:val="22"/>
                        </w:rPr>
                        <w:t xml:space="preserve"> that an adequate supply of pharmaceutical benefits is available for patients who require treatment</w:t>
                      </w:r>
                      <w:r w:rsidR="00273FB0" w:rsidRPr="003A3272">
                        <w:rPr>
                          <w:sz w:val="22"/>
                          <w:szCs w:val="22"/>
                        </w:rPr>
                        <w:t xml:space="preserve"> with growth hormone</w:t>
                      </w:r>
                      <w:r w:rsidRPr="003A3272">
                        <w:rPr>
                          <w:sz w:val="22"/>
                          <w:szCs w:val="22"/>
                        </w:rPr>
                        <w:t>.</w:t>
                      </w:r>
                      <w:r w:rsidR="001C08C3" w:rsidRPr="003A3272">
                        <w:rPr>
                          <w:sz w:val="22"/>
                          <w:szCs w:val="22"/>
                        </w:rPr>
                        <w:t xml:space="preserve"> </w:t>
                      </w:r>
                      <w:r w:rsidR="00A32146" w:rsidRPr="003A3272">
                        <w:rPr>
                          <w:sz w:val="22"/>
                          <w:szCs w:val="22"/>
                        </w:rPr>
                        <w:t xml:space="preserve"> </w:t>
                      </w:r>
                      <w:r w:rsidRPr="003A3272">
                        <w:rPr>
                          <w:sz w:val="22"/>
                          <w:szCs w:val="22"/>
                        </w:rPr>
                        <w:t>Restrictions on the provision of th</w:t>
                      </w:r>
                      <w:r w:rsidR="009E0A79" w:rsidRPr="003A3272">
                        <w:rPr>
                          <w:sz w:val="22"/>
                          <w:szCs w:val="22"/>
                        </w:rPr>
                        <w:t>is</w:t>
                      </w:r>
                      <w:r w:rsidRPr="003A3272">
                        <w:rPr>
                          <w:sz w:val="22"/>
                          <w:szCs w:val="22"/>
                        </w:rPr>
                        <w:t xml:space="preserve"> treatment mean that these pharmaceutical benefits can more conveniently or efficiently be supplied under a special arrangement.</w:t>
                      </w:r>
                    </w:p>
                    <w:p w:rsidR="00586745" w:rsidRPr="003A3272" w:rsidRDefault="008B67E3" w:rsidP="00273FB0">
                      <w:pPr>
                        <w:rPr>
                          <w:sz w:val="22"/>
                          <w:szCs w:val="22"/>
                        </w:rPr>
                      </w:pPr>
                      <w:r w:rsidRPr="003A3272">
                        <w:rPr>
                          <w:sz w:val="22"/>
                          <w:szCs w:val="22"/>
                        </w:rPr>
                        <w:t>This Instrument</w:t>
                      </w:r>
                      <w:r w:rsidR="00586745" w:rsidRPr="003A3272">
                        <w:rPr>
                          <w:sz w:val="22"/>
                          <w:szCs w:val="22"/>
                        </w:rPr>
                        <w:t>:</w:t>
                      </w:r>
                    </w:p>
                    <w:p w:rsidR="00586745" w:rsidRPr="003A3272" w:rsidRDefault="00586745" w:rsidP="00586745">
                      <w:pPr>
                        <w:pStyle w:val="ListParagraph"/>
                        <w:numPr>
                          <w:ilvl w:val="0"/>
                          <w:numId w:val="13"/>
                        </w:numPr>
                        <w:rPr>
                          <w:rFonts w:ascii="Times New Roman" w:hAnsi="Times New Roman"/>
                        </w:rPr>
                      </w:pPr>
                      <w:r w:rsidRPr="003A3272">
                        <w:rPr>
                          <w:rFonts w:ascii="Times New Roman" w:hAnsi="Times New Roman"/>
                        </w:rPr>
                        <w:t>allows the calculation of ideal body weight (IBW) (required for assessment of eligibility and dosage for treatment with PBS-subsidised growth hormone) for patients with Prader-Willi Syndrome (PWS) whose height is greater than 176.8 centimetres (males) or 163.3 centimetres (females); and</w:t>
                      </w:r>
                    </w:p>
                    <w:p w:rsidR="00581921" w:rsidRPr="003A3272" w:rsidRDefault="00586745" w:rsidP="00493432">
                      <w:pPr>
                        <w:pStyle w:val="ListParagraph"/>
                        <w:numPr>
                          <w:ilvl w:val="0"/>
                          <w:numId w:val="13"/>
                        </w:numPr>
                        <w:spacing w:before="120"/>
                        <w:ind w:left="714" w:hanging="357"/>
                        <w:rPr>
                          <w:rFonts w:ascii="Times New Roman" w:hAnsi="Times New Roman"/>
                        </w:rPr>
                      </w:pPr>
                      <w:r w:rsidRPr="003A3272">
                        <w:rPr>
                          <w:rFonts w:ascii="Times New Roman" w:hAnsi="Times New Roman"/>
                        </w:rPr>
                        <w:t>removes the requirement for prescribers to provide an original PBS Authority prescription when applying for authority to prescribe PBS-subsidised growth hormone through the Department of Human Services’ Online PBS Authorities system.</w:t>
                      </w:r>
                      <w:r w:rsidR="00455A53" w:rsidRPr="003A3272">
                        <w:rPr>
                          <w:rFonts w:ascii="Times New Roman" w:hAnsi="Times New Roman"/>
                        </w:rPr>
                        <w:t xml:space="preserve">  Instead, prescribers will obtain authority by providing written details of the prescription to the Chief Executive Medicare, electronically and in a form approved by the Chief Executive Medicare.  The Chief Executive Medicare will also be able to provide authorisation of the prescription by electronic communication to the prescriber.</w:t>
                      </w:r>
                    </w:p>
                    <w:p w:rsidR="00581921" w:rsidRPr="003A3272" w:rsidRDefault="00581921" w:rsidP="00586745">
                      <w:pPr>
                        <w:spacing w:after="0"/>
                        <w:rPr>
                          <w:b/>
                          <w:sz w:val="22"/>
                          <w:szCs w:val="22"/>
                        </w:rPr>
                      </w:pPr>
                    </w:p>
                    <w:p w:rsidR="00A264B1" w:rsidRPr="003A3272" w:rsidRDefault="00A264B1" w:rsidP="005258CC">
                      <w:pPr>
                        <w:rPr>
                          <w:b/>
                          <w:sz w:val="22"/>
                          <w:szCs w:val="22"/>
                        </w:rPr>
                      </w:pPr>
                      <w:r w:rsidRPr="003A3272">
                        <w:rPr>
                          <w:b/>
                          <w:sz w:val="22"/>
                          <w:szCs w:val="22"/>
                        </w:rPr>
                        <w:t xml:space="preserve">Human </w:t>
                      </w:r>
                      <w:r w:rsidR="001D584A" w:rsidRPr="003A3272">
                        <w:rPr>
                          <w:b/>
                          <w:sz w:val="22"/>
                          <w:szCs w:val="22"/>
                        </w:rPr>
                        <w:t>R</w:t>
                      </w:r>
                      <w:r w:rsidRPr="003A3272">
                        <w:rPr>
                          <w:b/>
                          <w:sz w:val="22"/>
                          <w:szCs w:val="22"/>
                        </w:rPr>
                        <w:t xml:space="preserve">ights </w:t>
                      </w:r>
                      <w:r w:rsidR="001D584A" w:rsidRPr="003A3272">
                        <w:rPr>
                          <w:b/>
                          <w:sz w:val="22"/>
                          <w:szCs w:val="22"/>
                        </w:rPr>
                        <w:t>I</w:t>
                      </w:r>
                      <w:r w:rsidRPr="003A3272">
                        <w:rPr>
                          <w:b/>
                          <w:sz w:val="22"/>
                          <w:szCs w:val="22"/>
                        </w:rPr>
                        <w:t>mplications</w:t>
                      </w:r>
                    </w:p>
                    <w:p w:rsidR="00A264B1" w:rsidRPr="003A3272" w:rsidRDefault="00A264B1" w:rsidP="00273FB0">
                      <w:pPr>
                        <w:rPr>
                          <w:sz w:val="22"/>
                          <w:szCs w:val="22"/>
                        </w:rPr>
                      </w:pPr>
                      <w:r w:rsidRPr="003A3272">
                        <w:rPr>
                          <w:sz w:val="22"/>
                          <w:szCs w:val="22"/>
                        </w:rPr>
                        <w:t xml:space="preserve">This </w:t>
                      </w:r>
                      <w:r w:rsidR="001D584A" w:rsidRPr="003A3272">
                        <w:rPr>
                          <w:sz w:val="22"/>
                          <w:szCs w:val="22"/>
                        </w:rPr>
                        <w:t>L</w:t>
                      </w:r>
                      <w:r w:rsidRPr="003A3272">
                        <w:rPr>
                          <w:sz w:val="22"/>
                          <w:szCs w:val="22"/>
                        </w:rPr>
                        <w:t xml:space="preserve">egislative </w:t>
                      </w:r>
                      <w:r w:rsidR="001D584A" w:rsidRPr="003A3272">
                        <w:rPr>
                          <w:sz w:val="22"/>
                          <w:szCs w:val="22"/>
                        </w:rPr>
                        <w:t>I</w:t>
                      </w:r>
                      <w:r w:rsidRPr="003A3272">
                        <w:rPr>
                          <w:sz w:val="22"/>
                          <w:szCs w:val="22"/>
                        </w:rPr>
                        <w:t>nstrument engages Article 2 and 12 of the International Covenant on Economic, Social and Cultural Rights (ICESCR) by assisting with the progressive realisation by all appropriate means of the right of everyone to the enjoyment of the highest attainable standard</w:t>
                      </w:r>
                      <w:r w:rsidR="00273FB0" w:rsidRPr="003A3272">
                        <w:rPr>
                          <w:sz w:val="22"/>
                          <w:szCs w:val="22"/>
                        </w:rPr>
                        <w:t xml:space="preserve"> of physical and mental health.</w:t>
                      </w:r>
                    </w:p>
                    <w:p w:rsidR="00A264B1" w:rsidRPr="003A3272" w:rsidRDefault="003A3272" w:rsidP="00493432">
                      <w:pPr>
                        <w:spacing w:after="0"/>
                        <w:rPr>
                          <w:sz w:val="22"/>
                          <w:szCs w:val="22"/>
                        </w:rPr>
                      </w:pPr>
                      <w:r w:rsidRPr="003A3272">
                        <w:rPr>
                          <w:sz w:val="22"/>
                          <w:szCs w:val="22"/>
                        </w:rPr>
                        <w:t>The changes made by this Instrument</w:t>
                      </w:r>
                      <w:r w:rsidR="00A264B1" w:rsidRPr="003A3272">
                        <w:rPr>
                          <w:sz w:val="22"/>
                          <w:szCs w:val="22"/>
                        </w:rPr>
                        <w:t xml:space="preserve"> assist with</w:t>
                      </w:r>
                      <w:r w:rsidR="001D584A" w:rsidRPr="003A3272">
                        <w:rPr>
                          <w:sz w:val="22"/>
                          <w:szCs w:val="22"/>
                        </w:rPr>
                        <w:t xml:space="preserve"> the</w:t>
                      </w:r>
                      <w:r w:rsidR="00A264B1" w:rsidRPr="003A3272">
                        <w:rPr>
                          <w:sz w:val="22"/>
                          <w:szCs w:val="22"/>
                        </w:rPr>
                        <w:t xml:space="preserve"> advancement of this human right by</w:t>
                      </w:r>
                      <w:r w:rsidR="005258CC">
                        <w:rPr>
                          <w:sz w:val="22"/>
                          <w:szCs w:val="22"/>
                        </w:rPr>
                        <w:t xml:space="preserve"> </w:t>
                      </w:r>
                      <w:r w:rsidR="00390AFA">
                        <w:rPr>
                          <w:sz w:val="22"/>
                          <w:szCs w:val="22"/>
                        </w:rPr>
                        <w:t xml:space="preserve">enabling </w:t>
                      </w:r>
                      <w:r w:rsidR="00493432">
                        <w:rPr>
                          <w:sz w:val="22"/>
                          <w:szCs w:val="22"/>
                        </w:rPr>
                        <w:t xml:space="preserve">appropriate </w:t>
                      </w:r>
                      <w:r w:rsidR="00390AFA">
                        <w:rPr>
                          <w:sz w:val="22"/>
                          <w:szCs w:val="22"/>
                        </w:rPr>
                        <w:t>access to PBS-subsidised growth hormone for PWS patients</w:t>
                      </w:r>
                      <w:r w:rsidR="00493432">
                        <w:rPr>
                          <w:sz w:val="22"/>
                          <w:szCs w:val="22"/>
                        </w:rPr>
                        <w:t xml:space="preserve"> whose height is greater than 176.8 centimetres (males) or 163.3 centimetres (females)</w:t>
                      </w:r>
                      <w:r w:rsidR="005258CC">
                        <w:rPr>
                          <w:sz w:val="22"/>
                          <w:szCs w:val="22"/>
                        </w:rPr>
                        <w:t xml:space="preserve">; and </w:t>
                      </w:r>
                      <w:r w:rsidR="00B9525F">
                        <w:rPr>
                          <w:sz w:val="22"/>
                          <w:szCs w:val="22"/>
                        </w:rPr>
                        <w:t xml:space="preserve">by </w:t>
                      </w:r>
                      <w:r w:rsidR="005258CC">
                        <w:rPr>
                          <w:sz w:val="22"/>
                          <w:szCs w:val="22"/>
                        </w:rPr>
                        <w:t xml:space="preserve">improving </w:t>
                      </w:r>
                      <w:r w:rsidR="00390AFA">
                        <w:rPr>
                          <w:sz w:val="22"/>
                          <w:szCs w:val="22"/>
                        </w:rPr>
                        <w:t xml:space="preserve">general </w:t>
                      </w:r>
                      <w:r w:rsidR="005258CC">
                        <w:rPr>
                          <w:sz w:val="22"/>
                          <w:szCs w:val="22"/>
                        </w:rPr>
                        <w:t xml:space="preserve">ease of access to </w:t>
                      </w:r>
                      <w:r w:rsidR="00390AFA">
                        <w:rPr>
                          <w:sz w:val="22"/>
                          <w:szCs w:val="22"/>
                        </w:rPr>
                        <w:t>PBS-subsidised growth hormone</w:t>
                      </w:r>
                      <w:r w:rsidR="005258CC">
                        <w:rPr>
                          <w:sz w:val="22"/>
                          <w:szCs w:val="22"/>
                        </w:rPr>
                        <w:t xml:space="preserve"> by simplifying administrative procedures for prescribing</w:t>
                      </w:r>
                      <w:r w:rsidR="00A264B1" w:rsidRPr="003A3272">
                        <w:rPr>
                          <w:sz w:val="22"/>
                          <w:szCs w:val="22"/>
                        </w:rPr>
                        <w:t>.</w:t>
                      </w:r>
                      <w:bookmarkStart w:id="1" w:name="_GoBack"/>
                    </w:p>
                    <w:bookmarkEnd w:id="1"/>
                    <w:p w:rsidR="00581921" w:rsidRPr="003A3272" w:rsidRDefault="00581921" w:rsidP="00586745">
                      <w:pPr>
                        <w:spacing w:after="0"/>
                        <w:rPr>
                          <w:sz w:val="22"/>
                          <w:szCs w:val="22"/>
                        </w:rPr>
                      </w:pPr>
                    </w:p>
                    <w:p w:rsidR="00A264B1" w:rsidRPr="003A3272" w:rsidRDefault="00A264B1" w:rsidP="00A264B1">
                      <w:pPr>
                        <w:rPr>
                          <w:b/>
                          <w:sz w:val="22"/>
                          <w:szCs w:val="22"/>
                        </w:rPr>
                      </w:pPr>
                      <w:r w:rsidRPr="003A3272">
                        <w:rPr>
                          <w:b/>
                          <w:sz w:val="22"/>
                          <w:szCs w:val="22"/>
                        </w:rPr>
                        <w:t>Conclusion</w:t>
                      </w:r>
                    </w:p>
                    <w:p w:rsidR="00A264B1" w:rsidRPr="003A3272" w:rsidRDefault="00A264B1" w:rsidP="00493432">
                      <w:pPr>
                        <w:rPr>
                          <w:sz w:val="22"/>
                          <w:szCs w:val="22"/>
                        </w:rPr>
                      </w:pPr>
                      <w:r w:rsidRPr="003A3272">
                        <w:rPr>
                          <w:sz w:val="22"/>
                          <w:szCs w:val="22"/>
                        </w:rPr>
                        <w:t>This Legislative Instrument is compatible with human rights because it advances the protection of human rights.</w:t>
                      </w:r>
                    </w:p>
                    <w:p w:rsidR="00493432" w:rsidRPr="003A3272" w:rsidRDefault="00493432" w:rsidP="00493432">
                      <w:pPr>
                        <w:spacing w:after="0"/>
                        <w:rPr>
                          <w:sz w:val="22"/>
                          <w:szCs w:val="22"/>
                        </w:rPr>
                      </w:pPr>
                    </w:p>
                    <w:p w:rsidR="002E1E9A" w:rsidRPr="003A3272" w:rsidRDefault="00B44F2D" w:rsidP="001D3333">
                      <w:pPr>
                        <w:widowControl w:val="0"/>
                        <w:tabs>
                          <w:tab w:val="left" w:pos="3119"/>
                        </w:tabs>
                        <w:spacing w:after="0" w:line="300" w:lineRule="atLeast"/>
                        <w:jc w:val="center"/>
                        <w:rPr>
                          <w:b/>
                          <w:sz w:val="22"/>
                          <w:szCs w:val="22"/>
                        </w:rPr>
                      </w:pPr>
                      <w:r w:rsidRPr="003A3272">
                        <w:rPr>
                          <w:b/>
                          <w:sz w:val="22"/>
                          <w:szCs w:val="22"/>
                        </w:rPr>
                        <w:t>Julianne Quaine</w:t>
                      </w:r>
                    </w:p>
                    <w:p w:rsidR="002E1E9A" w:rsidRPr="003A3272" w:rsidRDefault="002E1E9A" w:rsidP="001D3333">
                      <w:pPr>
                        <w:widowControl w:val="0"/>
                        <w:tabs>
                          <w:tab w:val="left" w:pos="3119"/>
                        </w:tabs>
                        <w:spacing w:after="0" w:line="300" w:lineRule="atLeast"/>
                        <w:jc w:val="center"/>
                        <w:rPr>
                          <w:b/>
                          <w:sz w:val="22"/>
                          <w:szCs w:val="22"/>
                        </w:rPr>
                      </w:pPr>
                      <w:r w:rsidRPr="003A3272">
                        <w:rPr>
                          <w:b/>
                          <w:sz w:val="22"/>
                          <w:szCs w:val="22"/>
                        </w:rPr>
                        <w:t>Assistant Secretary</w:t>
                      </w:r>
                    </w:p>
                    <w:p w:rsidR="002E1E9A" w:rsidRPr="003A3272" w:rsidRDefault="008940DC" w:rsidP="001D3333">
                      <w:pPr>
                        <w:widowControl w:val="0"/>
                        <w:tabs>
                          <w:tab w:val="left" w:pos="3119"/>
                        </w:tabs>
                        <w:spacing w:after="0" w:line="300" w:lineRule="atLeast"/>
                        <w:jc w:val="center"/>
                        <w:rPr>
                          <w:b/>
                          <w:sz w:val="22"/>
                          <w:szCs w:val="22"/>
                        </w:rPr>
                      </w:pPr>
                      <w:r w:rsidRPr="003A3272">
                        <w:rPr>
                          <w:b/>
                          <w:sz w:val="22"/>
                          <w:szCs w:val="22"/>
                        </w:rPr>
                        <w:t>Pharmacy and Insurance</w:t>
                      </w:r>
                      <w:r w:rsidR="002E1E9A" w:rsidRPr="003A3272">
                        <w:rPr>
                          <w:b/>
                          <w:sz w:val="22"/>
                          <w:szCs w:val="22"/>
                        </w:rPr>
                        <w:t xml:space="preserve"> Branch</w:t>
                      </w:r>
                    </w:p>
                    <w:p w:rsidR="001D584A" w:rsidRDefault="008940DC" w:rsidP="001D3333">
                      <w:pPr>
                        <w:widowControl w:val="0"/>
                        <w:tabs>
                          <w:tab w:val="left" w:pos="3119"/>
                        </w:tabs>
                        <w:spacing w:after="0" w:line="300" w:lineRule="atLeast"/>
                        <w:jc w:val="center"/>
                        <w:rPr>
                          <w:b/>
                          <w:sz w:val="24"/>
                          <w:szCs w:val="24"/>
                        </w:rPr>
                      </w:pPr>
                      <w:r w:rsidRPr="003A3272">
                        <w:rPr>
                          <w:b/>
                          <w:sz w:val="22"/>
                          <w:szCs w:val="22"/>
                        </w:rPr>
                        <w:t>Technology Assessment and Access Divisio</w:t>
                      </w:r>
                      <w:r>
                        <w:rPr>
                          <w:b/>
                          <w:sz w:val="24"/>
                          <w:szCs w:val="24"/>
                        </w:rPr>
                        <w:t>n</w:t>
                      </w:r>
                    </w:p>
                    <w:p w:rsidR="002E1E9A" w:rsidRPr="003A3272" w:rsidRDefault="002E1E9A" w:rsidP="001D3333">
                      <w:pPr>
                        <w:widowControl w:val="0"/>
                        <w:tabs>
                          <w:tab w:val="left" w:pos="3119"/>
                        </w:tabs>
                        <w:spacing w:after="0" w:line="300" w:lineRule="atLeast"/>
                        <w:jc w:val="center"/>
                        <w:rPr>
                          <w:b/>
                          <w:sz w:val="22"/>
                          <w:szCs w:val="22"/>
                        </w:rPr>
                      </w:pPr>
                      <w:r w:rsidRPr="003A3272">
                        <w:rPr>
                          <w:b/>
                          <w:sz w:val="22"/>
                          <w:szCs w:val="22"/>
                        </w:rPr>
                        <w:t>Department of Health</w:t>
                      </w:r>
                    </w:p>
                    <w:p w:rsidR="002E1E9A" w:rsidRDefault="002E1E9A" w:rsidP="002E1E9A"/>
                    <w:p w:rsidR="00A264B1" w:rsidRPr="00ED0106" w:rsidRDefault="00A264B1" w:rsidP="00A264B1">
                      <w:pPr>
                        <w:rPr>
                          <w:color w:val="0070C0"/>
                          <w:szCs w:val="24"/>
                        </w:rPr>
                      </w:pPr>
                    </w:p>
                  </w:txbxContent>
                </v:textbox>
              </v:rect>
            </w:pict>
          </mc:Fallback>
        </mc:AlternateContent>
      </w:r>
    </w:p>
    <w:p w:rsidR="00F3611D" w:rsidRDefault="00F3611D" w:rsidP="005713BA">
      <w:pPr>
        <w:jc w:val="left"/>
        <w:rPr>
          <w:sz w:val="24"/>
          <w:szCs w:val="24"/>
        </w:rPr>
      </w:pPr>
    </w:p>
    <w:p w:rsidR="00E92FAD" w:rsidRDefault="00E92FAD" w:rsidP="005713BA">
      <w:pPr>
        <w:jc w:val="left"/>
        <w:rPr>
          <w:sz w:val="24"/>
          <w:szCs w:val="24"/>
        </w:rPr>
      </w:pPr>
    </w:p>
    <w:p w:rsidR="00E92FAD" w:rsidRPr="00790CFC" w:rsidRDefault="00E92FAD" w:rsidP="005713BA">
      <w:pPr>
        <w:jc w:val="left"/>
        <w:rPr>
          <w:sz w:val="24"/>
          <w:szCs w:val="24"/>
        </w:rPr>
      </w:pPr>
    </w:p>
    <w:sectPr w:rsidR="00E92FAD" w:rsidRPr="00790CFC" w:rsidSect="005517D6">
      <w:headerReference w:type="default" r:id="rId10"/>
      <w:footerReference w:type="even" r:id="rId11"/>
      <w:footerReference w:type="default" r:id="rId12"/>
      <w:footerReference w:type="first" r:id="rId13"/>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A8" w:rsidRDefault="002D5CA8">
      <w:r>
        <w:separator/>
      </w:r>
    </w:p>
  </w:endnote>
  <w:endnote w:type="continuationSeparator" w:id="0">
    <w:p w:rsidR="002D5CA8" w:rsidRDefault="002D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A93B52">
    <w:pPr>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A93B52">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A93B5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A8" w:rsidRDefault="002D5CA8">
      <w:r>
        <w:separator/>
      </w:r>
    </w:p>
  </w:footnote>
  <w:footnote w:type="continuationSeparator" w:id="0">
    <w:p w:rsidR="002D5CA8" w:rsidRDefault="002D5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2" w:rsidRDefault="00A93B52">
    <w:pPr>
      <w:pStyle w:val="Header"/>
      <w:jc w:val="center"/>
    </w:pPr>
    <w:r>
      <w:fldChar w:fldCharType="begin"/>
    </w:r>
    <w:r>
      <w:instrText xml:space="preserve"> PAGE   \* MERGEFORMAT </w:instrText>
    </w:r>
    <w:r>
      <w:fldChar w:fldCharType="separate"/>
    </w:r>
    <w:r w:rsidR="00BC5869">
      <w:rPr>
        <w:noProof/>
      </w:rPr>
      <w:t>2</w:t>
    </w:r>
    <w:r>
      <w:rPr>
        <w:noProof/>
      </w:rPr>
      <w:fldChar w:fldCharType="end"/>
    </w:r>
  </w:p>
  <w:p w:rsidR="00A93B52" w:rsidRDefault="00A93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C2405"/>
    <w:multiLevelType w:val="hybridMultilevel"/>
    <w:tmpl w:val="45FE969E"/>
    <w:lvl w:ilvl="0" w:tplc="A2702E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74263C"/>
    <w:multiLevelType w:val="hybridMultilevel"/>
    <w:tmpl w:val="F25EC5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56B08DC"/>
    <w:multiLevelType w:val="hybridMultilevel"/>
    <w:tmpl w:val="1616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9A0222"/>
    <w:multiLevelType w:val="hybridMultilevel"/>
    <w:tmpl w:val="15107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369E0EB6"/>
    <w:multiLevelType w:val="hybridMultilevel"/>
    <w:tmpl w:val="138A00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90B1CAB"/>
    <w:multiLevelType w:val="hybridMultilevel"/>
    <w:tmpl w:val="2294D50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nsid w:val="3A465718"/>
    <w:multiLevelType w:val="hybridMultilevel"/>
    <w:tmpl w:val="18A6E1A6"/>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20353E"/>
    <w:multiLevelType w:val="hybridMultilevel"/>
    <w:tmpl w:val="93325782"/>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12FF0"/>
    <w:multiLevelType w:val="hybridMultilevel"/>
    <w:tmpl w:val="9BD023C8"/>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9667948"/>
    <w:multiLevelType w:val="hybridMultilevel"/>
    <w:tmpl w:val="2A127E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9396F7B"/>
    <w:multiLevelType w:val="hybridMultilevel"/>
    <w:tmpl w:val="472493BC"/>
    <w:lvl w:ilvl="0" w:tplc="04D4B3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3C1706"/>
    <w:multiLevelType w:val="hybridMultilevel"/>
    <w:tmpl w:val="FDF4254E"/>
    <w:lvl w:ilvl="0" w:tplc="207C8E70">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nsid w:val="773D424A"/>
    <w:multiLevelType w:val="hybridMultilevel"/>
    <w:tmpl w:val="8D94E6D0"/>
    <w:lvl w:ilvl="0" w:tplc="0C09000F">
      <w:start w:val="1"/>
      <w:numFmt w:val="decimal"/>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num w:numId="1">
    <w:abstractNumId w:val="6"/>
  </w:num>
  <w:num w:numId="2">
    <w:abstractNumId w:val="10"/>
  </w:num>
  <w:num w:numId="3">
    <w:abstractNumId w:val="7"/>
  </w:num>
  <w:num w:numId="4">
    <w:abstractNumId w:val="9"/>
  </w:num>
  <w:num w:numId="5">
    <w:abstractNumId w:val="0"/>
  </w:num>
  <w:num w:numId="6">
    <w:abstractNumId w:val="2"/>
  </w:num>
  <w:num w:numId="7">
    <w:abstractNumId w:val="12"/>
  </w:num>
  <w:num w:numId="8">
    <w:abstractNumId w:val="11"/>
  </w:num>
  <w:num w:numId="9">
    <w:abstractNumId w:val="8"/>
  </w:num>
  <w:num w:numId="10">
    <w:abstractNumId w:val="3"/>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B8"/>
    <w:rsid w:val="000007BF"/>
    <w:rsid w:val="000072DF"/>
    <w:rsid w:val="00010908"/>
    <w:rsid w:val="0001135D"/>
    <w:rsid w:val="00014D17"/>
    <w:rsid w:val="0002028E"/>
    <w:rsid w:val="00035063"/>
    <w:rsid w:val="000363BA"/>
    <w:rsid w:val="0003775A"/>
    <w:rsid w:val="000402A5"/>
    <w:rsid w:val="0004343A"/>
    <w:rsid w:val="00046F0C"/>
    <w:rsid w:val="0005046D"/>
    <w:rsid w:val="00050F44"/>
    <w:rsid w:val="00054462"/>
    <w:rsid w:val="00074E80"/>
    <w:rsid w:val="00081423"/>
    <w:rsid w:val="0009362B"/>
    <w:rsid w:val="00093A8E"/>
    <w:rsid w:val="00095FC0"/>
    <w:rsid w:val="00097B2E"/>
    <w:rsid w:val="00097FF2"/>
    <w:rsid w:val="000A6332"/>
    <w:rsid w:val="000A70C5"/>
    <w:rsid w:val="000B4088"/>
    <w:rsid w:val="000B4F90"/>
    <w:rsid w:val="000B6B39"/>
    <w:rsid w:val="000B7A89"/>
    <w:rsid w:val="000C4D0E"/>
    <w:rsid w:val="000D10D6"/>
    <w:rsid w:val="000D119C"/>
    <w:rsid w:val="000E2339"/>
    <w:rsid w:val="000E6194"/>
    <w:rsid w:val="000F28C3"/>
    <w:rsid w:val="000F42C2"/>
    <w:rsid w:val="000F6AE4"/>
    <w:rsid w:val="00100FC6"/>
    <w:rsid w:val="0011361D"/>
    <w:rsid w:val="00115A5C"/>
    <w:rsid w:val="00121967"/>
    <w:rsid w:val="00126953"/>
    <w:rsid w:val="0012698B"/>
    <w:rsid w:val="001305EE"/>
    <w:rsid w:val="001350E7"/>
    <w:rsid w:val="00135E8F"/>
    <w:rsid w:val="00140AAB"/>
    <w:rsid w:val="0014157B"/>
    <w:rsid w:val="0014217B"/>
    <w:rsid w:val="00143E23"/>
    <w:rsid w:val="00144583"/>
    <w:rsid w:val="00152829"/>
    <w:rsid w:val="00152C87"/>
    <w:rsid w:val="001632B8"/>
    <w:rsid w:val="0016602B"/>
    <w:rsid w:val="0017330C"/>
    <w:rsid w:val="00174BE9"/>
    <w:rsid w:val="001753BB"/>
    <w:rsid w:val="00176A8B"/>
    <w:rsid w:val="00182A3E"/>
    <w:rsid w:val="00182B5D"/>
    <w:rsid w:val="0018489F"/>
    <w:rsid w:val="00184E24"/>
    <w:rsid w:val="001856E2"/>
    <w:rsid w:val="001931FC"/>
    <w:rsid w:val="00196C07"/>
    <w:rsid w:val="001977DF"/>
    <w:rsid w:val="001A6A06"/>
    <w:rsid w:val="001A7340"/>
    <w:rsid w:val="001B61DA"/>
    <w:rsid w:val="001C08C3"/>
    <w:rsid w:val="001D0D3A"/>
    <w:rsid w:val="001D3333"/>
    <w:rsid w:val="001D584A"/>
    <w:rsid w:val="001E01FA"/>
    <w:rsid w:val="001E48A1"/>
    <w:rsid w:val="001E6300"/>
    <w:rsid w:val="001F1000"/>
    <w:rsid w:val="00223AC0"/>
    <w:rsid w:val="00230407"/>
    <w:rsid w:val="00231D39"/>
    <w:rsid w:val="002329AA"/>
    <w:rsid w:val="00251C29"/>
    <w:rsid w:val="0026020C"/>
    <w:rsid w:val="00263885"/>
    <w:rsid w:val="00273FB0"/>
    <w:rsid w:val="002837EF"/>
    <w:rsid w:val="00285E01"/>
    <w:rsid w:val="0028738D"/>
    <w:rsid w:val="00287D3F"/>
    <w:rsid w:val="002913A8"/>
    <w:rsid w:val="002946FD"/>
    <w:rsid w:val="002A18DA"/>
    <w:rsid w:val="002A46FC"/>
    <w:rsid w:val="002B09AE"/>
    <w:rsid w:val="002B0AFA"/>
    <w:rsid w:val="002B23C8"/>
    <w:rsid w:val="002B3B94"/>
    <w:rsid w:val="002B7A9E"/>
    <w:rsid w:val="002C28A9"/>
    <w:rsid w:val="002C35B3"/>
    <w:rsid w:val="002C60CC"/>
    <w:rsid w:val="002D43B1"/>
    <w:rsid w:val="002D5CA8"/>
    <w:rsid w:val="002E1E9A"/>
    <w:rsid w:val="002E4B95"/>
    <w:rsid w:val="002F43B5"/>
    <w:rsid w:val="002F74A1"/>
    <w:rsid w:val="00301C59"/>
    <w:rsid w:val="003031FA"/>
    <w:rsid w:val="00303C3A"/>
    <w:rsid w:val="00304A84"/>
    <w:rsid w:val="00315BE9"/>
    <w:rsid w:val="00322020"/>
    <w:rsid w:val="00326EDC"/>
    <w:rsid w:val="003402D6"/>
    <w:rsid w:val="00343DAC"/>
    <w:rsid w:val="00345FB6"/>
    <w:rsid w:val="0034681E"/>
    <w:rsid w:val="003474E0"/>
    <w:rsid w:val="00350552"/>
    <w:rsid w:val="003540E4"/>
    <w:rsid w:val="00355501"/>
    <w:rsid w:val="00357874"/>
    <w:rsid w:val="00362F8F"/>
    <w:rsid w:val="003651A0"/>
    <w:rsid w:val="00381C0F"/>
    <w:rsid w:val="003824FD"/>
    <w:rsid w:val="0038460B"/>
    <w:rsid w:val="00387896"/>
    <w:rsid w:val="00390AFA"/>
    <w:rsid w:val="00391557"/>
    <w:rsid w:val="00392508"/>
    <w:rsid w:val="00392E3C"/>
    <w:rsid w:val="003A13B3"/>
    <w:rsid w:val="003A1FBE"/>
    <w:rsid w:val="003A3272"/>
    <w:rsid w:val="003A4512"/>
    <w:rsid w:val="003A603B"/>
    <w:rsid w:val="003A62B4"/>
    <w:rsid w:val="003A6952"/>
    <w:rsid w:val="003A731B"/>
    <w:rsid w:val="003B0D82"/>
    <w:rsid w:val="003B1883"/>
    <w:rsid w:val="003B1E0C"/>
    <w:rsid w:val="003C3ACC"/>
    <w:rsid w:val="003D0979"/>
    <w:rsid w:val="003D15B6"/>
    <w:rsid w:val="003D3B93"/>
    <w:rsid w:val="003D448B"/>
    <w:rsid w:val="003E3CE8"/>
    <w:rsid w:val="003E40CD"/>
    <w:rsid w:val="003E4687"/>
    <w:rsid w:val="003E5F86"/>
    <w:rsid w:val="00406D7A"/>
    <w:rsid w:val="00410CEA"/>
    <w:rsid w:val="00420CA0"/>
    <w:rsid w:val="00421AB1"/>
    <w:rsid w:val="004315D3"/>
    <w:rsid w:val="00432FFE"/>
    <w:rsid w:val="0043746C"/>
    <w:rsid w:val="00442D4E"/>
    <w:rsid w:val="00445CFC"/>
    <w:rsid w:val="00455A53"/>
    <w:rsid w:val="00466FCD"/>
    <w:rsid w:val="00473BA4"/>
    <w:rsid w:val="004775B8"/>
    <w:rsid w:val="00480529"/>
    <w:rsid w:val="0049187F"/>
    <w:rsid w:val="00493432"/>
    <w:rsid w:val="0049433A"/>
    <w:rsid w:val="004A53E4"/>
    <w:rsid w:val="004A57AC"/>
    <w:rsid w:val="004A6A31"/>
    <w:rsid w:val="004B0FFD"/>
    <w:rsid w:val="004B1EA3"/>
    <w:rsid w:val="004C2019"/>
    <w:rsid w:val="004C7479"/>
    <w:rsid w:val="004D2EFD"/>
    <w:rsid w:val="004D3C0D"/>
    <w:rsid w:val="004D3F0C"/>
    <w:rsid w:val="004D419C"/>
    <w:rsid w:val="004D6998"/>
    <w:rsid w:val="004E123D"/>
    <w:rsid w:val="004E15C5"/>
    <w:rsid w:val="004E1AF6"/>
    <w:rsid w:val="004F010F"/>
    <w:rsid w:val="0050162F"/>
    <w:rsid w:val="005139B6"/>
    <w:rsid w:val="005258CC"/>
    <w:rsid w:val="0053299F"/>
    <w:rsid w:val="00532DE8"/>
    <w:rsid w:val="0053542F"/>
    <w:rsid w:val="00536AFA"/>
    <w:rsid w:val="00537232"/>
    <w:rsid w:val="00537342"/>
    <w:rsid w:val="00545D99"/>
    <w:rsid w:val="005517D6"/>
    <w:rsid w:val="005569CF"/>
    <w:rsid w:val="005713BA"/>
    <w:rsid w:val="005762E8"/>
    <w:rsid w:val="00577960"/>
    <w:rsid w:val="00577FF8"/>
    <w:rsid w:val="00581921"/>
    <w:rsid w:val="00586065"/>
    <w:rsid w:val="00586745"/>
    <w:rsid w:val="00593B00"/>
    <w:rsid w:val="005A786B"/>
    <w:rsid w:val="005B4B2E"/>
    <w:rsid w:val="005E00A0"/>
    <w:rsid w:val="005F0B2F"/>
    <w:rsid w:val="005F0D6D"/>
    <w:rsid w:val="005F379E"/>
    <w:rsid w:val="005F58FA"/>
    <w:rsid w:val="005F6417"/>
    <w:rsid w:val="006005A8"/>
    <w:rsid w:val="006014D2"/>
    <w:rsid w:val="0060262E"/>
    <w:rsid w:val="006071AB"/>
    <w:rsid w:val="00610410"/>
    <w:rsid w:val="006128D1"/>
    <w:rsid w:val="00614123"/>
    <w:rsid w:val="006166AB"/>
    <w:rsid w:val="00621BBF"/>
    <w:rsid w:val="00622148"/>
    <w:rsid w:val="00627068"/>
    <w:rsid w:val="00642774"/>
    <w:rsid w:val="00644893"/>
    <w:rsid w:val="00644FB4"/>
    <w:rsid w:val="00650D51"/>
    <w:rsid w:val="00654BBC"/>
    <w:rsid w:val="00656E57"/>
    <w:rsid w:val="006570B4"/>
    <w:rsid w:val="00660130"/>
    <w:rsid w:val="006734AD"/>
    <w:rsid w:val="006743DC"/>
    <w:rsid w:val="00676EC4"/>
    <w:rsid w:val="00680A7F"/>
    <w:rsid w:val="00680B4D"/>
    <w:rsid w:val="00686B08"/>
    <w:rsid w:val="00686B8D"/>
    <w:rsid w:val="006960C0"/>
    <w:rsid w:val="006A5B92"/>
    <w:rsid w:val="006B2E58"/>
    <w:rsid w:val="006B77F8"/>
    <w:rsid w:val="006D0586"/>
    <w:rsid w:val="006D25D5"/>
    <w:rsid w:val="006D4968"/>
    <w:rsid w:val="006D6949"/>
    <w:rsid w:val="006D69A8"/>
    <w:rsid w:val="006E0601"/>
    <w:rsid w:val="006E6486"/>
    <w:rsid w:val="006E7214"/>
    <w:rsid w:val="006F280F"/>
    <w:rsid w:val="006F452F"/>
    <w:rsid w:val="00702AD5"/>
    <w:rsid w:val="00706238"/>
    <w:rsid w:val="00706606"/>
    <w:rsid w:val="007121F5"/>
    <w:rsid w:val="00713922"/>
    <w:rsid w:val="007227D4"/>
    <w:rsid w:val="00722BF5"/>
    <w:rsid w:val="007251F9"/>
    <w:rsid w:val="0072797E"/>
    <w:rsid w:val="0073452D"/>
    <w:rsid w:val="0073544F"/>
    <w:rsid w:val="00745A24"/>
    <w:rsid w:val="00747CA7"/>
    <w:rsid w:val="00750FD0"/>
    <w:rsid w:val="0075550C"/>
    <w:rsid w:val="00755A66"/>
    <w:rsid w:val="007565CB"/>
    <w:rsid w:val="00757D5C"/>
    <w:rsid w:val="007610E3"/>
    <w:rsid w:val="0076413C"/>
    <w:rsid w:val="0076789A"/>
    <w:rsid w:val="00782395"/>
    <w:rsid w:val="00787311"/>
    <w:rsid w:val="00790CFC"/>
    <w:rsid w:val="00795B65"/>
    <w:rsid w:val="007A2C1E"/>
    <w:rsid w:val="007A44E6"/>
    <w:rsid w:val="007A7B92"/>
    <w:rsid w:val="007B4BE3"/>
    <w:rsid w:val="007B6D49"/>
    <w:rsid w:val="007C09FD"/>
    <w:rsid w:val="007C28EF"/>
    <w:rsid w:val="007C551A"/>
    <w:rsid w:val="007C6AF5"/>
    <w:rsid w:val="007C70AD"/>
    <w:rsid w:val="007D4E97"/>
    <w:rsid w:val="007D7BF9"/>
    <w:rsid w:val="007F3E6E"/>
    <w:rsid w:val="007F6ECB"/>
    <w:rsid w:val="00800531"/>
    <w:rsid w:val="0080336D"/>
    <w:rsid w:val="00803E6F"/>
    <w:rsid w:val="00805005"/>
    <w:rsid w:val="008130DA"/>
    <w:rsid w:val="0081393C"/>
    <w:rsid w:val="00821583"/>
    <w:rsid w:val="00822650"/>
    <w:rsid w:val="008338F7"/>
    <w:rsid w:val="00833B5B"/>
    <w:rsid w:val="00834E6C"/>
    <w:rsid w:val="00835746"/>
    <w:rsid w:val="0084372F"/>
    <w:rsid w:val="00845804"/>
    <w:rsid w:val="008468D6"/>
    <w:rsid w:val="008537E2"/>
    <w:rsid w:val="00864B34"/>
    <w:rsid w:val="00872B03"/>
    <w:rsid w:val="00880C75"/>
    <w:rsid w:val="008817DA"/>
    <w:rsid w:val="00882133"/>
    <w:rsid w:val="008906D7"/>
    <w:rsid w:val="008940DC"/>
    <w:rsid w:val="00894802"/>
    <w:rsid w:val="008A4D65"/>
    <w:rsid w:val="008A6346"/>
    <w:rsid w:val="008B2B9D"/>
    <w:rsid w:val="008B67E3"/>
    <w:rsid w:val="008C4CBF"/>
    <w:rsid w:val="008C4D4A"/>
    <w:rsid w:val="008C4DEC"/>
    <w:rsid w:val="008C5DFD"/>
    <w:rsid w:val="008D0113"/>
    <w:rsid w:val="008D3CBE"/>
    <w:rsid w:val="008E14E6"/>
    <w:rsid w:val="008E3220"/>
    <w:rsid w:val="008E36AE"/>
    <w:rsid w:val="008E6865"/>
    <w:rsid w:val="008F01F6"/>
    <w:rsid w:val="008F4321"/>
    <w:rsid w:val="00905986"/>
    <w:rsid w:val="009108B6"/>
    <w:rsid w:val="00915AB3"/>
    <w:rsid w:val="0091768D"/>
    <w:rsid w:val="00920364"/>
    <w:rsid w:val="009221FB"/>
    <w:rsid w:val="009256C4"/>
    <w:rsid w:val="00937DD5"/>
    <w:rsid w:val="00942455"/>
    <w:rsid w:val="00944B4A"/>
    <w:rsid w:val="00944BC7"/>
    <w:rsid w:val="00944E21"/>
    <w:rsid w:val="00945F25"/>
    <w:rsid w:val="00946F32"/>
    <w:rsid w:val="009470E0"/>
    <w:rsid w:val="009522A1"/>
    <w:rsid w:val="00972B13"/>
    <w:rsid w:val="00973B93"/>
    <w:rsid w:val="00977D18"/>
    <w:rsid w:val="00985D2A"/>
    <w:rsid w:val="00986CA8"/>
    <w:rsid w:val="00987905"/>
    <w:rsid w:val="00991666"/>
    <w:rsid w:val="00991847"/>
    <w:rsid w:val="009972A4"/>
    <w:rsid w:val="009A0760"/>
    <w:rsid w:val="009A0A6D"/>
    <w:rsid w:val="009A63BD"/>
    <w:rsid w:val="009B02AD"/>
    <w:rsid w:val="009B3BF5"/>
    <w:rsid w:val="009B59FE"/>
    <w:rsid w:val="009B7449"/>
    <w:rsid w:val="009D142B"/>
    <w:rsid w:val="009D2571"/>
    <w:rsid w:val="009D3A18"/>
    <w:rsid w:val="009D3F33"/>
    <w:rsid w:val="009D5434"/>
    <w:rsid w:val="009D5DFD"/>
    <w:rsid w:val="009E0A79"/>
    <w:rsid w:val="009E203F"/>
    <w:rsid w:val="009E5086"/>
    <w:rsid w:val="009F0378"/>
    <w:rsid w:val="009F1E79"/>
    <w:rsid w:val="009F694E"/>
    <w:rsid w:val="00A00CD6"/>
    <w:rsid w:val="00A01449"/>
    <w:rsid w:val="00A05221"/>
    <w:rsid w:val="00A10312"/>
    <w:rsid w:val="00A11B66"/>
    <w:rsid w:val="00A11C2F"/>
    <w:rsid w:val="00A16703"/>
    <w:rsid w:val="00A1731D"/>
    <w:rsid w:val="00A25D8C"/>
    <w:rsid w:val="00A264B1"/>
    <w:rsid w:val="00A32146"/>
    <w:rsid w:val="00A325A7"/>
    <w:rsid w:val="00A35F92"/>
    <w:rsid w:val="00A3679C"/>
    <w:rsid w:val="00A46B6D"/>
    <w:rsid w:val="00A472BF"/>
    <w:rsid w:val="00A53308"/>
    <w:rsid w:val="00A56514"/>
    <w:rsid w:val="00A572AD"/>
    <w:rsid w:val="00A67CEF"/>
    <w:rsid w:val="00A7279F"/>
    <w:rsid w:val="00A76A77"/>
    <w:rsid w:val="00A80948"/>
    <w:rsid w:val="00A8479B"/>
    <w:rsid w:val="00A93535"/>
    <w:rsid w:val="00A93B52"/>
    <w:rsid w:val="00A9430D"/>
    <w:rsid w:val="00AA1264"/>
    <w:rsid w:val="00AA1517"/>
    <w:rsid w:val="00AA29D0"/>
    <w:rsid w:val="00AB3A93"/>
    <w:rsid w:val="00AD0AB1"/>
    <w:rsid w:val="00AD0C9F"/>
    <w:rsid w:val="00AD39CE"/>
    <w:rsid w:val="00AE2382"/>
    <w:rsid w:val="00AF2AE2"/>
    <w:rsid w:val="00AF39B0"/>
    <w:rsid w:val="00AF62CA"/>
    <w:rsid w:val="00B00697"/>
    <w:rsid w:val="00B01CBB"/>
    <w:rsid w:val="00B020D2"/>
    <w:rsid w:val="00B029AA"/>
    <w:rsid w:val="00B0402D"/>
    <w:rsid w:val="00B04981"/>
    <w:rsid w:val="00B04E8E"/>
    <w:rsid w:val="00B075F1"/>
    <w:rsid w:val="00B11527"/>
    <w:rsid w:val="00B14327"/>
    <w:rsid w:val="00B215C2"/>
    <w:rsid w:val="00B271D5"/>
    <w:rsid w:val="00B32F20"/>
    <w:rsid w:val="00B34FBE"/>
    <w:rsid w:val="00B3552F"/>
    <w:rsid w:val="00B35B2C"/>
    <w:rsid w:val="00B42C07"/>
    <w:rsid w:val="00B42D68"/>
    <w:rsid w:val="00B44F2D"/>
    <w:rsid w:val="00B4742E"/>
    <w:rsid w:val="00B50013"/>
    <w:rsid w:val="00B51B4C"/>
    <w:rsid w:val="00B55D97"/>
    <w:rsid w:val="00B61CCA"/>
    <w:rsid w:val="00B640B3"/>
    <w:rsid w:val="00B67F5E"/>
    <w:rsid w:val="00B70641"/>
    <w:rsid w:val="00B809A5"/>
    <w:rsid w:val="00B81BBD"/>
    <w:rsid w:val="00B84F81"/>
    <w:rsid w:val="00B87515"/>
    <w:rsid w:val="00B9058E"/>
    <w:rsid w:val="00B927A4"/>
    <w:rsid w:val="00B9525F"/>
    <w:rsid w:val="00BA228A"/>
    <w:rsid w:val="00BA5B0B"/>
    <w:rsid w:val="00BB2252"/>
    <w:rsid w:val="00BC26CD"/>
    <w:rsid w:val="00BC5869"/>
    <w:rsid w:val="00BD2C4C"/>
    <w:rsid w:val="00BD4D1E"/>
    <w:rsid w:val="00BD5879"/>
    <w:rsid w:val="00BD6994"/>
    <w:rsid w:val="00BD7FCF"/>
    <w:rsid w:val="00BE38D0"/>
    <w:rsid w:val="00BE4AF4"/>
    <w:rsid w:val="00BF18C9"/>
    <w:rsid w:val="00C074EA"/>
    <w:rsid w:val="00C12C0C"/>
    <w:rsid w:val="00C15FB2"/>
    <w:rsid w:val="00C15FCA"/>
    <w:rsid w:val="00C20270"/>
    <w:rsid w:val="00C20738"/>
    <w:rsid w:val="00C237BF"/>
    <w:rsid w:val="00C23C7C"/>
    <w:rsid w:val="00C24AB5"/>
    <w:rsid w:val="00C26799"/>
    <w:rsid w:val="00C31EB0"/>
    <w:rsid w:val="00C32E0C"/>
    <w:rsid w:val="00C3786C"/>
    <w:rsid w:val="00C405E1"/>
    <w:rsid w:val="00C432E6"/>
    <w:rsid w:val="00C43EC4"/>
    <w:rsid w:val="00C50363"/>
    <w:rsid w:val="00C51DCF"/>
    <w:rsid w:val="00C60D0E"/>
    <w:rsid w:val="00C646F4"/>
    <w:rsid w:val="00C66F2E"/>
    <w:rsid w:val="00C815D7"/>
    <w:rsid w:val="00C875A8"/>
    <w:rsid w:val="00C87CA4"/>
    <w:rsid w:val="00C91024"/>
    <w:rsid w:val="00C969C5"/>
    <w:rsid w:val="00C972CA"/>
    <w:rsid w:val="00CA00A5"/>
    <w:rsid w:val="00CA2141"/>
    <w:rsid w:val="00CA36F4"/>
    <w:rsid w:val="00CA5644"/>
    <w:rsid w:val="00CA6038"/>
    <w:rsid w:val="00CA6298"/>
    <w:rsid w:val="00CA74DE"/>
    <w:rsid w:val="00CA7D29"/>
    <w:rsid w:val="00CB15E1"/>
    <w:rsid w:val="00CB5F6B"/>
    <w:rsid w:val="00CB7B20"/>
    <w:rsid w:val="00CB7C90"/>
    <w:rsid w:val="00CC3D00"/>
    <w:rsid w:val="00CC6E80"/>
    <w:rsid w:val="00CD3B27"/>
    <w:rsid w:val="00CD3DE0"/>
    <w:rsid w:val="00CD7B1B"/>
    <w:rsid w:val="00CD7E24"/>
    <w:rsid w:val="00CE2820"/>
    <w:rsid w:val="00CE2E56"/>
    <w:rsid w:val="00CE5974"/>
    <w:rsid w:val="00CE7A2B"/>
    <w:rsid w:val="00CE7E07"/>
    <w:rsid w:val="00CF4B1A"/>
    <w:rsid w:val="00CF4F84"/>
    <w:rsid w:val="00CF717D"/>
    <w:rsid w:val="00D01134"/>
    <w:rsid w:val="00D0485C"/>
    <w:rsid w:val="00D048EA"/>
    <w:rsid w:val="00D04EAD"/>
    <w:rsid w:val="00D10D84"/>
    <w:rsid w:val="00D132F8"/>
    <w:rsid w:val="00D24E12"/>
    <w:rsid w:val="00D3412E"/>
    <w:rsid w:val="00D35CE4"/>
    <w:rsid w:val="00D367DC"/>
    <w:rsid w:val="00D405D3"/>
    <w:rsid w:val="00D41A19"/>
    <w:rsid w:val="00D44C8D"/>
    <w:rsid w:val="00D4570C"/>
    <w:rsid w:val="00D45C89"/>
    <w:rsid w:val="00D47BD4"/>
    <w:rsid w:val="00D51FF4"/>
    <w:rsid w:val="00D56BCE"/>
    <w:rsid w:val="00D63A01"/>
    <w:rsid w:val="00D6449A"/>
    <w:rsid w:val="00D67075"/>
    <w:rsid w:val="00D7259F"/>
    <w:rsid w:val="00D756A5"/>
    <w:rsid w:val="00D8490F"/>
    <w:rsid w:val="00D85686"/>
    <w:rsid w:val="00D94F1F"/>
    <w:rsid w:val="00D957DA"/>
    <w:rsid w:val="00DA2168"/>
    <w:rsid w:val="00DB03EF"/>
    <w:rsid w:val="00DB43C8"/>
    <w:rsid w:val="00DB4DC9"/>
    <w:rsid w:val="00DC64D3"/>
    <w:rsid w:val="00DD293A"/>
    <w:rsid w:val="00DD60F6"/>
    <w:rsid w:val="00DE6905"/>
    <w:rsid w:val="00DE7A78"/>
    <w:rsid w:val="00DE7D05"/>
    <w:rsid w:val="00DF3F50"/>
    <w:rsid w:val="00E06AC2"/>
    <w:rsid w:val="00E23A6B"/>
    <w:rsid w:val="00E25829"/>
    <w:rsid w:val="00E27AF0"/>
    <w:rsid w:val="00E27F8C"/>
    <w:rsid w:val="00E35A4D"/>
    <w:rsid w:val="00E37A18"/>
    <w:rsid w:val="00E37C31"/>
    <w:rsid w:val="00E4207A"/>
    <w:rsid w:val="00E429C7"/>
    <w:rsid w:val="00E45D8A"/>
    <w:rsid w:val="00E47A9B"/>
    <w:rsid w:val="00E562EB"/>
    <w:rsid w:val="00E659DA"/>
    <w:rsid w:val="00E74505"/>
    <w:rsid w:val="00E75D31"/>
    <w:rsid w:val="00E7602D"/>
    <w:rsid w:val="00E81DCA"/>
    <w:rsid w:val="00E8497E"/>
    <w:rsid w:val="00E864E7"/>
    <w:rsid w:val="00E91016"/>
    <w:rsid w:val="00E92FAD"/>
    <w:rsid w:val="00E934C2"/>
    <w:rsid w:val="00E9492F"/>
    <w:rsid w:val="00EA0834"/>
    <w:rsid w:val="00EA1A22"/>
    <w:rsid w:val="00EA5CD1"/>
    <w:rsid w:val="00EB34B9"/>
    <w:rsid w:val="00EC13C8"/>
    <w:rsid w:val="00EC5339"/>
    <w:rsid w:val="00ED3FA0"/>
    <w:rsid w:val="00ED69F8"/>
    <w:rsid w:val="00EE0EEE"/>
    <w:rsid w:val="00EE12F9"/>
    <w:rsid w:val="00EF431A"/>
    <w:rsid w:val="00EF566D"/>
    <w:rsid w:val="00EF6EDA"/>
    <w:rsid w:val="00F10347"/>
    <w:rsid w:val="00F1288B"/>
    <w:rsid w:val="00F21CF0"/>
    <w:rsid w:val="00F22AE7"/>
    <w:rsid w:val="00F33F24"/>
    <w:rsid w:val="00F3611D"/>
    <w:rsid w:val="00F4527E"/>
    <w:rsid w:val="00F5211D"/>
    <w:rsid w:val="00F559B5"/>
    <w:rsid w:val="00F61E55"/>
    <w:rsid w:val="00F64489"/>
    <w:rsid w:val="00F74CD9"/>
    <w:rsid w:val="00F805F0"/>
    <w:rsid w:val="00F86371"/>
    <w:rsid w:val="00F87F0F"/>
    <w:rsid w:val="00FA2060"/>
    <w:rsid w:val="00FA4B15"/>
    <w:rsid w:val="00FB1163"/>
    <w:rsid w:val="00FB7AE6"/>
    <w:rsid w:val="00FC6B55"/>
    <w:rsid w:val="00FD096D"/>
    <w:rsid w:val="00FD2151"/>
    <w:rsid w:val="00FD3090"/>
    <w:rsid w:val="00FE079D"/>
    <w:rsid w:val="00FE0903"/>
    <w:rsid w:val="00FE179D"/>
    <w:rsid w:val="00FE4E4C"/>
    <w:rsid w:val="00FF43D1"/>
    <w:rsid w:val="00FF5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5B8"/>
    <w:pPr>
      <w:keepLines/>
      <w:spacing w:after="120"/>
      <w:jc w:val="both"/>
    </w:pPr>
  </w:style>
  <w:style w:type="paragraph" w:styleId="Heading6">
    <w:name w:val="heading 6"/>
    <w:basedOn w:val="Normal"/>
    <w:next w:val="Normal"/>
    <w:qFormat/>
    <w:rsid w:val="00C31EB0"/>
    <w:pPr>
      <w:keepNext/>
      <w:keepLines w:val="0"/>
      <w:spacing w:before="240" w:after="0"/>
      <w:ind w:right="91"/>
      <w:jc w:val="left"/>
      <w:outlineLvl w:val="5"/>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4775B8"/>
    <w:pPr>
      <w:suppressAutoHyphens/>
      <w:spacing w:before="60" w:after="60"/>
      <w:ind w:left="567" w:hanging="567"/>
    </w:pPr>
  </w:style>
  <w:style w:type="paragraph" w:customStyle="1" w:styleId="Heading4">
    <w:name w:val="Heading4"/>
    <w:basedOn w:val="Normal"/>
    <w:rsid w:val="004775B8"/>
    <w:pPr>
      <w:keepNext/>
      <w:suppressAutoHyphens/>
      <w:jc w:val="center"/>
    </w:pPr>
    <w:rPr>
      <w:b/>
    </w:rPr>
  </w:style>
  <w:style w:type="paragraph" w:customStyle="1" w:styleId="Heading5">
    <w:name w:val="Heading5"/>
    <w:basedOn w:val="Normal"/>
    <w:rsid w:val="004775B8"/>
    <w:pPr>
      <w:keepNext/>
      <w:suppressAutoHyphens/>
      <w:jc w:val="center"/>
    </w:pPr>
    <w:rPr>
      <w:i/>
    </w:rPr>
  </w:style>
  <w:style w:type="paragraph" w:customStyle="1" w:styleId="Heading60">
    <w:name w:val="Heading6"/>
    <w:basedOn w:val="Normal"/>
    <w:rsid w:val="004775B8"/>
    <w:pPr>
      <w:keepNext/>
      <w:suppressAutoHyphens/>
    </w:pPr>
    <w:rPr>
      <w:b/>
    </w:rPr>
  </w:style>
  <w:style w:type="paragraph" w:customStyle="1" w:styleId="Char">
    <w:name w:val="Char"/>
    <w:basedOn w:val="Normal"/>
    <w:rsid w:val="004775B8"/>
    <w:pPr>
      <w:keepLines w:val="0"/>
      <w:spacing w:after="160" w:line="240" w:lineRule="exact"/>
      <w:jc w:val="left"/>
    </w:pPr>
    <w:rPr>
      <w:rFonts w:ascii="Verdana" w:hAnsi="Verdana" w:cs="Verdana"/>
      <w:lang w:val="en-US" w:eastAsia="en-US"/>
    </w:rPr>
  </w:style>
  <w:style w:type="paragraph" w:customStyle="1" w:styleId="A1S">
    <w:name w:val="A1S"/>
    <w:aliases w:val="1.Schedule Amendment"/>
    <w:basedOn w:val="Normal"/>
    <w:next w:val="Normal"/>
    <w:rsid w:val="003540E4"/>
    <w:pPr>
      <w:keepNext/>
      <w:keepLines w:val="0"/>
      <w:spacing w:before="480" w:after="0" w:line="260" w:lineRule="exact"/>
      <w:ind w:left="964" w:hanging="964"/>
      <w:jc w:val="left"/>
    </w:pPr>
    <w:rPr>
      <w:rFonts w:ascii="Arial" w:hAnsi="Arial"/>
      <w:b/>
      <w:sz w:val="24"/>
      <w:szCs w:val="24"/>
    </w:rPr>
  </w:style>
  <w:style w:type="paragraph" w:styleId="BalloonText">
    <w:name w:val="Balloon Text"/>
    <w:basedOn w:val="Normal"/>
    <w:semiHidden/>
    <w:rsid w:val="007565CB"/>
    <w:rPr>
      <w:rFonts w:ascii="Tahoma" w:hAnsi="Tahoma" w:cs="Tahoma"/>
      <w:sz w:val="16"/>
      <w:szCs w:val="16"/>
    </w:rPr>
  </w:style>
  <w:style w:type="paragraph" w:customStyle="1" w:styleId="Char2Char">
    <w:name w:val="Char2 Char"/>
    <w:basedOn w:val="Normal"/>
    <w:rsid w:val="00C31EB0"/>
    <w:pPr>
      <w:keepLines w:val="0"/>
      <w:spacing w:after="160" w:line="240" w:lineRule="exact"/>
      <w:jc w:val="left"/>
    </w:pPr>
    <w:rPr>
      <w:rFonts w:ascii="Verdana" w:hAnsi="Verdana" w:cs="Verdana"/>
      <w:sz w:val="21"/>
      <w:szCs w:val="21"/>
      <w:lang w:val="en-US" w:eastAsia="en-US"/>
    </w:rPr>
  </w:style>
  <w:style w:type="character" w:styleId="CommentReference">
    <w:name w:val="annotation reference"/>
    <w:semiHidden/>
    <w:rsid w:val="00AF39B0"/>
    <w:rPr>
      <w:sz w:val="16"/>
      <w:szCs w:val="16"/>
    </w:rPr>
  </w:style>
  <w:style w:type="paragraph" w:styleId="CommentText">
    <w:name w:val="annotation text"/>
    <w:basedOn w:val="Normal"/>
    <w:semiHidden/>
    <w:rsid w:val="00AF39B0"/>
  </w:style>
  <w:style w:type="paragraph" w:styleId="CommentSubject">
    <w:name w:val="annotation subject"/>
    <w:basedOn w:val="CommentText"/>
    <w:next w:val="CommentText"/>
    <w:semiHidden/>
    <w:rsid w:val="00AF39B0"/>
    <w:rPr>
      <w:b/>
      <w:bCs/>
    </w:rPr>
  </w:style>
  <w:style w:type="paragraph" w:customStyle="1" w:styleId="A2S">
    <w:name w:val="A2S"/>
    <w:aliases w:val="Schedule Inst Amendment"/>
    <w:basedOn w:val="Normal"/>
    <w:next w:val="Normal"/>
    <w:rsid w:val="009E203F"/>
    <w:pPr>
      <w:keepNext/>
      <w:keepLines w:val="0"/>
      <w:spacing w:before="120" w:after="0" w:line="260" w:lineRule="exact"/>
      <w:ind w:left="964"/>
      <w:jc w:val="left"/>
    </w:pPr>
    <w:rPr>
      <w:i/>
      <w:sz w:val="24"/>
      <w:szCs w:val="24"/>
    </w:rPr>
  </w:style>
  <w:style w:type="table" w:styleId="TableGrid">
    <w:name w:val="Table Grid"/>
    <w:basedOn w:val="TableNormal"/>
    <w:rsid w:val="00B47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B4742E"/>
    <w:pPr>
      <w:spacing w:after="60"/>
      <w:ind w:left="113" w:hanging="113"/>
      <w:jc w:val="left"/>
    </w:pPr>
    <w:rPr>
      <w:sz w:val="16"/>
    </w:rPr>
  </w:style>
  <w:style w:type="paragraph" w:styleId="Header">
    <w:name w:val="header"/>
    <w:basedOn w:val="Normal"/>
    <w:link w:val="HeaderChar"/>
    <w:uiPriority w:val="99"/>
    <w:rsid w:val="00537342"/>
    <w:pPr>
      <w:tabs>
        <w:tab w:val="center" w:pos="4513"/>
        <w:tab w:val="right" w:pos="9026"/>
      </w:tabs>
    </w:pPr>
  </w:style>
  <w:style w:type="character" w:customStyle="1" w:styleId="HeaderChar">
    <w:name w:val="Header Char"/>
    <w:basedOn w:val="DefaultParagraphFont"/>
    <w:link w:val="Header"/>
    <w:uiPriority w:val="99"/>
    <w:rsid w:val="00537342"/>
  </w:style>
  <w:style w:type="paragraph" w:styleId="ListParagraph">
    <w:name w:val="List Paragraph"/>
    <w:basedOn w:val="Normal"/>
    <w:uiPriority w:val="34"/>
    <w:qFormat/>
    <w:rsid w:val="000A6332"/>
    <w:pPr>
      <w:keepLines w:val="0"/>
      <w:spacing w:after="0"/>
      <w:ind w:left="720"/>
      <w:jc w:val="left"/>
    </w:pPr>
    <w:rPr>
      <w:rFonts w:ascii="Calibri" w:eastAsia="Calibri" w:hAnsi="Calibri"/>
      <w:sz w:val="22"/>
      <w:szCs w:val="22"/>
      <w:lang w:eastAsia="en-US"/>
    </w:rPr>
  </w:style>
  <w:style w:type="character" w:styleId="Hyperlink">
    <w:name w:val="Hyperlink"/>
    <w:basedOn w:val="DefaultParagraphFont"/>
    <w:rsid w:val="002913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5B8"/>
    <w:pPr>
      <w:keepLines/>
      <w:spacing w:after="120"/>
      <w:jc w:val="both"/>
    </w:pPr>
  </w:style>
  <w:style w:type="paragraph" w:styleId="Heading6">
    <w:name w:val="heading 6"/>
    <w:basedOn w:val="Normal"/>
    <w:next w:val="Normal"/>
    <w:qFormat/>
    <w:rsid w:val="00C31EB0"/>
    <w:pPr>
      <w:keepNext/>
      <w:keepLines w:val="0"/>
      <w:spacing w:before="240" w:after="0"/>
      <w:ind w:right="91"/>
      <w:jc w:val="left"/>
      <w:outlineLvl w:val="5"/>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4775B8"/>
    <w:pPr>
      <w:suppressAutoHyphens/>
      <w:spacing w:before="60" w:after="60"/>
      <w:ind w:left="567" w:hanging="567"/>
    </w:pPr>
  </w:style>
  <w:style w:type="paragraph" w:customStyle="1" w:styleId="Heading4">
    <w:name w:val="Heading4"/>
    <w:basedOn w:val="Normal"/>
    <w:rsid w:val="004775B8"/>
    <w:pPr>
      <w:keepNext/>
      <w:suppressAutoHyphens/>
      <w:jc w:val="center"/>
    </w:pPr>
    <w:rPr>
      <w:b/>
    </w:rPr>
  </w:style>
  <w:style w:type="paragraph" w:customStyle="1" w:styleId="Heading5">
    <w:name w:val="Heading5"/>
    <w:basedOn w:val="Normal"/>
    <w:rsid w:val="004775B8"/>
    <w:pPr>
      <w:keepNext/>
      <w:suppressAutoHyphens/>
      <w:jc w:val="center"/>
    </w:pPr>
    <w:rPr>
      <w:i/>
    </w:rPr>
  </w:style>
  <w:style w:type="paragraph" w:customStyle="1" w:styleId="Heading60">
    <w:name w:val="Heading6"/>
    <w:basedOn w:val="Normal"/>
    <w:rsid w:val="004775B8"/>
    <w:pPr>
      <w:keepNext/>
      <w:suppressAutoHyphens/>
    </w:pPr>
    <w:rPr>
      <w:b/>
    </w:rPr>
  </w:style>
  <w:style w:type="paragraph" w:customStyle="1" w:styleId="Char">
    <w:name w:val="Char"/>
    <w:basedOn w:val="Normal"/>
    <w:rsid w:val="004775B8"/>
    <w:pPr>
      <w:keepLines w:val="0"/>
      <w:spacing w:after="160" w:line="240" w:lineRule="exact"/>
      <w:jc w:val="left"/>
    </w:pPr>
    <w:rPr>
      <w:rFonts w:ascii="Verdana" w:hAnsi="Verdana" w:cs="Verdana"/>
      <w:lang w:val="en-US" w:eastAsia="en-US"/>
    </w:rPr>
  </w:style>
  <w:style w:type="paragraph" w:customStyle="1" w:styleId="A1S">
    <w:name w:val="A1S"/>
    <w:aliases w:val="1.Schedule Amendment"/>
    <w:basedOn w:val="Normal"/>
    <w:next w:val="Normal"/>
    <w:rsid w:val="003540E4"/>
    <w:pPr>
      <w:keepNext/>
      <w:keepLines w:val="0"/>
      <w:spacing w:before="480" w:after="0" w:line="260" w:lineRule="exact"/>
      <w:ind w:left="964" w:hanging="964"/>
      <w:jc w:val="left"/>
    </w:pPr>
    <w:rPr>
      <w:rFonts w:ascii="Arial" w:hAnsi="Arial"/>
      <w:b/>
      <w:sz w:val="24"/>
      <w:szCs w:val="24"/>
    </w:rPr>
  </w:style>
  <w:style w:type="paragraph" w:styleId="BalloonText">
    <w:name w:val="Balloon Text"/>
    <w:basedOn w:val="Normal"/>
    <w:semiHidden/>
    <w:rsid w:val="007565CB"/>
    <w:rPr>
      <w:rFonts w:ascii="Tahoma" w:hAnsi="Tahoma" w:cs="Tahoma"/>
      <w:sz w:val="16"/>
      <w:szCs w:val="16"/>
    </w:rPr>
  </w:style>
  <w:style w:type="paragraph" w:customStyle="1" w:styleId="Char2Char">
    <w:name w:val="Char2 Char"/>
    <w:basedOn w:val="Normal"/>
    <w:rsid w:val="00C31EB0"/>
    <w:pPr>
      <w:keepLines w:val="0"/>
      <w:spacing w:after="160" w:line="240" w:lineRule="exact"/>
      <w:jc w:val="left"/>
    </w:pPr>
    <w:rPr>
      <w:rFonts w:ascii="Verdana" w:hAnsi="Verdana" w:cs="Verdana"/>
      <w:sz w:val="21"/>
      <w:szCs w:val="21"/>
      <w:lang w:val="en-US" w:eastAsia="en-US"/>
    </w:rPr>
  </w:style>
  <w:style w:type="character" w:styleId="CommentReference">
    <w:name w:val="annotation reference"/>
    <w:semiHidden/>
    <w:rsid w:val="00AF39B0"/>
    <w:rPr>
      <w:sz w:val="16"/>
      <w:szCs w:val="16"/>
    </w:rPr>
  </w:style>
  <w:style w:type="paragraph" w:styleId="CommentText">
    <w:name w:val="annotation text"/>
    <w:basedOn w:val="Normal"/>
    <w:semiHidden/>
    <w:rsid w:val="00AF39B0"/>
  </w:style>
  <w:style w:type="paragraph" w:styleId="CommentSubject">
    <w:name w:val="annotation subject"/>
    <w:basedOn w:val="CommentText"/>
    <w:next w:val="CommentText"/>
    <w:semiHidden/>
    <w:rsid w:val="00AF39B0"/>
    <w:rPr>
      <w:b/>
      <w:bCs/>
    </w:rPr>
  </w:style>
  <w:style w:type="paragraph" w:customStyle="1" w:styleId="A2S">
    <w:name w:val="A2S"/>
    <w:aliases w:val="Schedule Inst Amendment"/>
    <w:basedOn w:val="Normal"/>
    <w:next w:val="Normal"/>
    <w:rsid w:val="009E203F"/>
    <w:pPr>
      <w:keepNext/>
      <w:keepLines w:val="0"/>
      <w:spacing w:before="120" w:after="0" w:line="260" w:lineRule="exact"/>
      <w:ind w:left="964"/>
      <w:jc w:val="left"/>
    </w:pPr>
    <w:rPr>
      <w:i/>
      <w:sz w:val="24"/>
      <w:szCs w:val="24"/>
    </w:rPr>
  </w:style>
  <w:style w:type="table" w:styleId="TableGrid">
    <w:name w:val="Table Grid"/>
    <w:basedOn w:val="TableNormal"/>
    <w:rsid w:val="00B47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rsid w:val="00B4742E"/>
    <w:pPr>
      <w:spacing w:after="60"/>
      <w:ind w:left="113" w:hanging="113"/>
      <w:jc w:val="left"/>
    </w:pPr>
    <w:rPr>
      <w:sz w:val="16"/>
    </w:rPr>
  </w:style>
  <w:style w:type="paragraph" w:styleId="Header">
    <w:name w:val="header"/>
    <w:basedOn w:val="Normal"/>
    <w:link w:val="HeaderChar"/>
    <w:uiPriority w:val="99"/>
    <w:rsid w:val="00537342"/>
    <w:pPr>
      <w:tabs>
        <w:tab w:val="center" w:pos="4513"/>
        <w:tab w:val="right" w:pos="9026"/>
      </w:tabs>
    </w:pPr>
  </w:style>
  <w:style w:type="character" w:customStyle="1" w:styleId="HeaderChar">
    <w:name w:val="Header Char"/>
    <w:basedOn w:val="DefaultParagraphFont"/>
    <w:link w:val="Header"/>
    <w:uiPriority w:val="99"/>
    <w:rsid w:val="00537342"/>
  </w:style>
  <w:style w:type="paragraph" w:styleId="ListParagraph">
    <w:name w:val="List Paragraph"/>
    <w:basedOn w:val="Normal"/>
    <w:uiPriority w:val="34"/>
    <w:qFormat/>
    <w:rsid w:val="000A6332"/>
    <w:pPr>
      <w:keepLines w:val="0"/>
      <w:spacing w:after="0"/>
      <w:ind w:left="720"/>
      <w:jc w:val="left"/>
    </w:pPr>
    <w:rPr>
      <w:rFonts w:ascii="Calibri" w:eastAsia="Calibri" w:hAnsi="Calibri"/>
      <w:sz w:val="22"/>
      <w:szCs w:val="22"/>
      <w:lang w:eastAsia="en-US"/>
    </w:rPr>
  </w:style>
  <w:style w:type="character" w:styleId="Hyperlink">
    <w:name w:val="Hyperlink"/>
    <w:basedOn w:val="DefaultParagraphFont"/>
    <w:rsid w:val="00291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80026">
      <w:bodyDiv w:val="1"/>
      <w:marLeft w:val="0"/>
      <w:marRight w:val="0"/>
      <w:marTop w:val="0"/>
      <w:marBottom w:val="0"/>
      <w:divBdr>
        <w:top w:val="none" w:sz="0" w:space="0" w:color="auto"/>
        <w:left w:val="none" w:sz="0" w:space="0" w:color="auto"/>
        <w:bottom w:val="none" w:sz="0" w:space="0" w:color="auto"/>
        <w:right w:val="none" w:sz="0" w:space="0" w:color="auto"/>
      </w:divBdr>
    </w:div>
    <w:div w:id="14589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dc.gov/growthcharts/clinical_chart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B9C4-8D58-4BF4-8AB4-8A8E57D7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7841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2012-02-22T00:37:00Z</cp:lastPrinted>
  <dcterms:created xsi:type="dcterms:W3CDTF">2017-10-31T02:56:00Z</dcterms:created>
  <dcterms:modified xsi:type="dcterms:W3CDTF">2017-10-31T02:56:00Z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