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CD" w:rsidRPr="00B522BF" w:rsidRDefault="009A2ECD" w:rsidP="009A2ECD">
      <w:pPr>
        <w:spacing w:before="0" w:line="260" w:lineRule="atLeast"/>
        <w:rPr>
          <w:rFonts w:ascii="Times New Roman" w:eastAsia="Calibri" w:hAnsi="Times New Roman" w:cs="Times New Roman"/>
          <w:sz w:val="28"/>
          <w:szCs w:val="20"/>
        </w:rPr>
      </w:pPr>
      <w:r w:rsidRPr="00B522BF">
        <w:rPr>
          <w:rFonts w:ascii="Times New Roman" w:eastAsia="Calibri" w:hAnsi="Times New Roman" w:cs="Times New Roman"/>
          <w:noProof/>
          <w:szCs w:val="20"/>
          <w:lang w:eastAsia="en-AU"/>
        </w:rPr>
        <w:drawing>
          <wp:inline distT="0" distB="0" distL="0" distR="0" wp14:anchorId="6D3A7DD6" wp14:editId="77FA700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CD" w:rsidRPr="00B522BF" w:rsidRDefault="009A2ECD" w:rsidP="009A2ECD">
      <w:pPr>
        <w:spacing w:before="0" w:line="260" w:lineRule="atLeast"/>
        <w:rPr>
          <w:rFonts w:ascii="Times New Roman" w:eastAsia="Calibri" w:hAnsi="Times New Roman" w:cs="Times New Roman"/>
          <w:sz w:val="19"/>
          <w:szCs w:val="20"/>
        </w:rPr>
      </w:pPr>
    </w:p>
    <w:p w:rsidR="009A2ECD" w:rsidRPr="00B522BF" w:rsidRDefault="009A2ECD" w:rsidP="009A2ECD">
      <w:pPr>
        <w:spacing w:before="0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  <w:r w:rsidRPr="00B522BF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 xml:space="preserve">Consumer Goods (Sunglasses and </w:t>
      </w:r>
      <w:r w:rsidR="00202952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F</w:t>
      </w:r>
      <w:r w:rsidRPr="00B522BF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 xml:space="preserve">ashion </w:t>
      </w:r>
      <w:r w:rsidR="00202952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S</w:t>
      </w:r>
      <w:r w:rsidRPr="00B522BF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pectacles) Safety Standard 2017</w:t>
      </w:r>
    </w:p>
    <w:p w:rsidR="009A2ECD" w:rsidRPr="00B522BF" w:rsidRDefault="009A2ECD" w:rsidP="009A2ECD"/>
    <w:p w:rsidR="009A2ECD" w:rsidRPr="00B522BF" w:rsidRDefault="009A2ECD" w:rsidP="009A2ECD"/>
    <w:p w:rsidR="009A2ECD" w:rsidRPr="00B522BF" w:rsidRDefault="009A2ECD" w:rsidP="009A2ECD">
      <w:pPr>
        <w:pBdr>
          <w:top w:val="single" w:sz="4" w:space="1" w:color="auto"/>
        </w:pBdr>
        <w:spacing w:before="240" w:line="260" w:lineRule="atLeast"/>
        <w:ind w:right="397"/>
        <w:jc w:val="both"/>
        <w:rPr>
          <w:rFonts w:ascii="Times New Roman" w:eastAsia="Times New Roman" w:hAnsi="Times New Roman" w:cs="Times New Roman"/>
          <w:lang w:eastAsia="en-AU"/>
        </w:rPr>
      </w:pPr>
      <w:r w:rsidRPr="00B522BF">
        <w:rPr>
          <w:rFonts w:ascii="Times New Roman" w:eastAsia="Times New Roman" w:hAnsi="Times New Roman" w:cs="Times New Roman"/>
          <w:lang w:eastAsia="en-AU"/>
        </w:rPr>
        <w:t xml:space="preserve">I, Michael McCormack, Minister for Small Business, </w:t>
      </w:r>
      <w:r w:rsidR="00FF6A61">
        <w:rPr>
          <w:rFonts w:ascii="Times New Roman" w:eastAsia="Times New Roman" w:hAnsi="Times New Roman" w:cs="Times New Roman"/>
          <w:lang w:eastAsia="en-AU"/>
        </w:rPr>
        <w:t>make</w:t>
      </w:r>
      <w:r w:rsidR="00FF6A61" w:rsidRPr="00DA2B95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B522BF">
        <w:rPr>
          <w:rFonts w:ascii="Times New Roman" w:eastAsia="Times New Roman" w:hAnsi="Times New Roman" w:cs="Times New Roman"/>
          <w:lang w:eastAsia="en-AU"/>
        </w:rPr>
        <w:t>the following safety standard.</w:t>
      </w:r>
    </w:p>
    <w:p w:rsidR="009A2ECD" w:rsidRPr="00B522BF" w:rsidRDefault="009A2ECD" w:rsidP="009A2ECD">
      <w:pPr>
        <w:keepNext/>
        <w:spacing w:before="300" w:line="240" w:lineRule="atLeast"/>
        <w:ind w:right="397"/>
        <w:jc w:val="both"/>
        <w:rPr>
          <w:rFonts w:ascii="Times New Roman" w:eastAsia="Calibri" w:hAnsi="Times New Roman" w:cs="Times New Roman"/>
        </w:rPr>
      </w:pPr>
      <w:r w:rsidRPr="00B522BF">
        <w:rPr>
          <w:rFonts w:ascii="Times New Roman" w:eastAsia="Calibri" w:hAnsi="Times New Roman" w:cs="Times New Roman"/>
        </w:rPr>
        <w:t>Dated</w:t>
      </w:r>
      <w:r w:rsidRPr="00B522BF">
        <w:rPr>
          <w:rFonts w:ascii="Times New Roman" w:eastAsia="Calibri" w:hAnsi="Times New Roman" w:cs="Times New Roman"/>
        </w:rPr>
        <w:tab/>
      </w:r>
      <w:r w:rsidR="006037C6">
        <w:rPr>
          <w:rFonts w:ascii="Times New Roman" w:eastAsia="Calibri" w:hAnsi="Times New Roman" w:cs="Times New Roman"/>
        </w:rPr>
        <w:t>18 October</w:t>
      </w:r>
      <w:r w:rsidRPr="00B522BF">
        <w:rPr>
          <w:rFonts w:ascii="Times New Roman" w:eastAsia="Calibri" w:hAnsi="Times New Roman" w:cs="Times New Roman"/>
        </w:rPr>
        <w:tab/>
      </w:r>
      <w:r w:rsidR="006037C6">
        <w:rPr>
          <w:rFonts w:ascii="Times New Roman" w:eastAsia="Calibri" w:hAnsi="Times New Roman" w:cs="Times New Roman"/>
        </w:rPr>
        <w:t xml:space="preserve"> </w:t>
      </w:r>
      <w:r w:rsidRPr="00B522BF">
        <w:rPr>
          <w:rFonts w:ascii="Times New Roman" w:eastAsia="Calibri" w:hAnsi="Times New Roman" w:cs="Times New Roman"/>
        </w:rPr>
        <w:t>2017</w:t>
      </w:r>
    </w:p>
    <w:p w:rsidR="009A2ECD" w:rsidRPr="00B522BF" w:rsidRDefault="009A2ECD" w:rsidP="009A2ECD">
      <w:pPr>
        <w:keepNext/>
        <w:tabs>
          <w:tab w:val="left" w:pos="3402"/>
        </w:tabs>
        <w:spacing w:before="1440" w:line="300" w:lineRule="atLeast"/>
        <w:ind w:right="397"/>
        <w:rPr>
          <w:rFonts w:ascii="Times New Roman" w:eastAsia="Calibri" w:hAnsi="Times New Roman" w:cs="Times New Roman"/>
          <w:b/>
        </w:rPr>
      </w:pPr>
      <w:r w:rsidRPr="00B522BF">
        <w:rPr>
          <w:rFonts w:ascii="Times New Roman" w:eastAsia="Calibri" w:hAnsi="Times New Roman" w:cs="Times New Roman"/>
        </w:rPr>
        <w:t>Michael McCormack</w:t>
      </w:r>
      <w:bookmarkStart w:id="0" w:name="_GoBack"/>
      <w:bookmarkEnd w:id="0"/>
    </w:p>
    <w:p w:rsidR="009A2ECD" w:rsidRPr="00B522BF" w:rsidRDefault="009A2ECD" w:rsidP="009A2ECD">
      <w:pPr>
        <w:keepNext/>
        <w:pBdr>
          <w:bottom w:val="single" w:sz="4" w:space="12" w:color="auto"/>
        </w:pBdr>
        <w:tabs>
          <w:tab w:val="left" w:pos="3402"/>
        </w:tabs>
        <w:spacing w:before="0" w:line="300" w:lineRule="atLeast"/>
        <w:ind w:right="397"/>
        <w:rPr>
          <w:rFonts w:ascii="Times New Roman" w:eastAsia="Times New Roman" w:hAnsi="Times New Roman" w:cs="Times New Roman"/>
          <w:szCs w:val="20"/>
          <w:lang w:eastAsia="en-AU"/>
        </w:rPr>
      </w:pPr>
      <w:r w:rsidRPr="00B522BF">
        <w:rPr>
          <w:rFonts w:ascii="Times New Roman" w:eastAsia="Times New Roman" w:hAnsi="Times New Roman" w:cs="Times New Roman"/>
          <w:szCs w:val="20"/>
          <w:lang w:eastAsia="en-AU"/>
        </w:rPr>
        <w:t>Minister for Small Business</w:t>
      </w:r>
    </w:p>
    <w:p w:rsidR="009A2ECD" w:rsidRPr="00B522BF" w:rsidRDefault="009A2ECD" w:rsidP="009A2ECD">
      <w:pPr>
        <w:spacing w:before="0" w:line="260" w:lineRule="atLeast"/>
        <w:rPr>
          <w:rFonts w:ascii="Times New Roman" w:eastAsia="Calibri" w:hAnsi="Times New Roman" w:cs="Times New Roman"/>
          <w:szCs w:val="20"/>
        </w:rPr>
      </w:pPr>
    </w:p>
    <w:p w:rsidR="009A2ECD" w:rsidRPr="00B522BF" w:rsidRDefault="009A2ECD" w:rsidP="009A2ECD">
      <w:pPr>
        <w:spacing w:before="0" w:line="260" w:lineRule="atLeast"/>
        <w:rPr>
          <w:rFonts w:ascii="Times New Roman" w:eastAsia="Calibri" w:hAnsi="Times New Roman" w:cs="Times New Roman"/>
          <w:szCs w:val="20"/>
        </w:rPr>
      </w:pPr>
    </w:p>
    <w:p w:rsidR="009A2ECD" w:rsidRDefault="009A2ECD" w:rsidP="009A2ECD">
      <w:pPr>
        <w:spacing w:before="0"/>
        <w:rPr>
          <w:rFonts w:ascii="Times New Roman" w:eastAsia="Times New Roman" w:hAnsi="Times New Roman" w:cs="Times New Roman"/>
          <w:sz w:val="20"/>
          <w:szCs w:val="20"/>
          <w:highlight w:val="yellow"/>
          <w:lang w:eastAsia="en-AU"/>
        </w:rPr>
      </w:pPr>
    </w:p>
    <w:p w:rsidR="00A80560" w:rsidRDefault="00A80560" w:rsidP="009A2ECD">
      <w:pPr>
        <w:spacing w:before="0"/>
        <w:rPr>
          <w:rFonts w:ascii="Times New Roman" w:eastAsia="Times New Roman" w:hAnsi="Times New Roman" w:cs="Times New Roman"/>
          <w:sz w:val="20"/>
          <w:szCs w:val="20"/>
          <w:highlight w:val="yellow"/>
          <w:lang w:eastAsia="en-AU"/>
        </w:rPr>
        <w:sectPr w:rsidR="00A80560" w:rsidSect="00B522BF">
          <w:headerReference w:type="even" r:id="rId11"/>
          <w:pgSz w:w="11906" w:h="16838"/>
          <w:pgMar w:top="2235" w:right="1440" w:bottom="1440" w:left="1440" w:header="708" w:footer="708" w:gutter="0"/>
          <w:cols w:space="708"/>
          <w:docGrid w:linePitch="360"/>
        </w:sectPr>
      </w:pPr>
    </w:p>
    <w:p w:rsidR="009A2ECD" w:rsidRDefault="009A2ECD" w:rsidP="009A2ECD">
      <w:pPr>
        <w:spacing w:before="0"/>
        <w:rPr>
          <w:rFonts w:ascii="Times New Roman" w:eastAsia="Times New Roman" w:hAnsi="Times New Roman" w:cs="Times New Roman"/>
          <w:sz w:val="20"/>
          <w:szCs w:val="20"/>
          <w:highlight w:val="yellow"/>
          <w:lang w:eastAsia="en-AU"/>
        </w:rPr>
        <w:sectPr w:rsidR="009A2ECD" w:rsidSect="00B522BF">
          <w:pgSz w:w="11906" w:h="16838"/>
          <w:pgMar w:top="2235" w:right="1440" w:bottom="1440" w:left="1440" w:header="708" w:footer="708" w:gutter="0"/>
          <w:cols w:space="708"/>
          <w:docGrid w:linePitch="360"/>
        </w:sectPr>
      </w:pPr>
    </w:p>
    <w:p w:rsidR="009A2ECD" w:rsidRPr="002911F9" w:rsidRDefault="009A2ECD" w:rsidP="009A2ECD">
      <w:pPr>
        <w:outlineLvl w:val="0"/>
        <w:rPr>
          <w:rFonts w:ascii="Times New Roman" w:eastAsia="Calibri" w:hAnsi="Times New Roman" w:cs="Times New Roman"/>
          <w:sz w:val="36"/>
          <w:szCs w:val="20"/>
        </w:rPr>
      </w:pPr>
      <w:r w:rsidRPr="002911F9">
        <w:rPr>
          <w:rFonts w:ascii="Times New Roman" w:eastAsia="Calibri" w:hAnsi="Times New Roman" w:cs="Times New Roman"/>
          <w:sz w:val="36"/>
          <w:szCs w:val="20"/>
        </w:rPr>
        <w:lastRenderedPageBreak/>
        <w:t>Contents</w:t>
      </w:r>
    </w:p>
    <w:p w:rsidR="009A2ECD" w:rsidRPr="002911F9" w:rsidRDefault="009A2ECD" w:rsidP="009A2ECD">
      <w:pPr>
        <w:pStyle w:val="TOC2"/>
        <w:rPr>
          <w:rFonts w:ascii="Calibri" w:eastAsia="Times New Roman" w:hAnsi="Calibri" w:cs="Times New Roman"/>
          <w:sz w:val="24"/>
          <w:szCs w:val="24"/>
          <w:lang w:eastAsia="en-AU"/>
        </w:rPr>
      </w:pPr>
      <w:r w:rsidRPr="00B522BF">
        <w:rPr>
          <w:rFonts w:ascii="Times New Roman" w:hAnsi="Times New Roman" w:cs="Times New Roman"/>
          <w:b/>
        </w:rPr>
        <w:fldChar w:fldCharType="begin"/>
      </w:r>
      <w:r w:rsidRPr="00B522BF">
        <w:rPr>
          <w:rFonts w:ascii="Times New Roman" w:hAnsi="Times New Roman" w:cs="Times New Roman"/>
          <w:b/>
        </w:rPr>
        <w:instrText xml:space="preserve"> TOC \o "1-9" </w:instrText>
      </w:r>
      <w:r w:rsidRPr="00B522BF">
        <w:rPr>
          <w:rFonts w:ascii="Times New Roman" w:hAnsi="Times New Roman" w:cs="Times New Roman"/>
          <w:b/>
        </w:rPr>
        <w:fldChar w:fldCharType="separate"/>
      </w:r>
      <w:r w:rsidRPr="002911F9">
        <w:rPr>
          <w:rFonts w:ascii="Times New Roman" w:hAnsi="Times New Roman" w:cs="Times New Roman"/>
          <w:b/>
          <w:sz w:val="24"/>
          <w:szCs w:val="24"/>
        </w:rPr>
        <w:t>Part</w:t>
      </w:r>
      <w:r w:rsidRPr="002911F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AU"/>
        </w:rPr>
        <w:t xml:space="preserve"> 1—Preliminary</w:t>
      </w:r>
      <w:r w:rsidRPr="002911F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AU"/>
        </w:rPr>
        <w:tab/>
        <w:t>1</w:t>
      </w:r>
    </w:p>
    <w:p w:rsidR="009A2ECD" w:rsidRPr="00B522BF" w:rsidRDefault="009A2ECD" w:rsidP="009A2ECD">
      <w:pPr>
        <w:pStyle w:val="TOC5"/>
        <w:rPr>
          <w:rFonts w:ascii="Times New Roman" w:hAnsi="Times New Roman" w:cs="Times New Roman"/>
          <w:sz w:val="18"/>
          <w:szCs w:val="18"/>
        </w:rPr>
      </w:pPr>
      <w:r w:rsidRPr="00B522BF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1</w:t>
      </w:r>
      <w:r w:rsidRPr="00B522BF">
        <w:rPr>
          <w:rFonts w:ascii="Times New Roman" w:hAnsi="Times New Roman" w:cs="Times New Roman"/>
          <w:sz w:val="18"/>
          <w:szCs w:val="18"/>
        </w:rPr>
        <w:t xml:space="preserve">  Name</w:t>
      </w:r>
      <w:r w:rsidRPr="00B522B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A2ECD" w:rsidRPr="00B522BF" w:rsidRDefault="009A2ECD" w:rsidP="009A2ECD">
      <w:pPr>
        <w:pStyle w:val="TOC5"/>
        <w:rPr>
          <w:rFonts w:ascii="Times New Roman" w:hAnsi="Times New Roman" w:cs="Times New Roman"/>
          <w:sz w:val="18"/>
          <w:szCs w:val="18"/>
        </w:rPr>
      </w:pPr>
      <w:r w:rsidRPr="00B522BF">
        <w:rPr>
          <w:rFonts w:ascii="Times New Roman" w:hAnsi="Times New Roman" w:cs="Times New Roman"/>
          <w:sz w:val="18"/>
          <w:szCs w:val="18"/>
        </w:rPr>
        <w:t>2  Commencement</w:t>
      </w:r>
      <w:r w:rsidRPr="00B522B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A2ECD" w:rsidRPr="00B522BF" w:rsidRDefault="009A2ECD" w:rsidP="009A2ECD">
      <w:pPr>
        <w:pStyle w:val="TOC5"/>
        <w:rPr>
          <w:rFonts w:ascii="Times New Roman" w:hAnsi="Times New Roman" w:cs="Times New Roman"/>
          <w:sz w:val="18"/>
          <w:szCs w:val="18"/>
        </w:rPr>
      </w:pPr>
      <w:r w:rsidRPr="00B522BF">
        <w:rPr>
          <w:rFonts w:ascii="Times New Roman" w:hAnsi="Times New Roman" w:cs="Times New Roman"/>
          <w:sz w:val="18"/>
          <w:szCs w:val="18"/>
        </w:rPr>
        <w:t>3  Authority</w:t>
      </w:r>
      <w:r w:rsidRPr="00B522B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A2ECD" w:rsidRPr="00B522BF" w:rsidRDefault="009A2ECD" w:rsidP="009A2ECD">
      <w:pPr>
        <w:pStyle w:val="TOC5"/>
        <w:rPr>
          <w:rFonts w:ascii="Times New Roman" w:hAnsi="Times New Roman" w:cs="Times New Roman"/>
          <w:sz w:val="18"/>
          <w:szCs w:val="18"/>
        </w:rPr>
      </w:pPr>
      <w:r w:rsidRPr="00B522BF">
        <w:rPr>
          <w:rFonts w:ascii="Times New Roman" w:hAnsi="Times New Roman" w:cs="Times New Roman"/>
          <w:sz w:val="18"/>
          <w:szCs w:val="18"/>
        </w:rPr>
        <w:t xml:space="preserve">4  </w:t>
      </w:r>
      <w:r>
        <w:rPr>
          <w:rFonts w:ascii="Times New Roman" w:hAnsi="Times New Roman" w:cs="Times New Roman"/>
          <w:sz w:val="18"/>
          <w:szCs w:val="18"/>
        </w:rPr>
        <w:t>Schedules</w:t>
      </w:r>
      <w:r w:rsidRPr="00B522B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A2ECD" w:rsidRPr="00B522BF" w:rsidRDefault="009A2ECD" w:rsidP="009A2ECD">
      <w:pPr>
        <w:pStyle w:val="TOC5"/>
        <w:rPr>
          <w:rFonts w:ascii="Times New Roman" w:hAnsi="Times New Roman" w:cs="Times New Roman"/>
          <w:sz w:val="18"/>
          <w:szCs w:val="18"/>
        </w:rPr>
      </w:pPr>
      <w:r w:rsidRPr="00B522BF">
        <w:rPr>
          <w:rFonts w:ascii="Times New Roman" w:hAnsi="Times New Roman" w:cs="Times New Roman"/>
          <w:sz w:val="18"/>
          <w:szCs w:val="18"/>
        </w:rPr>
        <w:t xml:space="preserve">5  </w:t>
      </w:r>
      <w:r>
        <w:rPr>
          <w:rFonts w:ascii="Times New Roman" w:hAnsi="Times New Roman" w:cs="Times New Roman"/>
          <w:sz w:val="18"/>
          <w:szCs w:val="18"/>
        </w:rPr>
        <w:t>Defintions</w:t>
      </w:r>
      <w:r w:rsidRPr="00B522B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A2ECD" w:rsidRPr="002911F9" w:rsidRDefault="009A2ECD" w:rsidP="009A2ECD">
      <w:pPr>
        <w:pStyle w:val="TOC2"/>
        <w:rPr>
          <w:rFonts w:ascii="Times New Roman" w:hAnsi="Times New Roman" w:cs="Times New Roman"/>
          <w:b/>
          <w:sz w:val="24"/>
          <w:szCs w:val="24"/>
        </w:rPr>
      </w:pPr>
      <w:r w:rsidRPr="002911F9">
        <w:rPr>
          <w:rFonts w:ascii="Times New Roman" w:hAnsi="Times New Roman" w:cs="Times New Roman"/>
          <w:b/>
          <w:sz w:val="24"/>
          <w:szCs w:val="24"/>
        </w:rPr>
        <w:t>Part 2—Safety standards</w:t>
      </w:r>
      <w:r w:rsidRPr="002911F9"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:rsidR="009A2ECD" w:rsidRPr="00B522BF" w:rsidRDefault="009A2ECD" w:rsidP="009A2ECD">
      <w:pPr>
        <w:pStyle w:val="TOC5"/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6</w:t>
      </w:r>
      <w:r w:rsidRPr="00B522BF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  </w:t>
      </w:r>
      <w:r w:rsidRPr="007368B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Requirements for sunglasses and fashion spectacles </w:t>
      </w:r>
      <w:r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before</w:t>
      </w:r>
      <w:r w:rsidRPr="007368B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 1 </w:t>
      </w:r>
      <w:r w:rsidR="00467A2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July</w:t>
      </w:r>
      <w:r w:rsidR="00467A21" w:rsidRPr="007368B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 20</w:t>
      </w:r>
      <w:r w:rsidR="00467A2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19</w:t>
      </w:r>
      <w:r w:rsidRPr="00B522BF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3</w:t>
      </w:r>
    </w:p>
    <w:p w:rsidR="009A2ECD" w:rsidRPr="00B522BF" w:rsidRDefault="009A2ECD" w:rsidP="009A2ECD">
      <w:pPr>
        <w:pStyle w:val="TOC5"/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7  </w:t>
      </w:r>
      <w:r w:rsidRPr="007368B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Requirements for sunglasses and fashion spectacles on and after 1 </w:t>
      </w:r>
      <w:r w:rsidR="00467A2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July</w:t>
      </w:r>
      <w:r w:rsidR="00467A21" w:rsidRPr="007368B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 20</w:t>
      </w:r>
      <w:r w:rsidR="00467A2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19</w:t>
      </w:r>
      <w:r w:rsidRPr="00B522BF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3</w:t>
      </w:r>
    </w:p>
    <w:p w:rsidR="009A2ECD" w:rsidRPr="00B522BF" w:rsidRDefault="009A2ECD" w:rsidP="009A2ECD">
      <w:pPr>
        <w:pStyle w:val="TOC5"/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</w:pPr>
      <w:r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8</w:t>
      </w:r>
      <w:r w:rsidRPr="00B522BF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 xml:space="preserve">  </w:t>
      </w:r>
      <w:r w:rsidRPr="009A2ECD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Variations to the Australian standard</w:t>
      </w:r>
      <w:r w:rsidRPr="00B522BF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ab/>
      </w:r>
      <w:r w:rsidR="00651E51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</w:rPr>
        <w:t>3</w:t>
      </w:r>
    </w:p>
    <w:p w:rsidR="009A2ECD" w:rsidRPr="002911F9" w:rsidRDefault="009A2ECD" w:rsidP="009A2ECD">
      <w:pPr>
        <w:pStyle w:val="TOC2"/>
        <w:rPr>
          <w:rFonts w:ascii="Times New Roman" w:hAnsi="Times New Roman" w:cs="Times New Roman"/>
          <w:b/>
          <w:sz w:val="24"/>
          <w:szCs w:val="24"/>
        </w:rPr>
      </w:pPr>
      <w:r w:rsidRPr="002911F9">
        <w:rPr>
          <w:rFonts w:ascii="Times New Roman" w:hAnsi="Times New Roman" w:cs="Times New Roman"/>
          <w:b/>
          <w:sz w:val="24"/>
          <w:szCs w:val="24"/>
        </w:rPr>
        <w:t>Schedule 1—Repeals</w:t>
      </w:r>
      <w:r w:rsidRPr="002911F9">
        <w:rPr>
          <w:rFonts w:ascii="Times New Roman" w:hAnsi="Times New Roman" w:cs="Times New Roman"/>
          <w:b/>
          <w:sz w:val="24"/>
          <w:szCs w:val="24"/>
        </w:rPr>
        <w:tab/>
      </w:r>
      <w:r w:rsidR="0016428B" w:rsidRPr="002911F9">
        <w:rPr>
          <w:rFonts w:ascii="Times New Roman" w:hAnsi="Times New Roman" w:cs="Times New Roman"/>
          <w:b/>
          <w:sz w:val="24"/>
          <w:szCs w:val="24"/>
        </w:rPr>
        <w:t>4</w:t>
      </w:r>
    </w:p>
    <w:p w:rsidR="009A2ECD" w:rsidRPr="00B522BF" w:rsidRDefault="009A2ECD" w:rsidP="009A2ECD">
      <w:pPr>
        <w:spacing w:before="0" w:line="260" w:lineRule="atLeast"/>
        <w:outlineLvl w:val="0"/>
        <w:rPr>
          <w:rFonts w:ascii="Times New Roman" w:eastAsia="Calibri" w:hAnsi="Times New Roman" w:cs="Times New Roman"/>
          <w:szCs w:val="20"/>
          <w:lang w:eastAsia="en-AU"/>
        </w:rPr>
      </w:pPr>
      <w:r w:rsidRPr="00B522BF">
        <w:rPr>
          <w:rFonts w:ascii="Times New Roman" w:eastAsia="Calibri" w:hAnsi="Times New Roman" w:cs="Times New Roman"/>
          <w:szCs w:val="20"/>
        </w:rPr>
        <w:fldChar w:fldCharType="end"/>
      </w:r>
    </w:p>
    <w:p w:rsidR="00A80560" w:rsidRDefault="00A80560" w:rsidP="009A2ECD">
      <w:pPr>
        <w:tabs>
          <w:tab w:val="left" w:pos="3461"/>
          <w:tab w:val="right" w:pos="9026"/>
        </w:tabs>
        <w:rPr>
          <w:b/>
          <w:sz w:val="24"/>
        </w:rPr>
        <w:sectPr w:rsidR="00A80560" w:rsidSect="00753C73">
          <w:headerReference w:type="even" r:id="rId12"/>
          <w:headerReference w:type="default" r:id="rId13"/>
          <w:footerReference w:type="default" r:id="rId14"/>
          <w:pgSz w:w="11906" w:h="16838"/>
          <w:pgMar w:top="2106" w:right="1440" w:bottom="1440" w:left="1440" w:header="708" w:footer="708" w:gutter="0"/>
          <w:pgNumType w:start="1"/>
          <w:cols w:space="708"/>
          <w:docGrid w:linePitch="360"/>
        </w:sectPr>
      </w:pPr>
    </w:p>
    <w:p w:rsidR="009A2ECD" w:rsidRDefault="009A2ECD" w:rsidP="009A2ECD">
      <w:pPr>
        <w:tabs>
          <w:tab w:val="left" w:pos="3461"/>
          <w:tab w:val="right" w:pos="9026"/>
        </w:tabs>
        <w:rPr>
          <w:b/>
          <w:sz w:val="24"/>
        </w:rPr>
        <w:sectPr w:rsidR="009A2ECD" w:rsidSect="00753C73">
          <w:headerReference w:type="default" r:id="rId15"/>
          <w:footerReference w:type="default" r:id="rId16"/>
          <w:pgSz w:w="11906" w:h="16838"/>
          <w:pgMar w:top="2106" w:right="1440" w:bottom="1440" w:left="1440" w:header="708" w:footer="708" w:gutter="0"/>
          <w:pgNumType w:start="1"/>
          <w:cols w:space="708"/>
          <w:docGrid w:linePitch="360"/>
        </w:sectPr>
      </w:pPr>
    </w:p>
    <w:p w:rsidR="009A2ECD" w:rsidRPr="006264D4" w:rsidRDefault="009A2ECD" w:rsidP="009A2ECD">
      <w:pPr>
        <w:pStyle w:val="ActHead2"/>
        <w:rPr>
          <w:rStyle w:val="CharSectno"/>
          <w:bCs w:val="0"/>
        </w:rPr>
      </w:pPr>
      <w:bookmarkStart w:id="1" w:name="_Toc466892561"/>
      <w:bookmarkStart w:id="2" w:name="_Toc472352501"/>
      <w:r w:rsidRPr="006264D4">
        <w:rPr>
          <w:rStyle w:val="CharSectno"/>
          <w:bCs w:val="0"/>
        </w:rPr>
        <w:lastRenderedPageBreak/>
        <w:t>Part 1—Preliminary</w:t>
      </w:r>
      <w:bookmarkEnd w:id="1"/>
      <w:bookmarkEnd w:id="2"/>
    </w:p>
    <w:p w:rsidR="009A2ECD" w:rsidRPr="006264D4" w:rsidRDefault="009A2ECD" w:rsidP="009A2ECD">
      <w:pPr>
        <w:keepNext/>
        <w:keepLines/>
        <w:spacing w:before="280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3" w:name="_Toc472352502"/>
      <w:r w:rsidRPr="006264D4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1  Name</w:t>
      </w:r>
      <w:bookmarkEnd w:id="3"/>
    </w:p>
    <w:p w:rsidR="009A2ECD" w:rsidRPr="006264D4" w:rsidRDefault="009A2ECD" w:rsidP="009A2ECD">
      <w:pPr>
        <w:tabs>
          <w:tab w:val="right" w:pos="1021"/>
        </w:tabs>
        <w:spacing w:before="180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the </w:t>
      </w:r>
      <w:bookmarkStart w:id="4" w:name="BKCheck15B_3"/>
      <w:bookmarkEnd w:id="4"/>
      <w:r w:rsidR="00202952">
        <w:rPr>
          <w:rFonts w:ascii="Times New Roman" w:eastAsia="Times New Roman" w:hAnsi="Times New Roman" w:cs="Times New Roman"/>
          <w:i/>
          <w:szCs w:val="20"/>
          <w:lang w:eastAsia="en-AU"/>
        </w:rPr>
        <w:t>Consumer Goods (Sunglasses and Fashion S</w:t>
      </w:r>
      <w:r w:rsidRPr="006264D4">
        <w:rPr>
          <w:rFonts w:ascii="Times New Roman" w:eastAsia="Times New Roman" w:hAnsi="Times New Roman" w:cs="Times New Roman"/>
          <w:i/>
          <w:szCs w:val="20"/>
          <w:lang w:eastAsia="en-AU"/>
        </w:rPr>
        <w:t>pectacles) Safety Standard 201</w:t>
      </w:r>
      <w:r>
        <w:rPr>
          <w:rFonts w:ascii="Times New Roman" w:eastAsia="Times New Roman" w:hAnsi="Times New Roman" w:cs="Times New Roman"/>
          <w:i/>
          <w:szCs w:val="20"/>
          <w:lang w:eastAsia="en-AU"/>
        </w:rPr>
        <w:t>7</w:t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9A2ECD" w:rsidRPr="006264D4" w:rsidRDefault="009A2ECD" w:rsidP="00202952">
      <w:pPr>
        <w:keepNext/>
        <w:keepLines/>
        <w:tabs>
          <w:tab w:val="left" w:pos="6150"/>
        </w:tabs>
        <w:spacing w:before="280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5" w:name="_Toc472352503"/>
      <w:r w:rsidRPr="006264D4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2  Commencement</w:t>
      </w:r>
      <w:bookmarkEnd w:id="5"/>
      <w:r w:rsidR="00202952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:rsidR="009A2ECD" w:rsidRPr="006264D4" w:rsidRDefault="009A2ECD" w:rsidP="009A2ECD">
      <w:pPr>
        <w:tabs>
          <w:tab w:val="right" w:pos="1021"/>
        </w:tabs>
        <w:spacing w:before="180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  <w:t>This instrument commences the day after this instrument is registered on the Federal Register of Legislation.</w:t>
      </w:r>
    </w:p>
    <w:p w:rsidR="009A2ECD" w:rsidRPr="006264D4" w:rsidRDefault="009A2ECD" w:rsidP="009A2ECD">
      <w:pPr>
        <w:keepNext/>
        <w:keepLines/>
        <w:spacing w:before="280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6" w:name="_Toc472352504"/>
      <w:r w:rsidRPr="006264D4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3  Authority</w:t>
      </w:r>
      <w:bookmarkEnd w:id="6"/>
    </w:p>
    <w:p w:rsidR="009A2ECD" w:rsidRPr="006264D4" w:rsidRDefault="009A2ECD" w:rsidP="009A2ECD">
      <w:pPr>
        <w:tabs>
          <w:tab w:val="right" w:pos="1021"/>
        </w:tabs>
        <w:spacing w:before="180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DA2B95">
        <w:rPr>
          <w:rFonts w:ascii="Times New Roman" w:eastAsia="Times New Roman" w:hAnsi="Times New Roman" w:cs="Times New Roman"/>
          <w:szCs w:val="20"/>
          <w:lang w:eastAsia="en-AU"/>
        </w:rPr>
        <w:t xml:space="preserve">This instrument is </w:t>
      </w:r>
      <w:r w:rsidR="00503332">
        <w:rPr>
          <w:rFonts w:ascii="Times New Roman" w:eastAsia="Times New Roman" w:hAnsi="Times New Roman" w:cs="Times New Roman"/>
          <w:szCs w:val="20"/>
          <w:lang w:eastAsia="en-AU"/>
        </w:rPr>
        <w:t>made</w:t>
      </w:r>
      <w:r w:rsidR="00503332" w:rsidRPr="00DA2B95">
        <w:rPr>
          <w:rFonts w:ascii="Times New Roman" w:eastAsia="Times New Roman" w:hAnsi="Times New Roman" w:cs="Times New Roman"/>
          <w:szCs w:val="20"/>
          <w:lang w:eastAsia="en-AU"/>
        </w:rPr>
        <w:t xml:space="preserve"> </w:t>
      </w:r>
      <w:r w:rsidRPr="00DA2B95">
        <w:rPr>
          <w:rFonts w:ascii="Times New Roman" w:eastAsia="Times New Roman" w:hAnsi="Times New Roman" w:cs="Times New Roman"/>
          <w:szCs w:val="20"/>
          <w:lang w:eastAsia="en-AU"/>
        </w:rPr>
        <w:t>under section</w:t>
      </w:r>
      <w:r w:rsidR="00503332">
        <w:rPr>
          <w:rFonts w:ascii="Times New Roman" w:eastAsia="Times New Roman" w:hAnsi="Times New Roman" w:cs="Times New Roman"/>
          <w:szCs w:val="20"/>
          <w:lang w:eastAsia="en-AU"/>
        </w:rPr>
        <w:t>s 104 and</w:t>
      </w:r>
      <w:r w:rsidRPr="00DA2B95">
        <w:rPr>
          <w:rFonts w:ascii="Times New Roman" w:eastAsia="Times New Roman" w:hAnsi="Times New Roman" w:cs="Times New Roman"/>
          <w:szCs w:val="20"/>
          <w:lang w:eastAsia="en-AU"/>
        </w:rPr>
        <w:t xml:space="preserve"> 105 of the Australian</w:t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 xml:space="preserve"> Consumer Law.</w:t>
      </w:r>
    </w:p>
    <w:p w:rsidR="009A2ECD" w:rsidRPr="006264D4" w:rsidRDefault="009A2ECD" w:rsidP="009A2ECD">
      <w:pPr>
        <w:spacing w:before="122" w:line="198" w:lineRule="exact"/>
        <w:ind w:left="1985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6264D4">
        <w:rPr>
          <w:rFonts w:ascii="Times New Roman" w:eastAsia="Times New Roman" w:hAnsi="Times New Roman" w:cs="Times New Roman"/>
          <w:sz w:val="18"/>
          <w:szCs w:val="20"/>
          <w:lang w:eastAsia="en-AU"/>
        </w:rPr>
        <w:t>Note:</w:t>
      </w:r>
      <w:r w:rsidRPr="006264D4"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  <w:t xml:space="preserve">The reference to the Australian Consumer Law is a reference to Schedule 2 to the </w:t>
      </w:r>
      <w:r w:rsidRPr="006264D4">
        <w:rPr>
          <w:rFonts w:ascii="Times New Roman" w:eastAsia="Times New Roman" w:hAnsi="Times New Roman" w:cs="Times New Roman"/>
          <w:i/>
          <w:sz w:val="18"/>
          <w:szCs w:val="20"/>
          <w:lang w:eastAsia="en-AU"/>
        </w:rPr>
        <w:t>Competition and Consumer Act 2010</w:t>
      </w:r>
      <w:r w:rsidRPr="006264D4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as it applies as a law of the Commonwealth, States and Territories: see section 140K of that Act and corresponding provisions of Acts of States and Territories applying that Schedule.</w:t>
      </w:r>
    </w:p>
    <w:p w:rsidR="009A2ECD" w:rsidRPr="006264D4" w:rsidRDefault="009A2ECD" w:rsidP="009A2ECD">
      <w:pPr>
        <w:keepNext/>
        <w:keepLines/>
        <w:spacing w:before="280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7" w:name="_Toc472352505"/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4</w:t>
      </w:r>
      <w:r w:rsidRPr="006264D4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 Schedules</w:t>
      </w:r>
    </w:p>
    <w:p w:rsidR="009A2ECD" w:rsidRDefault="009A2ECD" w:rsidP="009A2ECD">
      <w:pPr>
        <w:keepNext/>
        <w:keepLines/>
        <w:spacing w:before="280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r w:rsidRPr="006264D4">
        <w:rPr>
          <w:rFonts w:ascii="Times New Roman" w:eastAsia="Times New Roman" w:hAnsi="Times New Roman" w:cs="Times New Roman"/>
          <w:szCs w:val="20"/>
          <w:lang w:eastAsia="en-AU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D51E19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9A2ECD" w:rsidRPr="006264D4" w:rsidRDefault="009A2ECD" w:rsidP="009A2ECD">
      <w:pPr>
        <w:keepNext/>
        <w:keepLines/>
        <w:spacing w:before="280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5</w:t>
      </w:r>
      <w:r w:rsidRPr="006264D4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 Definitions</w:t>
      </w:r>
      <w:bookmarkEnd w:id="7"/>
    </w:p>
    <w:p w:rsidR="009A2ECD" w:rsidRPr="006264D4" w:rsidRDefault="009A2ECD" w:rsidP="009A2ECD">
      <w:pPr>
        <w:pStyle w:val="subsection"/>
        <w:ind w:firstLine="0"/>
      </w:pPr>
      <w:r w:rsidRPr="006264D4">
        <w:t>In this instrument:</w:t>
      </w:r>
    </w:p>
    <w:p w:rsidR="009A2ECD" w:rsidRDefault="009A2ECD" w:rsidP="009A2ECD">
      <w:pPr>
        <w:spacing w:before="180"/>
        <w:ind w:left="1134"/>
        <w:rPr>
          <w:rFonts w:ascii="Times New Roman" w:eastAsia="Times New Roman" w:hAnsi="Times New Roman" w:cs="Times New Roman"/>
          <w:szCs w:val="20"/>
          <w:lang w:eastAsia="en-AU"/>
        </w:rPr>
      </w:pPr>
      <w:r w:rsidRPr="006264D4">
        <w:rPr>
          <w:rFonts w:ascii="Times New Roman" w:eastAsia="Times New Roman" w:hAnsi="Times New Roman" w:cs="Times New Roman"/>
          <w:b/>
          <w:i/>
          <w:szCs w:val="20"/>
          <w:lang w:eastAsia="en-AU"/>
        </w:rPr>
        <w:t>Australian standard</w:t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 xml:space="preserve"> means the Australian/New Zealand standard AS/NZS 1067.1:2016</w:t>
      </w:r>
      <w:r w:rsidRPr="006264D4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 Eye and face protection - sunglasses and fashion spectacles </w:t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>published by, or on behalf of, Standards Australia</w:t>
      </w:r>
      <w:r w:rsidR="00503332">
        <w:rPr>
          <w:rFonts w:ascii="Times New Roman" w:eastAsia="Times New Roman" w:hAnsi="Times New Roman" w:cs="Times New Roman"/>
          <w:szCs w:val="20"/>
          <w:lang w:eastAsia="en-AU"/>
        </w:rPr>
        <w:t xml:space="preserve"> and Standards New Zealand</w:t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 xml:space="preserve">, as in force </w:t>
      </w:r>
      <w:r>
        <w:rPr>
          <w:rFonts w:ascii="Times New Roman" w:eastAsia="Times New Roman" w:hAnsi="Times New Roman" w:cs="Times New Roman"/>
          <w:szCs w:val="20"/>
          <w:lang w:eastAsia="en-AU"/>
        </w:rPr>
        <w:t>immediately before</w:t>
      </w:r>
      <w:r w:rsidRPr="006264D4">
        <w:rPr>
          <w:rFonts w:ascii="Times New Roman" w:eastAsia="Times New Roman" w:hAnsi="Times New Roman" w:cs="Times New Roman"/>
          <w:szCs w:val="20"/>
          <w:lang w:eastAsia="en-AU"/>
        </w:rPr>
        <w:t xml:space="preserve"> the commencement of this instrument.</w:t>
      </w:r>
    </w:p>
    <w:p w:rsidR="00402B05" w:rsidRDefault="00402B05" w:rsidP="00402B05">
      <w:pPr>
        <w:autoSpaceDE w:val="0"/>
        <w:autoSpaceDN w:val="0"/>
        <w:adjustRightInd w:val="0"/>
        <w:spacing w:before="0" w:line="184" w:lineRule="exact"/>
        <w:ind w:left="803" w:right="-20" w:firstLine="195"/>
        <w:rPr>
          <w:rFonts w:ascii="Times New Roman" w:hAnsi="Times New Roman" w:cs="Times New Roman"/>
          <w:sz w:val="18"/>
          <w:szCs w:val="18"/>
        </w:rPr>
      </w:pPr>
    </w:p>
    <w:p w:rsidR="00402B05" w:rsidRDefault="00402B05" w:rsidP="00402B05">
      <w:pPr>
        <w:autoSpaceDE w:val="0"/>
        <w:autoSpaceDN w:val="0"/>
        <w:adjustRightInd w:val="0"/>
        <w:spacing w:before="0" w:line="184" w:lineRule="exact"/>
        <w:ind w:left="803" w:right="-20" w:firstLine="19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N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te :       </w:t>
      </w:r>
      <w:r>
        <w:rPr>
          <w:rFonts w:ascii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str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ta</w:t>
      </w:r>
      <w:r>
        <w:rPr>
          <w:rFonts w:ascii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rd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ld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20</w:t>
      </w:r>
      <w:r>
        <w:rPr>
          <w:rFonts w:ascii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p</w:t>
      </w:r>
      <w:r>
        <w:rPr>
          <w:rFonts w:ascii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m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pacing w:val="4"/>
          <w:sz w:val="18"/>
          <w:szCs w:val="18"/>
        </w:rPr>
        <w:t>o</w:t>
      </w:r>
      <w:r>
        <w:rPr>
          <w:rFonts w:ascii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pacing w:val="6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’s</w:t>
      </w:r>
      <w:proofErr w:type="spellEnd"/>
      <w:r>
        <w:rPr>
          <w:rFonts w:ascii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site</w:t>
      </w:r>
    </w:p>
    <w:p w:rsidR="00402B05" w:rsidRDefault="00402B05" w:rsidP="00402B05">
      <w:pPr>
        <w:autoSpaceDE w:val="0"/>
        <w:autoSpaceDN w:val="0"/>
        <w:adjustRightInd w:val="0"/>
        <w:spacing w:before="1" w:line="208" w:lineRule="exact"/>
        <w:ind w:left="1700" w:right="185"/>
        <w:rPr>
          <w:rFonts w:ascii="Times New Roman" w:hAnsi="Times New Roman" w:cs="Times New Roman"/>
          <w:spacing w:val="-6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</w:t>
      </w:r>
      <w:r>
        <w:rPr>
          <w:rFonts w:ascii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sz w:val="18"/>
          <w:szCs w:val="18"/>
        </w:rPr>
        <w:t>tp</w:t>
      </w:r>
      <w:r>
        <w:rPr>
          <w:rFonts w:ascii="Times New Roman" w:hAnsi="Times New Roman" w:cs="Times New Roman"/>
          <w:sz w:val="18"/>
          <w:szCs w:val="18"/>
        </w:rPr>
        <w:t>s:</w:t>
      </w:r>
      <w:r>
        <w:rPr>
          <w:rFonts w:ascii="Times New Roman" w:hAnsi="Times New Roman" w:cs="Times New Roman"/>
          <w:spacing w:val="-2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/ww</w:t>
      </w:r>
      <w:r>
        <w:rPr>
          <w:rFonts w:ascii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.s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pacing w:val="1"/>
          <w:sz w:val="18"/>
          <w:szCs w:val="18"/>
        </w:rPr>
        <w:t>ob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pacing w:val="1"/>
          <w:sz w:val="18"/>
          <w:szCs w:val="18"/>
        </w:rPr>
        <w:t>.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).</w:t>
      </w:r>
      <w:r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str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/>
          <w:sz w:val="18"/>
          <w:szCs w:val="18"/>
        </w:rPr>
        <w:t xml:space="preserve">d </w:t>
      </w:r>
      <w:r>
        <w:rPr>
          <w:rFonts w:ascii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issi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br/>
        <w:t xml:space="preserve"> 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  </w:t>
      </w:r>
      <w:r>
        <w:rPr>
          <w:rFonts w:ascii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w w:val="99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18"/>
          <w:szCs w:val="18"/>
        </w:rPr>
        <w:t>c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f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rd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le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g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t </w:t>
      </w:r>
      <w:r>
        <w:rPr>
          <w:rFonts w:ascii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f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pacing w:val="-2"/>
          <w:sz w:val="18"/>
          <w:szCs w:val="18"/>
        </w:rPr>
        <w:t>ff</w:t>
      </w:r>
      <w:r>
        <w:rPr>
          <w:rFonts w:ascii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hAnsi="Times New Roman" w:cs="Times New Roman"/>
          <w:sz w:val="18"/>
          <w:szCs w:val="18"/>
        </w:rPr>
        <w:t>s,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hAnsi="Times New Roman" w:cs="Times New Roman"/>
          <w:sz w:val="18"/>
          <w:szCs w:val="18"/>
        </w:rPr>
        <w:t>je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 l</w:t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si</w:t>
      </w:r>
      <w:r>
        <w:rPr>
          <w:rFonts w:ascii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g</w:t>
      </w:r>
    </w:p>
    <w:p w:rsidR="00402B05" w:rsidRDefault="00402B05" w:rsidP="00402B05">
      <w:pPr>
        <w:autoSpaceDE w:val="0"/>
        <w:autoSpaceDN w:val="0"/>
        <w:adjustRightInd w:val="0"/>
        <w:spacing w:before="1" w:line="208" w:lineRule="exact"/>
        <w:ind w:left="1700" w:right="1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6"/>
          <w:sz w:val="18"/>
          <w:szCs w:val="18"/>
        </w:rPr>
        <w:t xml:space="preserve">  </w:t>
      </w:r>
      <w:r w:rsidR="004A6FB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6"/>
          <w:sz w:val="18"/>
          <w:szCs w:val="18"/>
        </w:rPr>
        <w:t xml:space="preserve">  c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sz w:val="18"/>
          <w:szCs w:val="18"/>
        </w:rPr>
        <w:t>s.</w:t>
      </w:r>
    </w:p>
    <w:p w:rsidR="004A6FBF" w:rsidRPr="00CB13F3" w:rsidRDefault="004A6FBF" w:rsidP="004A6FBF">
      <w:pPr>
        <w:spacing w:before="180"/>
        <w:ind w:left="1134"/>
        <w:rPr>
          <w:rFonts w:ascii="Times New Roman" w:eastAsia="Times New Roman" w:hAnsi="Times New Roman" w:cs="Times New Roman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en-AU"/>
        </w:rPr>
        <w:t>s</w:t>
      </w:r>
      <w:r w:rsidRPr="00CB13F3">
        <w:rPr>
          <w:rFonts w:ascii="Times New Roman" w:eastAsia="Times New Roman" w:hAnsi="Times New Roman" w:cs="Times New Roman"/>
          <w:b/>
          <w:i/>
          <w:szCs w:val="20"/>
          <w:lang w:eastAsia="en-AU"/>
        </w:rPr>
        <w:t>unglasses and fashion spectacles</w:t>
      </w:r>
      <w:r w:rsidRPr="00CB13F3">
        <w:rPr>
          <w:rFonts w:ascii="Times New Roman" w:eastAsia="Times New Roman" w:hAnsi="Times New Roman" w:cs="Times New Roman"/>
          <w:szCs w:val="20"/>
          <w:lang w:eastAsia="en-AU"/>
        </w:rPr>
        <w:t xml:space="preserve"> means: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hanging="502"/>
      </w:pPr>
      <w:r>
        <w:t>s</w:t>
      </w:r>
      <w:r w:rsidRPr="00CB13F3">
        <w:t>pectacles comprising nominally afocal (</w:t>
      </w:r>
      <w:proofErr w:type="spellStart"/>
      <w:r w:rsidRPr="00CB13F3">
        <w:t>plano</w:t>
      </w:r>
      <w:proofErr w:type="spellEnd"/>
      <w:r w:rsidRPr="00CB13F3">
        <w:t xml:space="preserve"> power) filters mounted in a spectacle frame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left="1701" w:hanging="425"/>
      </w:pPr>
      <w:r>
        <w:t>i</w:t>
      </w:r>
      <w:r w:rsidRPr="00CB13F3">
        <w:t>ndividual nominally afocal (</w:t>
      </w:r>
      <w:proofErr w:type="spellStart"/>
      <w:r w:rsidRPr="00CB13F3">
        <w:t>plano</w:t>
      </w:r>
      <w:proofErr w:type="spellEnd"/>
      <w:r w:rsidRPr="00CB13F3">
        <w:t xml:space="preserve"> power) filters intended for use in sunglasses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left="1701" w:hanging="425"/>
      </w:pPr>
      <w:r>
        <w:t>r</w:t>
      </w:r>
      <w:r w:rsidRPr="00CB13F3">
        <w:t>imless sunshields and one-piece visors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left="1701" w:hanging="425"/>
      </w:pPr>
      <w:r>
        <w:t>c</w:t>
      </w:r>
      <w:r w:rsidRPr="00CB13F3">
        <w:t>lip-on and slip-on type sunglasses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left="1701" w:hanging="425"/>
      </w:pPr>
      <w:r>
        <w:t>c</w:t>
      </w:r>
      <w:r w:rsidRPr="00CB13F3">
        <w:t>hildren</w:t>
      </w:r>
      <w:r w:rsidRPr="00CB13F3">
        <w:rPr>
          <w:rFonts w:hint="eastAsia"/>
        </w:rPr>
        <w:t>’</w:t>
      </w:r>
      <w:r w:rsidRPr="00CB13F3">
        <w:t>s sunglasses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left="1701" w:hanging="425"/>
      </w:pPr>
      <w:r>
        <w:t>f</w:t>
      </w:r>
      <w:r w:rsidRPr="00CB13F3">
        <w:t>ashion spectacles/light tint sunglasses</w:t>
      </w:r>
      <w:r w:rsidR="00D51E19">
        <w:t xml:space="preserve">; </w:t>
      </w:r>
    </w:p>
    <w:p w:rsidR="004A6FBF" w:rsidRDefault="004A6FBF" w:rsidP="004A6FBF">
      <w:pPr>
        <w:pStyle w:val="Definition"/>
      </w:pPr>
      <w:r>
        <w:t>but does not include:</w:t>
      </w:r>
    </w:p>
    <w:p w:rsidR="00BC6F6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left="1701" w:hanging="425"/>
        <w:sectPr w:rsidR="00BC6F63" w:rsidSect="00C071AC">
          <w:headerReference w:type="default" r:id="rId17"/>
          <w:footerReference w:type="default" r:id="rId18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  <w:r>
        <w:t>p</w:t>
      </w:r>
      <w:r w:rsidRPr="00CB13F3">
        <w:t>rescription and readymade spectacles</w:t>
      </w:r>
      <w:r>
        <w:t>; or</w:t>
      </w:r>
    </w:p>
    <w:p w:rsidR="004A6FBF" w:rsidRPr="00CB13F3" w:rsidRDefault="004A6FBF" w:rsidP="00A80560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spacing w:before="120"/>
        <w:ind w:left="1781" w:hanging="505"/>
      </w:pPr>
      <w:r>
        <w:lastRenderedPageBreak/>
        <w:t>s</w:t>
      </w:r>
      <w:r w:rsidRPr="00CB13F3">
        <w:t>afety glasses and safety goggles intended to provide protection against optical radiation other than from the sun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hanging="502"/>
      </w:pPr>
      <w:r>
        <w:t>e</w:t>
      </w:r>
      <w:r w:rsidRPr="00CB13F3">
        <w:t>yewear for protection against radiation in solaria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hanging="502"/>
      </w:pPr>
      <w:r>
        <w:t>e</w:t>
      </w:r>
      <w:r w:rsidRPr="00CB13F3">
        <w:t>ye protectors for sport</w:t>
      </w:r>
      <w:r>
        <w:t>; or</w:t>
      </w:r>
    </w:p>
    <w:p w:rsidR="004A6FBF" w:rsidRPr="00CB13F3" w:rsidRDefault="004A6FBF" w:rsidP="004A6FBF">
      <w:pPr>
        <w:pStyle w:val="paragraph"/>
        <w:numPr>
          <w:ilvl w:val="0"/>
          <w:numId w:val="28"/>
        </w:numPr>
        <w:tabs>
          <w:tab w:val="clear" w:pos="1531"/>
          <w:tab w:val="right" w:pos="1701"/>
        </w:tabs>
        <w:ind w:hanging="502"/>
      </w:pPr>
      <w:r>
        <w:rPr>
          <w:kern w:val="28"/>
        </w:rPr>
        <w:t>s</w:t>
      </w:r>
      <w:r w:rsidRPr="00CB13F3">
        <w:rPr>
          <w:kern w:val="28"/>
        </w:rPr>
        <w:t>unglasses for use as toys and clearly and legibly labelled as toys.</w:t>
      </w:r>
    </w:p>
    <w:p w:rsidR="004A6FBF" w:rsidRDefault="004A6FBF" w:rsidP="00402B05">
      <w:pPr>
        <w:autoSpaceDE w:val="0"/>
        <w:autoSpaceDN w:val="0"/>
        <w:adjustRightInd w:val="0"/>
        <w:spacing w:before="1" w:line="208" w:lineRule="exact"/>
        <w:ind w:left="1700" w:right="185"/>
        <w:rPr>
          <w:rFonts w:ascii="Times New Roman" w:hAnsi="Times New Roman" w:cs="Times New Roman"/>
          <w:sz w:val="18"/>
          <w:szCs w:val="18"/>
        </w:rPr>
      </w:pPr>
    </w:p>
    <w:p w:rsidR="009A2ECD" w:rsidRDefault="009A2ECD" w:rsidP="009A2ECD">
      <w:pPr>
        <w:spacing w:before="180"/>
        <w:ind w:left="1134"/>
        <w:rPr>
          <w:rFonts w:ascii="Times New Roman" w:eastAsia="Times New Roman" w:hAnsi="Times New Roman" w:cs="Times New Roman"/>
          <w:b/>
          <w:i/>
          <w:szCs w:val="20"/>
          <w:lang w:eastAsia="en-AU"/>
        </w:rPr>
        <w:sectPr w:rsidR="009A2ECD" w:rsidSect="00C071AC">
          <w:headerReference w:type="default" r:id="rId19"/>
          <w:footerReference w:type="default" r:id="rId20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9A2ECD" w:rsidRPr="005A0BF3" w:rsidRDefault="009A2ECD" w:rsidP="009A2ECD">
      <w:pPr>
        <w:pStyle w:val="ActHead2"/>
        <w:rPr>
          <w:rStyle w:val="CharPartNo"/>
        </w:rPr>
      </w:pPr>
      <w:bookmarkStart w:id="8" w:name="_Toc472352507"/>
      <w:r w:rsidRPr="00F13B3B">
        <w:rPr>
          <w:rStyle w:val="CharPartNo"/>
        </w:rPr>
        <w:lastRenderedPageBreak/>
        <w:t>Part</w:t>
      </w:r>
      <w:r>
        <w:rPr>
          <w:rStyle w:val="CharPartNo"/>
        </w:rPr>
        <w:t xml:space="preserve"> 2</w:t>
      </w:r>
      <w:r w:rsidRPr="005A0BF3">
        <w:rPr>
          <w:rStyle w:val="CharPartNo"/>
        </w:rPr>
        <w:t>—</w:t>
      </w:r>
      <w:bookmarkEnd w:id="8"/>
      <w:r>
        <w:rPr>
          <w:rStyle w:val="CharPartNo"/>
        </w:rPr>
        <w:t>Safety standards</w:t>
      </w:r>
    </w:p>
    <w:p w:rsidR="009A2ECD" w:rsidRDefault="009A2ECD" w:rsidP="009A2ECD">
      <w:pPr>
        <w:pStyle w:val="ActHead5"/>
      </w:pPr>
      <w:bookmarkStart w:id="9" w:name="_Toc472352508"/>
      <w:r>
        <w:rPr>
          <w:rStyle w:val="CharSectno"/>
        </w:rPr>
        <w:t>6</w:t>
      </w:r>
      <w:r w:rsidRPr="0095744C">
        <w:t xml:space="preserve">  </w:t>
      </w:r>
      <w:r>
        <w:t>R</w:t>
      </w:r>
      <w:r w:rsidRPr="0095744C">
        <w:t xml:space="preserve">equirements </w:t>
      </w:r>
      <w:r>
        <w:t xml:space="preserve">for sunglasses and fashion spectacles </w:t>
      </w:r>
      <w:r w:rsidRPr="0095744C">
        <w:t xml:space="preserve">before </w:t>
      </w:r>
      <w:bookmarkEnd w:id="9"/>
      <w:r>
        <w:t xml:space="preserve">1 </w:t>
      </w:r>
      <w:r w:rsidR="00467A21">
        <w:t>July 2019</w:t>
      </w:r>
    </w:p>
    <w:p w:rsidR="009A2ECD" w:rsidRDefault="009A2ECD" w:rsidP="009A2ECD">
      <w:pPr>
        <w:pStyle w:val="subsection"/>
        <w:numPr>
          <w:ilvl w:val="0"/>
          <w:numId w:val="29"/>
        </w:numPr>
      </w:pPr>
      <w:r>
        <w:t xml:space="preserve">Before 1 </w:t>
      </w:r>
      <w:r w:rsidR="00467A21">
        <w:t>July 2019</w:t>
      </w:r>
      <w:r>
        <w:t xml:space="preserve">, sunglasses and fashion spectacles </w:t>
      </w:r>
      <w:r w:rsidRPr="00F13B3B">
        <w:t xml:space="preserve">must </w:t>
      </w:r>
      <w:r>
        <w:t>comply with:</w:t>
      </w:r>
    </w:p>
    <w:p w:rsidR="00483129" w:rsidRDefault="00D51E19" w:rsidP="00D51E19">
      <w:pPr>
        <w:pStyle w:val="subsection"/>
        <w:numPr>
          <w:ilvl w:val="1"/>
          <w:numId w:val="29"/>
        </w:numPr>
      </w:pPr>
      <w:r w:rsidRPr="00D51E19">
        <w:t xml:space="preserve">the Consumer </w:t>
      </w:r>
      <w:r>
        <w:t xml:space="preserve">Product </w:t>
      </w:r>
      <w:r w:rsidRPr="00D51E19">
        <w:t>Safety Standard: Sunglasses and fashion spectacles (Consumer Protection Notice No. 13 of 2003), as in force immediately before the commencement of this instrument; or</w:t>
      </w:r>
      <w:r>
        <w:t xml:space="preserve"> </w:t>
      </w:r>
    </w:p>
    <w:p w:rsidR="009A2ECD" w:rsidRDefault="009A2ECD" w:rsidP="009A2ECD">
      <w:pPr>
        <w:pStyle w:val="subsection"/>
        <w:numPr>
          <w:ilvl w:val="1"/>
          <w:numId w:val="29"/>
        </w:numPr>
      </w:pPr>
      <w:r w:rsidRPr="007471AD">
        <w:t>the Australian standard as varied by section 8</w:t>
      </w:r>
      <w:r>
        <w:t xml:space="preserve"> of this instrument</w:t>
      </w:r>
      <w:r w:rsidRPr="007471AD">
        <w:t>.</w:t>
      </w:r>
    </w:p>
    <w:p w:rsidR="00D51E19" w:rsidRPr="007471AD" w:rsidRDefault="00D51E19" w:rsidP="00D51E19">
      <w:pPr>
        <w:pStyle w:val="notetext"/>
      </w:pPr>
      <w:r>
        <w:t xml:space="preserve">      Note</w:t>
      </w:r>
      <w:r w:rsidRPr="00C83309">
        <w:t>:</w:t>
      </w:r>
      <w:r w:rsidRPr="00C83309">
        <w:tab/>
        <w:t xml:space="preserve">The </w:t>
      </w:r>
      <w:r w:rsidRPr="00D51E19">
        <w:t xml:space="preserve">Consumer Product Safety Standard: Sunglasses and fashion spectacles </w:t>
      </w:r>
      <w:r w:rsidRPr="00C83309">
        <w:t>could in 201</w:t>
      </w:r>
      <w:r>
        <w:t>7</w:t>
      </w:r>
      <w:r w:rsidRPr="00C83309">
        <w:t xml:space="preserve"> be viewed on the Federal Register of Legislation website (</w:t>
      </w:r>
      <w:hyperlink r:id="rId21" w:history="1">
        <w:r w:rsidRPr="00C85480">
          <w:rPr>
            <w:rStyle w:val="Hyperlink"/>
            <w:rFonts w:ascii="Times New Roman" w:hAnsi="Times New Roman"/>
            <w:sz w:val="18"/>
          </w:rPr>
          <w:t>https://www.legislation.gov.au</w:t>
        </w:r>
      </w:hyperlink>
      <w:r w:rsidRPr="00C83309">
        <w:t>).</w:t>
      </w:r>
    </w:p>
    <w:p w:rsidR="009A2ECD" w:rsidRDefault="009A2ECD" w:rsidP="009A2ECD">
      <w:pPr>
        <w:pStyle w:val="subsection"/>
        <w:numPr>
          <w:ilvl w:val="0"/>
          <w:numId w:val="29"/>
        </w:numPr>
      </w:pPr>
      <w:r w:rsidRPr="00F13B3B">
        <w:t xml:space="preserve">This section is repealed </w:t>
      </w:r>
      <w:r>
        <w:t xml:space="preserve">at the start of 1 </w:t>
      </w:r>
      <w:r w:rsidR="00467A21">
        <w:t>July 2019</w:t>
      </w:r>
      <w:r>
        <w:t>.</w:t>
      </w:r>
    </w:p>
    <w:p w:rsidR="009A2ECD" w:rsidRPr="007471AD" w:rsidRDefault="009A2ECD" w:rsidP="009A2ECD">
      <w:pPr>
        <w:pStyle w:val="ActHead5"/>
      </w:pPr>
      <w:bookmarkStart w:id="10" w:name="_Toc472352509"/>
      <w:r w:rsidRPr="007471AD">
        <w:rPr>
          <w:rStyle w:val="CharSectno"/>
        </w:rPr>
        <w:t>7</w:t>
      </w:r>
      <w:r w:rsidRPr="007471AD">
        <w:t xml:space="preserve">  Requirements for sunglasses and fashion spectacles on and after </w:t>
      </w:r>
      <w:bookmarkEnd w:id="10"/>
      <w:r w:rsidRPr="007471AD">
        <w:t xml:space="preserve">1 </w:t>
      </w:r>
      <w:r w:rsidR="0014315B">
        <w:t>July</w:t>
      </w:r>
      <w:r w:rsidR="0014315B" w:rsidRPr="007471AD">
        <w:t xml:space="preserve"> 20</w:t>
      </w:r>
      <w:r w:rsidR="0014315B">
        <w:t>19</w:t>
      </w:r>
    </w:p>
    <w:p w:rsidR="009A2ECD" w:rsidRDefault="009A2ECD" w:rsidP="009A2ECD">
      <w:pPr>
        <w:pStyle w:val="subsection"/>
      </w:pPr>
      <w:r w:rsidRPr="007471AD">
        <w:tab/>
      </w:r>
      <w:r w:rsidRPr="007471AD">
        <w:tab/>
        <w:t xml:space="preserve">On and after 1 </w:t>
      </w:r>
      <w:r w:rsidR="0014315B">
        <w:t>July</w:t>
      </w:r>
      <w:r w:rsidR="0014315B" w:rsidRPr="007471AD">
        <w:t xml:space="preserve"> 20</w:t>
      </w:r>
      <w:r w:rsidR="0014315B">
        <w:t>19</w:t>
      </w:r>
      <w:r w:rsidRPr="007471AD">
        <w:t xml:space="preserve">, the Australian standard as varied by section 8 </w:t>
      </w:r>
      <w:r>
        <w:t xml:space="preserve">of this instrument </w:t>
      </w:r>
      <w:r w:rsidRPr="007471AD">
        <w:t>is declared to be a safety standard for sunglasses and fashion spectacles.</w:t>
      </w:r>
    </w:p>
    <w:p w:rsidR="009A2ECD" w:rsidRPr="007F18B9" w:rsidRDefault="009A2ECD" w:rsidP="009A2ECD">
      <w:pPr>
        <w:pStyle w:val="ActHead5"/>
      </w:pPr>
      <w:bookmarkStart w:id="11" w:name="_Toc472352511"/>
      <w:r>
        <w:t>8</w:t>
      </w:r>
      <w:r w:rsidRPr="0095744C">
        <w:t xml:space="preserve">  </w:t>
      </w:r>
      <w:r>
        <w:t xml:space="preserve">Variations to the </w:t>
      </w:r>
      <w:r w:rsidRPr="007F18B9">
        <w:t>Australian standard</w:t>
      </w:r>
      <w:bookmarkEnd w:id="11"/>
    </w:p>
    <w:p w:rsidR="009A2ECD" w:rsidRPr="00D602D1" w:rsidRDefault="009A2ECD" w:rsidP="009A2ECD">
      <w:pPr>
        <w:pStyle w:val="subsection"/>
      </w:pPr>
      <w:r w:rsidRPr="007471AD">
        <w:tab/>
      </w:r>
      <w:r w:rsidRPr="007471AD">
        <w:tab/>
      </w:r>
      <w:r w:rsidR="001334B9" w:rsidRPr="001334B9">
        <w:t xml:space="preserve">For the purposes of this </w:t>
      </w:r>
      <w:r w:rsidR="00D51E19">
        <w:t>Part</w:t>
      </w:r>
      <w:r w:rsidR="001334B9" w:rsidRPr="001334B9">
        <w:t>, the Australian Standard is varied by deleting the following:</w:t>
      </w:r>
      <w:r w:rsidR="001334B9">
        <w:t xml:space="preserve"> </w:t>
      </w:r>
    </w:p>
    <w:p w:rsidR="00467A21" w:rsidRDefault="00467A21" w:rsidP="009A2ECD">
      <w:pPr>
        <w:pStyle w:val="subsection"/>
        <w:ind w:left="1717" w:hanging="357"/>
      </w:pPr>
      <w:r>
        <w:t>(a)</w:t>
      </w:r>
      <w:r>
        <w:tab/>
        <w:t>clause 1;</w:t>
      </w:r>
    </w:p>
    <w:p w:rsidR="009A2ECD" w:rsidRPr="00D602D1" w:rsidRDefault="009A2ECD" w:rsidP="009A2ECD">
      <w:pPr>
        <w:pStyle w:val="subsection"/>
        <w:ind w:left="1717" w:hanging="357"/>
      </w:pPr>
      <w:r w:rsidRPr="00D602D1">
        <w:t>(</w:t>
      </w:r>
      <w:r w:rsidR="00467A21">
        <w:t>b</w:t>
      </w:r>
      <w:r w:rsidRPr="00D602D1">
        <w:t>)</w:t>
      </w:r>
      <w:r w:rsidRPr="00D602D1">
        <w:tab/>
        <w:t>clause 4.2</w:t>
      </w:r>
      <w:r w:rsidR="001334B9">
        <w:t>;</w:t>
      </w:r>
    </w:p>
    <w:p w:rsidR="009A2ECD" w:rsidRPr="00D602D1" w:rsidRDefault="009A2ECD" w:rsidP="009A2ECD">
      <w:pPr>
        <w:pStyle w:val="subsection"/>
        <w:ind w:left="1717" w:hanging="357"/>
      </w:pPr>
      <w:r w:rsidRPr="00D602D1">
        <w:t>(</w:t>
      </w:r>
      <w:r w:rsidR="00467A21">
        <w:t>c</w:t>
      </w:r>
      <w:r w:rsidRPr="00D602D1">
        <w:t>)</w:t>
      </w:r>
      <w:r w:rsidRPr="00D602D1">
        <w:tab/>
        <w:t>clause 4.3</w:t>
      </w:r>
      <w:r w:rsidR="001334B9">
        <w:t>;</w:t>
      </w:r>
    </w:p>
    <w:p w:rsidR="009A2ECD" w:rsidRPr="00D602D1" w:rsidRDefault="009A2ECD" w:rsidP="009A2ECD">
      <w:pPr>
        <w:pStyle w:val="subsection"/>
        <w:ind w:left="1717" w:hanging="357"/>
      </w:pPr>
      <w:r w:rsidRPr="00D602D1">
        <w:t>(</w:t>
      </w:r>
      <w:r w:rsidR="00467A21">
        <w:t>d</w:t>
      </w:r>
      <w:r w:rsidRPr="00D602D1">
        <w:t>)</w:t>
      </w:r>
      <w:r w:rsidRPr="00D602D1">
        <w:tab/>
        <w:t>clause 7.4</w:t>
      </w:r>
      <w:r w:rsidR="001334B9">
        <w:t>;</w:t>
      </w:r>
    </w:p>
    <w:p w:rsidR="009A2ECD" w:rsidRPr="00D602D1" w:rsidRDefault="009A2ECD" w:rsidP="009A2ECD">
      <w:pPr>
        <w:pStyle w:val="subsection"/>
        <w:ind w:left="1717" w:hanging="357"/>
      </w:pPr>
      <w:r w:rsidRPr="00D602D1">
        <w:t>(</w:t>
      </w:r>
      <w:r w:rsidR="00467A21">
        <w:t>e</w:t>
      </w:r>
      <w:r w:rsidRPr="00D602D1">
        <w:t>)</w:t>
      </w:r>
      <w:r w:rsidRPr="00D602D1">
        <w:tab/>
        <w:t>clause 7.5</w:t>
      </w:r>
      <w:r w:rsidR="001334B9">
        <w:t>;</w:t>
      </w:r>
    </w:p>
    <w:p w:rsidR="009A2ECD" w:rsidRPr="00D602D1" w:rsidRDefault="009A2ECD" w:rsidP="009A2ECD">
      <w:pPr>
        <w:pStyle w:val="subsection"/>
        <w:ind w:left="1717" w:hanging="357"/>
      </w:pPr>
      <w:r w:rsidRPr="00D602D1">
        <w:t>(</w:t>
      </w:r>
      <w:r w:rsidR="00467A21">
        <w:t>f</w:t>
      </w:r>
      <w:r w:rsidRPr="00D602D1">
        <w:t>)</w:t>
      </w:r>
      <w:r w:rsidRPr="00D602D1">
        <w:tab/>
        <w:t>clause 7.6</w:t>
      </w:r>
      <w:r w:rsidR="001334B9">
        <w:t>;</w:t>
      </w:r>
    </w:p>
    <w:p w:rsidR="00467A21" w:rsidRDefault="00467A21" w:rsidP="009A2ECD">
      <w:pPr>
        <w:pStyle w:val="subsection"/>
        <w:ind w:left="1717" w:hanging="357"/>
      </w:pPr>
      <w:r>
        <w:t>(g)</w:t>
      </w:r>
      <w:r>
        <w:tab/>
        <w:t>clause 8;</w:t>
      </w:r>
    </w:p>
    <w:p w:rsidR="009A2ECD" w:rsidRPr="00D602D1" w:rsidRDefault="009A2ECD" w:rsidP="009A2ECD">
      <w:pPr>
        <w:pStyle w:val="subsection"/>
        <w:ind w:left="1717" w:hanging="357"/>
      </w:pPr>
      <w:r w:rsidRPr="00D602D1">
        <w:t>(</w:t>
      </w:r>
      <w:r w:rsidR="00467A21">
        <w:t>h</w:t>
      </w:r>
      <w:r w:rsidRPr="00D602D1">
        <w:t>)</w:t>
      </w:r>
      <w:r w:rsidRPr="00D602D1">
        <w:tab/>
        <w:t>clause 10</w:t>
      </w:r>
      <w:r w:rsidR="001334B9">
        <w:t>;</w:t>
      </w:r>
    </w:p>
    <w:p w:rsidR="009A2ECD" w:rsidRPr="00F75007" w:rsidRDefault="009A2ECD" w:rsidP="009A2ECD">
      <w:pPr>
        <w:pStyle w:val="subsection"/>
        <w:ind w:left="1717" w:hanging="357"/>
      </w:pPr>
      <w:r w:rsidRPr="00F75007">
        <w:t>(</w:t>
      </w:r>
      <w:proofErr w:type="spellStart"/>
      <w:r w:rsidR="00467A21">
        <w:t>i</w:t>
      </w:r>
      <w:proofErr w:type="spellEnd"/>
      <w:r w:rsidRPr="00F75007">
        <w:t>)</w:t>
      </w:r>
      <w:r w:rsidRPr="00F75007">
        <w:tab/>
        <w:t>clause 12.1(c)</w:t>
      </w:r>
      <w:r w:rsidR="001334B9">
        <w:t>;</w:t>
      </w:r>
    </w:p>
    <w:p w:rsidR="009A2ECD" w:rsidRPr="00F75007" w:rsidRDefault="009A2ECD" w:rsidP="009A2ECD">
      <w:pPr>
        <w:pStyle w:val="subsection"/>
        <w:ind w:left="1717" w:hanging="357"/>
      </w:pPr>
      <w:r w:rsidRPr="00F75007">
        <w:t>(</w:t>
      </w:r>
      <w:r w:rsidR="00467A21">
        <w:t>j</w:t>
      </w:r>
      <w:r w:rsidRPr="00F75007">
        <w:t>)</w:t>
      </w:r>
      <w:r w:rsidRPr="00F75007">
        <w:tab/>
        <w:t>clause 12.2(a)</w:t>
      </w:r>
      <w:r w:rsidR="001334B9">
        <w:t>;</w:t>
      </w:r>
    </w:p>
    <w:p w:rsidR="009A2ECD" w:rsidRPr="00F75007" w:rsidRDefault="009A2ECD" w:rsidP="009A2ECD">
      <w:pPr>
        <w:pStyle w:val="subsection"/>
        <w:ind w:left="1717" w:hanging="357"/>
      </w:pPr>
      <w:r w:rsidRPr="00F75007">
        <w:t>(</w:t>
      </w:r>
      <w:r w:rsidR="00467A21">
        <w:t>k</w:t>
      </w:r>
      <w:r w:rsidRPr="00F75007">
        <w:t>)</w:t>
      </w:r>
      <w:r w:rsidRPr="00F75007">
        <w:tab/>
        <w:t>clause 12.2(c)</w:t>
      </w:r>
      <w:r w:rsidR="001334B9">
        <w:t>;</w:t>
      </w:r>
    </w:p>
    <w:p w:rsidR="009A2ECD" w:rsidRPr="00F75007" w:rsidRDefault="009A2ECD" w:rsidP="009A2ECD">
      <w:pPr>
        <w:pStyle w:val="subsection"/>
        <w:ind w:left="1717" w:hanging="357"/>
      </w:pPr>
      <w:r w:rsidRPr="00F75007">
        <w:t>(</w:t>
      </w:r>
      <w:r w:rsidR="00467A21">
        <w:t>l</w:t>
      </w:r>
      <w:r w:rsidRPr="00F75007">
        <w:t>)</w:t>
      </w:r>
      <w:r w:rsidRPr="00F75007">
        <w:tab/>
        <w:t>clause 12.3.2</w:t>
      </w:r>
      <w:r w:rsidR="001334B9">
        <w:t>;</w:t>
      </w:r>
    </w:p>
    <w:p w:rsidR="009A2ECD" w:rsidRPr="00F75007" w:rsidRDefault="009A2ECD" w:rsidP="009A2ECD">
      <w:pPr>
        <w:pStyle w:val="subsection"/>
        <w:ind w:left="1717" w:hanging="357"/>
      </w:pPr>
      <w:r w:rsidRPr="00F75007">
        <w:t>(</w:t>
      </w:r>
      <w:r w:rsidR="00467A21">
        <w:t>m</w:t>
      </w:r>
      <w:r w:rsidRPr="00F75007">
        <w:t>)</w:t>
      </w:r>
      <w:r w:rsidRPr="00F75007">
        <w:tab/>
        <w:t>the NOTE to clause 13.1</w:t>
      </w:r>
      <w:r w:rsidR="001334B9">
        <w:t>.</w:t>
      </w:r>
    </w:p>
    <w:p w:rsidR="009A2ECD" w:rsidRDefault="009A2ECD" w:rsidP="009A2ECD">
      <w:pPr>
        <w:pStyle w:val="subsection"/>
        <w:ind w:left="720" w:hanging="360"/>
        <w:rPr>
          <w:szCs w:val="22"/>
        </w:rPr>
        <w:sectPr w:rsidR="009A2ECD" w:rsidSect="00911273">
          <w:headerReference w:type="even" r:id="rId22"/>
          <w:headerReference w:type="default" r:id="rId23"/>
          <w:footerReference w:type="even" r:id="rId24"/>
          <w:footerReference w:type="default" r:id="rId25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9A2ECD" w:rsidRPr="009800B8" w:rsidRDefault="009A2ECD" w:rsidP="009A2ECD">
      <w:pPr>
        <w:keepNext/>
        <w:keepLines/>
        <w:spacing w:before="0"/>
        <w:outlineLvl w:val="5"/>
        <w:rPr>
          <w:rFonts w:eastAsia="Times New Roman" w:cs="Times New Roman"/>
          <w:b/>
          <w:kern w:val="28"/>
          <w:sz w:val="32"/>
          <w:szCs w:val="20"/>
          <w:lang w:eastAsia="en-AU"/>
        </w:rPr>
      </w:pPr>
      <w:bookmarkStart w:id="12" w:name="_Toc472352513"/>
      <w:r w:rsidRPr="009800B8">
        <w:rPr>
          <w:rFonts w:eastAsia="Times New Roman" w:cs="Times New Roman"/>
          <w:b/>
          <w:kern w:val="28"/>
          <w:sz w:val="32"/>
          <w:szCs w:val="20"/>
          <w:lang w:eastAsia="en-AU"/>
        </w:rPr>
        <w:lastRenderedPageBreak/>
        <w:t>Schedule 1—Repeals</w:t>
      </w:r>
      <w:bookmarkEnd w:id="12"/>
    </w:p>
    <w:p w:rsidR="009A2ECD" w:rsidRPr="009800B8" w:rsidRDefault="009A2ECD" w:rsidP="009A2ECD">
      <w:pPr>
        <w:keepNext/>
        <w:keepLines/>
        <w:spacing w:before="280"/>
        <w:ind w:left="1134" w:hanging="1134"/>
        <w:outlineLvl w:val="8"/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</w:pPr>
      <w:bookmarkStart w:id="13" w:name="_Toc472352514"/>
      <w:r w:rsidRPr="009800B8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 xml:space="preserve">Consumer Product Safety Standard: Sunglasses and fashion spectacles (Consumer Protection Notice No.13 of 2003 made under </w:t>
      </w:r>
      <w:r w:rsidR="001334B9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sub</w:t>
      </w:r>
      <w:r w:rsidRPr="009800B8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</w:rPr>
        <w:t>section 65E(1) of the Trade Practices Act 1974) (Federal Register of Legislation No. F2008C00606)</w:t>
      </w:r>
      <w:bookmarkEnd w:id="13"/>
    </w:p>
    <w:p w:rsidR="009A2ECD" w:rsidRPr="009800B8" w:rsidRDefault="009A2ECD" w:rsidP="009A2ECD">
      <w:pPr>
        <w:keepNext/>
        <w:keepLines/>
        <w:spacing w:before="220"/>
        <w:ind w:left="709" w:hanging="709"/>
        <w:rPr>
          <w:rFonts w:eastAsia="Times New Roman" w:cs="Times New Roman"/>
          <w:b/>
          <w:kern w:val="28"/>
          <w:sz w:val="24"/>
          <w:szCs w:val="20"/>
          <w:lang w:eastAsia="en-AU"/>
        </w:rPr>
      </w:pPr>
      <w:r w:rsidRPr="009800B8">
        <w:rPr>
          <w:rFonts w:eastAsia="Times New Roman" w:cs="Times New Roman"/>
          <w:b/>
          <w:kern w:val="28"/>
          <w:sz w:val="24"/>
          <w:szCs w:val="20"/>
          <w:lang w:eastAsia="en-AU"/>
        </w:rPr>
        <w:t xml:space="preserve">1  </w:t>
      </w:r>
      <w:r w:rsidR="004E1FBF">
        <w:rPr>
          <w:rFonts w:eastAsia="Times New Roman" w:cs="Times New Roman"/>
          <w:b/>
          <w:kern w:val="28"/>
          <w:sz w:val="24"/>
          <w:szCs w:val="20"/>
          <w:lang w:eastAsia="en-AU"/>
        </w:rPr>
        <w:t>The whole of the standard</w:t>
      </w:r>
    </w:p>
    <w:p w:rsidR="009A2ECD" w:rsidRPr="009800B8" w:rsidRDefault="009A2ECD" w:rsidP="009A2ECD">
      <w:pPr>
        <w:keepLines/>
        <w:spacing w:before="80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  <w:r w:rsidRPr="009800B8">
        <w:rPr>
          <w:rFonts w:ascii="Times New Roman" w:eastAsia="Times New Roman" w:hAnsi="Times New Roman" w:cs="Times New Roman"/>
          <w:szCs w:val="20"/>
          <w:lang w:eastAsia="en-AU"/>
        </w:rPr>
        <w:t xml:space="preserve">Repeal </w:t>
      </w:r>
      <w:r w:rsidR="004E1FBF">
        <w:rPr>
          <w:rFonts w:ascii="Times New Roman" w:eastAsia="Times New Roman" w:hAnsi="Times New Roman" w:cs="Times New Roman"/>
          <w:szCs w:val="20"/>
          <w:lang w:eastAsia="en-AU"/>
        </w:rPr>
        <w:t>the standard</w:t>
      </w:r>
      <w:r w:rsidRPr="009800B8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9A2ECD" w:rsidRPr="009800B8" w:rsidRDefault="009A2ECD" w:rsidP="009A2ECD">
      <w:pPr>
        <w:tabs>
          <w:tab w:val="left" w:pos="709"/>
        </w:tabs>
        <w:spacing w:before="122" w:line="198" w:lineRule="exact"/>
        <w:ind w:left="1360" w:hanging="1360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</w:r>
      <w:r w:rsidRPr="007C762E">
        <w:rPr>
          <w:rFonts w:ascii="Times New Roman" w:eastAsia="Times New Roman" w:hAnsi="Times New Roman" w:cs="Times New Roman"/>
          <w:sz w:val="18"/>
          <w:szCs w:val="20"/>
          <w:lang w:eastAsia="en-AU"/>
        </w:rPr>
        <w:t>Note:</w:t>
      </w:r>
      <w:r w:rsidRPr="007C762E"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</w:r>
      <w:r w:rsidR="004E1FBF" w:rsidRPr="004E1FBF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Under item 4 of Schedule 7 to the </w:t>
      </w:r>
      <w:r w:rsidR="004E1FBF" w:rsidRPr="004E1FBF">
        <w:rPr>
          <w:rFonts w:ascii="Times New Roman" w:eastAsia="Times New Roman" w:hAnsi="Times New Roman" w:cs="Times New Roman"/>
          <w:i/>
          <w:iCs/>
          <w:sz w:val="18"/>
          <w:szCs w:val="20"/>
          <w:lang w:eastAsia="en-AU"/>
        </w:rPr>
        <w:t>Trade Practices Amendment (Australian Consumer Law) Act (No. 2) 2010</w:t>
      </w:r>
      <w:r w:rsidR="004E1FBF" w:rsidRPr="004E1FBF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, the Consumer Product Safety Standard: Sunglasses and fashion spectacles continued in force from the start of 1 January 2011 as if it were a safety standard made under section 104 of the Australian Consumer Law (because it was taken under section 65E of the </w:t>
      </w:r>
      <w:r w:rsidR="004E1FBF" w:rsidRPr="004E1FBF">
        <w:rPr>
          <w:rFonts w:ascii="Times New Roman" w:eastAsia="Times New Roman" w:hAnsi="Times New Roman" w:cs="Times New Roman"/>
          <w:i/>
          <w:iCs/>
          <w:sz w:val="18"/>
          <w:szCs w:val="20"/>
          <w:lang w:eastAsia="en-AU"/>
        </w:rPr>
        <w:t>Trade Practices Act 1974</w:t>
      </w:r>
      <w:r w:rsidR="004E1FBF" w:rsidRPr="004E1FBF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to be a prescribed consumer product safety standard for the purposes of section 65C of that Act immediately before 1 January 2011).</w:t>
      </w:r>
    </w:p>
    <w:p w:rsidR="00303C4A" w:rsidRDefault="00303C4A"/>
    <w:sectPr w:rsidR="00303C4A" w:rsidSect="00691616">
      <w:headerReference w:type="default" r:id="rId26"/>
      <w:footerReference w:type="default" r:id="rId27"/>
      <w:footerReference w:type="first" r:id="rId2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CD" w:rsidRDefault="009A2ECD" w:rsidP="004B4412">
      <w:pPr>
        <w:spacing w:before="0"/>
      </w:pPr>
      <w:r>
        <w:separator/>
      </w:r>
    </w:p>
  </w:endnote>
  <w:endnote w:type="continuationSeparator" w:id="0">
    <w:p w:rsidR="009A2ECD" w:rsidRDefault="009A2ECD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B522BF" w:rsidRDefault="009A2ECD" w:rsidP="00B522BF">
    <w:pPr>
      <w:pBdr>
        <w:top w:val="single" w:sz="6" w:space="1" w:color="auto"/>
      </w:pBdr>
      <w:spacing w:before="120" w:line="0" w:lineRule="atLeast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0"/>
      <w:gridCol w:w="6817"/>
      <w:gridCol w:w="675"/>
    </w:tblGrid>
    <w:tr w:rsidR="009A2ECD" w:rsidRPr="00B522BF" w:rsidTr="00060C66">
      <w:tc>
        <w:tcPr>
          <w:tcW w:w="947" w:type="pct"/>
        </w:tcPr>
        <w:p w:rsidR="009A2ECD" w:rsidRPr="00B522BF" w:rsidRDefault="009A2ECD" w:rsidP="00060C66">
          <w:pPr>
            <w:spacing w:line="0" w:lineRule="atLeast"/>
            <w:rPr>
              <w:rFonts w:ascii="Times New Roman" w:eastAsia="Calibri" w:hAnsi="Times New Roman" w:cs="Times New Roman"/>
              <w:sz w:val="18"/>
            </w:rPr>
          </w:pPr>
        </w:p>
      </w:tc>
      <w:tc>
        <w:tcPr>
          <w:tcW w:w="3688" w:type="pct"/>
        </w:tcPr>
        <w:p w:rsidR="009A2ECD" w:rsidRPr="00C071AC" w:rsidRDefault="009A2ECD" w:rsidP="00202952">
          <w:pPr>
            <w:spacing w:before="120" w:after="120" w:line="0" w:lineRule="atLeast"/>
            <w:jc w:val="center"/>
            <w:rPr>
              <w:rFonts w:ascii="Times New Roman" w:eastAsia="Calibri" w:hAnsi="Times New Roman" w:cs="Times New Roman"/>
              <w:i/>
              <w:sz w:val="16"/>
              <w:szCs w:val="16"/>
            </w:rPr>
          </w:pP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 xml:space="preserve">Consumer Goods (Sunglasses and </w:t>
          </w:r>
          <w:r w:rsidR="00202952">
            <w:rPr>
              <w:rFonts w:ascii="Times New Roman" w:eastAsia="Calibri" w:hAnsi="Times New Roman" w:cs="Times New Roman"/>
              <w:i/>
              <w:sz w:val="16"/>
              <w:szCs w:val="16"/>
            </w:rPr>
            <w:t>F</w:t>
          </w: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 xml:space="preserve">ashion </w:t>
          </w:r>
          <w:r w:rsidR="00202952">
            <w:rPr>
              <w:rFonts w:ascii="Times New Roman" w:eastAsia="Calibri" w:hAnsi="Times New Roman" w:cs="Times New Roman"/>
              <w:i/>
              <w:sz w:val="16"/>
              <w:szCs w:val="16"/>
            </w:rPr>
            <w:t>S</w:t>
          </w: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>pectacles) Safety Standard 2017</w:t>
          </w:r>
        </w:p>
      </w:tc>
      <w:tc>
        <w:tcPr>
          <w:tcW w:w="365" w:type="pct"/>
        </w:tcPr>
        <w:p w:rsidR="009A2ECD" w:rsidRPr="00C071AC" w:rsidRDefault="009A2ECD" w:rsidP="00C071AC">
          <w:pPr>
            <w:spacing w:before="120" w:after="120" w:line="0" w:lineRule="atLeast"/>
            <w:jc w:val="right"/>
            <w:rPr>
              <w:rFonts w:ascii="Times New Roman" w:hAnsi="Times New Roman" w:cs="Times New Roman"/>
              <w:i/>
              <w:noProof/>
              <w:sz w:val="18"/>
              <w:szCs w:val="22"/>
            </w:rPr>
          </w:pPr>
          <w:r>
            <w:rPr>
              <w:rFonts w:ascii="Times New Roman" w:hAnsi="Times New Roman" w:cs="Times New Roman"/>
              <w:i/>
              <w:noProof/>
              <w:sz w:val="18"/>
            </w:rPr>
            <w:t>i</w:t>
          </w:r>
        </w:p>
      </w:tc>
    </w:tr>
  </w:tbl>
  <w:p w:rsidR="009A2ECD" w:rsidRDefault="009A2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60" w:rsidRPr="00A80560" w:rsidRDefault="00A80560" w:rsidP="00A80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B522BF" w:rsidRDefault="009A2ECD" w:rsidP="00B522BF">
    <w:pPr>
      <w:pBdr>
        <w:top w:val="single" w:sz="6" w:space="1" w:color="auto"/>
      </w:pBdr>
      <w:spacing w:before="120" w:line="0" w:lineRule="atLeast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0"/>
      <w:gridCol w:w="6817"/>
      <w:gridCol w:w="675"/>
    </w:tblGrid>
    <w:tr w:rsidR="009A2ECD" w:rsidRPr="00202952" w:rsidTr="00060C66">
      <w:tc>
        <w:tcPr>
          <w:tcW w:w="947" w:type="pct"/>
        </w:tcPr>
        <w:p w:rsidR="009A2ECD" w:rsidRPr="00B522BF" w:rsidRDefault="009A2ECD" w:rsidP="00060C66">
          <w:pPr>
            <w:spacing w:line="0" w:lineRule="atLeast"/>
            <w:rPr>
              <w:rFonts w:ascii="Times New Roman" w:eastAsia="Calibri" w:hAnsi="Times New Roman" w:cs="Times New Roman"/>
              <w:sz w:val="18"/>
            </w:rPr>
          </w:pPr>
        </w:p>
      </w:tc>
      <w:tc>
        <w:tcPr>
          <w:tcW w:w="3688" w:type="pct"/>
        </w:tcPr>
        <w:p w:rsidR="009A2ECD" w:rsidRPr="00C071AC" w:rsidRDefault="00202952" w:rsidP="009252BA">
          <w:pPr>
            <w:spacing w:before="120" w:after="120" w:line="0" w:lineRule="atLeast"/>
            <w:jc w:val="center"/>
            <w:rPr>
              <w:rFonts w:ascii="Times New Roman" w:eastAsia="Calibri" w:hAnsi="Times New Roman" w:cs="Times New Roman"/>
              <w:i/>
              <w:sz w:val="16"/>
              <w:szCs w:val="16"/>
            </w:rPr>
          </w:pP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 xml:space="preserve">Consumer Goods (Sunglasses and </w:t>
          </w:r>
          <w:r>
            <w:rPr>
              <w:rFonts w:ascii="Times New Roman" w:eastAsia="Calibri" w:hAnsi="Times New Roman" w:cs="Times New Roman"/>
              <w:i/>
              <w:sz w:val="16"/>
              <w:szCs w:val="16"/>
            </w:rPr>
            <w:t>F</w:t>
          </w: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 xml:space="preserve">ashion </w:t>
          </w:r>
          <w:r>
            <w:rPr>
              <w:rFonts w:ascii="Times New Roman" w:eastAsia="Calibri" w:hAnsi="Times New Roman" w:cs="Times New Roman"/>
              <w:i/>
              <w:sz w:val="16"/>
              <w:szCs w:val="16"/>
            </w:rPr>
            <w:t>S</w:t>
          </w: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>pectacles) Safety Standard 2017</w:t>
          </w:r>
        </w:p>
      </w:tc>
      <w:tc>
        <w:tcPr>
          <w:tcW w:w="365" w:type="pct"/>
        </w:tcPr>
        <w:p w:rsidR="009A2ECD" w:rsidRPr="00202952" w:rsidRDefault="009A2ECD" w:rsidP="00C071AC">
          <w:pPr>
            <w:spacing w:before="120" w:after="120" w:line="0" w:lineRule="atLeast"/>
            <w:jc w:val="right"/>
            <w:rPr>
              <w:rFonts w:ascii="Times New Roman" w:hAnsi="Times New Roman" w:cs="Times New Roman"/>
              <w:i/>
              <w:noProof/>
              <w:sz w:val="18"/>
              <w:szCs w:val="22"/>
            </w:rPr>
          </w:pPr>
          <w:r w:rsidRPr="00202952">
            <w:rPr>
              <w:rFonts w:ascii="Times New Roman" w:hAnsi="Times New Roman" w:cs="Times New Roman"/>
              <w:i/>
              <w:noProof/>
              <w:sz w:val="18"/>
            </w:rPr>
            <w:t>1</w:t>
          </w:r>
        </w:p>
      </w:tc>
    </w:tr>
  </w:tbl>
  <w:p w:rsidR="009A2ECD" w:rsidRDefault="009A2EC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63" w:rsidRPr="00B522BF" w:rsidRDefault="00BC6F63" w:rsidP="00B522BF">
    <w:pPr>
      <w:pBdr>
        <w:top w:val="single" w:sz="6" w:space="1" w:color="auto"/>
      </w:pBdr>
      <w:spacing w:before="120" w:line="0" w:lineRule="atLeast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0"/>
      <w:gridCol w:w="6817"/>
      <w:gridCol w:w="675"/>
    </w:tblGrid>
    <w:tr w:rsidR="00BC6F63" w:rsidRPr="00202952" w:rsidTr="00BC6F63">
      <w:tc>
        <w:tcPr>
          <w:tcW w:w="947" w:type="pct"/>
          <w:vAlign w:val="center"/>
        </w:tcPr>
        <w:p w:rsidR="00BC6F63" w:rsidRPr="00E558F3" w:rsidRDefault="00BC6F63" w:rsidP="00BC6F63">
          <w:pPr>
            <w:spacing w:line="0" w:lineRule="atLeast"/>
            <w:rPr>
              <w:rFonts w:ascii="Times New Roman" w:eastAsia="Calibri" w:hAnsi="Times New Roman" w:cs="Times New Roman"/>
              <w:i/>
              <w:sz w:val="18"/>
            </w:rPr>
          </w:pPr>
          <w:r w:rsidRPr="00E558F3">
            <w:rPr>
              <w:rFonts w:ascii="Times New Roman" w:eastAsia="Calibri" w:hAnsi="Times New Roman" w:cs="Times New Roman"/>
              <w:i/>
              <w:sz w:val="18"/>
            </w:rPr>
            <w:t>2</w:t>
          </w:r>
        </w:p>
      </w:tc>
      <w:tc>
        <w:tcPr>
          <w:tcW w:w="3688" w:type="pct"/>
        </w:tcPr>
        <w:p w:rsidR="00BC6F63" w:rsidRPr="00C071AC" w:rsidRDefault="00BC6F63" w:rsidP="009252BA">
          <w:pPr>
            <w:spacing w:before="120" w:after="120" w:line="0" w:lineRule="atLeast"/>
            <w:jc w:val="center"/>
            <w:rPr>
              <w:rFonts w:ascii="Times New Roman" w:eastAsia="Calibri" w:hAnsi="Times New Roman" w:cs="Times New Roman"/>
              <w:i/>
              <w:sz w:val="16"/>
              <w:szCs w:val="16"/>
            </w:rPr>
          </w:pP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 xml:space="preserve">Consumer Goods (Sunglasses and </w:t>
          </w:r>
          <w:r>
            <w:rPr>
              <w:rFonts w:ascii="Times New Roman" w:eastAsia="Calibri" w:hAnsi="Times New Roman" w:cs="Times New Roman"/>
              <w:i/>
              <w:sz w:val="16"/>
              <w:szCs w:val="16"/>
            </w:rPr>
            <w:t>F</w:t>
          </w: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 xml:space="preserve">ashion </w:t>
          </w:r>
          <w:r>
            <w:rPr>
              <w:rFonts w:ascii="Times New Roman" w:eastAsia="Calibri" w:hAnsi="Times New Roman" w:cs="Times New Roman"/>
              <w:i/>
              <w:sz w:val="16"/>
              <w:szCs w:val="16"/>
            </w:rPr>
            <w:t>S</w:t>
          </w:r>
          <w:r w:rsidRPr="00C071AC">
            <w:rPr>
              <w:rFonts w:ascii="Times New Roman" w:eastAsia="Calibri" w:hAnsi="Times New Roman" w:cs="Times New Roman"/>
              <w:i/>
              <w:sz w:val="16"/>
              <w:szCs w:val="16"/>
            </w:rPr>
            <w:t>pectacles) Safety Standard 2017</w:t>
          </w:r>
        </w:p>
      </w:tc>
      <w:tc>
        <w:tcPr>
          <w:tcW w:w="365" w:type="pct"/>
        </w:tcPr>
        <w:p w:rsidR="00BC6F63" w:rsidRPr="00202952" w:rsidRDefault="00BC6F63" w:rsidP="00C071AC">
          <w:pPr>
            <w:spacing w:before="120" w:after="120" w:line="0" w:lineRule="atLeast"/>
            <w:jc w:val="right"/>
            <w:rPr>
              <w:rFonts w:ascii="Times New Roman" w:hAnsi="Times New Roman" w:cs="Times New Roman"/>
              <w:i/>
              <w:noProof/>
              <w:sz w:val="18"/>
              <w:szCs w:val="22"/>
            </w:rPr>
          </w:pPr>
        </w:p>
      </w:tc>
    </w:tr>
  </w:tbl>
  <w:p w:rsidR="00BC6F63" w:rsidRDefault="00BC6F6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B522BF" w:rsidRDefault="009A2ECD" w:rsidP="0025049E">
    <w:pPr>
      <w:pBdr>
        <w:top w:val="single" w:sz="6" w:space="1" w:color="auto"/>
      </w:pBdr>
      <w:spacing w:before="120" w:line="0" w:lineRule="atLeast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0"/>
      <w:gridCol w:w="6817"/>
      <w:gridCol w:w="675"/>
    </w:tblGrid>
    <w:tr w:rsidR="009A2ECD" w:rsidRPr="00B522BF" w:rsidTr="00060C66">
      <w:tc>
        <w:tcPr>
          <w:tcW w:w="947" w:type="pct"/>
        </w:tcPr>
        <w:p w:rsidR="009A2ECD" w:rsidRPr="00B522BF" w:rsidRDefault="009A2ECD" w:rsidP="00060C66">
          <w:pPr>
            <w:spacing w:line="0" w:lineRule="atLeast"/>
            <w:rPr>
              <w:rFonts w:ascii="Times New Roman" w:eastAsia="Calibri" w:hAnsi="Times New Roman" w:cs="Times New Roman"/>
              <w:sz w:val="18"/>
            </w:rPr>
          </w:pPr>
        </w:p>
      </w:tc>
      <w:tc>
        <w:tcPr>
          <w:tcW w:w="3688" w:type="pct"/>
        </w:tcPr>
        <w:p w:rsidR="009A2ECD" w:rsidRPr="00C071AC" w:rsidRDefault="009A2ECD" w:rsidP="00C071AC">
          <w:pPr>
            <w:spacing w:before="120" w:after="120" w:line="0" w:lineRule="atLeast"/>
            <w:jc w:val="center"/>
            <w:rPr>
              <w:rFonts w:asciiTheme="minorHAnsi" w:eastAsia="Calibri" w:hAnsiTheme="minorHAnsi" w:cstheme="minorHAnsi"/>
              <w:i/>
              <w:sz w:val="16"/>
              <w:szCs w:val="16"/>
            </w:rPr>
          </w:pPr>
          <w:r w:rsidRPr="00C071AC">
            <w:rPr>
              <w:rFonts w:asciiTheme="minorHAnsi" w:eastAsia="Calibri" w:hAnsiTheme="minorHAnsi" w:cstheme="minorHAnsi"/>
              <w:i/>
              <w:sz w:val="16"/>
              <w:szCs w:val="16"/>
            </w:rPr>
            <w:t>Consumer Goods (Sunglasses and fashion spectacles) Safety Standard 2017</w:t>
          </w:r>
        </w:p>
      </w:tc>
      <w:tc>
        <w:tcPr>
          <w:tcW w:w="365" w:type="pct"/>
        </w:tcPr>
        <w:p w:rsidR="009A2ECD" w:rsidRPr="00C071AC" w:rsidRDefault="009A2ECD" w:rsidP="00C071AC">
          <w:pPr>
            <w:spacing w:before="120" w:after="120" w:line="0" w:lineRule="atLeast"/>
            <w:jc w:val="right"/>
            <w:rPr>
              <w:rFonts w:asciiTheme="minorHAnsi" w:eastAsia="Calibri" w:hAnsiTheme="minorHAnsi" w:cstheme="minorHAnsi"/>
              <w:i/>
              <w:sz w:val="16"/>
              <w:szCs w:val="16"/>
            </w:rPr>
          </w:pPr>
          <w:r w:rsidRPr="00C071AC">
            <w:rPr>
              <w:rFonts w:asciiTheme="minorHAnsi" w:eastAsia="Calibri" w:hAnsiTheme="minorHAnsi" w:cstheme="minorHAnsi"/>
              <w:i/>
              <w:sz w:val="16"/>
              <w:szCs w:val="16"/>
            </w:rPr>
            <w:t>5</w:t>
          </w:r>
        </w:p>
      </w:tc>
    </w:tr>
  </w:tbl>
  <w:p w:rsidR="009A2ECD" w:rsidRDefault="009A2ECD" w:rsidP="0025049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BF" w:rsidRPr="00B522BF" w:rsidRDefault="004A6FBF" w:rsidP="004A6FBF">
    <w:pPr>
      <w:pBdr>
        <w:top w:val="single" w:sz="6" w:space="1" w:color="auto"/>
      </w:pBdr>
      <w:spacing w:before="120" w:line="0" w:lineRule="atLeast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0"/>
      <w:gridCol w:w="6817"/>
      <w:gridCol w:w="675"/>
    </w:tblGrid>
    <w:tr w:rsidR="004A6FBF" w:rsidRPr="00B522BF" w:rsidTr="00634C50">
      <w:tc>
        <w:tcPr>
          <w:tcW w:w="947" w:type="pct"/>
          <w:vAlign w:val="center"/>
        </w:tcPr>
        <w:p w:rsidR="004A6FBF" w:rsidRPr="00832120" w:rsidRDefault="004A6FBF" w:rsidP="00634C50">
          <w:pPr>
            <w:spacing w:line="0" w:lineRule="atLeast"/>
            <w:rPr>
              <w:rFonts w:ascii="Times New Roman" w:eastAsia="Calibri" w:hAnsi="Times New Roman" w:cs="Times New Roman"/>
              <w:b/>
              <w:i/>
              <w:sz w:val="18"/>
            </w:rPr>
          </w:pPr>
        </w:p>
      </w:tc>
      <w:tc>
        <w:tcPr>
          <w:tcW w:w="3688" w:type="pct"/>
        </w:tcPr>
        <w:p w:rsidR="004A6FBF" w:rsidRPr="00FC133D" w:rsidRDefault="004A6FBF" w:rsidP="00634C50">
          <w:pPr>
            <w:spacing w:before="120" w:after="120" w:line="0" w:lineRule="atLeast"/>
            <w:jc w:val="center"/>
            <w:rPr>
              <w:rFonts w:ascii="Times New Roman" w:eastAsia="Calibri" w:hAnsi="Times New Roman" w:cs="Times New Roman"/>
              <w:i/>
              <w:sz w:val="16"/>
              <w:szCs w:val="16"/>
            </w:rPr>
          </w:pPr>
          <w:r w:rsidRPr="00202952">
            <w:rPr>
              <w:rFonts w:ascii="Times New Roman" w:eastAsia="Calibri" w:hAnsi="Times New Roman" w:cs="Times New Roman"/>
              <w:i/>
              <w:sz w:val="16"/>
              <w:szCs w:val="16"/>
            </w:rPr>
            <w:t>Consumer Goods (Sunglasses and Fashion Spectacles) Safety Standard 2017</w:t>
          </w:r>
        </w:p>
      </w:tc>
      <w:tc>
        <w:tcPr>
          <w:tcW w:w="365" w:type="pct"/>
        </w:tcPr>
        <w:p w:rsidR="004A6FBF" w:rsidRPr="00E558F3" w:rsidRDefault="004A6FBF" w:rsidP="00634C50">
          <w:pPr>
            <w:spacing w:before="120" w:after="120" w:line="0" w:lineRule="atLeast"/>
            <w:jc w:val="right"/>
            <w:rPr>
              <w:rFonts w:ascii="Times New Roman" w:hAnsi="Times New Roman" w:cs="Times New Roman"/>
              <w:i/>
              <w:noProof/>
              <w:sz w:val="18"/>
            </w:rPr>
          </w:pPr>
          <w:r w:rsidRPr="00E558F3">
            <w:rPr>
              <w:rFonts w:ascii="Times New Roman" w:hAnsi="Times New Roman" w:cs="Times New Roman"/>
              <w:i/>
              <w:noProof/>
              <w:sz w:val="18"/>
            </w:rPr>
            <w:t>3</w:t>
          </w:r>
        </w:p>
      </w:tc>
    </w:tr>
  </w:tbl>
  <w:p w:rsidR="009A2ECD" w:rsidRDefault="009A2ECD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B522BF" w:rsidRDefault="009A2ECD" w:rsidP="00B522BF">
    <w:pPr>
      <w:pBdr>
        <w:top w:val="single" w:sz="6" w:space="1" w:color="auto"/>
      </w:pBdr>
      <w:spacing w:before="120" w:line="0" w:lineRule="atLeast"/>
      <w:rPr>
        <w:rFonts w:ascii="Times New Roman" w:eastAsia="Calibri" w:hAnsi="Times New Roman" w:cs="Times New Roman"/>
        <w:sz w:val="16"/>
        <w:szCs w:val="16"/>
      </w:rPr>
    </w:pPr>
  </w:p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0"/>
      <w:gridCol w:w="6817"/>
      <w:gridCol w:w="675"/>
    </w:tblGrid>
    <w:tr w:rsidR="009A2ECD" w:rsidRPr="00B522BF" w:rsidTr="00832120">
      <w:tc>
        <w:tcPr>
          <w:tcW w:w="947" w:type="pct"/>
          <w:vAlign w:val="center"/>
        </w:tcPr>
        <w:p w:rsidR="009A2ECD" w:rsidRPr="00E558F3" w:rsidRDefault="0016428B" w:rsidP="00832120">
          <w:pPr>
            <w:spacing w:line="0" w:lineRule="atLeast"/>
            <w:rPr>
              <w:rFonts w:ascii="Times New Roman" w:eastAsia="Calibri" w:hAnsi="Times New Roman" w:cs="Times New Roman"/>
              <w:i/>
              <w:sz w:val="18"/>
            </w:rPr>
          </w:pPr>
          <w:r w:rsidRPr="00E558F3">
            <w:rPr>
              <w:rFonts w:ascii="Times New Roman" w:eastAsia="Calibri" w:hAnsi="Times New Roman" w:cs="Times New Roman"/>
              <w:i/>
              <w:sz w:val="18"/>
            </w:rPr>
            <w:t>4</w:t>
          </w:r>
        </w:p>
      </w:tc>
      <w:tc>
        <w:tcPr>
          <w:tcW w:w="3688" w:type="pct"/>
        </w:tcPr>
        <w:p w:rsidR="009A2ECD" w:rsidRPr="00FC133D" w:rsidRDefault="00202952" w:rsidP="00C071AC">
          <w:pPr>
            <w:spacing w:before="120" w:after="120" w:line="0" w:lineRule="atLeast"/>
            <w:jc w:val="center"/>
            <w:rPr>
              <w:rFonts w:ascii="Times New Roman" w:eastAsia="Calibri" w:hAnsi="Times New Roman" w:cs="Times New Roman"/>
              <w:i/>
              <w:sz w:val="16"/>
              <w:szCs w:val="16"/>
            </w:rPr>
          </w:pPr>
          <w:r w:rsidRPr="00202952">
            <w:rPr>
              <w:rFonts w:ascii="Times New Roman" w:eastAsia="Calibri" w:hAnsi="Times New Roman" w:cs="Times New Roman"/>
              <w:i/>
              <w:sz w:val="16"/>
              <w:szCs w:val="16"/>
            </w:rPr>
            <w:t>Consumer Goods (Sunglasses and Fashion Spectacles) Safety Standard 2017</w:t>
          </w:r>
        </w:p>
      </w:tc>
      <w:tc>
        <w:tcPr>
          <w:tcW w:w="365" w:type="pct"/>
        </w:tcPr>
        <w:p w:rsidR="009A2ECD" w:rsidRPr="00202952" w:rsidRDefault="009A2ECD" w:rsidP="00C071AC">
          <w:pPr>
            <w:spacing w:before="120" w:after="120" w:line="0" w:lineRule="atLeast"/>
            <w:jc w:val="right"/>
            <w:rPr>
              <w:rFonts w:ascii="Times New Roman" w:hAnsi="Times New Roman" w:cs="Times New Roman"/>
              <w:i/>
              <w:noProof/>
              <w:sz w:val="18"/>
            </w:rPr>
          </w:pPr>
        </w:p>
      </w:tc>
    </w:tr>
  </w:tbl>
  <w:p w:rsidR="009A2ECD" w:rsidRDefault="009A2ECD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616" w:rsidRDefault="006916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CD" w:rsidRDefault="009A2ECD" w:rsidP="004B4412">
      <w:pPr>
        <w:spacing w:before="0"/>
      </w:pPr>
      <w:r>
        <w:separator/>
      </w:r>
    </w:p>
  </w:footnote>
  <w:footnote w:type="continuationSeparator" w:id="0">
    <w:p w:rsidR="009A2ECD" w:rsidRDefault="009A2ECD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B522BF" w:rsidRDefault="009A2ECD" w:rsidP="00B522BF">
    <w:pPr>
      <w:jc w:val="center"/>
      <w:rPr>
        <w:rFonts w:eastAsia="Calibri" w:cs="Arial"/>
        <w:b/>
        <w:sz w:val="40"/>
      </w:rPr>
    </w:pPr>
    <w:r w:rsidRPr="00B522BF">
      <w:rPr>
        <w:rFonts w:eastAsia="Calibri" w:cs="Arial"/>
        <w:b/>
        <w:sz w:val="40"/>
      </w:rPr>
      <w:fldChar w:fldCharType="begin"/>
    </w:r>
    <w:r w:rsidRPr="00B522BF">
      <w:rPr>
        <w:rFonts w:eastAsia="Calibri" w:cs="Arial"/>
        <w:b/>
        <w:sz w:val="40"/>
      </w:rPr>
      <w:instrText xml:space="preserve"> DOCPROPERTY  DLM  </w:instrText>
    </w:r>
    <w:r w:rsidRPr="00B522BF">
      <w:rPr>
        <w:rFonts w:eastAsia="Calibri" w:cs="Arial"/>
        <w:b/>
        <w:sz w:val="40"/>
      </w:rPr>
      <w:fldChar w:fldCharType="separate"/>
    </w:r>
    <w:r w:rsidR="00B06ADF">
      <w:rPr>
        <w:rFonts w:eastAsia="Calibri" w:cs="Arial"/>
        <w:bCs/>
        <w:sz w:val="40"/>
        <w:lang w:val="en-US"/>
      </w:rPr>
      <w:t>Error! Unknown document property name.</w:t>
    </w:r>
    <w:r w:rsidRPr="00B522BF">
      <w:rPr>
        <w:rFonts w:eastAsia="Calibri" w:cs="Arial"/>
        <w:b/>
        <w:sz w:val="40"/>
      </w:rPr>
      <w:fldChar w:fldCharType="end"/>
    </w:r>
  </w:p>
  <w:p w:rsidR="009A2ECD" w:rsidRDefault="009A2ECD" w:rsidP="007944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Default="009A2ECD" w:rsidP="00794487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B522BF" w:rsidRDefault="009A2ECD" w:rsidP="00B522BF">
    <w:pPr>
      <w:pBdr>
        <w:bottom w:val="single" w:sz="6" w:space="1" w:color="auto"/>
      </w:pBdr>
      <w:spacing w:before="10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60" w:rsidRPr="00A80560" w:rsidRDefault="00A80560" w:rsidP="00A8056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C071AC" w:rsidRDefault="009A2ECD" w:rsidP="0025049E">
    <w:pPr>
      <w:tabs>
        <w:tab w:val="center" w:pos="4513"/>
        <w:tab w:val="right" w:pos="9026"/>
      </w:tabs>
      <w:spacing w:after="120"/>
      <w:jc w:val="right"/>
      <w:rPr>
        <w:rFonts w:ascii="Times New Roman" w:hAnsi="Times New Roman" w:cs="Times New Roman"/>
        <w:b/>
        <w:color w:val="51626F" w:themeColor="accent1"/>
        <w:sz w:val="18"/>
      </w:rPr>
    </w:pPr>
    <w:r w:rsidRPr="00C071AC">
      <w:rPr>
        <w:rFonts w:ascii="Times New Roman" w:hAnsi="Times New Roman" w:cs="Times New Roman"/>
        <w:color w:val="51626F" w:themeColor="accent1"/>
        <w:sz w:val="18"/>
      </w:rPr>
      <w:t>Preliminary</w:t>
    </w:r>
    <w:r>
      <w:rPr>
        <w:rFonts w:ascii="Times New Roman" w:hAnsi="Times New Roman" w:cs="Times New Roman"/>
        <w:color w:val="51626F" w:themeColor="accent1"/>
        <w:sz w:val="18"/>
      </w:rPr>
      <w:t xml:space="preserve">  </w:t>
    </w:r>
    <w:r w:rsidRPr="00C071AC">
      <w:rPr>
        <w:rFonts w:ascii="Times New Roman" w:hAnsi="Times New Roman" w:cs="Times New Roman"/>
        <w:b/>
        <w:color w:val="51626F" w:themeColor="accent1"/>
        <w:sz w:val="18"/>
      </w:rPr>
      <w:t>Part 1</w:t>
    </w:r>
  </w:p>
  <w:p w:rsidR="009A2ECD" w:rsidRPr="00665A7B" w:rsidRDefault="009A2ECD" w:rsidP="00CD6E8C">
    <w:pPr>
      <w:pBdr>
        <w:bottom w:val="single" w:sz="6" w:space="1" w:color="auto"/>
      </w:pBdr>
      <w:spacing w:before="120" w:after="120"/>
      <w:jc w:val="right"/>
      <w:rPr>
        <w:rFonts w:ascii="Times New Roman" w:hAnsi="Times New Roman" w:cs="Times New Roman"/>
      </w:rPr>
    </w:pPr>
    <w:r w:rsidRPr="00665A7B"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t>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63" w:rsidRPr="00C071AC" w:rsidRDefault="00BC6F63" w:rsidP="00BC6F63">
    <w:pPr>
      <w:tabs>
        <w:tab w:val="center" w:pos="4513"/>
        <w:tab w:val="right" w:pos="9026"/>
      </w:tabs>
      <w:spacing w:after="120"/>
      <w:rPr>
        <w:rFonts w:ascii="Times New Roman" w:hAnsi="Times New Roman" w:cs="Times New Roman"/>
        <w:b/>
        <w:color w:val="51626F" w:themeColor="accent1"/>
        <w:sz w:val="18"/>
      </w:rPr>
    </w:pPr>
    <w:r w:rsidRPr="00C071AC">
      <w:rPr>
        <w:rFonts w:ascii="Times New Roman" w:hAnsi="Times New Roman" w:cs="Times New Roman"/>
        <w:color w:val="51626F" w:themeColor="accent1"/>
        <w:sz w:val="18"/>
      </w:rPr>
      <w:t>Preliminary</w:t>
    </w:r>
    <w:r>
      <w:rPr>
        <w:rFonts w:ascii="Times New Roman" w:hAnsi="Times New Roman" w:cs="Times New Roman"/>
        <w:color w:val="51626F" w:themeColor="accent1"/>
        <w:sz w:val="18"/>
      </w:rPr>
      <w:t xml:space="preserve">  </w:t>
    </w:r>
    <w:r w:rsidRPr="00C071AC">
      <w:rPr>
        <w:rFonts w:ascii="Times New Roman" w:hAnsi="Times New Roman" w:cs="Times New Roman"/>
        <w:b/>
        <w:color w:val="51626F" w:themeColor="accent1"/>
        <w:sz w:val="18"/>
      </w:rPr>
      <w:t>Part 1</w:t>
    </w:r>
  </w:p>
  <w:p w:rsidR="00BC6F63" w:rsidRPr="00665A7B" w:rsidRDefault="00BC6F63" w:rsidP="00BC6F63">
    <w:pPr>
      <w:pBdr>
        <w:bottom w:val="single" w:sz="6" w:space="1" w:color="auto"/>
      </w:pBdr>
      <w:spacing w:before="120" w:after="120"/>
      <w:rPr>
        <w:rFonts w:ascii="Times New Roman" w:hAnsi="Times New Roman" w:cs="Times New Roman"/>
      </w:rPr>
    </w:pPr>
    <w:r w:rsidRPr="00665A7B"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t>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6264D4" w:rsidRDefault="009A2ECD" w:rsidP="006264D4">
    <w:pPr>
      <w:jc w:val="right"/>
      <w:rPr>
        <w:sz w:val="20"/>
      </w:rPr>
    </w:pPr>
  </w:p>
  <w:p w:rsidR="009A2ECD" w:rsidRPr="006264D4" w:rsidRDefault="009A2ECD" w:rsidP="006264D4">
    <w:pPr>
      <w:jc w:val="right"/>
      <w:rPr>
        <w:sz w:val="20"/>
      </w:rPr>
    </w:pPr>
  </w:p>
  <w:p w:rsidR="009A2ECD" w:rsidRPr="006264D4" w:rsidRDefault="009A2ECD" w:rsidP="006264D4">
    <w:pPr>
      <w:jc w:val="right"/>
      <w:rPr>
        <w:sz w:val="20"/>
      </w:rPr>
    </w:pPr>
  </w:p>
  <w:p w:rsidR="009A2ECD" w:rsidRPr="006264D4" w:rsidRDefault="009A2ECD" w:rsidP="006264D4">
    <w:pPr>
      <w:tabs>
        <w:tab w:val="center" w:pos="4513"/>
        <w:tab w:val="right" w:pos="9026"/>
      </w:tabs>
      <w:spacing w:after="120"/>
      <w:jc w:val="right"/>
      <w:rPr>
        <w:b/>
        <w:color w:val="51626F" w:themeColor="accent1"/>
        <w:sz w:val="18"/>
      </w:rPr>
    </w:pPr>
    <w:r>
      <w:rPr>
        <w:color w:val="51626F" w:themeColor="accent1"/>
        <w:sz w:val="18"/>
      </w:rPr>
      <w:t>Detailed requirements</w:t>
    </w:r>
    <w:r w:rsidRPr="006264D4">
      <w:rPr>
        <w:color w:val="51626F" w:themeColor="accent1"/>
        <w:sz w:val="18"/>
      </w:rPr>
      <w:t xml:space="preserve"> </w:t>
    </w:r>
    <w:r w:rsidRPr="006264D4">
      <w:rPr>
        <w:b/>
        <w:color w:val="51626F" w:themeColor="accent1"/>
        <w:sz w:val="18"/>
      </w:rPr>
      <w:t xml:space="preserve">Part </w:t>
    </w:r>
    <w:r>
      <w:rPr>
        <w:b/>
        <w:color w:val="51626F" w:themeColor="accent1"/>
        <w:sz w:val="18"/>
      </w:rPr>
      <w:t>3</w:t>
    </w:r>
  </w:p>
  <w:p w:rsidR="009A2ECD" w:rsidRPr="006264D4" w:rsidRDefault="009A2ECD" w:rsidP="006264D4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BF" w:rsidRPr="00C071AC" w:rsidRDefault="004A6FBF" w:rsidP="004A6FBF">
    <w:pPr>
      <w:tabs>
        <w:tab w:val="center" w:pos="4513"/>
        <w:tab w:val="right" w:pos="9026"/>
      </w:tabs>
      <w:spacing w:after="120"/>
      <w:jc w:val="right"/>
      <w:rPr>
        <w:rFonts w:ascii="Times New Roman" w:hAnsi="Times New Roman" w:cs="Times New Roman"/>
        <w:b/>
        <w:color w:val="51626F" w:themeColor="accent1"/>
        <w:sz w:val="18"/>
      </w:rPr>
    </w:pPr>
    <w:r>
      <w:rPr>
        <w:rFonts w:ascii="Times New Roman" w:hAnsi="Times New Roman" w:cs="Times New Roman"/>
        <w:color w:val="51626F" w:themeColor="accent1"/>
        <w:sz w:val="18"/>
      </w:rPr>
      <w:t>Safety Standards</w:t>
    </w:r>
    <w:r w:rsidRPr="00C071AC">
      <w:rPr>
        <w:rFonts w:ascii="Times New Roman" w:hAnsi="Times New Roman" w:cs="Times New Roman"/>
        <w:color w:val="51626F" w:themeColor="accent1"/>
        <w:sz w:val="18"/>
      </w:rPr>
      <w:t xml:space="preserve"> </w:t>
    </w:r>
    <w:r>
      <w:rPr>
        <w:rFonts w:ascii="Times New Roman" w:hAnsi="Times New Roman" w:cs="Times New Roman"/>
        <w:b/>
        <w:color w:val="51626F" w:themeColor="accent1"/>
        <w:sz w:val="18"/>
      </w:rPr>
      <w:t>Part 2</w:t>
    </w:r>
  </w:p>
  <w:p w:rsidR="009A2ECD" w:rsidRPr="00832120" w:rsidRDefault="004A6FBF" w:rsidP="004A6FBF">
    <w:pPr>
      <w:pBdr>
        <w:bottom w:val="single" w:sz="6" w:space="1" w:color="auto"/>
      </w:pBdr>
      <w:spacing w:before="120" w:after="120"/>
      <w:jc w:val="right"/>
      <w:rPr>
        <w:rFonts w:ascii="Times New Roman" w:hAnsi="Times New Roman" w:cs="Times New Roman"/>
      </w:rPr>
    </w:pPr>
    <w:r w:rsidRPr="00665A7B"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t>6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D" w:rsidRPr="00FC133D" w:rsidRDefault="009A2ECD" w:rsidP="00DA5EBD">
    <w:pPr>
      <w:tabs>
        <w:tab w:val="center" w:pos="4513"/>
        <w:tab w:val="right" w:pos="9026"/>
      </w:tabs>
      <w:spacing w:after="120"/>
      <w:rPr>
        <w:rFonts w:ascii="Times New Roman" w:hAnsi="Times New Roman" w:cs="Times New Roman"/>
        <w:b/>
        <w:color w:val="51626F" w:themeColor="accent1"/>
        <w:sz w:val="18"/>
      </w:rPr>
    </w:pPr>
    <w:r w:rsidRPr="00FC133D">
      <w:rPr>
        <w:rFonts w:ascii="Times New Roman" w:hAnsi="Times New Roman" w:cs="Times New Roman"/>
        <w:color w:val="51626F" w:themeColor="accent1"/>
        <w:sz w:val="18"/>
      </w:rPr>
      <w:t xml:space="preserve">Repeals </w:t>
    </w:r>
    <w:r>
      <w:rPr>
        <w:rFonts w:ascii="Times New Roman" w:hAnsi="Times New Roman" w:cs="Times New Roman"/>
        <w:color w:val="51626F" w:themeColor="accent1"/>
        <w:sz w:val="18"/>
      </w:rPr>
      <w:t xml:space="preserve"> </w:t>
    </w:r>
    <w:r w:rsidRPr="00FC133D">
      <w:rPr>
        <w:rFonts w:ascii="Times New Roman" w:hAnsi="Times New Roman" w:cs="Times New Roman"/>
        <w:b/>
        <w:color w:val="51626F" w:themeColor="accent1"/>
        <w:sz w:val="18"/>
      </w:rPr>
      <w:t>Schedule 1</w:t>
    </w:r>
  </w:p>
  <w:p w:rsidR="009A2ECD" w:rsidRPr="00BC6F63" w:rsidRDefault="009A2ECD" w:rsidP="00DA5EBD">
    <w:pPr>
      <w:pBdr>
        <w:bottom w:val="single" w:sz="6" w:space="1" w:color="auto"/>
      </w:pBdr>
      <w:spacing w:before="120" w:after="12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3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19">
    <w:nsid w:val="5C377A14"/>
    <w:multiLevelType w:val="multilevel"/>
    <w:tmpl w:val="C0C843E6"/>
    <w:lvl w:ilvl="0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60" w:hanging="360"/>
      </w:pPr>
    </w:lvl>
    <w:lvl w:ilvl="3">
      <w:start w:val="1"/>
      <w:numFmt w:val="decimal"/>
      <w:lvlText w:val="(%4)"/>
      <w:lvlJc w:val="left"/>
      <w:pPr>
        <w:ind w:left="2120" w:hanging="360"/>
      </w:pPr>
    </w:lvl>
    <w:lvl w:ilvl="4">
      <w:start w:val="1"/>
      <w:numFmt w:val="lowerLetter"/>
      <w:lvlText w:val="(%5)"/>
      <w:lvlJc w:val="left"/>
      <w:pPr>
        <w:ind w:left="2480" w:hanging="360"/>
      </w:pPr>
    </w:lvl>
    <w:lvl w:ilvl="5">
      <w:start w:val="1"/>
      <w:numFmt w:val="lowerRoman"/>
      <w:lvlText w:val="(%6)"/>
      <w:lvlJc w:val="left"/>
      <w:pPr>
        <w:ind w:left="2840" w:hanging="360"/>
      </w:pPr>
    </w:lvl>
    <w:lvl w:ilvl="6">
      <w:start w:val="1"/>
      <w:numFmt w:val="decimal"/>
      <w:lvlText w:val="%7."/>
      <w:lvlJc w:val="left"/>
      <w:pPr>
        <w:ind w:left="3200" w:hanging="360"/>
      </w:pPr>
    </w:lvl>
    <w:lvl w:ilvl="7">
      <w:start w:val="1"/>
      <w:numFmt w:val="lowerLetter"/>
      <w:lvlText w:val="%8."/>
      <w:lvlJc w:val="left"/>
      <w:pPr>
        <w:ind w:left="3560" w:hanging="360"/>
      </w:pPr>
    </w:lvl>
    <w:lvl w:ilvl="8">
      <w:start w:val="1"/>
      <w:numFmt w:val="lowerRoman"/>
      <w:lvlText w:val="%9."/>
      <w:lvlJc w:val="left"/>
      <w:pPr>
        <w:ind w:left="3920" w:hanging="360"/>
      </w:pPr>
    </w:lvl>
  </w:abstractNum>
  <w:abstractNum w:abstractNumId="20">
    <w:nsid w:val="5DD32934"/>
    <w:multiLevelType w:val="hybridMultilevel"/>
    <w:tmpl w:val="D1E24FD0"/>
    <w:lvl w:ilvl="0" w:tplc="B060E09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6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3"/>
  </w:num>
  <w:num w:numId="10">
    <w:abstractNumId w:val="15"/>
  </w:num>
  <w:num w:numId="11">
    <w:abstractNumId w:val="9"/>
  </w:num>
  <w:num w:numId="12">
    <w:abstractNumId w:val="12"/>
  </w:num>
  <w:num w:numId="13">
    <w:abstractNumId w:val="14"/>
  </w:num>
  <w:num w:numId="14">
    <w:abstractNumId w:val="2"/>
  </w:num>
  <w:num w:numId="15">
    <w:abstractNumId w:val="24"/>
  </w:num>
  <w:num w:numId="16">
    <w:abstractNumId w:val="27"/>
  </w:num>
  <w:num w:numId="17">
    <w:abstractNumId w:val="26"/>
  </w:num>
  <w:num w:numId="18">
    <w:abstractNumId w:val="18"/>
  </w:num>
  <w:num w:numId="19">
    <w:abstractNumId w:val="13"/>
  </w:num>
  <w:num w:numId="20">
    <w:abstractNumId w:val="16"/>
  </w:num>
  <w:num w:numId="21">
    <w:abstractNumId w:val="25"/>
  </w:num>
  <w:num w:numId="22">
    <w:abstractNumId w:val="21"/>
  </w:num>
  <w:num w:numId="23">
    <w:abstractNumId w:val="8"/>
  </w:num>
  <w:num w:numId="24">
    <w:abstractNumId w:val="3"/>
  </w:num>
  <w:num w:numId="25">
    <w:abstractNumId w:val="17"/>
  </w:num>
  <w:num w:numId="26">
    <w:abstractNumId w:val="11"/>
  </w:num>
  <w:num w:numId="27">
    <w:abstractNumId w:val="22"/>
  </w:num>
  <w:num w:numId="28">
    <w:abstractNumId w:val="20"/>
  </w:num>
  <w:num w:numId="2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\\cdchnas-evs02\home$\eloia\cps - sp draft legislative instrument consumer goods (sunglasses and fashion spectacles) safety standard 2017 (D2017-00054114).docx"/>
  </w:docVars>
  <w:rsids>
    <w:rsidRoot w:val="009A2ECD"/>
    <w:rsid w:val="0002115F"/>
    <w:rsid w:val="00021202"/>
    <w:rsid w:val="000225C4"/>
    <w:rsid w:val="0003578C"/>
    <w:rsid w:val="00063247"/>
    <w:rsid w:val="00070F9F"/>
    <w:rsid w:val="0007137B"/>
    <w:rsid w:val="00085663"/>
    <w:rsid w:val="00085EBF"/>
    <w:rsid w:val="000D122C"/>
    <w:rsid w:val="000E1819"/>
    <w:rsid w:val="000E6C72"/>
    <w:rsid w:val="000F2368"/>
    <w:rsid w:val="000F6AEF"/>
    <w:rsid w:val="00116EB2"/>
    <w:rsid w:val="00124609"/>
    <w:rsid w:val="001334B9"/>
    <w:rsid w:val="0014315B"/>
    <w:rsid w:val="001573E4"/>
    <w:rsid w:val="00160756"/>
    <w:rsid w:val="0016428B"/>
    <w:rsid w:val="0017232E"/>
    <w:rsid w:val="00174102"/>
    <w:rsid w:val="00180157"/>
    <w:rsid w:val="00181223"/>
    <w:rsid w:val="00186F77"/>
    <w:rsid w:val="001926A4"/>
    <w:rsid w:val="001A3A19"/>
    <w:rsid w:val="001B246B"/>
    <w:rsid w:val="001B45A0"/>
    <w:rsid w:val="001C18EE"/>
    <w:rsid w:val="001D055E"/>
    <w:rsid w:val="001F492E"/>
    <w:rsid w:val="001F6DA3"/>
    <w:rsid w:val="00202952"/>
    <w:rsid w:val="00212737"/>
    <w:rsid w:val="00224DB9"/>
    <w:rsid w:val="00251745"/>
    <w:rsid w:val="00263AC0"/>
    <w:rsid w:val="0026772D"/>
    <w:rsid w:val="00286874"/>
    <w:rsid w:val="002911F9"/>
    <w:rsid w:val="00296B65"/>
    <w:rsid w:val="002A7DEF"/>
    <w:rsid w:val="002F7986"/>
    <w:rsid w:val="00303C4A"/>
    <w:rsid w:val="00307F6D"/>
    <w:rsid w:val="003177A2"/>
    <w:rsid w:val="003271B5"/>
    <w:rsid w:val="003301BA"/>
    <w:rsid w:val="00330CA0"/>
    <w:rsid w:val="00331264"/>
    <w:rsid w:val="00334C8D"/>
    <w:rsid w:val="00340655"/>
    <w:rsid w:val="003459E6"/>
    <w:rsid w:val="003518B3"/>
    <w:rsid w:val="00371641"/>
    <w:rsid w:val="003846F1"/>
    <w:rsid w:val="003921BC"/>
    <w:rsid w:val="003A673F"/>
    <w:rsid w:val="003B5A70"/>
    <w:rsid w:val="00402B05"/>
    <w:rsid w:val="004353E4"/>
    <w:rsid w:val="00467A21"/>
    <w:rsid w:val="00475DDE"/>
    <w:rsid w:val="00480B4B"/>
    <w:rsid w:val="00483129"/>
    <w:rsid w:val="00485DC4"/>
    <w:rsid w:val="004A6FBF"/>
    <w:rsid w:val="004B4412"/>
    <w:rsid w:val="004C348C"/>
    <w:rsid w:val="004D55BA"/>
    <w:rsid w:val="004E1FBF"/>
    <w:rsid w:val="00503332"/>
    <w:rsid w:val="005038DB"/>
    <w:rsid w:val="0052379B"/>
    <w:rsid w:val="00530128"/>
    <w:rsid w:val="00532467"/>
    <w:rsid w:val="00547BA2"/>
    <w:rsid w:val="00547CCF"/>
    <w:rsid w:val="00564A4D"/>
    <w:rsid w:val="00571B35"/>
    <w:rsid w:val="00571C9F"/>
    <w:rsid w:val="00577A09"/>
    <w:rsid w:val="00580B78"/>
    <w:rsid w:val="00584D8F"/>
    <w:rsid w:val="00596D42"/>
    <w:rsid w:val="005A404D"/>
    <w:rsid w:val="005B1E3C"/>
    <w:rsid w:val="005C24AC"/>
    <w:rsid w:val="005C26CC"/>
    <w:rsid w:val="005E6C0E"/>
    <w:rsid w:val="006037C6"/>
    <w:rsid w:val="00615C6B"/>
    <w:rsid w:val="00632D6D"/>
    <w:rsid w:val="00642C3E"/>
    <w:rsid w:val="00646025"/>
    <w:rsid w:val="00651E51"/>
    <w:rsid w:val="00663DAD"/>
    <w:rsid w:val="00676679"/>
    <w:rsid w:val="00691616"/>
    <w:rsid w:val="006B4CF9"/>
    <w:rsid w:val="006B7AC8"/>
    <w:rsid w:val="006D550F"/>
    <w:rsid w:val="006D77F3"/>
    <w:rsid w:val="00701CAB"/>
    <w:rsid w:val="00707563"/>
    <w:rsid w:val="0072348C"/>
    <w:rsid w:val="00724A37"/>
    <w:rsid w:val="007303C3"/>
    <w:rsid w:val="00743223"/>
    <w:rsid w:val="007450FD"/>
    <w:rsid w:val="00746E01"/>
    <w:rsid w:val="00763E5D"/>
    <w:rsid w:val="00767740"/>
    <w:rsid w:val="00777EE6"/>
    <w:rsid w:val="00782EEA"/>
    <w:rsid w:val="007B2C72"/>
    <w:rsid w:val="007C1C53"/>
    <w:rsid w:val="007E26A9"/>
    <w:rsid w:val="007E4904"/>
    <w:rsid w:val="007E4CB5"/>
    <w:rsid w:val="007F066B"/>
    <w:rsid w:val="008033C4"/>
    <w:rsid w:val="00806C88"/>
    <w:rsid w:val="0081034E"/>
    <w:rsid w:val="008344F6"/>
    <w:rsid w:val="0083510F"/>
    <w:rsid w:val="00851209"/>
    <w:rsid w:val="0088007E"/>
    <w:rsid w:val="008837AC"/>
    <w:rsid w:val="008945B4"/>
    <w:rsid w:val="008A587D"/>
    <w:rsid w:val="008C5486"/>
    <w:rsid w:val="008E7031"/>
    <w:rsid w:val="00922C95"/>
    <w:rsid w:val="009233EE"/>
    <w:rsid w:val="009661DE"/>
    <w:rsid w:val="009856B7"/>
    <w:rsid w:val="0098602B"/>
    <w:rsid w:val="00991B3B"/>
    <w:rsid w:val="009962BA"/>
    <w:rsid w:val="009A2ECD"/>
    <w:rsid w:val="009B74B0"/>
    <w:rsid w:val="009D4414"/>
    <w:rsid w:val="009D6B46"/>
    <w:rsid w:val="009F4940"/>
    <w:rsid w:val="00A1665B"/>
    <w:rsid w:val="00A4478A"/>
    <w:rsid w:val="00A44852"/>
    <w:rsid w:val="00A57D04"/>
    <w:rsid w:val="00A60A26"/>
    <w:rsid w:val="00A61598"/>
    <w:rsid w:val="00A80560"/>
    <w:rsid w:val="00A84F46"/>
    <w:rsid w:val="00A871F4"/>
    <w:rsid w:val="00A87937"/>
    <w:rsid w:val="00AC1B2C"/>
    <w:rsid w:val="00AC3264"/>
    <w:rsid w:val="00AC6F01"/>
    <w:rsid w:val="00AE0FE2"/>
    <w:rsid w:val="00AE1BF1"/>
    <w:rsid w:val="00AF0DD2"/>
    <w:rsid w:val="00B06ADF"/>
    <w:rsid w:val="00B10314"/>
    <w:rsid w:val="00B13048"/>
    <w:rsid w:val="00B15998"/>
    <w:rsid w:val="00B1716D"/>
    <w:rsid w:val="00B17A1D"/>
    <w:rsid w:val="00B207A0"/>
    <w:rsid w:val="00B56E03"/>
    <w:rsid w:val="00B60F5D"/>
    <w:rsid w:val="00B67E91"/>
    <w:rsid w:val="00B8080B"/>
    <w:rsid w:val="00B87C39"/>
    <w:rsid w:val="00BA4665"/>
    <w:rsid w:val="00BB2FB2"/>
    <w:rsid w:val="00BB3304"/>
    <w:rsid w:val="00BC6F63"/>
    <w:rsid w:val="00BD3446"/>
    <w:rsid w:val="00BE1F1B"/>
    <w:rsid w:val="00BE47B5"/>
    <w:rsid w:val="00BE4C99"/>
    <w:rsid w:val="00BF389A"/>
    <w:rsid w:val="00BF779F"/>
    <w:rsid w:val="00C058AB"/>
    <w:rsid w:val="00C06739"/>
    <w:rsid w:val="00C538A9"/>
    <w:rsid w:val="00C53B5A"/>
    <w:rsid w:val="00C54F5A"/>
    <w:rsid w:val="00C755AD"/>
    <w:rsid w:val="00C86679"/>
    <w:rsid w:val="00C93395"/>
    <w:rsid w:val="00CB666B"/>
    <w:rsid w:val="00CF799E"/>
    <w:rsid w:val="00D01CF0"/>
    <w:rsid w:val="00D0442A"/>
    <w:rsid w:val="00D203E1"/>
    <w:rsid w:val="00D51E19"/>
    <w:rsid w:val="00D544B8"/>
    <w:rsid w:val="00D61388"/>
    <w:rsid w:val="00D61A54"/>
    <w:rsid w:val="00D64DEA"/>
    <w:rsid w:val="00D80893"/>
    <w:rsid w:val="00D92CF1"/>
    <w:rsid w:val="00D92D38"/>
    <w:rsid w:val="00D950F5"/>
    <w:rsid w:val="00D9658B"/>
    <w:rsid w:val="00DA2B95"/>
    <w:rsid w:val="00DA5EBD"/>
    <w:rsid w:val="00DB0F93"/>
    <w:rsid w:val="00DC542F"/>
    <w:rsid w:val="00DC7981"/>
    <w:rsid w:val="00DE4EFA"/>
    <w:rsid w:val="00DE5520"/>
    <w:rsid w:val="00E04818"/>
    <w:rsid w:val="00E06442"/>
    <w:rsid w:val="00E23993"/>
    <w:rsid w:val="00E25B8C"/>
    <w:rsid w:val="00E334E5"/>
    <w:rsid w:val="00E4674F"/>
    <w:rsid w:val="00E558F3"/>
    <w:rsid w:val="00E65C85"/>
    <w:rsid w:val="00E66199"/>
    <w:rsid w:val="00E755EC"/>
    <w:rsid w:val="00E7624D"/>
    <w:rsid w:val="00EA3D42"/>
    <w:rsid w:val="00EA6B1B"/>
    <w:rsid w:val="00EE28F3"/>
    <w:rsid w:val="00EF5110"/>
    <w:rsid w:val="00F15882"/>
    <w:rsid w:val="00F20BD3"/>
    <w:rsid w:val="00F373A5"/>
    <w:rsid w:val="00F47559"/>
    <w:rsid w:val="00F60BE4"/>
    <w:rsid w:val="00F61B84"/>
    <w:rsid w:val="00F64C7B"/>
    <w:rsid w:val="00F676DD"/>
    <w:rsid w:val="00F75A26"/>
    <w:rsid w:val="00F83FAD"/>
    <w:rsid w:val="00F91DC6"/>
    <w:rsid w:val="00F952A0"/>
    <w:rsid w:val="00FA3C7F"/>
    <w:rsid w:val="00FB52D7"/>
    <w:rsid w:val="00FB74E2"/>
    <w:rsid w:val="00FD5614"/>
    <w:rsid w:val="00FE0BE1"/>
    <w:rsid w:val="00FE1DE9"/>
    <w:rsid w:val="00FE39C2"/>
    <w:rsid w:val="00FE64A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C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customStyle="1" w:styleId="CharSectno">
    <w:name w:val="CharSectno"/>
    <w:basedOn w:val="DefaultParagraphFont"/>
    <w:qFormat/>
    <w:rsid w:val="009A2ECD"/>
  </w:style>
  <w:style w:type="paragraph" w:customStyle="1" w:styleId="paragraph">
    <w:name w:val="paragraph"/>
    <w:aliases w:val="a"/>
    <w:link w:val="paragraphChar"/>
    <w:rsid w:val="009A2ECD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ubsection">
    <w:name w:val="subsection"/>
    <w:aliases w:val="ss"/>
    <w:link w:val="subsectionChar"/>
    <w:rsid w:val="009A2EC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qFormat/>
    <w:rsid w:val="009A2ECD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subsectionChar">
    <w:name w:val="subsection Char"/>
    <w:aliases w:val="ss Char"/>
    <w:link w:val="subsection"/>
    <w:rsid w:val="009A2ECD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qFormat/>
    <w:rsid w:val="009A2ECD"/>
  </w:style>
  <w:style w:type="paragraph" w:customStyle="1" w:styleId="notetext">
    <w:name w:val="note(text)"/>
    <w:aliases w:val="n"/>
    <w:link w:val="notetextChar"/>
    <w:rsid w:val="009A2ECD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9A2ECD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2">
    <w:name w:val="ActHead 2"/>
    <w:aliases w:val="p"/>
    <w:basedOn w:val="Normal"/>
    <w:next w:val="Normal"/>
    <w:link w:val="ActHead2Char"/>
    <w:qFormat/>
    <w:rsid w:val="009A2ECD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character" w:customStyle="1" w:styleId="ActHead2Char">
    <w:name w:val="ActHead 2 Char"/>
    <w:aliases w:val="p Char"/>
    <w:link w:val="ActHead2"/>
    <w:rsid w:val="009A2ECD"/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paragraph" w:customStyle="1" w:styleId="Definition">
    <w:name w:val="Definition"/>
    <w:aliases w:val="dd"/>
    <w:basedOn w:val="Normal"/>
    <w:rsid w:val="009A2ECD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table" w:customStyle="1" w:styleId="TableGrid2">
    <w:name w:val="Table Grid2"/>
    <w:basedOn w:val="TableNormal"/>
    <w:next w:val="TableGrid"/>
    <w:uiPriority w:val="59"/>
    <w:rsid w:val="009A2ECD"/>
    <w:pPr>
      <w:spacing w:before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textChar">
    <w:name w:val="note(text) Char"/>
    <w:aliases w:val="n Char"/>
    <w:basedOn w:val="DefaultParagraphFont"/>
    <w:link w:val="notetext"/>
    <w:rsid w:val="009A2ECD"/>
    <w:rPr>
      <w:rFonts w:ascii="Times New Roman" w:eastAsia="Times New Roman" w:hAnsi="Times New Roman" w:cs="Times New Roman"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0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33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32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C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customStyle="1" w:styleId="CharSectno">
    <w:name w:val="CharSectno"/>
    <w:basedOn w:val="DefaultParagraphFont"/>
    <w:qFormat/>
    <w:rsid w:val="009A2ECD"/>
  </w:style>
  <w:style w:type="paragraph" w:customStyle="1" w:styleId="paragraph">
    <w:name w:val="paragraph"/>
    <w:aliases w:val="a"/>
    <w:link w:val="paragraphChar"/>
    <w:rsid w:val="009A2ECD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ubsection">
    <w:name w:val="subsection"/>
    <w:aliases w:val="ss"/>
    <w:link w:val="subsectionChar"/>
    <w:rsid w:val="009A2EC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qFormat/>
    <w:rsid w:val="009A2ECD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subsectionChar">
    <w:name w:val="subsection Char"/>
    <w:aliases w:val="ss Char"/>
    <w:link w:val="subsection"/>
    <w:rsid w:val="009A2ECD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qFormat/>
    <w:rsid w:val="009A2ECD"/>
  </w:style>
  <w:style w:type="paragraph" w:customStyle="1" w:styleId="notetext">
    <w:name w:val="note(text)"/>
    <w:aliases w:val="n"/>
    <w:link w:val="notetextChar"/>
    <w:rsid w:val="009A2ECD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9A2ECD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2">
    <w:name w:val="ActHead 2"/>
    <w:aliases w:val="p"/>
    <w:basedOn w:val="Normal"/>
    <w:next w:val="Normal"/>
    <w:link w:val="ActHead2Char"/>
    <w:qFormat/>
    <w:rsid w:val="009A2ECD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character" w:customStyle="1" w:styleId="ActHead2Char">
    <w:name w:val="ActHead 2 Char"/>
    <w:aliases w:val="p Char"/>
    <w:link w:val="ActHead2"/>
    <w:rsid w:val="009A2ECD"/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paragraph" w:customStyle="1" w:styleId="Definition">
    <w:name w:val="Definition"/>
    <w:aliases w:val="dd"/>
    <w:basedOn w:val="Normal"/>
    <w:rsid w:val="009A2ECD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table" w:customStyle="1" w:styleId="TableGrid2">
    <w:name w:val="Table Grid2"/>
    <w:basedOn w:val="TableNormal"/>
    <w:next w:val="TableGrid"/>
    <w:uiPriority w:val="59"/>
    <w:rsid w:val="009A2ECD"/>
    <w:pPr>
      <w:spacing w:before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textChar">
    <w:name w:val="note(text) Char"/>
    <w:aliases w:val="n Char"/>
    <w:basedOn w:val="DefaultParagraphFont"/>
    <w:link w:val="notetext"/>
    <w:rsid w:val="009A2ECD"/>
    <w:rPr>
      <w:rFonts w:ascii="Times New Roman" w:eastAsia="Times New Roman" w:hAnsi="Times New Roman" w:cs="Times New Roman"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0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33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3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hyperlink" Target="https://www.legislation.gov.au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10" Type="http://schemas.openxmlformats.org/officeDocument/2006/relationships/image" Target="media/image1.jpg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2FC4B0-DC75-4703-BD26-9F432B74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E709D473</Template>
  <TotalTime>1</TotalTime>
  <Pages>8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Loiacono, Elizabeth</dc:creator>
  <cp:lastModifiedBy>Loiacono, Elizabeth</cp:lastModifiedBy>
  <cp:revision>3</cp:revision>
  <cp:lastPrinted>2017-10-23T01:35:00Z</cp:lastPrinted>
  <dcterms:created xsi:type="dcterms:W3CDTF">2017-10-23T01:40:00Z</dcterms:created>
  <dcterms:modified xsi:type="dcterms:W3CDTF">2017-10-23T04:11:00Z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I">
    <vt:lpwstr>8914986</vt:lpwstr>
  </property>
  <property fmtid="{D5CDD505-2E9C-101B-9397-08002B2CF9AE}" pid="3" name="currfile">
    <vt:lpwstr>\\cdchnas-evs02\home$\eloia\cps - sp (opc reviewed) legislative instrument consumer goods (sunglasses and fashion spectacles) safety standard 2017 ( (D2017-00081044).docx</vt:lpwstr>
  </property>
</Properties>
</file>