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49FAF" w14:textId="370F187C" w:rsidR="002436BD" w:rsidRPr="002C6D26" w:rsidRDefault="00E62E09" w:rsidP="001A2234">
      <w:pPr>
        <w:pStyle w:val="Heading"/>
        <w:spacing w:after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62E09">
        <w:rPr>
          <w:rFonts w:ascii="Times New Roman" w:hAnsi="Times New Roman"/>
          <w:sz w:val="24"/>
          <w:szCs w:val="24"/>
        </w:rPr>
        <w:t>Financial Sector (Collection of Data) (reporting standard)</w:t>
      </w:r>
      <w:r w:rsidR="001A2ADB">
        <w:rPr>
          <w:rFonts w:ascii="Times New Roman" w:hAnsi="Times New Roman"/>
          <w:sz w:val="24"/>
          <w:szCs w:val="24"/>
        </w:rPr>
        <w:t xml:space="preserve"> </w:t>
      </w:r>
      <w:r w:rsidR="002436BD" w:rsidRPr="002C6D26">
        <w:rPr>
          <w:rFonts w:ascii="Times New Roman" w:hAnsi="Times New Roman"/>
          <w:sz w:val="24"/>
          <w:szCs w:val="24"/>
        </w:rPr>
        <w:t xml:space="preserve">determination No. </w:t>
      </w:r>
      <w:r w:rsidR="00E10783">
        <w:rPr>
          <w:rFonts w:ascii="Times New Roman" w:hAnsi="Times New Roman"/>
          <w:sz w:val="24"/>
          <w:szCs w:val="24"/>
        </w:rPr>
        <w:t>19</w:t>
      </w:r>
      <w:r w:rsidR="00AC6984">
        <w:rPr>
          <w:rFonts w:ascii="Times New Roman" w:hAnsi="Times New Roman"/>
          <w:sz w:val="24"/>
          <w:szCs w:val="24"/>
        </w:rPr>
        <w:t xml:space="preserve"> </w:t>
      </w:r>
      <w:r w:rsidR="00E22892">
        <w:rPr>
          <w:rFonts w:ascii="Times New Roman" w:hAnsi="Times New Roman"/>
          <w:sz w:val="24"/>
          <w:szCs w:val="24"/>
        </w:rPr>
        <w:t>of 2017</w:t>
      </w:r>
    </w:p>
    <w:p w14:paraId="7C8EB751" w14:textId="77777777" w:rsidR="002436BD" w:rsidRPr="002C6D26" w:rsidRDefault="002436BD" w:rsidP="001A2234">
      <w:pPr>
        <w:pStyle w:val="Heading"/>
        <w:tabs>
          <w:tab w:val="left" w:pos="360"/>
        </w:tabs>
        <w:spacing w:after="240"/>
        <w:jc w:val="center"/>
        <w:rPr>
          <w:rFonts w:ascii="Times New Roman" w:hAnsi="Times New Roman"/>
          <w:sz w:val="24"/>
          <w:szCs w:val="24"/>
          <w:u w:val="single"/>
        </w:rPr>
      </w:pPr>
      <w:bookmarkStart w:id="1" w:name="bkInstrumentSubTitle"/>
      <w:bookmarkEnd w:id="1"/>
      <w:r w:rsidRPr="002C6D26">
        <w:rPr>
          <w:rFonts w:ascii="Times New Roman" w:hAnsi="Times New Roman"/>
          <w:sz w:val="24"/>
          <w:szCs w:val="24"/>
          <w:u w:val="single"/>
        </w:rPr>
        <w:t>EXPLANATORY STATEMENT</w:t>
      </w:r>
    </w:p>
    <w:p w14:paraId="0A1B87DA" w14:textId="77777777" w:rsidR="002436BD" w:rsidRPr="002C6D26" w:rsidRDefault="002436BD" w:rsidP="001A2234">
      <w:pPr>
        <w:pStyle w:val="Heading"/>
        <w:spacing w:after="240"/>
        <w:jc w:val="center"/>
        <w:rPr>
          <w:rFonts w:ascii="Times New Roman" w:hAnsi="Times New Roman"/>
          <w:sz w:val="24"/>
          <w:szCs w:val="24"/>
        </w:rPr>
      </w:pPr>
      <w:r w:rsidRPr="002C6D26">
        <w:rPr>
          <w:rFonts w:ascii="Times New Roman" w:hAnsi="Times New Roman"/>
          <w:sz w:val="24"/>
          <w:szCs w:val="24"/>
        </w:rPr>
        <w:t>Prepared by the Australian Prudential Regulation Authority (APRA)</w:t>
      </w:r>
    </w:p>
    <w:p w14:paraId="5D377F8C" w14:textId="77777777" w:rsidR="001A2ADB" w:rsidRDefault="001A2ADB" w:rsidP="001A2234">
      <w:pPr>
        <w:pStyle w:val="heading0"/>
        <w:spacing w:before="0" w:beforeAutospacing="0" w:after="240" w:afterAutospacing="0"/>
        <w:jc w:val="center"/>
      </w:pPr>
      <w:r>
        <w:rPr>
          <w:i/>
          <w:iCs/>
        </w:rPr>
        <w:t>Financial Sector (Collection of Data) Act 2001</w:t>
      </w:r>
      <w:r>
        <w:t>, sections 13 and 15</w:t>
      </w:r>
    </w:p>
    <w:p w14:paraId="35251765" w14:textId="77777777" w:rsidR="00380068" w:rsidRDefault="00380068" w:rsidP="001A2234">
      <w:pPr>
        <w:pStyle w:val="heading0"/>
        <w:spacing w:before="0" w:beforeAutospacing="0" w:after="240" w:afterAutospacing="0"/>
        <w:jc w:val="center"/>
      </w:pPr>
      <w:r w:rsidRPr="00380068">
        <w:rPr>
          <w:i/>
        </w:rPr>
        <w:t>Acts Interpretation Act 1901</w:t>
      </w:r>
      <w:r>
        <w:t>, section 33</w:t>
      </w:r>
    </w:p>
    <w:p w14:paraId="6AFF48FE" w14:textId="77EC8599" w:rsidR="002436BD" w:rsidRPr="002C6D26" w:rsidRDefault="002436BD" w:rsidP="001A2234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bookmarkStart w:id="2" w:name="bkAct"/>
      <w:bookmarkStart w:id="3" w:name="bkExplanatory"/>
      <w:bookmarkEnd w:id="2"/>
      <w:bookmarkEnd w:id="3"/>
      <w:r w:rsidRPr="002C6D26">
        <w:rPr>
          <w:rFonts w:ascii="Times New Roman" w:hAnsi="Times New Roman"/>
          <w:sz w:val="24"/>
          <w:szCs w:val="24"/>
        </w:rPr>
        <w:t xml:space="preserve">Under subsection </w:t>
      </w:r>
      <w:r w:rsidR="001A2ADB">
        <w:rPr>
          <w:rFonts w:ascii="Times New Roman" w:hAnsi="Times New Roman"/>
          <w:sz w:val="24"/>
          <w:szCs w:val="24"/>
        </w:rPr>
        <w:t>13</w:t>
      </w:r>
      <w:r w:rsidRPr="002C6D26">
        <w:rPr>
          <w:rFonts w:ascii="Times New Roman" w:hAnsi="Times New Roman"/>
          <w:sz w:val="24"/>
          <w:szCs w:val="24"/>
        </w:rPr>
        <w:t xml:space="preserve">(1) of the </w:t>
      </w:r>
      <w:r w:rsidR="001A2ADB" w:rsidRPr="001A2ADB">
        <w:rPr>
          <w:rFonts w:ascii="Times New Roman" w:hAnsi="Times New Roman"/>
          <w:i/>
          <w:sz w:val="24"/>
          <w:szCs w:val="24"/>
        </w:rPr>
        <w:t>Financial Sector (Collection of Data) Act 2001</w:t>
      </w:r>
      <w:r w:rsidRPr="002C6D26">
        <w:rPr>
          <w:rFonts w:ascii="Times New Roman" w:hAnsi="Times New Roman"/>
          <w:sz w:val="24"/>
          <w:szCs w:val="24"/>
        </w:rPr>
        <w:t xml:space="preserve"> </w:t>
      </w:r>
      <w:r w:rsidRPr="007428D4">
        <w:rPr>
          <w:rFonts w:ascii="Times New Roman" w:hAnsi="Times New Roman"/>
          <w:sz w:val="24"/>
          <w:szCs w:val="24"/>
        </w:rPr>
        <w:t>(the Act),</w:t>
      </w:r>
      <w:r w:rsidRPr="002C6D26">
        <w:rPr>
          <w:rFonts w:ascii="Times New Roman" w:hAnsi="Times New Roman"/>
          <w:sz w:val="24"/>
          <w:szCs w:val="24"/>
        </w:rPr>
        <w:t xml:space="preserve"> APRA </w:t>
      </w:r>
      <w:r w:rsidR="001A2ADB" w:rsidRPr="001A2ADB">
        <w:rPr>
          <w:rFonts w:ascii="Times New Roman" w:hAnsi="Times New Roman"/>
          <w:sz w:val="24"/>
          <w:szCs w:val="24"/>
        </w:rPr>
        <w:t>has the power to determine reporting standards, in writing, with which financia</w:t>
      </w:r>
      <w:r w:rsidR="00DE7DED">
        <w:rPr>
          <w:rFonts w:ascii="Times New Roman" w:hAnsi="Times New Roman"/>
          <w:sz w:val="24"/>
          <w:szCs w:val="24"/>
        </w:rPr>
        <w:t xml:space="preserve">l sector entities must comply. </w:t>
      </w:r>
      <w:r w:rsidR="001A2ADB" w:rsidRPr="001A2ADB">
        <w:rPr>
          <w:rFonts w:ascii="Times New Roman" w:hAnsi="Times New Roman"/>
          <w:sz w:val="24"/>
          <w:szCs w:val="24"/>
        </w:rPr>
        <w:t>Such standards relate to reporting financial or accounting data and other information regarding the business or activities of the entities.</w:t>
      </w:r>
      <w:r w:rsidR="00BD6360">
        <w:rPr>
          <w:rFonts w:ascii="Times New Roman" w:hAnsi="Times New Roman"/>
          <w:sz w:val="24"/>
          <w:szCs w:val="24"/>
        </w:rPr>
        <w:t xml:space="preserve"> </w:t>
      </w:r>
      <w:r w:rsidR="00BD6360" w:rsidRPr="00BD6360">
        <w:t xml:space="preserve"> </w:t>
      </w:r>
      <w:r w:rsidR="00BD6360" w:rsidRPr="00BD6360">
        <w:rPr>
          <w:rFonts w:ascii="Times New Roman" w:hAnsi="Times New Roman"/>
          <w:sz w:val="24"/>
          <w:szCs w:val="24"/>
        </w:rPr>
        <w:t xml:space="preserve">Subsection 33(3) of the </w:t>
      </w:r>
      <w:r w:rsidR="00BD6360" w:rsidRPr="00BD6360">
        <w:rPr>
          <w:rFonts w:ascii="Times New Roman" w:hAnsi="Times New Roman"/>
          <w:i/>
          <w:sz w:val="24"/>
          <w:szCs w:val="24"/>
        </w:rPr>
        <w:t>Acts Interpretation Act 1901</w:t>
      </w:r>
      <w:r w:rsidR="00BD6360" w:rsidRPr="00BD6360">
        <w:rPr>
          <w:rFonts w:ascii="Times New Roman" w:hAnsi="Times New Roman"/>
          <w:sz w:val="24"/>
          <w:szCs w:val="24"/>
        </w:rPr>
        <w:t xml:space="preserve"> provides that where an Act confers a power to issue an instrument the power shall, unless the contrary intention appears, be construed as including a power exercisable in the like manner and subject to the like conditions (if any) to revoke any such instrument.</w:t>
      </w:r>
    </w:p>
    <w:p w14:paraId="261F4725" w14:textId="2C914C39" w:rsidR="00246723" w:rsidRPr="00246723" w:rsidRDefault="00246723" w:rsidP="001A2234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246723">
        <w:rPr>
          <w:rFonts w:ascii="Times New Roman" w:hAnsi="Times New Roman"/>
          <w:sz w:val="24"/>
          <w:szCs w:val="24"/>
        </w:rPr>
        <w:t xml:space="preserve">On </w:t>
      </w:r>
      <w:r w:rsidR="00475F43">
        <w:rPr>
          <w:rFonts w:ascii="Times New Roman" w:hAnsi="Times New Roman"/>
          <w:sz w:val="24"/>
          <w:szCs w:val="24"/>
        </w:rPr>
        <w:t>20</w:t>
      </w:r>
      <w:r w:rsidR="00E10783">
        <w:rPr>
          <w:rFonts w:ascii="Times New Roman" w:hAnsi="Times New Roman"/>
          <w:sz w:val="24"/>
          <w:szCs w:val="24"/>
        </w:rPr>
        <w:t xml:space="preserve"> October 2017</w:t>
      </w:r>
      <w:r w:rsidR="00AC6984">
        <w:rPr>
          <w:rFonts w:ascii="Times New Roman" w:hAnsi="Times New Roman"/>
          <w:sz w:val="24"/>
          <w:szCs w:val="24"/>
        </w:rPr>
        <w:t xml:space="preserve">, APRA made Financial Sector (Collection of Data) (reporting standard) determination No. </w:t>
      </w:r>
      <w:r w:rsidR="00E10783">
        <w:rPr>
          <w:rFonts w:ascii="Times New Roman" w:hAnsi="Times New Roman"/>
          <w:sz w:val="24"/>
          <w:szCs w:val="24"/>
        </w:rPr>
        <w:t>19</w:t>
      </w:r>
      <w:r w:rsidR="00AC6984">
        <w:rPr>
          <w:rFonts w:ascii="Times New Roman" w:hAnsi="Times New Roman"/>
          <w:sz w:val="24"/>
          <w:szCs w:val="24"/>
        </w:rPr>
        <w:t xml:space="preserve"> of 2017, which revokes </w:t>
      </w:r>
      <w:r w:rsidR="00AC6984" w:rsidRPr="001C025C">
        <w:rPr>
          <w:rFonts w:ascii="Times New Roman" w:hAnsi="Times New Roman"/>
          <w:i/>
          <w:sz w:val="24"/>
          <w:szCs w:val="24"/>
        </w:rPr>
        <w:t>Reporting Standard ARS 210.0 Liquidity</w:t>
      </w:r>
      <w:r w:rsidR="00AC6984">
        <w:rPr>
          <w:rFonts w:ascii="Times New Roman" w:hAnsi="Times New Roman"/>
          <w:sz w:val="24"/>
          <w:szCs w:val="24"/>
        </w:rPr>
        <w:t xml:space="preserve"> made under Financial Sector (Collection of Data) (reporting standard) determination No. 32 of 2014</w:t>
      </w:r>
      <w:r w:rsidR="001C025C">
        <w:rPr>
          <w:rFonts w:ascii="Times New Roman" w:hAnsi="Times New Roman"/>
          <w:sz w:val="24"/>
          <w:szCs w:val="24"/>
        </w:rPr>
        <w:t xml:space="preserve"> and determines </w:t>
      </w:r>
      <w:r w:rsidR="001C025C" w:rsidRPr="001C025C">
        <w:rPr>
          <w:rFonts w:ascii="Times New Roman" w:hAnsi="Times New Roman"/>
          <w:i/>
          <w:sz w:val="24"/>
          <w:szCs w:val="24"/>
        </w:rPr>
        <w:t>Reporting Standard ARS 210.0 Liquidity</w:t>
      </w:r>
      <w:r w:rsidR="001C025C">
        <w:rPr>
          <w:rFonts w:ascii="Times New Roman" w:hAnsi="Times New Roman"/>
          <w:sz w:val="24"/>
          <w:szCs w:val="24"/>
        </w:rPr>
        <w:t xml:space="preserve"> (ARS 210.0).</w:t>
      </w:r>
    </w:p>
    <w:p w14:paraId="1C25B29D" w14:textId="39FBEDE3" w:rsidR="00246723" w:rsidRDefault="003F69F5" w:rsidP="001A2234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instrument</w:t>
      </w:r>
      <w:r w:rsidR="00AC7A56">
        <w:rPr>
          <w:rFonts w:ascii="Times New Roman" w:hAnsi="Times New Roman"/>
          <w:sz w:val="24"/>
          <w:szCs w:val="24"/>
        </w:rPr>
        <w:t xml:space="preserve"> commence</w:t>
      </w:r>
      <w:r>
        <w:rPr>
          <w:rFonts w:ascii="Times New Roman" w:hAnsi="Times New Roman"/>
          <w:sz w:val="24"/>
          <w:szCs w:val="24"/>
        </w:rPr>
        <w:t>s</w:t>
      </w:r>
      <w:r w:rsidR="00AC7A56">
        <w:rPr>
          <w:rFonts w:ascii="Times New Roman" w:hAnsi="Times New Roman"/>
          <w:sz w:val="24"/>
          <w:szCs w:val="24"/>
        </w:rPr>
        <w:t xml:space="preserve"> on</w:t>
      </w:r>
      <w:r w:rsidR="00E22892">
        <w:rPr>
          <w:rFonts w:ascii="Times New Roman" w:hAnsi="Times New Roman"/>
          <w:sz w:val="24"/>
          <w:szCs w:val="24"/>
        </w:rPr>
        <w:t xml:space="preserve"> 1 January 2018</w:t>
      </w:r>
      <w:r w:rsidR="00AC7A56" w:rsidRPr="002C6D26">
        <w:rPr>
          <w:rFonts w:ascii="Times New Roman" w:hAnsi="Times New Roman"/>
          <w:sz w:val="24"/>
          <w:szCs w:val="24"/>
        </w:rPr>
        <w:t>.</w:t>
      </w:r>
    </w:p>
    <w:p w14:paraId="6D41F79D" w14:textId="77777777" w:rsidR="002436BD" w:rsidRDefault="002436BD" w:rsidP="001A2234">
      <w:pPr>
        <w:pStyle w:val="Heading"/>
        <w:keepNext/>
        <w:numPr>
          <w:ilvl w:val="0"/>
          <w:numId w:val="2"/>
        </w:numPr>
        <w:spacing w:after="240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2C6D26">
        <w:rPr>
          <w:rFonts w:ascii="Times New Roman" w:hAnsi="Times New Roman"/>
          <w:sz w:val="24"/>
          <w:szCs w:val="24"/>
        </w:rPr>
        <w:t>Background</w:t>
      </w:r>
    </w:p>
    <w:p w14:paraId="61F88E79" w14:textId="6235C572" w:rsidR="00A35995" w:rsidRDefault="00350DC6" w:rsidP="00350DC6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APRA’s mandate is to ensure the safety and soundness of prudentially regulated financial institutions so that they can meet their financial promises to depositors, policyholders and fund members within a stable, efficient and competitive financial system. </w:t>
      </w:r>
      <w:r w:rsidR="007B5F6B">
        <w:rPr>
          <w:rFonts w:ascii="Times New Roman" w:hAnsi="Times New Roman"/>
          <w:sz w:val="24"/>
          <w:szCs w:val="24"/>
        </w:rPr>
        <w:t>APRA carries out this mandate through a multi-layered prudential framework</w:t>
      </w:r>
      <w:r w:rsidR="001B51BC">
        <w:rPr>
          <w:rFonts w:ascii="Times New Roman" w:hAnsi="Times New Roman"/>
          <w:sz w:val="24"/>
          <w:szCs w:val="24"/>
        </w:rPr>
        <w:t xml:space="preserve"> and is empowered under the </w:t>
      </w:r>
      <w:r w:rsidR="001B51BC" w:rsidRPr="001B51BC">
        <w:rPr>
          <w:rFonts w:ascii="Times New Roman" w:hAnsi="Times New Roman"/>
          <w:i/>
          <w:sz w:val="24"/>
          <w:szCs w:val="24"/>
        </w:rPr>
        <w:t>Banking Act 1959</w:t>
      </w:r>
      <w:r w:rsidR="001B51BC">
        <w:rPr>
          <w:rFonts w:ascii="Times New Roman" w:hAnsi="Times New Roman"/>
          <w:sz w:val="24"/>
          <w:szCs w:val="24"/>
        </w:rPr>
        <w:t xml:space="preserve"> to issue legally binding prudential standards that set out specific prudential requirements with which ADIs must comply. </w:t>
      </w:r>
    </w:p>
    <w:p w14:paraId="5F273B92" w14:textId="28C1828A" w:rsidR="006B632F" w:rsidRDefault="001B51BC" w:rsidP="00350DC6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APRA’s prudential framework for ADIs is based on the framework agreed by the Basel Committee on Banking Supervision (Basel Committee). In December 2010, the Basel Committee released </w:t>
      </w:r>
      <w:r>
        <w:rPr>
          <w:rFonts w:ascii="Times New Roman" w:hAnsi="Times New Roman"/>
          <w:i/>
          <w:sz w:val="24"/>
          <w:szCs w:val="24"/>
        </w:rPr>
        <w:t>Basel III: International framework for liquidity risk measurement standards and monitoring</w:t>
      </w:r>
      <w:r w:rsidR="004B7AE0" w:rsidRPr="00A911DB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(Basel III liquidity), which set out key measures designed to strengthen the liquidity risk profile of banks thereby promoting a more resilient global banking system. </w:t>
      </w:r>
      <w:r w:rsidR="00EA6166">
        <w:rPr>
          <w:rFonts w:ascii="Times New Roman" w:hAnsi="Times New Roman"/>
          <w:sz w:val="24"/>
          <w:szCs w:val="24"/>
        </w:rPr>
        <w:t xml:space="preserve">These measures include the liquidity coverage ratio (LCR) and net stable funding ratio (NSFR). </w:t>
      </w:r>
      <w:r w:rsidR="006B632F">
        <w:rPr>
          <w:rFonts w:ascii="Times New Roman" w:hAnsi="Times New Roman"/>
          <w:sz w:val="24"/>
          <w:szCs w:val="24"/>
        </w:rPr>
        <w:t>APRA incorporated these measures in</w:t>
      </w:r>
      <w:r w:rsidR="004C59C5">
        <w:rPr>
          <w:rFonts w:ascii="Times New Roman" w:hAnsi="Times New Roman"/>
          <w:sz w:val="24"/>
          <w:szCs w:val="24"/>
        </w:rPr>
        <w:t xml:space="preserve"> the revised</w:t>
      </w:r>
      <w:r w:rsidR="006B632F">
        <w:rPr>
          <w:rFonts w:ascii="Times New Roman" w:hAnsi="Times New Roman"/>
          <w:sz w:val="24"/>
          <w:szCs w:val="24"/>
        </w:rPr>
        <w:t xml:space="preserve"> </w:t>
      </w:r>
      <w:r w:rsidR="006B632F" w:rsidRPr="009333C9">
        <w:rPr>
          <w:rFonts w:ascii="Times New Roman" w:hAnsi="Times New Roman"/>
          <w:i/>
          <w:sz w:val="24"/>
          <w:szCs w:val="24"/>
        </w:rPr>
        <w:t>Prudential Standard APS 210 Liquidity</w:t>
      </w:r>
      <w:r w:rsidR="006B632F">
        <w:rPr>
          <w:rFonts w:ascii="Times New Roman" w:hAnsi="Times New Roman"/>
          <w:sz w:val="24"/>
          <w:szCs w:val="24"/>
        </w:rPr>
        <w:t xml:space="preserve"> (APS 210).</w:t>
      </w:r>
      <w:r w:rsidR="004C59C5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6B632F">
        <w:rPr>
          <w:rFonts w:ascii="Times New Roman" w:hAnsi="Times New Roman"/>
          <w:sz w:val="24"/>
          <w:szCs w:val="24"/>
        </w:rPr>
        <w:t xml:space="preserve"> </w:t>
      </w:r>
    </w:p>
    <w:p w14:paraId="00049901" w14:textId="6F3D1EB6" w:rsidR="00E935D9" w:rsidRDefault="00E935D9" w:rsidP="00350DC6">
      <w:pPr>
        <w:spacing w:after="240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sz w:val="24"/>
          <w:szCs w:val="24"/>
          <w:lang w:eastAsia="en-US"/>
        </w:rPr>
        <w:lastRenderedPageBreak/>
        <w:t>ADIs are currently required to report liquidity data to APRA</w:t>
      </w:r>
      <w:r w:rsidR="00B16B5E">
        <w:rPr>
          <w:rFonts w:ascii="Times New Roman" w:eastAsiaTheme="minorEastAsia" w:hAnsi="Times New Roman"/>
          <w:sz w:val="24"/>
          <w:szCs w:val="24"/>
          <w:lang w:eastAsia="en-US"/>
        </w:rPr>
        <w:t xml:space="preserve"> for the purpose of LCR monitoring and general supervision of liquidity risk. </w:t>
      </w:r>
      <w:r>
        <w:rPr>
          <w:rFonts w:ascii="Times New Roman" w:eastAsiaTheme="minorEastAsia" w:hAnsi="Times New Roman"/>
          <w:sz w:val="24"/>
          <w:szCs w:val="24"/>
          <w:lang w:eastAsia="en-US"/>
        </w:rPr>
        <w:t xml:space="preserve">The revised APS 210, and in particular the introduction of the NSFR, necessitates changes to </w:t>
      </w:r>
      <w:r w:rsidR="00B16B5E">
        <w:rPr>
          <w:rFonts w:ascii="Times New Roman" w:eastAsiaTheme="minorEastAsia" w:hAnsi="Times New Roman"/>
          <w:sz w:val="24"/>
          <w:szCs w:val="24"/>
          <w:lang w:eastAsia="en-US"/>
        </w:rPr>
        <w:t xml:space="preserve">align </w:t>
      </w:r>
      <w:r>
        <w:rPr>
          <w:rFonts w:ascii="Times New Roman" w:eastAsiaTheme="minorEastAsia" w:hAnsi="Times New Roman"/>
          <w:sz w:val="24"/>
          <w:szCs w:val="24"/>
          <w:lang w:eastAsia="en-US"/>
        </w:rPr>
        <w:t>APRA’s liquidity reporting requirements</w:t>
      </w:r>
      <w:r w:rsidR="00044AD0">
        <w:rPr>
          <w:rFonts w:ascii="Times New Roman" w:eastAsiaTheme="minorEastAsia" w:hAnsi="Times New Roman"/>
          <w:sz w:val="24"/>
          <w:szCs w:val="24"/>
          <w:lang w:eastAsia="en-US"/>
        </w:rPr>
        <w:t xml:space="preserve"> with the revised prudential standard. The revised ARS 210.0 will allow APRA to monitor </w:t>
      </w:r>
      <w:r w:rsidR="009A0B69">
        <w:rPr>
          <w:rFonts w:ascii="Times New Roman" w:eastAsiaTheme="minorEastAsia" w:hAnsi="Times New Roman"/>
          <w:sz w:val="24"/>
          <w:szCs w:val="24"/>
          <w:lang w:eastAsia="en-US"/>
        </w:rPr>
        <w:t>ADIs’ NSFR and liquidity profile</w:t>
      </w:r>
      <w:r w:rsidR="00330BB3">
        <w:rPr>
          <w:rFonts w:ascii="Times New Roman" w:eastAsiaTheme="minorEastAsia" w:hAnsi="Times New Roman"/>
          <w:sz w:val="24"/>
          <w:szCs w:val="24"/>
          <w:lang w:eastAsia="en-US"/>
        </w:rPr>
        <w:t>s</w:t>
      </w:r>
      <w:r w:rsidR="00044AD0">
        <w:rPr>
          <w:rFonts w:ascii="Times New Roman" w:eastAsiaTheme="minorEastAsia" w:hAnsi="Times New Roman"/>
          <w:sz w:val="24"/>
          <w:szCs w:val="24"/>
          <w:lang w:eastAsia="en-US"/>
        </w:rPr>
        <w:t xml:space="preserve"> as part of the adoption of the Basel III liquidity framework. </w:t>
      </w:r>
    </w:p>
    <w:p w14:paraId="292628ED" w14:textId="49FCA1E4" w:rsidR="002436BD" w:rsidRDefault="002436BD" w:rsidP="001A2234">
      <w:pPr>
        <w:pStyle w:val="Heading"/>
        <w:keepNext/>
        <w:numPr>
          <w:ilvl w:val="0"/>
          <w:numId w:val="2"/>
        </w:numPr>
        <w:spacing w:after="240"/>
        <w:ind w:left="0" w:firstLine="0"/>
        <w:outlineLvl w:val="0"/>
        <w:rPr>
          <w:rFonts w:ascii="Times New Roman" w:hAnsi="Times New Roman"/>
          <w:sz w:val="24"/>
          <w:szCs w:val="24"/>
        </w:rPr>
      </w:pPr>
      <w:bookmarkStart w:id="4" w:name="bkBackground"/>
      <w:bookmarkEnd w:id="4"/>
      <w:r w:rsidRPr="002C6D26">
        <w:rPr>
          <w:rFonts w:ascii="Times New Roman" w:hAnsi="Times New Roman"/>
          <w:sz w:val="24"/>
          <w:szCs w:val="24"/>
        </w:rPr>
        <w:t xml:space="preserve">Purpose </w:t>
      </w:r>
      <w:r w:rsidR="00DF524E">
        <w:rPr>
          <w:rFonts w:ascii="Times New Roman" w:hAnsi="Times New Roman"/>
          <w:sz w:val="24"/>
          <w:szCs w:val="24"/>
        </w:rPr>
        <w:t xml:space="preserve">and operation </w:t>
      </w:r>
      <w:r w:rsidRPr="002C6D26">
        <w:rPr>
          <w:rFonts w:ascii="Times New Roman" w:hAnsi="Times New Roman"/>
          <w:sz w:val="24"/>
          <w:szCs w:val="24"/>
        </w:rPr>
        <w:t>of the instrument</w:t>
      </w:r>
    </w:p>
    <w:p w14:paraId="16D01039" w14:textId="25AB5AEA" w:rsidR="00330BB3" w:rsidRDefault="00F6523D" w:rsidP="001A2234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bookmarkStart w:id="5" w:name="bkPurpose"/>
      <w:bookmarkEnd w:id="5"/>
      <w:r>
        <w:rPr>
          <w:rFonts w:ascii="Times New Roman" w:hAnsi="Times New Roman"/>
          <w:b w:val="0"/>
          <w:sz w:val="24"/>
          <w:szCs w:val="24"/>
        </w:rPr>
        <w:t xml:space="preserve">The purpose of the instrument is to revoke the existing ARS 210.0 and replace it with a new version of ARS 210.0 that introduces a new reporting form, </w:t>
      </w:r>
      <w:r w:rsidRPr="00F6523D">
        <w:rPr>
          <w:rFonts w:ascii="Times New Roman" w:hAnsi="Times New Roman"/>
          <w:b w:val="0"/>
          <w:i/>
          <w:sz w:val="24"/>
          <w:szCs w:val="24"/>
        </w:rPr>
        <w:t>Reporting Form ARF 210.6 Net Stable Funding Ratio</w:t>
      </w:r>
      <w:r>
        <w:rPr>
          <w:rFonts w:ascii="Times New Roman" w:hAnsi="Times New Roman"/>
          <w:b w:val="0"/>
          <w:sz w:val="24"/>
          <w:szCs w:val="24"/>
        </w:rPr>
        <w:t xml:space="preserve"> (ARF 210.6). In addition, </w:t>
      </w:r>
      <w:r w:rsidR="004437F6">
        <w:rPr>
          <w:rFonts w:ascii="Times New Roman" w:hAnsi="Times New Roman"/>
          <w:b w:val="0"/>
          <w:sz w:val="24"/>
          <w:szCs w:val="24"/>
        </w:rPr>
        <w:t xml:space="preserve">the new version of ARS 210.0 also includes other </w:t>
      </w:r>
      <w:r w:rsidR="00AE4831">
        <w:rPr>
          <w:rFonts w:ascii="Times New Roman" w:hAnsi="Times New Roman"/>
          <w:b w:val="0"/>
          <w:sz w:val="24"/>
          <w:szCs w:val="24"/>
        </w:rPr>
        <w:t xml:space="preserve">revisions </w:t>
      </w:r>
      <w:r w:rsidR="004437F6">
        <w:rPr>
          <w:rFonts w:ascii="Times New Roman" w:hAnsi="Times New Roman"/>
          <w:b w:val="0"/>
          <w:sz w:val="24"/>
          <w:szCs w:val="24"/>
        </w:rPr>
        <w:t>to the existing reporting forms and instructions</w:t>
      </w:r>
      <w:r w:rsidR="00802978">
        <w:rPr>
          <w:rFonts w:ascii="Times New Roman" w:hAnsi="Times New Roman"/>
          <w:b w:val="0"/>
          <w:sz w:val="24"/>
          <w:szCs w:val="24"/>
        </w:rPr>
        <w:t xml:space="preserve"> including: </w:t>
      </w:r>
    </w:p>
    <w:p w14:paraId="4B7D9FBF" w14:textId="77777777" w:rsidR="001641B2" w:rsidRDefault="001641B2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the addition of reporting items to reflect </w:t>
      </w:r>
      <w:r w:rsidR="00330BB3">
        <w:rPr>
          <w:rFonts w:ascii="Times New Roman" w:hAnsi="Times New Roman"/>
          <w:b w:val="0"/>
          <w:sz w:val="24"/>
          <w:szCs w:val="24"/>
        </w:rPr>
        <w:t xml:space="preserve">the </w:t>
      </w:r>
      <w:r>
        <w:rPr>
          <w:rFonts w:ascii="Times New Roman" w:hAnsi="Times New Roman"/>
          <w:b w:val="0"/>
          <w:sz w:val="24"/>
          <w:szCs w:val="24"/>
        </w:rPr>
        <w:t>inclusion</w:t>
      </w:r>
      <w:r w:rsidR="00330BB3">
        <w:rPr>
          <w:rFonts w:ascii="Times New Roman" w:hAnsi="Times New Roman"/>
          <w:b w:val="0"/>
          <w:sz w:val="24"/>
          <w:szCs w:val="24"/>
        </w:rPr>
        <w:t xml:space="preserve"> of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30BB3">
        <w:rPr>
          <w:rFonts w:ascii="Times New Roman" w:hAnsi="Times New Roman"/>
          <w:b w:val="0"/>
          <w:sz w:val="24"/>
          <w:szCs w:val="24"/>
        </w:rPr>
        <w:t xml:space="preserve">HQLA2B </w:t>
      </w:r>
      <w:r>
        <w:rPr>
          <w:rFonts w:ascii="Times New Roman" w:hAnsi="Times New Roman"/>
          <w:b w:val="0"/>
          <w:sz w:val="24"/>
          <w:szCs w:val="24"/>
        </w:rPr>
        <w:t>within the LCR;</w:t>
      </w:r>
    </w:p>
    <w:p w14:paraId="2E22DB5D" w14:textId="77777777" w:rsidR="003607F5" w:rsidRDefault="003607F5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addition of the average and highest LCR ratios over the reporting period, as well as reporting of the LCR for other significant currencies;</w:t>
      </w:r>
    </w:p>
    <w:p w14:paraId="17FB2FFC" w14:textId="64976080" w:rsidR="003607F5" w:rsidRDefault="003607F5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amendments to the reporting of deposit items on the minimum liquidity holdings ratio form;</w:t>
      </w:r>
    </w:p>
    <w:p w14:paraId="2E96D809" w14:textId="08647E58" w:rsidR="009E5771" w:rsidRDefault="009E5771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revision of the existing balance sheet forms in order to capture contractual cash inflows and outflows and better align with the Basel Committee’s monitoring requirements;</w:t>
      </w:r>
    </w:p>
    <w:p w14:paraId="39CB7EF3" w14:textId="0462350F" w:rsidR="009F6F44" w:rsidRDefault="009F6F44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division between domestic and offshore assets and liabilities and encumbered and unencumbered assets;</w:t>
      </w:r>
    </w:p>
    <w:p w14:paraId="1FA29449" w14:textId="7D9290AE" w:rsidR="009F6F44" w:rsidRDefault="009F6F44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removal of the off-balance sheet exposures form;</w:t>
      </w:r>
    </w:p>
    <w:p w14:paraId="514CBFBC" w14:textId="62747D92" w:rsidR="009E5771" w:rsidRDefault="00AE4831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addition of a large liability exposures table and lowering the threshold for LCR ADIs to one per cent of liabilities to match the Basel Committee’s monitoring requirements</w:t>
      </w:r>
      <w:r w:rsidR="009F6F44">
        <w:rPr>
          <w:rFonts w:ascii="Times New Roman" w:hAnsi="Times New Roman"/>
          <w:b w:val="0"/>
          <w:sz w:val="24"/>
          <w:szCs w:val="24"/>
        </w:rPr>
        <w:t>;</w:t>
      </w:r>
    </w:p>
    <w:p w14:paraId="469A2EE8" w14:textId="4A6B4FB2" w:rsidR="009F6F44" w:rsidRDefault="009F6F44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revision of the existing balance sheet forecast form </w:t>
      </w:r>
      <w:r w:rsidR="002177F9">
        <w:rPr>
          <w:rFonts w:ascii="Times New Roman" w:hAnsi="Times New Roman"/>
          <w:b w:val="0"/>
          <w:sz w:val="24"/>
          <w:szCs w:val="24"/>
        </w:rPr>
        <w:t xml:space="preserve">to align with the revised contractual maturity forms and </w:t>
      </w:r>
      <w:r w:rsidR="004D3E50">
        <w:rPr>
          <w:rFonts w:ascii="Times New Roman" w:hAnsi="Times New Roman"/>
          <w:b w:val="0"/>
          <w:sz w:val="24"/>
          <w:szCs w:val="24"/>
        </w:rPr>
        <w:t xml:space="preserve">the addition of </w:t>
      </w:r>
      <w:r w:rsidR="002177F9">
        <w:rPr>
          <w:rFonts w:ascii="Times New Roman" w:hAnsi="Times New Roman"/>
          <w:b w:val="0"/>
          <w:sz w:val="24"/>
          <w:szCs w:val="24"/>
        </w:rPr>
        <w:t>more granular reporting of contingent liabilities;</w:t>
      </w:r>
    </w:p>
    <w:p w14:paraId="3C9D5C74" w14:textId="77777777" w:rsidR="009F6F44" w:rsidRDefault="009F6F44" w:rsidP="009F6F44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incorporation of additional reporting items on covered bonds;</w:t>
      </w:r>
    </w:p>
    <w:p w14:paraId="53F47773" w14:textId="5CEA2B6E" w:rsidR="003607F5" w:rsidRDefault="00647C1F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more granular reporting under the daily liquidity report in relation to funding outflows and maturities; and</w:t>
      </w:r>
    </w:p>
    <w:p w14:paraId="27717182" w14:textId="53C7651E" w:rsidR="00F6523D" w:rsidRDefault="003607F5" w:rsidP="00330BB3">
      <w:pPr>
        <w:pStyle w:val="Heading"/>
        <w:numPr>
          <w:ilvl w:val="0"/>
          <w:numId w:val="8"/>
        </w:numPr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other minor amendments across the suite of reporting forms to clarify definitions and to streamline the prudential reporting requirements. </w:t>
      </w:r>
    </w:p>
    <w:p w14:paraId="46711591" w14:textId="6615CA6D" w:rsidR="00B177D9" w:rsidRDefault="00B6779C" w:rsidP="00631116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ARS 210.0 collects information from ADIs and the non-operating holding company (NOHC) of an ADI in certain circumstances. This information is used by APRA for the purpose of prudential supervision, including assessing compliance with APS 210. </w:t>
      </w:r>
      <w:r w:rsidR="00A95435">
        <w:rPr>
          <w:rFonts w:ascii="Times New Roman" w:hAnsi="Times New Roman"/>
          <w:sz w:val="24"/>
          <w:szCs w:val="24"/>
        </w:rPr>
        <w:t xml:space="preserve">This </w:t>
      </w:r>
      <w:r w:rsidR="00A95435">
        <w:rPr>
          <w:rFonts w:ascii="Times New Roman" w:hAnsi="Times New Roman"/>
          <w:sz w:val="24"/>
          <w:szCs w:val="24"/>
        </w:rPr>
        <w:lastRenderedPageBreak/>
        <w:t xml:space="preserve">information may also be used by the Reserve Bank of Australia. </w:t>
      </w:r>
      <w:r w:rsidR="00354728">
        <w:rPr>
          <w:rFonts w:ascii="Times New Roman" w:hAnsi="Times New Roman"/>
          <w:sz w:val="24"/>
          <w:szCs w:val="24"/>
        </w:rPr>
        <w:t xml:space="preserve">Where </w:t>
      </w:r>
      <w:r w:rsidR="00B177D9">
        <w:rPr>
          <w:rFonts w:ascii="Times New Roman" w:hAnsi="Times New Roman"/>
          <w:sz w:val="24"/>
          <w:szCs w:val="24"/>
        </w:rPr>
        <w:t xml:space="preserve">ARS 210.0 incorporates by reference </w:t>
      </w:r>
      <w:r w:rsidR="00354728">
        <w:rPr>
          <w:rFonts w:ascii="Times New Roman" w:hAnsi="Times New Roman"/>
          <w:sz w:val="24"/>
          <w:szCs w:val="24"/>
        </w:rPr>
        <w:t>the requirements of another Act</w:t>
      </w:r>
      <w:r w:rsidR="001F177E">
        <w:rPr>
          <w:rFonts w:ascii="Times New Roman" w:hAnsi="Times New Roman"/>
          <w:sz w:val="24"/>
          <w:szCs w:val="24"/>
        </w:rPr>
        <w:t>, Prudential Standard</w:t>
      </w:r>
      <w:r w:rsidR="00802978">
        <w:rPr>
          <w:rFonts w:ascii="Times New Roman" w:hAnsi="Times New Roman"/>
          <w:sz w:val="24"/>
          <w:szCs w:val="24"/>
        </w:rPr>
        <w:t>,</w:t>
      </w:r>
      <w:r w:rsidR="001F177E">
        <w:rPr>
          <w:rFonts w:ascii="Times New Roman" w:hAnsi="Times New Roman"/>
          <w:sz w:val="24"/>
          <w:szCs w:val="24"/>
        </w:rPr>
        <w:t xml:space="preserve"> Reporting Standard</w:t>
      </w:r>
      <w:r w:rsidR="00802978">
        <w:rPr>
          <w:rFonts w:ascii="Times New Roman" w:hAnsi="Times New Roman"/>
          <w:sz w:val="24"/>
          <w:szCs w:val="24"/>
        </w:rPr>
        <w:t xml:space="preserve"> or other legislative instrument,</w:t>
      </w:r>
      <w:r w:rsidR="00B87083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802978">
        <w:rPr>
          <w:rFonts w:ascii="Times New Roman" w:hAnsi="Times New Roman"/>
          <w:sz w:val="24"/>
          <w:szCs w:val="24"/>
        </w:rPr>
        <w:t xml:space="preserve"> this is a reference to the instrument as </w:t>
      </w:r>
      <w:r w:rsidR="009D3736">
        <w:rPr>
          <w:rFonts w:ascii="Times New Roman" w:hAnsi="Times New Roman"/>
          <w:sz w:val="24"/>
          <w:szCs w:val="24"/>
        </w:rPr>
        <w:t xml:space="preserve">in force or </w:t>
      </w:r>
      <w:r w:rsidR="00802978">
        <w:rPr>
          <w:rFonts w:ascii="Times New Roman" w:hAnsi="Times New Roman"/>
          <w:sz w:val="24"/>
          <w:szCs w:val="24"/>
        </w:rPr>
        <w:t>exist</w:t>
      </w:r>
      <w:r w:rsidR="009D3736">
        <w:rPr>
          <w:rFonts w:ascii="Times New Roman" w:hAnsi="Times New Roman"/>
          <w:sz w:val="24"/>
          <w:szCs w:val="24"/>
        </w:rPr>
        <w:t>ing</w:t>
      </w:r>
      <w:r w:rsidR="00802978">
        <w:rPr>
          <w:rFonts w:ascii="Times New Roman" w:hAnsi="Times New Roman"/>
          <w:sz w:val="24"/>
          <w:szCs w:val="24"/>
        </w:rPr>
        <w:t xml:space="preserve"> from time to time,</w:t>
      </w:r>
      <w:r w:rsidR="00B177D9">
        <w:rPr>
          <w:rFonts w:ascii="Times New Roman" w:hAnsi="Times New Roman"/>
          <w:sz w:val="24"/>
          <w:szCs w:val="24"/>
        </w:rPr>
        <w:t xml:space="preserve"> and </w:t>
      </w:r>
      <w:r w:rsidR="009D3736">
        <w:rPr>
          <w:rFonts w:ascii="Times New Roman" w:hAnsi="Times New Roman"/>
          <w:sz w:val="24"/>
          <w:szCs w:val="24"/>
        </w:rPr>
        <w:t xml:space="preserve">is </w:t>
      </w:r>
      <w:r w:rsidR="00B177D9">
        <w:rPr>
          <w:rFonts w:ascii="Times New Roman" w:hAnsi="Times New Roman"/>
          <w:sz w:val="24"/>
          <w:szCs w:val="24"/>
        </w:rPr>
        <w:t xml:space="preserve">available on the Federal Register of Legislation at </w:t>
      </w:r>
      <w:hyperlink r:id="rId13" w:history="1">
        <w:r w:rsidR="00B177D9" w:rsidRPr="00130246">
          <w:rPr>
            <w:rStyle w:val="Hyperlink"/>
            <w:rFonts w:ascii="Times New Roman" w:hAnsi="Times New Roman"/>
            <w:sz w:val="24"/>
            <w:szCs w:val="24"/>
          </w:rPr>
          <w:t>www.legislation.gov.au</w:t>
        </w:r>
      </w:hyperlink>
      <w:r w:rsidR="00B177D9">
        <w:rPr>
          <w:rFonts w:ascii="Times New Roman" w:hAnsi="Times New Roman"/>
          <w:sz w:val="24"/>
          <w:szCs w:val="24"/>
        </w:rPr>
        <w:t xml:space="preserve">. </w:t>
      </w:r>
    </w:p>
    <w:p w14:paraId="4866DF5E" w14:textId="42FA011A" w:rsidR="002436BD" w:rsidRDefault="002436BD" w:rsidP="001A2234">
      <w:pPr>
        <w:pStyle w:val="Heading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</w:rPr>
      </w:pPr>
      <w:bookmarkStart w:id="6" w:name="bkoperation"/>
      <w:bookmarkStart w:id="7" w:name="bkConsultationNo"/>
      <w:bookmarkEnd w:id="6"/>
      <w:bookmarkEnd w:id="7"/>
      <w:r w:rsidRPr="002C6D26">
        <w:rPr>
          <w:rFonts w:ascii="Times New Roman" w:hAnsi="Times New Roman"/>
          <w:sz w:val="24"/>
          <w:szCs w:val="24"/>
        </w:rPr>
        <w:t>Consultation</w:t>
      </w:r>
    </w:p>
    <w:p w14:paraId="505F5EF0" w14:textId="0EDC3895" w:rsidR="00F15270" w:rsidRDefault="00F15270" w:rsidP="001A2234">
      <w:pPr>
        <w:pStyle w:val="Heading"/>
        <w:tabs>
          <w:tab w:val="left" w:pos="360"/>
        </w:tabs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APRA</w:t>
      </w:r>
      <w:r w:rsidR="001B58E9">
        <w:rPr>
          <w:rFonts w:ascii="Times New Roman" w:hAnsi="Times New Roman"/>
          <w:b w:val="0"/>
          <w:sz w:val="24"/>
          <w:szCs w:val="24"/>
        </w:rPr>
        <w:t xml:space="preserve"> consulted</w:t>
      </w:r>
      <w:r w:rsidR="00FE164D">
        <w:rPr>
          <w:rFonts w:ascii="Times New Roman" w:hAnsi="Times New Roman"/>
          <w:b w:val="0"/>
          <w:sz w:val="24"/>
          <w:szCs w:val="24"/>
        </w:rPr>
        <w:t xml:space="preserve"> publicly</w:t>
      </w:r>
      <w:r w:rsidR="001B58E9">
        <w:rPr>
          <w:rFonts w:ascii="Times New Roman" w:hAnsi="Times New Roman"/>
          <w:b w:val="0"/>
          <w:sz w:val="24"/>
          <w:szCs w:val="24"/>
        </w:rPr>
        <w:t xml:space="preserve"> on the proposed amendments to ARS 210.0 from March 2017 to May 2017</w:t>
      </w:r>
      <w:r>
        <w:rPr>
          <w:rFonts w:ascii="Times New Roman" w:hAnsi="Times New Roman"/>
          <w:b w:val="0"/>
          <w:sz w:val="24"/>
          <w:szCs w:val="24"/>
        </w:rPr>
        <w:t xml:space="preserve">. </w:t>
      </w:r>
      <w:r w:rsidR="009C4BA2">
        <w:rPr>
          <w:rFonts w:ascii="Times New Roman" w:hAnsi="Times New Roman"/>
          <w:b w:val="0"/>
          <w:sz w:val="24"/>
          <w:szCs w:val="24"/>
        </w:rPr>
        <w:t xml:space="preserve">A total of eight submissions were received in response to APRA’s consultation, which resulted in further guidance and clarification being provided for certain items in the reporting instructions. </w:t>
      </w:r>
      <w:r>
        <w:rPr>
          <w:rFonts w:ascii="Times New Roman" w:hAnsi="Times New Roman"/>
          <w:b w:val="0"/>
          <w:sz w:val="24"/>
          <w:szCs w:val="24"/>
        </w:rPr>
        <w:t>In July 2017, APRA released a response letter ‘Revised liquidity reporting requirements – response to submissions’ and final revised ARS 210.0.</w:t>
      </w:r>
      <w:r w:rsidR="00FE164D">
        <w:rPr>
          <w:rStyle w:val="FootnoteReference"/>
          <w:rFonts w:ascii="Times New Roman" w:hAnsi="Times New Roman"/>
          <w:b w:val="0"/>
          <w:sz w:val="24"/>
          <w:szCs w:val="24"/>
        </w:rPr>
        <w:footnoteReference w:id="4"/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B248C0D" w14:textId="77777777" w:rsidR="002436BD" w:rsidRDefault="00DF524E" w:rsidP="001A2234">
      <w:pPr>
        <w:pStyle w:val="Heading"/>
        <w:tabs>
          <w:tab w:val="left" w:pos="360"/>
        </w:tabs>
        <w:spacing w:after="240"/>
        <w:rPr>
          <w:rFonts w:ascii="Times New Roman" w:hAnsi="Times New Roman"/>
          <w:sz w:val="24"/>
          <w:szCs w:val="24"/>
        </w:rPr>
      </w:pPr>
      <w:bookmarkStart w:id="8" w:name="bkConsultation"/>
      <w:bookmarkStart w:id="9" w:name="bkRISNO"/>
      <w:bookmarkStart w:id="10" w:name="bkRIS"/>
      <w:bookmarkEnd w:id="8"/>
      <w:bookmarkEnd w:id="9"/>
      <w:r>
        <w:rPr>
          <w:rFonts w:ascii="Times New Roman" w:hAnsi="Times New Roman"/>
          <w:sz w:val="24"/>
          <w:szCs w:val="24"/>
        </w:rPr>
        <w:t>4</w:t>
      </w:r>
      <w:r w:rsidR="002436BD" w:rsidRPr="002C6D26">
        <w:rPr>
          <w:rFonts w:ascii="Times New Roman" w:hAnsi="Times New Roman"/>
          <w:sz w:val="24"/>
          <w:szCs w:val="24"/>
        </w:rPr>
        <w:t xml:space="preserve">. </w:t>
      </w:r>
      <w:r w:rsidR="002436BD" w:rsidRPr="002C6D26">
        <w:rPr>
          <w:rFonts w:ascii="Times New Roman" w:hAnsi="Times New Roman"/>
          <w:sz w:val="24"/>
          <w:szCs w:val="24"/>
        </w:rPr>
        <w:tab/>
        <w:t>R</w:t>
      </w:r>
      <w:r w:rsidR="002436BD">
        <w:rPr>
          <w:rFonts w:ascii="Times New Roman" w:hAnsi="Times New Roman"/>
          <w:sz w:val="24"/>
          <w:szCs w:val="24"/>
        </w:rPr>
        <w:t xml:space="preserve">egulation </w:t>
      </w:r>
      <w:r w:rsidR="002436BD" w:rsidRPr="002C6D26">
        <w:rPr>
          <w:rFonts w:ascii="Times New Roman" w:hAnsi="Times New Roman"/>
          <w:sz w:val="24"/>
          <w:szCs w:val="24"/>
        </w:rPr>
        <w:t>I</w:t>
      </w:r>
      <w:r w:rsidR="002436BD">
        <w:rPr>
          <w:rFonts w:ascii="Times New Roman" w:hAnsi="Times New Roman"/>
          <w:sz w:val="24"/>
          <w:szCs w:val="24"/>
        </w:rPr>
        <w:t xml:space="preserve">mpact </w:t>
      </w:r>
      <w:r w:rsidR="002436BD" w:rsidRPr="002C6D26">
        <w:rPr>
          <w:rFonts w:ascii="Times New Roman" w:hAnsi="Times New Roman"/>
          <w:sz w:val="24"/>
          <w:szCs w:val="24"/>
        </w:rPr>
        <w:t>S</w:t>
      </w:r>
      <w:r w:rsidR="002436BD">
        <w:rPr>
          <w:rFonts w:ascii="Times New Roman" w:hAnsi="Times New Roman"/>
          <w:sz w:val="24"/>
          <w:szCs w:val="24"/>
        </w:rPr>
        <w:t>tatement</w:t>
      </w:r>
    </w:p>
    <w:bookmarkEnd w:id="10"/>
    <w:p w14:paraId="69B37E3D" w14:textId="3F577143" w:rsidR="0014151E" w:rsidRDefault="0061699B" w:rsidP="00DF68DA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The reporting requirements for APRA’s revised liquidity framework were addressed in </w:t>
      </w:r>
      <w:r w:rsidR="008E21A7">
        <w:rPr>
          <w:rFonts w:ascii="Times New Roman" w:hAnsi="Times New Roman"/>
          <w:b w:val="0"/>
          <w:sz w:val="24"/>
          <w:szCs w:val="24"/>
        </w:rPr>
        <w:t>‘</w:t>
      </w:r>
      <w:r>
        <w:rPr>
          <w:rFonts w:ascii="Times New Roman" w:hAnsi="Times New Roman"/>
          <w:b w:val="0"/>
          <w:sz w:val="24"/>
          <w:szCs w:val="24"/>
        </w:rPr>
        <w:t>Basel III liquidity</w:t>
      </w:r>
      <w:r w:rsidR="008E21A7">
        <w:rPr>
          <w:rFonts w:ascii="Times New Roman" w:hAnsi="Times New Roman"/>
          <w:b w:val="0"/>
          <w:sz w:val="24"/>
          <w:szCs w:val="24"/>
        </w:rPr>
        <w:t>: the net stable funding ratio and liquid assets requirement for foreign ADIs’</w:t>
      </w:r>
      <w:r>
        <w:rPr>
          <w:rFonts w:ascii="Times New Roman" w:hAnsi="Times New Roman"/>
          <w:b w:val="0"/>
          <w:sz w:val="24"/>
          <w:szCs w:val="24"/>
        </w:rPr>
        <w:t xml:space="preserve"> Regulatory Impact Statement (RIS) (Office of Best Practice Regulation ID: 2015/19640).</w:t>
      </w:r>
      <w:r w:rsidR="008E21A7">
        <w:rPr>
          <w:rStyle w:val="FootnoteReference"/>
          <w:rFonts w:ascii="Times New Roman" w:hAnsi="Times New Roman"/>
          <w:b w:val="0"/>
          <w:sz w:val="24"/>
          <w:szCs w:val="24"/>
        </w:rPr>
        <w:footnoteReference w:id="5"/>
      </w:r>
      <w:r>
        <w:rPr>
          <w:rFonts w:ascii="Times New Roman" w:hAnsi="Times New Roman"/>
          <w:b w:val="0"/>
          <w:sz w:val="24"/>
          <w:szCs w:val="24"/>
        </w:rPr>
        <w:t xml:space="preserve"> APRA noted in the RIS that changes to APS 210 would similarly necessitate revisions to </w:t>
      </w:r>
      <w:r w:rsidR="003B7DDB">
        <w:rPr>
          <w:rFonts w:ascii="Times New Roman" w:hAnsi="Times New Roman"/>
          <w:b w:val="0"/>
          <w:sz w:val="24"/>
          <w:szCs w:val="24"/>
        </w:rPr>
        <w:t>the liquidity reporting requirements for ADIs.</w:t>
      </w:r>
    </w:p>
    <w:p w14:paraId="22EF066A" w14:textId="77777777" w:rsidR="002436BD" w:rsidRPr="00B3165F" w:rsidRDefault="00DF524E" w:rsidP="001A2234">
      <w:pPr>
        <w:pStyle w:val="Heading"/>
        <w:tabs>
          <w:tab w:val="left" w:pos="360"/>
        </w:tabs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36BD" w:rsidRPr="00B3165F">
        <w:rPr>
          <w:rFonts w:ascii="Times New Roman" w:hAnsi="Times New Roman"/>
          <w:sz w:val="24"/>
          <w:szCs w:val="24"/>
        </w:rPr>
        <w:t>.</w:t>
      </w:r>
      <w:r w:rsidR="002436BD" w:rsidRPr="00B3165F">
        <w:rPr>
          <w:rFonts w:ascii="Times New Roman" w:hAnsi="Times New Roman"/>
          <w:sz w:val="24"/>
          <w:szCs w:val="24"/>
        </w:rPr>
        <w:tab/>
        <w:t>Statement of compatibility prepared in accordance with Part 3 of the Human Rights (Parliamentary Scrutiny) Act 2011</w:t>
      </w:r>
    </w:p>
    <w:p w14:paraId="45A349AE" w14:textId="77777777" w:rsidR="006A09F9" w:rsidRDefault="0030506B" w:rsidP="001A2234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  <w:sectPr w:rsidR="006A09F9" w:rsidSect="003D5032">
          <w:headerReference w:type="default" r:id="rId14"/>
          <w:footerReference w:type="default" r:id="rId15"/>
          <w:pgSz w:w="11906" w:h="16838" w:code="9"/>
          <w:pgMar w:top="1440" w:right="1800" w:bottom="1440" w:left="1800" w:header="709" w:footer="709" w:gutter="0"/>
          <w:cols w:space="708"/>
          <w:docGrid w:linePitch="360"/>
        </w:sectPr>
      </w:pPr>
      <w:r w:rsidRPr="0030506B">
        <w:rPr>
          <w:rFonts w:ascii="Times New Roman" w:hAnsi="Times New Roman"/>
          <w:b w:val="0"/>
          <w:sz w:val="24"/>
          <w:szCs w:val="24"/>
        </w:rPr>
        <w:t xml:space="preserve">A Statement of compatibility prepared in accordance with Part 3 of the </w:t>
      </w:r>
      <w:r w:rsidRPr="0030506B">
        <w:rPr>
          <w:rFonts w:ascii="Times New Roman" w:hAnsi="Times New Roman"/>
          <w:b w:val="0"/>
          <w:i/>
          <w:sz w:val="24"/>
          <w:szCs w:val="24"/>
        </w:rPr>
        <w:t>Human Rights (Parliamentary Scrutiny) Act 2011</w:t>
      </w:r>
      <w:r w:rsidRPr="0030506B">
        <w:rPr>
          <w:rFonts w:ascii="Times New Roman" w:hAnsi="Times New Roman"/>
          <w:b w:val="0"/>
          <w:sz w:val="24"/>
          <w:szCs w:val="24"/>
        </w:rPr>
        <w:t xml:space="preserve"> is provided at Attachment A to this Explanatory Statement.</w:t>
      </w:r>
    </w:p>
    <w:p w14:paraId="4C852F73" w14:textId="77777777" w:rsidR="006A09F9" w:rsidRPr="00E26D38" w:rsidRDefault="006A09F9" w:rsidP="00176296">
      <w:pPr>
        <w:autoSpaceDE w:val="0"/>
        <w:autoSpaceDN w:val="0"/>
        <w:adjustRightInd w:val="0"/>
        <w:spacing w:after="240"/>
        <w:rPr>
          <w:rFonts w:ascii="Times New Roman" w:eastAsia="Calibri" w:hAnsi="Times New Roman"/>
          <w:b/>
          <w:bCs/>
          <w:sz w:val="24"/>
          <w:szCs w:val="24"/>
        </w:rPr>
      </w:pPr>
      <w:r w:rsidRPr="00E26D38">
        <w:rPr>
          <w:rFonts w:ascii="Times New Roman" w:eastAsia="Calibri" w:hAnsi="Times New Roman"/>
          <w:b/>
          <w:bCs/>
          <w:sz w:val="24"/>
          <w:szCs w:val="24"/>
        </w:rPr>
        <w:t>Attachment A</w:t>
      </w:r>
    </w:p>
    <w:p w14:paraId="666ACC0C" w14:textId="77777777" w:rsidR="006A09F9" w:rsidRPr="00E26D38" w:rsidRDefault="006A09F9" w:rsidP="00176296">
      <w:pPr>
        <w:autoSpaceDE w:val="0"/>
        <w:autoSpaceDN w:val="0"/>
        <w:adjustRightInd w:val="0"/>
        <w:spacing w:after="2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26D38">
        <w:rPr>
          <w:rFonts w:ascii="Times New Roman" w:eastAsia="Calibri" w:hAnsi="Times New Roman"/>
          <w:b/>
          <w:bCs/>
          <w:sz w:val="24"/>
          <w:szCs w:val="24"/>
        </w:rPr>
        <w:t>Statement of Compatibility with Human Rights</w:t>
      </w:r>
    </w:p>
    <w:p w14:paraId="17A574F9" w14:textId="77777777" w:rsidR="006A09F9" w:rsidRPr="00E26D38" w:rsidRDefault="006A09F9" w:rsidP="00176296">
      <w:pPr>
        <w:autoSpaceDE w:val="0"/>
        <w:autoSpaceDN w:val="0"/>
        <w:adjustRightInd w:val="0"/>
        <w:spacing w:after="240"/>
        <w:jc w:val="center"/>
        <w:rPr>
          <w:rFonts w:ascii="Times New Roman" w:eastAsia="Calibri" w:hAnsi="Times New Roman"/>
          <w:i/>
          <w:iCs/>
          <w:sz w:val="24"/>
          <w:szCs w:val="24"/>
        </w:rPr>
      </w:pPr>
      <w:r w:rsidRPr="00393387">
        <w:rPr>
          <w:rFonts w:ascii="Times New Roman" w:eastAsia="Calibri" w:hAnsi="Times New Roman"/>
          <w:sz w:val="24"/>
          <w:szCs w:val="24"/>
        </w:rPr>
        <w:t>Prepared in accordance with</w:t>
      </w:r>
      <w:r w:rsidRPr="00E26D38">
        <w:rPr>
          <w:rFonts w:ascii="Times New Roman" w:eastAsia="Calibri" w:hAnsi="Times New Roman"/>
          <w:i/>
          <w:iCs/>
          <w:sz w:val="24"/>
          <w:szCs w:val="24"/>
        </w:rPr>
        <w:t xml:space="preserve"> Part 3 of the Human Rights (Parliamentary Scrutiny) Act 2011</w:t>
      </w:r>
    </w:p>
    <w:p w14:paraId="2B235B77" w14:textId="03CD9AD9" w:rsidR="006A09F9" w:rsidRPr="00E26D38" w:rsidRDefault="0077649E" w:rsidP="0017629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Financial Sector (Collection of Data) (reporting</w:t>
      </w:r>
      <w:r w:rsidR="006A09F9">
        <w:rPr>
          <w:rFonts w:ascii="Times New Roman" w:eastAsia="Calibri" w:hAnsi="Times New Roman"/>
          <w:b/>
          <w:bCs/>
          <w:sz w:val="24"/>
          <w:szCs w:val="24"/>
        </w:rPr>
        <w:t xml:space="preserve"> standard)</w:t>
      </w:r>
      <w:r w:rsidR="006A09F9" w:rsidRPr="00E26D38">
        <w:rPr>
          <w:rFonts w:ascii="Times New Roman" w:eastAsia="Calibri" w:hAnsi="Times New Roman"/>
          <w:b/>
          <w:bCs/>
          <w:sz w:val="24"/>
          <w:szCs w:val="24"/>
        </w:rPr>
        <w:t xml:space="preserve"> determination No. </w:t>
      </w:r>
      <w:r w:rsidR="00E10783">
        <w:rPr>
          <w:rFonts w:ascii="Times New Roman" w:eastAsia="Calibri" w:hAnsi="Times New Roman"/>
          <w:b/>
          <w:bCs/>
          <w:sz w:val="24"/>
          <w:szCs w:val="24"/>
        </w:rPr>
        <w:t>19</w:t>
      </w:r>
      <w:r w:rsidR="009A299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6A09F9" w:rsidRPr="00E26D38">
        <w:rPr>
          <w:rFonts w:ascii="Times New Roman" w:eastAsia="Calibri" w:hAnsi="Times New Roman"/>
          <w:b/>
          <w:bCs/>
          <w:sz w:val="24"/>
          <w:szCs w:val="24"/>
        </w:rPr>
        <w:t>201</w:t>
      </w:r>
      <w:r w:rsidR="006A09F9">
        <w:rPr>
          <w:rFonts w:ascii="Times New Roman" w:eastAsia="Calibri" w:hAnsi="Times New Roman"/>
          <w:b/>
          <w:bCs/>
          <w:sz w:val="24"/>
          <w:szCs w:val="24"/>
        </w:rPr>
        <w:t>7</w:t>
      </w:r>
    </w:p>
    <w:p w14:paraId="17433760" w14:textId="74E4FB93" w:rsidR="006A09F9" w:rsidRPr="00853457" w:rsidRDefault="009A299B" w:rsidP="0017629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This</w:t>
      </w:r>
      <w:r w:rsidR="006A09F9" w:rsidRPr="00E26D38">
        <w:rPr>
          <w:rFonts w:ascii="Times New Roman" w:eastAsia="Calibri" w:hAnsi="Times New Roman"/>
          <w:sz w:val="24"/>
          <w:szCs w:val="24"/>
        </w:rPr>
        <w:t xml:space="preserve"> Legislative Instrument</w:t>
      </w:r>
      <w:r>
        <w:rPr>
          <w:rFonts w:ascii="Times New Roman" w:eastAsia="Calibri" w:hAnsi="Times New Roman"/>
          <w:sz w:val="24"/>
          <w:szCs w:val="24"/>
        </w:rPr>
        <w:t xml:space="preserve"> is</w:t>
      </w:r>
      <w:r w:rsidR="006A09F9" w:rsidRPr="00E26D38">
        <w:rPr>
          <w:rFonts w:ascii="Times New Roman" w:eastAsia="Calibri" w:hAnsi="Times New Roman"/>
          <w:sz w:val="24"/>
          <w:szCs w:val="24"/>
        </w:rPr>
        <w:t xml:space="preserve"> compatible with the human rights and freedoms</w:t>
      </w:r>
      <w:r w:rsidR="00853457">
        <w:rPr>
          <w:rFonts w:ascii="Times New Roman" w:eastAsia="Calibri" w:hAnsi="Times New Roman"/>
          <w:sz w:val="24"/>
          <w:szCs w:val="24"/>
        </w:rPr>
        <w:t xml:space="preserve"> </w:t>
      </w:r>
      <w:r w:rsidR="006A09F9" w:rsidRPr="00E26D38">
        <w:rPr>
          <w:rFonts w:ascii="Times New Roman" w:eastAsia="Calibri" w:hAnsi="Times New Roman"/>
          <w:sz w:val="24"/>
          <w:szCs w:val="24"/>
        </w:rPr>
        <w:t>recognised or declared in the international instruments listed in section 3 of the</w:t>
      </w:r>
      <w:r w:rsidR="00853457">
        <w:rPr>
          <w:rFonts w:ascii="Times New Roman" w:eastAsia="Calibri" w:hAnsi="Times New Roman"/>
          <w:sz w:val="24"/>
          <w:szCs w:val="24"/>
        </w:rPr>
        <w:t xml:space="preserve"> </w:t>
      </w:r>
      <w:r w:rsidR="006A09F9" w:rsidRPr="00E26D38">
        <w:rPr>
          <w:rFonts w:ascii="Times New Roman" w:eastAsia="Calibri" w:hAnsi="Times New Roman"/>
          <w:i/>
          <w:iCs/>
          <w:sz w:val="24"/>
          <w:szCs w:val="24"/>
        </w:rPr>
        <w:t xml:space="preserve">Human Rights (Parliamentary Scrutiny) Act 2011 </w:t>
      </w:r>
      <w:r w:rsidR="006A09F9" w:rsidRPr="00E26D38">
        <w:rPr>
          <w:rFonts w:ascii="Times New Roman" w:eastAsia="Calibri" w:hAnsi="Times New Roman"/>
          <w:sz w:val="24"/>
          <w:szCs w:val="24"/>
        </w:rPr>
        <w:t>(HRPS Act)</w:t>
      </w:r>
      <w:r w:rsidR="006A09F9" w:rsidRPr="00E26D38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65124150" w14:textId="38572539" w:rsidR="006A09F9" w:rsidRPr="00E26D38" w:rsidRDefault="006A09F9" w:rsidP="0017629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26D38">
        <w:rPr>
          <w:rFonts w:ascii="Times New Roman" w:eastAsia="Calibri" w:hAnsi="Times New Roman"/>
          <w:b/>
          <w:bCs/>
          <w:sz w:val="24"/>
          <w:szCs w:val="24"/>
        </w:rPr>
        <w:t>Overview of the Legislative Instrument</w:t>
      </w:r>
      <w:r w:rsidR="0077649E">
        <w:rPr>
          <w:rFonts w:ascii="Times New Roman" w:eastAsia="Calibri" w:hAnsi="Times New Roman"/>
          <w:b/>
          <w:bCs/>
          <w:sz w:val="24"/>
          <w:szCs w:val="24"/>
        </w:rPr>
        <w:t>s</w:t>
      </w:r>
    </w:p>
    <w:p w14:paraId="2666FC34" w14:textId="06BD99B8" w:rsidR="006A09F9" w:rsidRPr="00881D03" w:rsidRDefault="0077649E" w:rsidP="0017629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The p</w:t>
      </w:r>
      <w:r w:rsidR="00B51024">
        <w:rPr>
          <w:rFonts w:ascii="Times New Roman" w:eastAsia="Calibri" w:hAnsi="Times New Roman"/>
          <w:sz w:val="24"/>
          <w:szCs w:val="24"/>
        </w:rPr>
        <w:t>urpose of this instrument</w:t>
      </w:r>
      <w:r w:rsidR="009A299B">
        <w:rPr>
          <w:rFonts w:ascii="Times New Roman" w:eastAsia="Calibri" w:hAnsi="Times New Roman"/>
          <w:sz w:val="24"/>
          <w:szCs w:val="24"/>
        </w:rPr>
        <w:t xml:space="preserve"> is to revoke </w:t>
      </w:r>
      <w:r w:rsidR="00881D03" w:rsidRPr="00881D03">
        <w:rPr>
          <w:rFonts w:ascii="Times New Roman" w:eastAsia="Calibri" w:hAnsi="Times New Roman"/>
          <w:i/>
          <w:sz w:val="24"/>
          <w:szCs w:val="24"/>
        </w:rPr>
        <w:t>Reporting Standard ARS 210.0 Liquidity</w:t>
      </w:r>
      <w:r w:rsidR="00881D03">
        <w:rPr>
          <w:rFonts w:ascii="Times New Roman" w:eastAsia="Calibri" w:hAnsi="Times New Roman"/>
          <w:sz w:val="24"/>
          <w:szCs w:val="24"/>
        </w:rPr>
        <w:t xml:space="preserve"> made under Financial Sector (Collection of Data) (reporting standard) determination No. 32 of 2014 and determine a new </w:t>
      </w:r>
      <w:r w:rsidR="00881D03" w:rsidRPr="00881D03">
        <w:rPr>
          <w:rFonts w:ascii="Times New Roman" w:eastAsia="Calibri" w:hAnsi="Times New Roman"/>
          <w:i/>
          <w:sz w:val="24"/>
          <w:szCs w:val="24"/>
        </w:rPr>
        <w:t>Reporting Standard ARS 210.0 Liquidity</w:t>
      </w:r>
      <w:r w:rsidR="00881D03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881D03">
        <w:rPr>
          <w:rFonts w:ascii="Times New Roman" w:eastAsia="Calibri" w:hAnsi="Times New Roman"/>
          <w:sz w:val="24"/>
          <w:szCs w:val="24"/>
        </w:rPr>
        <w:t>(ARS 210.0). ARS 210.0 aims to align the reporting requirements of authorised deposit-taking institutions with the revised prudential framework for liquidity</w:t>
      </w:r>
      <w:r w:rsidR="00B51024">
        <w:rPr>
          <w:rFonts w:ascii="Times New Roman" w:eastAsia="Calibri" w:hAnsi="Times New Roman"/>
          <w:sz w:val="24"/>
          <w:szCs w:val="24"/>
        </w:rPr>
        <w:t xml:space="preserve"> and allow APRA to assess compliance with </w:t>
      </w:r>
      <w:r w:rsidR="00B51024" w:rsidRPr="00B51024">
        <w:rPr>
          <w:rFonts w:ascii="Times New Roman" w:eastAsia="Calibri" w:hAnsi="Times New Roman"/>
          <w:i/>
          <w:sz w:val="24"/>
          <w:szCs w:val="24"/>
        </w:rPr>
        <w:t>Prudential Standard APS 210 Liquidity</w:t>
      </w:r>
      <w:r w:rsidR="00881D03">
        <w:rPr>
          <w:rFonts w:ascii="Times New Roman" w:eastAsia="Calibri" w:hAnsi="Times New Roman"/>
          <w:sz w:val="24"/>
          <w:szCs w:val="24"/>
        </w:rPr>
        <w:t xml:space="preserve">. </w:t>
      </w:r>
    </w:p>
    <w:p w14:paraId="57E617B4" w14:textId="77777777" w:rsidR="006A09F9" w:rsidRPr="00E26D38" w:rsidRDefault="006A09F9" w:rsidP="00116AD3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26D38">
        <w:rPr>
          <w:rFonts w:ascii="Times New Roman" w:eastAsia="Calibri" w:hAnsi="Times New Roman"/>
          <w:b/>
          <w:bCs/>
          <w:sz w:val="24"/>
          <w:szCs w:val="24"/>
        </w:rPr>
        <w:t>Human rights implications</w:t>
      </w:r>
    </w:p>
    <w:p w14:paraId="6DF4DB1D" w14:textId="2CF80552" w:rsidR="006A09F9" w:rsidRPr="00E26D38" w:rsidRDefault="006A09F9" w:rsidP="00116AD3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4"/>
          <w:szCs w:val="24"/>
        </w:rPr>
      </w:pPr>
      <w:r w:rsidRPr="00E26D38">
        <w:rPr>
          <w:rFonts w:ascii="Times New Roman" w:eastAsia="Calibri" w:hAnsi="Times New Roman"/>
          <w:sz w:val="24"/>
          <w:szCs w:val="24"/>
        </w:rPr>
        <w:t xml:space="preserve">APRA has assessed the instrument and is of the view that </w:t>
      </w:r>
      <w:r w:rsidR="00B51024">
        <w:rPr>
          <w:rFonts w:ascii="Times New Roman" w:eastAsia="Calibri" w:hAnsi="Times New Roman"/>
          <w:sz w:val="24"/>
          <w:szCs w:val="24"/>
        </w:rPr>
        <w:t>it does</w:t>
      </w:r>
      <w:r w:rsidRPr="00E26D38">
        <w:rPr>
          <w:rFonts w:ascii="Times New Roman" w:eastAsia="Calibri" w:hAnsi="Times New Roman"/>
          <w:sz w:val="24"/>
          <w:szCs w:val="24"/>
        </w:rPr>
        <w:t xml:space="preserve"> not engage any of</w:t>
      </w:r>
      <w:r w:rsidR="00853457">
        <w:rPr>
          <w:rFonts w:ascii="Times New Roman" w:eastAsia="Calibri" w:hAnsi="Times New Roman"/>
          <w:sz w:val="24"/>
          <w:szCs w:val="24"/>
        </w:rPr>
        <w:t xml:space="preserve"> </w:t>
      </w:r>
      <w:r w:rsidRPr="00E26D38">
        <w:rPr>
          <w:rFonts w:ascii="Times New Roman" w:eastAsia="Calibri" w:hAnsi="Times New Roman"/>
          <w:sz w:val="24"/>
          <w:szCs w:val="24"/>
        </w:rPr>
        <w:t>the applicable rights or freedoms recognised or declared in the international</w:t>
      </w:r>
      <w:r w:rsidR="00853457">
        <w:rPr>
          <w:rFonts w:ascii="Times New Roman" w:eastAsia="Calibri" w:hAnsi="Times New Roman"/>
          <w:sz w:val="24"/>
          <w:szCs w:val="24"/>
        </w:rPr>
        <w:t xml:space="preserve"> </w:t>
      </w:r>
      <w:r w:rsidRPr="00E26D38">
        <w:rPr>
          <w:rFonts w:ascii="Times New Roman" w:eastAsia="Calibri" w:hAnsi="Times New Roman"/>
          <w:sz w:val="24"/>
          <w:szCs w:val="24"/>
        </w:rPr>
        <w:t>instruments listed in section 3 of the HRPS Act. Ac</w:t>
      </w:r>
      <w:r w:rsidR="00853457">
        <w:rPr>
          <w:rFonts w:ascii="Times New Roman" w:eastAsia="Calibri" w:hAnsi="Times New Roman"/>
          <w:sz w:val="24"/>
          <w:szCs w:val="24"/>
        </w:rPr>
        <w:t xml:space="preserve">cordingly, in APRA’s assessment </w:t>
      </w:r>
      <w:r w:rsidRPr="00E26D38">
        <w:rPr>
          <w:rFonts w:ascii="Times New Roman" w:eastAsia="Calibri" w:hAnsi="Times New Roman"/>
          <w:sz w:val="24"/>
          <w:szCs w:val="24"/>
        </w:rPr>
        <w:t>the instrument</w:t>
      </w:r>
      <w:r w:rsidR="004B5712">
        <w:rPr>
          <w:rFonts w:ascii="Times New Roman" w:eastAsia="Calibri" w:hAnsi="Times New Roman"/>
          <w:sz w:val="24"/>
          <w:szCs w:val="24"/>
        </w:rPr>
        <w:t xml:space="preserve"> is</w:t>
      </w:r>
      <w:r w:rsidRPr="00E26D38">
        <w:rPr>
          <w:rFonts w:ascii="Times New Roman" w:eastAsia="Calibri" w:hAnsi="Times New Roman"/>
          <w:sz w:val="24"/>
          <w:szCs w:val="24"/>
        </w:rPr>
        <w:t xml:space="preserve"> compatible with human rights.</w:t>
      </w:r>
    </w:p>
    <w:p w14:paraId="0180E5EA" w14:textId="77777777" w:rsidR="006A09F9" w:rsidRPr="00E26D38" w:rsidRDefault="006A09F9" w:rsidP="00116AD3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26D38">
        <w:rPr>
          <w:rFonts w:ascii="Times New Roman" w:eastAsia="Calibri" w:hAnsi="Times New Roman"/>
          <w:b/>
          <w:bCs/>
          <w:sz w:val="24"/>
          <w:szCs w:val="24"/>
        </w:rPr>
        <w:t>Conclusion</w:t>
      </w:r>
    </w:p>
    <w:p w14:paraId="5ACE8475" w14:textId="00F48BE9" w:rsidR="006A09F9" w:rsidRPr="00853457" w:rsidRDefault="00853457" w:rsidP="00116AD3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The</w:t>
      </w:r>
      <w:r w:rsidR="006A09F9" w:rsidRPr="00E26D38">
        <w:rPr>
          <w:rFonts w:ascii="Times New Roman" w:eastAsia="Calibri" w:hAnsi="Times New Roman"/>
          <w:sz w:val="24"/>
          <w:szCs w:val="24"/>
        </w:rPr>
        <w:t xml:space="preserve"> Legislative Instrument</w:t>
      </w:r>
      <w:r w:rsidR="00B51024">
        <w:rPr>
          <w:rFonts w:ascii="Times New Roman" w:eastAsia="Calibri" w:hAnsi="Times New Roman"/>
          <w:sz w:val="24"/>
          <w:szCs w:val="24"/>
        </w:rPr>
        <w:t xml:space="preserve"> is</w:t>
      </w:r>
      <w:r w:rsidR="006A09F9" w:rsidRPr="00E26D38">
        <w:rPr>
          <w:rFonts w:ascii="Times New Roman" w:eastAsia="Calibri" w:hAnsi="Times New Roman"/>
          <w:sz w:val="24"/>
          <w:szCs w:val="24"/>
        </w:rPr>
        <w:t xml:space="preserve"> compatible with human rights as </w:t>
      </w:r>
      <w:r w:rsidR="00B51024">
        <w:rPr>
          <w:rFonts w:ascii="Times New Roman" w:eastAsia="Calibri" w:hAnsi="Times New Roman"/>
          <w:sz w:val="24"/>
          <w:szCs w:val="24"/>
        </w:rPr>
        <w:t>it does</w:t>
      </w:r>
      <w:r w:rsidR="006A09F9" w:rsidRPr="00E26D38">
        <w:rPr>
          <w:rFonts w:ascii="Times New Roman" w:eastAsia="Calibri" w:hAnsi="Times New Roman"/>
          <w:sz w:val="24"/>
          <w:szCs w:val="24"/>
        </w:rPr>
        <w:t xml:space="preserve"> not raise any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6A09F9" w:rsidRPr="00E26D38">
        <w:rPr>
          <w:rFonts w:ascii="Times New Roman" w:eastAsia="Calibri" w:hAnsi="Times New Roman"/>
          <w:sz w:val="24"/>
          <w:szCs w:val="24"/>
        </w:rPr>
        <w:t>human rights issues.</w:t>
      </w:r>
    </w:p>
    <w:p w14:paraId="46D5E387" w14:textId="3D822A73" w:rsidR="00B04B20" w:rsidRPr="00FA5345" w:rsidRDefault="00B04B20">
      <w:pPr>
        <w:pStyle w:val="Heading"/>
        <w:spacing w:after="240"/>
      </w:pPr>
    </w:p>
    <w:sectPr w:rsidR="00B04B20" w:rsidRPr="00FA5345" w:rsidSect="003D5032">
      <w:footerReference w:type="default" r:id="rId16"/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8C7CE" w14:textId="77777777" w:rsidR="008864B2" w:rsidRDefault="008864B2" w:rsidP="001A2234">
      <w:r>
        <w:separator/>
      </w:r>
    </w:p>
  </w:endnote>
  <w:endnote w:type="continuationSeparator" w:id="0">
    <w:p w14:paraId="3899659D" w14:textId="77777777" w:rsidR="008864B2" w:rsidRDefault="008864B2" w:rsidP="001A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0825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3CB6D87" w14:textId="77777777" w:rsidR="001A2234" w:rsidRPr="001A2234" w:rsidRDefault="001A2234" w:rsidP="001A2234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A2234">
          <w:rPr>
            <w:rFonts w:ascii="Times New Roman" w:hAnsi="Times New Roman"/>
            <w:bCs/>
            <w:sz w:val="24"/>
            <w:szCs w:val="24"/>
          </w:rPr>
          <w:fldChar w:fldCharType="begin"/>
        </w:r>
        <w:r w:rsidRPr="001A2234">
          <w:rPr>
            <w:rFonts w:ascii="Times New Roman" w:hAnsi="Times New Roman"/>
            <w:bCs/>
            <w:sz w:val="24"/>
            <w:szCs w:val="24"/>
          </w:rPr>
          <w:instrText xml:space="preserve"> PAGE </w:instrText>
        </w:r>
        <w:r w:rsidRPr="001A2234">
          <w:rPr>
            <w:rFonts w:ascii="Times New Roman" w:hAnsi="Times New Roman"/>
            <w:bCs/>
            <w:sz w:val="24"/>
            <w:szCs w:val="24"/>
          </w:rPr>
          <w:fldChar w:fldCharType="separate"/>
        </w:r>
        <w:r w:rsidR="00E82BE0">
          <w:rPr>
            <w:rFonts w:ascii="Times New Roman" w:hAnsi="Times New Roman"/>
            <w:bCs/>
            <w:noProof/>
            <w:sz w:val="24"/>
            <w:szCs w:val="24"/>
          </w:rPr>
          <w:t>2</w:t>
        </w:r>
        <w:r w:rsidRPr="001A2234">
          <w:rPr>
            <w:rFonts w:ascii="Times New Roman" w:hAnsi="Times New Roman"/>
            <w:bCs/>
            <w:sz w:val="24"/>
            <w:szCs w:val="24"/>
          </w:rPr>
          <w:fldChar w:fldCharType="end"/>
        </w:r>
      </w:p>
    </w:sdtContent>
  </w:sdt>
  <w:p w14:paraId="1E35B108" w14:textId="77777777" w:rsidR="001A2234" w:rsidRDefault="001A2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6013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20DA977" w14:textId="77777777" w:rsidR="000955EA" w:rsidRPr="00D85E77" w:rsidRDefault="002D7DDE" w:rsidP="00D85E7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D85E77">
          <w:rPr>
            <w:rFonts w:ascii="Times New Roman" w:hAnsi="Times New Roman"/>
            <w:bCs/>
            <w:sz w:val="24"/>
            <w:szCs w:val="24"/>
          </w:rPr>
          <w:fldChar w:fldCharType="begin"/>
        </w:r>
        <w:r w:rsidRPr="00D85E77">
          <w:rPr>
            <w:rFonts w:ascii="Times New Roman" w:hAnsi="Times New Roman"/>
            <w:bCs/>
            <w:sz w:val="24"/>
            <w:szCs w:val="24"/>
          </w:rPr>
          <w:instrText xml:space="preserve"> PAGE </w:instrText>
        </w:r>
        <w:r w:rsidRPr="00D85E77">
          <w:rPr>
            <w:rFonts w:ascii="Times New Roman" w:hAnsi="Times New Roman"/>
            <w:bCs/>
            <w:sz w:val="24"/>
            <w:szCs w:val="24"/>
          </w:rPr>
          <w:fldChar w:fldCharType="separate"/>
        </w:r>
        <w:r w:rsidR="006006F3">
          <w:rPr>
            <w:rFonts w:ascii="Times New Roman" w:hAnsi="Times New Roman"/>
            <w:bCs/>
            <w:noProof/>
            <w:sz w:val="24"/>
            <w:szCs w:val="24"/>
          </w:rPr>
          <w:t>4</w:t>
        </w:r>
        <w:r w:rsidRPr="00D85E77">
          <w:rPr>
            <w:rFonts w:ascii="Times New Roman" w:hAnsi="Times New Roman"/>
            <w:bCs/>
            <w:sz w:val="24"/>
            <w:szCs w:val="24"/>
          </w:rPr>
          <w:fldChar w:fldCharType="end"/>
        </w:r>
      </w:p>
    </w:sdtContent>
  </w:sdt>
  <w:p w14:paraId="412B2DD8" w14:textId="77777777" w:rsidR="000955EA" w:rsidRDefault="00E82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9B802" w14:textId="77777777" w:rsidR="008864B2" w:rsidRDefault="008864B2" w:rsidP="001A2234">
      <w:r>
        <w:separator/>
      </w:r>
    </w:p>
  </w:footnote>
  <w:footnote w:type="continuationSeparator" w:id="0">
    <w:p w14:paraId="5B5AE0E3" w14:textId="77777777" w:rsidR="008864B2" w:rsidRDefault="008864B2" w:rsidP="001A2234">
      <w:r>
        <w:continuationSeparator/>
      </w:r>
    </w:p>
  </w:footnote>
  <w:footnote w:id="1">
    <w:p w14:paraId="0057BB84" w14:textId="6C79C219" w:rsidR="004B7AE0" w:rsidRPr="004D3E50" w:rsidRDefault="004B7AE0" w:rsidP="004D3E50">
      <w:pPr>
        <w:pStyle w:val="FootnoteText"/>
        <w:spacing w:after="240"/>
        <w:jc w:val="both"/>
        <w:rPr>
          <w:rFonts w:ascii="Times New Roman" w:hAnsi="Times New Roman"/>
        </w:rPr>
      </w:pPr>
      <w:r w:rsidRPr="004D3E50">
        <w:rPr>
          <w:rStyle w:val="FootnoteReference"/>
          <w:rFonts w:ascii="Times New Roman" w:hAnsi="Times New Roman"/>
        </w:rPr>
        <w:footnoteRef/>
      </w:r>
      <w:r w:rsidRPr="004D3E50">
        <w:rPr>
          <w:rFonts w:ascii="Times New Roman" w:hAnsi="Times New Roman"/>
        </w:rPr>
        <w:t xml:space="preserve"> </w:t>
      </w:r>
      <w:r w:rsidR="00A911DB" w:rsidRPr="004D3E50">
        <w:rPr>
          <w:rFonts w:ascii="Times New Roman" w:hAnsi="Times New Roman"/>
        </w:rPr>
        <w:t xml:space="preserve">The Basel Committee’s Basel III </w:t>
      </w:r>
      <w:r w:rsidR="001B58E9">
        <w:rPr>
          <w:rFonts w:ascii="Times New Roman" w:hAnsi="Times New Roman"/>
        </w:rPr>
        <w:t xml:space="preserve">liquidity document </w:t>
      </w:r>
      <w:r w:rsidRPr="004D3E50">
        <w:rPr>
          <w:rFonts w:ascii="Times New Roman" w:hAnsi="Times New Roman"/>
          <w:i/>
        </w:rPr>
        <w:t>Basel III: International framework for liquidity risk measurement, standards and monitoring,</w:t>
      </w:r>
      <w:r w:rsidRPr="004D3E50">
        <w:rPr>
          <w:rFonts w:ascii="Times New Roman" w:hAnsi="Times New Roman"/>
        </w:rPr>
        <w:t xml:space="preserve"> December 2010</w:t>
      </w:r>
      <w:r w:rsidR="00A911DB" w:rsidRPr="004D3E50">
        <w:rPr>
          <w:rFonts w:ascii="Times New Roman" w:hAnsi="Times New Roman"/>
        </w:rPr>
        <w:t xml:space="preserve"> is available at:</w:t>
      </w:r>
      <w:r w:rsidR="00692C57" w:rsidRPr="004D3E50">
        <w:rPr>
          <w:rFonts w:ascii="Times New Roman" w:hAnsi="Times New Roman"/>
        </w:rPr>
        <w:t xml:space="preserve"> </w:t>
      </w:r>
      <w:hyperlink r:id="rId1" w:history="1">
        <w:r w:rsidR="00692C57" w:rsidRPr="004D3E50">
          <w:rPr>
            <w:rStyle w:val="Hyperlink"/>
            <w:rFonts w:ascii="Times New Roman" w:hAnsi="Times New Roman"/>
          </w:rPr>
          <w:t>http://www.bis.org/publ/bcbs188.htm</w:t>
        </w:r>
      </w:hyperlink>
      <w:r w:rsidR="00692C57" w:rsidRPr="004D3E50">
        <w:rPr>
          <w:rFonts w:ascii="Times New Roman" w:hAnsi="Times New Roman"/>
        </w:rPr>
        <w:t>.</w:t>
      </w:r>
    </w:p>
  </w:footnote>
  <w:footnote w:id="2">
    <w:p w14:paraId="798C582A" w14:textId="4B33AC70" w:rsidR="004C59C5" w:rsidRPr="004D3E50" w:rsidRDefault="004C59C5" w:rsidP="004D3E50">
      <w:pPr>
        <w:pStyle w:val="FootnoteText"/>
        <w:jc w:val="both"/>
        <w:rPr>
          <w:rFonts w:ascii="Times New Roman" w:hAnsi="Times New Roman"/>
        </w:rPr>
      </w:pPr>
      <w:r w:rsidRPr="004D3E50">
        <w:rPr>
          <w:rStyle w:val="FootnoteReference"/>
          <w:rFonts w:ascii="Times New Roman" w:hAnsi="Times New Roman"/>
        </w:rPr>
        <w:footnoteRef/>
      </w:r>
      <w:r w:rsidRPr="004D3E50">
        <w:rPr>
          <w:rFonts w:ascii="Times New Roman" w:hAnsi="Times New Roman"/>
        </w:rPr>
        <w:t xml:space="preserve"> </w:t>
      </w:r>
      <w:r w:rsidR="00021E38" w:rsidRPr="004D3E50">
        <w:rPr>
          <w:rFonts w:ascii="Times New Roman" w:hAnsi="Times New Roman"/>
        </w:rPr>
        <w:t xml:space="preserve">APS </w:t>
      </w:r>
      <w:r w:rsidRPr="004D3E50">
        <w:rPr>
          <w:rFonts w:ascii="Times New Roman" w:hAnsi="Times New Roman"/>
        </w:rPr>
        <w:t>2</w:t>
      </w:r>
      <w:r w:rsidR="00021E38" w:rsidRPr="004D3E50">
        <w:rPr>
          <w:rFonts w:ascii="Times New Roman" w:hAnsi="Times New Roman"/>
        </w:rPr>
        <w:t>1</w:t>
      </w:r>
      <w:r w:rsidRPr="004D3E50">
        <w:rPr>
          <w:rFonts w:ascii="Times New Roman" w:hAnsi="Times New Roman"/>
        </w:rPr>
        <w:t xml:space="preserve">0 is available at: </w:t>
      </w:r>
      <w:hyperlink r:id="rId2" w:history="1">
        <w:r w:rsidRPr="004D3E50">
          <w:rPr>
            <w:rStyle w:val="Hyperlink"/>
            <w:rFonts w:ascii="Times New Roman" w:hAnsi="Times New Roman"/>
          </w:rPr>
          <w:t>https://www.legislation.gov.au/Details/F2017L00047</w:t>
        </w:r>
      </w:hyperlink>
      <w:r w:rsidRPr="004D3E50">
        <w:rPr>
          <w:rFonts w:ascii="Times New Roman" w:hAnsi="Times New Roman"/>
        </w:rPr>
        <w:t xml:space="preserve"> </w:t>
      </w:r>
    </w:p>
  </w:footnote>
  <w:footnote w:id="3">
    <w:p w14:paraId="506DA130" w14:textId="755227B6" w:rsidR="00B87083" w:rsidRPr="00B87083" w:rsidRDefault="00B87083" w:rsidP="00B87083">
      <w:pPr>
        <w:pStyle w:val="FootnoteText"/>
        <w:spacing w:after="240"/>
        <w:jc w:val="both"/>
        <w:rPr>
          <w:rFonts w:ascii="Times New Roman" w:hAnsi="Times New Roman"/>
        </w:rPr>
      </w:pPr>
      <w:r w:rsidRPr="00B87083">
        <w:rPr>
          <w:rStyle w:val="FootnoteReference"/>
          <w:rFonts w:ascii="Times New Roman" w:hAnsi="Times New Roman"/>
        </w:rPr>
        <w:footnoteRef/>
      </w:r>
      <w:r w:rsidRPr="00B87083">
        <w:rPr>
          <w:rFonts w:ascii="Times New Roman" w:hAnsi="Times New Roman"/>
        </w:rPr>
        <w:t xml:space="preserve"> Incl</w:t>
      </w:r>
      <w:r>
        <w:rPr>
          <w:rFonts w:ascii="Times New Roman" w:hAnsi="Times New Roman"/>
        </w:rPr>
        <w:t xml:space="preserve">uding Accounting Standards made by the Australian Accounting Standards Board (AASB) under section 334 of the </w:t>
      </w:r>
      <w:r w:rsidRPr="00B87083">
        <w:rPr>
          <w:rFonts w:ascii="Times New Roman" w:hAnsi="Times New Roman"/>
          <w:i/>
        </w:rPr>
        <w:t>Corporations Act 2001</w:t>
      </w:r>
      <w:r>
        <w:rPr>
          <w:rFonts w:ascii="Times New Roman" w:hAnsi="Times New Roman"/>
        </w:rPr>
        <w:t xml:space="preserve"> and auditing standards issued by the Auditing and Assurance Standards Board (AUASB) under section 336 of the </w:t>
      </w:r>
      <w:r w:rsidRPr="00B87083">
        <w:rPr>
          <w:rFonts w:ascii="Times New Roman" w:hAnsi="Times New Roman"/>
          <w:i/>
        </w:rPr>
        <w:t>Corporations Act 2001</w:t>
      </w:r>
      <w:r>
        <w:rPr>
          <w:rFonts w:ascii="Times New Roman" w:hAnsi="Times New Roman"/>
        </w:rPr>
        <w:t>, all of which are disallowable instruments.</w:t>
      </w:r>
    </w:p>
  </w:footnote>
  <w:footnote w:id="4">
    <w:p w14:paraId="3173617B" w14:textId="4F49D744" w:rsidR="00FE164D" w:rsidRPr="00FE164D" w:rsidRDefault="00FE164D" w:rsidP="00FE164D">
      <w:pPr>
        <w:pStyle w:val="FootnoteText"/>
        <w:spacing w:after="240"/>
        <w:jc w:val="both"/>
        <w:rPr>
          <w:rFonts w:ascii="Times New Roman" w:hAnsi="Times New Roman"/>
        </w:rPr>
      </w:pPr>
      <w:r w:rsidRPr="00FE164D">
        <w:rPr>
          <w:rStyle w:val="FootnoteReference"/>
          <w:rFonts w:ascii="Times New Roman" w:hAnsi="Times New Roman"/>
        </w:rPr>
        <w:footnoteRef/>
      </w:r>
      <w:r w:rsidRPr="00FE164D">
        <w:rPr>
          <w:rFonts w:ascii="Times New Roman" w:hAnsi="Times New Roman"/>
        </w:rPr>
        <w:t xml:space="preserve"> APRA’s </w:t>
      </w:r>
      <w:r>
        <w:rPr>
          <w:rFonts w:ascii="Times New Roman" w:hAnsi="Times New Roman"/>
        </w:rPr>
        <w:t>response letter ‘Revised liquidity reporting requirements – response to submissions’</w:t>
      </w:r>
      <w:r w:rsidR="009E55A6">
        <w:rPr>
          <w:rFonts w:ascii="Times New Roman" w:hAnsi="Times New Roman"/>
        </w:rPr>
        <w:t xml:space="preserve"> (July 2017)</w:t>
      </w:r>
      <w:r>
        <w:rPr>
          <w:rFonts w:ascii="Times New Roman" w:hAnsi="Times New Roman"/>
        </w:rPr>
        <w:t xml:space="preserve"> is available at: </w:t>
      </w:r>
      <w:hyperlink r:id="rId3" w:history="1">
        <w:r w:rsidRPr="004D1F6D">
          <w:rPr>
            <w:rStyle w:val="Hyperlink"/>
            <w:rFonts w:ascii="Times New Roman" w:hAnsi="Times New Roman"/>
          </w:rPr>
          <w:t>http://www.apra.gov.au/adi/PrudentialFramework/Documents/Liquidity%20-%20response%20to%20submissions.pdf</w:t>
        </w:r>
      </w:hyperlink>
      <w:r>
        <w:rPr>
          <w:rFonts w:ascii="Times New Roman" w:hAnsi="Times New Roman"/>
        </w:rPr>
        <w:t xml:space="preserve"> </w:t>
      </w:r>
    </w:p>
  </w:footnote>
  <w:footnote w:id="5">
    <w:p w14:paraId="34D94C59" w14:textId="70BE196C" w:rsidR="008E21A7" w:rsidRPr="004D3E50" w:rsidRDefault="008E21A7" w:rsidP="004D3E50">
      <w:pPr>
        <w:pStyle w:val="FootnoteText"/>
        <w:jc w:val="both"/>
        <w:rPr>
          <w:rFonts w:ascii="Times New Roman" w:hAnsi="Times New Roman"/>
        </w:rPr>
      </w:pPr>
      <w:r w:rsidRPr="004D3E50">
        <w:rPr>
          <w:rStyle w:val="FootnoteReference"/>
          <w:rFonts w:ascii="Times New Roman" w:hAnsi="Times New Roman"/>
        </w:rPr>
        <w:footnoteRef/>
      </w:r>
      <w:r w:rsidRPr="004D3E50">
        <w:rPr>
          <w:rFonts w:ascii="Times New Roman" w:hAnsi="Times New Roman"/>
        </w:rPr>
        <w:t xml:space="preserve"> The</w:t>
      </w:r>
      <w:r w:rsidR="00DB4BD1">
        <w:rPr>
          <w:rFonts w:ascii="Times New Roman" w:hAnsi="Times New Roman"/>
        </w:rPr>
        <w:t xml:space="preserve"> RIS</w:t>
      </w:r>
      <w:r w:rsidRPr="004D3E50">
        <w:rPr>
          <w:rFonts w:ascii="Times New Roman" w:hAnsi="Times New Roman"/>
        </w:rPr>
        <w:t xml:space="preserve"> </w:t>
      </w:r>
      <w:r w:rsidR="00C62664" w:rsidRPr="004D3E50">
        <w:rPr>
          <w:rFonts w:ascii="Times New Roman" w:hAnsi="Times New Roman"/>
        </w:rPr>
        <w:t>‘</w:t>
      </w:r>
      <w:r w:rsidRPr="004D3E50">
        <w:rPr>
          <w:rFonts w:ascii="Times New Roman" w:hAnsi="Times New Roman"/>
        </w:rPr>
        <w:t>Basel III liquidity: the net stable funding ratio and the liquid assets requirement for foreign ADIs</w:t>
      </w:r>
      <w:r w:rsidR="00C62664" w:rsidRPr="004D3E50">
        <w:rPr>
          <w:rFonts w:ascii="Times New Roman" w:hAnsi="Times New Roman"/>
        </w:rPr>
        <w:t>’</w:t>
      </w:r>
      <w:r w:rsidRPr="004D3E50">
        <w:rPr>
          <w:rFonts w:ascii="Times New Roman" w:hAnsi="Times New Roman"/>
        </w:rPr>
        <w:t xml:space="preserve"> is available at: </w:t>
      </w:r>
      <w:hyperlink r:id="rId4" w:history="1">
        <w:r w:rsidR="004D3E50" w:rsidRPr="004D3E50">
          <w:rPr>
            <w:rStyle w:val="Hyperlink"/>
            <w:rFonts w:ascii="Times New Roman" w:hAnsi="Times New Roman"/>
          </w:rPr>
          <w:t>http://www.apra.gov.au/adi/Documents/RIS%20-%20NSFR.pdf</w:t>
        </w:r>
      </w:hyperlink>
      <w:r w:rsidR="004D3E50" w:rsidRPr="004D3E50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62850" w14:textId="2E17D655" w:rsidR="005466F0" w:rsidRDefault="00546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1249"/>
    <w:multiLevelType w:val="hybridMultilevel"/>
    <w:tmpl w:val="9890385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02760"/>
    <w:multiLevelType w:val="hybridMultilevel"/>
    <w:tmpl w:val="FE44102A"/>
    <w:lvl w:ilvl="0" w:tplc="DF5EDD5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F87BC0"/>
    <w:multiLevelType w:val="hybridMultilevel"/>
    <w:tmpl w:val="EFECDC84"/>
    <w:lvl w:ilvl="0" w:tplc="6F8CE8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D424FDA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C14090"/>
    <w:multiLevelType w:val="hybridMultilevel"/>
    <w:tmpl w:val="3ABC9B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13538"/>
    <w:multiLevelType w:val="hybridMultilevel"/>
    <w:tmpl w:val="3184E936"/>
    <w:lvl w:ilvl="0" w:tplc="B916154A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9" w:hanging="360"/>
      </w:pPr>
    </w:lvl>
    <w:lvl w:ilvl="2" w:tplc="0C09001B" w:tentative="1">
      <w:start w:val="1"/>
      <w:numFmt w:val="lowerRoman"/>
      <w:lvlText w:val="%3."/>
      <w:lvlJc w:val="right"/>
      <w:pPr>
        <w:ind w:left="2569" w:hanging="180"/>
      </w:pPr>
    </w:lvl>
    <w:lvl w:ilvl="3" w:tplc="0C09000F" w:tentative="1">
      <w:start w:val="1"/>
      <w:numFmt w:val="decimal"/>
      <w:lvlText w:val="%4."/>
      <w:lvlJc w:val="left"/>
      <w:pPr>
        <w:ind w:left="3289" w:hanging="360"/>
      </w:pPr>
    </w:lvl>
    <w:lvl w:ilvl="4" w:tplc="0C090019" w:tentative="1">
      <w:start w:val="1"/>
      <w:numFmt w:val="lowerLetter"/>
      <w:lvlText w:val="%5."/>
      <w:lvlJc w:val="left"/>
      <w:pPr>
        <w:ind w:left="4009" w:hanging="360"/>
      </w:pPr>
    </w:lvl>
    <w:lvl w:ilvl="5" w:tplc="0C09001B" w:tentative="1">
      <w:start w:val="1"/>
      <w:numFmt w:val="lowerRoman"/>
      <w:lvlText w:val="%6."/>
      <w:lvlJc w:val="right"/>
      <w:pPr>
        <w:ind w:left="4729" w:hanging="180"/>
      </w:pPr>
    </w:lvl>
    <w:lvl w:ilvl="6" w:tplc="0C09000F" w:tentative="1">
      <w:start w:val="1"/>
      <w:numFmt w:val="decimal"/>
      <w:lvlText w:val="%7."/>
      <w:lvlJc w:val="left"/>
      <w:pPr>
        <w:ind w:left="5449" w:hanging="360"/>
      </w:pPr>
    </w:lvl>
    <w:lvl w:ilvl="7" w:tplc="0C090019" w:tentative="1">
      <w:start w:val="1"/>
      <w:numFmt w:val="lowerLetter"/>
      <w:lvlText w:val="%8."/>
      <w:lvlJc w:val="left"/>
      <w:pPr>
        <w:ind w:left="6169" w:hanging="360"/>
      </w:pPr>
    </w:lvl>
    <w:lvl w:ilvl="8" w:tplc="0C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421F640B"/>
    <w:multiLevelType w:val="hybridMultilevel"/>
    <w:tmpl w:val="9990CC8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A3D61"/>
    <w:multiLevelType w:val="hybridMultilevel"/>
    <w:tmpl w:val="1590B1A6"/>
    <w:lvl w:ilvl="0" w:tplc="02245DA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63353"/>
    <w:multiLevelType w:val="hybridMultilevel"/>
    <w:tmpl w:val="86A26F86"/>
    <w:lvl w:ilvl="0" w:tplc="171027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ttachedTemplate r:id="rId1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B2"/>
    <w:rsid w:val="0001079E"/>
    <w:rsid w:val="00021E38"/>
    <w:rsid w:val="000401FC"/>
    <w:rsid w:val="00044AD0"/>
    <w:rsid w:val="00054197"/>
    <w:rsid w:val="0005495C"/>
    <w:rsid w:val="000A2961"/>
    <w:rsid w:val="000B14BD"/>
    <w:rsid w:val="000B3FCE"/>
    <w:rsid w:val="000E369C"/>
    <w:rsid w:val="00116AD3"/>
    <w:rsid w:val="0014151E"/>
    <w:rsid w:val="00151A56"/>
    <w:rsid w:val="001641B2"/>
    <w:rsid w:val="00176296"/>
    <w:rsid w:val="00182FA1"/>
    <w:rsid w:val="001A2234"/>
    <w:rsid w:val="001A2ADB"/>
    <w:rsid w:val="001B51BC"/>
    <w:rsid w:val="001B58E9"/>
    <w:rsid w:val="001C025C"/>
    <w:rsid w:val="001F177E"/>
    <w:rsid w:val="002177F9"/>
    <w:rsid w:val="002436BD"/>
    <w:rsid w:val="00246723"/>
    <w:rsid w:val="00263C34"/>
    <w:rsid w:val="00293D95"/>
    <w:rsid w:val="002A73BD"/>
    <w:rsid w:val="002B5971"/>
    <w:rsid w:val="002B7D81"/>
    <w:rsid w:val="002D7DDE"/>
    <w:rsid w:val="002E4B37"/>
    <w:rsid w:val="0030506B"/>
    <w:rsid w:val="00310CF8"/>
    <w:rsid w:val="00311B53"/>
    <w:rsid w:val="00330BB3"/>
    <w:rsid w:val="00350DC6"/>
    <w:rsid w:val="00354728"/>
    <w:rsid w:val="00354CB8"/>
    <w:rsid w:val="003607F5"/>
    <w:rsid w:val="00380068"/>
    <w:rsid w:val="003866AD"/>
    <w:rsid w:val="003A52A5"/>
    <w:rsid w:val="003B79D7"/>
    <w:rsid w:val="003B7DDB"/>
    <w:rsid w:val="003D5032"/>
    <w:rsid w:val="003F69F5"/>
    <w:rsid w:val="0040175E"/>
    <w:rsid w:val="00411C5F"/>
    <w:rsid w:val="00422164"/>
    <w:rsid w:val="00427A88"/>
    <w:rsid w:val="00434568"/>
    <w:rsid w:val="004437F6"/>
    <w:rsid w:val="00443A02"/>
    <w:rsid w:val="00450EFE"/>
    <w:rsid w:val="00464570"/>
    <w:rsid w:val="00475F43"/>
    <w:rsid w:val="00496ACF"/>
    <w:rsid w:val="004B5712"/>
    <w:rsid w:val="004B7AE0"/>
    <w:rsid w:val="004C3D07"/>
    <w:rsid w:val="004C59C5"/>
    <w:rsid w:val="004D3E50"/>
    <w:rsid w:val="004E2008"/>
    <w:rsid w:val="00511685"/>
    <w:rsid w:val="0051575B"/>
    <w:rsid w:val="005466F0"/>
    <w:rsid w:val="0055446D"/>
    <w:rsid w:val="0056141D"/>
    <w:rsid w:val="00571019"/>
    <w:rsid w:val="005A3DA8"/>
    <w:rsid w:val="005D4287"/>
    <w:rsid w:val="005E5910"/>
    <w:rsid w:val="006006F3"/>
    <w:rsid w:val="0061699B"/>
    <w:rsid w:val="00622480"/>
    <w:rsid w:val="00627570"/>
    <w:rsid w:val="00630CBB"/>
    <w:rsid w:val="00631116"/>
    <w:rsid w:val="00647C1F"/>
    <w:rsid w:val="00647D58"/>
    <w:rsid w:val="00657678"/>
    <w:rsid w:val="0066197D"/>
    <w:rsid w:val="00667CDB"/>
    <w:rsid w:val="00682865"/>
    <w:rsid w:val="00682E13"/>
    <w:rsid w:val="00684F73"/>
    <w:rsid w:val="00692C57"/>
    <w:rsid w:val="00694246"/>
    <w:rsid w:val="006A09F9"/>
    <w:rsid w:val="006A17D7"/>
    <w:rsid w:val="006B093F"/>
    <w:rsid w:val="006B632F"/>
    <w:rsid w:val="006C591F"/>
    <w:rsid w:val="006D2E86"/>
    <w:rsid w:val="006F5305"/>
    <w:rsid w:val="00701575"/>
    <w:rsid w:val="007031F4"/>
    <w:rsid w:val="007049CF"/>
    <w:rsid w:val="007368AD"/>
    <w:rsid w:val="00736D41"/>
    <w:rsid w:val="007428D4"/>
    <w:rsid w:val="00747AFF"/>
    <w:rsid w:val="0077649E"/>
    <w:rsid w:val="00785CDC"/>
    <w:rsid w:val="007B5F6B"/>
    <w:rsid w:val="007C2298"/>
    <w:rsid w:val="007E4B2A"/>
    <w:rsid w:val="00802978"/>
    <w:rsid w:val="00830F66"/>
    <w:rsid w:val="00834676"/>
    <w:rsid w:val="0085166F"/>
    <w:rsid w:val="00853457"/>
    <w:rsid w:val="00881D03"/>
    <w:rsid w:val="008864B2"/>
    <w:rsid w:val="008E21A7"/>
    <w:rsid w:val="008E778D"/>
    <w:rsid w:val="00932EFA"/>
    <w:rsid w:val="009333C9"/>
    <w:rsid w:val="00933D7D"/>
    <w:rsid w:val="0095506E"/>
    <w:rsid w:val="00967D16"/>
    <w:rsid w:val="009A0B69"/>
    <w:rsid w:val="009A299B"/>
    <w:rsid w:val="009B67A8"/>
    <w:rsid w:val="009C4BA2"/>
    <w:rsid w:val="009C5368"/>
    <w:rsid w:val="009D3736"/>
    <w:rsid w:val="009E55A6"/>
    <w:rsid w:val="009E5771"/>
    <w:rsid w:val="009F0E35"/>
    <w:rsid w:val="009F6F44"/>
    <w:rsid w:val="00A22184"/>
    <w:rsid w:val="00A279AF"/>
    <w:rsid w:val="00A35995"/>
    <w:rsid w:val="00A4133B"/>
    <w:rsid w:val="00A41665"/>
    <w:rsid w:val="00A55896"/>
    <w:rsid w:val="00A63A2B"/>
    <w:rsid w:val="00A642D7"/>
    <w:rsid w:val="00A911DB"/>
    <w:rsid w:val="00A93569"/>
    <w:rsid w:val="00A95435"/>
    <w:rsid w:val="00AC22EF"/>
    <w:rsid w:val="00AC2517"/>
    <w:rsid w:val="00AC6334"/>
    <w:rsid w:val="00AC6984"/>
    <w:rsid w:val="00AC7A56"/>
    <w:rsid w:val="00AE4831"/>
    <w:rsid w:val="00B04B20"/>
    <w:rsid w:val="00B16B5E"/>
    <w:rsid w:val="00B177D9"/>
    <w:rsid w:val="00B51024"/>
    <w:rsid w:val="00B560E9"/>
    <w:rsid w:val="00B64B2E"/>
    <w:rsid w:val="00B66C90"/>
    <w:rsid w:val="00B6779C"/>
    <w:rsid w:val="00B731B6"/>
    <w:rsid w:val="00B85B6E"/>
    <w:rsid w:val="00B87083"/>
    <w:rsid w:val="00BA7DA6"/>
    <w:rsid w:val="00BB1678"/>
    <w:rsid w:val="00BD6360"/>
    <w:rsid w:val="00BF2953"/>
    <w:rsid w:val="00C165BD"/>
    <w:rsid w:val="00C23FE7"/>
    <w:rsid w:val="00C302FA"/>
    <w:rsid w:val="00C47468"/>
    <w:rsid w:val="00C5518F"/>
    <w:rsid w:val="00C62664"/>
    <w:rsid w:val="00C948AA"/>
    <w:rsid w:val="00CA6CB3"/>
    <w:rsid w:val="00CB384A"/>
    <w:rsid w:val="00CD1947"/>
    <w:rsid w:val="00CE3EF2"/>
    <w:rsid w:val="00D01CB5"/>
    <w:rsid w:val="00D119F5"/>
    <w:rsid w:val="00D3484E"/>
    <w:rsid w:val="00D60E9F"/>
    <w:rsid w:val="00D61C83"/>
    <w:rsid w:val="00D64906"/>
    <w:rsid w:val="00D74DC3"/>
    <w:rsid w:val="00D75A58"/>
    <w:rsid w:val="00D83531"/>
    <w:rsid w:val="00D87E36"/>
    <w:rsid w:val="00D912B0"/>
    <w:rsid w:val="00D93D0F"/>
    <w:rsid w:val="00DB17FB"/>
    <w:rsid w:val="00DB4BD1"/>
    <w:rsid w:val="00DE3219"/>
    <w:rsid w:val="00DE7DED"/>
    <w:rsid w:val="00DF524E"/>
    <w:rsid w:val="00DF68DA"/>
    <w:rsid w:val="00E10783"/>
    <w:rsid w:val="00E15497"/>
    <w:rsid w:val="00E154A3"/>
    <w:rsid w:val="00E16789"/>
    <w:rsid w:val="00E201A8"/>
    <w:rsid w:val="00E22892"/>
    <w:rsid w:val="00E2638E"/>
    <w:rsid w:val="00E31833"/>
    <w:rsid w:val="00E52DFE"/>
    <w:rsid w:val="00E61B19"/>
    <w:rsid w:val="00E62E09"/>
    <w:rsid w:val="00E82BE0"/>
    <w:rsid w:val="00E90C89"/>
    <w:rsid w:val="00E935D9"/>
    <w:rsid w:val="00EA6166"/>
    <w:rsid w:val="00EB4041"/>
    <w:rsid w:val="00EC5653"/>
    <w:rsid w:val="00F15270"/>
    <w:rsid w:val="00F16577"/>
    <w:rsid w:val="00F436BC"/>
    <w:rsid w:val="00F50434"/>
    <w:rsid w:val="00F6523D"/>
    <w:rsid w:val="00F71479"/>
    <w:rsid w:val="00F746FD"/>
    <w:rsid w:val="00F7706D"/>
    <w:rsid w:val="00FA5345"/>
    <w:rsid w:val="00FC3FC5"/>
    <w:rsid w:val="00FD39FC"/>
    <w:rsid w:val="00F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FEE92AC"/>
  <w15:docId w15:val="{9AD15827-233E-4E55-AA70-CFFCF4BA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6BD"/>
    <w:rPr>
      <w:rFonts w:ascii="Trebuchet MS" w:eastAsia="Times New Roman" w:hAnsi="Trebuchet MS"/>
      <w:sz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sz w:val="20"/>
    </w:rPr>
  </w:style>
  <w:style w:type="paragraph" w:customStyle="1" w:styleId="Heading">
    <w:name w:val="Heading"/>
    <w:basedOn w:val="Normal"/>
    <w:rsid w:val="002436BD"/>
    <w:pPr>
      <w:jc w:val="both"/>
    </w:pPr>
    <w:rPr>
      <w:b/>
      <w:sz w:val="26"/>
      <w:szCs w:val="22"/>
    </w:rPr>
  </w:style>
  <w:style w:type="character" w:styleId="Hyperlink">
    <w:name w:val="Hyperlink"/>
    <w:uiPriority w:val="99"/>
    <w:unhideWhenUsed/>
    <w:rsid w:val="002436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6BD"/>
    <w:pPr>
      <w:ind w:left="720"/>
    </w:pPr>
  </w:style>
  <w:style w:type="character" w:styleId="CommentReference">
    <w:name w:val="annotation reference"/>
    <w:uiPriority w:val="99"/>
    <w:semiHidden/>
    <w:unhideWhenUsed/>
    <w:rsid w:val="00243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6BD"/>
    <w:rPr>
      <w:sz w:val="20"/>
    </w:rPr>
  </w:style>
  <w:style w:type="character" w:customStyle="1" w:styleId="CommentTextChar">
    <w:name w:val="Comment Text Char"/>
    <w:link w:val="CommentText"/>
    <w:uiPriority w:val="99"/>
    <w:rsid w:val="002436BD"/>
    <w:rPr>
      <w:rFonts w:ascii="Trebuchet MS" w:eastAsia="Times New Roman" w:hAnsi="Trebuchet MS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B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4B2E"/>
    <w:rPr>
      <w:rFonts w:ascii="Trebuchet MS" w:eastAsia="Times New Roman" w:hAnsi="Trebuchet MS" w:cs="Times New Roman"/>
      <w:b/>
      <w:bCs/>
      <w:sz w:val="20"/>
      <w:szCs w:val="20"/>
      <w:lang w:eastAsia="en-AU"/>
    </w:rPr>
  </w:style>
  <w:style w:type="paragraph" w:customStyle="1" w:styleId="heading0">
    <w:name w:val="heading"/>
    <w:basedOn w:val="Normal"/>
    <w:rsid w:val="001A2A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234"/>
    <w:rPr>
      <w:rFonts w:ascii="Trebuchet MS" w:eastAsia="Times New Roman" w:hAnsi="Trebuchet MS"/>
      <w:sz w:val="22"/>
    </w:rPr>
  </w:style>
  <w:style w:type="paragraph" w:styleId="Footer">
    <w:name w:val="footer"/>
    <w:basedOn w:val="Normal"/>
    <w:link w:val="FooterChar"/>
    <w:uiPriority w:val="99"/>
    <w:unhideWhenUsed/>
    <w:rsid w:val="001A2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234"/>
    <w:rPr>
      <w:rFonts w:ascii="Trebuchet MS" w:eastAsia="Times New Roman" w:hAnsi="Trebuchet MS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424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246"/>
    <w:rPr>
      <w:rFonts w:ascii="Trebuchet MS" w:eastAsia="Times New Roman" w:hAnsi="Trebuchet MS"/>
    </w:rPr>
  </w:style>
  <w:style w:type="character" w:styleId="FootnoteReference">
    <w:name w:val="footnote reference"/>
    <w:basedOn w:val="DefaultParagraphFont"/>
    <w:uiPriority w:val="99"/>
    <w:unhideWhenUsed/>
    <w:rsid w:val="0069424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21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221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9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8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egislation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pra.gov.au/adi/PrudentialFramework/Documents/Liquidity%20-%20response%20to%20submissions.pdf" TargetMode="External"/><Relationship Id="rId2" Type="http://schemas.openxmlformats.org/officeDocument/2006/relationships/hyperlink" Target="https://www.legislation.gov.au/Details/F2017L00047" TargetMode="External"/><Relationship Id="rId1" Type="http://schemas.openxmlformats.org/officeDocument/2006/relationships/hyperlink" Target="http://www.bis.org/publ/bcbs188.htm" TargetMode="External"/><Relationship Id="rId4" Type="http://schemas.openxmlformats.org/officeDocument/2006/relationships/hyperlink" Target="http://www.apra.gov.au/adi/Documents/RIS%20-%20NSF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apra.gov.au\national\Sydney\PAD\Public\Policy%20Development\Policy%20Templates\ES%20templates\Template%20-%20ES%20for%20revoke%20and%20remake%20reporting%20standard%20(April%20201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 development</TermName>
          <TermId xmlns="http://schemas.microsoft.com/office/infopath/2007/PartnerControls">0d438fdb-7eb1-4ccc-8be5-4345f3abd880</TermId>
        </TermInfo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statement</TermName>
          <TermId xmlns="http://schemas.microsoft.com/office/infopath/2007/PartnerControls">b22f2e2f-3f73-411b-9a7c-34264d26fa25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>2017-10-19T13:00:00+00:00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234</Value>
      <Value>233</Value>
      <Value>134</Value>
      <Value>10</Value>
      <Value>26</Value>
      <Value>109</Value>
      <Value>158</Value>
      <Value>4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Explanatory Statement (ES) for Financial Sector (Collection of Data) (reporting standard) determination No. 19 of 2017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Corporate and Resolution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5JENXJJSCC7A-445999044-3748</_dlc_DocId>
    <_dlc_DocIdUrl xmlns="814d62cb-2db6-4c25-ab62-b9075facbc11">
      <Url>https://im/teams/LEGAL/_layouts/15/DocIdRedir.aspx?ID=5JENXJJSCC7A-445999044-3748</Url>
      <Description>5JENXJJSCC7A-445999044-3748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37" ma:contentTypeDescription="Create a new document." ma:contentTypeScope="" ma:versionID="b9ef5bc26372778073757b630008b228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45FA-74AF-465F-9FCC-5654A9CEE519}">
  <ds:schemaRefs>
    <ds:schemaRef ds:uri="http://purl.org/dc/elements/1.1/"/>
    <ds:schemaRef ds:uri="http://purl.org/dc/terms/"/>
    <ds:schemaRef ds:uri="http://purl.org/dc/dcmitype/"/>
    <ds:schemaRef ds:uri="814d62cb-2db6-4c25-ab62-b9075facbc11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6DCF139-FBDF-47F6-A69A-14E9E0BDC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27B6E-76AA-4B53-9F62-613DEA5C17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89310B-DB1E-4567-9225-7602B556245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B6AD7FB-289F-44C9-BB6D-1841D6E42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D5389DB-354D-49DB-977F-D594FAD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ES for revoke and remake reporting standard (April 2016).dotx</Template>
  <TotalTime>0</TotalTime>
  <Pages>10</Pages>
  <Words>1174</Words>
  <Characters>6708</Characters>
  <Application>Microsoft Office Word</Application>
  <DocSecurity>0</DocSecurity>
  <Lines>121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ARS 210 Explanatory Statement</vt:lpstr>
    </vt:vector>
  </TitlesOfParts>
  <Company>APRA</Company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Financial Sector (Collection of Data) (reporting standard) determination No. 19 of 2017</dc:title>
  <dc:creator>Monika Spudic</dc:creator>
  <cp:keywords>[SEC=UNCLASSIFIED]</cp:keywords>
  <cp:lastModifiedBy>Toni Michalis</cp:lastModifiedBy>
  <cp:revision>2</cp:revision>
  <cp:lastPrinted>2017-10-20T00:19:00Z</cp:lastPrinted>
  <dcterms:created xsi:type="dcterms:W3CDTF">2017-10-20T01:31:00Z</dcterms:created>
  <dcterms:modified xsi:type="dcterms:W3CDTF">2017-10-20T01:31:00Z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C3AD57350F36D8E1BD75F8F67CB06D435C9C43CA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420D51AE3ECC4BF84DD4A20F2ECBF488F735E0EB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2F27329D85E645EA877E5FFFBEB20D34</vt:lpwstr>
  </property>
  <property fmtid="{D5CDD505-2E9C-101B-9397-08002B2CF9AE}" pid="16" name="PM_OriginationTimeStamp">
    <vt:lpwstr>2017-10-20T01:31:04Z</vt:lpwstr>
  </property>
  <property fmtid="{D5CDD505-2E9C-101B-9397-08002B2CF9AE}" pid="17" name="PM_Hash_Version">
    <vt:lpwstr>2016.1</vt:lpwstr>
  </property>
  <property fmtid="{D5CDD505-2E9C-101B-9397-08002B2CF9AE}" pid="18" name="PM_Hash_Salt_Prev">
    <vt:lpwstr>97569F48950D82F5863B1CC6A43E917B</vt:lpwstr>
  </property>
  <property fmtid="{D5CDD505-2E9C-101B-9397-08002B2CF9AE}" pid="19" name="PM_Hash_Salt">
    <vt:lpwstr>556A6B6C05BC7A9869BD8B925C9C2F18</vt:lpwstr>
  </property>
  <property fmtid="{D5CDD505-2E9C-101B-9397-08002B2CF9AE}" pid="20" name="PM_MinimumSecurityClassification">
    <vt:lpwstr/>
  </property>
  <property fmtid="{D5CDD505-2E9C-101B-9397-08002B2CF9AE}" pid="21" name="ContentTypeId">
    <vt:lpwstr>0x0101008CA7A4F8331B45C7B0D3158B4994D0CA0200577EC0F5A1FBFC498F9A8436B963F8A6</vt:lpwstr>
  </property>
  <property fmtid="{D5CDD505-2E9C-101B-9397-08002B2CF9AE}" pid="22" name="APRAPeriod">
    <vt:lpwstr/>
  </property>
  <property fmtid="{D5CDD505-2E9C-101B-9397-08002B2CF9AE}" pid="23" name="APRAYear">
    <vt:lpwstr/>
  </property>
  <property fmtid="{D5CDD505-2E9C-101B-9397-08002B2CF9AE}" pid="24" name="APRAIndustry">
    <vt:lpwstr/>
  </property>
  <property fmtid="{D5CDD505-2E9C-101B-9397-08002B2CF9AE}" pid="25" name="APRACategory">
    <vt:lpwstr/>
  </property>
  <property fmtid="{D5CDD505-2E9C-101B-9397-08002B2CF9AE}" pid="26" name="APRAPRSG">
    <vt:lpwstr/>
  </property>
  <property fmtid="{D5CDD505-2E9C-101B-9397-08002B2CF9AE}" pid="27" name="_dlc_DocIdItemGuid">
    <vt:lpwstr>ea93e31b-7dfc-4972-9600-64134da53172</vt:lpwstr>
  </property>
  <property fmtid="{D5CDD505-2E9C-101B-9397-08002B2CF9AE}" pid="28" name="IsLocked">
    <vt:lpwstr>False</vt:lpwstr>
  </property>
  <property fmtid="{D5CDD505-2E9C-101B-9397-08002B2CF9AE}" pid="29" name="APRACostCentre">
    <vt:lpwstr>158;#PAD300|98bbdbe4-d019-48eb-87c4-aa31a7f2f98f;#24;#Legal - ADI|652d8d2a-ab45-47b4-ac6e-fe6ac9299b39;#26;#Legal - Insurance: General|8229dc1a-d7f2-47b2-844a-b026fed0c13d;#83;#Legal - Insurance: Life|56f18b50-6605-4f3f-97e3-cad1cb5394e0;#134;#Legal - Superannuation|cce3181d-fd23-4eee-94d3-c66abc2350cf;#4;#Legal - Corporate and Resolution|696624b1-19f4-47b2-a07b-57868a922a96</vt:lpwstr>
  </property>
  <property fmtid="{D5CDD505-2E9C-101B-9397-08002B2CF9AE}" pid="30" name="IT system type">
    <vt:lpwstr/>
  </property>
  <property fmtid="{D5CDD505-2E9C-101B-9397-08002B2CF9AE}" pid="31" name="APRADocumentType">
    <vt:lpwstr>234;#Explanatory statement|b22f2e2f-3f73-411b-9a7c-34264d26fa25</vt:lpwstr>
  </property>
  <property fmtid="{D5CDD505-2E9C-101B-9397-08002B2CF9AE}" pid="32" name="APRAStatus">
    <vt:lpwstr>19;#Final|84d6b2d0-8498-4d62-bf46-bab38babbe9e</vt:lpwstr>
  </property>
  <property fmtid="{D5CDD505-2E9C-101B-9397-08002B2CF9AE}" pid="33" name="APRAActivity">
    <vt:lpwstr>233;#Reporting standard development|0d438fdb-7eb1-4ccc-8be5-4345f3abd880;#10;#Registration|390476ce-d76d-4e8d-905f-28e32d2df127;#109;#Statutory instrument|fe68928c-5a9c-4caf-bc8c-6c18cedcb17f</vt:lpwstr>
  </property>
  <property fmtid="{D5CDD505-2E9C-101B-9397-08002B2CF9AE}" pid="34" name="APRAEntityAdviceSupport">
    <vt:lpwstr/>
  </property>
  <property fmtid="{D5CDD505-2E9C-101B-9397-08002B2CF9AE}" pid="35" name="APRALegislation">
    <vt:lpwstr/>
  </property>
  <property fmtid="{D5CDD505-2E9C-101B-9397-08002B2CF9AE}" pid="36" name="APRAExternalOrganisation">
    <vt:lpwstr/>
  </property>
  <property fmtid="{D5CDD505-2E9C-101B-9397-08002B2CF9AE}" pid="37" name="APRAIRTR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WebId">
    <vt:lpwstr>{75a71c27-8d66-4282-ae60-1bfc22a83be1}</vt:lpwstr>
  </property>
  <property fmtid="{D5CDD505-2E9C-101B-9397-08002B2CF9AE}" pid="40" name="RecordPoint_ActiveItemSiteId">
    <vt:lpwstr>{88691c01-5bbb-4215-adc0-66cb7065b0af}</vt:lpwstr>
  </property>
  <property fmtid="{D5CDD505-2E9C-101B-9397-08002B2CF9AE}" pid="41" name="RecordPoint_ActiveItemListId">
    <vt:lpwstr>{0e59e171-09d8-4401-800a-327154450cb3}</vt:lpwstr>
  </property>
  <property fmtid="{D5CDD505-2E9C-101B-9397-08002B2CF9AE}" pid="42" name="RecordPoint_ActiveItemUniqueId">
    <vt:lpwstr>{ea93e31b-7dfc-4972-9600-64134da53172}</vt:lpwstr>
  </property>
  <property fmtid="{D5CDD505-2E9C-101B-9397-08002B2CF9AE}" pid="43" name="RecordPoint_SubmissionCompleted">
    <vt:lpwstr>2017-10-20T13:16:50.9885833+11:00</vt:lpwstr>
  </property>
  <property fmtid="{D5CDD505-2E9C-101B-9397-08002B2CF9AE}" pid="44" name="RecordPoint_RecordNumberSubmitted">
    <vt:lpwstr>R0000216450</vt:lpwstr>
  </property>
  <property fmtid="{D5CDD505-2E9C-101B-9397-08002B2CF9AE}" pid="45" name="RecordPoint_SubmissionDate">
    <vt:lpwstr/>
  </property>
  <property fmtid="{D5CDD505-2E9C-101B-9397-08002B2CF9AE}" pid="46" name="RecordPoint_ActiveItemMoved">
    <vt:lpwstr/>
  </property>
  <property fmtid="{D5CDD505-2E9C-101B-9397-08002B2CF9AE}" pid="47" name="RecordPoint_RecordFormat">
    <vt:lpwstr/>
  </property>
  <property fmtid="{D5CDD505-2E9C-101B-9397-08002B2CF9AE}" pid="48" name="PM_SecurityClassification_Prev">
    <vt:lpwstr>UNCLASSIFIED</vt:lpwstr>
  </property>
  <property fmtid="{D5CDD505-2E9C-101B-9397-08002B2CF9AE}" pid="49" name="PM_Qualifier_Prev">
    <vt:lpwstr/>
  </property>
</Properties>
</file>