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2D11F" w14:textId="77777777" w:rsidR="00FA6784" w:rsidRPr="008C5F1C" w:rsidRDefault="00FA6784" w:rsidP="00FA6784">
      <w:pPr>
        <w:pStyle w:val="H3"/>
        <w:jc w:val="center"/>
        <w:rPr>
          <w:sz w:val="24"/>
          <w:szCs w:val="24"/>
        </w:rPr>
      </w:pPr>
      <w:bookmarkStart w:id="0" w:name="_GoBack"/>
      <w:bookmarkEnd w:id="0"/>
      <w:r w:rsidRPr="008C5F1C">
        <w:rPr>
          <w:sz w:val="24"/>
          <w:szCs w:val="24"/>
        </w:rPr>
        <w:t>EXPLANATORY STATEMENT</w:t>
      </w:r>
    </w:p>
    <w:p w14:paraId="2412D120" w14:textId="77777777" w:rsidR="00FA6784" w:rsidRPr="008C5F1C" w:rsidRDefault="00FA6784" w:rsidP="00FA6784">
      <w:pPr>
        <w:jc w:val="center"/>
        <w:rPr>
          <w:sz w:val="22"/>
          <w:szCs w:val="22"/>
        </w:rPr>
      </w:pPr>
    </w:p>
    <w:p w14:paraId="2412D121" w14:textId="77777777" w:rsidR="00FA6784" w:rsidRPr="008C5F1C" w:rsidRDefault="00FA6784" w:rsidP="00FA6784">
      <w:pPr>
        <w:jc w:val="center"/>
      </w:pPr>
      <w:r w:rsidRPr="008C5F1C">
        <w:t>Issued by the Authority of the Minister for Health</w:t>
      </w:r>
    </w:p>
    <w:p w14:paraId="2412D122" w14:textId="77777777" w:rsidR="00FA6784" w:rsidRPr="008C5F1C" w:rsidRDefault="00FA6784" w:rsidP="00FA6784">
      <w:pPr>
        <w:jc w:val="center"/>
        <w:rPr>
          <w:i/>
          <w:iCs/>
          <w:sz w:val="20"/>
        </w:rPr>
      </w:pPr>
    </w:p>
    <w:p w14:paraId="2412D123" w14:textId="77777777" w:rsidR="00FA6784" w:rsidRPr="008C5F1C" w:rsidRDefault="00FA6784" w:rsidP="00FA6784">
      <w:pPr>
        <w:jc w:val="center"/>
        <w:rPr>
          <w:i/>
          <w:iCs/>
        </w:rPr>
      </w:pPr>
      <w:r w:rsidRPr="008C5F1C">
        <w:rPr>
          <w:i/>
          <w:iCs/>
        </w:rPr>
        <w:t>Health Insurance Act 1973</w:t>
      </w:r>
    </w:p>
    <w:p w14:paraId="2412D124" w14:textId="77777777" w:rsidR="00A1739A" w:rsidRPr="007A5FEC" w:rsidRDefault="00A1739A" w:rsidP="00A1739A">
      <w:pPr>
        <w:rPr>
          <w:szCs w:val="24"/>
          <w:highlight w:val="yellow"/>
          <w:u w:val="single"/>
        </w:rPr>
      </w:pPr>
    </w:p>
    <w:p w14:paraId="548CCB93" w14:textId="4A6DA63C" w:rsidR="005358DD" w:rsidRDefault="009B10E1" w:rsidP="009B10E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r w:rsidRPr="00BC0E0B">
        <w:rPr>
          <w:i/>
        </w:rPr>
        <w:t>Health Insurance (</w:t>
      </w:r>
      <w:r>
        <w:rPr>
          <w:i/>
        </w:rPr>
        <w:t>Subs</w:t>
      </w:r>
      <w:r w:rsidRPr="00BC0E0B">
        <w:rPr>
          <w:i/>
        </w:rPr>
        <w:t xml:space="preserve">ection 3(5) </w:t>
      </w:r>
      <w:r>
        <w:rPr>
          <w:i/>
        </w:rPr>
        <w:t>General</w:t>
      </w:r>
      <w:r w:rsidRPr="00BC0E0B">
        <w:rPr>
          <w:i/>
        </w:rPr>
        <w:t xml:space="preserve"> </w:t>
      </w:r>
      <w:r>
        <w:rPr>
          <w:i/>
        </w:rPr>
        <w:t>P</w:t>
      </w:r>
      <w:r w:rsidRPr="00BC0E0B">
        <w:rPr>
          <w:i/>
        </w:rPr>
        <w:t>ractitioner</w:t>
      </w:r>
      <w:r>
        <w:rPr>
          <w:i/>
        </w:rPr>
        <w:t xml:space="preserve"> P</w:t>
      </w:r>
      <w:r w:rsidRPr="00BC0E0B">
        <w:rPr>
          <w:i/>
        </w:rPr>
        <w:t>ost-</w:t>
      </w:r>
      <w:r>
        <w:rPr>
          <w:i/>
        </w:rPr>
        <w:t>O</w:t>
      </w:r>
      <w:r w:rsidRPr="00BC0E0B">
        <w:rPr>
          <w:i/>
        </w:rPr>
        <w:t xml:space="preserve">perative </w:t>
      </w:r>
      <w:r>
        <w:rPr>
          <w:i/>
        </w:rPr>
        <w:t>T</w:t>
      </w:r>
      <w:r w:rsidRPr="00BC0E0B">
        <w:rPr>
          <w:i/>
        </w:rPr>
        <w:t>reatment) D</w:t>
      </w:r>
      <w:r>
        <w:rPr>
          <w:i/>
        </w:rPr>
        <w:t>irection</w:t>
      </w:r>
      <w:r w:rsidRPr="00BC0E0B">
        <w:rPr>
          <w:i/>
        </w:rPr>
        <w:t xml:space="preserve"> 2017</w:t>
      </w:r>
    </w:p>
    <w:p w14:paraId="6B8F2615" w14:textId="77777777" w:rsidR="009B10E1" w:rsidRDefault="009B10E1" w:rsidP="001516D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E0B71DC" w14:textId="0FB6CA85" w:rsidR="00616DC1" w:rsidRDefault="008C5F1C" w:rsidP="001516D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8C5F1C">
        <w:rPr>
          <w:color w:val="000000"/>
          <w:shd w:val="clear" w:color="auto" w:fill="FFFFFF"/>
        </w:rPr>
        <w:t>Subsection 3(</w:t>
      </w:r>
      <w:r w:rsidR="001516D7">
        <w:rPr>
          <w:color w:val="000000"/>
          <w:shd w:val="clear" w:color="auto" w:fill="FFFFFF"/>
        </w:rPr>
        <w:t>5</w:t>
      </w:r>
      <w:r w:rsidRPr="008C5F1C">
        <w:rPr>
          <w:color w:val="000000"/>
          <w:shd w:val="clear" w:color="auto" w:fill="FFFFFF"/>
        </w:rPr>
        <w:t xml:space="preserve">) of the </w:t>
      </w:r>
      <w:r w:rsidRPr="00C87864">
        <w:rPr>
          <w:i/>
          <w:color w:val="000000"/>
          <w:shd w:val="clear" w:color="auto" w:fill="FFFFFF"/>
        </w:rPr>
        <w:t>Health Insurance Act 1973</w:t>
      </w:r>
      <w:r w:rsidRPr="008C5F1C">
        <w:rPr>
          <w:color w:val="000000"/>
          <w:shd w:val="clear" w:color="auto" w:fill="FFFFFF"/>
        </w:rPr>
        <w:t xml:space="preserve"> (the Act)</w:t>
      </w:r>
      <w:r w:rsidR="001516D7">
        <w:rPr>
          <w:color w:val="000000"/>
          <w:shd w:val="clear" w:color="auto" w:fill="FFFFFF"/>
        </w:rPr>
        <w:t xml:space="preserve"> provides that </w:t>
      </w:r>
      <w:r w:rsidR="00616DC1">
        <w:rPr>
          <w:color w:val="000000"/>
          <w:shd w:val="clear" w:color="auto" w:fill="FFFFFF"/>
        </w:rPr>
        <w:t xml:space="preserve">a professional service </w:t>
      </w:r>
      <w:r w:rsidR="00D63CED">
        <w:rPr>
          <w:color w:val="000000"/>
          <w:shd w:val="clear" w:color="auto" w:fill="FFFFFF"/>
        </w:rPr>
        <w:t xml:space="preserve">that is not expressed to relate to a professional attendance by a practitioner </w:t>
      </w:r>
      <w:r w:rsidR="00616DC1">
        <w:rPr>
          <w:color w:val="000000"/>
          <w:shd w:val="clear" w:color="auto" w:fill="FFFFFF"/>
        </w:rPr>
        <w:t>shall be deemed to include all professional attendances necessary for the purpose</w:t>
      </w:r>
      <w:r w:rsidR="00D63CED">
        <w:rPr>
          <w:color w:val="000000"/>
          <w:shd w:val="clear" w:color="auto" w:fill="FFFFFF"/>
        </w:rPr>
        <w:t>s</w:t>
      </w:r>
      <w:r w:rsidR="00616DC1">
        <w:rPr>
          <w:color w:val="000000"/>
          <w:shd w:val="clear" w:color="auto" w:fill="FFFFFF"/>
        </w:rPr>
        <w:t xml:space="preserve"> of post-operative treatment of the person who received the professional service</w:t>
      </w:r>
      <w:r w:rsidR="00D63CED">
        <w:rPr>
          <w:color w:val="000000"/>
          <w:shd w:val="clear" w:color="auto" w:fill="FFFFFF"/>
        </w:rPr>
        <w:t>, unless the Minister directs otherwise</w:t>
      </w:r>
      <w:r w:rsidR="00616DC1">
        <w:rPr>
          <w:color w:val="000000"/>
          <w:shd w:val="clear" w:color="auto" w:fill="FFFFFF"/>
        </w:rPr>
        <w:t xml:space="preserve">. </w:t>
      </w:r>
    </w:p>
    <w:p w14:paraId="1CE5170E" w14:textId="77777777" w:rsidR="00616DC1" w:rsidRDefault="00616DC1" w:rsidP="001516D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2412D12A" w14:textId="77777777" w:rsidR="00BB00BA" w:rsidRPr="00E92248" w:rsidRDefault="00A1739A" w:rsidP="00BB00BA">
      <w:pPr>
        <w:rPr>
          <w:b/>
          <w:szCs w:val="24"/>
          <w:lang w:val="en-US" w:eastAsia="en-US"/>
        </w:rPr>
      </w:pPr>
      <w:r w:rsidRPr="00E92248">
        <w:rPr>
          <w:b/>
          <w:szCs w:val="24"/>
          <w:lang w:val="en-US" w:eastAsia="en-US"/>
        </w:rPr>
        <w:t>Purpose</w:t>
      </w:r>
    </w:p>
    <w:p w14:paraId="5DEFA028" w14:textId="77777777" w:rsidR="00105042" w:rsidRDefault="00D22375" w:rsidP="00B4308A">
      <w:pPr>
        <w:ind w:right="-483"/>
        <w:rPr>
          <w:szCs w:val="24"/>
        </w:rPr>
      </w:pPr>
      <w:r>
        <w:rPr>
          <w:szCs w:val="24"/>
        </w:rPr>
        <w:t>Subsection 3(5) of the Act generally operates so that</w:t>
      </w:r>
      <w:r w:rsidR="00B4308A">
        <w:rPr>
          <w:szCs w:val="24"/>
        </w:rPr>
        <w:t xml:space="preserve"> </w:t>
      </w:r>
      <w:r w:rsidR="00B4308A" w:rsidRPr="00B4308A">
        <w:rPr>
          <w:szCs w:val="24"/>
        </w:rPr>
        <w:t>a</w:t>
      </w:r>
      <w:r w:rsidR="00C21BAC">
        <w:rPr>
          <w:szCs w:val="24"/>
        </w:rPr>
        <w:t xml:space="preserve"> Medicare </w:t>
      </w:r>
      <w:r w:rsidR="00B4308A" w:rsidRPr="00B4308A">
        <w:rPr>
          <w:szCs w:val="24"/>
        </w:rPr>
        <w:t xml:space="preserve">benefit </w:t>
      </w:r>
      <w:r w:rsidR="00C21BAC">
        <w:rPr>
          <w:szCs w:val="24"/>
        </w:rPr>
        <w:t xml:space="preserve">is not </w:t>
      </w:r>
      <w:r>
        <w:rPr>
          <w:szCs w:val="24"/>
        </w:rPr>
        <w:t xml:space="preserve">payable </w:t>
      </w:r>
      <w:r w:rsidR="00B4308A" w:rsidRPr="00B4308A">
        <w:rPr>
          <w:szCs w:val="24"/>
        </w:rPr>
        <w:t xml:space="preserve">for a </w:t>
      </w:r>
      <w:r w:rsidR="00C21BAC">
        <w:rPr>
          <w:szCs w:val="24"/>
        </w:rPr>
        <w:t xml:space="preserve">person </w:t>
      </w:r>
      <w:r>
        <w:rPr>
          <w:szCs w:val="24"/>
        </w:rPr>
        <w:t xml:space="preserve">who has received a service that is not a professional attendance service, and subsequently </w:t>
      </w:r>
      <w:r w:rsidR="00C21BAC">
        <w:rPr>
          <w:szCs w:val="24"/>
        </w:rPr>
        <w:t>receiv</w:t>
      </w:r>
      <w:r>
        <w:rPr>
          <w:szCs w:val="24"/>
        </w:rPr>
        <w:t>es</w:t>
      </w:r>
      <w:r w:rsidR="00C21BAC">
        <w:rPr>
          <w:szCs w:val="24"/>
        </w:rPr>
        <w:t xml:space="preserve"> a </w:t>
      </w:r>
      <w:r w:rsidR="00B4308A" w:rsidRPr="00B4308A">
        <w:rPr>
          <w:szCs w:val="24"/>
        </w:rPr>
        <w:t xml:space="preserve">professional attendance </w:t>
      </w:r>
      <w:r w:rsidR="00C21BAC">
        <w:rPr>
          <w:szCs w:val="24"/>
        </w:rPr>
        <w:t xml:space="preserve">service </w:t>
      </w:r>
      <w:r>
        <w:rPr>
          <w:szCs w:val="24"/>
        </w:rPr>
        <w:t>that is necessary for</w:t>
      </w:r>
      <w:r w:rsidR="00B4308A" w:rsidRPr="00B4308A">
        <w:rPr>
          <w:szCs w:val="24"/>
        </w:rPr>
        <w:t xml:space="preserve"> post-operative </w:t>
      </w:r>
      <w:r w:rsidR="00C21BAC" w:rsidRPr="00B4308A">
        <w:rPr>
          <w:szCs w:val="24"/>
        </w:rPr>
        <w:t xml:space="preserve">treatment </w:t>
      </w:r>
      <w:r>
        <w:rPr>
          <w:szCs w:val="24"/>
        </w:rPr>
        <w:t>purposes</w:t>
      </w:r>
      <w:r w:rsidR="00CB544A">
        <w:rPr>
          <w:szCs w:val="24"/>
        </w:rPr>
        <w:t xml:space="preserve"> related to the initial service</w:t>
      </w:r>
      <w:r w:rsidR="00C21BAC">
        <w:rPr>
          <w:szCs w:val="24"/>
        </w:rPr>
        <w:t>. Th</w:t>
      </w:r>
      <w:r>
        <w:rPr>
          <w:szCs w:val="24"/>
        </w:rPr>
        <w:t xml:space="preserve">e period during </w:t>
      </w:r>
      <w:r w:rsidR="00F6006E">
        <w:rPr>
          <w:szCs w:val="24"/>
        </w:rPr>
        <w:t>which this</w:t>
      </w:r>
      <w:r>
        <w:rPr>
          <w:szCs w:val="24"/>
        </w:rPr>
        <w:t xml:space="preserve"> restriction typically applies</w:t>
      </w:r>
      <w:r w:rsidR="00C21BAC">
        <w:rPr>
          <w:szCs w:val="24"/>
        </w:rPr>
        <w:t xml:space="preserve"> is known as the aftercare period.</w:t>
      </w:r>
      <w:r w:rsidR="00B4308A" w:rsidRPr="00B4308A">
        <w:rPr>
          <w:szCs w:val="24"/>
        </w:rPr>
        <w:t xml:space="preserve"> </w:t>
      </w:r>
    </w:p>
    <w:p w14:paraId="49089202" w14:textId="77777777" w:rsidR="00105042" w:rsidRDefault="00105042" w:rsidP="00B4308A">
      <w:pPr>
        <w:ind w:right="-483"/>
        <w:rPr>
          <w:szCs w:val="24"/>
        </w:rPr>
      </w:pPr>
    </w:p>
    <w:p w14:paraId="67D9CA6E" w14:textId="2BBB814D" w:rsidR="00616DC1" w:rsidRDefault="00B4308A" w:rsidP="00616DC1">
      <w:pPr>
        <w:ind w:right="-483"/>
        <w:rPr>
          <w:szCs w:val="24"/>
        </w:rPr>
      </w:pPr>
      <w:r w:rsidRPr="00B4308A">
        <w:rPr>
          <w:szCs w:val="24"/>
        </w:rPr>
        <w:t>The</w:t>
      </w:r>
      <w:r w:rsidR="00C21BAC">
        <w:rPr>
          <w:szCs w:val="24"/>
        </w:rPr>
        <w:t xml:space="preserve"> Government</w:t>
      </w:r>
      <w:r w:rsidR="00161681">
        <w:rPr>
          <w:szCs w:val="24"/>
        </w:rPr>
        <w:t xml:space="preserve">’s response </w:t>
      </w:r>
      <w:r w:rsidR="00C21BAC">
        <w:rPr>
          <w:szCs w:val="24"/>
        </w:rPr>
        <w:t xml:space="preserve">to the </w:t>
      </w:r>
      <w:r w:rsidRPr="00B4308A">
        <w:rPr>
          <w:szCs w:val="24"/>
        </w:rPr>
        <w:t>M</w:t>
      </w:r>
      <w:r w:rsidR="00D22375">
        <w:rPr>
          <w:szCs w:val="24"/>
        </w:rPr>
        <w:t xml:space="preserve">edicare </w:t>
      </w:r>
      <w:r w:rsidRPr="00B4308A">
        <w:rPr>
          <w:szCs w:val="24"/>
        </w:rPr>
        <w:t>B</w:t>
      </w:r>
      <w:r w:rsidR="00D22375">
        <w:rPr>
          <w:szCs w:val="24"/>
        </w:rPr>
        <w:t xml:space="preserve">enefit </w:t>
      </w:r>
      <w:r w:rsidRPr="00B4308A">
        <w:rPr>
          <w:szCs w:val="24"/>
        </w:rPr>
        <w:t>S</w:t>
      </w:r>
      <w:r w:rsidR="00D22375">
        <w:rPr>
          <w:szCs w:val="24"/>
        </w:rPr>
        <w:t>chedule</w:t>
      </w:r>
      <w:r w:rsidR="00BC55B1">
        <w:rPr>
          <w:szCs w:val="24"/>
        </w:rPr>
        <w:t xml:space="preserve"> (MBS)</w:t>
      </w:r>
      <w:r w:rsidRPr="00B4308A">
        <w:rPr>
          <w:szCs w:val="24"/>
        </w:rPr>
        <w:t xml:space="preserve"> Review Taskforce</w:t>
      </w:r>
      <w:r w:rsidR="00C21BAC">
        <w:rPr>
          <w:szCs w:val="24"/>
        </w:rPr>
        <w:t>’s</w:t>
      </w:r>
      <w:r w:rsidRPr="00B4308A">
        <w:rPr>
          <w:szCs w:val="24"/>
        </w:rPr>
        <w:t xml:space="preserve"> </w:t>
      </w:r>
      <w:r w:rsidR="00C21BAC" w:rsidRPr="00B4308A">
        <w:rPr>
          <w:szCs w:val="24"/>
        </w:rPr>
        <w:t>recommend</w:t>
      </w:r>
      <w:r w:rsidR="00C21BAC">
        <w:rPr>
          <w:szCs w:val="24"/>
        </w:rPr>
        <w:t>ation</w:t>
      </w:r>
      <w:r w:rsidR="00161681">
        <w:rPr>
          <w:szCs w:val="24"/>
        </w:rPr>
        <w:t>s</w:t>
      </w:r>
      <w:r w:rsidR="00C21BAC">
        <w:rPr>
          <w:szCs w:val="24"/>
        </w:rPr>
        <w:t xml:space="preserve"> </w:t>
      </w:r>
      <w:r w:rsidR="00161681">
        <w:rPr>
          <w:szCs w:val="24"/>
        </w:rPr>
        <w:t xml:space="preserve">was </w:t>
      </w:r>
      <w:r w:rsidR="00C21BAC">
        <w:rPr>
          <w:szCs w:val="24"/>
        </w:rPr>
        <w:t>to remove th</w:t>
      </w:r>
      <w:r w:rsidR="00161681">
        <w:rPr>
          <w:szCs w:val="24"/>
        </w:rPr>
        <w:t>e</w:t>
      </w:r>
      <w:r w:rsidR="00C21BAC">
        <w:rPr>
          <w:szCs w:val="24"/>
        </w:rPr>
        <w:t xml:space="preserve"> restriction </w:t>
      </w:r>
      <w:r w:rsidR="00C21BAC" w:rsidRPr="00C21BAC">
        <w:rPr>
          <w:szCs w:val="24"/>
        </w:rPr>
        <w:t>for non-referred</w:t>
      </w:r>
      <w:r w:rsidR="00D22375">
        <w:rPr>
          <w:szCs w:val="24"/>
        </w:rPr>
        <w:t xml:space="preserve"> </w:t>
      </w:r>
      <w:r w:rsidR="00F757D4">
        <w:rPr>
          <w:szCs w:val="24"/>
        </w:rPr>
        <w:t>G</w:t>
      </w:r>
      <w:r w:rsidR="00D22375">
        <w:rPr>
          <w:szCs w:val="24"/>
        </w:rPr>
        <w:t xml:space="preserve">eneral </w:t>
      </w:r>
      <w:r w:rsidR="00F757D4">
        <w:rPr>
          <w:szCs w:val="24"/>
        </w:rPr>
        <w:t>P</w:t>
      </w:r>
      <w:r w:rsidR="00D22375">
        <w:rPr>
          <w:szCs w:val="24"/>
        </w:rPr>
        <w:t>ractitioner</w:t>
      </w:r>
      <w:r w:rsidR="00C21BAC" w:rsidRPr="00C21BAC">
        <w:rPr>
          <w:szCs w:val="24"/>
        </w:rPr>
        <w:t xml:space="preserve"> </w:t>
      </w:r>
      <w:r w:rsidR="00D22375">
        <w:rPr>
          <w:szCs w:val="24"/>
        </w:rPr>
        <w:t>(</w:t>
      </w:r>
      <w:r w:rsidR="00616DC1" w:rsidRPr="00616DC1">
        <w:rPr>
          <w:szCs w:val="24"/>
        </w:rPr>
        <w:t>GP</w:t>
      </w:r>
      <w:r w:rsidR="00D22375">
        <w:rPr>
          <w:szCs w:val="24"/>
        </w:rPr>
        <w:t>)</w:t>
      </w:r>
      <w:r w:rsidR="00616DC1" w:rsidRPr="00616DC1">
        <w:rPr>
          <w:szCs w:val="24"/>
        </w:rPr>
        <w:t xml:space="preserve"> </w:t>
      </w:r>
      <w:r w:rsidR="00D22375">
        <w:rPr>
          <w:szCs w:val="24"/>
        </w:rPr>
        <w:t xml:space="preserve">professional </w:t>
      </w:r>
      <w:r w:rsidR="00616DC1">
        <w:rPr>
          <w:szCs w:val="24"/>
        </w:rPr>
        <w:t>attendances in the aftercare period</w:t>
      </w:r>
      <w:r w:rsidR="00C21BAC" w:rsidRPr="00C21BAC">
        <w:rPr>
          <w:szCs w:val="24"/>
        </w:rPr>
        <w:t>.</w:t>
      </w:r>
      <w:r w:rsidR="00105042">
        <w:rPr>
          <w:szCs w:val="24"/>
        </w:rPr>
        <w:t xml:space="preserve"> </w:t>
      </w:r>
      <w:r w:rsidR="000515B9" w:rsidRPr="000515B9">
        <w:rPr>
          <w:szCs w:val="24"/>
        </w:rPr>
        <w:t xml:space="preserve">From 1 November 2017 this </w:t>
      </w:r>
      <w:r w:rsidR="000515B9">
        <w:rPr>
          <w:szCs w:val="24"/>
        </w:rPr>
        <w:t>restriction</w:t>
      </w:r>
      <w:r w:rsidR="000515B9" w:rsidRPr="000515B9">
        <w:rPr>
          <w:szCs w:val="24"/>
        </w:rPr>
        <w:t xml:space="preserve"> will be removed so that </w:t>
      </w:r>
      <w:r w:rsidR="009B10E1">
        <w:rPr>
          <w:szCs w:val="24"/>
        </w:rPr>
        <w:t xml:space="preserve">a </w:t>
      </w:r>
      <w:r w:rsidR="0052291A">
        <w:rPr>
          <w:szCs w:val="24"/>
        </w:rPr>
        <w:t xml:space="preserve">Medicare benefit is payable when a </w:t>
      </w:r>
      <w:r w:rsidR="000515B9" w:rsidRPr="000515B9">
        <w:rPr>
          <w:szCs w:val="24"/>
        </w:rPr>
        <w:t>GP</w:t>
      </w:r>
      <w:r w:rsidR="005E5192">
        <w:rPr>
          <w:szCs w:val="24"/>
        </w:rPr>
        <w:t xml:space="preserve"> or medical practitioner practising in general practice</w:t>
      </w:r>
      <w:r w:rsidR="000515B9" w:rsidRPr="000515B9">
        <w:rPr>
          <w:szCs w:val="24"/>
        </w:rPr>
        <w:t xml:space="preserve"> </w:t>
      </w:r>
      <w:r w:rsidR="009B10E1">
        <w:rPr>
          <w:szCs w:val="24"/>
        </w:rPr>
        <w:t xml:space="preserve">(who is not a specialist or consultant physician) </w:t>
      </w:r>
      <w:r w:rsidR="000515B9" w:rsidRPr="000515B9">
        <w:rPr>
          <w:szCs w:val="24"/>
        </w:rPr>
        <w:t>provid</w:t>
      </w:r>
      <w:r w:rsidR="0052291A">
        <w:rPr>
          <w:szCs w:val="24"/>
        </w:rPr>
        <w:t>es</w:t>
      </w:r>
      <w:r w:rsidR="000515B9" w:rsidRPr="000515B9">
        <w:rPr>
          <w:szCs w:val="24"/>
        </w:rPr>
        <w:t xml:space="preserve"> </w:t>
      </w:r>
      <w:r w:rsidR="0052291A">
        <w:rPr>
          <w:szCs w:val="24"/>
        </w:rPr>
        <w:t>a professional attendance of this kind</w:t>
      </w:r>
      <w:r w:rsidR="000515B9">
        <w:rPr>
          <w:szCs w:val="24"/>
        </w:rPr>
        <w:t xml:space="preserve">. </w:t>
      </w:r>
      <w:r w:rsidR="0052291A">
        <w:rPr>
          <w:szCs w:val="24"/>
        </w:rPr>
        <w:t xml:space="preserve">However, subsection 3(5) </w:t>
      </w:r>
      <w:r w:rsidR="00616DC1" w:rsidRPr="00B4308A">
        <w:rPr>
          <w:szCs w:val="24"/>
        </w:rPr>
        <w:t xml:space="preserve">will still apply when the follow-up care is provided by the </w:t>
      </w:r>
      <w:r w:rsidR="00616DC1">
        <w:rPr>
          <w:szCs w:val="24"/>
        </w:rPr>
        <w:t xml:space="preserve">medical </w:t>
      </w:r>
      <w:r w:rsidR="00616DC1" w:rsidRPr="00B4308A">
        <w:rPr>
          <w:szCs w:val="24"/>
        </w:rPr>
        <w:t>practitioner</w:t>
      </w:r>
      <w:r w:rsidR="008055F5">
        <w:rPr>
          <w:szCs w:val="24"/>
        </w:rPr>
        <w:t xml:space="preserve"> </w:t>
      </w:r>
      <w:r w:rsidR="00616DC1" w:rsidRPr="00B4308A">
        <w:rPr>
          <w:szCs w:val="24"/>
        </w:rPr>
        <w:t>who performed the procedure.</w:t>
      </w:r>
    </w:p>
    <w:p w14:paraId="12A33C77" w14:textId="77777777" w:rsidR="00616DC1" w:rsidRDefault="00616DC1" w:rsidP="00B4308A">
      <w:pPr>
        <w:ind w:right="-483"/>
        <w:rPr>
          <w:szCs w:val="24"/>
        </w:rPr>
      </w:pPr>
    </w:p>
    <w:p w14:paraId="4F3B9ADC" w14:textId="59ED0399" w:rsidR="00B4308A" w:rsidRPr="00B4308A" w:rsidRDefault="00B4308A" w:rsidP="00B4308A">
      <w:pPr>
        <w:ind w:right="-483"/>
        <w:rPr>
          <w:szCs w:val="24"/>
        </w:rPr>
      </w:pPr>
      <w:r w:rsidRPr="00B4308A">
        <w:rPr>
          <w:szCs w:val="24"/>
        </w:rPr>
        <w:t xml:space="preserve">This will improve access to post-operative care for patients who are not able to return to the original </w:t>
      </w:r>
      <w:r w:rsidR="00616DC1">
        <w:rPr>
          <w:szCs w:val="24"/>
        </w:rPr>
        <w:t xml:space="preserve">medical </w:t>
      </w:r>
      <w:r w:rsidRPr="00B4308A">
        <w:rPr>
          <w:szCs w:val="24"/>
        </w:rPr>
        <w:t>practitioner (usually a specialist) to receive post-operative care</w:t>
      </w:r>
      <w:r w:rsidR="007B358D">
        <w:rPr>
          <w:szCs w:val="24"/>
        </w:rPr>
        <w:t>.</w:t>
      </w:r>
    </w:p>
    <w:p w14:paraId="62A0D50A" w14:textId="77777777" w:rsidR="00B4308A" w:rsidRDefault="00B4308A" w:rsidP="00B4308A">
      <w:pPr>
        <w:ind w:right="-483"/>
        <w:rPr>
          <w:szCs w:val="24"/>
        </w:rPr>
      </w:pPr>
    </w:p>
    <w:p w14:paraId="2412D131" w14:textId="77777777" w:rsidR="001865F8" w:rsidRPr="00E92248" w:rsidRDefault="00A1739A" w:rsidP="00E04B6F">
      <w:pPr>
        <w:rPr>
          <w:b/>
        </w:rPr>
      </w:pPr>
      <w:r w:rsidRPr="00E92248">
        <w:rPr>
          <w:b/>
        </w:rPr>
        <w:t>Consultation</w:t>
      </w:r>
    </w:p>
    <w:p w14:paraId="39576BC9" w14:textId="386AB5F9" w:rsidR="006B3959" w:rsidRDefault="00DE186C" w:rsidP="00E92248">
      <w:pPr>
        <w:rPr>
          <w:szCs w:val="24"/>
        </w:rPr>
      </w:pPr>
      <w:r w:rsidRPr="00DE186C">
        <w:rPr>
          <w:szCs w:val="24"/>
        </w:rPr>
        <w:t xml:space="preserve">The </w:t>
      </w:r>
      <w:r w:rsidR="00BC55B1">
        <w:rPr>
          <w:szCs w:val="24"/>
        </w:rPr>
        <w:t xml:space="preserve">proposed </w:t>
      </w:r>
      <w:r w:rsidRPr="00DE186C">
        <w:rPr>
          <w:szCs w:val="24"/>
        </w:rPr>
        <w:t xml:space="preserve">changes </w:t>
      </w:r>
      <w:r w:rsidR="00BC55B1">
        <w:rPr>
          <w:szCs w:val="24"/>
        </w:rPr>
        <w:t xml:space="preserve">which are given effect </w:t>
      </w:r>
      <w:r w:rsidRPr="00DE186C">
        <w:rPr>
          <w:szCs w:val="24"/>
        </w:rPr>
        <w:t xml:space="preserve">in the </w:t>
      </w:r>
      <w:r>
        <w:rPr>
          <w:szCs w:val="24"/>
        </w:rPr>
        <w:t>Direction</w:t>
      </w:r>
      <w:r w:rsidRPr="00DE186C">
        <w:rPr>
          <w:szCs w:val="24"/>
        </w:rPr>
        <w:t xml:space="preserve"> were released for public comment prior to finalisation of the recommendations to Government. This was undertaken through the public consultation process during consideration by </w:t>
      </w:r>
      <w:r w:rsidR="003C273F">
        <w:rPr>
          <w:szCs w:val="24"/>
        </w:rPr>
        <w:t xml:space="preserve">the </w:t>
      </w:r>
      <w:r>
        <w:rPr>
          <w:szCs w:val="24"/>
        </w:rPr>
        <w:t>MBS Review</w:t>
      </w:r>
      <w:r w:rsidRPr="00DE186C">
        <w:rPr>
          <w:szCs w:val="24"/>
        </w:rPr>
        <w:t xml:space="preserve"> Taskforce.</w:t>
      </w:r>
    </w:p>
    <w:p w14:paraId="3B109269" w14:textId="77777777" w:rsidR="00DE186C" w:rsidRPr="00B03218" w:rsidRDefault="00DE186C" w:rsidP="00E92248">
      <w:pPr>
        <w:rPr>
          <w:szCs w:val="24"/>
          <w:highlight w:val="yellow"/>
        </w:rPr>
      </w:pPr>
    </w:p>
    <w:p w14:paraId="2412D134" w14:textId="506A290F" w:rsidR="00967E51" w:rsidRPr="00E5798A" w:rsidRDefault="00A1739A" w:rsidP="000337CB">
      <w:pPr>
        <w:rPr>
          <w:szCs w:val="24"/>
        </w:rPr>
      </w:pPr>
      <w:r w:rsidRPr="00E5798A">
        <w:rPr>
          <w:szCs w:val="24"/>
        </w:rPr>
        <w:t xml:space="preserve">Details of the </w:t>
      </w:r>
      <w:r w:rsidR="00B4308A">
        <w:rPr>
          <w:szCs w:val="24"/>
        </w:rPr>
        <w:t>Direction</w:t>
      </w:r>
      <w:r w:rsidRPr="00E5798A">
        <w:rPr>
          <w:szCs w:val="24"/>
        </w:rPr>
        <w:t xml:space="preserve"> are set out in the </w:t>
      </w:r>
      <w:r w:rsidRPr="00E5798A">
        <w:rPr>
          <w:szCs w:val="24"/>
          <w:u w:val="single"/>
        </w:rPr>
        <w:t>Attachment</w:t>
      </w:r>
      <w:r w:rsidRPr="00E5798A">
        <w:rPr>
          <w:szCs w:val="24"/>
        </w:rPr>
        <w:t>.</w:t>
      </w:r>
    </w:p>
    <w:p w14:paraId="2412D135" w14:textId="77836348" w:rsidR="006C138D" w:rsidRPr="00E5798A" w:rsidRDefault="00297AD0" w:rsidP="006C138D">
      <w:pPr>
        <w:tabs>
          <w:tab w:val="left" w:pos="567"/>
        </w:tabs>
        <w:spacing w:before="240"/>
        <w:rPr>
          <w:szCs w:val="24"/>
        </w:rPr>
      </w:pPr>
      <w:r w:rsidRPr="00E5798A">
        <w:rPr>
          <w:szCs w:val="24"/>
        </w:rPr>
        <w:t xml:space="preserve">The </w:t>
      </w:r>
      <w:r w:rsidR="00967E51" w:rsidRPr="00E5798A">
        <w:rPr>
          <w:szCs w:val="24"/>
        </w:rPr>
        <w:t>D</w:t>
      </w:r>
      <w:r w:rsidR="00B4308A">
        <w:rPr>
          <w:szCs w:val="24"/>
        </w:rPr>
        <w:t>irection</w:t>
      </w:r>
      <w:r w:rsidRPr="00E5798A">
        <w:rPr>
          <w:szCs w:val="24"/>
        </w:rPr>
        <w:t xml:space="preserve"> </w:t>
      </w:r>
      <w:r w:rsidR="001B7092">
        <w:rPr>
          <w:szCs w:val="24"/>
        </w:rPr>
        <w:t>commences</w:t>
      </w:r>
      <w:r w:rsidR="006C138D" w:rsidRPr="00E5798A">
        <w:rPr>
          <w:szCs w:val="24"/>
        </w:rPr>
        <w:t xml:space="preserve"> on </w:t>
      </w:r>
      <w:r w:rsidR="0016646C" w:rsidRPr="00E5798A">
        <w:rPr>
          <w:szCs w:val="24"/>
        </w:rPr>
        <w:t xml:space="preserve">1 </w:t>
      </w:r>
      <w:r w:rsidR="00B4308A">
        <w:rPr>
          <w:szCs w:val="24"/>
        </w:rPr>
        <w:t>November</w:t>
      </w:r>
      <w:r w:rsidR="00C84DDE" w:rsidRPr="00E5798A">
        <w:rPr>
          <w:szCs w:val="24"/>
        </w:rPr>
        <w:t xml:space="preserve"> 2017</w:t>
      </w:r>
      <w:r w:rsidR="006C138D" w:rsidRPr="00E5798A">
        <w:rPr>
          <w:szCs w:val="24"/>
        </w:rPr>
        <w:t>.</w:t>
      </w:r>
    </w:p>
    <w:p w14:paraId="4AECC900" w14:textId="77777777" w:rsidR="006B2223" w:rsidRDefault="006B2223" w:rsidP="00574E71">
      <w:pPr>
        <w:rPr>
          <w:szCs w:val="24"/>
        </w:rPr>
      </w:pPr>
    </w:p>
    <w:p w14:paraId="2412D137" w14:textId="0E621D46" w:rsidR="00574E71" w:rsidRPr="00B03218" w:rsidRDefault="00574E71" w:rsidP="00574E71">
      <w:pPr>
        <w:rPr>
          <w:szCs w:val="24"/>
          <w:highlight w:val="yellow"/>
        </w:rPr>
      </w:pPr>
      <w:r w:rsidRPr="00E5798A">
        <w:rPr>
          <w:szCs w:val="24"/>
        </w:rPr>
        <w:t xml:space="preserve">The </w:t>
      </w:r>
      <w:r w:rsidR="00DE186C">
        <w:rPr>
          <w:szCs w:val="24"/>
        </w:rPr>
        <w:t>Direction</w:t>
      </w:r>
      <w:r w:rsidRPr="00E5798A">
        <w:rPr>
          <w:szCs w:val="24"/>
        </w:rPr>
        <w:t xml:space="preserve"> is </w:t>
      </w:r>
      <w:r w:rsidR="00DE186C">
        <w:rPr>
          <w:szCs w:val="24"/>
        </w:rPr>
        <w:t xml:space="preserve">a </w:t>
      </w:r>
      <w:r w:rsidRPr="00E5798A">
        <w:rPr>
          <w:szCs w:val="24"/>
        </w:rPr>
        <w:t xml:space="preserve">legislative instrument for the purposes of the </w:t>
      </w:r>
      <w:r w:rsidRPr="00E5798A">
        <w:rPr>
          <w:i/>
        </w:rPr>
        <w:t>Legislation Act 2003</w:t>
      </w:r>
      <w:r w:rsidRPr="00E5798A">
        <w:rPr>
          <w:szCs w:val="24"/>
        </w:rPr>
        <w:t>.</w:t>
      </w:r>
    </w:p>
    <w:p w14:paraId="2412D138" w14:textId="77777777" w:rsidR="00574E71" w:rsidRPr="00B03218" w:rsidRDefault="00574E71" w:rsidP="00297AD0">
      <w:pPr>
        <w:tabs>
          <w:tab w:val="left" w:pos="567"/>
        </w:tabs>
        <w:spacing w:before="240"/>
        <w:rPr>
          <w:szCs w:val="24"/>
          <w:highlight w:val="yellow"/>
        </w:rPr>
      </w:pPr>
    </w:p>
    <w:p w14:paraId="2412D139" w14:textId="77777777" w:rsidR="00A1739A" w:rsidRPr="00B03218" w:rsidRDefault="00A1739A" w:rsidP="000337CB">
      <w:pPr>
        <w:ind w:left="6663" w:hanging="3119"/>
        <w:rPr>
          <w:szCs w:val="24"/>
          <w:highlight w:val="yellow"/>
        </w:rPr>
      </w:pPr>
      <w:r w:rsidRPr="00B03218">
        <w:rPr>
          <w:szCs w:val="24"/>
          <w:highlight w:val="yellow"/>
        </w:rPr>
        <w:t xml:space="preserve">           </w:t>
      </w:r>
    </w:p>
    <w:p w14:paraId="2412D13A" w14:textId="4C2A3ABF" w:rsidR="00A1739A" w:rsidRPr="00E5798A" w:rsidRDefault="00A1739A" w:rsidP="000337CB">
      <w:pPr>
        <w:ind w:left="6663" w:hanging="3119"/>
        <w:rPr>
          <w:szCs w:val="24"/>
        </w:rPr>
      </w:pPr>
      <w:r w:rsidRPr="00E5798A">
        <w:rPr>
          <w:szCs w:val="24"/>
          <w:u w:val="single"/>
        </w:rPr>
        <w:t>Authority</w:t>
      </w:r>
      <w:r w:rsidR="00967E51" w:rsidRPr="00E5798A">
        <w:rPr>
          <w:szCs w:val="24"/>
        </w:rPr>
        <w:t xml:space="preserve">:     Subsection </w:t>
      </w:r>
      <w:r w:rsidRPr="00E5798A">
        <w:rPr>
          <w:szCs w:val="24"/>
        </w:rPr>
        <w:t>3(</w:t>
      </w:r>
      <w:r w:rsidR="00F757D4">
        <w:rPr>
          <w:szCs w:val="24"/>
        </w:rPr>
        <w:t>5</w:t>
      </w:r>
      <w:r w:rsidRPr="00E5798A">
        <w:rPr>
          <w:szCs w:val="24"/>
        </w:rPr>
        <w:t xml:space="preserve">) of the </w:t>
      </w:r>
    </w:p>
    <w:p w14:paraId="2412D13B" w14:textId="77777777" w:rsidR="00A1739A" w:rsidRPr="00E5798A" w:rsidRDefault="00A1739A" w:rsidP="000337CB">
      <w:pPr>
        <w:tabs>
          <w:tab w:val="left" w:pos="4820"/>
        </w:tabs>
        <w:rPr>
          <w:szCs w:val="24"/>
        </w:rPr>
        <w:sectPr w:rsidR="00A1739A" w:rsidRPr="00E5798A" w:rsidSect="000857C2">
          <w:headerReference w:type="default" r:id="rId12"/>
          <w:pgSz w:w="11906" w:h="16838"/>
          <w:pgMar w:top="1276" w:right="1800" w:bottom="993" w:left="1800" w:header="708" w:footer="708" w:gutter="0"/>
          <w:pgNumType w:start="1"/>
          <w:cols w:space="708"/>
          <w:docGrid w:linePitch="360"/>
        </w:sectPr>
      </w:pPr>
      <w:r w:rsidRPr="00E5798A">
        <w:rPr>
          <w:i/>
          <w:szCs w:val="24"/>
        </w:rPr>
        <w:tab/>
        <w:t>Health Insurance Act 1973</w:t>
      </w:r>
      <w:r w:rsidRPr="00E5798A">
        <w:rPr>
          <w:szCs w:val="24"/>
        </w:rPr>
        <w:t xml:space="preserve"> </w:t>
      </w:r>
    </w:p>
    <w:p w14:paraId="2412D13C" w14:textId="77777777" w:rsidR="00242974" w:rsidRPr="00B03218" w:rsidRDefault="00242974" w:rsidP="000337CB">
      <w:pPr>
        <w:tabs>
          <w:tab w:val="left" w:pos="4536"/>
        </w:tabs>
        <w:rPr>
          <w:b/>
          <w:szCs w:val="24"/>
          <w:highlight w:val="yellow"/>
        </w:rPr>
      </w:pPr>
    </w:p>
    <w:p w14:paraId="2412D13D" w14:textId="77777777" w:rsidR="006D5816" w:rsidRPr="00E5798A" w:rsidRDefault="006D5816" w:rsidP="000337CB">
      <w:pPr>
        <w:pStyle w:val="BodyText"/>
        <w:jc w:val="right"/>
        <w:rPr>
          <w:szCs w:val="24"/>
        </w:rPr>
      </w:pPr>
      <w:r w:rsidRPr="00E5798A">
        <w:rPr>
          <w:szCs w:val="24"/>
        </w:rPr>
        <w:t>ATTACHMENT</w:t>
      </w:r>
    </w:p>
    <w:p w14:paraId="2412D13E" w14:textId="77777777" w:rsidR="006D5816" w:rsidRPr="00E5798A" w:rsidRDefault="006D5816" w:rsidP="000337CB">
      <w:pPr>
        <w:pStyle w:val="BodyText"/>
        <w:rPr>
          <w:szCs w:val="24"/>
          <w:u w:val="single"/>
        </w:rPr>
      </w:pPr>
    </w:p>
    <w:p w14:paraId="2C881D75" w14:textId="5145EC33" w:rsidR="008E486D" w:rsidRPr="008E486D" w:rsidRDefault="00A41364" w:rsidP="008E486D">
      <w:pPr>
        <w:pStyle w:val="BodyText"/>
        <w:rPr>
          <w:i/>
          <w:szCs w:val="24"/>
        </w:rPr>
      </w:pPr>
      <w:proofErr w:type="gramStart"/>
      <w:r w:rsidRPr="00E5798A">
        <w:rPr>
          <w:szCs w:val="24"/>
        </w:rPr>
        <w:t xml:space="preserve">Details of the </w:t>
      </w:r>
      <w:r w:rsidR="009B10E1" w:rsidRPr="00BC0E0B">
        <w:rPr>
          <w:i/>
        </w:rPr>
        <w:t>Health Insurance (</w:t>
      </w:r>
      <w:r w:rsidR="009B10E1">
        <w:rPr>
          <w:i/>
        </w:rPr>
        <w:t>Subs</w:t>
      </w:r>
      <w:r w:rsidR="009B10E1" w:rsidRPr="00BC0E0B">
        <w:rPr>
          <w:i/>
        </w:rPr>
        <w:t xml:space="preserve">ection 3(5) </w:t>
      </w:r>
      <w:r w:rsidR="009B10E1">
        <w:rPr>
          <w:i/>
        </w:rPr>
        <w:t>General</w:t>
      </w:r>
      <w:r w:rsidR="009B10E1" w:rsidRPr="00BC0E0B">
        <w:rPr>
          <w:i/>
        </w:rPr>
        <w:t xml:space="preserve"> </w:t>
      </w:r>
      <w:r w:rsidR="009B10E1">
        <w:rPr>
          <w:i/>
        </w:rPr>
        <w:t>P</w:t>
      </w:r>
      <w:r w:rsidR="009B10E1" w:rsidRPr="00BC0E0B">
        <w:rPr>
          <w:i/>
        </w:rPr>
        <w:t>ractitioner</w:t>
      </w:r>
      <w:r w:rsidR="009B10E1">
        <w:rPr>
          <w:i/>
        </w:rPr>
        <w:t xml:space="preserve"> P</w:t>
      </w:r>
      <w:r w:rsidR="009B10E1" w:rsidRPr="00BC0E0B">
        <w:rPr>
          <w:i/>
        </w:rPr>
        <w:t>ost-</w:t>
      </w:r>
      <w:r w:rsidR="009B10E1">
        <w:rPr>
          <w:i/>
        </w:rPr>
        <w:t>O</w:t>
      </w:r>
      <w:r w:rsidR="009B10E1" w:rsidRPr="00BC0E0B">
        <w:rPr>
          <w:i/>
        </w:rPr>
        <w:t xml:space="preserve">perative </w:t>
      </w:r>
      <w:r w:rsidR="009B10E1">
        <w:rPr>
          <w:i/>
        </w:rPr>
        <w:t>T</w:t>
      </w:r>
      <w:r w:rsidR="009B10E1" w:rsidRPr="00BC0E0B">
        <w:rPr>
          <w:i/>
        </w:rPr>
        <w:t>reatment) D</w:t>
      </w:r>
      <w:r w:rsidR="009B10E1">
        <w:rPr>
          <w:i/>
        </w:rPr>
        <w:t>irection</w:t>
      </w:r>
      <w:r w:rsidR="009B10E1" w:rsidRPr="00BC0E0B">
        <w:rPr>
          <w:i/>
        </w:rPr>
        <w:t xml:space="preserve"> 2017</w:t>
      </w:r>
      <w:r w:rsidR="00F62229" w:rsidRPr="00F62229">
        <w:rPr>
          <w:i/>
          <w:szCs w:val="24"/>
        </w:rPr>
        <w:t>.</w:t>
      </w:r>
      <w:proofErr w:type="gramEnd"/>
    </w:p>
    <w:p w14:paraId="4B12A847" w14:textId="77777777" w:rsidR="00E5798A" w:rsidRPr="00E5798A" w:rsidRDefault="00E5798A" w:rsidP="000337CB">
      <w:pPr>
        <w:pStyle w:val="BodyText"/>
        <w:rPr>
          <w:b w:val="0"/>
          <w:i/>
          <w:szCs w:val="24"/>
        </w:rPr>
      </w:pPr>
    </w:p>
    <w:p w14:paraId="2412D141" w14:textId="7A761077" w:rsidR="00FE02C2" w:rsidRPr="00E5798A" w:rsidRDefault="001B0111" w:rsidP="000337CB">
      <w:pPr>
        <w:pStyle w:val="BodyText"/>
        <w:rPr>
          <w:b w:val="0"/>
          <w:szCs w:val="24"/>
          <w:u w:val="single"/>
        </w:rPr>
      </w:pPr>
      <w:r w:rsidRPr="00E5798A">
        <w:rPr>
          <w:b w:val="0"/>
          <w:szCs w:val="24"/>
          <w:u w:val="single"/>
        </w:rPr>
        <w:t>Section 1 – Name</w:t>
      </w:r>
      <w:r w:rsidR="00967E51" w:rsidRPr="00E5798A">
        <w:rPr>
          <w:b w:val="0"/>
          <w:szCs w:val="24"/>
          <w:u w:val="single"/>
        </w:rPr>
        <w:t xml:space="preserve"> of </w:t>
      </w:r>
      <w:r w:rsidR="008E486D">
        <w:rPr>
          <w:b w:val="0"/>
          <w:szCs w:val="24"/>
          <w:u w:val="single"/>
        </w:rPr>
        <w:t>Direction</w:t>
      </w:r>
    </w:p>
    <w:p w14:paraId="2412D142" w14:textId="77777777" w:rsidR="00FE02C2" w:rsidRPr="00E5798A" w:rsidRDefault="00FE02C2" w:rsidP="000337CB">
      <w:pPr>
        <w:pStyle w:val="BodyText"/>
        <w:rPr>
          <w:b w:val="0"/>
          <w:szCs w:val="24"/>
          <w:u w:val="single"/>
        </w:rPr>
      </w:pPr>
    </w:p>
    <w:p w14:paraId="2412D143" w14:textId="7DFE89DA" w:rsidR="00967E51" w:rsidRPr="009B10E1" w:rsidRDefault="00BC7397" w:rsidP="00F83B6F">
      <w:pPr>
        <w:pStyle w:val="Heading1"/>
        <w:jc w:val="left"/>
        <w:rPr>
          <w:b w:val="0"/>
          <w:i/>
          <w:szCs w:val="24"/>
          <w:u w:val="none"/>
        </w:rPr>
      </w:pPr>
      <w:r w:rsidRPr="00E5798A">
        <w:rPr>
          <w:b w:val="0"/>
          <w:szCs w:val="24"/>
          <w:u w:val="none"/>
        </w:rPr>
        <w:t>S</w:t>
      </w:r>
      <w:r w:rsidR="00FE02C2" w:rsidRPr="00E5798A">
        <w:rPr>
          <w:b w:val="0"/>
          <w:szCs w:val="24"/>
          <w:u w:val="none"/>
        </w:rPr>
        <w:t xml:space="preserve">ection </w:t>
      </w:r>
      <w:r w:rsidRPr="00E5798A">
        <w:rPr>
          <w:b w:val="0"/>
          <w:szCs w:val="24"/>
          <w:u w:val="none"/>
        </w:rPr>
        <w:t xml:space="preserve">1 </w:t>
      </w:r>
      <w:r w:rsidR="00FE02C2" w:rsidRPr="00E5798A">
        <w:rPr>
          <w:b w:val="0"/>
          <w:szCs w:val="24"/>
          <w:u w:val="none"/>
        </w:rPr>
        <w:t>provides</w:t>
      </w:r>
      <w:r w:rsidR="008B683E" w:rsidRPr="00E5798A">
        <w:rPr>
          <w:b w:val="0"/>
          <w:szCs w:val="24"/>
          <w:u w:val="none"/>
        </w:rPr>
        <w:t xml:space="preserve"> for the </w:t>
      </w:r>
      <w:r w:rsidR="008E486D">
        <w:rPr>
          <w:b w:val="0"/>
          <w:szCs w:val="24"/>
          <w:u w:val="none"/>
        </w:rPr>
        <w:t xml:space="preserve">Direction </w:t>
      </w:r>
      <w:r w:rsidR="00FE02C2" w:rsidRPr="00E5798A">
        <w:rPr>
          <w:b w:val="0"/>
          <w:szCs w:val="24"/>
          <w:u w:val="none"/>
        </w:rPr>
        <w:t xml:space="preserve">to be referred to as the </w:t>
      </w:r>
      <w:r w:rsidR="009B10E1" w:rsidRPr="009B10E1">
        <w:rPr>
          <w:b w:val="0"/>
          <w:i/>
          <w:u w:val="none"/>
        </w:rPr>
        <w:t>Health Insurance (Subsection 3(5) General Practitioner Post-Operative Treatment) Direction 2017</w:t>
      </w:r>
      <w:r w:rsidR="00E5798A" w:rsidRPr="009B10E1">
        <w:rPr>
          <w:b w:val="0"/>
          <w:i/>
          <w:szCs w:val="24"/>
          <w:u w:val="none"/>
        </w:rPr>
        <w:t>.</w:t>
      </w:r>
    </w:p>
    <w:p w14:paraId="2412D144" w14:textId="77777777" w:rsidR="00F83B6F" w:rsidRPr="00B03218" w:rsidRDefault="00F83B6F" w:rsidP="00F83B6F">
      <w:pPr>
        <w:rPr>
          <w:highlight w:val="yellow"/>
        </w:rPr>
      </w:pPr>
    </w:p>
    <w:p w14:paraId="49D1E050" w14:textId="77777777" w:rsidR="007A4089" w:rsidRDefault="00FE02C2" w:rsidP="000337CB">
      <w:pPr>
        <w:pStyle w:val="BodyText"/>
        <w:rPr>
          <w:b w:val="0"/>
          <w:szCs w:val="24"/>
          <w:u w:val="single"/>
        </w:rPr>
      </w:pPr>
      <w:r w:rsidRPr="00E5798A">
        <w:rPr>
          <w:b w:val="0"/>
          <w:szCs w:val="24"/>
          <w:u w:val="single"/>
        </w:rPr>
        <w:t xml:space="preserve">Section 2 – Commencement </w:t>
      </w:r>
    </w:p>
    <w:p w14:paraId="2DCE2ED0" w14:textId="77777777" w:rsidR="007A4089" w:rsidRDefault="007A4089" w:rsidP="000337CB">
      <w:pPr>
        <w:pStyle w:val="BodyText"/>
        <w:rPr>
          <w:b w:val="0"/>
          <w:szCs w:val="24"/>
          <w:u w:val="single"/>
        </w:rPr>
      </w:pPr>
    </w:p>
    <w:p w14:paraId="2412D147" w14:textId="1CC2081E" w:rsidR="00FE02C2" w:rsidRPr="007A4089" w:rsidRDefault="00510A4F" w:rsidP="000337CB">
      <w:pPr>
        <w:pStyle w:val="BodyText"/>
        <w:rPr>
          <w:b w:val="0"/>
          <w:szCs w:val="24"/>
          <w:u w:val="single"/>
        </w:rPr>
      </w:pPr>
      <w:r w:rsidRPr="00E5798A">
        <w:rPr>
          <w:b w:val="0"/>
          <w:szCs w:val="24"/>
        </w:rPr>
        <w:t xml:space="preserve">Section 2 provides that the </w:t>
      </w:r>
      <w:r w:rsidR="002B7D7F">
        <w:rPr>
          <w:b w:val="0"/>
          <w:szCs w:val="24"/>
        </w:rPr>
        <w:t xml:space="preserve">Direction </w:t>
      </w:r>
      <w:r w:rsidR="00F83B6F" w:rsidRPr="00E5798A">
        <w:rPr>
          <w:b w:val="0"/>
          <w:szCs w:val="24"/>
        </w:rPr>
        <w:t>commences</w:t>
      </w:r>
      <w:r w:rsidRPr="00E5798A">
        <w:rPr>
          <w:b w:val="0"/>
          <w:szCs w:val="24"/>
        </w:rPr>
        <w:t xml:space="preserve"> on 1 </w:t>
      </w:r>
      <w:r w:rsidR="002B7D7F">
        <w:rPr>
          <w:b w:val="0"/>
          <w:szCs w:val="24"/>
        </w:rPr>
        <w:t>November</w:t>
      </w:r>
      <w:r w:rsidR="00F83B6F" w:rsidRPr="00E5798A">
        <w:rPr>
          <w:b w:val="0"/>
          <w:szCs w:val="24"/>
        </w:rPr>
        <w:t xml:space="preserve"> 2017</w:t>
      </w:r>
      <w:r w:rsidRPr="00E5798A">
        <w:rPr>
          <w:b w:val="0"/>
          <w:szCs w:val="24"/>
        </w:rPr>
        <w:t>.</w:t>
      </w:r>
    </w:p>
    <w:p w14:paraId="2412D148" w14:textId="77777777" w:rsidR="00510A4F" w:rsidRPr="00B03218" w:rsidRDefault="00510A4F" w:rsidP="000337CB">
      <w:pPr>
        <w:pStyle w:val="BodyText"/>
        <w:rPr>
          <w:b w:val="0"/>
          <w:szCs w:val="24"/>
          <w:highlight w:val="yellow"/>
        </w:rPr>
      </w:pPr>
    </w:p>
    <w:p w14:paraId="005D5660" w14:textId="77777777" w:rsidR="007A4089" w:rsidRDefault="00FE02C2" w:rsidP="000337CB">
      <w:pPr>
        <w:pStyle w:val="BodyText"/>
        <w:rPr>
          <w:b w:val="0"/>
          <w:szCs w:val="24"/>
          <w:u w:val="single"/>
        </w:rPr>
      </w:pPr>
      <w:r w:rsidRPr="00E5798A">
        <w:rPr>
          <w:b w:val="0"/>
          <w:szCs w:val="24"/>
          <w:u w:val="single"/>
        </w:rPr>
        <w:t xml:space="preserve">Section 3 – </w:t>
      </w:r>
      <w:r w:rsidR="00E5798A" w:rsidRPr="00E5798A">
        <w:rPr>
          <w:b w:val="0"/>
          <w:szCs w:val="24"/>
          <w:u w:val="single"/>
        </w:rPr>
        <w:t>Authority</w:t>
      </w:r>
    </w:p>
    <w:p w14:paraId="53BFA098" w14:textId="77777777" w:rsidR="007A4089" w:rsidRDefault="007A4089" w:rsidP="000337CB">
      <w:pPr>
        <w:pStyle w:val="BodyText"/>
        <w:rPr>
          <w:b w:val="0"/>
          <w:szCs w:val="24"/>
          <w:u w:val="single"/>
        </w:rPr>
      </w:pPr>
    </w:p>
    <w:p w14:paraId="2412D14B" w14:textId="1CC3B775" w:rsidR="00FE02C2" w:rsidRPr="007A4089" w:rsidRDefault="00F83B6F" w:rsidP="000337CB">
      <w:pPr>
        <w:pStyle w:val="BodyText"/>
        <w:rPr>
          <w:b w:val="0"/>
          <w:szCs w:val="24"/>
          <w:u w:val="single"/>
        </w:rPr>
      </w:pPr>
      <w:r w:rsidRPr="00E5798A">
        <w:rPr>
          <w:b w:val="0"/>
        </w:rPr>
        <w:t xml:space="preserve">Section 3 provides that the </w:t>
      </w:r>
      <w:r w:rsidR="002B7D7F">
        <w:rPr>
          <w:b w:val="0"/>
        </w:rPr>
        <w:t>Direction</w:t>
      </w:r>
      <w:r w:rsidRPr="00E5798A">
        <w:rPr>
          <w:b w:val="0"/>
        </w:rPr>
        <w:t xml:space="preserve"> </w:t>
      </w:r>
      <w:r w:rsidR="00E5798A" w:rsidRPr="00E5798A">
        <w:rPr>
          <w:b w:val="0"/>
        </w:rPr>
        <w:t xml:space="preserve">is made under </w:t>
      </w:r>
      <w:r w:rsidR="00A80673">
        <w:rPr>
          <w:b w:val="0"/>
        </w:rPr>
        <w:t>sub</w:t>
      </w:r>
      <w:r w:rsidR="00367440">
        <w:rPr>
          <w:b w:val="0"/>
        </w:rPr>
        <w:t xml:space="preserve">section </w:t>
      </w:r>
      <w:r w:rsidR="00E5798A" w:rsidRPr="00E5798A">
        <w:rPr>
          <w:b w:val="0"/>
        </w:rPr>
        <w:t>3(</w:t>
      </w:r>
      <w:r w:rsidR="00282E62">
        <w:rPr>
          <w:b w:val="0"/>
        </w:rPr>
        <w:t>5</w:t>
      </w:r>
      <w:r w:rsidR="00E5798A" w:rsidRPr="00E5798A">
        <w:rPr>
          <w:b w:val="0"/>
        </w:rPr>
        <w:t xml:space="preserve">) of the </w:t>
      </w:r>
      <w:r w:rsidR="00E5798A" w:rsidRPr="00E5798A">
        <w:rPr>
          <w:b w:val="0"/>
          <w:i/>
        </w:rPr>
        <w:t>Health Insurance Act 1973</w:t>
      </w:r>
      <w:r w:rsidR="00E5798A" w:rsidRPr="00E5798A">
        <w:rPr>
          <w:b w:val="0"/>
        </w:rPr>
        <w:t>.</w:t>
      </w:r>
    </w:p>
    <w:p w14:paraId="58A4E4A6" w14:textId="77777777" w:rsidR="00E5798A" w:rsidRDefault="00E5798A" w:rsidP="00E5798A">
      <w:pPr>
        <w:pStyle w:val="BodyText"/>
        <w:rPr>
          <w:b w:val="0"/>
          <w:szCs w:val="24"/>
          <w:u w:val="single"/>
        </w:rPr>
      </w:pPr>
    </w:p>
    <w:p w14:paraId="303EC06F" w14:textId="29230DE5" w:rsidR="001A25F7" w:rsidRDefault="00E5798A" w:rsidP="00E5798A">
      <w:pPr>
        <w:pStyle w:val="BodyText"/>
        <w:rPr>
          <w:b w:val="0"/>
          <w:szCs w:val="24"/>
          <w:u w:val="single"/>
        </w:rPr>
      </w:pPr>
      <w:r>
        <w:rPr>
          <w:b w:val="0"/>
          <w:szCs w:val="24"/>
          <w:u w:val="single"/>
        </w:rPr>
        <w:t>Section 4</w:t>
      </w:r>
      <w:r w:rsidRPr="00E5798A">
        <w:rPr>
          <w:b w:val="0"/>
          <w:szCs w:val="24"/>
          <w:u w:val="single"/>
        </w:rPr>
        <w:t xml:space="preserve"> – </w:t>
      </w:r>
      <w:r w:rsidR="001A25F7">
        <w:rPr>
          <w:b w:val="0"/>
          <w:szCs w:val="24"/>
          <w:u w:val="single"/>
        </w:rPr>
        <w:t>Interpretation</w:t>
      </w:r>
    </w:p>
    <w:p w14:paraId="017CBB1E" w14:textId="77777777" w:rsidR="001A25F7" w:rsidRDefault="001A25F7" w:rsidP="00E5798A">
      <w:pPr>
        <w:pStyle w:val="BodyText"/>
        <w:rPr>
          <w:b w:val="0"/>
          <w:szCs w:val="24"/>
          <w:u w:val="single"/>
        </w:rPr>
      </w:pPr>
    </w:p>
    <w:p w14:paraId="40D8D32C" w14:textId="592A212D" w:rsidR="001A25F7" w:rsidRPr="00BC32C4" w:rsidRDefault="001A25F7" w:rsidP="00E5798A">
      <w:pPr>
        <w:pStyle w:val="BodyText"/>
        <w:rPr>
          <w:b w:val="0"/>
          <w:szCs w:val="24"/>
        </w:rPr>
      </w:pPr>
      <w:r>
        <w:rPr>
          <w:b w:val="0"/>
          <w:szCs w:val="24"/>
        </w:rPr>
        <w:t xml:space="preserve">Section 4 defines terms used in the Direction. </w:t>
      </w:r>
    </w:p>
    <w:p w14:paraId="497B1156" w14:textId="77777777" w:rsidR="001A25F7" w:rsidRDefault="001A25F7" w:rsidP="00E5798A">
      <w:pPr>
        <w:pStyle w:val="BodyText"/>
        <w:rPr>
          <w:b w:val="0"/>
          <w:szCs w:val="24"/>
          <w:u w:val="single"/>
        </w:rPr>
      </w:pPr>
    </w:p>
    <w:p w14:paraId="1154E909" w14:textId="77777777" w:rsidR="001A25F7" w:rsidRDefault="001A25F7" w:rsidP="00E5798A">
      <w:pPr>
        <w:pStyle w:val="BodyText"/>
        <w:rPr>
          <w:b w:val="0"/>
          <w:szCs w:val="24"/>
          <w:u w:val="single"/>
        </w:rPr>
      </w:pPr>
    </w:p>
    <w:p w14:paraId="24D69F2A" w14:textId="1A41DB6E" w:rsidR="00E5798A" w:rsidRDefault="001A25F7" w:rsidP="00E5798A">
      <w:pPr>
        <w:pStyle w:val="BodyText"/>
        <w:rPr>
          <w:b w:val="0"/>
          <w:szCs w:val="24"/>
          <w:u w:val="single"/>
        </w:rPr>
      </w:pPr>
      <w:r>
        <w:rPr>
          <w:b w:val="0"/>
          <w:szCs w:val="24"/>
          <w:u w:val="single"/>
        </w:rPr>
        <w:t xml:space="preserve">Section 5 – </w:t>
      </w:r>
      <w:r w:rsidR="00282E62">
        <w:rPr>
          <w:b w:val="0"/>
          <w:szCs w:val="24"/>
          <w:u w:val="single"/>
        </w:rPr>
        <w:t xml:space="preserve">Direction </w:t>
      </w:r>
    </w:p>
    <w:p w14:paraId="33C47B95" w14:textId="77777777" w:rsidR="00E5798A" w:rsidRDefault="00E5798A" w:rsidP="00E5798A">
      <w:pPr>
        <w:pStyle w:val="BodyText"/>
        <w:rPr>
          <w:b w:val="0"/>
          <w:szCs w:val="24"/>
          <w:u w:val="single"/>
        </w:rPr>
      </w:pPr>
    </w:p>
    <w:p w14:paraId="4EEBFB7C" w14:textId="6B8BCCE6" w:rsidR="00476D56" w:rsidRDefault="00E5798A" w:rsidP="00282E62">
      <w:pPr>
        <w:pStyle w:val="BodyText"/>
        <w:rPr>
          <w:b w:val="0"/>
        </w:rPr>
      </w:pPr>
      <w:r w:rsidRPr="00E5798A">
        <w:rPr>
          <w:b w:val="0"/>
        </w:rPr>
        <w:t xml:space="preserve">Section </w:t>
      </w:r>
      <w:r w:rsidR="001A25F7">
        <w:rPr>
          <w:b w:val="0"/>
        </w:rPr>
        <w:t>5</w:t>
      </w:r>
      <w:r w:rsidRPr="00E5798A">
        <w:rPr>
          <w:b w:val="0"/>
        </w:rPr>
        <w:t xml:space="preserve"> </w:t>
      </w:r>
      <w:r w:rsidR="00282E62">
        <w:rPr>
          <w:b w:val="0"/>
        </w:rPr>
        <w:t>provides that</w:t>
      </w:r>
      <w:r w:rsidR="00476D56">
        <w:rPr>
          <w:b w:val="0"/>
        </w:rPr>
        <w:t xml:space="preserve"> certain professional services that would otherwise be deemed by subsection 3(5) of the Act to include any necessary post-operative professional attendance services do not include </w:t>
      </w:r>
      <w:r w:rsidR="00B20691">
        <w:rPr>
          <w:b w:val="0"/>
        </w:rPr>
        <w:t xml:space="preserve">necessary </w:t>
      </w:r>
      <w:r w:rsidR="00476D56">
        <w:rPr>
          <w:b w:val="0"/>
        </w:rPr>
        <w:t>post-operative professional attendance services</w:t>
      </w:r>
      <w:r w:rsidR="00947795">
        <w:rPr>
          <w:b w:val="0"/>
        </w:rPr>
        <w:t>, where those services</w:t>
      </w:r>
      <w:r w:rsidR="00476D56">
        <w:rPr>
          <w:b w:val="0"/>
        </w:rPr>
        <w:t xml:space="preserve"> are rendered by a </w:t>
      </w:r>
      <w:r w:rsidR="008055F5">
        <w:rPr>
          <w:b w:val="0"/>
        </w:rPr>
        <w:t xml:space="preserve">medical </w:t>
      </w:r>
      <w:r w:rsidR="00476D56">
        <w:rPr>
          <w:b w:val="0"/>
        </w:rPr>
        <w:t xml:space="preserve">practitioner </w:t>
      </w:r>
      <w:r w:rsidR="008055F5">
        <w:rPr>
          <w:b w:val="0"/>
        </w:rPr>
        <w:t xml:space="preserve">practising in general practice </w:t>
      </w:r>
      <w:r w:rsidR="00476D56">
        <w:rPr>
          <w:b w:val="0"/>
        </w:rPr>
        <w:t xml:space="preserve">who </w:t>
      </w:r>
      <w:r w:rsidR="008055F5">
        <w:rPr>
          <w:b w:val="0"/>
        </w:rPr>
        <w:t xml:space="preserve">is not a specialist or consultant physician and who </w:t>
      </w:r>
      <w:r w:rsidR="00476D56">
        <w:rPr>
          <w:b w:val="0"/>
        </w:rPr>
        <w:t>did not render the initial service.</w:t>
      </w:r>
    </w:p>
    <w:p w14:paraId="5BF8CD24" w14:textId="77777777" w:rsidR="00947795" w:rsidRDefault="00947795" w:rsidP="00282E62">
      <w:pPr>
        <w:pStyle w:val="BodyText"/>
        <w:rPr>
          <w:b w:val="0"/>
        </w:rPr>
      </w:pPr>
    </w:p>
    <w:p w14:paraId="72E2B60B" w14:textId="782938D4" w:rsidR="00947795" w:rsidRDefault="00947795" w:rsidP="00282E62">
      <w:pPr>
        <w:pStyle w:val="BodyText"/>
        <w:rPr>
          <w:b w:val="0"/>
        </w:rPr>
      </w:pPr>
      <w:r>
        <w:rPr>
          <w:b w:val="0"/>
        </w:rPr>
        <w:t xml:space="preserve">Subsection 5(1) provides </w:t>
      </w:r>
      <w:r w:rsidR="001E29B4">
        <w:rPr>
          <w:b w:val="0"/>
        </w:rPr>
        <w:t>that, subject to subsection 5(2), a professional service of the</w:t>
      </w:r>
      <w:r>
        <w:rPr>
          <w:b w:val="0"/>
        </w:rPr>
        <w:t xml:space="preserve"> kind </w:t>
      </w:r>
      <w:r w:rsidR="001E29B4">
        <w:rPr>
          <w:b w:val="0"/>
        </w:rPr>
        <w:t>referred to in</w:t>
      </w:r>
      <w:r>
        <w:rPr>
          <w:b w:val="0"/>
        </w:rPr>
        <w:t xml:space="preserve"> subsection 3(5) of the Act does not include a professional service that is necessary for the post-operative treatment of the person to whom the service was rendered</w:t>
      </w:r>
      <w:r w:rsidR="00F040F7">
        <w:rPr>
          <w:b w:val="0"/>
        </w:rPr>
        <w:t>, if that professional service is rendered by a medical practitioner practising in general practice. This includes general practitioners, but does not include specialists or consultant physicians</w:t>
      </w:r>
      <w:r>
        <w:rPr>
          <w:b w:val="0"/>
        </w:rPr>
        <w:t>.</w:t>
      </w:r>
    </w:p>
    <w:p w14:paraId="3D1584A7" w14:textId="77777777" w:rsidR="001E29B4" w:rsidRDefault="001E29B4" w:rsidP="00282E62">
      <w:pPr>
        <w:pStyle w:val="BodyText"/>
        <w:rPr>
          <w:b w:val="0"/>
        </w:rPr>
      </w:pPr>
    </w:p>
    <w:p w14:paraId="7D8EBE1A" w14:textId="66F2EB26" w:rsidR="001E29B4" w:rsidRDefault="001E29B4" w:rsidP="00282E62">
      <w:pPr>
        <w:pStyle w:val="BodyText"/>
        <w:rPr>
          <w:b w:val="0"/>
        </w:rPr>
      </w:pPr>
      <w:r>
        <w:rPr>
          <w:b w:val="0"/>
        </w:rPr>
        <w:t xml:space="preserve">Subsection 5(2) provides that subsection 5(1) does not apply where </w:t>
      </w:r>
      <w:r w:rsidR="004F21EC">
        <w:rPr>
          <w:b w:val="0"/>
        </w:rPr>
        <w:t xml:space="preserve">the </w:t>
      </w:r>
      <w:r>
        <w:rPr>
          <w:b w:val="0"/>
        </w:rPr>
        <w:t>initial service and the post-operative professional attendance service are both rendered by the same practitioner.</w:t>
      </w:r>
    </w:p>
    <w:p w14:paraId="723B794B" w14:textId="77777777" w:rsidR="00476D56" w:rsidRDefault="00476D56" w:rsidP="00282E62">
      <w:pPr>
        <w:pStyle w:val="BodyText"/>
        <w:rPr>
          <w:b w:val="0"/>
        </w:rPr>
      </w:pPr>
    </w:p>
    <w:p w14:paraId="5C82EA46" w14:textId="085FD413" w:rsidR="007A4089" w:rsidRDefault="00282E62" w:rsidP="00282E62">
      <w:pPr>
        <w:pStyle w:val="BodyText"/>
        <w:rPr>
          <w:b w:val="0"/>
        </w:rPr>
      </w:pPr>
      <w:r>
        <w:rPr>
          <w:b w:val="0"/>
        </w:rPr>
        <w:t xml:space="preserve"> </w:t>
      </w:r>
    </w:p>
    <w:p w14:paraId="4A0FF1D7" w14:textId="77777777" w:rsidR="007A4089" w:rsidRDefault="007A4089" w:rsidP="007A4089">
      <w:pPr>
        <w:pStyle w:val="BodyText"/>
        <w:rPr>
          <w:b w:val="0"/>
        </w:rPr>
      </w:pPr>
    </w:p>
    <w:p w14:paraId="0B1BC339" w14:textId="77777777" w:rsidR="00E5798A" w:rsidRDefault="00E5798A" w:rsidP="000337CB">
      <w:pPr>
        <w:pStyle w:val="BodyText"/>
        <w:rPr>
          <w:b w:val="0"/>
        </w:rPr>
      </w:pPr>
    </w:p>
    <w:p w14:paraId="39015BC9" w14:textId="77777777" w:rsidR="00E5798A" w:rsidRPr="00E5798A" w:rsidRDefault="00E5798A" w:rsidP="000337CB">
      <w:pPr>
        <w:pStyle w:val="BodyText"/>
        <w:rPr>
          <w:b w:val="0"/>
          <w:i/>
        </w:rPr>
      </w:pPr>
    </w:p>
    <w:p w14:paraId="2412D14C" w14:textId="77777777" w:rsidR="00FE02C2" w:rsidRPr="00B03218" w:rsidRDefault="00FE02C2" w:rsidP="000337CB">
      <w:pPr>
        <w:pStyle w:val="Header"/>
        <w:tabs>
          <w:tab w:val="clear" w:pos="4153"/>
          <w:tab w:val="clear" w:pos="8306"/>
          <w:tab w:val="num" w:pos="1080"/>
        </w:tabs>
        <w:rPr>
          <w:szCs w:val="24"/>
          <w:highlight w:val="yellow"/>
        </w:rPr>
      </w:pPr>
    </w:p>
    <w:p w14:paraId="2412D14D" w14:textId="77777777" w:rsidR="00F83B6F" w:rsidRPr="00B03218" w:rsidRDefault="00F83B6F">
      <w:pPr>
        <w:spacing w:after="200" w:line="276" w:lineRule="auto"/>
        <w:rPr>
          <w:b/>
          <w:sz w:val="28"/>
          <w:szCs w:val="28"/>
          <w:highlight w:val="yellow"/>
        </w:rPr>
      </w:pPr>
      <w:r w:rsidRPr="00B03218">
        <w:rPr>
          <w:b/>
          <w:sz w:val="28"/>
          <w:szCs w:val="28"/>
          <w:highlight w:val="yellow"/>
        </w:rPr>
        <w:br w:type="page"/>
      </w:r>
    </w:p>
    <w:p w14:paraId="2412D14E" w14:textId="77777777" w:rsidR="00A17F2C" w:rsidRPr="0079191B" w:rsidRDefault="00A17F2C" w:rsidP="000337CB">
      <w:pPr>
        <w:spacing w:before="360" w:after="120"/>
        <w:jc w:val="center"/>
        <w:rPr>
          <w:b/>
          <w:sz w:val="28"/>
          <w:szCs w:val="28"/>
        </w:rPr>
      </w:pPr>
      <w:r w:rsidRPr="0079191B">
        <w:rPr>
          <w:b/>
          <w:sz w:val="28"/>
          <w:szCs w:val="28"/>
        </w:rPr>
        <w:lastRenderedPageBreak/>
        <w:t>Statement of Compatibility with Human Rights</w:t>
      </w:r>
    </w:p>
    <w:p w14:paraId="2412D14F" w14:textId="77777777" w:rsidR="00A17F2C" w:rsidRPr="0079191B" w:rsidRDefault="00A17F2C" w:rsidP="000337CB">
      <w:pPr>
        <w:spacing w:before="120" w:after="120"/>
        <w:jc w:val="center"/>
        <w:rPr>
          <w:szCs w:val="24"/>
        </w:rPr>
      </w:pPr>
      <w:r w:rsidRPr="0079191B">
        <w:rPr>
          <w:i/>
          <w:szCs w:val="24"/>
        </w:rPr>
        <w:t>Prepared in accordance with Part 3 of the Human Rights (Parliamentary Scrutiny) Act 2011</w:t>
      </w:r>
    </w:p>
    <w:p w14:paraId="2412D150" w14:textId="77777777" w:rsidR="00A17F2C" w:rsidRPr="0079191B" w:rsidRDefault="00A17F2C" w:rsidP="000337CB">
      <w:pPr>
        <w:spacing w:before="120" w:after="120"/>
        <w:jc w:val="center"/>
        <w:rPr>
          <w:szCs w:val="24"/>
        </w:rPr>
      </w:pPr>
    </w:p>
    <w:p w14:paraId="37EFCC30" w14:textId="123CEDFC" w:rsidR="0079191B" w:rsidRPr="009B10E1" w:rsidRDefault="009B10E1" w:rsidP="000337CB">
      <w:pPr>
        <w:tabs>
          <w:tab w:val="left" w:pos="1418"/>
        </w:tabs>
        <w:ind w:left="851"/>
        <w:jc w:val="center"/>
        <w:rPr>
          <w:b/>
          <w:i/>
        </w:rPr>
      </w:pPr>
      <w:r w:rsidRPr="009B10E1">
        <w:rPr>
          <w:b/>
          <w:i/>
        </w:rPr>
        <w:t>Health Insurance (Subsection 3(5) General Practitioner Post-Operative Treatment) Direction 2017</w:t>
      </w:r>
    </w:p>
    <w:p w14:paraId="46829A10" w14:textId="77777777" w:rsidR="009B10E1" w:rsidRPr="0079191B" w:rsidRDefault="009B10E1" w:rsidP="000337CB">
      <w:pPr>
        <w:tabs>
          <w:tab w:val="left" w:pos="1418"/>
        </w:tabs>
        <w:ind w:left="851"/>
        <w:jc w:val="center"/>
        <w:rPr>
          <w:b/>
          <w:i/>
          <w:szCs w:val="24"/>
        </w:rPr>
      </w:pPr>
    </w:p>
    <w:p w14:paraId="2412D153" w14:textId="49467E54" w:rsidR="00A17F2C" w:rsidRPr="0079191B" w:rsidRDefault="00A17F2C" w:rsidP="000337CB">
      <w:pPr>
        <w:jc w:val="center"/>
        <w:rPr>
          <w:szCs w:val="24"/>
        </w:rPr>
      </w:pPr>
      <w:r w:rsidRPr="0079191B">
        <w:rPr>
          <w:szCs w:val="24"/>
        </w:rPr>
        <w:t xml:space="preserve">This </w:t>
      </w:r>
      <w:r w:rsidR="00E47481">
        <w:rPr>
          <w:szCs w:val="24"/>
        </w:rPr>
        <w:t xml:space="preserve">Disallowable </w:t>
      </w:r>
      <w:r w:rsidRPr="0079191B">
        <w:rPr>
          <w:szCs w:val="24"/>
        </w:rPr>
        <w:t xml:space="preserve">Legislative Instrument is compatible with the human rights and freedoms recognised or declared in the international instruments listed in section 3 of the </w:t>
      </w:r>
      <w:r w:rsidRPr="0079191B">
        <w:rPr>
          <w:i/>
          <w:szCs w:val="24"/>
        </w:rPr>
        <w:t>Human Rights (Parliamentary Scrutiny) Act 2011</w:t>
      </w:r>
      <w:r w:rsidRPr="0079191B">
        <w:rPr>
          <w:szCs w:val="24"/>
        </w:rPr>
        <w:t>.</w:t>
      </w:r>
    </w:p>
    <w:p w14:paraId="2412D154" w14:textId="77777777" w:rsidR="00A17F2C" w:rsidRPr="00B03218" w:rsidRDefault="00A17F2C" w:rsidP="000337CB">
      <w:pPr>
        <w:jc w:val="center"/>
        <w:rPr>
          <w:szCs w:val="24"/>
          <w:highlight w:val="yellow"/>
        </w:rPr>
      </w:pPr>
    </w:p>
    <w:p w14:paraId="2D7642A1" w14:textId="6E743AD0" w:rsidR="006A029B" w:rsidRDefault="00A17F2C" w:rsidP="004F20B0">
      <w:pPr>
        <w:rPr>
          <w:b/>
          <w:szCs w:val="24"/>
        </w:rPr>
      </w:pPr>
      <w:r w:rsidRPr="0079191B">
        <w:rPr>
          <w:b/>
          <w:szCs w:val="24"/>
        </w:rPr>
        <w:t xml:space="preserve">Overview of the </w:t>
      </w:r>
      <w:r w:rsidR="00E47481">
        <w:rPr>
          <w:b/>
          <w:szCs w:val="24"/>
        </w:rPr>
        <w:t xml:space="preserve">Disallowable </w:t>
      </w:r>
      <w:r w:rsidRPr="0079191B">
        <w:rPr>
          <w:b/>
          <w:szCs w:val="24"/>
        </w:rPr>
        <w:t>Legislative Instrument</w:t>
      </w:r>
    </w:p>
    <w:p w14:paraId="5B1A5B43" w14:textId="3C75C25B" w:rsidR="00357BC0" w:rsidRDefault="00357BC0" w:rsidP="00616DC1">
      <w:pPr>
        <w:ind w:right="-483"/>
        <w:rPr>
          <w:szCs w:val="24"/>
        </w:rPr>
      </w:pPr>
      <w:r>
        <w:rPr>
          <w:szCs w:val="24"/>
        </w:rPr>
        <w:t xml:space="preserve">Subsection 3(5) of the Act generally operates so that </w:t>
      </w:r>
      <w:r w:rsidRPr="00B4308A">
        <w:rPr>
          <w:szCs w:val="24"/>
        </w:rPr>
        <w:t>a</w:t>
      </w:r>
      <w:r>
        <w:rPr>
          <w:szCs w:val="24"/>
        </w:rPr>
        <w:t xml:space="preserve"> Medicare </w:t>
      </w:r>
      <w:r w:rsidRPr="00B4308A">
        <w:rPr>
          <w:szCs w:val="24"/>
        </w:rPr>
        <w:t xml:space="preserve">benefit </w:t>
      </w:r>
      <w:r>
        <w:rPr>
          <w:szCs w:val="24"/>
        </w:rPr>
        <w:t xml:space="preserve">is not payable </w:t>
      </w:r>
      <w:r w:rsidRPr="00B4308A">
        <w:rPr>
          <w:szCs w:val="24"/>
        </w:rPr>
        <w:t xml:space="preserve">for a </w:t>
      </w:r>
      <w:r>
        <w:rPr>
          <w:szCs w:val="24"/>
        </w:rPr>
        <w:t xml:space="preserve">person who has received a service that is not a professional attendance service, and subsequently receives a </w:t>
      </w:r>
      <w:r w:rsidRPr="00B4308A">
        <w:rPr>
          <w:szCs w:val="24"/>
        </w:rPr>
        <w:t xml:space="preserve">professional attendance </w:t>
      </w:r>
      <w:r>
        <w:rPr>
          <w:szCs w:val="24"/>
        </w:rPr>
        <w:t>service that is necessary for</w:t>
      </w:r>
      <w:r w:rsidRPr="00B4308A">
        <w:rPr>
          <w:szCs w:val="24"/>
        </w:rPr>
        <w:t xml:space="preserve"> post-operative treatment </w:t>
      </w:r>
      <w:r>
        <w:rPr>
          <w:szCs w:val="24"/>
        </w:rPr>
        <w:t>purposes. The period during which the restriction typically applies is known as the aftercare period.</w:t>
      </w:r>
      <w:r w:rsidRPr="00B4308A">
        <w:rPr>
          <w:szCs w:val="24"/>
        </w:rPr>
        <w:t xml:space="preserve"> The</w:t>
      </w:r>
      <w:r>
        <w:rPr>
          <w:szCs w:val="24"/>
        </w:rPr>
        <w:t xml:space="preserve"> Government agreed to the </w:t>
      </w:r>
      <w:r w:rsidRPr="00B4308A">
        <w:rPr>
          <w:szCs w:val="24"/>
        </w:rPr>
        <w:t>M</w:t>
      </w:r>
      <w:r>
        <w:rPr>
          <w:szCs w:val="24"/>
        </w:rPr>
        <w:t xml:space="preserve">edicare </w:t>
      </w:r>
      <w:r w:rsidRPr="00B4308A">
        <w:rPr>
          <w:szCs w:val="24"/>
        </w:rPr>
        <w:t>B</w:t>
      </w:r>
      <w:r>
        <w:rPr>
          <w:szCs w:val="24"/>
        </w:rPr>
        <w:t xml:space="preserve">enefit </w:t>
      </w:r>
      <w:r w:rsidRPr="00B4308A">
        <w:rPr>
          <w:szCs w:val="24"/>
        </w:rPr>
        <w:t>S</w:t>
      </w:r>
      <w:r>
        <w:rPr>
          <w:szCs w:val="24"/>
        </w:rPr>
        <w:t>chedule (MBS)</w:t>
      </w:r>
      <w:r w:rsidRPr="00B4308A">
        <w:rPr>
          <w:szCs w:val="24"/>
        </w:rPr>
        <w:t xml:space="preserve"> Review Taskforce</w:t>
      </w:r>
      <w:r>
        <w:rPr>
          <w:szCs w:val="24"/>
        </w:rPr>
        <w:t>’s</w:t>
      </w:r>
      <w:r w:rsidRPr="00B4308A">
        <w:rPr>
          <w:szCs w:val="24"/>
        </w:rPr>
        <w:t xml:space="preserve"> recommend</w:t>
      </w:r>
      <w:r>
        <w:rPr>
          <w:szCs w:val="24"/>
        </w:rPr>
        <w:t xml:space="preserve">ation to remove this restriction </w:t>
      </w:r>
      <w:r w:rsidRPr="00C21BAC">
        <w:rPr>
          <w:szCs w:val="24"/>
        </w:rPr>
        <w:t>for non-referred</w:t>
      </w:r>
      <w:r>
        <w:rPr>
          <w:szCs w:val="24"/>
        </w:rPr>
        <w:t xml:space="preserve"> general practitioner</w:t>
      </w:r>
      <w:r w:rsidRPr="00C21BAC">
        <w:rPr>
          <w:szCs w:val="24"/>
        </w:rPr>
        <w:t xml:space="preserve"> </w:t>
      </w:r>
      <w:r>
        <w:rPr>
          <w:szCs w:val="24"/>
        </w:rPr>
        <w:t>(</w:t>
      </w:r>
      <w:r w:rsidRPr="00616DC1">
        <w:rPr>
          <w:szCs w:val="24"/>
        </w:rPr>
        <w:t>GP</w:t>
      </w:r>
      <w:r>
        <w:rPr>
          <w:szCs w:val="24"/>
        </w:rPr>
        <w:t>)</w:t>
      </w:r>
      <w:r w:rsidRPr="00616DC1">
        <w:rPr>
          <w:szCs w:val="24"/>
        </w:rPr>
        <w:t xml:space="preserve"> </w:t>
      </w:r>
      <w:r>
        <w:rPr>
          <w:szCs w:val="24"/>
        </w:rPr>
        <w:t>professional attendances in the aftercare period</w:t>
      </w:r>
      <w:r w:rsidRPr="00C21BAC">
        <w:rPr>
          <w:szCs w:val="24"/>
        </w:rPr>
        <w:t>.</w:t>
      </w:r>
    </w:p>
    <w:p w14:paraId="1D2C02D7" w14:textId="77777777" w:rsidR="00357BC0" w:rsidRDefault="00357BC0" w:rsidP="00616DC1">
      <w:pPr>
        <w:ind w:right="-483"/>
        <w:rPr>
          <w:szCs w:val="24"/>
        </w:rPr>
      </w:pPr>
    </w:p>
    <w:p w14:paraId="525579C7" w14:textId="1F5F1BCD" w:rsidR="00616DC1" w:rsidRDefault="00616DC1" w:rsidP="00616DC1">
      <w:pPr>
        <w:ind w:right="-483"/>
        <w:rPr>
          <w:szCs w:val="24"/>
        </w:rPr>
      </w:pPr>
      <w:r w:rsidRPr="00B4308A">
        <w:rPr>
          <w:szCs w:val="24"/>
        </w:rPr>
        <w:t xml:space="preserve">The aftercare rule will still apply when the follow-up care is provided by the </w:t>
      </w:r>
      <w:r>
        <w:rPr>
          <w:szCs w:val="24"/>
        </w:rPr>
        <w:t xml:space="preserve">medical </w:t>
      </w:r>
      <w:r w:rsidRPr="00B4308A">
        <w:rPr>
          <w:szCs w:val="24"/>
        </w:rPr>
        <w:t xml:space="preserve">practitioner </w:t>
      </w:r>
      <w:r>
        <w:rPr>
          <w:szCs w:val="24"/>
        </w:rPr>
        <w:t>including</w:t>
      </w:r>
      <w:r w:rsidRPr="00B4308A">
        <w:rPr>
          <w:szCs w:val="24"/>
        </w:rPr>
        <w:t xml:space="preserve"> </w:t>
      </w:r>
      <w:r w:rsidR="00E35FD0">
        <w:rPr>
          <w:szCs w:val="24"/>
        </w:rPr>
        <w:t>GPs,</w:t>
      </w:r>
      <w:r w:rsidRPr="00B4308A">
        <w:rPr>
          <w:szCs w:val="24"/>
        </w:rPr>
        <w:t xml:space="preserve"> who performed the procedure.</w:t>
      </w:r>
    </w:p>
    <w:p w14:paraId="342D9705" w14:textId="77777777" w:rsidR="00616DC1" w:rsidRDefault="00616DC1" w:rsidP="00616DC1">
      <w:pPr>
        <w:ind w:right="-483"/>
        <w:rPr>
          <w:szCs w:val="24"/>
        </w:rPr>
      </w:pPr>
    </w:p>
    <w:p w14:paraId="5407587B" w14:textId="3AB89B2A" w:rsidR="00616DC1" w:rsidRPr="00B4308A" w:rsidRDefault="00616DC1" w:rsidP="00616DC1">
      <w:pPr>
        <w:ind w:right="-483"/>
        <w:rPr>
          <w:szCs w:val="24"/>
        </w:rPr>
      </w:pPr>
      <w:r w:rsidRPr="00B4308A">
        <w:rPr>
          <w:szCs w:val="24"/>
        </w:rPr>
        <w:t xml:space="preserve">This will improve access to post-operative care for patients who are not able to return to the original </w:t>
      </w:r>
      <w:r>
        <w:rPr>
          <w:szCs w:val="24"/>
        </w:rPr>
        <w:t xml:space="preserve">medical </w:t>
      </w:r>
      <w:r w:rsidRPr="00B4308A">
        <w:rPr>
          <w:szCs w:val="24"/>
        </w:rPr>
        <w:t>practitioner (usually a specialist) to receive post-operative care</w:t>
      </w:r>
      <w:r w:rsidR="00AB0C9D" w:rsidRPr="00AB0C9D">
        <w:rPr>
          <w:szCs w:val="24"/>
        </w:rPr>
        <w:t>.</w:t>
      </w:r>
      <w:r w:rsidRPr="00B4308A">
        <w:rPr>
          <w:szCs w:val="24"/>
        </w:rPr>
        <w:t xml:space="preserve"> </w:t>
      </w:r>
    </w:p>
    <w:p w14:paraId="2412D15C" w14:textId="77777777" w:rsidR="00A17F2C" w:rsidRPr="0079191B" w:rsidRDefault="00A17F2C" w:rsidP="000337CB">
      <w:pPr>
        <w:spacing w:before="120" w:after="120"/>
        <w:rPr>
          <w:b/>
          <w:szCs w:val="24"/>
        </w:rPr>
      </w:pPr>
      <w:r w:rsidRPr="0079191B">
        <w:rPr>
          <w:b/>
          <w:szCs w:val="24"/>
        </w:rPr>
        <w:t>Human rights implications</w:t>
      </w:r>
    </w:p>
    <w:p w14:paraId="2412D15D" w14:textId="4075B574" w:rsidR="00A17F2C" w:rsidRPr="0079191B" w:rsidRDefault="008B683E" w:rsidP="000337CB">
      <w:pPr>
        <w:spacing w:before="120" w:after="120"/>
        <w:rPr>
          <w:szCs w:val="24"/>
        </w:rPr>
      </w:pPr>
      <w:r w:rsidRPr="0079191B">
        <w:rPr>
          <w:szCs w:val="24"/>
        </w:rPr>
        <w:t xml:space="preserve">The </w:t>
      </w:r>
      <w:r w:rsidR="00004029">
        <w:rPr>
          <w:szCs w:val="24"/>
        </w:rPr>
        <w:t xml:space="preserve">Direction </w:t>
      </w:r>
      <w:r w:rsidR="00A17F2C" w:rsidRPr="0079191B">
        <w:rPr>
          <w:szCs w:val="24"/>
        </w:rPr>
        <w:t>engage</w:t>
      </w:r>
      <w:r w:rsidR="00004029">
        <w:rPr>
          <w:szCs w:val="24"/>
        </w:rPr>
        <w:t>s</w:t>
      </w:r>
      <w:r w:rsidR="00A17F2C" w:rsidRPr="0079191B">
        <w:rPr>
          <w:szCs w:val="24"/>
        </w:rPr>
        <w:t xml:space="preserve"> Articles </w:t>
      </w:r>
      <w:r w:rsidR="002B7177" w:rsidRPr="0079191B">
        <w:rPr>
          <w:szCs w:val="24"/>
        </w:rPr>
        <w:t xml:space="preserve">9 </w:t>
      </w:r>
      <w:r w:rsidR="00A17F2C" w:rsidRPr="0079191B">
        <w:rPr>
          <w:szCs w:val="24"/>
        </w:rPr>
        <w:t xml:space="preserve">and 12 of the International Covenant on Economic Social and Cultural Rights (ICESCR), specifically the rights to health and social security. </w:t>
      </w:r>
    </w:p>
    <w:p w14:paraId="2412D15E" w14:textId="77777777" w:rsidR="00A17F2C" w:rsidRPr="0079191B" w:rsidRDefault="00A17F2C" w:rsidP="000337CB">
      <w:pPr>
        <w:spacing w:before="120" w:after="120"/>
        <w:rPr>
          <w:i/>
          <w:szCs w:val="24"/>
        </w:rPr>
      </w:pPr>
      <w:r w:rsidRPr="0079191B">
        <w:rPr>
          <w:i/>
          <w:szCs w:val="24"/>
        </w:rPr>
        <w:t>The Right to Health</w:t>
      </w:r>
    </w:p>
    <w:p w14:paraId="2412D15F" w14:textId="77777777" w:rsidR="00A17F2C" w:rsidRPr="0079191B" w:rsidRDefault="00A17F2C" w:rsidP="000337CB">
      <w:pPr>
        <w:spacing w:before="120" w:after="120"/>
        <w:rPr>
          <w:szCs w:val="24"/>
        </w:rPr>
      </w:pPr>
      <w:r w:rsidRPr="0079191B">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79191B" w:rsidRDefault="00A17F2C" w:rsidP="000337CB">
      <w:pPr>
        <w:spacing w:before="120" w:after="120"/>
        <w:rPr>
          <w:szCs w:val="24"/>
        </w:rPr>
      </w:pPr>
      <w:r w:rsidRPr="0079191B">
        <w:rPr>
          <w:szCs w:val="24"/>
        </w:rPr>
        <w:t xml:space="preserve">The Committee reports that the </w:t>
      </w:r>
      <w:r w:rsidRPr="0079191B">
        <w:rPr>
          <w:i/>
          <w:szCs w:val="24"/>
        </w:rPr>
        <w:t>‘highest attainable standard of health’</w:t>
      </w:r>
      <w:r w:rsidRPr="0079191B">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77777777" w:rsidR="00A17F2C" w:rsidRPr="0079191B" w:rsidRDefault="00A17F2C" w:rsidP="000337CB">
      <w:pPr>
        <w:spacing w:before="120" w:after="120"/>
        <w:rPr>
          <w:i/>
          <w:szCs w:val="24"/>
        </w:rPr>
      </w:pPr>
      <w:r w:rsidRPr="0079191B">
        <w:rPr>
          <w:i/>
          <w:szCs w:val="24"/>
        </w:rPr>
        <w:t xml:space="preserve">The Right to Social Security </w:t>
      </w:r>
    </w:p>
    <w:p w14:paraId="2412D162" w14:textId="77777777" w:rsidR="00A17F2C" w:rsidRPr="0079191B" w:rsidRDefault="00A17F2C" w:rsidP="000337CB">
      <w:pPr>
        <w:spacing w:before="120" w:after="120"/>
        <w:rPr>
          <w:szCs w:val="24"/>
        </w:rPr>
      </w:pPr>
      <w:r w:rsidRPr="0079191B">
        <w:rPr>
          <w:szCs w:val="24"/>
        </w:rPr>
        <w:t>The right to social security is contained in Article 9 of the ICESCR. It requires that a country must, within its maximum available resources, ensure access to a social security scheme that</w:t>
      </w:r>
      <w:r w:rsidR="00BA69CB" w:rsidRPr="0079191B">
        <w:rPr>
          <w:szCs w:val="24"/>
        </w:rPr>
        <w:t xml:space="preserve"> </w:t>
      </w:r>
      <w:r w:rsidRPr="0079191B">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79191B" w:rsidRDefault="00A17F2C" w:rsidP="000337CB">
      <w:pPr>
        <w:spacing w:before="120" w:after="120"/>
        <w:rPr>
          <w:szCs w:val="24"/>
        </w:rPr>
      </w:pPr>
      <w:r w:rsidRPr="0079191B">
        <w:rPr>
          <w:szCs w:val="24"/>
        </w:rPr>
        <w:lastRenderedPageBreak/>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77777777" w:rsidR="00A17F2C" w:rsidRPr="0079191B" w:rsidRDefault="00A17F2C" w:rsidP="000337CB">
      <w:pPr>
        <w:spacing w:before="120" w:after="120"/>
        <w:rPr>
          <w:szCs w:val="24"/>
          <w:u w:val="single"/>
        </w:rPr>
      </w:pPr>
      <w:r w:rsidRPr="0079191B">
        <w:rPr>
          <w:szCs w:val="24"/>
          <w:u w:val="single"/>
        </w:rPr>
        <w:t xml:space="preserve">Analysis </w:t>
      </w:r>
    </w:p>
    <w:p w14:paraId="5CED5F70" w14:textId="10CFAD63" w:rsidR="0079191B" w:rsidRPr="0079191B" w:rsidRDefault="0079191B" w:rsidP="00302F5C">
      <w:pPr>
        <w:rPr>
          <w:szCs w:val="24"/>
        </w:rPr>
      </w:pPr>
      <w:r w:rsidRPr="0079191B">
        <w:rPr>
          <w:szCs w:val="24"/>
        </w:rPr>
        <w:t xml:space="preserve">This </w:t>
      </w:r>
      <w:r w:rsidR="00282E62">
        <w:rPr>
          <w:szCs w:val="24"/>
        </w:rPr>
        <w:t>Direction</w:t>
      </w:r>
      <w:r w:rsidRPr="0079191B">
        <w:rPr>
          <w:szCs w:val="24"/>
        </w:rPr>
        <w:t xml:space="preserve"> will advance rights to health and social security by ensuring access to publicly subsidised health services which are clinically effective and cost-effective.</w:t>
      </w:r>
    </w:p>
    <w:p w14:paraId="2412D166" w14:textId="1973400E" w:rsidR="00A17F2C" w:rsidRPr="0079191B" w:rsidRDefault="00A17F2C" w:rsidP="004B7CB9">
      <w:pPr>
        <w:spacing w:before="120" w:after="120" w:line="276" w:lineRule="auto"/>
        <w:rPr>
          <w:rFonts w:eastAsia="Calibri"/>
          <w:b/>
          <w:szCs w:val="24"/>
          <w:lang w:eastAsia="en-US"/>
        </w:rPr>
      </w:pPr>
      <w:r w:rsidRPr="0079191B">
        <w:rPr>
          <w:rFonts w:eastAsia="Calibri"/>
          <w:b/>
          <w:szCs w:val="24"/>
          <w:lang w:eastAsia="en-US"/>
        </w:rPr>
        <w:t xml:space="preserve">Conclusion </w:t>
      </w:r>
    </w:p>
    <w:p w14:paraId="2412D167" w14:textId="44067641" w:rsidR="00A17F2C" w:rsidRPr="0079191B" w:rsidRDefault="00F15284" w:rsidP="000337CB">
      <w:pPr>
        <w:rPr>
          <w:szCs w:val="24"/>
        </w:rPr>
      </w:pPr>
      <w:r w:rsidRPr="0079191B">
        <w:rPr>
          <w:szCs w:val="24"/>
        </w:rPr>
        <w:t>This</w:t>
      </w:r>
      <w:r w:rsidR="00004029">
        <w:rPr>
          <w:szCs w:val="24"/>
        </w:rPr>
        <w:t xml:space="preserve"> Disallowable</w:t>
      </w:r>
      <w:r w:rsidRPr="0079191B">
        <w:rPr>
          <w:szCs w:val="24"/>
        </w:rPr>
        <w:t xml:space="preserve"> Legislative Instrument is compatible with human rights as it has a positive effect on human rights issues.</w:t>
      </w:r>
    </w:p>
    <w:p w14:paraId="2412D168" w14:textId="77777777" w:rsidR="00F15284" w:rsidRPr="00B03218" w:rsidRDefault="00F15284" w:rsidP="000337CB">
      <w:pPr>
        <w:rPr>
          <w:rFonts w:eastAsia="Calibri"/>
          <w:szCs w:val="24"/>
          <w:highlight w:val="yellow"/>
          <w:lang w:eastAsia="en-US"/>
        </w:rPr>
      </w:pPr>
    </w:p>
    <w:p w14:paraId="340A4D87" w14:textId="2E2C000B" w:rsidR="000E3680" w:rsidRDefault="00AB0F1C" w:rsidP="00C80836">
      <w:pPr>
        <w:jc w:val="center"/>
        <w:rPr>
          <w:b/>
        </w:rPr>
      </w:pPr>
      <w:r>
        <w:rPr>
          <w:b/>
        </w:rPr>
        <w:t>Natasha Ryan</w:t>
      </w:r>
    </w:p>
    <w:p w14:paraId="2412D16A" w14:textId="690A745E" w:rsidR="00C80836" w:rsidRDefault="00C80836" w:rsidP="00C80836">
      <w:pPr>
        <w:jc w:val="center"/>
        <w:rPr>
          <w:b/>
        </w:rPr>
      </w:pPr>
      <w:r w:rsidRPr="00D67E0A">
        <w:rPr>
          <w:b/>
        </w:rPr>
        <w:t>Assistant Secretary</w:t>
      </w:r>
    </w:p>
    <w:p w14:paraId="511F3A33" w14:textId="3608A0A0" w:rsidR="00AB0F1C" w:rsidRPr="00D67E0A" w:rsidRDefault="00AB0F1C" w:rsidP="00C80836">
      <w:pPr>
        <w:jc w:val="center"/>
        <w:rPr>
          <w:b/>
        </w:rPr>
      </w:pPr>
      <w:r>
        <w:rPr>
          <w:b/>
        </w:rPr>
        <w:t>MBS Policy and Specialist Services Branch</w:t>
      </w:r>
    </w:p>
    <w:p w14:paraId="2412D16C" w14:textId="77777777" w:rsidR="00C80836" w:rsidRPr="00D67E0A" w:rsidRDefault="00C80836" w:rsidP="00C80836">
      <w:pPr>
        <w:jc w:val="center"/>
        <w:rPr>
          <w:b/>
        </w:rPr>
      </w:pPr>
      <w:r w:rsidRPr="00D67E0A">
        <w:rPr>
          <w:b/>
        </w:rPr>
        <w:t>Medical Benefits Division</w:t>
      </w:r>
    </w:p>
    <w:p w14:paraId="2412D16D" w14:textId="77777777" w:rsidR="00C80836" w:rsidRPr="00C5724B" w:rsidRDefault="00C80836" w:rsidP="00C80836">
      <w:pPr>
        <w:jc w:val="center"/>
        <w:rPr>
          <w:b/>
        </w:rPr>
      </w:pPr>
      <w:r w:rsidRPr="00D67E0A">
        <w:rPr>
          <w:b/>
        </w:rPr>
        <w:t>Department of Health</w:t>
      </w:r>
    </w:p>
    <w:p w14:paraId="2412D16E" w14:textId="77777777" w:rsidR="00636C51" w:rsidRPr="00840877" w:rsidRDefault="00636C51" w:rsidP="00C80836">
      <w:pPr>
        <w:spacing w:before="120" w:after="120" w:line="276" w:lineRule="auto"/>
        <w:jc w:val="center"/>
        <w:rPr>
          <w:rFonts w:eastAsia="Calibri"/>
          <w:szCs w:val="24"/>
          <w:lang w:eastAsia="en-US"/>
        </w:rPr>
      </w:pPr>
    </w:p>
    <w:sectPr w:rsidR="00636C51" w:rsidRPr="00840877" w:rsidSect="00E23B6B">
      <w:headerReference w:type="even" r:id="rId13"/>
      <w:headerReference w:type="default" r:id="rId14"/>
      <w:headerReference w:type="first" r:id="rId15"/>
      <w:pgSz w:w="11906" w:h="16838"/>
      <w:pgMar w:top="1440" w:right="1440"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D176" w14:textId="77777777" w:rsidR="00A1739A" w:rsidRDefault="00A1739A" w:rsidP="00BD6F5F">
    <w:pPr>
      <w:pStyle w:val="Header"/>
      <w:jc w:val="center"/>
    </w:pPr>
    <w:r>
      <w:fldChar w:fldCharType="begin"/>
    </w:r>
    <w:r>
      <w:instrText xml:space="preserve"> PAGE  \* Arabic  \* MERGEFORMAT </w:instrText>
    </w:r>
    <w:r>
      <w:fldChar w:fldCharType="separate"/>
    </w:r>
    <w:r w:rsidR="00B654F2">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527589"/>
      <w:docPartObj>
        <w:docPartGallery w:val="Page Numbers (Top of Page)"/>
        <w:docPartUnique/>
      </w:docPartObj>
    </w:sdtPr>
    <w:sdtEndPr>
      <w:rPr>
        <w:noProof/>
      </w:rPr>
    </w:sdtEndPr>
    <w:sdtContent>
      <w:p w14:paraId="2412D17A" w14:textId="77777777" w:rsidR="00E23B6B" w:rsidRDefault="00E23B6B">
        <w:pPr>
          <w:pStyle w:val="Header"/>
          <w:jc w:val="center"/>
        </w:pPr>
        <w:r>
          <w:fldChar w:fldCharType="begin"/>
        </w:r>
        <w:r>
          <w:instrText xml:space="preserve"> PAGE   \* MERGEFORMAT </w:instrText>
        </w:r>
        <w:r>
          <w:fldChar w:fldCharType="separate"/>
        </w:r>
        <w:r w:rsidR="00B654F2">
          <w:rPr>
            <w:noProof/>
          </w:rPr>
          <w:t>3</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89212"/>
      <w:docPartObj>
        <w:docPartGallery w:val="Page Numbers (Top of Page)"/>
        <w:docPartUnique/>
      </w:docPartObj>
    </w:sdtPr>
    <w:sdtEndPr>
      <w:rPr>
        <w:noProof/>
      </w:rPr>
    </w:sdtEndPr>
    <w:sdtContent>
      <w:p w14:paraId="2412D17C" w14:textId="77777777" w:rsidR="00E23B6B" w:rsidRDefault="00E23B6B">
        <w:pPr>
          <w:pStyle w:val="Header"/>
          <w:jc w:val="center"/>
        </w:pPr>
        <w:r>
          <w:fldChar w:fldCharType="begin"/>
        </w:r>
        <w:r>
          <w:instrText xml:space="preserve"> PAGE   \* MERGEFORMAT </w:instrText>
        </w:r>
        <w:r>
          <w:fldChar w:fldCharType="separate"/>
        </w:r>
        <w:r w:rsidR="00B654F2">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6"/>
  </w:num>
  <w:num w:numId="6">
    <w:abstractNumId w:val="4"/>
  </w:num>
  <w:num w:numId="7">
    <w:abstractNumId w:val="9"/>
  </w:num>
  <w:num w:numId="8">
    <w:abstractNumId w:val="3"/>
  </w:num>
  <w:num w:numId="9">
    <w:abstractNumId w:val="2"/>
  </w:num>
  <w:num w:numId="10">
    <w:abstractNumId w:val="10"/>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3D66"/>
    <w:rsid w:val="00004029"/>
    <w:rsid w:val="00004E17"/>
    <w:rsid w:val="00005906"/>
    <w:rsid w:val="00007B65"/>
    <w:rsid w:val="00014639"/>
    <w:rsid w:val="00014B38"/>
    <w:rsid w:val="00016774"/>
    <w:rsid w:val="000203B4"/>
    <w:rsid w:val="00024158"/>
    <w:rsid w:val="00025F64"/>
    <w:rsid w:val="0002704E"/>
    <w:rsid w:val="00027830"/>
    <w:rsid w:val="000319EF"/>
    <w:rsid w:val="00033034"/>
    <w:rsid w:val="000337CB"/>
    <w:rsid w:val="0003591F"/>
    <w:rsid w:val="00041849"/>
    <w:rsid w:val="00043A13"/>
    <w:rsid w:val="00044A2A"/>
    <w:rsid w:val="000509BA"/>
    <w:rsid w:val="000515B9"/>
    <w:rsid w:val="0005224B"/>
    <w:rsid w:val="0005533C"/>
    <w:rsid w:val="00064BA4"/>
    <w:rsid w:val="00067F59"/>
    <w:rsid w:val="000710DD"/>
    <w:rsid w:val="0007187A"/>
    <w:rsid w:val="000727E0"/>
    <w:rsid w:val="00073983"/>
    <w:rsid w:val="00073BC9"/>
    <w:rsid w:val="00076FE3"/>
    <w:rsid w:val="00080116"/>
    <w:rsid w:val="00081188"/>
    <w:rsid w:val="00081C37"/>
    <w:rsid w:val="000857C2"/>
    <w:rsid w:val="0009514A"/>
    <w:rsid w:val="000969EF"/>
    <w:rsid w:val="000A199B"/>
    <w:rsid w:val="000A31F2"/>
    <w:rsid w:val="000A45BE"/>
    <w:rsid w:val="000A467F"/>
    <w:rsid w:val="000A6FB3"/>
    <w:rsid w:val="000A7B9B"/>
    <w:rsid w:val="000B3452"/>
    <w:rsid w:val="000C1226"/>
    <w:rsid w:val="000C12EE"/>
    <w:rsid w:val="000C3D8A"/>
    <w:rsid w:val="000C46E6"/>
    <w:rsid w:val="000C6797"/>
    <w:rsid w:val="000C6FF8"/>
    <w:rsid w:val="000D1325"/>
    <w:rsid w:val="000D2ABB"/>
    <w:rsid w:val="000D3B79"/>
    <w:rsid w:val="000D7803"/>
    <w:rsid w:val="000E1ACD"/>
    <w:rsid w:val="000E3680"/>
    <w:rsid w:val="000E4AFA"/>
    <w:rsid w:val="000E534F"/>
    <w:rsid w:val="000E66FA"/>
    <w:rsid w:val="000E7163"/>
    <w:rsid w:val="000F14A0"/>
    <w:rsid w:val="000F1575"/>
    <w:rsid w:val="000F1714"/>
    <w:rsid w:val="000F249E"/>
    <w:rsid w:val="000F37A0"/>
    <w:rsid w:val="000F4C74"/>
    <w:rsid w:val="000F5E76"/>
    <w:rsid w:val="0010437F"/>
    <w:rsid w:val="00104751"/>
    <w:rsid w:val="00105042"/>
    <w:rsid w:val="00107F36"/>
    <w:rsid w:val="0011066E"/>
    <w:rsid w:val="00113B2E"/>
    <w:rsid w:val="00121A66"/>
    <w:rsid w:val="00132087"/>
    <w:rsid w:val="00134B27"/>
    <w:rsid w:val="001400C4"/>
    <w:rsid w:val="00141E8C"/>
    <w:rsid w:val="00145918"/>
    <w:rsid w:val="00145D25"/>
    <w:rsid w:val="001516D7"/>
    <w:rsid w:val="001519E4"/>
    <w:rsid w:val="00154FC4"/>
    <w:rsid w:val="0015521F"/>
    <w:rsid w:val="00161681"/>
    <w:rsid w:val="001641C0"/>
    <w:rsid w:val="0016646C"/>
    <w:rsid w:val="00167DA1"/>
    <w:rsid w:val="0017187F"/>
    <w:rsid w:val="001770D9"/>
    <w:rsid w:val="0018012F"/>
    <w:rsid w:val="00180742"/>
    <w:rsid w:val="00181F74"/>
    <w:rsid w:val="00183C10"/>
    <w:rsid w:val="0018451D"/>
    <w:rsid w:val="001865F8"/>
    <w:rsid w:val="001867EA"/>
    <w:rsid w:val="00187EE5"/>
    <w:rsid w:val="0019289B"/>
    <w:rsid w:val="0019464A"/>
    <w:rsid w:val="00195A6A"/>
    <w:rsid w:val="001978CE"/>
    <w:rsid w:val="001A25F7"/>
    <w:rsid w:val="001A4BE2"/>
    <w:rsid w:val="001A7249"/>
    <w:rsid w:val="001A7EF8"/>
    <w:rsid w:val="001B0111"/>
    <w:rsid w:val="001B3714"/>
    <w:rsid w:val="001B66AF"/>
    <w:rsid w:val="001B7092"/>
    <w:rsid w:val="001C35BC"/>
    <w:rsid w:val="001C6713"/>
    <w:rsid w:val="001D6B46"/>
    <w:rsid w:val="001D778A"/>
    <w:rsid w:val="001D7D62"/>
    <w:rsid w:val="001E29B4"/>
    <w:rsid w:val="001E2D6D"/>
    <w:rsid w:val="001E3B02"/>
    <w:rsid w:val="001E5787"/>
    <w:rsid w:val="001E57BC"/>
    <w:rsid w:val="001E5DE7"/>
    <w:rsid w:val="001E63F3"/>
    <w:rsid w:val="001E7C25"/>
    <w:rsid w:val="001F0923"/>
    <w:rsid w:val="001F1F27"/>
    <w:rsid w:val="002003F7"/>
    <w:rsid w:val="00203952"/>
    <w:rsid w:val="00203F23"/>
    <w:rsid w:val="00204413"/>
    <w:rsid w:val="00212AA7"/>
    <w:rsid w:val="00213177"/>
    <w:rsid w:val="00216C44"/>
    <w:rsid w:val="00217EBF"/>
    <w:rsid w:val="00221C4B"/>
    <w:rsid w:val="002227DF"/>
    <w:rsid w:val="0022342C"/>
    <w:rsid w:val="00225A11"/>
    <w:rsid w:val="00225B50"/>
    <w:rsid w:val="00236DF2"/>
    <w:rsid w:val="0024152E"/>
    <w:rsid w:val="00242974"/>
    <w:rsid w:val="00244D84"/>
    <w:rsid w:val="00250061"/>
    <w:rsid w:val="00250642"/>
    <w:rsid w:val="00251E4A"/>
    <w:rsid w:val="00251F50"/>
    <w:rsid w:val="00253E30"/>
    <w:rsid w:val="0025493F"/>
    <w:rsid w:val="00257E4D"/>
    <w:rsid w:val="00262865"/>
    <w:rsid w:val="00263279"/>
    <w:rsid w:val="002643FC"/>
    <w:rsid w:val="0027545F"/>
    <w:rsid w:val="0027610D"/>
    <w:rsid w:val="00282E62"/>
    <w:rsid w:val="00287AEF"/>
    <w:rsid w:val="00287B08"/>
    <w:rsid w:val="00290B98"/>
    <w:rsid w:val="002944D4"/>
    <w:rsid w:val="0029737E"/>
    <w:rsid w:val="00297AD0"/>
    <w:rsid w:val="002A0CC8"/>
    <w:rsid w:val="002A3243"/>
    <w:rsid w:val="002A68B3"/>
    <w:rsid w:val="002B2E78"/>
    <w:rsid w:val="002B49DE"/>
    <w:rsid w:val="002B4E4D"/>
    <w:rsid w:val="002B53D3"/>
    <w:rsid w:val="002B7177"/>
    <w:rsid w:val="002B7D7F"/>
    <w:rsid w:val="002C4F5B"/>
    <w:rsid w:val="002C54A1"/>
    <w:rsid w:val="002C5DCD"/>
    <w:rsid w:val="002D03AB"/>
    <w:rsid w:val="002D2A4E"/>
    <w:rsid w:val="002D5294"/>
    <w:rsid w:val="002D5DFC"/>
    <w:rsid w:val="002D6269"/>
    <w:rsid w:val="002E12C3"/>
    <w:rsid w:val="002E3493"/>
    <w:rsid w:val="002E35BF"/>
    <w:rsid w:val="002E5F5C"/>
    <w:rsid w:val="002E6FD5"/>
    <w:rsid w:val="002E7D88"/>
    <w:rsid w:val="002F0434"/>
    <w:rsid w:val="002F1707"/>
    <w:rsid w:val="002F2F33"/>
    <w:rsid w:val="002F3A26"/>
    <w:rsid w:val="002F449C"/>
    <w:rsid w:val="002F4CD2"/>
    <w:rsid w:val="002F7549"/>
    <w:rsid w:val="00301D49"/>
    <w:rsid w:val="003025C7"/>
    <w:rsid w:val="00302F5C"/>
    <w:rsid w:val="0031124D"/>
    <w:rsid w:val="00313554"/>
    <w:rsid w:val="003239D0"/>
    <w:rsid w:val="00324908"/>
    <w:rsid w:val="0033493D"/>
    <w:rsid w:val="00340BDB"/>
    <w:rsid w:val="00340E39"/>
    <w:rsid w:val="003412CB"/>
    <w:rsid w:val="0035214B"/>
    <w:rsid w:val="00353351"/>
    <w:rsid w:val="00353622"/>
    <w:rsid w:val="00357BC0"/>
    <w:rsid w:val="00357CD8"/>
    <w:rsid w:val="0036105C"/>
    <w:rsid w:val="00361ADE"/>
    <w:rsid w:val="0036495A"/>
    <w:rsid w:val="00366C2C"/>
    <w:rsid w:val="00367440"/>
    <w:rsid w:val="00371F67"/>
    <w:rsid w:val="00375E39"/>
    <w:rsid w:val="003760ED"/>
    <w:rsid w:val="00380CBA"/>
    <w:rsid w:val="0038127E"/>
    <w:rsid w:val="00384080"/>
    <w:rsid w:val="003876E6"/>
    <w:rsid w:val="00391AFA"/>
    <w:rsid w:val="00391D94"/>
    <w:rsid w:val="003937EF"/>
    <w:rsid w:val="00393E9B"/>
    <w:rsid w:val="003A5A70"/>
    <w:rsid w:val="003A6230"/>
    <w:rsid w:val="003A6299"/>
    <w:rsid w:val="003B27BA"/>
    <w:rsid w:val="003B366C"/>
    <w:rsid w:val="003B38C1"/>
    <w:rsid w:val="003B59A9"/>
    <w:rsid w:val="003B7C31"/>
    <w:rsid w:val="003C273F"/>
    <w:rsid w:val="003C37E3"/>
    <w:rsid w:val="003C4CBD"/>
    <w:rsid w:val="003C546B"/>
    <w:rsid w:val="003C7719"/>
    <w:rsid w:val="003D0FBD"/>
    <w:rsid w:val="003D2A6D"/>
    <w:rsid w:val="003E005B"/>
    <w:rsid w:val="003E04DA"/>
    <w:rsid w:val="003E1249"/>
    <w:rsid w:val="003E3544"/>
    <w:rsid w:val="003E35A8"/>
    <w:rsid w:val="003E5C42"/>
    <w:rsid w:val="003E77CB"/>
    <w:rsid w:val="003F47FD"/>
    <w:rsid w:val="003F4B52"/>
    <w:rsid w:val="003F73BA"/>
    <w:rsid w:val="003F73F0"/>
    <w:rsid w:val="00401423"/>
    <w:rsid w:val="00403105"/>
    <w:rsid w:val="00405890"/>
    <w:rsid w:val="00405EF4"/>
    <w:rsid w:val="00411365"/>
    <w:rsid w:val="0041237F"/>
    <w:rsid w:val="00414613"/>
    <w:rsid w:val="0041767B"/>
    <w:rsid w:val="00421D5F"/>
    <w:rsid w:val="00422831"/>
    <w:rsid w:val="00424197"/>
    <w:rsid w:val="00425F40"/>
    <w:rsid w:val="00426A8D"/>
    <w:rsid w:val="00430861"/>
    <w:rsid w:val="00432D4D"/>
    <w:rsid w:val="00433DCE"/>
    <w:rsid w:val="00437B1B"/>
    <w:rsid w:val="004405B8"/>
    <w:rsid w:val="00442F9D"/>
    <w:rsid w:val="004456A4"/>
    <w:rsid w:val="00445A6D"/>
    <w:rsid w:val="00446A6B"/>
    <w:rsid w:val="0045189C"/>
    <w:rsid w:val="00460649"/>
    <w:rsid w:val="004636B4"/>
    <w:rsid w:val="004641DC"/>
    <w:rsid w:val="004669A4"/>
    <w:rsid w:val="00466A5B"/>
    <w:rsid w:val="0046799A"/>
    <w:rsid w:val="0047494B"/>
    <w:rsid w:val="00475A85"/>
    <w:rsid w:val="00476D56"/>
    <w:rsid w:val="00476F13"/>
    <w:rsid w:val="00480561"/>
    <w:rsid w:val="004806B3"/>
    <w:rsid w:val="004828A9"/>
    <w:rsid w:val="004849DE"/>
    <w:rsid w:val="00484A65"/>
    <w:rsid w:val="00484E4F"/>
    <w:rsid w:val="004876DF"/>
    <w:rsid w:val="00492DBE"/>
    <w:rsid w:val="004958FE"/>
    <w:rsid w:val="004962CC"/>
    <w:rsid w:val="00497EC1"/>
    <w:rsid w:val="004A0A89"/>
    <w:rsid w:val="004A0BE6"/>
    <w:rsid w:val="004A2249"/>
    <w:rsid w:val="004A26E0"/>
    <w:rsid w:val="004A524A"/>
    <w:rsid w:val="004A56D3"/>
    <w:rsid w:val="004A6B0F"/>
    <w:rsid w:val="004B1ECE"/>
    <w:rsid w:val="004B38C8"/>
    <w:rsid w:val="004B5C2E"/>
    <w:rsid w:val="004B7CB9"/>
    <w:rsid w:val="004C0C18"/>
    <w:rsid w:val="004C10BA"/>
    <w:rsid w:val="004C27EB"/>
    <w:rsid w:val="004C357A"/>
    <w:rsid w:val="004C405B"/>
    <w:rsid w:val="004C68D1"/>
    <w:rsid w:val="004C72E8"/>
    <w:rsid w:val="004D04DF"/>
    <w:rsid w:val="004D1BF4"/>
    <w:rsid w:val="004D7821"/>
    <w:rsid w:val="004E10C5"/>
    <w:rsid w:val="004E22A7"/>
    <w:rsid w:val="004E39E6"/>
    <w:rsid w:val="004E71DC"/>
    <w:rsid w:val="004E7F97"/>
    <w:rsid w:val="004F1563"/>
    <w:rsid w:val="004F20B0"/>
    <w:rsid w:val="004F21EC"/>
    <w:rsid w:val="005012BC"/>
    <w:rsid w:val="00502156"/>
    <w:rsid w:val="00502277"/>
    <w:rsid w:val="005042B5"/>
    <w:rsid w:val="00505C67"/>
    <w:rsid w:val="00510A4F"/>
    <w:rsid w:val="005119E9"/>
    <w:rsid w:val="00512A65"/>
    <w:rsid w:val="005130BE"/>
    <w:rsid w:val="005140F2"/>
    <w:rsid w:val="0052165A"/>
    <w:rsid w:val="00521802"/>
    <w:rsid w:val="0052291A"/>
    <w:rsid w:val="00532CD3"/>
    <w:rsid w:val="005345A9"/>
    <w:rsid w:val="00534D8A"/>
    <w:rsid w:val="005358DD"/>
    <w:rsid w:val="0054004F"/>
    <w:rsid w:val="00542913"/>
    <w:rsid w:val="005452CD"/>
    <w:rsid w:val="005474A5"/>
    <w:rsid w:val="00547D82"/>
    <w:rsid w:val="00550DAB"/>
    <w:rsid w:val="00552105"/>
    <w:rsid w:val="0055354D"/>
    <w:rsid w:val="00554543"/>
    <w:rsid w:val="005555B8"/>
    <w:rsid w:val="005642D9"/>
    <w:rsid w:val="00564C2B"/>
    <w:rsid w:val="00564C37"/>
    <w:rsid w:val="00564D84"/>
    <w:rsid w:val="0057258C"/>
    <w:rsid w:val="00573651"/>
    <w:rsid w:val="00574E71"/>
    <w:rsid w:val="00577ECE"/>
    <w:rsid w:val="00581904"/>
    <w:rsid w:val="00582B3F"/>
    <w:rsid w:val="00585309"/>
    <w:rsid w:val="005857E8"/>
    <w:rsid w:val="00590B04"/>
    <w:rsid w:val="00592F78"/>
    <w:rsid w:val="00594EB6"/>
    <w:rsid w:val="0059798F"/>
    <w:rsid w:val="005A163F"/>
    <w:rsid w:val="005A3D73"/>
    <w:rsid w:val="005A445D"/>
    <w:rsid w:val="005B0EA3"/>
    <w:rsid w:val="005B1B0A"/>
    <w:rsid w:val="005B5062"/>
    <w:rsid w:val="005B6234"/>
    <w:rsid w:val="005C4A91"/>
    <w:rsid w:val="005C5824"/>
    <w:rsid w:val="005C6118"/>
    <w:rsid w:val="005D3575"/>
    <w:rsid w:val="005D3CED"/>
    <w:rsid w:val="005D538F"/>
    <w:rsid w:val="005D63D9"/>
    <w:rsid w:val="005D68D1"/>
    <w:rsid w:val="005E05FB"/>
    <w:rsid w:val="005E1449"/>
    <w:rsid w:val="005E1992"/>
    <w:rsid w:val="005E293A"/>
    <w:rsid w:val="005E5192"/>
    <w:rsid w:val="005E56FE"/>
    <w:rsid w:val="005E6A82"/>
    <w:rsid w:val="005E7398"/>
    <w:rsid w:val="005F04DC"/>
    <w:rsid w:val="00601165"/>
    <w:rsid w:val="00607971"/>
    <w:rsid w:val="00611A4E"/>
    <w:rsid w:val="006122C0"/>
    <w:rsid w:val="0061281D"/>
    <w:rsid w:val="00613C46"/>
    <w:rsid w:val="00616889"/>
    <w:rsid w:val="00616DC1"/>
    <w:rsid w:val="00617F77"/>
    <w:rsid w:val="00623004"/>
    <w:rsid w:val="00635031"/>
    <w:rsid w:val="006369D4"/>
    <w:rsid w:val="00636C51"/>
    <w:rsid w:val="006407FA"/>
    <w:rsid w:val="006427B2"/>
    <w:rsid w:val="00642BEB"/>
    <w:rsid w:val="006436DF"/>
    <w:rsid w:val="00647426"/>
    <w:rsid w:val="00647590"/>
    <w:rsid w:val="006526F5"/>
    <w:rsid w:val="00657702"/>
    <w:rsid w:val="006619F5"/>
    <w:rsid w:val="0066562D"/>
    <w:rsid w:val="00670998"/>
    <w:rsid w:val="00672050"/>
    <w:rsid w:val="00685515"/>
    <w:rsid w:val="0068642A"/>
    <w:rsid w:val="00694C76"/>
    <w:rsid w:val="006A029B"/>
    <w:rsid w:val="006A17A1"/>
    <w:rsid w:val="006A61C5"/>
    <w:rsid w:val="006B0F31"/>
    <w:rsid w:val="006B13BC"/>
    <w:rsid w:val="006B2223"/>
    <w:rsid w:val="006B32FE"/>
    <w:rsid w:val="006B3959"/>
    <w:rsid w:val="006B4B58"/>
    <w:rsid w:val="006B6925"/>
    <w:rsid w:val="006C138D"/>
    <w:rsid w:val="006C3807"/>
    <w:rsid w:val="006C7491"/>
    <w:rsid w:val="006C761B"/>
    <w:rsid w:val="006D2B37"/>
    <w:rsid w:val="006D3D81"/>
    <w:rsid w:val="006D4AA4"/>
    <w:rsid w:val="006D54FB"/>
    <w:rsid w:val="006D5816"/>
    <w:rsid w:val="006D627E"/>
    <w:rsid w:val="006D62D4"/>
    <w:rsid w:val="006E1A62"/>
    <w:rsid w:val="006E320C"/>
    <w:rsid w:val="006E3D84"/>
    <w:rsid w:val="006E5C6B"/>
    <w:rsid w:val="006E6377"/>
    <w:rsid w:val="006E6640"/>
    <w:rsid w:val="006F5CDC"/>
    <w:rsid w:val="006F6EC2"/>
    <w:rsid w:val="0070058D"/>
    <w:rsid w:val="00702854"/>
    <w:rsid w:val="00704585"/>
    <w:rsid w:val="00704A1A"/>
    <w:rsid w:val="00705833"/>
    <w:rsid w:val="00705924"/>
    <w:rsid w:val="00707B77"/>
    <w:rsid w:val="0071184F"/>
    <w:rsid w:val="00712189"/>
    <w:rsid w:val="007134A2"/>
    <w:rsid w:val="00717B45"/>
    <w:rsid w:val="0072331C"/>
    <w:rsid w:val="00726CFA"/>
    <w:rsid w:val="0072758A"/>
    <w:rsid w:val="007304D5"/>
    <w:rsid w:val="00730965"/>
    <w:rsid w:val="00735753"/>
    <w:rsid w:val="00735CCC"/>
    <w:rsid w:val="007368DC"/>
    <w:rsid w:val="00736AC9"/>
    <w:rsid w:val="00741A4E"/>
    <w:rsid w:val="00742E97"/>
    <w:rsid w:val="007452E0"/>
    <w:rsid w:val="00745BD4"/>
    <w:rsid w:val="007505FB"/>
    <w:rsid w:val="00752997"/>
    <w:rsid w:val="007533EC"/>
    <w:rsid w:val="00757618"/>
    <w:rsid w:val="00762606"/>
    <w:rsid w:val="00762B45"/>
    <w:rsid w:val="0076544A"/>
    <w:rsid w:val="00767402"/>
    <w:rsid w:val="00772A7A"/>
    <w:rsid w:val="00774454"/>
    <w:rsid w:val="00774ABF"/>
    <w:rsid w:val="00776E17"/>
    <w:rsid w:val="00782D07"/>
    <w:rsid w:val="007859F8"/>
    <w:rsid w:val="00791384"/>
    <w:rsid w:val="0079191B"/>
    <w:rsid w:val="00791C27"/>
    <w:rsid w:val="007934F3"/>
    <w:rsid w:val="00795A80"/>
    <w:rsid w:val="00796F15"/>
    <w:rsid w:val="007A0403"/>
    <w:rsid w:val="007A217D"/>
    <w:rsid w:val="007A4089"/>
    <w:rsid w:val="007A5936"/>
    <w:rsid w:val="007A5B55"/>
    <w:rsid w:val="007A5F41"/>
    <w:rsid w:val="007A5FEC"/>
    <w:rsid w:val="007B08D1"/>
    <w:rsid w:val="007B161A"/>
    <w:rsid w:val="007B29C6"/>
    <w:rsid w:val="007B358D"/>
    <w:rsid w:val="007B4EAA"/>
    <w:rsid w:val="007B790F"/>
    <w:rsid w:val="007C20FA"/>
    <w:rsid w:val="007C27D3"/>
    <w:rsid w:val="007C2C95"/>
    <w:rsid w:val="007C767F"/>
    <w:rsid w:val="007C79FB"/>
    <w:rsid w:val="007D3891"/>
    <w:rsid w:val="007D4584"/>
    <w:rsid w:val="007D4A14"/>
    <w:rsid w:val="007E0D9D"/>
    <w:rsid w:val="007E4B4C"/>
    <w:rsid w:val="007E7ABF"/>
    <w:rsid w:val="007F0907"/>
    <w:rsid w:val="007F0D24"/>
    <w:rsid w:val="007F10B5"/>
    <w:rsid w:val="007F1C81"/>
    <w:rsid w:val="007F6ABA"/>
    <w:rsid w:val="0080144C"/>
    <w:rsid w:val="00804A98"/>
    <w:rsid w:val="008055F5"/>
    <w:rsid w:val="00805C3A"/>
    <w:rsid w:val="00806682"/>
    <w:rsid w:val="008129B1"/>
    <w:rsid w:val="00817A12"/>
    <w:rsid w:val="0082437E"/>
    <w:rsid w:val="008259FD"/>
    <w:rsid w:val="00826C1C"/>
    <w:rsid w:val="00832E86"/>
    <w:rsid w:val="00833BAB"/>
    <w:rsid w:val="00833FCC"/>
    <w:rsid w:val="008356E6"/>
    <w:rsid w:val="00840877"/>
    <w:rsid w:val="00840A16"/>
    <w:rsid w:val="0084180A"/>
    <w:rsid w:val="0084197A"/>
    <w:rsid w:val="0084241F"/>
    <w:rsid w:val="00843425"/>
    <w:rsid w:val="00845708"/>
    <w:rsid w:val="00846484"/>
    <w:rsid w:val="008478EE"/>
    <w:rsid w:val="00852FB1"/>
    <w:rsid w:val="0085475F"/>
    <w:rsid w:val="00855C39"/>
    <w:rsid w:val="008604B1"/>
    <w:rsid w:val="008609B1"/>
    <w:rsid w:val="008645C4"/>
    <w:rsid w:val="00867884"/>
    <w:rsid w:val="00875104"/>
    <w:rsid w:val="008774D2"/>
    <w:rsid w:val="00880491"/>
    <w:rsid w:val="00883771"/>
    <w:rsid w:val="00883C9D"/>
    <w:rsid w:val="00883EFE"/>
    <w:rsid w:val="0089513F"/>
    <w:rsid w:val="00895699"/>
    <w:rsid w:val="008A153F"/>
    <w:rsid w:val="008A26EB"/>
    <w:rsid w:val="008A54A9"/>
    <w:rsid w:val="008A6188"/>
    <w:rsid w:val="008A79C6"/>
    <w:rsid w:val="008B28F2"/>
    <w:rsid w:val="008B444F"/>
    <w:rsid w:val="008B683E"/>
    <w:rsid w:val="008C0EF7"/>
    <w:rsid w:val="008C11A2"/>
    <w:rsid w:val="008C20F7"/>
    <w:rsid w:val="008C5F1C"/>
    <w:rsid w:val="008D1B01"/>
    <w:rsid w:val="008D2A83"/>
    <w:rsid w:val="008D2D7B"/>
    <w:rsid w:val="008D2D98"/>
    <w:rsid w:val="008D44EB"/>
    <w:rsid w:val="008E3E1A"/>
    <w:rsid w:val="008E4039"/>
    <w:rsid w:val="008E486D"/>
    <w:rsid w:val="008F1AA9"/>
    <w:rsid w:val="008F7C5B"/>
    <w:rsid w:val="009049C0"/>
    <w:rsid w:val="00912380"/>
    <w:rsid w:val="009124F6"/>
    <w:rsid w:val="00913B67"/>
    <w:rsid w:val="00915B08"/>
    <w:rsid w:val="009215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47795"/>
    <w:rsid w:val="00951A0B"/>
    <w:rsid w:val="00953383"/>
    <w:rsid w:val="009574A8"/>
    <w:rsid w:val="00965025"/>
    <w:rsid w:val="00967E51"/>
    <w:rsid w:val="00971039"/>
    <w:rsid w:val="00971B7B"/>
    <w:rsid w:val="00971D3B"/>
    <w:rsid w:val="00972D48"/>
    <w:rsid w:val="00975E68"/>
    <w:rsid w:val="00977A95"/>
    <w:rsid w:val="00982585"/>
    <w:rsid w:val="00985FA9"/>
    <w:rsid w:val="009902F7"/>
    <w:rsid w:val="0099448D"/>
    <w:rsid w:val="009944EA"/>
    <w:rsid w:val="00995A06"/>
    <w:rsid w:val="009A0C01"/>
    <w:rsid w:val="009A222A"/>
    <w:rsid w:val="009B10E1"/>
    <w:rsid w:val="009B1FD2"/>
    <w:rsid w:val="009B3AEB"/>
    <w:rsid w:val="009B7AE2"/>
    <w:rsid w:val="009C3EB5"/>
    <w:rsid w:val="009C444B"/>
    <w:rsid w:val="009D3773"/>
    <w:rsid w:val="009D499D"/>
    <w:rsid w:val="009D72AA"/>
    <w:rsid w:val="009E2AEA"/>
    <w:rsid w:val="009E3183"/>
    <w:rsid w:val="009E36E1"/>
    <w:rsid w:val="009E3783"/>
    <w:rsid w:val="009E3EA3"/>
    <w:rsid w:val="009E3ED4"/>
    <w:rsid w:val="009F45FE"/>
    <w:rsid w:val="00A01F6A"/>
    <w:rsid w:val="00A045CA"/>
    <w:rsid w:val="00A04DC3"/>
    <w:rsid w:val="00A0597B"/>
    <w:rsid w:val="00A05DAD"/>
    <w:rsid w:val="00A14878"/>
    <w:rsid w:val="00A1707B"/>
    <w:rsid w:val="00A1739A"/>
    <w:rsid w:val="00A17694"/>
    <w:rsid w:val="00A17F2C"/>
    <w:rsid w:val="00A232B9"/>
    <w:rsid w:val="00A33893"/>
    <w:rsid w:val="00A34C9A"/>
    <w:rsid w:val="00A41364"/>
    <w:rsid w:val="00A41F72"/>
    <w:rsid w:val="00A54CA1"/>
    <w:rsid w:val="00A62031"/>
    <w:rsid w:val="00A65D80"/>
    <w:rsid w:val="00A672A7"/>
    <w:rsid w:val="00A714DD"/>
    <w:rsid w:val="00A7379C"/>
    <w:rsid w:val="00A73CF1"/>
    <w:rsid w:val="00A75C9A"/>
    <w:rsid w:val="00A80673"/>
    <w:rsid w:val="00A835D4"/>
    <w:rsid w:val="00A9123D"/>
    <w:rsid w:val="00A92534"/>
    <w:rsid w:val="00A927C4"/>
    <w:rsid w:val="00A92BCA"/>
    <w:rsid w:val="00A94099"/>
    <w:rsid w:val="00AA3015"/>
    <w:rsid w:val="00AA3B67"/>
    <w:rsid w:val="00AA4399"/>
    <w:rsid w:val="00AA4D97"/>
    <w:rsid w:val="00AA59AF"/>
    <w:rsid w:val="00AB0C9D"/>
    <w:rsid w:val="00AB0F1C"/>
    <w:rsid w:val="00AB2611"/>
    <w:rsid w:val="00AB35DC"/>
    <w:rsid w:val="00AB419D"/>
    <w:rsid w:val="00AB52D0"/>
    <w:rsid w:val="00AC046B"/>
    <w:rsid w:val="00AC1E16"/>
    <w:rsid w:val="00AC3A0C"/>
    <w:rsid w:val="00AC3EEC"/>
    <w:rsid w:val="00AC54F8"/>
    <w:rsid w:val="00AC57A5"/>
    <w:rsid w:val="00AC681D"/>
    <w:rsid w:val="00AC6FF1"/>
    <w:rsid w:val="00AD0F67"/>
    <w:rsid w:val="00AD7E8E"/>
    <w:rsid w:val="00AE0F81"/>
    <w:rsid w:val="00AE330D"/>
    <w:rsid w:val="00AE77D1"/>
    <w:rsid w:val="00AF3563"/>
    <w:rsid w:val="00AF3BCE"/>
    <w:rsid w:val="00AF7622"/>
    <w:rsid w:val="00B00238"/>
    <w:rsid w:val="00B019A9"/>
    <w:rsid w:val="00B03218"/>
    <w:rsid w:val="00B03273"/>
    <w:rsid w:val="00B039EC"/>
    <w:rsid w:val="00B10984"/>
    <w:rsid w:val="00B110B5"/>
    <w:rsid w:val="00B167A2"/>
    <w:rsid w:val="00B174E3"/>
    <w:rsid w:val="00B20691"/>
    <w:rsid w:val="00B27A5B"/>
    <w:rsid w:val="00B316E7"/>
    <w:rsid w:val="00B3398C"/>
    <w:rsid w:val="00B34BDE"/>
    <w:rsid w:val="00B34EF9"/>
    <w:rsid w:val="00B3578F"/>
    <w:rsid w:val="00B35DAD"/>
    <w:rsid w:val="00B41AE8"/>
    <w:rsid w:val="00B4308A"/>
    <w:rsid w:val="00B445D0"/>
    <w:rsid w:val="00B45C4D"/>
    <w:rsid w:val="00B54620"/>
    <w:rsid w:val="00B55CDD"/>
    <w:rsid w:val="00B56E4F"/>
    <w:rsid w:val="00B63A7A"/>
    <w:rsid w:val="00B654F2"/>
    <w:rsid w:val="00B70C95"/>
    <w:rsid w:val="00B70D13"/>
    <w:rsid w:val="00B7119B"/>
    <w:rsid w:val="00B746F1"/>
    <w:rsid w:val="00B748AE"/>
    <w:rsid w:val="00B75DB2"/>
    <w:rsid w:val="00B7681E"/>
    <w:rsid w:val="00B81657"/>
    <w:rsid w:val="00B832A3"/>
    <w:rsid w:val="00B83AFF"/>
    <w:rsid w:val="00B84958"/>
    <w:rsid w:val="00B910E8"/>
    <w:rsid w:val="00B9328C"/>
    <w:rsid w:val="00B94CD8"/>
    <w:rsid w:val="00B96F16"/>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32C4"/>
    <w:rsid w:val="00BC459E"/>
    <w:rsid w:val="00BC4AAE"/>
    <w:rsid w:val="00BC55B1"/>
    <w:rsid w:val="00BC5DCD"/>
    <w:rsid w:val="00BC626B"/>
    <w:rsid w:val="00BC7397"/>
    <w:rsid w:val="00BD304A"/>
    <w:rsid w:val="00BE1022"/>
    <w:rsid w:val="00BE283F"/>
    <w:rsid w:val="00BE2ECA"/>
    <w:rsid w:val="00BE597C"/>
    <w:rsid w:val="00BE6679"/>
    <w:rsid w:val="00BE6870"/>
    <w:rsid w:val="00BE71FD"/>
    <w:rsid w:val="00BE7B19"/>
    <w:rsid w:val="00BF23A6"/>
    <w:rsid w:val="00BF3B3D"/>
    <w:rsid w:val="00BF5A87"/>
    <w:rsid w:val="00BF6341"/>
    <w:rsid w:val="00C0045E"/>
    <w:rsid w:val="00C00FD8"/>
    <w:rsid w:val="00C05E84"/>
    <w:rsid w:val="00C073E4"/>
    <w:rsid w:val="00C07C34"/>
    <w:rsid w:val="00C107BB"/>
    <w:rsid w:val="00C10E9C"/>
    <w:rsid w:val="00C13962"/>
    <w:rsid w:val="00C154E6"/>
    <w:rsid w:val="00C2082B"/>
    <w:rsid w:val="00C21BAC"/>
    <w:rsid w:val="00C2364F"/>
    <w:rsid w:val="00C33771"/>
    <w:rsid w:val="00C3411B"/>
    <w:rsid w:val="00C34230"/>
    <w:rsid w:val="00C3661B"/>
    <w:rsid w:val="00C414D8"/>
    <w:rsid w:val="00C42112"/>
    <w:rsid w:val="00C4692B"/>
    <w:rsid w:val="00C46A0C"/>
    <w:rsid w:val="00C473F7"/>
    <w:rsid w:val="00C5100A"/>
    <w:rsid w:val="00C51884"/>
    <w:rsid w:val="00C549BC"/>
    <w:rsid w:val="00C56251"/>
    <w:rsid w:val="00C56A65"/>
    <w:rsid w:val="00C6072B"/>
    <w:rsid w:val="00C62FDC"/>
    <w:rsid w:val="00C655BB"/>
    <w:rsid w:val="00C724F5"/>
    <w:rsid w:val="00C73066"/>
    <w:rsid w:val="00C77A1F"/>
    <w:rsid w:val="00C80647"/>
    <w:rsid w:val="00C80836"/>
    <w:rsid w:val="00C84DDE"/>
    <w:rsid w:val="00C87864"/>
    <w:rsid w:val="00C90EAC"/>
    <w:rsid w:val="00C93D01"/>
    <w:rsid w:val="00C96958"/>
    <w:rsid w:val="00CA62C0"/>
    <w:rsid w:val="00CA73CB"/>
    <w:rsid w:val="00CA79BB"/>
    <w:rsid w:val="00CB4161"/>
    <w:rsid w:val="00CB43A2"/>
    <w:rsid w:val="00CB544A"/>
    <w:rsid w:val="00CB7730"/>
    <w:rsid w:val="00CC12A0"/>
    <w:rsid w:val="00CC26A8"/>
    <w:rsid w:val="00CC6EBB"/>
    <w:rsid w:val="00CE3A6F"/>
    <w:rsid w:val="00CE63F9"/>
    <w:rsid w:val="00CF0A31"/>
    <w:rsid w:val="00CF1E87"/>
    <w:rsid w:val="00CF240F"/>
    <w:rsid w:val="00CF4B5F"/>
    <w:rsid w:val="00CF4FAD"/>
    <w:rsid w:val="00CF6201"/>
    <w:rsid w:val="00CF6B2F"/>
    <w:rsid w:val="00D05CAA"/>
    <w:rsid w:val="00D06129"/>
    <w:rsid w:val="00D0729C"/>
    <w:rsid w:val="00D114E6"/>
    <w:rsid w:val="00D14E32"/>
    <w:rsid w:val="00D162D9"/>
    <w:rsid w:val="00D22375"/>
    <w:rsid w:val="00D30F03"/>
    <w:rsid w:val="00D325CF"/>
    <w:rsid w:val="00D32C1A"/>
    <w:rsid w:val="00D33180"/>
    <w:rsid w:val="00D4128C"/>
    <w:rsid w:val="00D41D2D"/>
    <w:rsid w:val="00D44316"/>
    <w:rsid w:val="00D448E6"/>
    <w:rsid w:val="00D4743F"/>
    <w:rsid w:val="00D5065B"/>
    <w:rsid w:val="00D51CBC"/>
    <w:rsid w:val="00D56338"/>
    <w:rsid w:val="00D565F8"/>
    <w:rsid w:val="00D56ABB"/>
    <w:rsid w:val="00D571B1"/>
    <w:rsid w:val="00D57944"/>
    <w:rsid w:val="00D602E0"/>
    <w:rsid w:val="00D63CED"/>
    <w:rsid w:val="00D63EFF"/>
    <w:rsid w:val="00D644BD"/>
    <w:rsid w:val="00D65500"/>
    <w:rsid w:val="00D66520"/>
    <w:rsid w:val="00D67E0A"/>
    <w:rsid w:val="00D7566A"/>
    <w:rsid w:val="00D85008"/>
    <w:rsid w:val="00D8754D"/>
    <w:rsid w:val="00D92717"/>
    <w:rsid w:val="00D93E05"/>
    <w:rsid w:val="00D9515D"/>
    <w:rsid w:val="00DA3A08"/>
    <w:rsid w:val="00DA4715"/>
    <w:rsid w:val="00DA62DF"/>
    <w:rsid w:val="00DA6946"/>
    <w:rsid w:val="00DA7439"/>
    <w:rsid w:val="00DB0DA9"/>
    <w:rsid w:val="00DB108A"/>
    <w:rsid w:val="00DC1776"/>
    <w:rsid w:val="00DC4340"/>
    <w:rsid w:val="00DC4882"/>
    <w:rsid w:val="00DD3239"/>
    <w:rsid w:val="00DE0877"/>
    <w:rsid w:val="00DE0FF8"/>
    <w:rsid w:val="00DE186C"/>
    <w:rsid w:val="00DE3EBF"/>
    <w:rsid w:val="00DE6D39"/>
    <w:rsid w:val="00DF51CA"/>
    <w:rsid w:val="00DF7501"/>
    <w:rsid w:val="00DF7936"/>
    <w:rsid w:val="00E04B6F"/>
    <w:rsid w:val="00E13833"/>
    <w:rsid w:val="00E17406"/>
    <w:rsid w:val="00E20AE5"/>
    <w:rsid w:val="00E20F00"/>
    <w:rsid w:val="00E23A38"/>
    <w:rsid w:val="00E23B6B"/>
    <w:rsid w:val="00E265A0"/>
    <w:rsid w:val="00E266DE"/>
    <w:rsid w:val="00E311F5"/>
    <w:rsid w:val="00E34BF8"/>
    <w:rsid w:val="00E35B1E"/>
    <w:rsid w:val="00E35FD0"/>
    <w:rsid w:val="00E4497A"/>
    <w:rsid w:val="00E44A7E"/>
    <w:rsid w:val="00E47481"/>
    <w:rsid w:val="00E51559"/>
    <w:rsid w:val="00E548DB"/>
    <w:rsid w:val="00E552BD"/>
    <w:rsid w:val="00E55649"/>
    <w:rsid w:val="00E56A50"/>
    <w:rsid w:val="00E5798A"/>
    <w:rsid w:val="00E628D9"/>
    <w:rsid w:val="00E63ADA"/>
    <w:rsid w:val="00E640E0"/>
    <w:rsid w:val="00E64C5F"/>
    <w:rsid w:val="00E664F4"/>
    <w:rsid w:val="00E72855"/>
    <w:rsid w:val="00E74C1D"/>
    <w:rsid w:val="00E81B2F"/>
    <w:rsid w:val="00E844ED"/>
    <w:rsid w:val="00E85810"/>
    <w:rsid w:val="00E85B0A"/>
    <w:rsid w:val="00E909CD"/>
    <w:rsid w:val="00E92248"/>
    <w:rsid w:val="00E92BD1"/>
    <w:rsid w:val="00E935A1"/>
    <w:rsid w:val="00E93FB6"/>
    <w:rsid w:val="00EA1715"/>
    <w:rsid w:val="00EA2F01"/>
    <w:rsid w:val="00EA31FD"/>
    <w:rsid w:val="00EA4349"/>
    <w:rsid w:val="00EA5A32"/>
    <w:rsid w:val="00EB2F51"/>
    <w:rsid w:val="00EB3BF0"/>
    <w:rsid w:val="00EB6CCD"/>
    <w:rsid w:val="00EC0273"/>
    <w:rsid w:val="00EC25BA"/>
    <w:rsid w:val="00ED0AD5"/>
    <w:rsid w:val="00ED1DE2"/>
    <w:rsid w:val="00ED1F31"/>
    <w:rsid w:val="00ED3630"/>
    <w:rsid w:val="00ED7140"/>
    <w:rsid w:val="00EE7B48"/>
    <w:rsid w:val="00EF0AFA"/>
    <w:rsid w:val="00EF38E5"/>
    <w:rsid w:val="00EF5C33"/>
    <w:rsid w:val="00EF6AB8"/>
    <w:rsid w:val="00EF7C6E"/>
    <w:rsid w:val="00F012F4"/>
    <w:rsid w:val="00F040F7"/>
    <w:rsid w:val="00F0546E"/>
    <w:rsid w:val="00F0672D"/>
    <w:rsid w:val="00F072E1"/>
    <w:rsid w:val="00F07BF7"/>
    <w:rsid w:val="00F11185"/>
    <w:rsid w:val="00F11DDA"/>
    <w:rsid w:val="00F12E98"/>
    <w:rsid w:val="00F14DDA"/>
    <w:rsid w:val="00F15284"/>
    <w:rsid w:val="00F169CB"/>
    <w:rsid w:val="00F207AB"/>
    <w:rsid w:val="00F2161A"/>
    <w:rsid w:val="00F21724"/>
    <w:rsid w:val="00F21A81"/>
    <w:rsid w:val="00F21CC1"/>
    <w:rsid w:val="00F22D61"/>
    <w:rsid w:val="00F2324D"/>
    <w:rsid w:val="00F2428F"/>
    <w:rsid w:val="00F25075"/>
    <w:rsid w:val="00F27444"/>
    <w:rsid w:val="00F317CA"/>
    <w:rsid w:val="00F323E7"/>
    <w:rsid w:val="00F324D2"/>
    <w:rsid w:val="00F32A56"/>
    <w:rsid w:val="00F335E4"/>
    <w:rsid w:val="00F358C3"/>
    <w:rsid w:val="00F413D8"/>
    <w:rsid w:val="00F42100"/>
    <w:rsid w:val="00F42A9B"/>
    <w:rsid w:val="00F464FE"/>
    <w:rsid w:val="00F47621"/>
    <w:rsid w:val="00F570AB"/>
    <w:rsid w:val="00F6006E"/>
    <w:rsid w:val="00F61C28"/>
    <w:rsid w:val="00F62229"/>
    <w:rsid w:val="00F645F1"/>
    <w:rsid w:val="00F6591A"/>
    <w:rsid w:val="00F7080D"/>
    <w:rsid w:val="00F70D35"/>
    <w:rsid w:val="00F7546C"/>
    <w:rsid w:val="00F757D4"/>
    <w:rsid w:val="00F77B00"/>
    <w:rsid w:val="00F83B6F"/>
    <w:rsid w:val="00F857BC"/>
    <w:rsid w:val="00F90165"/>
    <w:rsid w:val="00F90273"/>
    <w:rsid w:val="00F90BD0"/>
    <w:rsid w:val="00F93ACB"/>
    <w:rsid w:val="00F93C4F"/>
    <w:rsid w:val="00F95994"/>
    <w:rsid w:val="00F972A0"/>
    <w:rsid w:val="00FA6175"/>
    <w:rsid w:val="00FA6784"/>
    <w:rsid w:val="00FA7E00"/>
    <w:rsid w:val="00FB1780"/>
    <w:rsid w:val="00FB2D50"/>
    <w:rsid w:val="00FB35C6"/>
    <w:rsid w:val="00FB4C5A"/>
    <w:rsid w:val="00FB5BFA"/>
    <w:rsid w:val="00FB6F79"/>
    <w:rsid w:val="00FC7C25"/>
    <w:rsid w:val="00FD1C2E"/>
    <w:rsid w:val="00FD3574"/>
    <w:rsid w:val="00FD60D2"/>
    <w:rsid w:val="00FD6A7D"/>
    <w:rsid w:val="00FD6FC9"/>
    <w:rsid w:val="00FE02C2"/>
    <w:rsid w:val="00FE0ED0"/>
    <w:rsid w:val="00FE2D34"/>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412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4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4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www.w3.org/XML/1998/namespace"/>
    <ds:schemaRef ds:uri="http://schemas.microsoft.com/office/infopath/2007/PartnerControls"/>
    <ds:schemaRef ds:uri="http://purl.org/dc/elements/1.1/"/>
    <ds:schemaRef ds:uri="8bd9498f-fa43-4ae2-8bb2-4c55a71680ad"/>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78956D0-5D70-4000-B42D-60D843C0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6977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NADINE, Tamara</cp:lastModifiedBy>
  <cp:revision>2</cp:revision>
  <cp:lastPrinted>2017-10-17T21:42:00Z</cp:lastPrinted>
  <dcterms:created xsi:type="dcterms:W3CDTF">2017-10-18T22:40:00Z</dcterms:created>
  <dcterms:modified xsi:type="dcterms:W3CDTF">2017-10-18T22:40:00Z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