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EE0104" w14:textId="77777777" w:rsidR="00715914" w:rsidRDefault="00DA186E" w:rsidP="00715914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71640D46" wp14:editId="265E1A76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A9D35D" w14:textId="77777777" w:rsidR="00715914" w:rsidRPr="00E500D4" w:rsidRDefault="00715914" w:rsidP="00715914">
      <w:pPr>
        <w:rPr>
          <w:sz w:val="19"/>
        </w:rPr>
      </w:pPr>
    </w:p>
    <w:p w14:paraId="141E799E" w14:textId="4651B241" w:rsidR="00CB0317" w:rsidRPr="00FB0DE1" w:rsidRDefault="00CB0317" w:rsidP="00CB0317">
      <w:pPr>
        <w:pStyle w:val="ShortT"/>
        <w:rPr>
          <w:bCs/>
        </w:rPr>
      </w:pPr>
      <w:bookmarkStart w:id="0" w:name="Citation"/>
      <w:r w:rsidRPr="00FB0DE1">
        <w:rPr>
          <w:bCs/>
          <w:iCs/>
        </w:rPr>
        <w:t xml:space="preserve">A New Tax System (Goods and Services Tax) (Incidental Valuable Metal Goods) </w:t>
      </w:r>
      <w:r w:rsidRPr="00FB0DE1">
        <w:rPr>
          <w:bCs/>
        </w:rPr>
        <w:t>Determination</w:t>
      </w:r>
      <w:bookmarkEnd w:id="0"/>
      <w:r w:rsidRPr="00FB0DE1">
        <w:rPr>
          <w:bCs/>
        </w:rPr>
        <w:t xml:space="preserve"> 2017 (No.</w:t>
      </w:r>
      <w:r w:rsidR="003A2517">
        <w:rPr>
          <w:bCs/>
        </w:rPr>
        <w:t xml:space="preserve"> </w:t>
      </w:r>
      <w:r w:rsidRPr="00FB0DE1">
        <w:rPr>
          <w:bCs/>
        </w:rPr>
        <w:t>1)</w:t>
      </w:r>
    </w:p>
    <w:p w14:paraId="702C6C46" w14:textId="77777777" w:rsidR="00CB0317" w:rsidRPr="00CB0317" w:rsidRDefault="00CB0317" w:rsidP="00CB0317">
      <w:pPr>
        <w:pStyle w:val="SignCoverPageStart"/>
        <w:spacing w:before="240"/>
        <w:ind w:right="91"/>
        <w:rPr>
          <w:szCs w:val="22"/>
        </w:rPr>
      </w:pPr>
      <w:r w:rsidRPr="00CB0317">
        <w:rPr>
          <w:szCs w:val="22"/>
        </w:rPr>
        <w:t xml:space="preserve">I, KELLY O’DWYER, Minister for Revenue and Financial Services, make this determination under subparagraph (c)(iii) of the definition of </w:t>
      </w:r>
      <w:r w:rsidRPr="006E4AA0">
        <w:rPr>
          <w:b/>
          <w:i/>
          <w:szCs w:val="22"/>
        </w:rPr>
        <w:t>incidental valuable metal goods</w:t>
      </w:r>
      <w:r w:rsidRPr="00CB0317">
        <w:rPr>
          <w:szCs w:val="22"/>
        </w:rPr>
        <w:t xml:space="preserve"> in section 195</w:t>
      </w:r>
      <w:r w:rsidRPr="00CB0317">
        <w:rPr>
          <w:szCs w:val="22"/>
        </w:rPr>
        <w:noBreakHyphen/>
        <w:t xml:space="preserve">1 of the </w:t>
      </w:r>
      <w:r w:rsidRPr="00CB0317">
        <w:rPr>
          <w:i/>
          <w:iCs/>
          <w:szCs w:val="22"/>
        </w:rPr>
        <w:t>A New Tax System (Goods and Services Tax) Act 1999</w:t>
      </w:r>
      <w:r w:rsidRPr="00CB0317">
        <w:rPr>
          <w:i/>
          <w:szCs w:val="22"/>
        </w:rPr>
        <w:t>.</w:t>
      </w:r>
    </w:p>
    <w:p w14:paraId="7342BD60" w14:textId="717D82ED" w:rsidR="00CB0317" w:rsidRPr="00CB0317" w:rsidRDefault="00D74765" w:rsidP="00CB0317">
      <w:pPr>
        <w:pStyle w:val="SignCoverPageStart"/>
        <w:spacing w:before="240"/>
        <w:ind w:right="91"/>
        <w:rPr>
          <w:i/>
          <w:szCs w:val="22"/>
        </w:rPr>
      </w:pPr>
      <w:r>
        <w:rPr>
          <w:szCs w:val="22"/>
        </w:rPr>
        <w:t xml:space="preserve">Dated 16 October </w:t>
      </w:r>
      <w:r w:rsidR="00CB0317" w:rsidRPr="00CB0317">
        <w:rPr>
          <w:szCs w:val="22"/>
        </w:rPr>
        <w:t>2017</w:t>
      </w:r>
    </w:p>
    <w:p w14:paraId="62680721" w14:textId="77777777" w:rsidR="00554826" w:rsidRPr="00001A63" w:rsidRDefault="00554826" w:rsidP="00554826">
      <w:pPr>
        <w:keepNext/>
        <w:spacing w:before="300" w:line="240" w:lineRule="atLeast"/>
        <w:ind w:right="397"/>
        <w:jc w:val="both"/>
        <w:rPr>
          <w:szCs w:val="22"/>
        </w:rPr>
      </w:pPr>
      <w:r w:rsidRPr="00001A63">
        <w:rPr>
          <w:szCs w:val="22"/>
        </w:rPr>
        <w:tab/>
      </w:r>
      <w:bookmarkStart w:id="1" w:name="_GoBack"/>
      <w:bookmarkEnd w:id="1"/>
    </w:p>
    <w:p w14:paraId="4BE6758C" w14:textId="77777777" w:rsidR="00CB0317" w:rsidRPr="00FB0DE1" w:rsidRDefault="00CB0317" w:rsidP="00CB0317">
      <w:pPr>
        <w:pStyle w:val="SignCoverPageEnd"/>
        <w:ind w:right="91"/>
      </w:pPr>
    </w:p>
    <w:p w14:paraId="63385FA9" w14:textId="25456B86" w:rsidR="00CB0317" w:rsidRPr="00FB0DE1" w:rsidRDefault="00CB0317" w:rsidP="00CB0317">
      <w:pPr>
        <w:pStyle w:val="SignCoverPageEnd"/>
        <w:ind w:right="91"/>
      </w:pPr>
      <w:r w:rsidRPr="00FB0DE1">
        <w:t>Kelly O’DWYER</w:t>
      </w:r>
      <w:r w:rsidR="00981880">
        <w:t xml:space="preserve"> </w:t>
      </w:r>
    </w:p>
    <w:p w14:paraId="04BAD481" w14:textId="77777777" w:rsidR="00554826" w:rsidRPr="008E0027" w:rsidRDefault="00CB0317" w:rsidP="00CB0317">
      <w:pPr>
        <w:pStyle w:val="SignCoverPageEnd"/>
        <w:ind w:right="91"/>
        <w:rPr>
          <w:sz w:val="22"/>
        </w:rPr>
      </w:pPr>
      <w:r w:rsidRPr="00FB0DE1">
        <w:rPr>
          <w:sz w:val="22"/>
        </w:rPr>
        <w:t>Minister for Revenue and Financial Services</w:t>
      </w:r>
    </w:p>
    <w:p w14:paraId="0E7700E1" w14:textId="77777777" w:rsidR="00554826" w:rsidRDefault="00554826" w:rsidP="00554826"/>
    <w:p w14:paraId="06696B11" w14:textId="77777777" w:rsidR="00554826" w:rsidRPr="00ED79B6" w:rsidRDefault="00554826" w:rsidP="00554826"/>
    <w:p w14:paraId="153D2EEA" w14:textId="77777777" w:rsidR="00F6696E" w:rsidRDefault="00F6696E" w:rsidP="00F6696E"/>
    <w:p w14:paraId="673D8246" w14:textId="77777777" w:rsidR="00F6696E" w:rsidRDefault="00F6696E" w:rsidP="00F6696E">
      <w:pPr>
        <w:sectPr w:rsidR="00F6696E" w:rsidSect="00F6696E">
          <w:headerReference w:type="even" r:id="rId15"/>
          <w:headerReference w:type="default" r:id="rId16"/>
          <w:footerReference w:type="even" r:id="rId17"/>
          <w:footerReference w:type="default" r:id="rId18"/>
          <w:footerReference w:type="first" r:id="rId19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14:paraId="3DBBAB45" w14:textId="77777777" w:rsidR="00554826" w:rsidRPr="00554826" w:rsidRDefault="00554826" w:rsidP="00554826">
      <w:pPr>
        <w:pStyle w:val="ActHead5"/>
      </w:pPr>
      <w:bookmarkStart w:id="2" w:name="_Toc454512513"/>
      <w:r w:rsidRPr="00554826">
        <w:lastRenderedPageBreak/>
        <w:t>1  Name</w:t>
      </w:r>
      <w:bookmarkEnd w:id="2"/>
    </w:p>
    <w:p w14:paraId="63A648DC" w14:textId="77777777" w:rsidR="00554826" w:rsidRDefault="00554826" w:rsidP="00554826">
      <w:pPr>
        <w:pStyle w:val="subsection"/>
      </w:pPr>
      <w:r w:rsidRPr="009C2562">
        <w:tab/>
      </w:r>
      <w:r w:rsidRPr="009C2562">
        <w:tab/>
      </w:r>
      <w:r w:rsidR="00CB0317" w:rsidRPr="00CB0317">
        <w:t xml:space="preserve">This determination is the </w:t>
      </w:r>
      <w:r w:rsidR="00CB0317" w:rsidRPr="00CB0317">
        <w:rPr>
          <w:i/>
          <w:iCs/>
        </w:rPr>
        <w:t>A New Tax System (Goods and Services Tax) (Incidental Valuable Metal Goods) Determination 2017 (No. 1)</w:t>
      </w:r>
      <w:r w:rsidR="00CB0317" w:rsidRPr="00CB0317">
        <w:rPr>
          <w:iCs/>
        </w:rPr>
        <w:t>.</w:t>
      </w:r>
    </w:p>
    <w:p w14:paraId="7D46151B" w14:textId="77777777" w:rsidR="00554826" w:rsidRPr="00554826" w:rsidRDefault="00554826" w:rsidP="00554826">
      <w:pPr>
        <w:pStyle w:val="ActHead5"/>
      </w:pPr>
      <w:bookmarkStart w:id="3" w:name="_Toc454512514"/>
      <w:r w:rsidRPr="00554826">
        <w:t>2  Commencement</w:t>
      </w:r>
      <w:bookmarkEnd w:id="3"/>
    </w:p>
    <w:p w14:paraId="04A4B050" w14:textId="77777777" w:rsidR="00CB0317" w:rsidRPr="00CB0317" w:rsidRDefault="00554826" w:rsidP="00CB0317">
      <w:pPr>
        <w:pStyle w:val="subsection"/>
      </w:pPr>
      <w:r>
        <w:tab/>
      </w:r>
      <w:r>
        <w:tab/>
      </w:r>
      <w:r w:rsidR="00CB0317" w:rsidRPr="00CB0317">
        <w:t>This determination commences on the day after it is registered.</w:t>
      </w:r>
    </w:p>
    <w:p w14:paraId="3D0C9826" w14:textId="77777777" w:rsidR="00554826" w:rsidRPr="00554826" w:rsidRDefault="00554826" w:rsidP="00554826">
      <w:pPr>
        <w:pStyle w:val="ActHead5"/>
      </w:pPr>
      <w:bookmarkStart w:id="4" w:name="_Toc454512515"/>
      <w:r w:rsidRPr="00554826">
        <w:t>3  Authority</w:t>
      </w:r>
      <w:bookmarkEnd w:id="4"/>
    </w:p>
    <w:p w14:paraId="2735AE4A" w14:textId="77777777" w:rsidR="00CB0317" w:rsidRPr="00CB0317" w:rsidRDefault="00554826" w:rsidP="00CB0317">
      <w:pPr>
        <w:pStyle w:val="subsection"/>
      </w:pPr>
      <w:r w:rsidRPr="009C2562">
        <w:tab/>
      </w:r>
      <w:r w:rsidRPr="009C2562">
        <w:tab/>
      </w:r>
      <w:r w:rsidR="00CB0317">
        <w:t xml:space="preserve">This </w:t>
      </w:r>
      <w:r w:rsidR="00CB0317" w:rsidRPr="00CB0317">
        <w:t xml:space="preserve">instrument is made under subparagraph (c)(iii) of the definition of </w:t>
      </w:r>
      <w:r w:rsidR="00CB0317" w:rsidRPr="006E4AA0">
        <w:rPr>
          <w:b/>
          <w:i/>
        </w:rPr>
        <w:t>incidental valuable metal goods</w:t>
      </w:r>
      <w:r w:rsidR="00CB0317" w:rsidRPr="00CB0317">
        <w:t xml:space="preserve"> in section 195</w:t>
      </w:r>
      <w:r w:rsidR="00CB0317" w:rsidRPr="00CB0317">
        <w:noBreakHyphen/>
        <w:t xml:space="preserve">1 of the </w:t>
      </w:r>
      <w:r w:rsidR="00CB0317" w:rsidRPr="00CB0317">
        <w:rPr>
          <w:i/>
        </w:rPr>
        <w:t>A New Tax System (Goods and Services Tax) Act 1999</w:t>
      </w:r>
      <w:r w:rsidR="00CB0317" w:rsidRPr="00CB0317">
        <w:t>.</w:t>
      </w:r>
    </w:p>
    <w:p w14:paraId="516C2778" w14:textId="77777777" w:rsidR="00554826" w:rsidRPr="00554826" w:rsidRDefault="00554826" w:rsidP="00554826">
      <w:pPr>
        <w:pStyle w:val="ActHead5"/>
      </w:pPr>
      <w:bookmarkStart w:id="5" w:name="_Toc454512516"/>
      <w:r w:rsidRPr="00554826">
        <w:t>4  Definitions</w:t>
      </w:r>
      <w:bookmarkEnd w:id="5"/>
    </w:p>
    <w:p w14:paraId="3D331796" w14:textId="77777777" w:rsidR="00554826" w:rsidRPr="009C2562" w:rsidRDefault="00554826" w:rsidP="00554826">
      <w:pPr>
        <w:pStyle w:val="subsection"/>
      </w:pPr>
      <w:r w:rsidRPr="009C2562">
        <w:tab/>
      </w:r>
      <w:r w:rsidRPr="009C2562">
        <w:tab/>
        <w:t xml:space="preserve">In this </w:t>
      </w:r>
      <w:r w:rsidR="007463E5">
        <w:t>Determination</w:t>
      </w:r>
      <w:r w:rsidRPr="009C2562">
        <w:t>:</w:t>
      </w:r>
    </w:p>
    <w:p w14:paraId="6C1CAC08" w14:textId="77777777" w:rsidR="007463E5" w:rsidRPr="007463E5" w:rsidRDefault="00554826" w:rsidP="007463E5">
      <w:pPr>
        <w:pStyle w:val="Definition"/>
        <w:rPr>
          <w:i/>
          <w:iCs/>
        </w:rPr>
      </w:pPr>
      <w:r w:rsidRPr="009C2562">
        <w:rPr>
          <w:b/>
          <w:i/>
        </w:rPr>
        <w:t>Act</w:t>
      </w:r>
      <w:r w:rsidRPr="009C2562">
        <w:t xml:space="preserve"> means the </w:t>
      </w:r>
      <w:r w:rsidR="007463E5" w:rsidRPr="007463E5">
        <w:rPr>
          <w:i/>
          <w:iCs/>
        </w:rPr>
        <w:t>A New Tax System (Goods and Services Tax) Act 1999.</w:t>
      </w:r>
    </w:p>
    <w:p w14:paraId="6B1CC46C" w14:textId="3C45803F" w:rsidR="007463E5" w:rsidRPr="009C2562" w:rsidRDefault="007463E5" w:rsidP="007463E5">
      <w:pPr>
        <w:pStyle w:val="notetext"/>
      </w:pPr>
      <w:r w:rsidRPr="009C2562">
        <w:t>Note:</w:t>
      </w:r>
      <w:r w:rsidRPr="009C2562">
        <w:tab/>
      </w:r>
      <w:r w:rsidR="00F23DE2">
        <w:t>The following</w:t>
      </w:r>
      <w:r w:rsidRPr="009C2562">
        <w:t xml:space="preserve"> expressions used in this instrument are </w:t>
      </w:r>
      <w:r w:rsidRPr="00FB0DE1">
        <w:t xml:space="preserve">defined in </w:t>
      </w:r>
      <w:r w:rsidR="006275BE" w:rsidRPr="00FB0DE1">
        <w:t xml:space="preserve">section 195-1 </w:t>
      </w:r>
      <w:r w:rsidRPr="00FB0DE1">
        <w:t>of the Act</w:t>
      </w:r>
      <w:r w:rsidR="00F23DE2">
        <w:t>:</w:t>
      </w:r>
    </w:p>
    <w:p w14:paraId="49A84757" w14:textId="77777777" w:rsidR="007463E5" w:rsidRPr="009C2562" w:rsidRDefault="007463E5" w:rsidP="007463E5">
      <w:pPr>
        <w:pStyle w:val="notepara"/>
      </w:pPr>
      <w:r w:rsidRPr="009C2562">
        <w:t>(a)</w:t>
      </w:r>
      <w:r w:rsidRPr="009C2562">
        <w:tab/>
      </w:r>
      <w:r w:rsidR="00F32851" w:rsidRPr="00F32851">
        <w:t>registered;</w:t>
      </w:r>
    </w:p>
    <w:p w14:paraId="57C5A1DB" w14:textId="77777777" w:rsidR="007463E5" w:rsidRDefault="007463E5" w:rsidP="007463E5">
      <w:pPr>
        <w:pStyle w:val="notepara"/>
      </w:pPr>
      <w:r w:rsidRPr="009C2562">
        <w:t>(b)</w:t>
      </w:r>
      <w:r w:rsidRPr="009C2562">
        <w:tab/>
      </w:r>
      <w:r w:rsidR="00F32851" w:rsidRPr="00F32851">
        <w:t>valuable metal;</w:t>
      </w:r>
    </w:p>
    <w:p w14:paraId="53DF32D0" w14:textId="77777777" w:rsidR="00F32851" w:rsidRDefault="00F32851" w:rsidP="007463E5">
      <w:pPr>
        <w:pStyle w:val="notepara"/>
      </w:pPr>
      <w:r>
        <w:t>(c)</w:t>
      </w:r>
      <w:r w:rsidR="00971A94" w:rsidRPr="009C2562">
        <w:tab/>
      </w:r>
      <w:r w:rsidRPr="00F32851">
        <w:t>Australian consumer;</w:t>
      </w:r>
    </w:p>
    <w:p w14:paraId="34AD30C0" w14:textId="77777777" w:rsidR="00F32851" w:rsidRDefault="00F32851" w:rsidP="007463E5">
      <w:pPr>
        <w:pStyle w:val="notepara"/>
      </w:pPr>
      <w:r>
        <w:t>(d)</w:t>
      </w:r>
      <w:r w:rsidR="00971A94" w:rsidRPr="009C2562">
        <w:tab/>
      </w:r>
      <w:r w:rsidRPr="00F32851">
        <w:t>incidental valuable metal goods;</w:t>
      </w:r>
    </w:p>
    <w:p w14:paraId="733411C2" w14:textId="5DCC8601" w:rsidR="00F32851" w:rsidRPr="00F32851" w:rsidRDefault="00F32851" w:rsidP="00F32851">
      <w:pPr>
        <w:pStyle w:val="notepara"/>
      </w:pPr>
      <w:r>
        <w:t>(e)</w:t>
      </w:r>
      <w:r w:rsidR="00971A94" w:rsidRPr="009C2562">
        <w:tab/>
      </w:r>
      <w:r w:rsidRPr="00F32851">
        <w:t>Commissioner;</w:t>
      </w:r>
    </w:p>
    <w:p w14:paraId="37704834" w14:textId="0A3DB865" w:rsidR="00F23DE2" w:rsidRDefault="00971A94" w:rsidP="007463E5">
      <w:pPr>
        <w:pStyle w:val="notepara"/>
      </w:pPr>
      <w:r>
        <w:t>(f)</w:t>
      </w:r>
      <w:r w:rsidRPr="009C2562">
        <w:tab/>
      </w:r>
      <w:r w:rsidR="00F32851" w:rsidRPr="00F32851">
        <w:t>business</w:t>
      </w:r>
      <w:r w:rsidR="00F23DE2">
        <w:t>;</w:t>
      </w:r>
    </w:p>
    <w:p w14:paraId="2F9A41C7" w14:textId="0922E438" w:rsidR="00F32851" w:rsidRDefault="00F23DE2" w:rsidP="007463E5">
      <w:pPr>
        <w:pStyle w:val="notepara"/>
      </w:pPr>
      <w:r>
        <w:t>(g)</w:t>
      </w:r>
      <w:r w:rsidR="00DC3336">
        <w:tab/>
      </w:r>
      <w:r w:rsidRPr="00F23DE2">
        <w:t>taxable supply</w:t>
      </w:r>
      <w:r>
        <w:t>;</w:t>
      </w:r>
      <w:r w:rsidR="00B338FF">
        <w:t xml:space="preserve"> </w:t>
      </w:r>
    </w:p>
    <w:p w14:paraId="0163FC62" w14:textId="497C9DD1" w:rsidR="00F23DE2" w:rsidRDefault="00F23DE2" w:rsidP="007463E5">
      <w:pPr>
        <w:pStyle w:val="notepara"/>
      </w:pPr>
      <w:r>
        <w:t>(h)</w:t>
      </w:r>
      <w:r w:rsidR="00DC3336">
        <w:tab/>
      </w:r>
      <w:r w:rsidR="00B338FF" w:rsidRPr="00B338FF">
        <w:t>creditable acquisition</w:t>
      </w:r>
      <w:r w:rsidR="00E53C33">
        <w:t>; and</w:t>
      </w:r>
    </w:p>
    <w:p w14:paraId="71A1445B" w14:textId="033FB9AA" w:rsidR="00E53C33" w:rsidRDefault="00E53C33" w:rsidP="007463E5">
      <w:pPr>
        <w:pStyle w:val="notepara"/>
      </w:pPr>
      <w:r>
        <w:t>(i)</w:t>
      </w:r>
      <w:r w:rsidR="00DC3336">
        <w:tab/>
      </w:r>
      <w:r w:rsidRPr="00F270A5">
        <w:t>second-hand goods</w:t>
      </w:r>
      <w:r>
        <w:t>.</w:t>
      </w:r>
    </w:p>
    <w:p w14:paraId="4BDA4456" w14:textId="4498DAF0" w:rsidR="00F32851" w:rsidRPr="00F32851" w:rsidRDefault="00554826" w:rsidP="00F32851">
      <w:pPr>
        <w:pStyle w:val="ActHead5"/>
        <w:rPr>
          <w:lang w:val="en-US"/>
        </w:rPr>
      </w:pPr>
      <w:bookmarkStart w:id="6" w:name="_Toc454781205"/>
      <w:bookmarkStart w:id="7" w:name="_Toc454512517"/>
      <w:r w:rsidRPr="00554826">
        <w:t xml:space="preserve">5  </w:t>
      </w:r>
      <w:bookmarkEnd w:id="6"/>
      <w:r w:rsidR="00F32851" w:rsidRPr="00F32851">
        <w:rPr>
          <w:bCs/>
        </w:rPr>
        <w:t>Purpose of Determination</w:t>
      </w:r>
    </w:p>
    <w:p w14:paraId="0F7C774E" w14:textId="2088E495" w:rsidR="00F32851" w:rsidRPr="007A1435" w:rsidRDefault="00554826" w:rsidP="00F32851">
      <w:pPr>
        <w:pStyle w:val="subsection"/>
        <w:rPr>
          <w:b/>
          <w:lang w:val="en-US"/>
        </w:rPr>
      </w:pPr>
      <w:r w:rsidRPr="006065DA">
        <w:tab/>
      </w:r>
      <w:r w:rsidR="00F32851">
        <w:tab/>
      </w:r>
      <w:r w:rsidR="00F32851" w:rsidRPr="007A1435">
        <w:t xml:space="preserve">The purpose of this Determination is to determine a class of goods </w:t>
      </w:r>
      <w:r w:rsidR="00E60E2D">
        <w:t xml:space="preserve">that </w:t>
      </w:r>
      <w:r w:rsidR="00F32851" w:rsidRPr="007A1435">
        <w:t xml:space="preserve">are </w:t>
      </w:r>
      <w:r w:rsidR="00F32851" w:rsidRPr="006E4AA0">
        <w:t>incidental valuable metal goods</w:t>
      </w:r>
      <w:r w:rsidR="00F32851" w:rsidRPr="007A1435">
        <w:t xml:space="preserve"> for the purpose</w:t>
      </w:r>
      <w:r w:rsidR="00B5304D">
        <w:t>s</w:t>
      </w:r>
      <w:r w:rsidR="00F32851" w:rsidRPr="007A1435">
        <w:t xml:space="preserve"> of the definition of </w:t>
      </w:r>
      <w:r w:rsidR="00F32851" w:rsidRPr="006E4AA0">
        <w:rPr>
          <w:b/>
          <w:i/>
        </w:rPr>
        <w:t>incidental valuable metal goods</w:t>
      </w:r>
      <w:r w:rsidR="00F32851" w:rsidRPr="007A1435">
        <w:t xml:space="preserve"> in section 195-1 of the Act. </w:t>
      </w:r>
    </w:p>
    <w:p w14:paraId="340F22DE" w14:textId="77777777" w:rsidR="004D1DF2" w:rsidRDefault="004D1DF2">
      <w:pPr>
        <w:spacing w:line="240" w:lineRule="auto"/>
        <w:rPr>
          <w:rFonts w:eastAsia="Times New Roman" w:cs="Times New Roman"/>
          <w:b/>
          <w:kern w:val="28"/>
          <w:sz w:val="24"/>
          <w:lang w:eastAsia="en-AU"/>
        </w:rPr>
      </w:pPr>
      <w:r>
        <w:br w:type="page"/>
      </w:r>
    </w:p>
    <w:p w14:paraId="34F99991" w14:textId="46D35275" w:rsidR="00DC6F78" w:rsidRPr="00DC6F78" w:rsidRDefault="00554826" w:rsidP="00DC6F78">
      <w:pPr>
        <w:pStyle w:val="ActHead5"/>
      </w:pPr>
      <w:r w:rsidRPr="007A1435">
        <w:lastRenderedPageBreak/>
        <w:t xml:space="preserve">6  </w:t>
      </w:r>
      <w:bookmarkEnd w:id="7"/>
      <w:r w:rsidR="00DC6F78" w:rsidRPr="00DC6F78">
        <w:t>Class of goods determined to be incidental valuable metal goods</w:t>
      </w:r>
    </w:p>
    <w:p w14:paraId="1B8434E1" w14:textId="2852AC4B" w:rsidR="00BB2153" w:rsidRDefault="00554826" w:rsidP="00554826">
      <w:pPr>
        <w:pStyle w:val="subsection"/>
      </w:pPr>
      <w:r w:rsidRPr="007A1435">
        <w:tab/>
        <w:t>(1)</w:t>
      </w:r>
      <w:r w:rsidRPr="007A1435">
        <w:tab/>
      </w:r>
      <w:r w:rsidR="00BB2153">
        <w:t xml:space="preserve">This section determines, for the purposes of </w:t>
      </w:r>
      <w:r w:rsidR="00BB2153" w:rsidRPr="007A1435">
        <w:t xml:space="preserve">subparagraph (c)(iii) of the definition of </w:t>
      </w:r>
      <w:r w:rsidR="00BB2153" w:rsidRPr="006E4AA0">
        <w:rPr>
          <w:b/>
          <w:i/>
        </w:rPr>
        <w:t>incidental valuable metal goods</w:t>
      </w:r>
      <w:r w:rsidR="00BB2153" w:rsidRPr="007A1435">
        <w:t xml:space="preserve"> in section 195-1 of the Act,</w:t>
      </w:r>
      <w:r w:rsidR="00BB2153">
        <w:t xml:space="preserve"> a class of goods that consists of items, each of which meets these conditions:</w:t>
      </w:r>
    </w:p>
    <w:p w14:paraId="292FA2C7" w14:textId="138D8985" w:rsidR="00372E53" w:rsidRDefault="00372E53" w:rsidP="00372E53">
      <w:pPr>
        <w:pStyle w:val="paragraph"/>
      </w:pPr>
      <w:r>
        <w:tab/>
        <w:t>(</w:t>
      </w:r>
      <w:r w:rsidR="002A217C">
        <w:t>a</w:t>
      </w:r>
      <w:r>
        <w:t>)</w:t>
      </w:r>
      <w:r>
        <w:tab/>
      </w:r>
      <w:r w:rsidR="00DF33E4">
        <w:t xml:space="preserve">an entity (the </w:t>
      </w:r>
      <w:r w:rsidR="00DF33E4">
        <w:rPr>
          <w:b/>
          <w:i/>
        </w:rPr>
        <w:t>dealer</w:t>
      </w:r>
      <w:r w:rsidR="00DF33E4">
        <w:t xml:space="preserve">) acquires </w:t>
      </w:r>
      <w:r>
        <w:t>the item</w:t>
      </w:r>
      <w:r w:rsidR="002A217C">
        <w:t>,</w:t>
      </w:r>
      <w:r>
        <w:t xml:space="preserve"> from an entity that </w:t>
      </w:r>
      <w:r w:rsidR="00DF33E4">
        <w:t xml:space="preserve">is </w:t>
      </w:r>
      <w:r>
        <w:t>not registered</w:t>
      </w:r>
      <w:r w:rsidR="002A217C">
        <w:t>, for the purposes of sale or exchange (but not for manufacture) in the ordinary course of business</w:t>
      </w:r>
      <w:r>
        <w:t>;</w:t>
      </w:r>
    </w:p>
    <w:p w14:paraId="4B5BA46A" w14:textId="21ADF3E0" w:rsidR="00372E53" w:rsidRDefault="00372E53" w:rsidP="00372E53">
      <w:pPr>
        <w:pStyle w:val="paragraph"/>
      </w:pPr>
      <w:r>
        <w:tab/>
        <w:t>(</w:t>
      </w:r>
      <w:r w:rsidR="002A217C">
        <w:t>b</w:t>
      </w:r>
      <w:r>
        <w:t>)</w:t>
      </w:r>
      <w:r>
        <w:tab/>
      </w:r>
      <w:r w:rsidR="00255E53">
        <w:t>the item consists wholly or partly of valuable metal;</w:t>
      </w:r>
    </w:p>
    <w:p w14:paraId="0EDD3D34" w14:textId="4DE14D0A" w:rsidR="00255E53" w:rsidRDefault="00255E53" w:rsidP="00372E53">
      <w:pPr>
        <w:pStyle w:val="paragraph"/>
      </w:pPr>
      <w:r>
        <w:tab/>
        <w:t>(</w:t>
      </w:r>
      <w:r w:rsidR="002A217C">
        <w:t>c</w:t>
      </w:r>
      <w:r>
        <w:t>)</w:t>
      </w:r>
      <w:r>
        <w:tab/>
      </w:r>
      <w:r w:rsidRPr="007A1435">
        <w:t xml:space="preserve">the physical characteristics of the valuable metal in the </w:t>
      </w:r>
      <w:r>
        <w:t>item</w:t>
      </w:r>
      <w:r w:rsidRPr="007A1435">
        <w:t xml:space="preserve"> have been substantially transformed by means of</w:t>
      </w:r>
      <w:r>
        <w:t xml:space="preserve"> </w:t>
      </w:r>
      <w:r w:rsidRPr="007A1435">
        <w:t>a manufacturing process</w:t>
      </w:r>
      <w:r>
        <w:t>, or by skilled craftsmanship, that was</w:t>
      </w:r>
      <w:r w:rsidRPr="007A1435">
        <w:t xml:space="preserve"> undertaken to produce</w:t>
      </w:r>
      <w:r>
        <w:t xml:space="preserve"> the item;</w:t>
      </w:r>
    </w:p>
    <w:p w14:paraId="41D47080" w14:textId="065A85D4" w:rsidR="00255E53" w:rsidRDefault="00255E53" w:rsidP="00372E53">
      <w:pPr>
        <w:pStyle w:val="paragraph"/>
      </w:pPr>
      <w:r>
        <w:tab/>
        <w:t>(</w:t>
      </w:r>
      <w:r w:rsidR="002A217C">
        <w:t>d</w:t>
      </w:r>
      <w:r>
        <w:t>)</w:t>
      </w:r>
      <w:r>
        <w:tab/>
      </w:r>
      <w:r w:rsidR="00B440F3">
        <w:t xml:space="preserve">the item is </w:t>
      </w:r>
      <w:r w:rsidR="00B440F3" w:rsidRPr="007A1435">
        <w:t xml:space="preserve">commercially distinct from </w:t>
      </w:r>
      <w:r w:rsidR="00B440F3">
        <w:t>the</w:t>
      </w:r>
      <w:r w:rsidR="00B440F3" w:rsidRPr="007A1435">
        <w:t xml:space="preserve"> valuable metal</w:t>
      </w:r>
      <w:r w:rsidR="00B440F3">
        <w:t xml:space="preserve"> in it;</w:t>
      </w:r>
    </w:p>
    <w:p w14:paraId="0CFBBD55" w14:textId="45770E1F" w:rsidR="00DF33E4" w:rsidRDefault="00DF33E4" w:rsidP="00DF33E4">
      <w:pPr>
        <w:pStyle w:val="paragraph"/>
      </w:pPr>
      <w:r w:rsidRPr="007A1435">
        <w:tab/>
        <w:t>(</w:t>
      </w:r>
      <w:r w:rsidR="002A217C">
        <w:t>e</w:t>
      </w:r>
      <w:r w:rsidRPr="007A1435">
        <w:t>)</w:t>
      </w:r>
      <w:r w:rsidRPr="007A1435">
        <w:tab/>
      </w:r>
      <w:r>
        <w:t xml:space="preserve">the dealer supplies the item to </w:t>
      </w:r>
      <w:r w:rsidRPr="00FA1038">
        <w:t>an Australian consumer</w:t>
      </w:r>
      <w:r>
        <w:t>;</w:t>
      </w:r>
    </w:p>
    <w:p w14:paraId="2B42AF9F" w14:textId="189D72E2" w:rsidR="00D15781" w:rsidRDefault="00D15781" w:rsidP="00372E53">
      <w:pPr>
        <w:pStyle w:val="paragraph"/>
      </w:pPr>
      <w:r>
        <w:tab/>
        <w:t>(f)</w:t>
      </w:r>
      <w:r>
        <w:tab/>
        <w:t>at the time of the supply to the Australian consumer</w:t>
      </w:r>
      <w:r w:rsidR="002F0097">
        <w:t xml:space="preserve">, the </w:t>
      </w:r>
      <w:r w:rsidR="00DF33E4">
        <w:t xml:space="preserve">dealer </w:t>
      </w:r>
      <w:r w:rsidR="002F0097">
        <w:t>holds a date-stamped photograph of the item, which allows the physical characteristics of the item to be clearly identified</w:t>
      </w:r>
      <w:r w:rsidR="00E85E31">
        <w:t xml:space="preserve"> at that time</w:t>
      </w:r>
      <w:r w:rsidR="002F0097">
        <w:t>;</w:t>
      </w:r>
    </w:p>
    <w:p w14:paraId="0F40BF69" w14:textId="72F63BAD" w:rsidR="0087416C" w:rsidRDefault="0087416C" w:rsidP="00372E53">
      <w:pPr>
        <w:pStyle w:val="paragraph"/>
      </w:pPr>
      <w:r>
        <w:tab/>
        <w:t>(g)</w:t>
      </w:r>
      <w:r>
        <w:tab/>
        <w:t xml:space="preserve">throughout the period starting when the </w:t>
      </w:r>
      <w:r w:rsidR="00DF33E4">
        <w:t xml:space="preserve">dealer </w:t>
      </w:r>
      <w:r>
        <w:t>acquire</w:t>
      </w:r>
      <w:r w:rsidR="00DF33E4">
        <w:t>s</w:t>
      </w:r>
      <w:r>
        <w:t xml:space="preserve"> the item and ending when </w:t>
      </w:r>
      <w:r w:rsidR="00DF33E4">
        <w:t xml:space="preserve">the dealer supplies </w:t>
      </w:r>
      <w:r>
        <w:t>the item to the Australian consumer</w:t>
      </w:r>
      <w:r w:rsidR="00CB1E8D">
        <w:t>, the</w:t>
      </w:r>
      <w:r w:rsidR="004D1CEA">
        <w:t xml:space="preserve"> dealer</w:t>
      </w:r>
      <w:r>
        <w:t>:</w:t>
      </w:r>
    </w:p>
    <w:p w14:paraId="37968189" w14:textId="085AD498" w:rsidR="0087416C" w:rsidRDefault="0087416C" w:rsidP="0087416C">
      <w:pPr>
        <w:pStyle w:val="paragraphsub"/>
      </w:pPr>
      <w:r>
        <w:tab/>
        <w:t>(i)</w:t>
      </w:r>
      <w:r>
        <w:tab/>
      </w:r>
      <w:r w:rsidR="00CB1E8D">
        <w:t>is registered; and</w:t>
      </w:r>
    </w:p>
    <w:p w14:paraId="7BF530B7" w14:textId="78A710D0" w:rsidR="00CB1E8D" w:rsidRDefault="00CB1E8D" w:rsidP="0087416C">
      <w:pPr>
        <w:pStyle w:val="paragraphsub"/>
      </w:pPr>
      <w:r>
        <w:tab/>
        <w:t>(ii)</w:t>
      </w:r>
      <w:r>
        <w:tab/>
      </w:r>
      <w:r w:rsidRPr="007A1435">
        <w:t xml:space="preserve">is licensed as a second-hand goods dealer in every State or Territory in Australia in which the </w:t>
      </w:r>
      <w:r>
        <w:t>supplier</w:t>
      </w:r>
      <w:r w:rsidRPr="007A1435">
        <w:t xml:space="preserve"> </w:t>
      </w:r>
      <w:r>
        <w:t>carries on a business of dealing in second-hand goods; and</w:t>
      </w:r>
    </w:p>
    <w:p w14:paraId="4B4A3383" w14:textId="51C16964" w:rsidR="00CB1E8D" w:rsidRDefault="00CB1E8D" w:rsidP="0087416C">
      <w:pPr>
        <w:pStyle w:val="paragraphsub"/>
      </w:pPr>
      <w:r>
        <w:tab/>
        <w:t>(iii)</w:t>
      </w:r>
      <w:r>
        <w:tab/>
      </w:r>
      <w:r w:rsidRPr="007A1435">
        <w:t>satisfies</w:t>
      </w:r>
      <w:r>
        <w:t xml:space="preserve"> the record</w:t>
      </w:r>
      <w:r w:rsidR="00E17DB7">
        <w:t xml:space="preserve"> </w:t>
      </w:r>
      <w:r w:rsidRPr="007A1435">
        <w:t xml:space="preserve">keeping obligations </w:t>
      </w:r>
      <w:r w:rsidR="00E82562">
        <w:t xml:space="preserve">under </w:t>
      </w:r>
      <w:r w:rsidR="00E82562" w:rsidRPr="00E82562">
        <w:t>subsection</w:t>
      </w:r>
      <w:r w:rsidR="00E82562">
        <w:t>s</w:t>
      </w:r>
      <w:r w:rsidR="00E82562" w:rsidRPr="00E82562">
        <w:t xml:space="preserve"> 29-10(3) </w:t>
      </w:r>
      <w:r w:rsidR="00E82562">
        <w:t xml:space="preserve">and </w:t>
      </w:r>
      <w:r w:rsidR="00E82562" w:rsidRPr="00E82562">
        <w:t>29-20(3)</w:t>
      </w:r>
      <w:r w:rsidR="00046E64">
        <w:t xml:space="preserve"> of the Act</w:t>
      </w:r>
      <w:r w:rsidR="00E82562">
        <w:t>, as modified by</w:t>
      </w:r>
      <w:r w:rsidR="00E82562" w:rsidRPr="00E82562">
        <w:t xml:space="preserve"> </w:t>
      </w:r>
      <w:r w:rsidRPr="007A1435">
        <w:t>section 66-17 of the Act to the extent the entity is required to comply with those obligations</w:t>
      </w:r>
      <w:r w:rsidR="000523A8">
        <w:t>.</w:t>
      </w:r>
    </w:p>
    <w:p w14:paraId="45E605F2" w14:textId="59F04A0C" w:rsidR="00F270A5" w:rsidRDefault="00F270A5" w:rsidP="00D371A1">
      <w:pPr>
        <w:tabs>
          <w:tab w:val="left" w:pos="1985"/>
        </w:tabs>
        <w:spacing w:before="122" w:line="198" w:lineRule="exact"/>
        <w:ind w:left="1985" w:hanging="851"/>
        <w:rPr>
          <w:rFonts w:eastAsia="Times New Roman" w:cs="Times New Roman"/>
          <w:sz w:val="18"/>
          <w:lang w:eastAsia="en-AU"/>
        </w:rPr>
      </w:pPr>
      <w:r>
        <w:rPr>
          <w:rFonts w:eastAsia="Times New Roman" w:cs="Times New Roman"/>
          <w:sz w:val="18"/>
          <w:lang w:eastAsia="en-AU"/>
        </w:rPr>
        <w:t xml:space="preserve">Note: </w:t>
      </w:r>
      <w:r>
        <w:rPr>
          <w:rFonts w:eastAsia="Times New Roman" w:cs="Times New Roman"/>
          <w:sz w:val="18"/>
          <w:lang w:eastAsia="en-AU"/>
        </w:rPr>
        <w:tab/>
      </w:r>
      <w:r w:rsidRPr="00F270A5">
        <w:rPr>
          <w:rFonts w:eastAsia="Times New Roman" w:cs="Times New Roman"/>
          <w:sz w:val="18"/>
          <w:lang w:eastAsia="en-AU"/>
        </w:rPr>
        <w:t xml:space="preserve">Section 66-17 </w:t>
      </w:r>
      <w:r w:rsidR="00046E64">
        <w:rPr>
          <w:rFonts w:eastAsia="Times New Roman" w:cs="Times New Roman"/>
          <w:sz w:val="18"/>
          <w:lang w:eastAsia="en-AU"/>
        </w:rPr>
        <w:t xml:space="preserve">of the Act </w:t>
      </w:r>
      <w:r w:rsidRPr="00F270A5">
        <w:rPr>
          <w:rFonts w:eastAsia="Times New Roman" w:cs="Times New Roman"/>
          <w:sz w:val="18"/>
          <w:lang w:eastAsia="en-AU"/>
        </w:rPr>
        <w:t>modifies the effect of subsection</w:t>
      </w:r>
      <w:r w:rsidR="00046E64">
        <w:rPr>
          <w:rFonts w:eastAsia="Times New Roman" w:cs="Times New Roman"/>
          <w:sz w:val="18"/>
          <w:lang w:eastAsia="en-AU"/>
        </w:rPr>
        <w:t>s</w:t>
      </w:r>
      <w:r w:rsidRPr="00F270A5">
        <w:rPr>
          <w:rFonts w:eastAsia="Times New Roman" w:cs="Times New Roman"/>
          <w:sz w:val="18"/>
          <w:lang w:eastAsia="en-AU"/>
        </w:rPr>
        <w:t xml:space="preserve"> 29-10(3) (which is about records relating to attributing the input tax credits fo</w:t>
      </w:r>
      <w:r w:rsidR="00046E64">
        <w:rPr>
          <w:rFonts w:eastAsia="Times New Roman" w:cs="Times New Roman"/>
          <w:sz w:val="18"/>
          <w:lang w:eastAsia="en-AU"/>
        </w:rPr>
        <w:t xml:space="preserve">r creditable acquisitions) and </w:t>
      </w:r>
      <w:r w:rsidRPr="00F270A5">
        <w:rPr>
          <w:rFonts w:eastAsia="Times New Roman" w:cs="Times New Roman"/>
          <w:sz w:val="18"/>
          <w:lang w:eastAsia="en-AU"/>
        </w:rPr>
        <w:t>29</w:t>
      </w:r>
      <w:r w:rsidR="00046E64">
        <w:rPr>
          <w:rFonts w:eastAsia="Times New Roman" w:cs="Times New Roman"/>
          <w:sz w:val="18"/>
          <w:lang w:eastAsia="en-AU"/>
        </w:rPr>
        <w:noBreakHyphen/>
      </w:r>
      <w:r w:rsidRPr="00F270A5">
        <w:rPr>
          <w:rFonts w:eastAsia="Times New Roman" w:cs="Times New Roman"/>
          <w:sz w:val="18"/>
          <w:lang w:eastAsia="en-AU"/>
        </w:rPr>
        <w:t xml:space="preserve">20(3) (which is about records relating to attributing decreasing adjustments) </w:t>
      </w:r>
      <w:r w:rsidR="00046E64">
        <w:rPr>
          <w:rFonts w:eastAsia="Times New Roman" w:cs="Times New Roman"/>
          <w:sz w:val="18"/>
          <w:lang w:eastAsia="en-AU"/>
        </w:rPr>
        <w:t xml:space="preserve">of the Act </w:t>
      </w:r>
      <w:r w:rsidRPr="00F270A5">
        <w:rPr>
          <w:rFonts w:eastAsia="Times New Roman" w:cs="Times New Roman"/>
          <w:sz w:val="18"/>
          <w:lang w:eastAsia="en-AU"/>
        </w:rPr>
        <w:t>if an entity makes a creditable acquisition of second-hand goods and the supply of the goods to the entity was not a taxable supply.</w:t>
      </w:r>
    </w:p>
    <w:p w14:paraId="675EB810" w14:textId="6FA58B11" w:rsidR="00411E5B" w:rsidRDefault="00D4793A" w:rsidP="00D4793A">
      <w:pPr>
        <w:spacing w:before="122" w:line="198" w:lineRule="exact"/>
        <w:ind w:left="1985" w:hanging="851"/>
        <w:rPr>
          <w:rFonts w:eastAsia="Times New Roman" w:cs="Times New Roman"/>
          <w:sz w:val="18"/>
          <w:lang w:eastAsia="en-AU"/>
        </w:rPr>
      </w:pPr>
      <w:r w:rsidRPr="00D4793A">
        <w:rPr>
          <w:rFonts w:eastAsia="Times New Roman" w:cs="Times New Roman"/>
          <w:sz w:val="18"/>
          <w:lang w:eastAsia="en-AU"/>
        </w:rPr>
        <w:t>Example:</w:t>
      </w:r>
      <w:r>
        <w:rPr>
          <w:rFonts w:eastAsia="Times New Roman" w:cs="Times New Roman"/>
          <w:sz w:val="18"/>
          <w:lang w:eastAsia="en-AU"/>
        </w:rPr>
        <w:tab/>
        <w:t>XYZ Pty Ltd is a licensed second-hand goods dealer that operates in Tasmania</w:t>
      </w:r>
      <w:r w:rsidR="009D1ADF">
        <w:rPr>
          <w:rFonts w:eastAsia="Times New Roman" w:cs="Times New Roman"/>
          <w:sz w:val="18"/>
          <w:lang w:eastAsia="en-AU"/>
        </w:rPr>
        <w:t xml:space="preserve"> and is registered for GST</w:t>
      </w:r>
      <w:r>
        <w:rPr>
          <w:rFonts w:eastAsia="Times New Roman" w:cs="Times New Roman"/>
          <w:sz w:val="18"/>
          <w:lang w:eastAsia="en-AU"/>
        </w:rPr>
        <w:t xml:space="preserve">. The company purchases </w:t>
      </w:r>
      <w:r w:rsidR="00460212">
        <w:rPr>
          <w:rFonts w:eastAsia="Times New Roman" w:cs="Times New Roman"/>
          <w:sz w:val="18"/>
          <w:lang w:eastAsia="en-AU"/>
        </w:rPr>
        <w:t xml:space="preserve">an 18 carat gold </w:t>
      </w:r>
      <w:r w:rsidR="00376BCC">
        <w:rPr>
          <w:rFonts w:eastAsia="Times New Roman" w:cs="Times New Roman"/>
          <w:sz w:val="18"/>
          <w:lang w:eastAsia="en-AU"/>
        </w:rPr>
        <w:t>55 cm necklace</w:t>
      </w:r>
      <w:r w:rsidR="00460212">
        <w:rPr>
          <w:rFonts w:eastAsia="Times New Roman" w:cs="Times New Roman"/>
          <w:sz w:val="18"/>
          <w:lang w:eastAsia="en-AU"/>
        </w:rPr>
        <w:t xml:space="preserve"> </w:t>
      </w:r>
      <w:r w:rsidR="00057A01">
        <w:rPr>
          <w:rFonts w:eastAsia="Times New Roman" w:cs="Times New Roman"/>
          <w:sz w:val="18"/>
          <w:lang w:eastAsia="en-AU"/>
        </w:rPr>
        <w:t xml:space="preserve">that is in </w:t>
      </w:r>
      <w:r w:rsidR="00D65101">
        <w:rPr>
          <w:rFonts w:eastAsia="Times New Roman" w:cs="Times New Roman"/>
          <w:sz w:val="18"/>
          <w:lang w:eastAsia="en-AU"/>
        </w:rPr>
        <w:t>original</w:t>
      </w:r>
      <w:r w:rsidR="00057A01">
        <w:rPr>
          <w:rFonts w:eastAsia="Times New Roman" w:cs="Times New Roman"/>
          <w:sz w:val="18"/>
          <w:lang w:eastAsia="en-AU"/>
        </w:rPr>
        <w:t xml:space="preserve"> condition </w:t>
      </w:r>
      <w:r w:rsidR="00460212">
        <w:rPr>
          <w:rFonts w:eastAsia="Times New Roman" w:cs="Times New Roman"/>
          <w:sz w:val="18"/>
          <w:lang w:eastAsia="en-AU"/>
        </w:rPr>
        <w:t xml:space="preserve">from Eloise who is not registered for GST. </w:t>
      </w:r>
      <w:r w:rsidR="000A12FD" w:rsidRPr="000A12FD" w:rsidDel="00811AEE">
        <w:rPr>
          <w:rFonts w:eastAsia="Times New Roman" w:cs="Times New Roman"/>
          <w:sz w:val="18"/>
          <w:lang w:eastAsia="en-AU"/>
        </w:rPr>
        <w:t>At the time of purchase of the necklace, XYZ</w:t>
      </w:r>
      <w:r w:rsidR="000A12FD" w:rsidDel="00811AEE">
        <w:rPr>
          <w:rFonts w:eastAsia="Times New Roman" w:cs="Times New Roman"/>
          <w:sz w:val="18"/>
          <w:lang w:eastAsia="en-AU"/>
        </w:rPr>
        <w:t> </w:t>
      </w:r>
      <w:r w:rsidR="000A12FD" w:rsidRPr="000A12FD" w:rsidDel="00811AEE">
        <w:rPr>
          <w:rFonts w:eastAsia="Times New Roman" w:cs="Times New Roman"/>
          <w:sz w:val="18"/>
          <w:lang w:eastAsia="en-AU"/>
        </w:rPr>
        <w:t>Pty</w:t>
      </w:r>
      <w:r w:rsidR="000A12FD" w:rsidDel="00811AEE">
        <w:rPr>
          <w:rFonts w:eastAsia="Times New Roman" w:cs="Times New Roman"/>
          <w:sz w:val="18"/>
          <w:lang w:eastAsia="en-AU"/>
        </w:rPr>
        <w:t> </w:t>
      </w:r>
      <w:r w:rsidR="000A12FD" w:rsidRPr="000A12FD" w:rsidDel="00811AEE">
        <w:rPr>
          <w:rFonts w:eastAsia="Times New Roman" w:cs="Times New Roman"/>
          <w:sz w:val="18"/>
          <w:lang w:eastAsia="en-AU"/>
        </w:rPr>
        <w:t xml:space="preserve">Ltd takes several </w:t>
      </w:r>
      <w:r w:rsidR="00457DD8">
        <w:rPr>
          <w:rFonts w:eastAsia="Times New Roman" w:cs="Times New Roman"/>
          <w:sz w:val="18"/>
          <w:lang w:eastAsia="en-AU"/>
        </w:rPr>
        <w:t xml:space="preserve">digital </w:t>
      </w:r>
      <w:r w:rsidR="000A12FD" w:rsidRPr="000A12FD" w:rsidDel="00811AEE">
        <w:rPr>
          <w:rFonts w:eastAsia="Times New Roman" w:cs="Times New Roman"/>
          <w:sz w:val="18"/>
          <w:lang w:eastAsia="en-AU"/>
        </w:rPr>
        <w:t>photographs of the necklace</w:t>
      </w:r>
      <w:r w:rsidR="00457DD8">
        <w:rPr>
          <w:rFonts w:eastAsia="Times New Roman" w:cs="Times New Roman"/>
          <w:sz w:val="18"/>
          <w:lang w:eastAsia="en-AU"/>
        </w:rPr>
        <w:t xml:space="preserve">. The photographs are date-stamped, as the date each photograph was taken </w:t>
      </w:r>
      <w:r w:rsidR="00A15225">
        <w:rPr>
          <w:rFonts w:eastAsia="Times New Roman" w:cs="Times New Roman"/>
          <w:sz w:val="18"/>
          <w:lang w:eastAsia="en-AU"/>
        </w:rPr>
        <w:t>can be identified</w:t>
      </w:r>
      <w:r w:rsidR="00457DD8">
        <w:rPr>
          <w:rFonts w:eastAsia="Times New Roman" w:cs="Times New Roman"/>
          <w:sz w:val="18"/>
          <w:lang w:eastAsia="en-AU"/>
        </w:rPr>
        <w:t xml:space="preserve"> from each photograph’s metadata.</w:t>
      </w:r>
      <w:r w:rsidR="000A12FD" w:rsidRPr="000A12FD" w:rsidDel="00811AEE">
        <w:rPr>
          <w:rFonts w:eastAsia="Times New Roman" w:cs="Times New Roman"/>
          <w:sz w:val="18"/>
          <w:lang w:eastAsia="en-AU"/>
        </w:rPr>
        <w:t xml:space="preserve"> </w:t>
      </w:r>
      <w:r w:rsidR="000F6C1D">
        <w:rPr>
          <w:rFonts w:eastAsia="Times New Roman" w:cs="Times New Roman"/>
          <w:sz w:val="18"/>
          <w:lang w:eastAsia="en-AU"/>
        </w:rPr>
        <w:t xml:space="preserve">A week later </w:t>
      </w:r>
      <w:r w:rsidR="00376BCC" w:rsidRPr="00376BCC">
        <w:rPr>
          <w:rFonts w:eastAsia="Times New Roman" w:cs="Times New Roman"/>
          <w:sz w:val="18"/>
          <w:lang w:eastAsia="en-AU"/>
        </w:rPr>
        <w:t>XYZ Pty Ltd</w:t>
      </w:r>
      <w:r w:rsidR="00376BCC">
        <w:rPr>
          <w:rFonts w:eastAsia="Times New Roman" w:cs="Times New Roman"/>
          <w:sz w:val="18"/>
          <w:lang w:eastAsia="en-AU"/>
        </w:rPr>
        <w:t xml:space="preserve"> sells the </w:t>
      </w:r>
      <w:r w:rsidR="001C37B7">
        <w:rPr>
          <w:rFonts w:eastAsia="Times New Roman" w:cs="Times New Roman"/>
          <w:sz w:val="18"/>
          <w:lang w:eastAsia="en-AU"/>
        </w:rPr>
        <w:t>necklace</w:t>
      </w:r>
      <w:r w:rsidR="00376BCC">
        <w:rPr>
          <w:rFonts w:eastAsia="Times New Roman" w:cs="Times New Roman"/>
          <w:sz w:val="18"/>
          <w:lang w:eastAsia="en-AU"/>
        </w:rPr>
        <w:t xml:space="preserve"> to </w:t>
      </w:r>
      <w:r w:rsidR="001C37B7">
        <w:rPr>
          <w:rFonts w:eastAsia="Times New Roman" w:cs="Times New Roman"/>
          <w:sz w:val="18"/>
          <w:lang w:eastAsia="en-AU"/>
        </w:rPr>
        <w:t>Teresa</w:t>
      </w:r>
      <w:r w:rsidR="00B15607">
        <w:rPr>
          <w:rFonts w:eastAsia="Times New Roman" w:cs="Times New Roman"/>
          <w:sz w:val="18"/>
          <w:lang w:eastAsia="en-AU"/>
        </w:rPr>
        <w:t xml:space="preserve"> who is an Australian resident </w:t>
      </w:r>
      <w:r w:rsidR="00422CE2">
        <w:rPr>
          <w:rFonts w:eastAsia="Times New Roman" w:cs="Times New Roman"/>
          <w:sz w:val="18"/>
          <w:lang w:eastAsia="en-AU"/>
        </w:rPr>
        <w:t>and is not registered for GST</w:t>
      </w:r>
      <w:r w:rsidR="00895F3A">
        <w:rPr>
          <w:rFonts w:eastAsia="Times New Roman" w:cs="Times New Roman"/>
          <w:sz w:val="18"/>
          <w:lang w:eastAsia="en-AU"/>
        </w:rPr>
        <w:t xml:space="preserve">. </w:t>
      </w:r>
    </w:p>
    <w:p w14:paraId="2881E2B8" w14:textId="3FB04F36" w:rsidR="007A09CF" w:rsidRDefault="002812E8" w:rsidP="00411E5B">
      <w:pPr>
        <w:spacing w:before="122" w:line="198" w:lineRule="exact"/>
        <w:ind w:left="1985"/>
        <w:rPr>
          <w:rFonts w:eastAsia="Times New Roman" w:cs="Times New Roman"/>
          <w:sz w:val="18"/>
          <w:lang w:eastAsia="en-AU"/>
        </w:rPr>
      </w:pPr>
      <w:r>
        <w:rPr>
          <w:rFonts w:eastAsia="Times New Roman" w:cs="Times New Roman"/>
          <w:sz w:val="18"/>
          <w:lang w:eastAsia="en-AU"/>
        </w:rPr>
        <w:t xml:space="preserve">XYZ Pty Ltd </w:t>
      </w:r>
      <w:r w:rsidR="000A1EA6">
        <w:rPr>
          <w:rFonts w:eastAsia="Times New Roman" w:cs="Times New Roman"/>
          <w:sz w:val="18"/>
          <w:lang w:eastAsia="en-AU"/>
        </w:rPr>
        <w:t>retains</w:t>
      </w:r>
      <w:r>
        <w:rPr>
          <w:rFonts w:eastAsia="Times New Roman" w:cs="Times New Roman"/>
          <w:sz w:val="18"/>
          <w:lang w:eastAsia="en-AU"/>
        </w:rPr>
        <w:t xml:space="preserve"> these photographs and </w:t>
      </w:r>
      <w:r w:rsidR="000A1EA6">
        <w:rPr>
          <w:rFonts w:eastAsia="Times New Roman" w:cs="Times New Roman"/>
          <w:sz w:val="18"/>
          <w:lang w:eastAsia="en-AU"/>
        </w:rPr>
        <w:t xml:space="preserve">also </w:t>
      </w:r>
      <w:r>
        <w:rPr>
          <w:rFonts w:eastAsia="Times New Roman" w:cs="Times New Roman"/>
          <w:sz w:val="18"/>
          <w:lang w:eastAsia="en-AU"/>
        </w:rPr>
        <w:t xml:space="preserve">records </w:t>
      </w:r>
      <w:r w:rsidR="000E1359">
        <w:rPr>
          <w:rFonts w:eastAsia="Times New Roman" w:cs="Times New Roman"/>
          <w:sz w:val="18"/>
          <w:lang w:eastAsia="en-AU"/>
        </w:rPr>
        <w:t xml:space="preserve">the purchase and sale </w:t>
      </w:r>
      <w:r w:rsidR="000A1EA6">
        <w:rPr>
          <w:rFonts w:eastAsia="Times New Roman" w:cs="Times New Roman"/>
          <w:sz w:val="18"/>
          <w:lang w:eastAsia="en-AU"/>
        </w:rPr>
        <w:t>of the necklace</w:t>
      </w:r>
      <w:r w:rsidR="005C3557">
        <w:rPr>
          <w:rFonts w:eastAsia="Times New Roman" w:cs="Times New Roman"/>
          <w:sz w:val="18"/>
          <w:lang w:eastAsia="en-AU"/>
        </w:rPr>
        <w:t xml:space="preserve"> as evidence</w:t>
      </w:r>
      <w:r w:rsidR="000E1359">
        <w:rPr>
          <w:rFonts w:eastAsia="Times New Roman" w:cs="Times New Roman"/>
          <w:sz w:val="18"/>
          <w:lang w:eastAsia="en-AU"/>
        </w:rPr>
        <w:t>.</w:t>
      </w:r>
      <w:r w:rsidR="009D1ADF">
        <w:rPr>
          <w:rFonts w:eastAsia="Times New Roman" w:cs="Times New Roman"/>
          <w:sz w:val="18"/>
          <w:lang w:eastAsia="en-AU"/>
        </w:rPr>
        <w:t xml:space="preserve"> </w:t>
      </w:r>
      <w:r w:rsidR="003B5D88">
        <w:rPr>
          <w:rFonts w:eastAsia="Times New Roman" w:cs="Times New Roman"/>
          <w:sz w:val="18"/>
          <w:lang w:eastAsia="en-AU"/>
        </w:rPr>
        <w:t>XYZ Pty Ltd ensure</w:t>
      </w:r>
      <w:r w:rsidR="00B15607">
        <w:rPr>
          <w:rFonts w:eastAsia="Times New Roman" w:cs="Times New Roman"/>
          <w:sz w:val="18"/>
          <w:lang w:eastAsia="en-AU"/>
        </w:rPr>
        <w:t>s</w:t>
      </w:r>
      <w:r w:rsidR="003B5D88">
        <w:rPr>
          <w:rFonts w:eastAsia="Times New Roman" w:cs="Times New Roman"/>
          <w:sz w:val="18"/>
          <w:lang w:eastAsia="en-AU"/>
        </w:rPr>
        <w:t xml:space="preserve"> that it keeps </w:t>
      </w:r>
      <w:r w:rsidR="00B15607">
        <w:rPr>
          <w:rFonts w:eastAsia="Times New Roman" w:cs="Times New Roman"/>
          <w:sz w:val="18"/>
          <w:lang w:eastAsia="en-AU"/>
        </w:rPr>
        <w:t>records including</w:t>
      </w:r>
      <w:r w:rsidR="00717AE7">
        <w:rPr>
          <w:rFonts w:eastAsia="Times New Roman" w:cs="Times New Roman"/>
          <w:sz w:val="18"/>
          <w:lang w:eastAsia="en-AU"/>
        </w:rPr>
        <w:t>:</w:t>
      </w:r>
      <w:r w:rsidR="009D1ADF">
        <w:rPr>
          <w:rFonts w:eastAsia="Times New Roman" w:cs="Times New Roman"/>
          <w:sz w:val="18"/>
          <w:lang w:eastAsia="en-AU"/>
        </w:rPr>
        <w:t xml:space="preserve"> </w:t>
      </w:r>
    </w:p>
    <w:p w14:paraId="5B5D2F3D" w14:textId="3DEB7EFF" w:rsidR="00F14811" w:rsidRDefault="009D1ADF" w:rsidP="00B22A7A">
      <w:pPr>
        <w:pStyle w:val="Bullet"/>
        <w:tabs>
          <w:tab w:val="clear" w:pos="425"/>
          <w:tab w:val="num" w:pos="1985"/>
        </w:tabs>
        <w:ind w:left="2552" w:hanging="567"/>
      </w:pPr>
      <w:bookmarkStart w:id="8" w:name="tempbookmark"/>
      <w:bookmarkEnd w:id="8"/>
      <w:r>
        <w:t>the name</w:t>
      </w:r>
      <w:r w:rsidR="00F14811">
        <w:t>,</w:t>
      </w:r>
      <w:r>
        <w:t xml:space="preserve"> address </w:t>
      </w:r>
      <w:r w:rsidR="00B15607">
        <w:t xml:space="preserve">and GST registration status </w:t>
      </w:r>
      <w:r>
        <w:t>of the seller of the necklace</w:t>
      </w:r>
      <w:r w:rsidR="00AD447D">
        <w:t>, Eloise</w:t>
      </w:r>
      <w:r w:rsidR="00F14811">
        <w:t>;</w:t>
      </w:r>
    </w:p>
    <w:p w14:paraId="04222D63" w14:textId="2C964DC1" w:rsidR="00F14811" w:rsidRDefault="003B7940" w:rsidP="00B22A7A">
      <w:pPr>
        <w:pStyle w:val="Bullet"/>
        <w:tabs>
          <w:tab w:val="clear" w:pos="425"/>
          <w:tab w:val="num" w:pos="1985"/>
        </w:tabs>
        <w:ind w:left="2552" w:hanging="567"/>
      </w:pPr>
      <w:r>
        <w:t xml:space="preserve">the </w:t>
      </w:r>
      <w:r w:rsidRPr="003B7940">
        <w:t xml:space="preserve">GST registration status </w:t>
      </w:r>
      <w:r>
        <w:t xml:space="preserve">and </w:t>
      </w:r>
      <w:r w:rsidRPr="006C4BEF">
        <w:t xml:space="preserve">residency status </w:t>
      </w:r>
      <w:r w:rsidRPr="003B7940">
        <w:t xml:space="preserve">of </w:t>
      </w:r>
      <w:r w:rsidR="00B15607">
        <w:t>the purchaser of the necklace</w:t>
      </w:r>
      <w:r w:rsidR="00A3033F">
        <w:t>, Teresa</w:t>
      </w:r>
      <w:r w:rsidR="00F14811">
        <w:t>;</w:t>
      </w:r>
      <w:r w:rsidR="007A09CF">
        <w:t xml:space="preserve"> </w:t>
      </w:r>
      <w:r w:rsidR="001012EB">
        <w:t>and</w:t>
      </w:r>
    </w:p>
    <w:p w14:paraId="18B66CE3" w14:textId="77777777" w:rsidR="00F14811" w:rsidRDefault="009D1ADF" w:rsidP="00B22A7A">
      <w:pPr>
        <w:pStyle w:val="Bullet"/>
        <w:tabs>
          <w:tab w:val="clear" w:pos="425"/>
          <w:tab w:val="num" w:pos="1985"/>
        </w:tabs>
        <w:ind w:left="2552" w:hanging="567"/>
      </w:pPr>
      <w:r>
        <w:t xml:space="preserve">a description of </w:t>
      </w:r>
      <w:r w:rsidR="006C4BEF">
        <w:t xml:space="preserve">and quantity of </w:t>
      </w:r>
      <w:r>
        <w:t>the goods</w:t>
      </w:r>
      <w:r w:rsidR="003C69AA">
        <w:t>.</w:t>
      </w:r>
      <w:r w:rsidR="006C4BEF">
        <w:t xml:space="preserve"> </w:t>
      </w:r>
    </w:p>
    <w:p w14:paraId="37C83B8B" w14:textId="6370CB79" w:rsidR="00895F3A" w:rsidRDefault="003C69AA" w:rsidP="00B22A7A">
      <w:pPr>
        <w:pStyle w:val="Bullet"/>
        <w:numPr>
          <w:ilvl w:val="0"/>
          <w:numId w:val="0"/>
        </w:numPr>
        <w:ind w:left="1985"/>
      </w:pPr>
      <w:r>
        <w:t xml:space="preserve">XYZ Pty Ltd has good record keeping practices and retains all necessary records </w:t>
      </w:r>
      <w:r w:rsidR="006C4BEF">
        <w:t>of</w:t>
      </w:r>
      <w:r w:rsidR="00411E5B">
        <w:t xml:space="preserve"> its dealings in second</w:t>
      </w:r>
      <w:r w:rsidR="005C3557">
        <w:t>-</w:t>
      </w:r>
      <w:r w:rsidR="00411E5B">
        <w:t>hand goods, including</w:t>
      </w:r>
      <w:r w:rsidR="009D1ADF">
        <w:t xml:space="preserve"> the date of and consideration for </w:t>
      </w:r>
      <w:r w:rsidR="003B5D88">
        <w:t>all</w:t>
      </w:r>
      <w:r w:rsidR="009D1ADF">
        <w:t xml:space="preserve"> acquisition</w:t>
      </w:r>
      <w:r w:rsidR="003B5D88">
        <w:t>s of second</w:t>
      </w:r>
      <w:r w:rsidR="005C3557">
        <w:t>-</w:t>
      </w:r>
      <w:r w:rsidR="003B5D88">
        <w:t>hand goods</w:t>
      </w:r>
      <w:r w:rsidR="009D1ADF">
        <w:t>.</w:t>
      </w:r>
      <w:r w:rsidR="00422CE2">
        <w:t xml:space="preserve"> </w:t>
      </w:r>
    </w:p>
    <w:p w14:paraId="64D1AECB" w14:textId="77777777" w:rsidR="002812E8" w:rsidRDefault="002812E8" w:rsidP="00895F3A">
      <w:pPr>
        <w:spacing w:before="122" w:line="198" w:lineRule="exact"/>
        <w:ind w:left="1985"/>
        <w:rPr>
          <w:rFonts w:eastAsia="Times New Roman" w:cs="Times New Roman"/>
          <w:sz w:val="18"/>
          <w:lang w:eastAsia="en-AU"/>
        </w:rPr>
      </w:pPr>
      <w:r>
        <w:rPr>
          <w:rFonts w:eastAsia="Times New Roman" w:cs="Times New Roman"/>
          <w:sz w:val="18"/>
          <w:lang w:eastAsia="en-AU"/>
        </w:rPr>
        <w:t>The necklace satisfies the definition of incidental valuable metal goods because:</w:t>
      </w:r>
    </w:p>
    <w:p w14:paraId="5B2B918A" w14:textId="0D9B1E54" w:rsidR="00620068" w:rsidRDefault="00453FE5" w:rsidP="002812E8">
      <w:pPr>
        <w:pStyle w:val="Bullet"/>
        <w:tabs>
          <w:tab w:val="clear" w:pos="425"/>
          <w:tab w:val="num" w:pos="1985"/>
        </w:tabs>
        <w:ind w:left="2552" w:hanging="567"/>
      </w:pPr>
      <w:r w:rsidRPr="00453FE5">
        <w:lastRenderedPageBreak/>
        <w:t xml:space="preserve">XYZ Pty Ltd </w:t>
      </w:r>
      <w:r w:rsidR="00620068">
        <w:t>has acquired the necklace from an unregistered entity (Eloise)</w:t>
      </w:r>
      <w:r w:rsidRPr="00453FE5">
        <w:rPr>
          <w:rFonts w:eastAsiaTheme="minorHAnsi" w:cstheme="minorBidi"/>
          <w:sz w:val="22"/>
          <w:lang w:eastAsia="en-US"/>
        </w:rPr>
        <w:t xml:space="preserve"> </w:t>
      </w:r>
      <w:r w:rsidRPr="00453FE5">
        <w:t>for the purposes of sale or exchange (but not for manufacture) in the ordinary course of business</w:t>
      </w:r>
      <w:r w:rsidR="00620068">
        <w:t>;</w:t>
      </w:r>
      <w:r w:rsidR="00B15607">
        <w:t xml:space="preserve"> and</w:t>
      </w:r>
    </w:p>
    <w:p w14:paraId="2293315A" w14:textId="2EFFDBE6" w:rsidR="00453FE5" w:rsidRDefault="00601AF2" w:rsidP="002812E8">
      <w:pPr>
        <w:pStyle w:val="Bullet"/>
        <w:tabs>
          <w:tab w:val="clear" w:pos="425"/>
          <w:tab w:val="num" w:pos="1985"/>
        </w:tabs>
        <w:ind w:left="2552" w:hanging="567"/>
      </w:pPr>
      <w:r>
        <w:t>t</w:t>
      </w:r>
      <w:r w:rsidR="00453FE5">
        <w:t>he necklace consists of valuable metal</w:t>
      </w:r>
      <w:r w:rsidR="00453FE5" w:rsidRPr="00453FE5">
        <w:t xml:space="preserve"> </w:t>
      </w:r>
      <w:r w:rsidR="00453FE5">
        <w:t xml:space="preserve">(as it is made of </w:t>
      </w:r>
      <w:r w:rsidR="00453FE5" w:rsidRPr="00453FE5">
        <w:t xml:space="preserve">18 carat </w:t>
      </w:r>
      <w:r w:rsidR="00453FE5">
        <w:t>gold);</w:t>
      </w:r>
      <w:r w:rsidR="004E7C1E">
        <w:t xml:space="preserve"> and</w:t>
      </w:r>
    </w:p>
    <w:p w14:paraId="317B3546" w14:textId="0539CA30" w:rsidR="004939DD" w:rsidRDefault="00B15607" w:rsidP="002812E8">
      <w:pPr>
        <w:pStyle w:val="Bullet"/>
        <w:tabs>
          <w:tab w:val="clear" w:pos="425"/>
          <w:tab w:val="num" w:pos="1985"/>
        </w:tabs>
        <w:ind w:left="2552" w:hanging="567"/>
      </w:pPr>
      <w:r>
        <w:t>t</w:t>
      </w:r>
      <w:r w:rsidR="00620068">
        <w:t xml:space="preserve">he 18 carat gold has been substantially transformed by a manufactured process and skilled craftsmanship </w:t>
      </w:r>
      <w:r w:rsidR="00F25660">
        <w:t>to produce the necklace and is</w:t>
      </w:r>
      <w:r>
        <w:t xml:space="preserve"> co</w:t>
      </w:r>
      <w:r w:rsidR="00BB0F2F">
        <w:t xml:space="preserve">mmercially distinct from </w:t>
      </w:r>
      <w:r w:rsidR="00057A01">
        <w:t xml:space="preserve">a quantity of </w:t>
      </w:r>
      <w:r w:rsidR="00BB0F2F">
        <w:t>18 cara</w:t>
      </w:r>
      <w:r>
        <w:t xml:space="preserve">t gold as </w:t>
      </w:r>
      <w:r w:rsidR="00057A01">
        <w:t>the necklace in its</w:t>
      </w:r>
      <w:r w:rsidR="00F25660">
        <w:t xml:space="preserve"> current condition would be expected to be</w:t>
      </w:r>
      <w:r>
        <w:t xml:space="preserve"> sold as a necklace rather than </w:t>
      </w:r>
      <w:r w:rsidR="00FC596C">
        <w:t xml:space="preserve">as </w:t>
      </w:r>
      <w:r w:rsidR="00F25660">
        <w:t>a</w:t>
      </w:r>
      <w:r w:rsidR="00FC596C">
        <w:t xml:space="preserve"> quantity</w:t>
      </w:r>
      <w:r w:rsidR="00F25660">
        <w:t xml:space="preserve"> of </w:t>
      </w:r>
      <w:r>
        <w:t>gold; and</w:t>
      </w:r>
    </w:p>
    <w:p w14:paraId="5EB7859C" w14:textId="77777777" w:rsidR="00B15607" w:rsidRDefault="00B15607" w:rsidP="002812E8">
      <w:pPr>
        <w:pStyle w:val="Bullet"/>
        <w:tabs>
          <w:tab w:val="clear" w:pos="425"/>
          <w:tab w:val="num" w:pos="1985"/>
        </w:tabs>
        <w:ind w:left="2552" w:hanging="567"/>
      </w:pPr>
      <w:r>
        <w:t>the purchaser of the necklace</w:t>
      </w:r>
      <w:r w:rsidR="00BB0F2F">
        <w:t xml:space="preserve"> is an Australian consumer for the </w:t>
      </w:r>
      <w:r w:rsidR="00D70D35">
        <w:t>purposes of the GST law;</w:t>
      </w:r>
      <w:r w:rsidR="00693E7E">
        <w:t xml:space="preserve"> and</w:t>
      </w:r>
    </w:p>
    <w:p w14:paraId="08972A51" w14:textId="76CFAC0A" w:rsidR="00453FE5" w:rsidRDefault="00D70D35" w:rsidP="002812E8">
      <w:pPr>
        <w:pStyle w:val="Bullet"/>
        <w:tabs>
          <w:tab w:val="clear" w:pos="425"/>
          <w:tab w:val="num" w:pos="1985"/>
        </w:tabs>
        <w:ind w:left="2552" w:hanging="567"/>
      </w:pPr>
      <w:r>
        <w:t xml:space="preserve">XYZ Pty Ltd </w:t>
      </w:r>
      <w:r w:rsidR="0016052C">
        <w:t>k</w:t>
      </w:r>
      <w:r>
        <w:t>eeps a detailed date</w:t>
      </w:r>
      <w:r w:rsidR="00601AF2">
        <w:noBreakHyphen/>
      </w:r>
      <w:r>
        <w:t xml:space="preserve">stamped photograph </w:t>
      </w:r>
      <w:r w:rsidR="00422CE2">
        <w:t>of the necklace</w:t>
      </w:r>
      <w:r>
        <w:t xml:space="preserve"> which allows its physical characteristics to be identified clearly</w:t>
      </w:r>
      <w:r w:rsidR="00D371A1">
        <w:t xml:space="preserve"> at the time of supply to Teresa</w:t>
      </w:r>
      <w:r w:rsidR="00601AF2">
        <w:t>; and</w:t>
      </w:r>
      <w:r>
        <w:t xml:space="preserve"> </w:t>
      </w:r>
    </w:p>
    <w:p w14:paraId="418DA0F1" w14:textId="272A25F2" w:rsidR="00D70D35" w:rsidRDefault="00601AF2" w:rsidP="002812E8">
      <w:pPr>
        <w:pStyle w:val="Bullet"/>
        <w:tabs>
          <w:tab w:val="clear" w:pos="425"/>
          <w:tab w:val="num" w:pos="1985"/>
        </w:tabs>
        <w:ind w:left="2552" w:hanging="567"/>
      </w:pPr>
      <w:r>
        <w:t xml:space="preserve">throughout the relevant period, </w:t>
      </w:r>
      <w:r w:rsidR="00453FE5">
        <w:t>XYZ Pty Ltd satisfies the requirements in paragraph 6(1)(g) of this Determination</w:t>
      </w:r>
      <w:r w:rsidR="00C541D9">
        <w:t>.</w:t>
      </w:r>
    </w:p>
    <w:p w14:paraId="277A52D1" w14:textId="027A933F" w:rsidR="00453FE5" w:rsidRDefault="00453FE5" w:rsidP="00453FE5">
      <w:pPr>
        <w:spacing w:before="122" w:line="198" w:lineRule="exact"/>
        <w:ind w:left="1985"/>
        <w:rPr>
          <w:rFonts w:eastAsia="Times New Roman" w:cs="Times New Roman"/>
          <w:sz w:val="18"/>
          <w:lang w:eastAsia="en-AU"/>
        </w:rPr>
      </w:pPr>
      <w:r>
        <w:rPr>
          <w:rFonts w:eastAsia="Times New Roman" w:cs="Times New Roman"/>
          <w:sz w:val="18"/>
          <w:lang w:eastAsia="en-AU"/>
        </w:rPr>
        <w:t>XYZ Pty Ltd satisfies the requirements in paragraph 6(1)(g) of this Determination as the company:</w:t>
      </w:r>
    </w:p>
    <w:p w14:paraId="1AC7E79B" w14:textId="77777777" w:rsidR="00453FE5" w:rsidRDefault="00453FE5" w:rsidP="00453FE5">
      <w:pPr>
        <w:pStyle w:val="Bullet"/>
        <w:tabs>
          <w:tab w:val="clear" w:pos="425"/>
          <w:tab w:val="num" w:pos="1985"/>
        </w:tabs>
        <w:ind w:left="2552" w:hanging="567"/>
      </w:pPr>
      <w:r>
        <w:t>is registered for GST; and</w:t>
      </w:r>
    </w:p>
    <w:p w14:paraId="020CEA52" w14:textId="77777777" w:rsidR="00453FE5" w:rsidRDefault="00453FE5" w:rsidP="00453FE5">
      <w:pPr>
        <w:pStyle w:val="Bullet"/>
        <w:tabs>
          <w:tab w:val="clear" w:pos="425"/>
          <w:tab w:val="num" w:pos="1985"/>
        </w:tabs>
        <w:ind w:left="2552" w:hanging="567"/>
      </w:pPr>
      <w:r>
        <w:t>is licensed as a second-hand goods dealer in the States and Territories in which it operates – that is Tasmania; and</w:t>
      </w:r>
    </w:p>
    <w:p w14:paraId="44860A6E" w14:textId="44BB424E" w:rsidR="00453FE5" w:rsidRDefault="00453FE5" w:rsidP="00453FE5">
      <w:pPr>
        <w:pStyle w:val="Bullet"/>
        <w:tabs>
          <w:tab w:val="clear" w:pos="425"/>
          <w:tab w:val="num" w:pos="1985"/>
        </w:tabs>
        <w:ind w:left="2552" w:hanging="567"/>
      </w:pPr>
      <w:r>
        <w:t xml:space="preserve">satisfies the record keeping obligations under </w:t>
      </w:r>
      <w:r w:rsidRPr="002C275C">
        <w:t>subsections 29-10(3) and 29</w:t>
      </w:r>
      <w:r>
        <w:noBreakHyphen/>
      </w:r>
      <w:r w:rsidRPr="002C275C">
        <w:t>20(3)</w:t>
      </w:r>
      <w:r w:rsidR="00AE5A7A">
        <w:t xml:space="preserve"> of the Act</w:t>
      </w:r>
      <w:r w:rsidRPr="002C275C">
        <w:t xml:space="preserve">, as modified by </w:t>
      </w:r>
      <w:r>
        <w:t>section 66-17</w:t>
      </w:r>
      <w:r w:rsidR="00AE5A7A">
        <w:t xml:space="preserve"> of the Act for all second</w:t>
      </w:r>
      <w:r w:rsidR="00AE5A7A">
        <w:noBreakHyphen/>
        <w:t xml:space="preserve">hand </w:t>
      </w:r>
      <w:r>
        <w:t>goods that it buys and sells.</w:t>
      </w:r>
    </w:p>
    <w:p w14:paraId="0D4D37D3" w14:textId="77777777" w:rsidR="00453FE5" w:rsidRPr="004939DD" w:rsidRDefault="00453FE5" w:rsidP="00D371A1">
      <w:pPr>
        <w:pStyle w:val="Bullet"/>
        <w:numPr>
          <w:ilvl w:val="0"/>
          <w:numId w:val="0"/>
        </w:numPr>
        <w:ind w:left="1985"/>
      </w:pPr>
    </w:p>
    <w:sectPr w:rsidR="00453FE5" w:rsidRPr="004939DD" w:rsidSect="008C2EAC">
      <w:headerReference w:type="even" r:id="rId20"/>
      <w:headerReference w:type="default" r:id="rId21"/>
      <w:footerReference w:type="even" r:id="rId22"/>
      <w:footerReference w:type="default" r:id="rId23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FA1F2C" w14:textId="77777777" w:rsidR="00C242EE" w:rsidRDefault="00C242EE" w:rsidP="00715914">
      <w:pPr>
        <w:spacing w:line="240" w:lineRule="auto"/>
      </w:pPr>
      <w:r>
        <w:separator/>
      </w:r>
    </w:p>
  </w:endnote>
  <w:endnote w:type="continuationSeparator" w:id="0">
    <w:p w14:paraId="5A307E56" w14:textId="77777777" w:rsidR="00C242EE" w:rsidRDefault="00C242EE" w:rsidP="00715914">
      <w:pPr>
        <w:spacing w:line="240" w:lineRule="auto"/>
      </w:pPr>
      <w:r>
        <w:continuationSeparator/>
      </w:r>
    </w:p>
  </w:endnote>
  <w:endnote w:type="continuationNotice" w:id="1">
    <w:p w14:paraId="68BDDE30" w14:textId="77777777" w:rsidR="00C242EE" w:rsidRDefault="00C242EE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44E372" w14:textId="77777777" w:rsidR="00C242EE" w:rsidRPr="00E33C1C" w:rsidRDefault="00C242EE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C242EE" w14:paraId="62355928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4D6357B" w14:textId="77777777" w:rsidR="00C242EE" w:rsidRDefault="00C242EE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8CE517B" w14:textId="77777777" w:rsidR="00C242EE" w:rsidRPr="004E1307" w:rsidRDefault="00C242EE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3A2517">
            <w:rPr>
              <w:i/>
              <w:noProof/>
              <w:sz w:val="18"/>
            </w:rPr>
            <w:t>A New Tax System (Goods and Services Tax) (Incidental Valuable Metal Goods) Determination 2017 (No.1)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0E18A317" w14:textId="77777777" w:rsidR="00C242EE" w:rsidRDefault="00C242EE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C242EE" w14:paraId="27B46C79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33AA4F64" w14:textId="77777777" w:rsidR="00C242EE" w:rsidRDefault="00C242EE" w:rsidP="00A369E3">
          <w:pPr>
            <w:jc w:val="right"/>
            <w:rPr>
              <w:sz w:val="18"/>
            </w:rPr>
          </w:pPr>
        </w:p>
      </w:tc>
    </w:tr>
  </w:tbl>
  <w:p w14:paraId="4FB219D3" w14:textId="77777777" w:rsidR="00C242EE" w:rsidRPr="00ED79B6" w:rsidRDefault="00C242EE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2283C8" w14:textId="77777777" w:rsidR="00C242EE" w:rsidRPr="00E33C1C" w:rsidRDefault="00C242EE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C242EE" w14:paraId="016C4D97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626618F" w14:textId="77777777" w:rsidR="00C242EE" w:rsidRDefault="00C242EE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9794C85" w14:textId="77777777" w:rsidR="00C242EE" w:rsidRDefault="00C242EE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3A2517">
            <w:rPr>
              <w:i/>
              <w:noProof/>
              <w:sz w:val="18"/>
            </w:rPr>
            <w:t>A New Tax System (Goods and Services Tax) (Incidental Valuable Metal Goods) Determination 2017 (No.1)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D794C2F" w14:textId="77777777" w:rsidR="00C242EE" w:rsidRDefault="00C242EE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C242EE" w14:paraId="3D5F2F7F" w14:textId="7777777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32E95B45" w14:textId="77777777" w:rsidR="00C242EE" w:rsidRDefault="00C242EE" w:rsidP="00A369E3">
          <w:pPr>
            <w:rPr>
              <w:sz w:val="18"/>
            </w:rPr>
          </w:pPr>
        </w:p>
      </w:tc>
    </w:tr>
  </w:tbl>
  <w:p w14:paraId="07AE00C8" w14:textId="77777777" w:rsidR="00C242EE" w:rsidRPr="00ED79B6" w:rsidRDefault="00C242EE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200CE1" w14:textId="77777777" w:rsidR="00C242EE" w:rsidRPr="00E33C1C" w:rsidRDefault="00C242EE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C242EE" w14:paraId="1E346E71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49AE15E" w14:textId="77777777" w:rsidR="00C242EE" w:rsidRDefault="00C242EE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4C48D85" w14:textId="77777777" w:rsidR="00C242EE" w:rsidRDefault="00C242EE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375EDE6" w14:textId="77777777" w:rsidR="00C242EE" w:rsidRDefault="00C242EE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14:paraId="5C7DAF61" w14:textId="77777777" w:rsidR="00C242EE" w:rsidRPr="00ED79B6" w:rsidRDefault="00C242EE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578034" w14:textId="77777777" w:rsidR="00C242EE" w:rsidRPr="002B0EA5" w:rsidRDefault="00C242EE" w:rsidP="00CB031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C242EE" w14:paraId="36910DBE" w14:textId="77777777" w:rsidTr="00CB0317">
      <w:tc>
        <w:tcPr>
          <w:tcW w:w="365" w:type="pct"/>
        </w:tcPr>
        <w:p w14:paraId="50DE3763" w14:textId="77777777" w:rsidR="00C242EE" w:rsidRDefault="00C242EE" w:rsidP="00CB0317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74765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77FFAB66" w14:textId="77777777" w:rsidR="00C242EE" w:rsidRDefault="00C242EE" w:rsidP="00CB0317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D74765">
            <w:rPr>
              <w:i/>
              <w:noProof/>
              <w:sz w:val="18"/>
            </w:rPr>
            <w:t>A New Tax System (Goods and Services Tax) (Incidental Valuable Metal Goods) Determination 2017 (No. 1)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265F717A" w14:textId="77777777" w:rsidR="00C242EE" w:rsidRDefault="00C242EE" w:rsidP="00CB0317">
          <w:pPr>
            <w:spacing w:line="0" w:lineRule="atLeast"/>
            <w:jc w:val="right"/>
            <w:rPr>
              <w:sz w:val="18"/>
            </w:rPr>
          </w:pPr>
        </w:p>
      </w:tc>
    </w:tr>
    <w:tr w:rsidR="00C242EE" w14:paraId="3B8E5DD4" w14:textId="77777777" w:rsidTr="00CB0317">
      <w:tc>
        <w:tcPr>
          <w:tcW w:w="5000" w:type="pct"/>
          <w:gridSpan w:val="3"/>
        </w:tcPr>
        <w:p w14:paraId="75C9033E" w14:textId="77777777" w:rsidR="00C242EE" w:rsidRDefault="00C242EE" w:rsidP="00CB0317">
          <w:pPr>
            <w:jc w:val="right"/>
            <w:rPr>
              <w:sz w:val="18"/>
            </w:rPr>
          </w:pPr>
        </w:p>
      </w:tc>
    </w:tr>
  </w:tbl>
  <w:p w14:paraId="5FB2750A" w14:textId="77777777" w:rsidR="00C242EE" w:rsidRPr="00ED79B6" w:rsidRDefault="00C242EE" w:rsidP="00CB0317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629394" w14:textId="77777777" w:rsidR="00C242EE" w:rsidRPr="002B0EA5" w:rsidRDefault="00C242EE" w:rsidP="00CB031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C242EE" w14:paraId="0FAC37D2" w14:textId="77777777" w:rsidTr="008321C5">
      <w:trPr>
        <w:trHeight w:val="366"/>
      </w:trPr>
      <w:tc>
        <w:tcPr>
          <w:tcW w:w="947" w:type="pct"/>
        </w:tcPr>
        <w:p w14:paraId="37C47E91" w14:textId="77777777" w:rsidR="00C242EE" w:rsidRDefault="00C242EE" w:rsidP="00CB0317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08384670" w14:textId="77777777" w:rsidR="00C242EE" w:rsidRDefault="00C242EE" w:rsidP="00CB0317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D74765">
            <w:rPr>
              <w:i/>
              <w:noProof/>
              <w:sz w:val="18"/>
            </w:rPr>
            <w:t>A New Tax System (Goods and Services Tax) (Incidental Valuable Metal Goods) Determination 2017 (No. 1)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71F2EE48" w14:textId="77777777" w:rsidR="00C242EE" w:rsidRDefault="00C242EE" w:rsidP="00CB031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74765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C242EE" w14:paraId="04E2B972" w14:textId="77777777" w:rsidTr="00CB0317">
      <w:tc>
        <w:tcPr>
          <w:tcW w:w="5000" w:type="pct"/>
          <w:gridSpan w:val="3"/>
        </w:tcPr>
        <w:p w14:paraId="5CE629E9" w14:textId="77777777" w:rsidR="00C242EE" w:rsidRDefault="00C242EE" w:rsidP="00CB0317">
          <w:pPr>
            <w:rPr>
              <w:sz w:val="18"/>
            </w:rPr>
          </w:pPr>
        </w:p>
      </w:tc>
    </w:tr>
  </w:tbl>
  <w:p w14:paraId="08F1102D" w14:textId="77777777" w:rsidR="00C242EE" w:rsidRPr="00ED79B6" w:rsidRDefault="00C242EE" w:rsidP="00CB0317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A38E77" w14:textId="77777777" w:rsidR="00C242EE" w:rsidRDefault="00C242EE" w:rsidP="00715914">
      <w:pPr>
        <w:spacing w:line="240" w:lineRule="auto"/>
      </w:pPr>
      <w:r>
        <w:separator/>
      </w:r>
    </w:p>
  </w:footnote>
  <w:footnote w:type="continuationSeparator" w:id="0">
    <w:p w14:paraId="3D51FCF4" w14:textId="77777777" w:rsidR="00C242EE" w:rsidRDefault="00C242EE" w:rsidP="00715914">
      <w:pPr>
        <w:spacing w:line="240" w:lineRule="auto"/>
      </w:pPr>
      <w:r>
        <w:continuationSeparator/>
      </w:r>
    </w:p>
  </w:footnote>
  <w:footnote w:type="continuationNotice" w:id="1">
    <w:p w14:paraId="03BACD08" w14:textId="77777777" w:rsidR="00C242EE" w:rsidRDefault="00C242EE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7FC1C8" w14:textId="77777777" w:rsidR="00C242EE" w:rsidRPr="005F1388" w:rsidRDefault="00C242EE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AF7CFD" w14:textId="77777777" w:rsidR="00C242EE" w:rsidRPr="005F1388" w:rsidRDefault="00C242EE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3FE451" w14:textId="77777777" w:rsidR="00C242EE" w:rsidRDefault="00C242EE" w:rsidP="00715914">
    <w:pPr>
      <w:rPr>
        <w:b/>
        <w:sz w:val="24"/>
      </w:rPr>
    </w:pPr>
  </w:p>
  <w:p w14:paraId="03723587" w14:textId="77777777" w:rsidR="00981880" w:rsidRPr="007A1328" w:rsidRDefault="00981880" w:rsidP="00715914">
    <w:pPr>
      <w:rPr>
        <w:b/>
        <w:sz w:val="24"/>
      </w:rPr>
    </w:pPr>
  </w:p>
  <w:p w14:paraId="2426F66E" w14:textId="77777777" w:rsidR="00C242EE" w:rsidRPr="007A1328" w:rsidRDefault="00C242EE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9A4064" w14:textId="77777777" w:rsidR="00C242EE" w:rsidRPr="007A1328" w:rsidRDefault="00C242EE" w:rsidP="00715914">
    <w:pPr>
      <w:jc w:val="right"/>
      <w:rPr>
        <w:sz w:val="20"/>
      </w:rPr>
    </w:pPr>
  </w:p>
  <w:p w14:paraId="47A51A83" w14:textId="77777777" w:rsidR="00C242EE" w:rsidRPr="007A1328" w:rsidRDefault="00C242EE" w:rsidP="00715914">
    <w:pPr>
      <w:jc w:val="right"/>
      <w:rPr>
        <w:sz w:val="20"/>
      </w:rPr>
    </w:pPr>
  </w:p>
  <w:p w14:paraId="23F6F9CB" w14:textId="77777777" w:rsidR="00C242EE" w:rsidRPr="007A1328" w:rsidRDefault="00C242EE" w:rsidP="00715914">
    <w:pPr>
      <w:jc w:val="right"/>
      <w:rPr>
        <w:b/>
        <w:sz w:val="24"/>
      </w:rPr>
    </w:pPr>
  </w:p>
  <w:p w14:paraId="54D9B14B" w14:textId="77777777" w:rsidR="00C242EE" w:rsidRPr="007A1328" w:rsidRDefault="00C242EE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E14F5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D72A7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8D204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6AE5B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D82A8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8DE60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E9662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6C0EC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778B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F6C9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9651D35"/>
    <w:multiLevelType w:val="multilevel"/>
    <w:tmpl w:val="AB3E1CDA"/>
    <w:name w:val="StandardBulletedList"/>
    <w:lvl w:ilvl="0">
      <w:start w:val="1"/>
      <w:numFmt w:val="bullet"/>
      <w:pStyle w:val="Bullet"/>
      <w:lvlText w:val="•"/>
      <w:lvlJc w:val="left"/>
      <w:pPr>
        <w:tabs>
          <w:tab w:val="num" w:pos="425"/>
        </w:tabs>
        <w:ind w:left="425" w:hanging="425"/>
      </w:pPr>
      <w:rPr>
        <w:rFonts w:ascii="Times New Roman" w:hAnsi="Times New Roman" w:cs="Times New Roman"/>
      </w:rPr>
    </w:lvl>
    <w:lvl w:ilvl="1">
      <w:start w:val="1"/>
      <w:numFmt w:val="bullet"/>
      <w:pStyle w:val="Dash"/>
      <w:lvlText w:val="–"/>
      <w:lvlJc w:val="left"/>
      <w:pPr>
        <w:tabs>
          <w:tab w:val="num" w:pos="850"/>
        </w:tabs>
        <w:ind w:left="850" w:hanging="425"/>
      </w:pPr>
      <w:rPr>
        <w:rFonts w:ascii="Times New Roman" w:hAnsi="Times New Roman" w:cs="Times New Roman"/>
      </w:rPr>
    </w:lvl>
    <w:lvl w:ilvl="2">
      <w:start w:val="1"/>
      <w:numFmt w:val="bullet"/>
      <w:pStyle w:val="DoubleDot"/>
      <w:lvlText w:val=":"/>
      <w:lvlJc w:val="left"/>
      <w:pPr>
        <w:tabs>
          <w:tab w:val="num" w:pos="1275"/>
        </w:tabs>
        <w:ind w:left="1275" w:hanging="425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0"/>
  </w:num>
  <w:num w:numId="13">
    <w:abstractNumId w:val="12"/>
  </w:num>
  <w:num w:numId="14">
    <w:abstractNumId w:val="11"/>
  </w:num>
  <w:num w:numId="15">
    <w:abstractNumId w:val="11"/>
  </w:num>
  <w:num w:numId="16">
    <w:abstractNumId w:val="11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A6F"/>
    <w:rsid w:val="00004174"/>
    <w:rsid w:val="00004470"/>
    <w:rsid w:val="000101A2"/>
    <w:rsid w:val="000136AF"/>
    <w:rsid w:val="00017982"/>
    <w:rsid w:val="000258B1"/>
    <w:rsid w:val="00026687"/>
    <w:rsid w:val="0004018B"/>
    <w:rsid w:val="00040A89"/>
    <w:rsid w:val="000437C1"/>
    <w:rsid w:val="0004455A"/>
    <w:rsid w:val="00046E64"/>
    <w:rsid w:val="000523A8"/>
    <w:rsid w:val="0005365D"/>
    <w:rsid w:val="00054E1D"/>
    <w:rsid w:val="000550BE"/>
    <w:rsid w:val="00055F40"/>
    <w:rsid w:val="00057A01"/>
    <w:rsid w:val="00060F0F"/>
    <w:rsid w:val="000614BF"/>
    <w:rsid w:val="0006709C"/>
    <w:rsid w:val="00074376"/>
    <w:rsid w:val="00076045"/>
    <w:rsid w:val="00085755"/>
    <w:rsid w:val="000978F5"/>
    <w:rsid w:val="000A12FD"/>
    <w:rsid w:val="000A1EA6"/>
    <w:rsid w:val="000A47BC"/>
    <w:rsid w:val="000B0AC5"/>
    <w:rsid w:val="000B15CD"/>
    <w:rsid w:val="000B35EB"/>
    <w:rsid w:val="000C582A"/>
    <w:rsid w:val="000D05EF"/>
    <w:rsid w:val="000D3335"/>
    <w:rsid w:val="000D3E93"/>
    <w:rsid w:val="000D6E5C"/>
    <w:rsid w:val="000E1359"/>
    <w:rsid w:val="000E2261"/>
    <w:rsid w:val="000E380F"/>
    <w:rsid w:val="000E78B7"/>
    <w:rsid w:val="000F21C1"/>
    <w:rsid w:val="000F6C1D"/>
    <w:rsid w:val="001012EB"/>
    <w:rsid w:val="0010745C"/>
    <w:rsid w:val="001105ED"/>
    <w:rsid w:val="001204FC"/>
    <w:rsid w:val="00124B52"/>
    <w:rsid w:val="00132CEB"/>
    <w:rsid w:val="001339B0"/>
    <w:rsid w:val="001413E8"/>
    <w:rsid w:val="00142B62"/>
    <w:rsid w:val="001441B7"/>
    <w:rsid w:val="001516CB"/>
    <w:rsid w:val="00152336"/>
    <w:rsid w:val="001544D7"/>
    <w:rsid w:val="00157B8B"/>
    <w:rsid w:val="0016052C"/>
    <w:rsid w:val="0016255A"/>
    <w:rsid w:val="00166C2F"/>
    <w:rsid w:val="00173A64"/>
    <w:rsid w:val="00174B22"/>
    <w:rsid w:val="001809D7"/>
    <w:rsid w:val="00181D14"/>
    <w:rsid w:val="00190619"/>
    <w:rsid w:val="001939E1"/>
    <w:rsid w:val="00194C3E"/>
    <w:rsid w:val="001950E2"/>
    <w:rsid w:val="00195382"/>
    <w:rsid w:val="001B2CB6"/>
    <w:rsid w:val="001C2EE4"/>
    <w:rsid w:val="001C37B7"/>
    <w:rsid w:val="001C61C5"/>
    <w:rsid w:val="001C69C4"/>
    <w:rsid w:val="001C7770"/>
    <w:rsid w:val="001D18A7"/>
    <w:rsid w:val="001D37EF"/>
    <w:rsid w:val="001E3590"/>
    <w:rsid w:val="001E7407"/>
    <w:rsid w:val="001F5D5E"/>
    <w:rsid w:val="001F6219"/>
    <w:rsid w:val="001F6CD4"/>
    <w:rsid w:val="00200E2E"/>
    <w:rsid w:val="00206C4D"/>
    <w:rsid w:val="00215AF1"/>
    <w:rsid w:val="002211E9"/>
    <w:rsid w:val="00225125"/>
    <w:rsid w:val="002321E8"/>
    <w:rsid w:val="00232984"/>
    <w:rsid w:val="0023386F"/>
    <w:rsid w:val="0024010F"/>
    <w:rsid w:val="00240749"/>
    <w:rsid w:val="00243018"/>
    <w:rsid w:val="00255E53"/>
    <w:rsid w:val="002564A4"/>
    <w:rsid w:val="002614F6"/>
    <w:rsid w:val="002617A0"/>
    <w:rsid w:val="0026736C"/>
    <w:rsid w:val="002812E8"/>
    <w:rsid w:val="00281308"/>
    <w:rsid w:val="00283CD3"/>
    <w:rsid w:val="00284719"/>
    <w:rsid w:val="00297ECB"/>
    <w:rsid w:val="002A217C"/>
    <w:rsid w:val="002A7BCF"/>
    <w:rsid w:val="002B77E1"/>
    <w:rsid w:val="002C275C"/>
    <w:rsid w:val="002C3FD1"/>
    <w:rsid w:val="002D043A"/>
    <w:rsid w:val="002D054F"/>
    <w:rsid w:val="002D266B"/>
    <w:rsid w:val="002D6224"/>
    <w:rsid w:val="002F0097"/>
    <w:rsid w:val="002F4E5F"/>
    <w:rsid w:val="002F6603"/>
    <w:rsid w:val="00304F8B"/>
    <w:rsid w:val="003145E4"/>
    <w:rsid w:val="00317CC4"/>
    <w:rsid w:val="0032462F"/>
    <w:rsid w:val="00326FB2"/>
    <w:rsid w:val="00335BC6"/>
    <w:rsid w:val="003415D3"/>
    <w:rsid w:val="00344338"/>
    <w:rsid w:val="00344701"/>
    <w:rsid w:val="00352B0F"/>
    <w:rsid w:val="00357FBD"/>
    <w:rsid w:val="00360459"/>
    <w:rsid w:val="00363029"/>
    <w:rsid w:val="00372AB9"/>
    <w:rsid w:val="00372E53"/>
    <w:rsid w:val="00376BCC"/>
    <w:rsid w:val="0038049F"/>
    <w:rsid w:val="00381B23"/>
    <w:rsid w:val="00392C63"/>
    <w:rsid w:val="003A2517"/>
    <w:rsid w:val="003B1F65"/>
    <w:rsid w:val="003B5D88"/>
    <w:rsid w:val="003B7940"/>
    <w:rsid w:val="003C2A61"/>
    <w:rsid w:val="003C5A6F"/>
    <w:rsid w:val="003C6231"/>
    <w:rsid w:val="003C69AA"/>
    <w:rsid w:val="003D0BFE"/>
    <w:rsid w:val="003D5700"/>
    <w:rsid w:val="003E341B"/>
    <w:rsid w:val="003E4D00"/>
    <w:rsid w:val="00403DEB"/>
    <w:rsid w:val="0041097F"/>
    <w:rsid w:val="004110DC"/>
    <w:rsid w:val="004116CD"/>
    <w:rsid w:val="00411E5B"/>
    <w:rsid w:val="00412CA2"/>
    <w:rsid w:val="004168E9"/>
    <w:rsid w:val="00417EB9"/>
    <w:rsid w:val="00421A01"/>
    <w:rsid w:val="00422CE2"/>
    <w:rsid w:val="00422E0D"/>
    <w:rsid w:val="00424CA9"/>
    <w:rsid w:val="004276DF"/>
    <w:rsid w:val="00431E9B"/>
    <w:rsid w:val="00434A16"/>
    <w:rsid w:val="004379E3"/>
    <w:rsid w:val="0044015E"/>
    <w:rsid w:val="00441F43"/>
    <w:rsid w:val="0044291A"/>
    <w:rsid w:val="004502EA"/>
    <w:rsid w:val="00453F75"/>
    <w:rsid w:val="00453FE5"/>
    <w:rsid w:val="00457DD8"/>
    <w:rsid w:val="00460212"/>
    <w:rsid w:val="004628F5"/>
    <w:rsid w:val="00464A0F"/>
    <w:rsid w:val="00467661"/>
    <w:rsid w:val="00472DBE"/>
    <w:rsid w:val="00474A19"/>
    <w:rsid w:val="00477830"/>
    <w:rsid w:val="00487764"/>
    <w:rsid w:val="00492024"/>
    <w:rsid w:val="004939DD"/>
    <w:rsid w:val="00496F97"/>
    <w:rsid w:val="004978D8"/>
    <w:rsid w:val="004B556C"/>
    <w:rsid w:val="004B6C48"/>
    <w:rsid w:val="004C4E59"/>
    <w:rsid w:val="004C545E"/>
    <w:rsid w:val="004C6809"/>
    <w:rsid w:val="004D1CEA"/>
    <w:rsid w:val="004D1DF2"/>
    <w:rsid w:val="004D2914"/>
    <w:rsid w:val="004E063A"/>
    <w:rsid w:val="004E1307"/>
    <w:rsid w:val="004E7BEC"/>
    <w:rsid w:val="004E7C1E"/>
    <w:rsid w:val="004F7252"/>
    <w:rsid w:val="00505D3D"/>
    <w:rsid w:val="00506AF6"/>
    <w:rsid w:val="00516B8D"/>
    <w:rsid w:val="005215E1"/>
    <w:rsid w:val="005303C8"/>
    <w:rsid w:val="005332DF"/>
    <w:rsid w:val="00533C2B"/>
    <w:rsid w:val="005343B7"/>
    <w:rsid w:val="00537FBC"/>
    <w:rsid w:val="00542389"/>
    <w:rsid w:val="005426A4"/>
    <w:rsid w:val="005427EE"/>
    <w:rsid w:val="00543522"/>
    <w:rsid w:val="00554826"/>
    <w:rsid w:val="00562D23"/>
    <w:rsid w:val="0057137F"/>
    <w:rsid w:val="00572A37"/>
    <w:rsid w:val="00583358"/>
    <w:rsid w:val="00584811"/>
    <w:rsid w:val="00585784"/>
    <w:rsid w:val="0059173D"/>
    <w:rsid w:val="00593AA6"/>
    <w:rsid w:val="00594161"/>
    <w:rsid w:val="00594749"/>
    <w:rsid w:val="005A65D5"/>
    <w:rsid w:val="005B4067"/>
    <w:rsid w:val="005B47B5"/>
    <w:rsid w:val="005C137F"/>
    <w:rsid w:val="005C3557"/>
    <w:rsid w:val="005C3F41"/>
    <w:rsid w:val="005D1D92"/>
    <w:rsid w:val="005D2D09"/>
    <w:rsid w:val="005E7960"/>
    <w:rsid w:val="005F4C56"/>
    <w:rsid w:val="00600219"/>
    <w:rsid w:val="00601AF2"/>
    <w:rsid w:val="00604F2A"/>
    <w:rsid w:val="00620068"/>
    <w:rsid w:val="00620076"/>
    <w:rsid w:val="006275BE"/>
    <w:rsid w:val="00627E0A"/>
    <w:rsid w:val="006302D7"/>
    <w:rsid w:val="0064483B"/>
    <w:rsid w:val="0065488B"/>
    <w:rsid w:val="00665BB4"/>
    <w:rsid w:val="00670EA1"/>
    <w:rsid w:val="00673B36"/>
    <w:rsid w:val="00677CC2"/>
    <w:rsid w:val="00685088"/>
    <w:rsid w:val="0068744B"/>
    <w:rsid w:val="006905DE"/>
    <w:rsid w:val="0069207B"/>
    <w:rsid w:val="00693E7E"/>
    <w:rsid w:val="006A154F"/>
    <w:rsid w:val="006A2EAC"/>
    <w:rsid w:val="006A437B"/>
    <w:rsid w:val="006A4598"/>
    <w:rsid w:val="006B4550"/>
    <w:rsid w:val="006B5789"/>
    <w:rsid w:val="006B7463"/>
    <w:rsid w:val="006C30C5"/>
    <w:rsid w:val="006C4BEF"/>
    <w:rsid w:val="006C6608"/>
    <w:rsid w:val="006C73CF"/>
    <w:rsid w:val="006C7F8C"/>
    <w:rsid w:val="006D0ACE"/>
    <w:rsid w:val="006E2E1C"/>
    <w:rsid w:val="006E4146"/>
    <w:rsid w:val="006E4AA0"/>
    <w:rsid w:val="006E6246"/>
    <w:rsid w:val="006E69C2"/>
    <w:rsid w:val="006E6DCC"/>
    <w:rsid w:val="006F047F"/>
    <w:rsid w:val="006F318F"/>
    <w:rsid w:val="0070017E"/>
    <w:rsid w:val="007001D3"/>
    <w:rsid w:val="00700B2C"/>
    <w:rsid w:val="007050A2"/>
    <w:rsid w:val="00705B87"/>
    <w:rsid w:val="00713084"/>
    <w:rsid w:val="007144A7"/>
    <w:rsid w:val="00714F20"/>
    <w:rsid w:val="0071590F"/>
    <w:rsid w:val="00715914"/>
    <w:rsid w:val="00717AE7"/>
    <w:rsid w:val="00720576"/>
    <w:rsid w:val="0072147A"/>
    <w:rsid w:val="00723791"/>
    <w:rsid w:val="00731E00"/>
    <w:rsid w:val="0073424C"/>
    <w:rsid w:val="007440B7"/>
    <w:rsid w:val="007463E5"/>
    <w:rsid w:val="007500C8"/>
    <w:rsid w:val="0075265A"/>
    <w:rsid w:val="00756272"/>
    <w:rsid w:val="007577AC"/>
    <w:rsid w:val="007603E6"/>
    <w:rsid w:val="00762D38"/>
    <w:rsid w:val="007715C9"/>
    <w:rsid w:val="00771613"/>
    <w:rsid w:val="00774EDD"/>
    <w:rsid w:val="007757EC"/>
    <w:rsid w:val="00783E89"/>
    <w:rsid w:val="0079014B"/>
    <w:rsid w:val="00793915"/>
    <w:rsid w:val="007950B4"/>
    <w:rsid w:val="007A09CF"/>
    <w:rsid w:val="007A1435"/>
    <w:rsid w:val="007B4B35"/>
    <w:rsid w:val="007C2253"/>
    <w:rsid w:val="007D7911"/>
    <w:rsid w:val="007E0D8A"/>
    <w:rsid w:val="007E1181"/>
    <w:rsid w:val="007E163D"/>
    <w:rsid w:val="007E667A"/>
    <w:rsid w:val="007F28C9"/>
    <w:rsid w:val="007F461A"/>
    <w:rsid w:val="007F51B2"/>
    <w:rsid w:val="00801686"/>
    <w:rsid w:val="008040DD"/>
    <w:rsid w:val="008117E9"/>
    <w:rsid w:val="00811AEE"/>
    <w:rsid w:val="0082087B"/>
    <w:rsid w:val="00823C7E"/>
    <w:rsid w:val="00824498"/>
    <w:rsid w:val="00826BD1"/>
    <w:rsid w:val="00831DA1"/>
    <w:rsid w:val="008321C5"/>
    <w:rsid w:val="0083268C"/>
    <w:rsid w:val="00851DC6"/>
    <w:rsid w:val="00854D0B"/>
    <w:rsid w:val="00856A31"/>
    <w:rsid w:val="00856F9D"/>
    <w:rsid w:val="00860B4E"/>
    <w:rsid w:val="00867B37"/>
    <w:rsid w:val="0087416C"/>
    <w:rsid w:val="008754D0"/>
    <w:rsid w:val="00875D13"/>
    <w:rsid w:val="00881519"/>
    <w:rsid w:val="008855C9"/>
    <w:rsid w:val="00886456"/>
    <w:rsid w:val="00895F3A"/>
    <w:rsid w:val="00896176"/>
    <w:rsid w:val="008A2083"/>
    <w:rsid w:val="008A46E1"/>
    <w:rsid w:val="008A4F43"/>
    <w:rsid w:val="008B2706"/>
    <w:rsid w:val="008C1277"/>
    <w:rsid w:val="008C2EAC"/>
    <w:rsid w:val="008D0EE0"/>
    <w:rsid w:val="008D77E4"/>
    <w:rsid w:val="008E0027"/>
    <w:rsid w:val="008E0CDE"/>
    <w:rsid w:val="008E28F9"/>
    <w:rsid w:val="008E590D"/>
    <w:rsid w:val="008E6067"/>
    <w:rsid w:val="008F54E7"/>
    <w:rsid w:val="00903422"/>
    <w:rsid w:val="00921C48"/>
    <w:rsid w:val="009254C3"/>
    <w:rsid w:val="00932377"/>
    <w:rsid w:val="00941236"/>
    <w:rsid w:val="00943FD5"/>
    <w:rsid w:val="00947D5A"/>
    <w:rsid w:val="009501B1"/>
    <w:rsid w:val="0095327F"/>
    <w:rsid w:val="009532A5"/>
    <w:rsid w:val="009545BD"/>
    <w:rsid w:val="00964CF0"/>
    <w:rsid w:val="00971A94"/>
    <w:rsid w:val="00977806"/>
    <w:rsid w:val="00981880"/>
    <w:rsid w:val="00982242"/>
    <w:rsid w:val="009854CF"/>
    <w:rsid w:val="009868E9"/>
    <w:rsid w:val="009900A3"/>
    <w:rsid w:val="00997194"/>
    <w:rsid w:val="009977F7"/>
    <w:rsid w:val="009C3413"/>
    <w:rsid w:val="009D1ADF"/>
    <w:rsid w:val="009D26C9"/>
    <w:rsid w:val="009D5DCA"/>
    <w:rsid w:val="009E1ECC"/>
    <w:rsid w:val="009E6355"/>
    <w:rsid w:val="009F0014"/>
    <w:rsid w:val="00A00AFE"/>
    <w:rsid w:val="00A0441E"/>
    <w:rsid w:val="00A12128"/>
    <w:rsid w:val="00A15225"/>
    <w:rsid w:val="00A22C98"/>
    <w:rsid w:val="00A231E2"/>
    <w:rsid w:val="00A3033F"/>
    <w:rsid w:val="00A369E3"/>
    <w:rsid w:val="00A52B47"/>
    <w:rsid w:val="00A57600"/>
    <w:rsid w:val="00A64912"/>
    <w:rsid w:val="00A65240"/>
    <w:rsid w:val="00A70A74"/>
    <w:rsid w:val="00A75FE9"/>
    <w:rsid w:val="00AA0760"/>
    <w:rsid w:val="00AA74C5"/>
    <w:rsid w:val="00AD447D"/>
    <w:rsid w:val="00AD53CC"/>
    <w:rsid w:val="00AD5641"/>
    <w:rsid w:val="00AE2AE1"/>
    <w:rsid w:val="00AE5A7A"/>
    <w:rsid w:val="00AF06CF"/>
    <w:rsid w:val="00AF5035"/>
    <w:rsid w:val="00B0677B"/>
    <w:rsid w:val="00B07CDB"/>
    <w:rsid w:val="00B100E2"/>
    <w:rsid w:val="00B15607"/>
    <w:rsid w:val="00B16A31"/>
    <w:rsid w:val="00B17D2B"/>
    <w:rsid w:val="00B17DFD"/>
    <w:rsid w:val="00B22A7A"/>
    <w:rsid w:val="00B23033"/>
    <w:rsid w:val="00B25306"/>
    <w:rsid w:val="00B27831"/>
    <w:rsid w:val="00B308FE"/>
    <w:rsid w:val="00B33709"/>
    <w:rsid w:val="00B338FF"/>
    <w:rsid w:val="00B33B3C"/>
    <w:rsid w:val="00B36392"/>
    <w:rsid w:val="00B418CB"/>
    <w:rsid w:val="00B41F1C"/>
    <w:rsid w:val="00B440F3"/>
    <w:rsid w:val="00B47444"/>
    <w:rsid w:val="00B50ADC"/>
    <w:rsid w:val="00B5304D"/>
    <w:rsid w:val="00B566B1"/>
    <w:rsid w:val="00B63834"/>
    <w:rsid w:val="00B702B6"/>
    <w:rsid w:val="00B74E85"/>
    <w:rsid w:val="00B80199"/>
    <w:rsid w:val="00B81B9D"/>
    <w:rsid w:val="00B83204"/>
    <w:rsid w:val="00B856E7"/>
    <w:rsid w:val="00B95853"/>
    <w:rsid w:val="00B9697E"/>
    <w:rsid w:val="00BA220B"/>
    <w:rsid w:val="00BA3A57"/>
    <w:rsid w:val="00BB0F2F"/>
    <w:rsid w:val="00BB1533"/>
    <w:rsid w:val="00BB2153"/>
    <w:rsid w:val="00BB4E1A"/>
    <w:rsid w:val="00BC015E"/>
    <w:rsid w:val="00BC76AC"/>
    <w:rsid w:val="00BD0ECB"/>
    <w:rsid w:val="00BE2155"/>
    <w:rsid w:val="00BE719A"/>
    <w:rsid w:val="00BE720A"/>
    <w:rsid w:val="00BF0D73"/>
    <w:rsid w:val="00BF2465"/>
    <w:rsid w:val="00BF750B"/>
    <w:rsid w:val="00BF761B"/>
    <w:rsid w:val="00C16619"/>
    <w:rsid w:val="00C2170D"/>
    <w:rsid w:val="00C242EE"/>
    <w:rsid w:val="00C25E7F"/>
    <w:rsid w:val="00C2746F"/>
    <w:rsid w:val="00C323D6"/>
    <w:rsid w:val="00C324A0"/>
    <w:rsid w:val="00C3523E"/>
    <w:rsid w:val="00C37EA4"/>
    <w:rsid w:val="00C42BF8"/>
    <w:rsid w:val="00C467A0"/>
    <w:rsid w:val="00C50043"/>
    <w:rsid w:val="00C53925"/>
    <w:rsid w:val="00C541D9"/>
    <w:rsid w:val="00C5528D"/>
    <w:rsid w:val="00C56867"/>
    <w:rsid w:val="00C7573B"/>
    <w:rsid w:val="00C82309"/>
    <w:rsid w:val="00C97A54"/>
    <w:rsid w:val="00CA5B23"/>
    <w:rsid w:val="00CA5E10"/>
    <w:rsid w:val="00CB0317"/>
    <w:rsid w:val="00CB1E8D"/>
    <w:rsid w:val="00CB602E"/>
    <w:rsid w:val="00CB7E90"/>
    <w:rsid w:val="00CC2130"/>
    <w:rsid w:val="00CE051D"/>
    <w:rsid w:val="00CE1335"/>
    <w:rsid w:val="00CE493D"/>
    <w:rsid w:val="00CE6163"/>
    <w:rsid w:val="00CF07FA"/>
    <w:rsid w:val="00CF0BB2"/>
    <w:rsid w:val="00CF3EE8"/>
    <w:rsid w:val="00D13441"/>
    <w:rsid w:val="00D150E7"/>
    <w:rsid w:val="00D15781"/>
    <w:rsid w:val="00D255E8"/>
    <w:rsid w:val="00D34E5E"/>
    <w:rsid w:val="00D371A1"/>
    <w:rsid w:val="00D4793A"/>
    <w:rsid w:val="00D52DC2"/>
    <w:rsid w:val="00D53BCC"/>
    <w:rsid w:val="00D54C9E"/>
    <w:rsid w:val="00D65101"/>
    <w:rsid w:val="00D6537E"/>
    <w:rsid w:val="00D70D35"/>
    <w:rsid w:val="00D70DFB"/>
    <w:rsid w:val="00D74765"/>
    <w:rsid w:val="00D766DF"/>
    <w:rsid w:val="00D8206C"/>
    <w:rsid w:val="00D91F10"/>
    <w:rsid w:val="00DA186E"/>
    <w:rsid w:val="00DA4116"/>
    <w:rsid w:val="00DB0F97"/>
    <w:rsid w:val="00DB15C7"/>
    <w:rsid w:val="00DB251C"/>
    <w:rsid w:val="00DB4630"/>
    <w:rsid w:val="00DC3336"/>
    <w:rsid w:val="00DC4F88"/>
    <w:rsid w:val="00DC5449"/>
    <w:rsid w:val="00DC6F78"/>
    <w:rsid w:val="00DD13C2"/>
    <w:rsid w:val="00DD71FD"/>
    <w:rsid w:val="00DE107C"/>
    <w:rsid w:val="00DE472F"/>
    <w:rsid w:val="00DF2388"/>
    <w:rsid w:val="00DF33E4"/>
    <w:rsid w:val="00DF3CB2"/>
    <w:rsid w:val="00E05704"/>
    <w:rsid w:val="00E17DB7"/>
    <w:rsid w:val="00E338EF"/>
    <w:rsid w:val="00E45433"/>
    <w:rsid w:val="00E51F6C"/>
    <w:rsid w:val="00E53C33"/>
    <w:rsid w:val="00E544BB"/>
    <w:rsid w:val="00E60E2D"/>
    <w:rsid w:val="00E65DC2"/>
    <w:rsid w:val="00E74DC7"/>
    <w:rsid w:val="00E8075A"/>
    <w:rsid w:val="00E82562"/>
    <w:rsid w:val="00E85E31"/>
    <w:rsid w:val="00E92B1B"/>
    <w:rsid w:val="00E940D8"/>
    <w:rsid w:val="00E94D5E"/>
    <w:rsid w:val="00EA1F23"/>
    <w:rsid w:val="00EA5F60"/>
    <w:rsid w:val="00EA7100"/>
    <w:rsid w:val="00EA7F9F"/>
    <w:rsid w:val="00EB1274"/>
    <w:rsid w:val="00EB5D91"/>
    <w:rsid w:val="00ED11B2"/>
    <w:rsid w:val="00ED2BB6"/>
    <w:rsid w:val="00ED34E1"/>
    <w:rsid w:val="00ED3B8D"/>
    <w:rsid w:val="00ED4745"/>
    <w:rsid w:val="00EE5E36"/>
    <w:rsid w:val="00EF1357"/>
    <w:rsid w:val="00EF2E3A"/>
    <w:rsid w:val="00EF3E66"/>
    <w:rsid w:val="00F00140"/>
    <w:rsid w:val="00F019D8"/>
    <w:rsid w:val="00F02C7C"/>
    <w:rsid w:val="00F07023"/>
    <w:rsid w:val="00F072A7"/>
    <w:rsid w:val="00F078DC"/>
    <w:rsid w:val="00F14811"/>
    <w:rsid w:val="00F214C7"/>
    <w:rsid w:val="00F23DE2"/>
    <w:rsid w:val="00F25660"/>
    <w:rsid w:val="00F25775"/>
    <w:rsid w:val="00F270A5"/>
    <w:rsid w:val="00F32851"/>
    <w:rsid w:val="00F32BA8"/>
    <w:rsid w:val="00F32EE0"/>
    <w:rsid w:val="00F33F3C"/>
    <w:rsid w:val="00F34687"/>
    <w:rsid w:val="00F349F1"/>
    <w:rsid w:val="00F42CF6"/>
    <w:rsid w:val="00F4350D"/>
    <w:rsid w:val="00F479C4"/>
    <w:rsid w:val="00F567F7"/>
    <w:rsid w:val="00F6696E"/>
    <w:rsid w:val="00F70EA4"/>
    <w:rsid w:val="00F71358"/>
    <w:rsid w:val="00F73BD6"/>
    <w:rsid w:val="00F74A3D"/>
    <w:rsid w:val="00F83989"/>
    <w:rsid w:val="00F85099"/>
    <w:rsid w:val="00F86323"/>
    <w:rsid w:val="00F86EF6"/>
    <w:rsid w:val="00F92213"/>
    <w:rsid w:val="00F9379C"/>
    <w:rsid w:val="00F9632C"/>
    <w:rsid w:val="00FA1038"/>
    <w:rsid w:val="00FA1E52"/>
    <w:rsid w:val="00FA2CE9"/>
    <w:rsid w:val="00FB0DE1"/>
    <w:rsid w:val="00FB5A08"/>
    <w:rsid w:val="00FC11FE"/>
    <w:rsid w:val="00FC596C"/>
    <w:rsid w:val="00FC6A80"/>
    <w:rsid w:val="00FE4688"/>
    <w:rsid w:val="00FF4E50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430797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">
    <w:name w:val="Title"/>
    <w:basedOn w:val="Normal"/>
    <w:next w:val="Normal"/>
    <w:link w:val="TitleChar"/>
    <w:uiPriority w:val="10"/>
    <w:qFormat/>
    <w:rsid w:val="00CB031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B03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CommentReference">
    <w:name w:val="annotation reference"/>
    <w:basedOn w:val="DefaultParagraphFont"/>
    <w:rsid w:val="00CB0317"/>
    <w:rPr>
      <w:sz w:val="16"/>
      <w:szCs w:val="16"/>
    </w:rPr>
  </w:style>
  <w:style w:type="paragraph" w:styleId="CommentText">
    <w:name w:val="annotation text"/>
    <w:basedOn w:val="Normal"/>
    <w:link w:val="CommentTextChar"/>
    <w:rsid w:val="00CB0317"/>
    <w:pPr>
      <w:spacing w:line="240" w:lineRule="auto"/>
    </w:pPr>
    <w:rPr>
      <w:rFonts w:eastAsia="Times New Roman" w:cs="Times New Roman"/>
      <w:sz w:val="20"/>
      <w:lang w:eastAsia="en-AU"/>
    </w:rPr>
  </w:style>
  <w:style w:type="character" w:customStyle="1" w:styleId="CommentTextChar">
    <w:name w:val="Comment Text Char"/>
    <w:basedOn w:val="DefaultParagraphFont"/>
    <w:link w:val="CommentText"/>
    <w:rsid w:val="00CB0317"/>
    <w:rPr>
      <w:rFonts w:eastAsia="Times New Roman" w:cs="Times New Roman"/>
      <w:lang w:eastAsia="en-AU"/>
    </w:rPr>
  </w:style>
  <w:style w:type="paragraph" w:styleId="ListParagraph">
    <w:name w:val="List Paragraph"/>
    <w:basedOn w:val="Normal"/>
    <w:uiPriority w:val="34"/>
    <w:qFormat/>
    <w:rsid w:val="00CB0317"/>
    <w:pPr>
      <w:ind w:left="720"/>
      <w:contextualSpacing/>
    </w:pPr>
  </w:style>
  <w:style w:type="paragraph" w:customStyle="1" w:styleId="Bullet">
    <w:name w:val="Bullet"/>
    <w:basedOn w:val="Normal"/>
    <w:link w:val="BulletChar"/>
    <w:rsid w:val="002812E8"/>
    <w:pPr>
      <w:numPr>
        <w:numId w:val="14"/>
      </w:numPr>
      <w:spacing w:before="122" w:line="198" w:lineRule="exact"/>
    </w:pPr>
    <w:rPr>
      <w:rFonts w:eastAsia="Times New Roman" w:cs="Times New Roman"/>
      <w:sz w:val="18"/>
      <w:lang w:eastAsia="en-AU"/>
    </w:rPr>
  </w:style>
  <w:style w:type="character" w:customStyle="1" w:styleId="BulletChar">
    <w:name w:val="Bullet Char"/>
    <w:basedOn w:val="DefaultParagraphFont"/>
    <w:link w:val="Bullet"/>
    <w:rsid w:val="002812E8"/>
    <w:rPr>
      <w:rFonts w:eastAsia="Times New Roman" w:cs="Times New Roman"/>
      <w:sz w:val="18"/>
      <w:lang w:eastAsia="en-AU"/>
    </w:rPr>
  </w:style>
  <w:style w:type="paragraph" w:customStyle="1" w:styleId="Dash">
    <w:name w:val="Dash"/>
    <w:basedOn w:val="Normal"/>
    <w:link w:val="DashChar"/>
    <w:rsid w:val="002812E8"/>
    <w:pPr>
      <w:numPr>
        <w:ilvl w:val="1"/>
        <w:numId w:val="14"/>
      </w:numPr>
      <w:spacing w:before="122" w:line="198" w:lineRule="exact"/>
    </w:pPr>
    <w:rPr>
      <w:rFonts w:eastAsia="Times New Roman" w:cs="Times New Roman"/>
      <w:sz w:val="18"/>
      <w:lang w:eastAsia="en-AU"/>
    </w:rPr>
  </w:style>
  <w:style w:type="character" w:customStyle="1" w:styleId="DashChar">
    <w:name w:val="Dash Char"/>
    <w:basedOn w:val="DefaultParagraphFont"/>
    <w:link w:val="Dash"/>
    <w:rsid w:val="002812E8"/>
    <w:rPr>
      <w:rFonts w:eastAsia="Times New Roman" w:cs="Times New Roman"/>
      <w:sz w:val="18"/>
      <w:lang w:eastAsia="en-AU"/>
    </w:rPr>
  </w:style>
  <w:style w:type="paragraph" w:customStyle="1" w:styleId="DoubleDot">
    <w:name w:val="Double Dot"/>
    <w:basedOn w:val="Normal"/>
    <w:link w:val="DoubleDotChar"/>
    <w:rsid w:val="002812E8"/>
    <w:pPr>
      <w:numPr>
        <w:ilvl w:val="2"/>
        <w:numId w:val="14"/>
      </w:numPr>
      <w:spacing w:before="122" w:line="198" w:lineRule="exact"/>
    </w:pPr>
    <w:rPr>
      <w:rFonts w:eastAsia="Times New Roman" w:cs="Times New Roman"/>
      <w:sz w:val="18"/>
      <w:lang w:eastAsia="en-AU"/>
    </w:rPr>
  </w:style>
  <w:style w:type="character" w:customStyle="1" w:styleId="DoubleDotChar">
    <w:name w:val="Double Dot Char"/>
    <w:basedOn w:val="DefaultParagraphFont"/>
    <w:link w:val="DoubleDot"/>
    <w:rsid w:val="002812E8"/>
    <w:rPr>
      <w:rFonts w:eastAsia="Times New Roman" w:cs="Times New Roman"/>
      <w:sz w:val="18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17A0"/>
    <w:rPr>
      <w:rFonts w:eastAsiaTheme="minorHAnsi" w:cstheme="minorBidi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17A0"/>
    <w:rPr>
      <w:rFonts w:eastAsia="Times New Roman" w:cs="Times New Roman"/>
      <w:b/>
      <w:bCs/>
      <w:lang w:eastAsia="en-AU"/>
    </w:rPr>
  </w:style>
  <w:style w:type="paragraph" w:styleId="Revision">
    <w:name w:val="Revision"/>
    <w:hidden/>
    <w:uiPriority w:val="99"/>
    <w:semiHidden/>
    <w:rsid w:val="00E92B1B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">
    <w:name w:val="Title"/>
    <w:basedOn w:val="Normal"/>
    <w:next w:val="Normal"/>
    <w:link w:val="TitleChar"/>
    <w:uiPriority w:val="10"/>
    <w:qFormat/>
    <w:rsid w:val="00CB031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B03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CommentReference">
    <w:name w:val="annotation reference"/>
    <w:basedOn w:val="DefaultParagraphFont"/>
    <w:rsid w:val="00CB0317"/>
    <w:rPr>
      <w:sz w:val="16"/>
      <w:szCs w:val="16"/>
    </w:rPr>
  </w:style>
  <w:style w:type="paragraph" w:styleId="CommentText">
    <w:name w:val="annotation text"/>
    <w:basedOn w:val="Normal"/>
    <w:link w:val="CommentTextChar"/>
    <w:rsid w:val="00CB0317"/>
    <w:pPr>
      <w:spacing w:line="240" w:lineRule="auto"/>
    </w:pPr>
    <w:rPr>
      <w:rFonts w:eastAsia="Times New Roman" w:cs="Times New Roman"/>
      <w:sz w:val="20"/>
      <w:lang w:eastAsia="en-AU"/>
    </w:rPr>
  </w:style>
  <w:style w:type="character" w:customStyle="1" w:styleId="CommentTextChar">
    <w:name w:val="Comment Text Char"/>
    <w:basedOn w:val="DefaultParagraphFont"/>
    <w:link w:val="CommentText"/>
    <w:rsid w:val="00CB0317"/>
    <w:rPr>
      <w:rFonts w:eastAsia="Times New Roman" w:cs="Times New Roman"/>
      <w:lang w:eastAsia="en-AU"/>
    </w:rPr>
  </w:style>
  <w:style w:type="paragraph" w:styleId="ListParagraph">
    <w:name w:val="List Paragraph"/>
    <w:basedOn w:val="Normal"/>
    <w:uiPriority w:val="34"/>
    <w:qFormat/>
    <w:rsid w:val="00CB0317"/>
    <w:pPr>
      <w:ind w:left="720"/>
      <w:contextualSpacing/>
    </w:pPr>
  </w:style>
  <w:style w:type="paragraph" w:customStyle="1" w:styleId="Bullet">
    <w:name w:val="Bullet"/>
    <w:basedOn w:val="Normal"/>
    <w:link w:val="BulletChar"/>
    <w:rsid w:val="002812E8"/>
    <w:pPr>
      <w:numPr>
        <w:numId w:val="14"/>
      </w:numPr>
      <w:spacing w:before="122" w:line="198" w:lineRule="exact"/>
    </w:pPr>
    <w:rPr>
      <w:rFonts w:eastAsia="Times New Roman" w:cs="Times New Roman"/>
      <w:sz w:val="18"/>
      <w:lang w:eastAsia="en-AU"/>
    </w:rPr>
  </w:style>
  <w:style w:type="character" w:customStyle="1" w:styleId="BulletChar">
    <w:name w:val="Bullet Char"/>
    <w:basedOn w:val="DefaultParagraphFont"/>
    <w:link w:val="Bullet"/>
    <w:rsid w:val="002812E8"/>
    <w:rPr>
      <w:rFonts w:eastAsia="Times New Roman" w:cs="Times New Roman"/>
      <w:sz w:val="18"/>
      <w:lang w:eastAsia="en-AU"/>
    </w:rPr>
  </w:style>
  <w:style w:type="paragraph" w:customStyle="1" w:styleId="Dash">
    <w:name w:val="Dash"/>
    <w:basedOn w:val="Normal"/>
    <w:link w:val="DashChar"/>
    <w:rsid w:val="002812E8"/>
    <w:pPr>
      <w:numPr>
        <w:ilvl w:val="1"/>
        <w:numId w:val="14"/>
      </w:numPr>
      <w:spacing w:before="122" w:line="198" w:lineRule="exact"/>
    </w:pPr>
    <w:rPr>
      <w:rFonts w:eastAsia="Times New Roman" w:cs="Times New Roman"/>
      <w:sz w:val="18"/>
      <w:lang w:eastAsia="en-AU"/>
    </w:rPr>
  </w:style>
  <w:style w:type="character" w:customStyle="1" w:styleId="DashChar">
    <w:name w:val="Dash Char"/>
    <w:basedOn w:val="DefaultParagraphFont"/>
    <w:link w:val="Dash"/>
    <w:rsid w:val="002812E8"/>
    <w:rPr>
      <w:rFonts w:eastAsia="Times New Roman" w:cs="Times New Roman"/>
      <w:sz w:val="18"/>
      <w:lang w:eastAsia="en-AU"/>
    </w:rPr>
  </w:style>
  <w:style w:type="paragraph" w:customStyle="1" w:styleId="DoubleDot">
    <w:name w:val="Double Dot"/>
    <w:basedOn w:val="Normal"/>
    <w:link w:val="DoubleDotChar"/>
    <w:rsid w:val="002812E8"/>
    <w:pPr>
      <w:numPr>
        <w:ilvl w:val="2"/>
        <w:numId w:val="14"/>
      </w:numPr>
      <w:spacing w:before="122" w:line="198" w:lineRule="exact"/>
    </w:pPr>
    <w:rPr>
      <w:rFonts w:eastAsia="Times New Roman" w:cs="Times New Roman"/>
      <w:sz w:val="18"/>
      <w:lang w:eastAsia="en-AU"/>
    </w:rPr>
  </w:style>
  <w:style w:type="character" w:customStyle="1" w:styleId="DoubleDotChar">
    <w:name w:val="Double Dot Char"/>
    <w:basedOn w:val="DefaultParagraphFont"/>
    <w:link w:val="DoubleDot"/>
    <w:rsid w:val="002812E8"/>
    <w:rPr>
      <w:rFonts w:eastAsia="Times New Roman" w:cs="Times New Roman"/>
      <w:sz w:val="18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17A0"/>
    <w:rPr>
      <w:rFonts w:eastAsiaTheme="minorHAnsi" w:cstheme="minorBidi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17A0"/>
    <w:rPr>
      <w:rFonts w:eastAsia="Times New Roman" w:cs="Times New Roman"/>
      <w:b/>
      <w:bCs/>
      <w:lang w:eastAsia="en-AU"/>
    </w:rPr>
  </w:style>
  <w:style w:type="paragraph" w:styleId="Revision">
    <w:name w:val="Revision"/>
    <w:hidden/>
    <w:uiPriority w:val="99"/>
    <w:semiHidden/>
    <w:rsid w:val="00E92B1B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8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header" Target="header4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footer" Target="footer1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23" Type="http://schemas.openxmlformats.org/officeDocument/2006/relationships/footer" Target="footer5.xml"/><Relationship Id="rId10" Type="http://schemas.openxmlformats.org/officeDocument/2006/relationships/settings" Target="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image" Target="media/image1.jpg"/><Relationship Id="rId22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reasury Document" ma:contentTypeID="0x01010036BB8DE7EC542E42A8B2E98CC20CB69700D5C18F41BA18FB44827A222ACD6776F5" ma:contentTypeVersion="6205" ma:contentTypeDescription=" " ma:contentTypeScope="" ma:versionID="6e37a3abf42a3f89aae73366c2050acd">
  <xsd:schema xmlns:xsd="http://www.w3.org/2001/XMLSchema" xmlns:xs="http://www.w3.org/2001/XMLSchema" xmlns:p="http://schemas.microsoft.com/office/2006/metadata/properties" xmlns:ns1="http://schemas.microsoft.com/sharepoint/v3" xmlns:ns2="9f7bc583-7cbe-45b9-a2bd-8bbb6543b37e" xmlns:ns4="http://schemas.microsoft.com/sharepoint/v4" targetNamespace="http://schemas.microsoft.com/office/2006/metadata/properties" ma:root="true" ma:fieldsID="32f1aaaa33c51780a447a63930c25cc4" ns1:_="" ns2:_="" ns4:_="">
    <xsd:import namespace="http://schemas.microsoft.com/sharepoint/v3"/>
    <xsd:import namespace="9f7bc583-7cbe-45b9-a2bd-8bbb6543b37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2:lb508a4dc5e84436a0fe496b536466aa" minOccurs="0"/>
                <xsd:element ref="ns2:TaxCatchAll" minOccurs="0"/>
                <xsd:element ref="ns2:TaxCatchAllLabel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bc583-7cbe-45b9-a2bd-8bbb6543b37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lb508a4dc5e84436a0fe496b536466aa" ma:index="12" nillable="true" ma:taxonomy="true" ma:internalName="lb508a4dc5e84436a0fe496b536466aa" ma:taxonomyFieldName="TSYRecordClass" ma:displayName="Record Class" ma:readOnly="false" ma:default="11;#TSY RA-9237 - Destroy 5 years after action completed|9f1a030e-81bf-44c5-98eb-4d5d869a40d5" ma:fieldId="{5b508a4d-c5e8-4436-a0fe-496b536466aa}" ma:sspId="77b7a547-5880-464f-83f8-cefe583c3af4" ma:termSetId="8c8a1de6-dea5-4e66-bd5a-b7b3daae0f3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a5426e91-c895-42ba-91bf-fe5e23c4f0ec}" ma:internalName="TaxCatchAll" ma:showField="CatchAllData" ma:web="9f7bc583-7cbe-45b9-a2bd-8bbb6543b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hidden="true" ma:list="{a5426e91-c895-42ba-91bf-fe5e23c4f0ec}" ma:internalName="TaxCatchAllLabel" ma:readOnly="true" ma:showField="CatchAllDataLabel" ma:web="9f7bc583-7cbe-45b9-a2bd-8bbb6543b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b508a4dc5e84436a0fe496b536466aa xmlns="9f7bc583-7cbe-45b9-a2bd-8bbb6543b37e">
      <Terms xmlns="http://schemas.microsoft.com/office/infopath/2007/PartnerControls">
        <TermInfo xmlns="http://schemas.microsoft.com/office/infopath/2007/PartnerControls">
          <TermName xmlns="http://schemas.microsoft.com/office/infopath/2007/PartnerControls">TSY RA-9237 - Destroy 5 years after action completed</TermName>
          <TermId xmlns="http://schemas.microsoft.com/office/infopath/2007/PartnerControls">9f1a030e-81bf-44c5-98eb-4d5d869a40d5</TermId>
        </TermInfo>
      </Terms>
    </lb508a4dc5e84436a0fe496b536466aa>
    <IconOverlay xmlns="http://schemas.microsoft.com/sharepoint/v4" xsi:nil="true"/>
    <TaxCatchAll xmlns="9f7bc583-7cbe-45b9-a2bd-8bbb6543b37e">
      <Value>8</Value>
    </TaxCatchAll>
    <_dlc_DocId xmlns="9f7bc583-7cbe-45b9-a2bd-8bbb6543b37e">2017RG-111-7654</_dlc_DocId>
    <_dlc_DocIdUrl xmlns="9f7bc583-7cbe-45b9-a2bd-8bbb6543b37e">
      <Url>http://tweb/sites/rg/ldp/lmu/_layouts/15/DocIdRedir.aspx?ID=2017RG-111-7654</Url>
      <Description>2017RG-111-7654</Description>
    </_dlc_DocIdUrl>
  </documentManagement>
</p:properties>
</file>

<file path=customXml/item5.xml><?xml version="1.0" encoding="utf-8"?>
<?mso-contentType ?>
<p:Policy xmlns:p="office.server.policy" id="" local="true">
  <p:Name>Treasury Document</p:Name>
  <p:Description/>
  <p:Statement/>
  <p:PolicyItems>
    <p:PolicyItem featureId="Microsoft.Office.RecordsManagement.PolicyFeatures.PolicyAudit" staticId="0x01010036BB8DE7EC542E42A8B2E98CC20CB697|1757814118" UniqueId="eb9354fb-4177-4e01-8c43-989761893d04">
      <p:Name>Auditing</p:Name>
      <p:Description>Audits user actions on documents and list items to the Audit Log.</p:Description>
      <p:CustomData>
        <Audit>
          <Update/>
          <DeleteRestore/>
        </Audit>
      </p:CustomData>
    </p:PolicyItem>
  </p:PolicyItems>
</p:Policy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D19A2A-4422-47A6-8EE6-5EC0D2D4FD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f7bc583-7cbe-45b9-a2bd-8bbb6543b37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F722BD-073E-461C-A4F7-AFFD3BD88F4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EC77565B-3F5B-4B73-9692-84271418E6A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B8038B7-6F60-4687-AE17-1A0DA617805B}">
  <ds:schemaRefs>
    <ds:schemaRef ds:uri="http://purl.org/dc/terms/"/>
    <ds:schemaRef ds:uri="http://www.w3.org/XML/1998/namespace"/>
    <ds:schemaRef ds:uri="http://schemas.microsoft.com/sharepoint/v3"/>
    <ds:schemaRef ds:uri="http://schemas.microsoft.com/office/2006/documentManagement/types"/>
    <ds:schemaRef ds:uri="http://schemas.microsoft.com/office/2006/metadata/properties"/>
    <ds:schemaRef ds:uri="http://schemas.microsoft.com/sharepoint/v4"/>
    <ds:schemaRef ds:uri="http://purl.org/dc/dcmitype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9f7bc583-7cbe-45b9-a2bd-8bbb6543b37e"/>
  </ds:schemaRefs>
</ds:datastoreItem>
</file>

<file path=customXml/itemProps5.xml><?xml version="1.0" encoding="utf-8"?>
<ds:datastoreItem xmlns:ds="http://schemas.openxmlformats.org/officeDocument/2006/customXml" ds:itemID="{E1836736-84F2-4932-86E2-ADF4B5A546E3}">
  <ds:schemaRefs>
    <ds:schemaRef ds:uri="office.server.policy"/>
  </ds:schemaRefs>
</ds:datastoreItem>
</file>

<file path=customXml/itemProps6.xml><?xml version="1.0" encoding="utf-8"?>
<ds:datastoreItem xmlns:ds="http://schemas.openxmlformats.org/officeDocument/2006/customXml" ds:itemID="{85D81B4C-1F8C-4A3E-9474-7F1EB9FE4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924</Words>
  <Characters>5269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 - The Treasury</Company>
  <LinksUpToDate>false</LinksUpToDate>
  <CharactersWithSpaces>6181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170918_final_LI_incidental_valuable_metal_goods</dc:title>
  <dc:creator>Bignell, Phil</dc:creator>
  <cp:lastModifiedBy>Osborne, Lea</cp:lastModifiedBy>
  <cp:revision>10</cp:revision>
  <cp:lastPrinted>2017-09-18T06:33:00Z</cp:lastPrinted>
  <dcterms:created xsi:type="dcterms:W3CDTF">2017-09-18T06:27:00Z</dcterms:created>
  <dcterms:modified xsi:type="dcterms:W3CDTF">2017-10-16T22:52:00Z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0x01010036BB8DE7EC542E42A8B2E98CC20CB69700D5C18F41BA18FB44827A222ACD6776F5</vt:lpwstr>
  </property>
  <property fmtid="{D5CDD505-2E9C-101B-9397-08002B2CF9AE}" pid="3" name="RecordPoint_ActiveItemUniqueId">
    <vt:lpwstr>{bcd33342-0dc6-47d2-b6d8-87c49a12e333}</vt:lpwstr>
  </property>
  <property fmtid="{D5CDD505-2E9C-101B-9397-08002B2CF9AE}" pid="4" name="TSYRecordClass">
    <vt:lpwstr>11</vt:lpwstr>
  </property>
  <property fmtid="{D5CDD505-2E9C-101B-9397-08002B2CF9AE}" pid="5" name="RecordPoint_WorkflowType">
    <vt:lpwstr>ActiveSubmitStub</vt:lpwstr>
  </property>
  <property fmtid="{D5CDD505-2E9C-101B-9397-08002B2CF9AE}" pid="6" name="_dlc_DocIdItemGuid">
    <vt:lpwstr>bcd33342-0dc6-47d2-b6d8-87c49a12e333</vt:lpwstr>
  </property>
  <property fmtid="{D5CDD505-2E9C-101B-9397-08002B2CF9AE}" pid="7" name="RecordPoint_ActiveItemWebId">
    <vt:lpwstr>{2602612e-a30f-4de0-b9eb-e01e73dc8005}</vt:lpwstr>
  </property>
  <property fmtid="{D5CDD505-2E9C-101B-9397-08002B2CF9AE}" pid="8" name="RecordPoint_ActiveItemSiteId">
    <vt:lpwstr>{5b52b9a5-e5b2-4521-8814-a1e24ca2869d}</vt:lpwstr>
  </property>
  <property fmtid="{D5CDD505-2E9C-101B-9397-08002B2CF9AE}" pid="9" name="RecordPoint_ActiveItemListId">
    <vt:lpwstr>{1a010be9-83b3-4740-abb7-452f2d1120fe}</vt:lpwstr>
  </property>
  <property fmtid="{D5CDD505-2E9C-101B-9397-08002B2CF9AE}" pid="10" name="RecordPoint_RecordNumberSubmitted">
    <vt:lpwstr>R0001452314</vt:lpwstr>
  </property>
  <property fmtid="{D5CDD505-2E9C-101B-9397-08002B2CF9AE}" pid="11" name="RecordPoint_SubmissionCompleted">
    <vt:lpwstr>2017-10-17T10:21:58.4241867+11:00</vt:lpwstr>
  </property>
  <property fmtid="{D5CDD505-2E9C-101B-9397-08002B2CF9AE}" pid="12" name="RecordPoint_SubmissionDate">
    <vt:lpwstr/>
  </property>
  <property fmtid="{D5CDD505-2E9C-101B-9397-08002B2CF9AE}" pid="13" name="RecordPoint_ActiveItemMoved">
    <vt:lpwstr/>
  </property>
  <property fmtid="{D5CDD505-2E9C-101B-9397-08002B2CF9AE}" pid="14" name="RecordPoint_RecordFormat">
    <vt:lpwstr/>
  </property>
  <property fmtid="{D5CDD505-2E9C-101B-9397-08002B2CF9AE}" pid="15" name="_AdHocReviewCycleID">
    <vt:i4>1537731967</vt:i4>
  </property>
  <property fmtid="{D5CDD505-2E9C-101B-9397-08002B2CF9AE}" pid="16" name="_NewReviewCycle">
    <vt:lpwstr/>
  </property>
  <property fmtid="{D5CDD505-2E9C-101B-9397-08002B2CF9AE}" pid="17" name="_EmailSubject">
    <vt:lpwstr>final GST determination incidental valuable metal goods </vt:lpwstr>
  </property>
  <property fmtid="{D5CDD505-2E9C-101B-9397-08002B2CF9AE}" pid="18" name="_AuthorEmail">
    <vt:lpwstr>Ruby.Ting@TREASURY.GOV.AU</vt:lpwstr>
  </property>
  <property fmtid="{D5CDD505-2E9C-101B-9397-08002B2CF9AE}" pid="19" name="_AuthorEmailDisplayName">
    <vt:lpwstr>Ting, Ruby</vt:lpwstr>
  </property>
  <property fmtid="{D5CDD505-2E9C-101B-9397-08002B2CF9AE}" pid="20" name="Order">
    <vt:r8>82900</vt:r8>
  </property>
  <property fmtid="{D5CDD505-2E9C-101B-9397-08002B2CF9AE}" pid="21" name="_ReviewingToolsShownOnce">
    <vt:lpwstr/>
  </property>
</Properties>
</file>