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5C191D14" w14:textId="77777777" w:rsidR="00654451" w:rsidRPr="005D1ABF" w:rsidRDefault="00654451" w:rsidP="00654451">
      <w:pPr>
        <w:spacing w:after="0" w:line="240" w:lineRule="auto"/>
        <w:jc w:val="center"/>
        <w:rPr>
          <w:rFonts w:ascii="Times New Roman" w:hAnsi="Times New Roman" w:cs="Times New Roman"/>
          <w:b/>
          <w:caps/>
          <w:sz w:val="24"/>
          <w:szCs w:val="24"/>
          <w:u w:val="single"/>
        </w:rPr>
      </w:pPr>
      <w:bookmarkStart w:id="0" w:name="_GoBack"/>
      <w:bookmarkEnd w:id="0"/>
      <w:r w:rsidRPr="005D1ABF">
        <w:rPr>
          <w:rFonts w:ascii="Times New Roman" w:hAnsi="Times New Roman" w:cs="Times New Roman"/>
          <w:b/>
          <w:caps/>
          <w:sz w:val="24"/>
          <w:szCs w:val="24"/>
          <w:u w:val="single"/>
        </w:rPr>
        <w:t>Explanatory Statement</w:t>
      </w:r>
    </w:p>
    <w:p w14:paraId="4A7D6C25" w14:textId="77777777" w:rsidR="00654451" w:rsidRPr="005D1ABF" w:rsidRDefault="00654451" w:rsidP="00654451">
      <w:pPr>
        <w:spacing w:after="0" w:line="240" w:lineRule="auto"/>
        <w:jc w:val="center"/>
        <w:rPr>
          <w:rFonts w:ascii="Times New Roman" w:hAnsi="Times New Roman" w:cs="Times New Roman"/>
          <w:b/>
          <w:caps/>
          <w:sz w:val="24"/>
          <w:szCs w:val="24"/>
          <w:u w:val="single"/>
        </w:rPr>
      </w:pPr>
    </w:p>
    <w:p w14:paraId="3C560C92" w14:textId="75B252E6" w:rsidR="00D1595B" w:rsidRPr="00B10FE5" w:rsidRDefault="00654451" w:rsidP="00D1595B">
      <w:pPr>
        <w:spacing w:after="0" w:line="240" w:lineRule="auto"/>
        <w:jc w:val="center"/>
        <w:rPr>
          <w:rFonts w:ascii="Times New Roman" w:hAnsi="Times New Roman" w:cs="Times New Roman"/>
          <w:color w:val="000000" w:themeColor="text1"/>
          <w:sz w:val="24"/>
          <w:szCs w:val="24"/>
          <w:u w:val="single"/>
        </w:rPr>
      </w:pPr>
      <w:r w:rsidRPr="00B10FE5">
        <w:rPr>
          <w:rFonts w:ascii="Times New Roman" w:hAnsi="Times New Roman" w:cs="Times New Roman"/>
          <w:color w:val="000000" w:themeColor="text1"/>
          <w:sz w:val="24"/>
          <w:szCs w:val="24"/>
          <w:u w:val="single"/>
        </w:rPr>
        <w:t xml:space="preserve">Issued by Authority of the </w:t>
      </w:r>
      <w:r w:rsidR="00D1595B">
        <w:rPr>
          <w:rFonts w:ascii="Times New Roman" w:hAnsi="Times New Roman" w:cs="Times New Roman"/>
          <w:color w:val="000000" w:themeColor="text1"/>
          <w:sz w:val="24"/>
          <w:szCs w:val="24"/>
          <w:u w:val="single"/>
        </w:rPr>
        <w:t xml:space="preserve">Assistant </w:t>
      </w:r>
      <w:r w:rsidRPr="00B10FE5">
        <w:rPr>
          <w:rFonts w:ascii="Times New Roman" w:hAnsi="Times New Roman" w:cs="Times New Roman"/>
          <w:color w:val="000000" w:themeColor="text1"/>
          <w:sz w:val="24"/>
          <w:szCs w:val="24"/>
          <w:u w:val="single"/>
        </w:rPr>
        <w:t xml:space="preserve">Minister for </w:t>
      </w:r>
      <w:r w:rsidR="00D1595B">
        <w:rPr>
          <w:rFonts w:ascii="Times New Roman" w:hAnsi="Times New Roman" w:cs="Times New Roman"/>
          <w:color w:val="000000" w:themeColor="text1"/>
          <w:sz w:val="24"/>
          <w:szCs w:val="24"/>
          <w:u w:val="single"/>
        </w:rPr>
        <w:t>Agriculture and Water Resources, Parliamentary Secretary to the Deputy Prime Minister and Minister for Agriculture and Water Resources</w:t>
      </w:r>
    </w:p>
    <w:p w14:paraId="55B4F06C" w14:textId="77777777" w:rsidR="00654451" w:rsidRPr="00B10FE5" w:rsidRDefault="00654451" w:rsidP="00654451">
      <w:pPr>
        <w:spacing w:after="0" w:line="240" w:lineRule="auto"/>
        <w:jc w:val="center"/>
        <w:rPr>
          <w:rFonts w:ascii="Times New Roman" w:hAnsi="Times New Roman" w:cs="Times New Roman"/>
          <w:color w:val="000000" w:themeColor="text1"/>
          <w:sz w:val="24"/>
          <w:szCs w:val="24"/>
        </w:rPr>
      </w:pPr>
    </w:p>
    <w:p w14:paraId="1978394D" w14:textId="77777777" w:rsidR="00654451" w:rsidRPr="00B10FE5" w:rsidRDefault="00B97C28" w:rsidP="00654451">
      <w:pPr>
        <w:spacing w:after="0" w:line="240" w:lineRule="auto"/>
        <w:jc w:val="center"/>
        <w:rPr>
          <w:rFonts w:ascii="Times New Roman" w:hAnsi="Times New Roman" w:cs="Times New Roman"/>
          <w:i/>
          <w:snapToGrid w:val="0"/>
          <w:color w:val="000000" w:themeColor="text1"/>
          <w:sz w:val="24"/>
          <w:szCs w:val="24"/>
        </w:rPr>
      </w:pPr>
      <w:r w:rsidRPr="00B10FE5">
        <w:rPr>
          <w:rFonts w:ascii="Times New Roman" w:hAnsi="Times New Roman" w:cs="Times New Roman"/>
          <w:i/>
          <w:snapToGrid w:val="0"/>
          <w:color w:val="000000" w:themeColor="text1"/>
          <w:sz w:val="24"/>
          <w:szCs w:val="24"/>
        </w:rPr>
        <w:t>Illegal Logging Prohibition Act 2012</w:t>
      </w:r>
    </w:p>
    <w:p w14:paraId="343AFF30" w14:textId="77777777" w:rsidR="00654451" w:rsidRPr="005D1ABF" w:rsidRDefault="00654451" w:rsidP="00654451">
      <w:pPr>
        <w:spacing w:after="0" w:line="240" w:lineRule="auto"/>
        <w:jc w:val="center"/>
        <w:rPr>
          <w:rFonts w:ascii="Times New Roman" w:hAnsi="Times New Roman" w:cs="Times New Roman"/>
          <w:sz w:val="24"/>
          <w:szCs w:val="24"/>
        </w:rPr>
      </w:pPr>
    </w:p>
    <w:p w14:paraId="565CA176" w14:textId="4B4D05F0" w:rsidR="00654451" w:rsidRPr="00B97C28" w:rsidRDefault="00B97C28" w:rsidP="00654451">
      <w:pPr>
        <w:spacing w:after="0" w:line="240" w:lineRule="auto"/>
        <w:jc w:val="center"/>
        <w:rPr>
          <w:rFonts w:ascii="Times New Roman" w:hAnsi="Times New Roman" w:cs="Times New Roman"/>
          <w:i/>
          <w:sz w:val="24"/>
          <w:szCs w:val="24"/>
        </w:rPr>
      </w:pPr>
      <w:r w:rsidRPr="00B97C28">
        <w:rPr>
          <w:rFonts w:ascii="Times New Roman" w:hAnsi="Times New Roman" w:cs="Times New Roman"/>
          <w:i/>
          <w:sz w:val="24"/>
          <w:szCs w:val="24"/>
          <w:u w:val="single"/>
        </w:rPr>
        <w:t>Illegal Logging Prohibition Amendment (</w:t>
      </w:r>
      <w:r w:rsidR="00B10FE5">
        <w:rPr>
          <w:rFonts w:ascii="Times New Roman" w:hAnsi="Times New Roman" w:cs="Times New Roman"/>
          <w:i/>
          <w:sz w:val="24"/>
          <w:szCs w:val="24"/>
          <w:u w:val="single"/>
        </w:rPr>
        <w:t>Due Diligence Improvements</w:t>
      </w:r>
      <w:r w:rsidRPr="00B97C28">
        <w:rPr>
          <w:rFonts w:ascii="Times New Roman" w:hAnsi="Times New Roman" w:cs="Times New Roman"/>
          <w:i/>
          <w:sz w:val="24"/>
          <w:szCs w:val="24"/>
          <w:u w:val="single"/>
        </w:rPr>
        <w:t>) Regulations 2017</w:t>
      </w:r>
    </w:p>
    <w:p w14:paraId="3AAB2195" w14:textId="77777777" w:rsidR="00654451" w:rsidRPr="00126061" w:rsidRDefault="00654451" w:rsidP="00654451">
      <w:pPr>
        <w:spacing w:after="0" w:line="240" w:lineRule="auto"/>
        <w:contextualSpacing/>
        <w:rPr>
          <w:rFonts w:ascii="Times New Roman" w:hAnsi="Times New Roman" w:cs="Times New Roman"/>
          <w:color w:val="000000" w:themeColor="text1"/>
          <w:sz w:val="24"/>
          <w:szCs w:val="24"/>
        </w:rPr>
      </w:pPr>
    </w:p>
    <w:p w14:paraId="52341251" w14:textId="77777777" w:rsidR="00654451" w:rsidRPr="00126061" w:rsidRDefault="00654451" w:rsidP="00654451">
      <w:pPr>
        <w:tabs>
          <w:tab w:val="left" w:pos="1701"/>
          <w:tab w:val="right" w:pos="9072"/>
        </w:tabs>
        <w:spacing w:after="0" w:line="240" w:lineRule="auto"/>
        <w:rPr>
          <w:rFonts w:ascii="Times New Roman" w:hAnsi="Times New Roman" w:cs="Times New Roman"/>
          <w:color w:val="000000" w:themeColor="text1"/>
          <w:sz w:val="24"/>
          <w:szCs w:val="24"/>
        </w:rPr>
      </w:pPr>
      <w:r w:rsidRPr="00126061">
        <w:rPr>
          <w:rFonts w:ascii="Times New Roman" w:hAnsi="Times New Roman" w:cs="Times New Roman"/>
          <w:b/>
          <w:color w:val="000000" w:themeColor="text1"/>
          <w:sz w:val="24"/>
          <w:szCs w:val="24"/>
        </w:rPr>
        <w:t>Legislative Authority</w:t>
      </w:r>
    </w:p>
    <w:p w14:paraId="32AF8851" w14:textId="17EC275F" w:rsidR="00654451" w:rsidRPr="00126061" w:rsidRDefault="00126061" w:rsidP="00654451">
      <w:pPr>
        <w:tabs>
          <w:tab w:val="right" w:pos="9072"/>
        </w:tabs>
        <w:spacing w:after="0" w:line="240" w:lineRule="auto"/>
        <w:rPr>
          <w:rFonts w:ascii="Times New Roman" w:hAnsi="Times New Roman" w:cs="Times New Roman"/>
          <w:color w:val="000000" w:themeColor="text1"/>
          <w:sz w:val="24"/>
        </w:rPr>
      </w:pPr>
      <w:r w:rsidRPr="00126061">
        <w:rPr>
          <w:rFonts w:ascii="Times New Roman" w:hAnsi="Times New Roman" w:cs="Times New Roman"/>
          <w:color w:val="000000" w:themeColor="text1"/>
          <w:sz w:val="24"/>
        </w:rPr>
        <w:t xml:space="preserve">The </w:t>
      </w:r>
      <w:r w:rsidR="00E83926" w:rsidRPr="00126061">
        <w:rPr>
          <w:rFonts w:ascii="Times New Roman" w:hAnsi="Times New Roman" w:cs="Times New Roman"/>
          <w:i/>
          <w:color w:val="000000" w:themeColor="text1"/>
          <w:sz w:val="24"/>
        </w:rPr>
        <w:t xml:space="preserve">Illegal Logging Prohibition Act 2012 </w:t>
      </w:r>
      <w:r w:rsidR="00E83926" w:rsidRPr="00126061">
        <w:rPr>
          <w:rFonts w:ascii="Times New Roman" w:hAnsi="Times New Roman" w:cs="Times New Roman"/>
          <w:color w:val="000000" w:themeColor="text1"/>
          <w:sz w:val="24"/>
        </w:rPr>
        <w:t>(the Act) aims to reduce the harmful environmental, social and economic impacts of illegal logging by restricting the importation and sale of illegally logged timber products in Australia.</w:t>
      </w:r>
      <w:r w:rsidR="00EF1C6B">
        <w:rPr>
          <w:rFonts w:ascii="Times New Roman" w:hAnsi="Times New Roman" w:cs="Times New Roman"/>
          <w:color w:val="000000" w:themeColor="text1"/>
          <w:sz w:val="24"/>
        </w:rPr>
        <w:t xml:space="preserve"> The Act requires importers of regulated timber products and processors of raw logs to conduct due diligence in order to reduce the risk that illegally logged timber is imported or processed.</w:t>
      </w:r>
    </w:p>
    <w:p w14:paraId="627F65BB" w14:textId="77777777" w:rsidR="00E83926" w:rsidRPr="00126061" w:rsidRDefault="00E83926" w:rsidP="00654451">
      <w:pPr>
        <w:tabs>
          <w:tab w:val="right" w:pos="9072"/>
        </w:tabs>
        <w:spacing w:after="0" w:line="240" w:lineRule="auto"/>
        <w:rPr>
          <w:rFonts w:ascii="Times New Roman" w:hAnsi="Times New Roman" w:cs="Times New Roman"/>
          <w:color w:val="000000" w:themeColor="text1"/>
          <w:sz w:val="24"/>
          <w:szCs w:val="24"/>
        </w:rPr>
      </w:pPr>
    </w:p>
    <w:p w14:paraId="130D4B91" w14:textId="0D67F6AC" w:rsidR="00B97C28" w:rsidRPr="00126061" w:rsidRDefault="00B97C28" w:rsidP="00B97C28">
      <w:pPr>
        <w:tabs>
          <w:tab w:val="right" w:pos="9072"/>
        </w:tabs>
        <w:spacing w:after="0" w:line="240" w:lineRule="auto"/>
        <w:rPr>
          <w:rFonts w:ascii="Times New Roman" w:hAnsi="Times New Roman" w:cs="Times New Roman"/>
          <w:color w:val="000000" w:themeColor="text1"/>
          <w:sz w:val="24"/>
        </w:rPr>
      </w:pPr>
      <w:r w:rsidRPr="00126061">
        <w:rPr>
          <w:rFonts w:ascii="Times New Roman" w:hAnsi="Times New Roman" w:cs="Times New Roman"/>
          <w:color w:val="000000" w:themeColor="text1"/>
          <w:sz w:val="24"/>
        </w:rPr>
        <w:t>Section 86 of the Act provides that the Governor</w:t>
      </w:r>
      <w:r w:rsidRPr="00126061">
        <w:rPr>
          <w:rFonts w:ascii="Times New Roman" w:hAnsi="Times New Roman" w:cs="Times New Roman"/>
          <w:color w:val="000000" w:themeColor="text1"/>
          <w:sz w:val="24"/>
        </w:rPr>
        <w:noBreakHyphen/>
        <w:t>General may make regulations prescribing either: matte</w:t>
      </w:r>
      <w:r w:rsidR="00CA04C5">
        <w:rPr>
          <w:rFonts w:ascii="Times New Roman" w:hAnsi="Times New Roman" w:cs="Times New Roman"/>
          <w:color w:val="000000" w:themeColor="text1"/>
          <w:sz w:val="24"/>
        </w:rPr>
        <w:t xml:space="preserve">rs required or permitted by the </w:t>
      </w:r>
      <w:r w:rsidRPr="00126061">
        <w:rPr>
          <w:rFonts w:ascii="Times New Roman" w:hAnsi="Times New Roman" w:cs="Times New Roman"/>
          <w:color w:val="000000" w:themeColor="text1"/>
          <w:sz w:val="24"/>
        </w:rPr>
        <w:t>Act to be prescribed; or all matters necessary or convenient to be prescribed for carrying out or giving effect to the Act.</w:t>
      </w:r>
    </w:p>
    <w:p w14:paraId="0018BFBD" w14:textId="77777777" w:rsidR="00654451" w:rsidRDefault="00654451" w:rsidP="00654451">
      <w:pPr>
        <w:tabs>
          <w:tab w:val="left" w:pos="1701"/>
          <w:tab w:val="right" w:pos="9072"/>
        </w:tabs>
        <w:spacing w:after="0" w:line="240" w:lineRule="auto"/>
        <w:rPr>
          <w:rFonts w:ascii="Times New Roman" w:hAnsi="Times New Roman" w:cs="Times New Roman"/>
          <w:color w:val="000000" w:themeColor="text1"/>
          <w:sz w:val="24"/>
        </w:rPr>
      </w:pPr>
    </w:p>
    <w:p w14:paraId="4B3BB1B4" w14:textId="7FE12437" w:rsidR="00E320EC" w:rsidRDefault="00E320EC" w:rsidP="00E320EC">
      <w:pPr>
        <w:pStyle w:val="boxtext0"/>
        <w:shd w:val="clear" w:color="auto" w:fill="FFFFFF"/>
        <w:spacing w:before="0" w:beforeAutospacing="0" w:after="0" w:afterAutospacing="0"/>
      </w:pPr>
      <w:r w:rsidRPr="00262F71">
        <w:t xml:space="preserve">The </w:t>
      </w:r>
      <w:r w:rsidRPr="00262F71">
        <w:rPr>
          <w:i/>
          <w:iCs/>
        </w:rPr>
        <w:t>Illegal Logging Prohibition Regulation 2012</w:t>
      </w:r>
      <w:r w:rsidRPr="00262F71">
        <w:t xml:space="preserve"> (</w:t>
      </w:r>
      <w:r>
        <w:t xml:space="preserve">the primary </w:t>
      </w:r>
      <w:r w:rsidRPr="00262F71">
        <w:t>Regulation</w:t>
      </w:r>
      <w:r>
        <w:t>s</w:t>
      </w:r>
      <w:r w:rsidRPr="00262F71">
        <w:t>) prescribe</w:t>
      </w:r>
      <w:r>
        <w:t>s</w:t>
      </w:r>
      <w:r w:rsidRPr="00262F71">
        <w:t xml:space="preserve"> </w:t>
      </w:r>
      <w:r>
        <w:t>the ‘</w:t>
      </w:r>
      <w:r w:rsidRPr="00262F71">
        <w:t>due</w:t>
      </w:r>
      <w:r w:rsidR="00CA04C5">
        <w:t xml:space="preserve"> </w:t>
      </w:r>
      <w:r w:rsidRPr="00262F71">
        <w:t>diligence</w:t>
      </w:r>
      <w:r>
        <w:t>’</w:t>
      </w:r>
      <w:r w:rsidRPr="00262F71">
        <w:t xml:space="preserve"> requirements for </w:t>
      </w:r>
      <w:r w:rsidRPr="009F6FBD">
        <w:t xml:space="preserve">importing regulated timber products </w:t>
      </w:r>
      <w:r>
        <w:t xml:space="preserve">and </w:t>
      </w:r>
      <w:r w:rsidRPr="009F6FBD">
        <w:t>processing domestically</w:t>
      </w:r>
      <w:r>
        <w:noBreakHyphen/>
      </w:r>
      <w:r w:rsidRPr="009F6FBD">
        <w:t>grown raw logs. The due diligence requirements are prescribed to minimise the risk of placing a regulated timber product that contains illegally sourced tim</w:t>
      </w:r>
      <w:r>
        <w:t>ber onto the Australian market.</w:t>
      </w:r>
    </w:p>
    <w:p w14:paraId="6859E061" w14:textId="77777777" w:rsidR="00654451" w:rsidRPr="00126061" w:rsidRDefault="00654451" w:rsidP="00654451">
      <w:pPr>
        <w:tabs>
          <w:tab w:val="left" w:pos="2760"/>
        </w:tabs>
        <w:spacing w:after="0" w:line="240" w:lineRule="auto"/>
        <w:rPr>
          <w:rFonts w:ascii="Times New Roman" w:hAnsi="Times New Roman" w:cs="Times New Roman"/>
          <w:color w:val="000000" w:themeColor="text1"/>
          <w:sz w:val="24"/>
          <w:szCs w:val="24"/>
        </w:rPr>
      </w:pPr>
    </w:p>
    <w:p w14:paraId="5B01D549" w14:textId="77777777" w:rsidR="00654451" w:rsidRPr="00126061" w:rsidRDefault="00654451" w:rsidP="00654451">
      <w:pPr>
        <w:tabs>
          <w:tab w:val="left" w:pos="1701"/>
          <w:tab w:val="right" w:pos="9072"/>
        </w:tabs>
        <w:spacing w:after="0" w:line="240" w:lineRule="auto"/>
        <w:rPr>
          <w:rFonts w:ascii="Times New Roman" w:hAnsi="Times New Roman" w:cs="Times New Roman"/>
          <w:b/>
          <w:color w:val="000000" w:themeColor="text1"/>
          <w:sz w:val="24"/>
          <w:szCs w:val="24"/>
        </w:rPr>
      </w:pPr>
      <w:r w:rsidRPr="00126061">
        <w:rPr>
          <w:rFonts w:ascii="Times New Roman" w:hAnsi="Times New Roman" w:cs="Times New Roman"/>
          <w:b/>
          <w:color w:val="000000" w:themeColor="text1"/>
          <w:sz w:val="24"/>
          <w:szCs w:val="24"/>
        </w:rPr>
        <w:t>Purpose</w:t>
      </w:r>
    </w:p>
    <w:p w14:paraId="5B433EA3" w14:textId="4112714F" w:rsidR="00126061" w:rsidRDefault="00126061" w:rsidP="00126061">
      <w:pPr>
        <w:spacing w:after="0" w:line="240" w:lineRule="auto"/>
        <w:rPr>
          <w:rFonts w:ascii="Times New Roman" w:hAnsi="Times New Roman" w:cs="Times New Roman"/>
          <w:sz w:val="24"/>
        </w:rPr>
      </w:pPr>
      <w:r>
        <w:rPr>
          <w:rFonts w:ascii="Times New Roman" w:hAnsi="Times New Roman" w:cs="Times New Roman"/>
          <w:sz w:val="24"/>
          <w:szCs w:val="24"/>
        </w:rPr>
        <w:t xml:space="preserve">The purpose of the </w:t>
      </w:r>
      <w:r w:rsidRPr="00B81042">
        <w:rPr>
          <w:rFonts w:ascii="Times New Roman" w:hAnsi="Times New Roman" w:cs="Times New Roman"/>
          <w:i/>
          <w:sz w:val="24"/>
          <w:szCs w:val="24"/>
        </w:rPr>
        <w:t>Illegal Logging Prohibition Amendment (Due Diligence Improvements) Regulation</w:t>
      </w:r>
      <w:r>
        <w:rPr>
          <w:rFonts w:ascii="Times New Roman" w:hAnsi="Times New Roman" w:cs="Times New Roman"/>
          <w:i/>
          <w:sz w:val="24"/>
          <w:szCs w:val="24"/>
        </w:rPr>
        <w:t>s</w:t>
      </w:r>
      <w:r w:rsidRPr="00B81042">
        <w:rPr>
          <w:rFonts w:ascii="Times New Roman" w:hAnsi="Times New Roman" w:cs="Times New Roman"/>
          <w:i/>
          <w:sz w:val="24"/>
          <w:szCs w:val="24"/>
        </w:rPr>
        <w:t xml:space="preserve"> 2017</w:t>
      </w:r>
      <w:r w:rsidR="00AD65C2">
        <w:rPr>
          <w:rFonts w:ascii="Times New Roman" w:hAnsi="Times New Roman" w:cs="Times New Roman"/>
          <w:sz w:val="24"/>
          <w:szCs w:val="24"/>
        </w:rPr>
        <w:t xml:space="preserve"> is </w:t>
      </w:r>
      <w:r>
        <w:rPr>
          <w:rFonts w:ascii="Times New Roman" w:hAnsi="Times New Roman" w:cs="Times New Roman"/>
          <w:sz w:val="24"/>
          <w:szCs w:val="24"/>
        </w:rPr>
        <w:t xml:space="preserve">to </w:t>
      </w:r>
      <w:r w:rsidR="002D5861">
        <w:rPr>
          <w:rFonts w:ascii="Times New Roman" w:hAnsi="Times New Roman" w:cs="Times New Roman"/>
          <w:sz w:val="24"/>
          <w:szCs w:val="24"/>
        </w:rPr>
        <w:t>streamline</w:t>
      </w:r>
      <w:r w:rsidR="00E32938">
        <w:rPr>
          <w:rFonts w:ascii="Times New Roman" w:hAnsi="Times New Roman" w:cs="Times New Roman"/>
          <w:sz w:val="24"/>
          <w:szCs w:val="24"/>
        </w:rPr>
        <w:t xml:space="preserve"> and clarify</w:t>
      </w:r>
      <w:r w:rsidR="002D5861">
        <w:rPr>
          <w:rFonts w:ascii="Times New Roman" w:hAnsi="Times New Roman" w:cs="Times New Roman"/>
          <w:sz w:val="24"/>
          <w:szCs w:val="24"/>
        </w:rPr>
        <w:t xml:space="preserve"> </w:t>
      </w:r>
      <w:r>
        <w:rPr>
          <w:rFonts w:ascii="Times New Roman" w:hAnsi="Times New Roman" w:cs="Times New Roman"/>
          <w:sz w:val="24"/>
          <w:szCs w:val="24"/>
        </w:rPr>
        <w:t xml:space="preserve">how </w:t>
      </w:r>
      <w:r w:rsidR="002D5861">
        <w:rPr>
          <w:rFonts w:ascii="Times New Roman" w:hAnsi="Times New Roman" w:cs="Times New Roman"/>
          <w:sz w:val="24"/>
          <w:szCs w:val="24"/>
        </w:rPr>
        <w:t xml:space="preserve">certain </w:t>
      </w:r>
      <w:r>
        <w:rPr>
          <w:rFonts w:ascii="Times New Roman" w:hAnsi="Times New Roman" w:cs="Times New Roman"/>
          <w:sz w:val="24"/>
          <w:szCs w:val="24"/>
        </w:rPr>
        <w:t>elements of the due diligence requirements operate.</w:t>
      </w:r>
    </w:p>
    <w:p w14:paraId="5889CC43" w14:textId="77777777" w:rsidR="00B97C28" w:rsidRPr="00126061" w:rsidRDefault="00B97C28" w:rsidP="00B97C28">
      <w:pPr>
        <w:spacing w:after="0" w:line="240" w:lineRule="auto"/>
        <w:rPr>
          <w:rFonts w:ascii="Times New Roman" w:hAnsi="Times New Roman" w:cs="Times New Roman"/>
          <w:color w:val="000000" w:themeColor="text1"/>
          <w:sz w:val="24"/>
        </w:rPr>
      </w:pPr>
    </w:p>
    <w:p w14:paraId="396E0CB1" w14:textId="77777777" w:rsidR="00654451" w:rsidRPr="00126061" w:rsidRDefault="00654451" w:rsidP="00654451">
      <w:pPr>
        <w:tabs>
          <w:tab w:val="left" w:pos="1701"/>
          <w:tab w:val="right" w:pos="9072"/>
        </w:tabs>
        <w:spacing w:after="0" w:line="240" w:lineRule="auto"/>
        <w:rPr>
          <w:rFonts w:ascii="Times New Roman" w:hAnsi="Times New Roman" w:cs="Times New Roman"/>
          <w:b/>
          <w:color w:val="000000" w:themeColor="text1"/>
          <w:sz w:val="24"/>
          <w:szCs w:val="24"/>
        </w:rPr>
      </w:pPr>
      <w:r w:rsidRPr="00126061">
        <w:rPr>
          <w:rFonts w:ascii="Times New Roman" w:hAnsi="Times New Roman" w:cs="Times New Roman"/>
          <w:b/>
          <w:color w:val="000000" w:themeColor="text1"/>
          <w:sz w:val="24"/>
          <w:szCs w:val="24"/>
        </w:rPr>
        <w:t>Background</w:t>
      </w:r>
    </w:p>
    <w:p w14:paraId="07831CDD" w14:textId="4EFBEF16" w:rsidR="003A44F7" w:rsidRDefault="00522FC7" w:rsidP="00522FC7">
      <w:pPr>
        <w:spacing w:after="0" w:line="240" w:lineRule="auto"/>
        <w:rPr>
          <w:rFonts w:ascii="Times New Roman" w:hAnsi="Times New Roman" w:cs="Times New Roman"/>
          <w:sz w:val="24"/>
          <w:szCs w:val="24"/>
        </w:rPr>
      </w:pPr>
      <w:r w:rsidRPr="00126061">
        <w:rPr>
          <w:rFonts w:ascii="Times New Roman" w:hAnsi="Times New Roman" w:cs="Times New Roman"/>
          <w:sz w:val="24"/>
          <w:szCs w:val="24"/>
        </w:rPr>
        <w:t xml:space="preserve">The </w:t>
      </w:r>
      <w:r w:rsidR="009F2A84">
        <w:rPr>
          <w:rFonts w:ascii="Times New Roman" w:hAnsi="Times New Roman" w:cs="Times New Roman"/>
          <w:sz w:val="24"/>
          <w:szCs w:val="24"/>
        </w:rPr>
        <w:t xml:space="preserve">majority of the </w:t>
      </w:r>
      <w:r w:rsidRPr="00126061">
        <w:rPr>
          <w:rFonts w:ascii="Times New Roman" w:hAnsi="Times New Roman" w:cs="Times New Roman"/>
          <w:sz w:val="24"/>
          <w:szCs w:val="24"/>
        </w:rPr>
        <w:t>amend</w:t>
      </w:r>
      <w:r w:rsidR="00126061" w:rsidRPr="00126061">
        <w:rPr>
          <w:rFonts w:ascii="Times New Roman" w:hAnsi="Times New Roman" w:cs="Times New Roman"/>
          <w:sz w:val="24"/>
          <w:szCs w:val="24"/>
        </w:rPr>
        <w:t xml:space="preserve">ments </w:t>
      </w:r>
      <w:r w:rsidRPr="00126061">
        <w:rPr>
          <w:rFonts w:ascii="Times New Roman" w:hAnsi="Times New Roman" w:cs="Times New Roman"/>
          <w:sz w:val="24"/>
          <w:szCs w:val="24"/>
        </w:rPr>
        <w:t>reflect the</w:t>
      </w:r>
      <w:r w:rsidR="00126061" w:rsidRPr="00126061">
        <w:rPr>
          <w:rFonts w:ascii="Times New Roman" w:hAnsi="Times New Roman" w:cs="Times New Roman"/>
          <w:sz w:val="24"/>
          <w:szCs w:val="24"/>
        </w:rPr>
        <w:t xml:space="preserve"> outcomes </w:t>
      </w:r>
      <w:r w:rsidR="003A44F7">
        <w:rPr>
          <w:rFonts w:ascii="Times New Roman" w:hAnsi="Times New Roman" w:cs="Times New Roman"/>
          <w:sz w:val="24"/>
          <w:szCs w:val="24"/>
        </w:rPr>
        <w:t>of</w:t>
      </w:r>
      <w:r w:rsidR="00126061" w:rsidRPr="00126061">
        <w:rPr>
          <w:rFonts w:ascii="Times New Roman" w:hAnsi="Times New Roman" w:cs="Times New Roman"/>
          <w:sz w:val="24"/>
          <w:szCs w:val="24"/>
        </w:rPr>
        <w:t xml:space="preserve"> the</w:t>
      </w:r>
      <w:r w:rsidRPr="00126061">
        <w:rPr>
          <w:rFonts w:ascii="Times New Roman" w:hAnsi="Times New Roman" w:cs="Times New Roman"/>
          <w:sz w:val="24"/>
          <w:szCs w:val="24"/>
        </w:rPr>
        <w:t xml:space="preserve"> ‘Reforming Australia’s Illegal Logging Regulations’ Regulation Impact Statement</w:t>
      </w:r>
      <w:r w:rsidR="00AB37E3" w:rsidRPr="00126061">
        <w:rPr>
          <w:rFonts w:ascii="Times New Roman" w:hAnsi="Times New Roman" w:cs="Times New Roman"/>
          <w:sz w:val="24"/>
          <w:szCs w:val="24"/>
        </w:rPr>
        <w:t xml:space="preserve"> (RIS)</w:t>
      </w:r>
      <w:r w:rsidR="003A44F7">
        <w:rPr>
          <w:rFonts w:ascii="Times New Roman" w:hAnsi="Times New Roman" w:cs="Times New Roman"/>
          <w:sz w:val="24"/>
          <w:szCs w:val="24"/>
        </w:rPr>
        <w:t>, which</w:t>
      </w:r>
      <w:r w:rsidR="00126061">
        <w:rPr>
          <w:rFonts w:ascii="Times New Roman" w:hAnsi="Times New Roman" w:cs="Times New Roman"/>
          <w:sz w:val="24"/>
          <w:szCs w:val="24"/>
        </w:rPr>
        <w:t xml:space="preserve"> was </w:t>
      </w:r>
      <w:r w:rsidR="002F213A">
        <w:rPr>
          <w:rFonts w:ascii="Times New Roman" w:hAnsi="Times New Roman" w:cs="Times New Roman"/>
          <w:sz w:val="24"/>
          <w:szCs w:val="24"/>
        </w:rPr>
        <w:t>finalised</w:t>
      </w:r>
      <w:r w:rsidR="00126061">
        <w:rPr>
          <w:rFonts w:ascii="Times New Roman" w:hAnsi="Times New Roman" w:cs="Times New Roman"/>
          <w:sz w:val="24"/>
          <w:szCs w:val="24"/>
        </w:rPr>
        <w:t xml:space="preserve"> </w:t>
      </w:r>
      <w:r w:rsidR="003A44F7">
        <w:rPr>
          <w:rFonts w:ascii="Times New Roman" w:hAnsi="Times New Roman" w:cs="Times New Roman"/>
          <w:sz w:val="24"/>
          <w:szCs w:val="24"/>
        </w:rPr>
        <w:t xml:space="preserve">by the Australian Government </w:t>
      </w:r>
      <w:r w:rsidR="002F213A">
        <w:rPr>
          <w:rFonts w:ascii="Times New Roman" w:hAnsi="Times New Roman" w:cs="Times New Roman"/>
          <w:sz w:val="24"/>
          <w:szCs w:val="24"/>
        </w:rPr>
        <w:t xml:space="preserve">in </w:t>
      </w:r>
      <w:r w:rsidR="00126061">
        <w:rPr>
          <w:rFonts w:ascii="Times New Roman" w:hAnsi="Times New Roman" w:cs="Times New Roman"/>
          <w:sz w:val="24"/>
          <w:szCs w:val="24"/>
        </w:rPr>
        <w:t>September</w:t>
      </w:r>
      <w:r w:rsidR="00D57923">
        <w:rPr>
          <w:rFonts w:ascii="Times New Roman" w:hAnsi="Times New Roman" w:cs="Times New Roman"/>
          <w:sz w:val="24"/>
          <w:szCs w:val="24"/>
        </w:rPr>
        <w:t> </w:t>
      </w:r>
      <w:r w:rsidR="00126061">
        <w:rPr>
          <w:rFonts w:ascii="Times New Roman" w:hAnsi="Times New Roman" w:cs="Times New Roman"/>
          <w:sz w:val="24"/>
          <w:szCs w:val="24"/>
        </w:rPr>
        <w:t>2017.</w:t>
      </w:r>
      <w:r w:rsidR="00F020DA">
        <w:rPr>
          <w:rFonts w:ascii="Times New Roman" w:hAnsi="Times New Roman" w:cs="Times New Roman"/>
          <w:sz w:val="24"/>
          <w:szCs w:val="24"/>
        </w:rPr>
        <w:t xml:space="preserve"> </w:t>
      </w:r>
      <w:r w:rsidR="00126061">
        <w:rPr>
          <w:rFonts w:ascii="Times New Roman" w:hAnsi="Times New Roman" w:cs="Times New Roman"/>
          <w:sz w:val="24"/>
          <w:szCs w:val="24"/>
        </w:rPr>
        <w:t>The RIS</w:t>
      </w:r>
      <w:r w:rsidR="00126061" w:rsidRPr="00126061">
        <w:rPr>
          <w:rFonts w:ascii="Times New Roman" w:hAnsi="Times New Roman" w:cs="Times New Roman"/>
          <w:sz w:val="24"/>
          <w:szCs w:val="24"/>
        </w:rPr>
        <w:t xml:space="preserve"> examined options for amending the </w:t>
      </w:r>
      <w:r w:rsidR="008F186C">
        <w:rPr>
          <w:rFonts w:ascii="Times New Roman" w:hAnsi="Times New Roman" w:cs="Times New Roman"/>
          <w:sz w:val="24"/>
          <w:szCs w:val="24"/>
        </w:rPr>
        <w:t xml:space="preserve">primary </w:t>
      </w:r>
      <w:r w:rsidR="003A44F7" w:rsidRPr="003A44F7">
        <w:rPr>
          <w:rFonts w:ascii="Times New Roman" w:hAnsi="Times New Roman" w:cs="Times New Roman"/>
          <w:iCs/>
          <w:sz w:val="24"/>
        </w:rPr>
        <w:t>Regulation</w:t>
      </w:r>
      <w:r w:rsidR="008F186C">
        <w:rPr>
          <w:rFonts w:ascii="Times New Roman" w:hAnsi="Times New Roman" w:cs="Times New Roman"/>
          <w:iCs/>
          <w:sz w:val="24"/>
        </w:rPr>
        <w:t>s</w:t>
      </w:r>
      <w:r w:rsidR="00197D87" w:rsidRPr="003A44F7">
        <w:rPr>
          <w:rFonts w:ascii="Times New Roman" w:hAnsi="Times New Roman" w:cs="Times New Roman"/>
          <w:sz w:val="24"/>
        </w:rPr>
        <w:t xml:space="preserve"> </w:t>
      </w:r>
      <w:r w:rsidR="00126061" w:rsidRPr="00126061">
        <w:rPr>
          <w:rFonts w:ascii="Times New Roman" w:hAnsi="Times New Roman" w:cs="Times New Roman"/>
          <w:sz w:val="24"/>
          <w:szCs w:val="24"/>
        </w:rPr>
        <w:t xml:space="preserve">to ensure </w:t>
      </w:r>
      <w:r w:rsidR="00126061">
        <w:rPr>
          <w:rFonts w:ascii="Times New Roman" w:hAnsi="Times New Roman" w:cs="Times New Roman"/>
          <w:sz w:val="24"/>
          <w:szCs w:val="24"/>
        </w:rPr>
        <w:t>the due diligence requirements d</w:t>
      </w:r>
      <w:r w:rsidR="002D5861">
        <w:rPr>
          <w:rFonts w:ascii="Times New Roman" w:hAnsi="Times New Roman" w:cs="Times New Roman"/>
          <w:sz w:val="24"/>
          <w:szCs w:val="24"/>
        </w:rPr>
        <w:t>o</w:t>
      </w:r>
      <w:r w:rsidR="00126061" w:rsidRPr="00126061">
        <w:rPr>
          <w:rFonts w:ascii="Times New Roman" w:hAnsi="Times New Roman" w:cs="Times New Roman"/>
          <w:sz w:val="24"/>
          <w:szCs w:val="24"/>
        </w:rPr>
        <w:t xml:space="preserve"> not impose any un-necessary costs on the regulated community</w:t>
      </w:r>
      <w:r w:rsidR="00F020DA">
        <w:rPr>
          <w:rFonts w:ascii="Times New Roman" w:hAnsi="Times New Roman" w:cs="Times New Roman"/>
          <w:sz w:val="24"/>
          <w:szCs w:val="24"/>
        </w:rPr>
        <w:t>.</w:t>
      </w:r>
    </w:p>
    <w:p w14:paraId="3CC796F6" w14:textId="77777777" w:rsidR="009F2A84" w:rsidRDefault="009F2A84" w:rsidP="00522FC7">
      <w:pPr>
        <w:spacing w:after="0" w:line="240" w:lineRule="auto"/>
        <w:rPr>
          <w:rFonts w:ascii="Times New Roman" w:hAnsi="Times New Roman" w:cs="Times New Roman"/>
          <w:sz w:val="24"/>
          <w:szCs w:val="24"/>
        </w:rPr>
      </w:pPr>
    </w:p>
    <w:p w14:paraId="4FF7314F" w14:textId="7783F5E4" w:rsidR="009F2A84" w:rsidRDefault="009F2A84" w:rsidP="00522F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other amendment, which clarifies that </w:t>
      </w:r>
      <w:r w:rsidR="00B10FE5">
        <w:rPr>
          <w:rFonts w:ascii="Times New Roman" w:hAnsi="Times New Roman" w:cs="Times New Roman"/>
          <w:sz w:val="24"/>
          <w:szCs w:val="24"/>
        </w:rPr>
        <w:t xml:space="preserve">any </w:t>
      </w:r>
      <w:r w:rsidR="002F213A">
        <w:rPr>
          <w:rFonts w:ascii="Times New Roman" w:hAnsi="Times New Roman" w:cs="Times New Roman"/>
          <w:sz w:val="24"/>
          <w:szCs w:val="24"/>
        </w:rPr>
        <w:t>assessments</w:t>
      </w:r>
      <w:r>
        <w:rPr>
          <w:rFonts w:ascii="Times New Roman" w:hAnsi="Times New Roman" w:cs="Times New Roman"/>
          <w:sz w:val="24"/>
          <w:szCs w:val="24"/>
        </w:rPr>
        <w:t xml:space="preserve"> of risk must be ‘reasonable’, has emerged from the </w:t>
      </w:r>
      <w:r w:rsidR="00B10FE5">
        <w:rPr>
          <w:rFonts w:ascii="Times New Roman" w:hAnsi="Times New Roman" w:cs="Times New Roman"/>
          <w:sz w:val="24"/>
          <w:szCs w:val="24"/>
        </w:rPr>
        <w:t xml:space="preserve">Department of Agriculture and Water Resource’s experiences in administering </w:t>
      </w:r>
      <w:r>
        <w:rPr>
          <w:rFonts w:ascii="Times New Roman" w:hAnsi="Times New Roman" w:cs="Times New Roman"/>
          <w:sz w:val="24"/>
          <w:szCs w:val="24"/>
        </w:rPr>
        <w:t xml:space="preserve">the </w:t>
      </w:r>
      <w:r w:rsidR="00E320EC">
        <w:rPr>
          <w:rFonts w:ascii="Times New Roman" w:hAnsi="Times New Roman" w:cs="Times New Roman"/>
          <w:sz w:val="24"/>
          <w:szCs w:val="24"/>
        </w:rPr>
        <w:t xml:space="preserve">primary </w:t>
      </w:r>
      <w:r>
        <w:rPr>
          <w:rFonts w:ascii="Times New Roman" w:hAnsi="Times New Roman" w:cs="Times New Roman"/>
          <w:sz w:val="24"/>
          <w:szCs w:val="24"/>
        </w:rPr>
        <w:t>Regulation</w:t>
      </w:r>
      <w:r w:rsidR="00E320EC">
        <w:rPr>
          <w:rFonts w:ascii="Times New Roman" w:hAnsi="Times New Roman" w:cs="Times New Roman"/>
          <w:sz w:val="24"/>
          <w:szCs w:val="24"/>
        </w:rPr>
        <w:t>s</w:t>
      </w:r>
      <w:r>
        <w:rPr>
          <w:rFonts w:ascii="Times New Roman" w:hAnsi="Times New Roman" w:cs="Times New Roman"/>
          <w:sz w:val="24"/>
          <w:szCs w:val="24"/>
        </w:rPr>
        <w:t>.</w:t>
      </w:r>
    </w:p>
    <w:p w14:paraId="459E3596" w14:textId="77777777" w:rsidR="00197D87" w:rsidRPr="00126061" w:rsidRDefault="00197D87" w:rsidP="00197D87">
      <w:pPr>
        <w:tabs>
          <w:tab w:val="right" w:pos="9072"/>
        </w:tabs>
        <w:spacing w:after="0" w:line="240" w:lineRule="auto"/>
        <w:rPr>
          <w:rFonts w:ascii="Times New Roman" w:hAnsi="Times New Roman" w:cs="Times New Roman"/>
          <w:color w:val="000000" w:themeColor="text1"/>
          <w:sz w:val="24"/>
          <w:szCs w:val="24"/>
        </w:rPr>
      </w:pPr>
    </w:p>
    <w:p w14:paraId="617AA045" w14:textId="77777777" w:rsidR="00197D87" w:rsidRPr="00126061" w:rsidRDefault="00197D87" w:rsidP="00197D87">
      <w:pPr>
        <w:tabs>
          <w:tab w:val="left" w:pos="1701"/>
          <w:tab w:val="right" w:pos="9072"/>
        </w:tabs>
        <w:spacing w:after="0" w:line="240" w:lineRule="auto"/>
        <w:rPr>
          <w:rFonts w:ascii="Times New Roman" w:hAnsi="Times New Roman" w:cs="Times New Roman"/>
          <w:b/>
          <w:color w:val="000000" w:themeColor="text1"/>
          <w:sz w:val="24"/>
          <w:szCs w:val="24"/>
        </w:rPr>
      </w:pPr>
      <w:r w:rsidRPr="00126061">
        <w:rPr>
          <w:rFonts w:ascii="Times New Roman" w:hAnsi="Times New Roman" w:cs="Times New Roman"/>
          <w:b/>
          <w:color w:val="000000" w:themeColor="text1"/>
          <w:sz w:val="24"/>
          <w:szCs w:val="24"/>
        </w:rPr>
        <w:t>Impact and Effect</w:t>
      </w:r>
    </w:p>
    <w:p w14:paraId="211761E2" w14:textId="7B91BD3C" w:rsidR="00197D87" w:rsidRPr="00F020DA" w:rsidRDefault="004203C0" w:rsidP="00197D87">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3A44F7">
        <w:rPr>
          <w:rFonts w:ascii="Times New Roman" w:hAnsi="Times New Roman" w:cs="Times New Roman"/>
          <w:sz w:val="24"/>
          <w:szCs w:val="24"/>
        </w:rPr>
        <w:t xml:space="preserve">amending </w:t>
      </w:r>
      <w:r w:rsidR="00197D87" w:rsidRPr="00197D87">
        <w:rPr>
          <w:rFonts w:ascii="Times New Roman" w:hAnsi="Times New Roman" w:cs="Times New Roman"/>
          <w:sz w:val="24"/>
          <w:szCs w:val="24"/>
        </w:rPr>
        <w:t>Regulation</w:t>
      </w:r>
      <w:r w:rsidR="003A44F7">
        <w:rPr>
          <w:rFonts w:ascii="Times New Roman" w:hAnsi="Times New Roman" w:cs="Times New Roman"/>
          <w:sz w:val="24"/>
          <w:szCs w:val="24"/>
        </w:rPr>
        <w:t>s</w:t>
      </w:r>
      <w:r w:rsidR="00197D87" w:rsidRPr="00197D87">
        <w:rPr>
          <w:rFonts w:ascii="Times New Roman" w:hAnsi="Times New Roman" w:cs="Times New Roman"/>
          <w:sz w:val="24"/>
          <w:szCs w:val="24"/>
        </w:rPr>
        <w:t xml:space="preserve"> will</w:t>
      </w:r>
      <w:r w:rsidR="00197D87">
        <w:rPr>
          <w:rFonts w:ascii="Times New Roman" w:hAnsi="Times New Roman" w:cs="Times New Roman"/>
          <w:sz w:val="24"/>
          <w:szCs w:val="24"/>
        </w:rPr>
        <w:t xml:space="preserve"> </w:t>
      </w:r>
      <w:r>
        <w:rPr>
          <w:rFonts w:ascii="Times New Roman" w:hAnsi="Times New Roman" w:cs="Times New Roman"/>
          <w:sz w:val="24"/>
          <w:szCs w:val="24"/>
        </w:rPr>
        <w:t xml:space="preserve">establish a new ‘deemed to comply’ arrangement for </w:t>
      </w:r>
      <w:r w:rsidRPr="00D5594B">
        <w:rPr>
          <w:rFonts w:ascii="Times New Roman" w:hAnsi="Times New Roman" w:cs="Times New Roman"/>
          <w:sz w:val="24"/>
          <w:szCs w:val="24"/>
        </w:rPr>
        <w:t xml:space="preserve">timber products certified </w:t>
      </w:r>
      <w:r>
        <w:rPr>
          <w:rFonts w:ascii="Times New Roman" w:hAnsi="Times New Roman" w:cs="Times New Roman"/>
          <w:sz w:val="24"/>
          <w:szCs w:val="24"/>
        </w:rPr>
        <w:t>under the Timber Legality Framewo</w:t>
      </w:r>
      <w:r w:rsidR="00CA04C5">
        <w:rPr>
          <w:rFonts w:ascii="Times New Roman" w:hAnsi="Times New Roman" w:cs="Times New Roman"/>
          <w:sz w:val="24"/>
          <w:szCs w:val="24"/>
        </w:rPr>
        <w:t>rks (TLF</w:t>
      </w:r>
      <w:r w:rsidR="00E32938">
        <w:rPr>
          <w:rFonts w:ascii="Times New Roman" w:hAnsi="Times New Roman" w:cs="Times New Roman"/>
          <w:sz w:val="24"/>
          <w:szCs w:val="24"/>
        </w:rPr>
        <w:t>s</w:t>
      </w:r>
      <w:r w:rsidR="00CA04C5">
        <w:rPr>
          <w:rFonts w:ascii="Times New Roman" w:hAnsi="Times New Roman" w:cs="Times New Roman"/>
          <w:sz w:val="24"/>
          <w:szCs w:val="24"/>
        </w:rPr>
        <w:t xml:space="preserve">) prescribed in Part 1 of </w:t>
      </w:r>
      <w:r>
        <w:rPr>
          <w:rFonts w:ascii="Times New Roman" w:hAnsi="Times New Roman" w:cs="Times New Roman"/>
          <w:sz w:val="24"/>
          <w:szCs w:val="24"/>
        </w:rPr>
        <w:t>Schedule 2 of the</w:t>
      </w:r>
      <w:r w:rsidR="003A44F7">
        <w:rPr>
          <w:rFonts w:ascii="Times New Roman" w:hAnsi="Times New Roman" w:cs="Times New Roman"/>
          <w:sz w:val="24"/>
          <w:szCs w:val="24"/>
        </w:rPr>
        <w:t xml:space="preserve"> </w:t>
      </w:r>
      <w:r w:rsidR="008F186C">
        <w:rPr>
          <w:rFonts w:ascii="Times New Roman" w:hAnsi="Times New Roman" w:cs="Times New Roman"/>
          <w:sz w:val="24"/>
          <w:szCs w:val="24"/>
        </w:rPr>
        <w:t xml:space="preserve">primary </w:t>
      </w:r>
      <w:r w:rsidR="003A44F7">
        <w:rPr>
          <w:rFonts w:ascii="Times New Roman" w:hAnsi="Times New Roman" w:cs="Times New Roman"/>
          <w:sz w:val="24"/>
          <w:szCs w:val="24"/>
        </w:rPr>
        <w:t>Regulation</w:t>
      </w:r>
      <w:r w:rsidR="008F186C">
        <w:rPr>
          <w:rFonts w:ascii="Times New Roman" w:hAnsi="Times New Roman" w:cs="Times New Roman"/>
          <w:sz w:val="24"/>
          <w:szCs w:val="24"/>
        </w:rPr>
        <w:t>s</w:t>
      </w:r>
      <w:r>
        <w:rPr>
          <w:rFonts w:ascii="Times New Roman" w:hAnsi="Times New Roman" w:cs="Times New Roman"/>
          <w:sz w:val="24"/>
          <w:szCs w:val="24"/>
        </w:rPr>
        <w:t xml:space="preserve">. This </w:t>
      </w:r>
      <w:r w:rsidR="003A44F7">
        <w:rPr>
          <w:rFonts w:ascii="Times New Roman" w:hAnsi="Times New Roman" w:cs="Times New Roman"/>
          <w:sz w:val="24"/>
          <w:szCs w:val="24"/>
        </w:rPr>
        <w:t xml:space="preserve">will </w:t>
      </w:r>
      <w:r w:rsidR="008F186C">
        <w:rPr>
          <w:rFonts w:ascii="Times New Roman" w:hAnsi="Times New Roman" w:cs="Times New Roman"/>
          <w:sz w:val="24"/>
          <w:szCs w:val="24"/>
        </w:rPr>
        <w:t xml:space="preserve">streamline </w:t>
      </w:r>
      <w:r>
        <w:rPr>
          <w:rFonts w:ascii="Times New Roman" w:hAnsi="Times New Roman" w:cs="Times New Roman"/>
          <w:sz w:val="24"/>
          <w:szCs w:val="24"/>
        </w:rPr>
        <w:t xml:space="preserve">the due diligence process for </w:t>
      </w:r>
      <w:r w:rsidR="008F186C">
        <w:rPr>
          <w:rFonts w:ascii="Times New Roman" w:hAnsi="Times New Roman" w:cs="Times New Roman"/>
          <w:sz w:val="24"/>
          <w:szCs w:val="24"/>
        </w:rPr>
        <w:t>products that</w:t>
      </w:r>
      <w:r>
        <w:rPr>
          <w:rFonts w:ascii="Times New Roman" w:hAnsi="Times New Roman" w:cs="Times New Roman"/>
          <w:sz w:val="24"/>
          <w:szCs w:val="24"/>
        </w:rPr>
        <w:t xml:space="preserve"> </w:t>
      </w:r>
      <w:r w:rsidR="008F186C">
        <w:rPr>
          <w:rFonts w:ascii="Times New Roman" w:hAnsi="Times New Roman" w:cs="Times New Roman"/>
          <w:sz w:val="24"/>
          <w:szCs w:val="24"/>
        </w:rPr>
        <w:t>are verified</w:t>
      </w:r>
      <w:r>
        <w:rPr>
          <w:rFonts w:ascii="Times New Roman" w:hAnsi="Times New Roman" w:cs="Times New Roman"/>
          <w:sz w:val="24"/>
          <w:szCs w:val="24"/>
        </w:rPr>
        <w:t xml:space="preserve"> </w:t>
      </w:r>
      <w:r w:rsidR="008F186C">
        <w:rPr>
          <w:rFonts w:ascii="Times New Roman" w:hAnsi="Times New Roman" w:cs="Times New Roman"/>
          <w:sz w:val="24"/>
          <w:szCs w:val="24"/>
        </w:rPr>
        <w:t>as being</w:t>
      </w:r>
      <w:r>
        <w:rPr>
          <w:rFonts w:ascii="Times New Roman" w:hAnsi="Times New Roman" w:cs="Times New Roman"/>
          <w:sz w:val="24"/>
          <w:szCs w:val="24"/>
        </w:rPr>
        <w:t xml:space="preserve"> covered by a prescribed TLF. The </w:t>
      </w:r>
      <w:r w:rsidR="003A44F7">
        <w:rPr>
          <w:rFonts w:ascii="Times New Roman" w:hAnsi="Times New Roman" w:cs="Times New Roman"/>
          <w:sz w:val="24"/>
          <w:szCs w:val="24"/>
        </w:rPr>
        <w:t xml:space="preserve">amending </w:t>
      </w:r>
      <w:r>
        <w:rPr>
          <w:rFonts w:ascii="Times New Roman" w:hAnsi="Times New Roman" w:cs="Times New Roman"/>
          <w:sz w:val="24"/>
          <w:szCs w:val="24"/>
        </w:rPr>
        <w:t xml:space="preserve">Regulations detail </w:t>
      </w:r>
      <w:r w:rsidR="00B10FE5">
        <w:rPr>
          <w:rFonts w:ascii="Times New Roman" w:hAnsi="Times New Roman" w:cs="Times New Roman"/>
          <w:sz w:val="24"/>
          <w:szCs w:val="24"/>
        </w:rPr>
        <w:t xml:space="preserve">the steps </w:t>
      </w:r>
      <w:r w:rsidR="00CA04C5">
        <w:rPr>
          <w:rFonts w:ascii="Times New Roman" w:hAnsi="Times New Roman" w:cs="Times New Roman"/>
          <w:sz w:val="24"/>
          <w:szCs w:val="24"/>
        </w:rPr>
        <w:t xml:space="preserve">that </w:t>
      </w:r>
      <w:r>
        <w:rPr>
          <w:rFonts w:ascii="Times New Roman" w:hAnsi="Times New Roman" w:cs="Times New Roman"/>
          <w:sz w:val="24"/>
          <w:szCs w:val="24"/>
        </w:rPr>
        <w:t xml:space="preserve">an importer or domestic processor needs to undertake to verify their </w:t>
      </w:r>
      <w:r>
        <w:rPr>
          <w:rFonts w:ascii="Times New Roman" w:hAnsi="Times New Roman" w:cs="Times New Roman"/>
          <w:sz w:val="24"/>
          <w:szCs w:val="24"/>
        </w:rPr>
        <w:lastRenderedPageBreak/>
        <w:t xml:space="preserve">products are covered by a prescribed TLF; </w:t>
      </w:r>
      <w:r w:rsidR="008F186C">
        <w:rPr>
          <w:rFonts w:ascii="Times New Roman" w:hAnsi="Times New Roman" w:cs="Times New Roman"/>
          <w:sz w:val="24"/>
          <w:szCs w:val="24"/>
        </w:rPr>
        <w:t xml:space="preserve">as well as </w:t>
      </w:r>
      <w:r>
        <w:rPr>
          <w:rFonts w:ascii="Times New Roman" w:hAnsi="Times New Roman" w:cs="Times New Roman"/>
          <w:sz w:val="24"/>
          <w:szCs w:val="24"/>
        </w:rPr>
        <w:t>the records that need to be maintained</w:t>
      </w:r>
      <w:r w:rsidR="008F186C">
        <w:rPr>
          <w:rFonts w:ascii="Times New Roman" w:hAnsi="Times New Roman" w:cs="Times New Roman"/>
          <w:sz w:val="24"/>
          <w:szCs w:val="24"/>
        </w:rPr>
        <w:t xml:space="preserve"> in relation to this</w:t>
      </w:r>
      <w:r>
        <w:rPr>
          <w:rFonts w:ascii="Times New Roman" w:hAnsi="Times New Roman" w:cs="Times New Roman"/>
          <w:sz w:val="24"/>
          <w:szCs w:val="24"/>
        </w:rPr>
        <w:t xml:space="preserve"> and the offences associated with those provisions.</w:t>
      </w:r>
    </w:p>
    <w:p w14:paraId="56E6F1A6" w14:textId="77777777" w:rsidR="00197D87" w:rsidRDefault="00197D87" w:rsidP="004203C0">
      <w:pPr>
        <w:tabs>
          <w:tab w:val="right" w:pos="9072"/>
        </w:tabs>
        <w:spacing w:after="0" w:line="240" w:lineRule="auto"/>
        <w:rPr>
          <w:rFonts w:ascii="Times New Roman" w:hAnsi="Times New Roman" w:cs="Times New Roman"/>
          <w:sz w:val="24"/>
          <w:szCs w:val="24"/>
        </w:rPr>
      </w:pPr>
    </w:p>
    <w:p w14:paraId="70FDE5A1" w14:textId="31DC0F3D" w:rsidR="00197D87" w:rsidRDefault="00197D87" w:rsidP="00197D87">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9F2A84">
        <w:rPr>
          <w:rFonts w:ascii="Times New Roman" w:hAnsi="Times New Roman" w:cs="Times New Roman"/>
          <w:sz w:val="24"/>
          <w:szCs w:val="24"/>
        </w:rPr>
        <w:t>amending</w:t>
      </w:r>
      <w:r>
        <w:rPr>
          <w:rFonts w:ascii="Times New Roman" w:hAnsi="Times New Roman" w:cs="Times New Roman"/>
          <w:sz w:val="24"/>
          <w:szCs w:val="24"/>
        </w:rPr>
        <w:t xml:space="preserve"> Regulations </w:t>
      </w:r>
      <w:r w:rsidR="009F2A84">
        <w:rPr>
          <w:rFonts w:ascii="Times New Roman" w:hAnsi="Times New Roman" w:cs="Times New Roman"/>
          <w:sz w:val="24"/>
          <w:szCs w:val="24"/>
        </w:rPr>
        <w:t>will</w:t>
      </w:r>
      <w:r>
        <w:rPr>
          <w:rFonts w:ascii="Times New Roman" w:hAnsi="Times New Roman" w:cs="Times New Roman"/>
          <w:sz w:val="24"/>
          <w:szCs w:val="24"/>
        </w:rPr>
        <w:t xml:space="preserve"> also remove Forest Law Enforcement, Governance and Trade (FLEGT) licenses from the </w:t>
      </w:r>
      <w:r w:rsidR="008F186C">
        <w:rPr>
          <w:rFonts w:ascii="Times New Roman" w:hAnsi="Times New Roman" w:cs="Times New Roman"/>
          <w:sz w:val="24"/>
          <w:szCs w:val="24"/>
        </w:rPr>
        <w:t xml:space="preserve">primary </w:t>
      </w:r>
      <w:r>
        <w:rPr>
          <w:rFonts w:ascii="Times New Roman" w:hAnsi="Times New Roman" w:cs="Times New Roman"/>
          <w:sz w:val="24"/>
          <w:szCs w:val="24"/>
        </w:rPr>
        <w:t>Regulation</w:t>
      </w:r>
      <w:r w:rsidR="008F186C">
        <w:rPr>
          <w:rFonts w:ascii="Times New Roman" w:hAnsi="Times New Roman" w:cs="Times New Roman"/>
          <w:sz w:val="24"/>
          <w:szCs w:val="24"/>
        </w:rPr>
        <w:t>s</w:t>
      </w:r>
      <w:r>
        <w:rPr>
          <w:rFonts w:ascii="Times New Roman" w:hAnsi="Times New Roman" w:cs="Times New Roman"/>
          <w:sz w:val="24"/>
          <w:szCs w:val="24"/>
        </w:rPr>
        <w:t xml:space="preserve">. </w:t>
      </w:r>
      <w:r w:rsidR="002F213A">
        <w:rPr>
          <w:rFonts w:ascii="Times New Roman" w:hAnsi="Times New Roman" w:cs="Times New Roman"/>
          <w:sz w:val="24"/>
          <w:szCs w:val="24"/>
        </w:rPr>
        <w:t xml:space="preserve">This </w:t>
      </w:r>
      <w:r w:rsidR="00CA04C5">
        <w:rPr>
          <w:rFonts w:ascii="Times New Roman" w:hAnsi="Times New Roman" w:cs="Times New Roman"/>
          <w:sz w:val="24"/>
          <w:szCs w:val="24"/>
        </w:rPr>
        <w:t>reflects the limited applicability</w:t>
      </w:r>
      <w:r w:rsidR="002F213A">
        <w:rPr>
          <w:rFonts w:ascii="Times New Roman" w:hAnsi="Times New Roman" w:cs="Times New Roman"/>
          <w:sz w:val="24"/>
          <w:szCs w:val="24"/>
        </w:rPr>
        <w:t xml:space="preserve"> of FLEGT licenses to the Australian market, as the</w:t>
      </w:r>
      <w:r w:rsidR="008F5C8C">
        <w:rPr>
          <w:rFonts w:ascii="Times New Roman" w:hAnsi="Times New Roman" w:cs="Times New Roman"/>
          <w:sz w:val="24"/>
          <w:szCs w:val="24"/>
        </w:rPr>
        <w:t xml:space="preserve">se licences are only applicable to timber products exported from specific countries (which doesn’t include Australia) to </w:t>
      </w:r>
      <w:r w:rsidR="002F213A">
        <w:rPr>
          <w:rFonts w:ascii="Times New Roman" w:hAnsi="Times New Roman" w:cs="Times New Roman"/>
          <w:sz w:val="24"/>
          <w:szCs w:val="24"/>
        </w:rPr>
        <w:t xml:space="preserve">the </w:t>
      </w:r>
      <w:r w:rsidR="008F5C8C">
        <w:rPr>
          <w:rFonts w:ascii="Times New Roman" w:hAnsi="Times New Roman" w:cs="Times New Roman"/>
          <w:sz w:val="24"/>
          <w:szCs w:val="24"/>
        </w:rPr>
        <w:t>European Union</w:t>
      </w:r>
      <w:r w:rsidR="002F213A">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8F5C8C">
        <w:rPr>
          <w:rFonts w:ascii="Times New Roman" w:hAnsi="Times New Roman" w:cs="Times New Roman"/>
          <w:sz w:val="24"/>
          <w:szCs w:val="24"/>
        </w:rPr>
        <w:t>means</w:t>
      </w:r>
      <w:r>
        <w:rPr>
          <w:rFonts w:ascii="Times New Roman" w:hAnsi="Times New Roman" w:cs="Times New Roman"/>
          <w:sz w:val="24"/>
          <w:szCs w:val="24"/>
        </w:rPr>
        <w:t xml:space="preserve"> the Forest Stewardship Council (FSC) and the Programme for the Endorsement of Forest Certification (PEFC) </w:t>
      </w:r>
      <w:r w:rsidR="008F5C8C">
        <w:rPr>
          <w:rFonts w:ascii="Times New Roman" w:hAnsi="Times New Roman" w:cs="Times New Roman"/>
          <w:sz w:val="24"/>
          <w:szCs w:val="24"/>
        </w:rPr>
        <w:t xml:space="preserve">will be the only </w:t>
      </w:r>
      <w:r>
        <w:rPr>
          <w:rFonts w:ascii="Times New Roman" w:hAnsi="Times New Roman" w:cs="Times New Roman"/>
          <w:sz w:val="24"/>
          <w:szCs w:val="24"/>
        </w:rPr>
        <w:t xml:space="preserve">prescribed </w:t>
      </w:r>
      <w:r w:rsidR="008F5C8C">
        <w:rPr>
          <w:rFonts w:ascii="Times New Roman" w:hAnsi="Times New Roman" w:cs="Times New Roman"/>
          <w:sz w:val="24"/>
          <w:szCs w:val="24"/>
        </w:rPr>
        <w:t>TLFs</w:t>
      </w:r>
      <w:r>
        <w:rPr>
          <w:rFonts w:ascii="Times New Roman" w:hAnsi="Times New Roman" w:cs="Times New Roman"/>
          <w:sz w:val="24"/>
          <w:szCs w:val="24"/>
        </w:rPr>
        <w:t>.</w:t>
      </w:r>
    </w:p>
    <w:p w14:paraId="575F4A59" w14:textId="77777777" w:rsidR="00197D87" w:rsidRDefault="00197D87" w:rsidP="00197D87">
      <w:pPr>
        <w:tabs>
          <w:tab w:val="right" w:pos="9072"/>
        </w:tabs>
        <w:spacing w:after="0" w:line="240" w:lineRule="auto"/>
        <w:rPr>
          <w:rFonts w:ascii="Times New Roman" w:hAnsi="Times New Roman" w:cs="Times New Roman"/>
          <w:sz w:val="24"/>
          <w:szCs w:val="24"/>
        </w:rPr>
      </w:pPr>
    </w:p>
    <w:p w14:paraId="4ECED213" w14:textId="6C850398" w:rsidR="00197D87" w:rsidRPr="000A3A78" w:rsidRDefault="00197D87" w:rsidP="00197D87">
      <w:pPr>
        <w:tabs>
          <w:tab w:val="right" w:pos="9072"/>
        </w:tabs>
        <w:spacing w:after="0" w:line="240" w:lineRule="auto"/>
        <w:rPr>
          <w:rFonts w:ascii="Times New Roman" w:hAnsi="Times New Roman" w:cs="Times New Roman"/>
          <w:color w:val="000000" w:themeColor="text1"/>
          <w:sz w:val="24"/>
          <w:szCs w:val="24"/>
        </w:rPr>
      </w:pPr>
      <w:r w:rsidRPr="000A3A78">
        <w:rPr>
          <w:rFonts w:ascii="Times New Roman" w:hAnsi="Times New Roman" w:cs="Times New Roman"/>
          <w:color w:val="000000" w:themeColor="text1"/>
          <w:sz w:val="24"/>
          <w:szCs w:val="24"/>
        </w:rPr>
        <w:t xml:space="preserve">The </w:t>
      </w:r>
      <w:r w:rsidR="009F2A84">
        <w:rPr>
          <w:rFonts w:ascii="Times New Roman" w:hAnsi="Times New Roman" w:cs="Times New Roman"/>
          <w:color w:val="000000" w:themeColor="text1"/>
          <w:sz w:val="24"/>
          <w:szCs w:val="24"/>
        </w:rPr>
        <w:t xml:space="preserve">amending </w:t>
      </w:r>
      <w:r w:rsidRPr="000A3A78">
        <w:rPr>
          <w:rFonts w:ascii="Times New Roman" w:hAnsi="Times New Roman" w:cs="Times New Roman"/>
          <w:color w:val="000000" w:themeColor="text1"/>
          <w:sz w:val="24"/>
          <w:szCs w:val="24"/>
        </w:rPr>
        <w:t>Regulations w</w:t>
      </w:r>
      <w:r w:rsidR="009F2A84">
        <w:rPr>
          <w:rFonts w:ascii="Times New Roman" w:hAnsi="Times New Roman" w:cs="Times New Roman"/>
          <w:color w:val="000000" w:themeColor="text1"/>
          <w:sz w:val="24"/>
          <w:szCs w:val="24"/>
        </w:rPr>
        <w:t>ill</w:t>
      </w:r>
      <w:r w:rsidRPr="000A3A78">
        <w:rPr>
          <w:rFonts w:ascii="Times New Roman" w:hAnsi="Times New Roman" w:cs="Times New Roman"/>
          <w:color w:val="000000" w:themeColor="text1"/>
          <w:sz w:val="24"/>
          <w:szCs w:val="24"/>
        </w:rPr>
        <w:t xml:space="preserve"> also amend the </w:t>
      </w:r>
      <w:r w:rsidR="008F5C8C">
        <w:rPr>
          <w:rFonts w:ascii="Times New Roman" w:hAnsi="Times New Roman" w:cs="Times New Roman"/>
          <w:color w:val="000000" w:themeColor="text1"/>
          <w:sz w:val="24"/>
          <w:szCs w:val="24"/>
        </w:rPr>
        <w:t xml:space="preserve">primary </w:t>
      </w:r>
      <w:r w:rsidRPr="000A3A78">
        <w:rPr>
          <w:rFonts w:ascii="Times New Roman" w:hAnsi="Times New Roman" w:cs="Times New Roman"/>
          <w:color w:val="000000" w:themeColor="text1"/>
          <w:sz w:val="24"/>
          <w:szCs w:val="24"/>
        </w:rPr>
        <w:t>Regulation</w:t>
      </w:r>
      <w:r w:rsidR="008F5C8C">
        <w:rPr>
          <w:rFonts w:ascii="Times New Roman" w:hAnsi="Times New Roman" w:cs="Times New Roman"/>
          <w:color w:val="000000" w:themeColor="text1"/>
          <w:sz w:val="24"/>
          <w:szCs w:val="24"/>
        </w:rPr>
        <w:t>s</w:t>
      </w:r>
      <w:r w:rsidRPr="000A3A78">
        <w:rPr>
          <w:rFonts w:ascii="Times New Roman" w:hAnsi="Times New Roman" w:cs="Times New Roman"/>
          <w:color w:val="000000" w:themeColor="text1"/>
          <w:sz w:val="24"/>
          <w:szCs w:val="24"/>
        </w:rPr>
        <w:t xml:space="preserve"> to </w:t>
      </w:r>
      <w:r>
        <w:rPr>
          <w:rFonts w:ascii="Times New Roman" w:hAnsi="Times New Roman" w:cs="Times New Roman"/>
          <w:color w:val="000000" w:themeColor="text1"/>
          <w:sz w:val="24"/>
          <w:szCs w:val="24"/>
        </w:rPr>
        <w:t>enable</w:t>
      </w:r>
      <w:r w:rsidRPr="000A3A78">
        <w:rPr>
          <w:rFonts w:ascii="Times New Roman" w:hAnsi="Times New Roman" w:cs="Times New Roman"/>
          <w:color w:val="000000" w:themeColor="text1"/>
          <w:sz w:val="24"/>
          <w:szCs w:val="24"/>
        </w:rPr>
        <w:t xml:space="preserve"> importers and domestic processors who are importing or processing timber for non-</w:t>
      </w:r>
      <w:r w:rsidR="002F213A">
        <w:rPr>
          <w:rFonts w:ascii="Times New Roman" w:hAnsi="Times New Roman" w:cs="Times New Roman"/>
          <w:color w:val="000000" w:themeColor="text1"/>
          <w:sz w:val="24"/>
          <w:szCs w:val="24"/>
        </w:rPr>
        <w:t>business related</w:t>
      </w:r>
      <w:r w:rsidRPr="000A3A78">
        <w:rPr>
          <w:rFonts w:ascii="Times New Roman" w:hAnsi="Times New Roman" w:cs="Times New Roman"/>
          <w:color w:val="000000" w:themeColor="text1"/>
          <w:sz w:val="24"/>
          <w:szCs w:val="24"/>
        </w:rPr>
        <w:t xml:space="preserve"> purposes to comply with </w:t>
      </w:r>
      <w:r>
        <w:rPr>
          <w:rFonts w:ascii="Times New Roman" w:hAnsi="Times New Roman" w:cs="Times New Roman"/>
          <w:color w:val="000000" w:themeColor="text1"/>
          <w:sz w:val="24"/>
          <w:szCs w:val="24"/>
        </w:rPr>
        <w:t xml:space="preserve">certain elements of </w:t>
      </w:r>
      <w:r w:rsidRPr="000A3A78">
        <w:rPr>
          <w:rFonts w:ascii="Times New Roman" w:hAnsi="Times New Roman" w:cs="Times New Roman"/>
          <w:color w:val="000000" w:themeColor="text1"/>
          <w:sz w:val="24"/>
          <w:szCs w:val="24"/>
        </w:rPr>
        <w:t>the due diligence requirements. This w</w:t>
      </w:r>
      <w:r w:rsidR="009F2A84">
        <w:rPr>
          <w:rFonts w:ascii="Times New Roman" w:hAnsi="Times New Roman" w:cs="Times New Roman"/>
          <w:color w:val="000000" w:themeColor="text1"/>
          <w:sz w:val="24"/>
          <w:szCs w:val="24"/>
        </w:rPr>
        <w:t xml:space="preserve">ill </w:t>
      </w:r>
      <w:r w:rsidR="008F5C8C">
        <w:rPr>
          <w:rFonts w:ascii="Times New Roman" w:hAnsi="Times New Roman" w:cs="Times New Roman"/>
          <w:color w:val="000000" w:themeColor="text1"/>
          <w:sz w:val="24"/>
          <w:szCs w:val="24"/>
        </w:rPr>
        <w:t xml:space="preserve">clarify </w:t>
      </w:r>
      <w:r w:rsidRPr="000A3A78">
        <w:rPr>
          <w:rFonts w:ascii="Times New Roman" w:hAnsi="Times New Roman" w:cs="Times New Roman"/>
          <w:color w:val="000000" w:themeColor="text1"/>
          <w:sz w:val="24"/>
          <w:szCs w:val="24"/>
        </w:rPr>
        <w:t xml:space="preserve">a regulated entity only needs to include certain business information in their due diligence system, such as an Australian Business Number (ABN) or Australian Company Number (ACN); a key business activity statement; or relevant position details, where </w:t>
      </w:r>
      <w:r>
        <w:rPr>
          <w:rFonts w:ascii="Times New Roman" w:hAnsi="Times New Roman" w:cs="Times New Roman"/>
          <w:color w:val="000000" w:themeColor="text1"/>
          <w:sz w:val="24"/>
          <w:szCs w:val="24"/>
        </w:rPr>
        <w:t>relevant</w:t>
      </w:r>
      <w:r w:rsidRPr="000A3A78">
        <w:rPr>
          <w:rFonts w:ascii="Times New Roman" w:hAnsi="Times New Roman" w:cs="Times New Roman"/>
          <w:color w:val="000000" w:themeColor="text1"/>
          <w:sz w:val="24"/>
          <w:szCs w:val="24"/>
        </w:rPr>
        <w:t>.</w:t>
      </w:r>
    </w:p>
    <w:p w14:paraId="3DACD77C" w14:textId="77777777" w:rsidR="009F2A84" w:rsidRDefault="009F2A84" w:rsidP="009F2A84">
      <w:pPr>
        <w:tabs>
          <w:tab w:val="right" w:pos="9072"/>
        </w:tabs>
        <w:spacing w:after="0" w:line="240" w:lineRule="auto"/>
        <w:rPr>
          <w:rFonts w:ascii="Times New Roman" w:hAnsi="Times New Roman" w:cs="Times New Roman"/>
          <w:sz w:val="24"/>
          <w:szCs w:val="24"/>
        </w:rPr>
      </w:pPr>
    </w:p>
    <w:p w14:paraId="18C44C39" w14:textId="3FAC3E3A" w:rsidR="009F2A84" w:rsidRDefault="009F2A84" w:rsidP="009F2A84">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8F5C8C">
        <w:rPr>
          <w:rFonts w:ascii="Times New Roman" w:hAnsi="Times New Roman" w:cs="Times New Roman"/>
          <w:sz w:val="24"/>
          <w:szCs w:val="24"/>
        </w:rPr>
        <w:t>amending</w:t>
      </w:r>
      <w:r>
        <w:rPr>
          <w:rFonts w:ascii="Times New Roman" w:hAnsi="Times New Roman" w:cs="Times New Roman"/>
          <w:sz w:val="24"/>
          <w:szCs w:val="24"/>
        </w:rPr>
        <w:t xml:space="preserve"> Regulations will also amend the </w:t>
      </w:r>
      <w:r w:rsidR="008F5C8C">
        <w:rPr>
          <w:rFonts w:ascii="Times New Roman" w:hAnsi="Times New Roman" w:cs="Times New Roman"/>
          <w:sz w:val="24"/>
          <w:szCs w:val="24"/>
        </w:rPr>
        <w:t xml:space="preserve">primary </w:t>
      </w:r>
      <w:r>
        <w:rPr>
          <w:rFonts w:ascii="Times New Roman" w:hAnsi="Times New Roman" w:cs="Times New Roman"/>
          <w:sz w:val="24"/>
          <w:szCs w:val="24"/>
        </w:rPr>
        <w:t>Regulation</w:t>
      </w:r>
      <w:r w:rsidR="008F5C8C">
        <w:rPr>
          <w:rFonts w:ascii="Times New Roman" w:hAnsi="Times New Roman" w:cs="Times New Roman"/>
          <w:sz w:val="24"/>
          <w:szCs w:val="24"/>
        </w:rPr>
        <w:t>s</w:t>
      </w:r>
      <w:r>
        <w:rPr>
          <w:rFonts w:ascii="Times New Roman" w:hAnsi="Times New Roman" w:cs="Times New Roman"/>
          <w:sz w:val="24"/>
          <w:szCs w:val="24"/>
        </w:rPr>
        <w:t xml:space="preserve"> to clarify that any </w:t>
      </w:r>
      <w:r w:rsidR="00C000A4">
        <w:rPr>
          <w:rFonts w:ascii="Times New Roman" w:hAnsi="Times New Roman" w:cs="Times New Roman"/>
          <w:sz w:val="24"/>
          <w:szCs w:val="24"/>
        </w:rPr>
        <w:t xml:space="preserve">conclusions </w:t>
      </w:r>
      <w:r>
        <w:rPr>
          <w:rFonts w:ascii="Times New Roman" w:hAnsi="Times New Roman" w:cs="Times New Roman"/>
          <w:sz w:val="24"/>
          <w:szCs w:val="24"/>
        </w:rPr>
        <w:t>of risk must be ‘reasonable’ and supported by the evidence gathered as part of the due diligence process. This establ</w:t>
      </w:r>
      <w:r w:rsidR="002F213A">
        <w:rPr>
          <w:rFonts w:ascii="Times New Roman" w:hAnsi="Times New Roman" w:cs="Times New Roman"/>
          <w:sz w:val="24"/>
          <w:szCs w:val="24"/>
        </w:rPr>
        <w:t>ishes a standard against which</w:t>
      </w:r>
      <w:r>
        <w:rPr>
          <w:rFonts w:ascii="Times New Roman" w:hAnsi="Times New Roman" w:cs="Times New Roman"/>
          <w:sz w:val="24"/>
          <w:szCs w:val="24"/>
        </w:rPr>
        <w:t xml:space="preserve"> the </w:t>
      </w:r>
      <w:r w:rsidR="00C000A4">
        <w:rPr>
          <w:rFonts w:ascii="Times New Roman" w:hAnsi="Times New Roman" w:cs="Times New Roman"/>
          <w:sz w:val="24"/>
          <w:szCs w:val="24"/>
        </w:rPr>
        <w:t xml:space="preserve">outcomes of the </w:t>
      </w:r>
      <w:r>
        <w:rPr>
          <w:rFonts w:ascii="Times New Roman" w:hAnsi="Times New Roman" w:cs="Times New Roman"/>
          <w:sz w:val="24"/>
          <w:szCs w:val="24"/>
        </w:rPr>
        <w:t>risk assessment process can be measured. Similar standards are already established in the information gathering and risk mitigation steps of the due diligence process.</w:t>
      </w:r>
    </w:p>
    <w:p w14:paraId="2CC142A2" w14:textId="77777777" w:rsidR="00CD5095" w:rsidRPr="00126061" w:rsidRDefault="00CD5095" w:rsidP="00654451">
      <w:pPr>
        <w:tabs>
          <w:tab w:val="right" w:pos="9072"/>
        </w:tabs>
        <w:spacing w:after="0" w:line="240" w:lineRule="auto"/>
        <w:rPr>
          <w:rFonts w:ascii="Times New Roman" w:hAnsi="Times New Roman" w:cs="Times New Roman"/>
          <w:color w:val="000000" w:themeColor="text1"/>
          <w:sz w:val="24"/>
          <w:szCs w:val="24"/>
        </w:rPr>
      </w:pPr>
    </w:p>
    <w:p w14:paraId="0D25FED2" w14:textId="77777777" w:rsidR="00654451" w:rsidRPr="00126061" w:rsidRDefault="00654451" w:rsidP="00654451">
      <w:pPr>
        <w:tabs>
          <w:tab w:val="left" w:pos="1701"/>
          <w:tab w:val="right" w:pos="9072"/>
        </w:tabs>
        <w:spacing w:after="0" w:line="240" w:lineRule="auto"/>
        <w:rPr>
          <w:rFonts w:ascii="Times New Roman" w:hAnsi="Times New Roman" w:cs="Times New Roman"/>
          <w:color w:val="000000" w:themeColor="text1"/>
          <w:sz w:val="24"/>
          <w:szCs w:val="24"/>
        </w:rPr>
      </w:pPr>
      <w:r w:rsidRPr="00126061">
        <w:rPr>
          <w:rFonts w:ascii="Times New Roman" w:hAnsi="Times New Roman" w:cs="Times New Roman"/>
          <w:b/>
          <w:color w:val="000000" w:themeColor="text1"/>
          <w:sz w:val="24"/>
          <w:szCs w:val="24"/>
        </w:rPr>
        <w:t>Consultation</w:t>
      </w:r>
    </w:p>
    <w:p w14:paraId="54B332E4" w14:textId="1F2DC612" w:rsidR="009F2A84" w:rsidRDefault="00F94A61" w:rsidP="00041ECC">
      <w:pPr>
        <w:pStyle w:val="ListBullet"/>
        <w:numPr>
          <w:ilvl w:val="0"/>
          <w:numId w:val="0"/>
        </w:numPr>
        <w:tabs>
          <w:tab w:val="left" w:pos="720"/>
        </w:tabs>
        <w:spacing w:after="0"/>
        <w:rPr>
          <w:rFonts w:ascii="Times New Roman" w:hAnsi="Times New Roman" w:cs="Times New Roman"/>
          <w:sz w:val="24"/>
          <w:szCs w:val="24"/>
        </w:rPr>
      </w:pPr>
      <w:r w:rsidRPr="00F94A61">
        <w:rPr>
          <w:rFonts w:ascii="Times New Roman" w:hAnsi="Times New Roman" w:cs="Times New Roman"/>
          <w:sz w:val="24"/>
          <w:szCs w:val="24"/>
        </w:rPr>
        <w:t xml:space="preserve">A public consultation process was undertaken between November 2016 and January 2017. This resulted in 46 written submissions being provided to the department from a range of regulated businesses, industry associations (including representatives of the timber importing, furniture, paper, building and domestic </w:t>
      </w:r>
      <w:r w:rsidR="00BC3FCF">
        <w:rPr>
          <w:rFonts w:ascii="Times New Roman" w:hAnsi="Times New Roman" w:cs="Times New Roman"/>
          <w:sz w:val="24"/>
          <w:szCs w:val="24"/>
        </w:rPr>
        <w:t xml:space="preserve">timber </w:t>
      </w:r>
      <w:r w:rsidRPr="00F94A61">
        <w:rPr>
          <w:rFonts w:ascii="Times New Roman" w:hAnsi="Times New Roman" w:cs="Times New Roman"/>
          <w:sz w:val="24"/>
          <w:szCs w:val="24"/>
        </w:rPr>
        <w:t xml:space="preserve">processing sectors), environmental organisations, certifying bodies, and foreign governments. </w:t>
      </w:r>
      <w:r w:rsidR="00CA04C5">
        <w:rPr>
          <w:rFonts w:ascii="Times New Roman" w:hAnsi="Times New Roman" w:cs="Times New Roman"/>
          <w:sz w:val="24"/>
          <w:szCs w:val="24"/>
        </w:rPr>
        <w:t xml:space="preserve">These consultations informed the development of the </w:t>
      </w:r>
      <w:r w:rsidR="009F2A84">
        <w:rPr>
          <w:rFonts w:ascii="Times New Roman" w:hAnsi="Times New Roman" w:cs="Times New Roman"/>
          <w:sz w:val="24"/>
          <w:szCs w:val="24"/>
        </w:rPr>
        <w:t xml:space="preserve">associated “Reforming Australia’s Illegal Logging Regulations” Regulation Impact Statement (RIS) process (OBPR ID: </w:t>
      </w:r>
      <w:r w:rsidR="009F2A84" w:rsidRPr="00667A12">
        <w:rPr>
          <w:rFonts w:ascii="Times New Roman" w:hAnsi="Times New Roman" w:cs="Times New Roman"/>
          <w:sz w:val="24"/>
          <w:szCs w:val="24"/>
        </w:rPr>
        <w:t>20673)</w:t>
      </w:r>
      <w:r w:rsidR="009F2A84">
        <w:rPr>
          <w:rFonts w:ascii="Times New Roman" w:hAnsi="Times New Roman" w:cs="Times New Roman"/>
          <w:sz w:val="24"/>
          <w:szCs w:val="24"/>
        </w:rPr>
        <w:t>.</w:t>
      </w:r>
    </w:p>
    <w:p w14:paraId="65F16DAC" w14:textId="77777777" w:rsidR="00654451" w:rsidRPr="00126061" w:rsidRDefault="00654451" w:rsidP="00631D56">
      <w:pPr>
        <w:tabs>
          <w:tab w:val="left" w:pos="1701"/>
          <w:tab w:val="right" w:pos="9072"/>
        </w:tabs>
        <w:spacing w:after="0" w:line="240" w:lineRule="auto"/>
        <w:rPr>
          <w:rFonts w:ascii="Times New Roman" w:hAnsi="Times New Roman" w:cs="Times New Roman"/>
          <w:color w:val="000000" w:themeColor="text1"/>
          <w:sz w:val="24"/>
          <w:szCs w:val="24"/>
        </w:rPr>
      </w:pPr>
    </w:p>
    <w:p w14:paraId="7A093A12" w14:textId="77777777" w:rsidR="00654451" w:rsidRPr="00126061" w:rsidRDefault="00654451" w:rsidP="00654451">
      <w:pPr>
        <w:tabs>
          <w:tab w:val="left" w:pos="1701"/>
          <w:tab w:val="right" w:pos="9072"/>
        </w:tabs>
        <w:spacing w:after="0" w:line="240" w:lineRule="auto"/>
        <w:rPr>
          <w:rFonts w:ascii="Times New Roman" w:hAnsi="Times New Roman" w:cs="Times New Roman"/>
          <w:b/>
          <w:color w:val="000000" w:themeColor="text1"/>
          <w:sz w:val="24"/>
        </w:rPr>
      </w:pPr>
      <w:r w:rsidRPr="00126061">
        <w:rPr>
          <w:rFonts w:ascii="Times New Roman" w:hAnsi="Times New Roman" w:cs="Times New Roman"/>
          <w:b/>
          <w:color w:val="000000" w:themeColor="text1"/>
          <w:sz w:val="24"/>
        </w:rPr>
        <w:t>Details/ Operation</w:t>
      </w:r>
    </w:p>
    <w:p w14:paraId="2911F8F3" w14:textId="261B9963" w:rsidR="00654451" w:rsidRDefault="008F5C8C" w:rsidP="00654451">
      <w:pPr>
        <w:tabs>
          <w:tab w:val="left" w:pos="1701"/>
          <w:tab w:val="right" w:pos="9072"/>
        </w:tabs>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Details of the </w:t>
      </w:r>
      <w:r w:rsidR="00CA04C5">
        <w:rPr>
          <w:rFonts w:ascii="Times New Roman" w:hAnsi="Times New Roman" w:cs="Times New Roman"/>
          <w:color w:val="000000" w:themeColor="text1"/>
          <w:sz w:val="24"/>
        </w:rPr>
        <w:t xml:space="preserve">amending </w:t>
      </w:r>
      <w:r w:rsidR="00D91785" w:rsidRPr="00126061">
        <w:rPr>
          <w:rFonts w:ascii="Times New Roman" w:hAnsi="Times New Roman" w:cs="Times New Roman"/>
          <w:color w:val="000000" w:themeColor="text1"/>
          <w:sz w:val="24"/>
        </w:rPr>
        <w:t>Regulation</w:t>
      </w:r>
      <w:r w:rsidR="00CA04C5">
        <w:rPr>
          <w:rFonts w:ascii="Times New Roman" w:hAnsi="Times New Roman" w:cs="Times New Roman"/>
          <w:color w:val="000000" w:themeColor="text1"/>
          <w:sz w:val="24"/>
        </w:rPr>
        <w:t>s</w:t>
      </w:r>
      <w:r w:rsidR="00654451" w:rsidRPr="00126061">
        <w:rPr>
          <w:rFonts w:ascii="Times New Roman" w:hAnsi="Times New Roman" w:cs="Times New Roman"/>
          <w:color w:val="000000" w:themeColor="text1"/>
          <w:sz w:val="24"/>
        </w:rPr>
        <w:t xml:space="preserve"> are set out in the </w:t>
      </w:r>
      <w:r w:rsidR="00654451" w:rsidRPr="00126061">
        <w:rPr>
          <w:rFonts w:ascii="Times New Roman" w:hAnsi="Times New Roman" w:cs="Times New Roman"/>
          <w:color w:val="000000" w:themeColor="text1"/>
          <w:sz w:val="24"/>
          <w:u w:val="single"/>
        </w:rPr>
        <w:t>Attachment A</w:t>
      </w:r>
      <w:r w:rsidR="00654451" w:rsidRPr="00126061">
        <w:rPr>
          <w:rFonts w:ascii="Times New Roman" w:hAnsi="Times New Roman" w:cs="Times New Roman"/>
          <w:color w:val="000000" w:themeColor="text1"/>
          <w:sz w:val="24"/>
        </w:rPr>
        <w:t>.</w:t>
      </w:r>
    </w:p>
    <w:p w14:paraId="377E22D3" w14:textId="77777777" w:rsidR="008F5C8C" w:rsidRDefault="008F5C8C" w:rsidP="00654451">
      <w:pPr>
        <w:tabs>
          <w:tab w:val="left" w:pos="1701"/>
          <w:tab w:val="right" w:pos="9072"/>
        </w:tabs>
        <w:spacing w:after="0" w:line="240" w:lineRule="auto"/>
        <w:rPr>
          <w:rFonts w:ascii="Times New Roman" w:hAnsi="Times New Roman" w:cs="Times New Roman"/>
          <w:color w:val="000000" w:themeColor="text1"/>
          <w:sz w:val="24"/>
        </w:rPr>
      </w:pPr>
    </w:p>
    <w:p w14:paraId="7B5F81C2" w14:textId="2EE799B3" w:rsidR="008F5C8C" w:rsidRDefault="008F5C8C" w:rsidP="008F5C8C">
      <w:pPr>
        <w:tabs>
          <w:tab w:val="left" w:pos="1701"/>
          <w:tab w:val="right" w:pos="9072"/>
        </w:tabs>
        <w:spacing w:after="0" w:line="240" w:lineRule="auto"/>
        <w:rPr>
          <w:rFonts w:ascii="Times New Roman" w:hAnsi="Times New Roman" w:cs="Times New Roman"/>
          <w:sz w:val="24"/>
          <w:szCs w:val="24"/>
        </w:rPr>
      </w:pPr>
      <w:r w:rsidRPr="00BE46AA">
        <w:rPr>
          <w:rFonts w:ascii="Times New Roman" w:hAnsi="Times New Roman" w:cs="Times New Roman"/>
          <w:sz w:val="24"/>
          <w:szCs w:val="24"/>
        </w:rPr>
        <w:t>An education and communication program</w:t>
      </w:r>
      <w:r>
        <w:rPr>
          <w:rFonts w:ascii="Times New Roman" w:hAnsi="Times New Roman" w:cs="Times New Roman"/>
          <w:sz w:val="24"/>
          <w:szCs w:val="24"/>
        </w:rPr>
        <w:t>, including updates to the department’s website,</w:t>
      </w:r>
      <w:r w:rsidRPr="00BE46AA">
        <w:rPr>
          <w:rFonts w:ascii="Times New Roman" w:hAnsi="Times New Roman" w:cs="Times New Roman"/>
          <w:sz w:val="24"/>
          <w:szCs w:val="24"/>
        </w:rPr>
        <w:t xml:space="preserve"> w</w:t>
      </w:r>
      <w:r>
        <w:rPr>
          <w:rFonts w:ascii="Times New Roman" w:hAnsi="Times New Roman" w:cs="Times New Roman"/>
          <w:sz w:val="24"/>
          <w:szCs w:val="24"/>
        </w:rPr>
        <w:t>ill</w:t>
      </w:r>
      <w:r w:rsidRPr="00BE46AA">
        <w:rPr>
          <w:rFonts w:ascii="Times New Roman" w:hAnsi="Times New Roman" w:cs="Times New Roman"/>
          <w:sz w:val="24"/>
          <w:szCs w:val="24"/>
        </w:rPr>
        <w:t xml:space="preserve"> be implemented to ensure that the regulated community (including both importers and domestic processors) are aware of the reforms and</w:t>
      </w:r>
      <w:r>
        <w:rPr>
          <w:rFonts w:ascii="Times New Roman" w:hAnsi="Times New Roman" w:cs="Times New Roman"/>
          <w:sz w:val="24"/>
          <w:szCs w:val="24"/>
        </w:rPr>
        <w:t xml:space="preserve"> understand</w:t>
      </w:r>
      <w:r w:rsidRPr="00BE46AA">
        <w:rPr>
          <w:rFonts w:ascii="Times New Roman" w:hAnsi="Times New Roman" w:cs="Times New Roman"/>
          <w:sz w:val="24"/>
          <w:szCs w:val="24"/>
        </w:rPr>
        <w:t xml:space="preserve"> how they can comply with the amen</w:t>
      </w:r>
      <w:r>
        <w:rPr>
          <w:rFonts w:ascii="Times New Roman" w:hAnsi="Times New Roman" w:cs="Times New Roman"/>
          <w:sz w:val="24"/>
          <w:szCs w:val="24"/>
        </w:rPr>
        <w:t>ded due diligence requirements.</w:t>
      </w:r>
    </w:p>
    <w:p w14:paraId="31885440" w14:textId="77777777" w:rsidR="00654451" w:rsidRPr="00126061" w:rsidRDefault="00654451" w:rsidP="00654451">
      <w:pPr>
        <w:tabs>
          <w:tab w:val="left" w:pos="1701"/>
          <w:tab w:val="right" w:pos="9072"/>
        </w:tabs>
        <w:spacing w:after="0" w:line="240" w:lineRule="auto"/>
        <w:rPr>
          <w:rFonts w:ascii="Times New Roman" w:hAnsi="Times New Roman" w:cs="Times New Roman"/>
          <w:color w:val="000000" w:themeColor="text1"/>
          <w:sz w:val="24"/>
          <w:szCs w:val="24"/>
        </w:rPr>
      </w:pPr>
    </w:p>
    <w:p w14:paraId="5B2034F4" w14:textId="77777777" w:rsidR="009F2A84" w:rsidRDefault="00654451" w:rsidP="009F2A84">
      <w:pPr>
        <w:tabs>
          <w:tab w:val="left" w:pos="1701"/>
          <w:tab w:val="right" w:pos="9072"/>
        </w:tabs>
        <w:spacing w:after="0" w:line="240" w:lineRule="auto"/>
        <w:rPr>
          <w:rFonts w:ascii="Times New Roman" w:hAnsi="Times New Roman" w:cs="Times New Roman"/>
          <w:color w:val="000000" w:themeColor="text1"/>
          <w:sz w:val="24"/>
          <w:szCs w:val="24"/>
        </w:rPr>
      </w:pPr>
      <w:r w:rsidRPr="00126061">
        <w:rPr>
          <w:rFonts w:ascii="Times New Roman" w:hAnsi="Times New Roman" w:cs="Times New Roman"/>
          <w:b/>
          <w:color w:val="000000" w:themeColor="text1"/>
          <w:sz w:val="24"/>
          <w:szCs w:val="24"/>
        </w:rPr>
        <w:t>Other</w:t>
      </w:r>
    </w:p>
    <w:p w14:paraId="632D86E0" w14:textId="40BB61B0" w:rsidR="009F2A84" w:rsidRPr="00E76AB5" w:rsidRDefault="009F2A84" w:rsidP="009F2A84">
      <w:pPr>
        <w:tabs>
          <w:tab w:val="left" w:pos="1701"/>
          <w:tab w:val="right" w:pos="9072"/>
        </w:tabs>
        <w:spacing w:after="0" w:line="240" w:lineRule="auto"/>
        <w:rPr>
          <w:rFonts w:ascii="Times New Roman" w:hAnsi="Times New Roman" w:cs="Times New Roman"/>
          <w:sz w:val="24"/>
          <w:szCs w:val="24"/>
        </w:rPr>
      </w:pPr>
      <w:r w:rsidRPr="00E76AB5">
        <w:rPr>
          <w:rFonts w:ascii="Times New Roman" w:hAnsi="Times New Roman" w:cs="Times New Roman"/>
          <w:sz w:val="24"/>
          <w:szCs w:val="24"/>
        </w:rPr>
        <w:t xml:space="preserve">The </w:t>
      </w:r>
      <w:r w:rsidR="00CA04C5">
        <w:rPr>
          <w:rFonts w:ascii="Times New Roman" w:hAnsi="Times New Roman" w:cs="Times New Roman"/>
          <w:sz w:val="24"/>
          <w:szCs w:val="24"/>
        </w:rPr>
        <w:t xml:space="preserve">amending </w:t>
      </w:r>
      <w:r w:rsidRPr="00D91785">
        <w:rPr>
          <w:rFonts w:ascii="Times New Roman" w:hAnsi="Times New Roman" w:cs="Times New Roman"/>
          <w:sz w:val="24"/>
          <w:szCs w:val="24"/>
        </w:rPr>
        <w:t>Regulation</w:t>
      </w:r>
      <w:r w:rsidR="00CA04C5">
        <w:rPr>
          <w:rFonts w:ascii="Times New Roman" w:hAnsi="Times New Roman" w:cs="Times New Roman"/>
          <w:sz w:val="24"/>
          <w:szCs w:val="24"/>
        </w:rPr>
        <w:t>s</w:t>
      </w:r>
      <w:r w:rsidRPr="00D91785">
        <w:rPr>
          <w:rFonts w:ascii="Times New Roman" w:hAnsi="Times New Roman" w:cs="Times New Roman"/>
          <w:sz w:val="24"/>
          <w:szCs w:val="24"/>
        </w:rPr>
        <w:t xml:space="preserve"> </w:t>
      </w:r>
      <w:r w:rsidR="00CA04C5">
        <w:rPr>
          <w:rFonts w:ascii="Times New Roman" w:hAnsi="Times New Roman" w:cs="Times New Roman"/>
          <w:sz w:val="24"/>
          <w:szCs w:val="24"/>
        </w:rPr>
        <w:t>are</w:t>
      </w:r>
      <w:r w:rsidRPr="00E76AB5">
        <w:rPr>
          <w:rFonts w:ascii="Times New Roman" w:hAnsi="Times New Roman" w:cs="Times New Roman"/>
          <w:sz w:val="24"/>
          <w:szCs w:val="24"/>
        </w:rPr>
        <w:t xml:space="preserve"> a legislative instrument for the purposes of the </w:t>
      </w:r>
      <w:r>
        <w:rPr>
          <w:rFonts w:ascii="Times New Roman" w:hAnsi="Times New Roman" w:cs="Times New Roman"/>
          <w:i/>
          <w:sz w:val="24"/>
          <w:szCs w:val="24"/>
        </w:rPr>
        <w:t xml:space="preserve">Legislation </w:t>
      </w:r>
      <w:r w:rsidRPr="00E76AB5">
        <w:rPr>
          <w:rFonts w:ascii="Times New Roman" w:hAnsi="Times New Roman" w:cs="Times New Roman"/>
          <w:i/>
          <w:sz w:val="24"/>
          <w:szCs w:val="24"/>
        </w:rPr>
        <w:t>Act 2003</w:t>
      </w:r>
      <w:r w:rsidRPr="00E76AB5">
        <w:rPr>
          <w:rFonts w:ascii="Times New Roman" w:hAnsi="Times New Roman" w:cs="Times New Roman"/>
          <w:sz w:val="24"/>
          <w:szCs w:val="24"/>
        </w:rPr>
        <w:t>.</w:t>
      </w:r>
    </w:p>
    <w:p w14:paraId="649C2640" w14:textId="77777777" w:rsidR="009F2A84" w:rsidRDefault="009F2A84" w:rsidP="00654451">
      <w:pPr>
        <w:tabs>
          <w:tab w:val="left" w:pos="1701"/>
          <w:tab w:val="right" w:pos="9072"/>
        </w:tabs>
        <w:spacing w:after="0" w:line="240" w:lineRule="auto"/>
        <w:rPr>
          <w:rFonts w:ascii="Times New Roman" w:hAnsi="Times New Roman" w:cs="Times New Roman"/>
          <w:color w:val="000000" w:themeColor="text1"/>
          <w:sz w:val="24"/>
          <w:szCs w:val="24"/>
        </w:rPr>
      </w:pPr>
    </w:p>
    <w:p w14:paraId="7B6797E8" w14:textId="55744E26" w:rsidR="00654451" w:rsidRPr="00126061" w:rsidRDefault="00D85F18" w:rsidP="00654451">
      <w:pPr>
        <w:tabs>
          <w:tab w:val="left" w:pos="1701"/>
          <w:tab w:val="right" w:pos="9072"/>
        </w:tabs>
        <w:spacing w:after="0" w:line="240" w:lineRule="auto"/>
        <w:rPr>
          <w:rFonts w:ascii="Times New Roman" w:hAnsi="Times New Roman" w:cs="Times New Roman"/>
          <w:color w:val="000000" w:themeColor="text1"/>
          <w:sz w:val="24"/>
          <w:szCs w:val="24"/>
        </w:rPr>
      </w:pPr>
      <w:r w:rsidRPr="00126061">
        <w:rPr>
          <w:rFonts w:ascii="Times New Roman" w:hAnsi="Times New Roman" w:cs="Times New Roman"/>
          <w:color w:val="000000" w:themeColor="text1"/>
          <w:sz w:val="24"/>
          <w:szCs w:val="24"/>
        </w:rPr>
        <w:t>The Regulation</w:t>
      </w:r>
      <w:r w:rsidR="009F2A84">
        <w:rPr>
          <w:rFonts w:ascii="Times New Roman" w:hAnsi="Times New Roman" w:cs="Times New Roman"/>
          <w:color w:val="000000" w:themeColor="text1"/>
          <w:sz w:val="24"/>
          <w:szCs w:val="24"/>
        </w:rPr>
        <w:t xml:space="preserve"> is compatible</w:t>
      </w:r>
      <w:r w:rsidR="00654451" w:rsidRPr="00126061">
        <w:rPr>
          <w:rFonts w:ascii="Times New Roman" w:hAnsi="Times New Roman" w:cs="Times New Roman"/>
          <w:color w:val="000000" w:themeColor="text1"/>
          <w:sz w:val="24"/>
          <w:szCs w:val="24"/>
        </w:rPr>
        <w:t xml:space="preserve"> with the human rights and freedoms recognised or declared under section 3 of the </w:t>
      </w:r>
      <w:r w:rsidR="00654451" w:rsidRPr="00126061">
        <w:rPr>
          <w:rFonts w:ascii="Times New Roman" w:hAnsi="Times New Roman" w:cs="Times New Roman"/>
          <w:i/>
          <w:color w:val="000000" w:themeColor="text1"/>
          <w:sz w:val="24"/>
          <w:szCs w:val="24"/>
        </w:rPr>
        <w:t>Human Rights (Parliamentary Scrutiny) Act 2011.</w:t>
      </w:r>
      <w:r w:rsidR="00654451" w:rsidRPr="00126061">
        <w:rPr>
          <w:rFonts w:ascii="Times New Roman" w:hAnsi="Times New Roman" w:cs="Times New Roman"/>
          <w:color w:val="000000" w:themeColor="text1"/>
          <w:sz w:val="24"/>
          <w:szCs w:val="24"/>
        </w:rPr>
        <w:t xml:space="preserve"> A full statement of compatibility is set out in </w:t>
      </w:r>
      <w:r w:rsidR="00654451" w:rsidRPr="00126061">
        <w:rPr>
          <w:rFonts w:ascii="Times New Roman" w:hAnsi="Times New Roman" w:cs="Times New Roman"/>
          <w:color w:val="000000" w:themeColor="text1"/>
          <w:sz w:val="24"/>
          <w:szCs w:val="24"/>
          <w:u w:val="single"/>
        </w:rPr>
        <w:t>Attachment B</w:t>
      </w:r>
      <w:r w:rsidR="00654451" w:rsidRPr="00126061">
        <w:rPr>
          <w:rFonts w:ascii="Times New Roman" w:hAnsi="Times New Roman" w:cs="Times New Roman"/>
          <w:color w:val="000000" w:themeColor="text1"/>
          <w:sz w:val="24"/>
          <w:szCs w:val="24"/>
        </w:rPr>
        <w:t>.</w:t>
      </w:r>
    </w:p>
    <w:p w14:paraId="187F3F86" w14:textId="77777777" w:rsidR="00654451" w:rsidRDefault="00654451" w:rsidP="00654451">
      <w:pPr>
        <w:pStyle w:val="Normal-em"/>
        <w:spacing w:after="0" w:line="240" w:lineRule="auto"/>
        <w:rPr>
          <w:b/>
          <w:caps/>
          <w:szCs w:val="24"/>
          <w:u w:val="single"/>
        </w:rPr>
      </w:pPr>
      <w:r>
        <w:rPr>
          <w:b/>
          <w:caps/>
          <w:szCs w:val="24"/>
          <w:u w:val="single"/>
        </w:rPr>
        <w:br w:type="page"/>
      </w:r>
    </w:p>
    <w:p w14:paraId="64B4B378" w14:textId="77777777" w:rsidR="00D91785" w:rsidRDefault="00D91785" w:rsidP="00D91785">
      <w:pPr>
        <w:pStyle w:val="Normal-em"/>
        <w:spacing w:after="0" w:line="240" w:lineRule="auto"/>
        <w:jc w:val="right"/>
        <w:rPr>
          <w:rFonts w:ascii="Times" w:hAnsi="Times"/>
          <w:b/>
          <w:caps/>
          <w:u w:val="single"/>
        </w:rPr>
      </w:pPr>
      <w:r>
        <w:rPr>
          <w:rFonts w:ascii="Times" w:hAnsi="Times"/>
          <w:b/>
          <w:caps/>
          <w:u w:val="single"/>
        </w:rPr>
        <w:lastRenderedPageBreak/>
        <w:t>Attachment A</w:t>
      </w:r>
    </w:p>
    <w:p w14:paraId="035600DA" w14:textId="77777777" w:rsidR="00D91785" w:rsidRDefault="00D91785" w:rsidP="00D91785">
      <w:pPr>
        <w:pStyle w:val="Normal-em"/>
        <w:spacing w:after="0" w:line="240" w:lineRule="auto"/>
        <w:rPr>
          <w:color w:val="auto"/>
          <w:szCs w:val="24"/>
        </w:rPr>
      </w:pPr>
    </w:p>
    <w:p w14:paraId="42D6042B" w14:textId="77777777" w:rsidR="00645875" w:rsidRPr="004A69D5" w:rsidRDefault="00645875" w:rsidP="00645875">
      <w:pPr>
        <w:pStyle w:val="Normal-em"/>
        <w:spacing w:after="0" w:line="240" w:lineRule="auto"/>
        <w:rPr>
          <w:b/>
          <w:i/>
          <w:color w:val="000000" w:themeColor="text1"/>
          <w:u w:val="single"/>
        </w:rPr>
      </w:pPr>
      <w:r w:rsidRPr="00836D6E">
        <w:rPr>
          <w:b/>
          <w:iCs/>
          <w:color w:val="auto"/>
          <w:szCs w:val="24"/>
          <w:u w:val="single"/>
        </w:rPr>
        <w:t xml:space="preserve">Details of the </w:t>
      </w:r>
      <w:r w:rsidRPr="00D42416">
        <w:rPr>
          <w:b/>
          <w:i/>
          <w:color w:val="auto"/>
          <w:u w:val="single"/>
        </w:rPr>
        <w:t>Illegal Logging Prohibition</w:t>
      </w:r>
      <w:r w:rsidRPr="00D42416">
        <w:rPr>
          <w:b/>
          <w:i/>
          <w:iCs/>
          <w:color w:val="auto"/>
          <w:u w:val="single"/>
        </w:rPr>
        <w:t xml:space="preserve"> </w:t>
      </w:r>
      <w:r>
        <w:rPr>
          <w:b/>
          <w:i/>
          <w:iCs/>
          <w:color w:val="000000" w:themeColor="text1"/>
          <w:szCs w:val="24"/>
          <w:u w:val="single"/>
        </w:rPr>
        <w:t>Amendment (Due Diligence Improvements) Regulations 2017</w:t>
      </w:r>
    </w:p>
    <w:p w14:paraId="537A99E3" w14:textId="77777777" w:rsidR="00D91785" w:rsidRPr="00836D6E" w:rsidRDefault="00D91785" w:rsidP="00D91785">
      <w:pPr>
        <w:pStyle w:val="Normal-em"/>
        <w:spacing w:after="0" w:line="240" w:lineRule="auto"/>
        <w:rPr>
          <w:color w:val="auto"/>
          <w:szCs w:val="24"/>
        </w:rPr>
      </w:pPr>
    </w:p>
    <w:p w14:paraId="5547D9C3" w14:textId="77777777" w:rsidR="00AD65C2" w:rsidRPr="00154A62" w:rsidRDefault="00AD65C2" w:rsidP="00AD65C2">
      <w:pPr>
        <w:spacing w:after="0" w:line="240" w:lineRule="auto"/>
        <w:rPr>
          <w:rFonts w:ascii="Times New Roman" w:eastAsia="Times New Roman" w:hAnsi="Times New Roman" w:cs="Times New Roman"/>
          <w:sz w:val="24"/>
          <w:szCs w:val="24"/>
          <w:u w:val="single"/>
        </w:rPr>
      </w:pPr>
      <w:r w:rsidRPr="00154A62">
        <w:rPr>
          <w:rFonts w:ascii="Times New Roman" w:eastAsia="Times New Roman" w:hAnsi="Times New Roman" w:cs="Times New Roman"/>
          <w:sz w:val="24"/>
          <w:szCs w:val="24"/>
          <w:u w:val="single"/>
        </w:rPr>
        <w:t>Section 1 – Name of Regulation</w:t>
      </w:r>
    </w:p>
    <w:p w14:paraId="4079E6DB" w14:textId="77777777" w:rsidR="00AD65C2" w:rsidRPr="00154A62" w:rsidRDefault="00AD65C2" w:rsidP="00AD65C2">
      <w:pPr>
        <w:spacing w:after="0" w:line="240" w:lineRule="auto"/>
        <w:ind w:left="1440" w:hanging="1440"/>
        <w:rPr>
          <w:rFonts w:ascii="Times New Roman" w:eastAsia="Times New Roman" w:hAnsi="Times New Roman" w:cs="Times New Roman"/>
          <w:b/>
          <w:sz w:val="24"/>
          <w:szCs w:val="24"/>
        </w:rPr>
      </w:pPr>
    </w:p>
    <w:p w14:paraId="1F9A314F" w14:textId="55DBB8C4" w:rsidR="00AD65C2" w:rsidRPr="000B0770" w:rsidRDefault="00AD65C2" w:rsidP="00AD65C2">
      <w:pPr>
        <w:spacing w:after="0" w:line="240" w:lineRule="auto"/>
        <w:rPr>
          <w:rFonts w:ascii="Times New Roman" w:eastAsia="Times New Roman" w:hAnsi="Times New Roman" w:cs="Times New Roman"/>
          <w:iCs/>
          <w:sz w:val="24"/>
          <w:szCs w:val="24"/>
        </w:rPr>
      </w:pPr>
      <w:r w:rsidRPr="00154A62">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section </w:t>
      </w:r>
      <w:r w:rsidRPr="00154A62">
        <w:rPr>
          <w:rFonts w:ascii="Times New Roman" w:eastAsia="Times New Roman" w:hAnsi="Times New Roman" w:cs="Times New Roman"/>
          <w:sz w:val="24"/>
          <w:szCs w:val="24"/>
        </w:rPr>
        <w:t>provide</w:t>
      </w:r>
      <w:r>
        <w:rPr>
          <w:rFonts w:ascii="Times New Roman" w:eastAsia="Times New Roman" w:hAnsi="Times New Roman" w:cs="Times New Roman"/>
          <w:sz w:val="24"/>
          <w:szCs w:val="24"/>
        </w:rPr>
        <w:t>s</w:t>
      </w:r>
      <w:r w:rsidRPr="00154A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the name of the </w:t>
      </w:r>
      <w:r w:rsidR="00B30896">
        <w:rPr>
          <w:rFonts w:ascii="Times New Roman" w:eastAsia="Times New Roman" w:hAnsi="Times New Roman" w:cs="Times New Roman"/>
          <w:sz w:val="24"/>
          <w:szCs w:val="24"/>
        </w:rPr>
        <w:t xml:space="preserve">amending </w:t>
      </w:r>
      <w:r>
        <w:rPr>
          <w:rFonts w:ascii="Times New Roman" w:eastAsia="Times New Roman" w:hAnsi="Times New Roman" w:cs="Times New Roman"/>
          <w:sz w:val="24"/>
          <w:szCs w:val="24"/>
        </w:rPr>
        <w:t xml:space="preserve">Regulations is the </w:t>
      </w:r>
      <w:r w:rsidRPr="00154A62">
        <w:rPr>
          <w:rFonts w:ascii="Times New Roman" w:eastAsia="Times New Roman" w:hAnsi="Times New Roman" w:cs="Times New Roman"/>
          <w:i/>
          <w:sz w:val="24"/>
          <w:szCs w:val="24"/>
        </w:rPr>
        <w:t xml:space="preserve">Illegal Logging Prohibition </w:t>
      </w:r>
      <w:r>
        <w:rPr>
          <w:rFonts w:ascii="Times New Roman" w:eastAsia="Times New Roman" w:hAnsi="Times New Roman" w:cs="Times New Roman"/>
          <w:i/>
          <w:sz w:val="24"/>
          <w:szCs w:val="24"/>
        </w:rPr>
        <w:t xml:space="preserve">Amendment (Due Diligence Improvements) </w:t>
      </w:r>
      <w:r w:rsidRPr="00154A62">
        <w:rPr>
          <w:rFonts w:ascii="Times New Roman" w:eastAsia="Times New Roman" w:hAnsi="Times New Roman" w:cs="Times New Roman"/>
          <w:i/>
          <w:sz w:val="24"/>
          <w:szCs w:val="24"/>
        </w:rPr>
        <w:t>Regulation</w:t>
      </w:r>
      <w:r>
        <w:rPr>
          <w:rFonts w:ascii="Times New Roman" w:eastAsia="Times New Roman" w:hAnsi="Times New Roman" w:cs="Times New Roman"/>
          <w:i/>
          <w:sz w:val="24"/>
          <w:szCs w:val="24"/>
        </w:rPr>
        <w:t>s</w:t>
      </w:r>
      <w:r w:rsidRPr="00154A62">
        <w:rPr>
          <w:rFonts w:ascii="Times New Roman" w:eastAsia="Times New Roman" w:hAnsi="Times New Roman" w:cs="Times New Roman"/>
          <w:i/>
          <w:sz w:val="24"/>
          <w:szCs w:val="24"/>
        </w:rPr>
        <w:t xml:space="preserve"> 201</w:t>
      </w:r>
      <w:r>
        <w:rPr>
          <w:rFonts w:ascii="Times New Roman" w:eastAsia="Times New Roman" w:hAnsi="Times New Roman" w:cs="Times New Roman"/>
          <w:i/>
          <w:sz w:val="24"/>
          <w:szCs w:val="24"/>
        </w:rPr>
        <w:t>7.</w:t>
      </w:r>
    </w:p>
    <w:p w14:paraId="79625DB1" w14:textId="77777777" w:rsidR="00AD65C2" w:rsidRPr="00AD6475" w:rsidRDefault="00AD65C2" w:rsidP="00AD65C2">
      <w:pPr>
        <w:spacing w:after="0" w:line="240" w:lineRule="auto"/>
        <w:rPr>
          <w:rFonts w:ascii="Times New Roman" w:eastAsia="Times New Roman" w:hAnsi="Times New Roman" w:cs="Times New Roman"/>
          <w:iCs/>
          <w:sz w:val="24"/>
          <w:szCs w:val="24"/>
        </w:rPr>
      </w:pPr>
    </w:p>
    <w:p w14:paraId="4DB13FC5" w14:textId="77777777" w:rsidR="00AD65C2" w:rsidRPr="00154A62" w:rsidRDefault="00AD65C2" w:rsidP="00AD65C2">
      <w:pPr>
        <w:spacing w:after="0" w:line="240" w:lineRule="auto"/>
        <w:rPr>
          <w:rFonts w:ascii="Times New Roman" w:eastAsia="Times New Roman" w:hAnsi="Times New Roman" w:cs="Times New Roman"/>
          <w:sz w:val="24"/>
          <w:szCs w:val="24"/>
          <w:u w:val="single"/>
        </w:rPr>
      </w:pPr>
      <w:r w:rsidRPr="00154A62">
        <w:rPr>
          <w:rFonts w:ascii="Times New Roman" w:eastAsia="Times New Roman" w:hAnsi="Times New Roman" w:cs="Times New Roman"/>
          <w:sz w:val="24"/>
          <w:szCs w:val="24"/>
          <w:u w:val="single"/>
        </w:rPr>
        <w:t>Section 2 – Commencement</w:t>
      </w:r>
    </w:p>
    <w:p w14:paraId="23E834C5" w14:textId="77777777" w:rsidR="00AD65C2" w:rsidRPr="00154A62" w:rsidRDefault="00AD65C2" w:rsidP="00AD65C2">
      <w:pPr>
        <w:spacing w:after="0" w:line="240" w:lineRule="auto"/>
        <w:rPr>
          <w:rFonts w:ascii="Times New Roman" w:eastAsia="Times New Roman" w:hAnsi="Times New Roman" w:cs="Times New Roman"/>
          <w:sz w:val="24"/>
          <w:szCs w:val="24"/>
        </w:rPr>
      </w:pPr>
    </w:p>
    <w:p w14:paraId="1E3D38FE" w14:textId="794B263A" w:rsidR="00AD65C2" w:rsidRPr="00154A62" w:rsidRDefault="00AD65C2" w:rsidP="00AD65C2">
      <w:pPr>
        <w:spacing w:after="0" w:line="240" w:lineRule="auto"/>
        <w:rPr>
          <w:rFonts w:ascii="Times New Roman" w:eastAsia="Times New Roman" w:hAnsi="Times New Roman" w:cs="Times New Roman"/>
          <w:sz w:val="24"/>
          <w:szCs w:val="24"/>
        </w:rPr>
      </w:pPr>
      <w:r w:rsidRPr="00154A62">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section </w:t>
      </w:r>
      <w:r w:rsidRPr="00154A62">
        <w:rPr>
          <w:rFonts w:ascii="Times New Roman" w:eastAsia="Times New Roman" w:hAnsi="Times New Roman" w:cs="Times New Roman"/>
          <w:sz w:val="24"/>
          <w:szCs w:val="24"/>
        </w:rPr>
        <w:t>provide</w:t>
      </w:r>
      <w:r>
        <w:rPr>
          <w:rFonts w:ascii="Times New Roman" w:eastAsia="Times New Roman" w:hAnsi="Times New Roman" w:cs="Times New Roman"/>
          <w:sz w:val="24"/>
          <w:szCs w:val="24"/>
        </w:rPr>
        <w:t>s</w:t>
      </w:r>
      <w:r w:rsidRPr="00154A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w:t>
      </w:r>
      <w:r w:rsidRPr="00154A62">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amendments to the </w:t>
      </w:r>
      <w:r w:rsidR="00645875" w:rsidRPr="00645875">
        <w:rPr>
          <w:rFonts w:ascii="Times New Roman" w:eastAsia="Times New Roman" w:hAnsi="Times New Roman" w:cs="Times New Roman"/>
          <w:i/>
          <w:sz w:val="24"/>
          <w:szCs w:val="24"/>
        </w:rPr>
        <w:t>Illegal Logging Prohibition Regulation 2012</w:t>
      </w:r>
      <w:r w:rsidR="00645875" w:rsidRPr="006458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154A62">
        <w:rPr>
          <w:rFonts w:ascii="Times New Roman" w:eastAsia="Times New Roman" w:hAnsi="Times New Roman" w:cs="Times New Roman"/>
          <w:sz w:val="24"/>
          <w:szCs w:val="24"/>
        </w:rPr>
        <w:t xml:space="preserve"> commence </w:t>
      </w:r>
      <w:r w:rsidR="00B30896">
        <w:rPr>
          <w:rFonts w:ascii="Times New Roman" w:eastAsia="Times New Roman" w:hAnsi="Times New Roman" w:cs="Times New Roman"/>
          <w:sz w:val="24"/>
          <w:szCs w:val="24"/>
        </w:rPr>
        <w:t>on 1 January </w:t>
      </w:r>
      <w:r>
        <w:rPr>
          <w:rFonts w:ascii="Times New Roman" w:eastAsia="Times New Roman" w:hAnsi="Times New Roman" w:cs="Times New Roman"/>
          <w:sz w:val="24"/>
          <w:szCs w:val="24"/>
        </w:rPr>
        <w:t>2018.</w:t>
      </w:r>
    </w:p>
    <w:p w14:paraId="2DC0306E" w14:textId="77777777" w:rsidR="00AD65C2" w:rsidRPr="00154A62" w:rsidRDefault="00AD65C2" w:rsidP="00AD65C2">
      <w:pPr>
        <w:spacing w:after="0" w:line="240" w:lineRule="auto"/>
        <w:rPr>
          <w:rFonts w:ascii="Times New Roman" w:eastAsia="Times New Roman" w:hAnsi="Times New Roman" w:cs="Times New Roman"/>
          <w:sz w:val="24"/>
          <w:szCs w:val="24"/>
        </w:rPr>
      </w:pPr>
    </w:p>
    <w:p w14:paraId="410EC2BA" w14:textId="77777777" w:rsidR="00AD65C2" w:rsidRPr="00154A62" w:rsidRDefault="00AD65C2" w:rsidP="00AD65C2">
      <w:pPr>
        <w:spacing w:after="0" w:line="240" w:lineRule="auto"/>
        <w:ind w:left="1440" w:hanging="1440"/>
        <w:rPr>
          <w:rFonts w:ascii="Times New Roman" w:eastAsia="Times New Roman" w:hAnsi="Times New Roman" w:cs="Times New Roman"/>
          <w:sz w:val="24"/>
          <w:szCs w:val="24"/>
          <w:u w:val="single"/>
        </w:rPr>
      </w:pPr>
      <w:r w:rsidRPr="00154A62">
        <w:rPr>
          <w:rFonts w:ascii="Times New Roman" w:eastAsia="Times New Roman" w:hAnsi="Times New Roman" w:cs="Times New Roman"/>
          <w:sz w:val="24"/>
          <w:szCs w:val="24"/>
          <w:u w:val="single"/>
        </w:rPr>
        <w:t>Section 3 – Authority</w:t>
      </w:r>
    </w:p>
    <w:p w14:paraId="6E514072" w14:textId="77777777" w:rsidR="00AD65C2" w:rsidRPr="00154A62" w:rsidRDefault="00AD65C2" w:rsidP="00AD65C2">
      <w:pPr>
        <w:spacing w:after="0" w:line="240" w:lineRule="auto"/>
        <w:rPr>
          <w:rFonts w:ascii="Times New Roman" w:eastAsia="Times New Roman" w:hAnsi="Times New Roman" w:cs="Times New Roman"/>
          <w:sz w:val="24"/>
          <w:szCs w:val="24"/>
        </w:rPr>
      </w:pPr>
    </w:p>
    <w:p w14:paraId="3E223E50" w14:textId="263C494C" w:rsidR="00AD65C2" w:rsidRPr="00154A62" w:rsidRDefault="00AD65C2" w:rsidP="00AD65C2">
      <w:pPr>
        <w:spacing w:after="0" w:line="240" w:lineRule="auto"/>
        <w:rPr>
          <w:rFonts w:ascii="Times New Roman" w:eastAsia="Times New Roman" w:hAnsi="Times New Roman" w:cs="Times New Roman"/>
          <w:iCs/>
          <w:sz w:val="24"/>
          <w:szCs w:val="24"/>
        </w:rPr>
      </w:pPr>
      <w:r w:rsidRPr="00154A62">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section </w:t>
      </w:r>
      <w:r w:rsidRPr="00154A62">
        <w:rPr>
          <w:rFonts w:ascii="Times New Roman" w:eastAsia="Times New Roman" w:hAnsi="Times New Roman" w:cs="Times New Roman"/>
          <w:sz w:val="24"/>
          <w:szCs w:val="24"/>
        </w:rPr>
        <w:t>provide</w:t>
      </w:r>
      <w:r>
        <w:rPr>
          <w:rFonts w:ascii="Times New Roman" w:eastAsia="Times New Roman" w:hAnsi="Times New Roman" w:cs="Times New Roman"/>
          <w:sz w:val="24"/>
          <w:szCs w:val="24"/>
        </w:rPr>
        <w:t>s</w:t>
      </w:r>
      <w:r w:rsidRPr="00154A62">
        <w:rPr>
          <w:rFonts w:ascii="Times New Roman" w:eastAsia="Times New Roman" w:hAnsi="Times New Roman" w:cs="Times New Roman"/>
          <w:sz w:val="24"/>
          <w:szCs w:val="24"/>
        </w:rPr>
        <w:t xml:space="preserve"> for the amendments to the Regulation to be made under </w:t>
      </w:r>
      <w:r>
        <w:rPr>
          <w:rFonts w:ascii="Times New Roman" w:eastAsia="Times New Roman" w:hAnsi="Times New Roman" w:cs="Times New Roman"/>
          <w:sz w:val="24"/>
          <w:szCs w:val="24"/>
        </w:rPr>
        <w:t>the</w:t>
      </w:r>
      <w:r w:rsidRPr="00154A62">
        <w:rPr>
          <w:rFonts w:ascii="Times New Roman" w:eastAsia="Times New Roman" w:hAnsi="Times New Roman" w:cs="Times New Roman"/>
          <w:sz w:val="24"/>
          <w:szCs w:val="24"/>
        </w:rPr>
        <w:t xml:space="preserve"> </w:t>
      </w:r>
      <w:r w:rsidRPr="00154A62">
        <w:rPr>
          <w:rFonts w:ascii="Times New Roman" w:eastAsia="Times New Roman" w:hAnsi="Times New Roman" w:cs="Times New Roman"/>
          <w:i/>
          <w:sz w:val="24"/>
          <w:szCs w:val="24"/>
        </w:rPr>
        <w:t>Illegal Logging Prohibition Act 2012</w:t>
      </w:r>
      <w:r w:rsidRPr="00154A62">
        <w:rPr>
          <w:rFonts w:ascii="Times New Roman" w:eastAsia="Times New Roman" w:hAnsi="Times New Roman" w:cs="Times New Roman"/>
          <w:sz w:val="24"/>
          <w:szCs w:val="24"/>
        </w:rPr>
        <w:t>.</w:t>
      </w:r>
    </w:p>
    <w:p w14:paraId="42BD684A" w14:textId="77777777" w:rsidR="00AD65C2" w:rsidRPr="00154A62" w:rsidRDefault="00AD65C2" w:rsidP="00AD65C2">
      <w:pPr>
        <w:spacing w:after="0" w:line="240" w:lineRule="auto"/>
        <w:rPr>
          <w:rFonts w:ascii="Times New Roman" w:eastAsia="Times New Roman" w:hAnsi="Times New Roman" w:cs="Times New Roman"/>
          <w:iCs/>
          <w:sz w:val="24"/>
          <w:szCs w:val="24"/>
        </w:rPr>
      </w:pPr>
    </w:p>
    <w:p w14:paraId="7756C7EE" w14:textId="77777777" w:rsidR="00AD65C2" w:rsidRPr="00154A62" w:rsidRDefault="00AD65C2" w:rsidP="00AD65C2">
      <w:pPr>
        <w:spacing w:after="0" w:line="240" w:lineRule="auto"/>
        <w:rPr>
          <w:rFonts w:ascii="Times New Roman" w:eastAsia="Times New Roman" w:hAnsi="Times New Roman" w:cs="Times New Roman"/>
          <w:iCs/>
          <w:sz w:val="24"/>
          <w:szCs w:val="24"/>
          <w:u w:val="single"/>
        </w:rPr>
      </w:pPr>
      <w:r w:rsidRPr="00154A62">
        <w:rPr>
          <w:rFonts w:ascii="Times New Roman" w:eastAsia="Times New Roman" w:hAnsi="Times New Roman" w:cs="Times New Roman"/>
          <w:iCs/>
          <w:sz w:val="24"/>
          <w:szCs w:val="24"/>
          <w:u w:val="single"/>
        </w:rPr>
        <w:t>Section 4 – Schedules</w:t>
      </w:r>
    </w:p>
    <w:p w14:paraId="5740E8A0" w14:textId="77777777" w:rsidR="00AD65C2" w:rsidRPr="00154A62" w:rsidRDefault="00AD65C2" w:rsidP="00AD65C2">
      <w:pPr>
        <w:spacing w:after="0" w:line="240" w:lineRule="auto"/>
        <w:rPr>
          <w:rFonts w:ascii="Times New Roman" w:eastAsia="Times New Roman" w:hAnsi="Times New Roman" w:cs="Times New Roman"/>
          <w:iCs/>
          <w:sz w:val="24"/>
          <w:szCs w:val="24"/>
        </w:rPr>
      </w:pPr>
    </w:p>
    <w:p w14:paraId="70292301" w14:textId="4A43A280" w:rsidR="00AD65C2" w:rsidRPr="00D33EFB" w:rsidRDefault="00AD65C2" w:rsidP="00AD65C2">
      <w:pPr>
        <w:pStyle w:val="Normal-em"/>
        <w:spacing w:after="0" w:line="240" w:lineRule="auto"/>
        <w:rPr>
          <w:rFonts w:eastAsiaTheme="minorEastAsia"/>
          <w:iCs/>
          <w:color w:val="auto"/>
          <w:szCs w:val="24"/>
        </w:rPr>
      </w:pPr>
      <w:r w:rsidRPr="00154A62">
        <w:rPr>
          <w:rFonts w:eastAsiaTheme="minorEastAsia"/>
          <w:iCs/>
          <w:color w:val="auto"/>
          <w:szCs w:val="24"/>
        </w:rPr>
        <w:t xml:space="preserve">This </w:t>
      </w:r>
      <w:r>
        <w:rPr>
          <w:rFonts w:eastAsiaTheme="minorEastAsia"/>
          <w:iCs/>
          <w:color w:val="auto"/>
          <w:szCs w:val="24"/>
        </w:rPr>
        <w:t xml:space="preserve">section </w:t>
      </w:r>
      <w:r w:rsidRPr="00154A62">
        <w:rPr>
          <w:rFonts w:eastAsiaTheme="minorEastAsia"/>
          <w:iCs/>
          <w:color w:val="auto"/>
          <w:szCs w:val="24"/>
        </w:rPr>
        <w:t>provide</w:t>
      </w:r>
      <w:r>
        <w:rPr>
          <w:rFonts w:eastAsiaTheme="minorEastAsia"/>
          <w:iCs/>
          <w:color w:val="auto"/>
          <w:szCs w:val="24"/>
        </w:rPr>
        <w:t>s</w:t>
      </w:r>
      <w:r w:rsidRPr="00154A62">
        <w:rPr>
          <w:rFonts w:eastAsiaTheme="minorEastAsia"/>
          <w:iCs/>
          <w:color w:val="auto"/>
          <w:szCs w:val="24"/>
        </w:rPr>
        <w:t xml:space="preserve"> for the </w:t>
      </w:r>
      <w:bookmarkStart w:id="1" w:name="OLE_LINK1"/>
      <w:r w:rsidR="00B30896" w:rsidRPr="00B30896">
        <w:rPr>
          <w:rFonts w:eastAsiaTheme="minorEastAsia"/>
          <w:i/>
          <w:iCs/>
          <w:color w:val="auto"/>
          <w:szCs w:val="24"/>
        </w:rPr>
        <w:t>Illegal Logging Prohibition Regulation 2012</w:t>
      </w:r>
      <w:r w:rsidRPr="00154A62">
        <w:rPr>
          <w:rFonts w:eastAsiaTheme="minorEastAsia"/>
          <w:iCs/>
          <w:color w:val="auto"/>
          <w:szCs w:val="24"/>
        </w:rPr>
        <w:t xml:space="preserve"> </w:t>
      </w:r>
      <w:bookmarkEnd w:id="1"/>
      <w:r w:rsidRPr="00154A62">
        <w:rPr>
          <w:rFonts w:eastAsiaTheme="minorEastAsia"/>
          <w:iCs/>
          <w:color w:val="auto"/>
          <w:szCs w:val="24"/>
        </w:rPr>
        <w:t>to be amended as set out in Schedule 1.</w:t>
      </w:r>
    </w:p>
    <w:p w14:paraId="7530D83E" w14:textId="77777777" w:rsidR="00AD65C2" w:rsidRPr="00154A62" w:rsidRDefault="00AD65C2" w:rsidP="00AD65C2">
      <w:pPr>
        <w:pStyle w:val="Normal-em"/>
        <w:spacing w:after="0" w:line="240" w:lineRule="auto"/>
        <w:rPr>
          <w:color w:val="auto"/>
          <w:szCs w:val="24"/>
          <w:u w:val="single"/>
        </w:rPr>
      </w:pPr>
    </w:p>
    <w:p w14:paraId="6DE4BE87" w14:textId="77777777" w:rsidR="00AD65C2" w:rsidRDefault="00AD65C2" w:rsidP="00AD65C2">
      <w:pPr>
        <w:pStyle w:val="Normal-em"/>
        <w:spacing w:after="0" w:line="240" w:lineRule="auto"/>
        <w:rPr>
          <w:color w:val="auto"/>
          <w:szCs w:val="24"/>
          <w:u w:val="single"/>
        </w:rPr>
      </w:pPr>
      <w:r w:rsidRPr="00154A62">
        <w:rPr>
          <w:color w:val="auto"/>
          <w:szCs w:val="24"/>
          <w:u w:val="single"/>
        </w:rPr>
        <w:t>Schedule 1 – Amendments</w:t>
      </w:r>
    </w:p>
    <w:p w14:paraId="7B6E328E" w14:textId="77777777" w:rsidR="00AD65C2" w:rsidRDefault="00AD65C2" w:rsidP="00AD65C2">
      <w:pPr>
        <w:pStyle w:val="Normal-em"/>
        <w:spacing w:after="0" w:line="240" w:lineRule="auto"/>
        <w:rPr>
          <w:color w:val="auto"/>
          <w:szCs w:val="24"/>
          <w:u w:val="single"/>
        </w:rPr>
      </w:pPr>
    </w:p>
    <w:p w14:paraId="4D9678FB" w14:textId="02F682C0" w:rsidR="00AD65C2" w:rsidRPr="000B0770" w:rsidRDefault="00AD65C2" w:rsidP="00AD65C2">
      <w:pPr>
        <w:pStyle w:val="Normal-em"/>
        <w:spacing w:after="0" w:line="240" w:lineRule="auto"/>
        <w:rPr>
          <w:b/>
          <w:color w:val="auto"/>
          <w:szCs w:val="24"/>
        </w:rPr>
      </w:pPr>
      <w:r>
        <w:rPr>
          <w:b/>
          <w:color w:val="auto"/>
          <w:szCs w:val="24"/>
        </w:rPr>
        <w:t xml:space="preserve">Item 1 </w:t>
      </w:r>
      <w:r w:rsidR="00747F09">
        <w:rPr>
          <w:szCs w:val="24"/>
        </w:rPr>
        <w:t xml:space="preserve">updates the note included </w:t>
      </w:r>
      <w:r w:rsidR="00B30896">
        <w:rPr>
          <w:szCs w:val="24"/>
        </w:rPr>
        <w:t xml:space="preserve">at the end of the timber legality framework definition </w:t>
      </w:r>
      <w:r w:rsidR="00747F09">
        <w:rPr>
          <w:szCs w:val="24"/>
        </w:rPr>
        <w:t>in s</w:t>
      </w:r>
      <w:r>
        <w:rPr>
          <w:szCs w:val="24"/>
        </w:rPr>
        <w:t>ection 3 that refers to the relevant paragraphs dealing with Timber Legality Frameworks</w:t>
      </w:r>
      <w:r w:rsidR="00645875">
        <w:rPr>
          <w:szCs w:val="24"/>
        </w:rPr>
        <w:t xml:space="preserve"> (TLFs)</w:t>
      </w:r>
      <w:r>
        <w:rPr>
          <w:szCs w:val="24"/>
        </w:rPr>
        <w:t>.</w:t>
      </w:r>
    </w:p>
    <w:p w14:paraId="20AC17B7" w14:textId="77777777" w:rsidR="00AD65C2" w:rsidRDefault="00AD65C2" w:rsidP="00AD65C2">
      <w:pPr>
        <w:spacing w:after="0" w:line="240" w:lineRule="auto"/>
        <w:rPr>
          <w:rFonts w:ascii="Times New Roman" w:eastAsia="Times New Roman" w:hAnsi="Times New Roman" w:cs="Times New Roman"/>
          <w:sz w:val="24"/>
          <w:szCs w:val="24"/>
        </w:rPr>
      </w:pPr>
    </w:p>
    <w:p w14:paraId="05169BDB" w14:textId="210F00A5" w:rsidR="00AD65C2" w:rsidRPr="000B0770" w:rsidRDefault="00AD65C2" w:rsidP="00AD65C2">
      <w:pPr>
        <w:spacing w:after="0" w:line="240" w:lineRule="auto"/>
        <w:rPr>
          <w:rFonts w:ascii="Times New Roman" w:eastAsia="Times New Roman" w:hAnsi="Times New Roman" w:cs="Times New Roman"/>
          <w:b/>
          <w:iCs/>
          <w:sz w:val="24"/>
          <w:szCs w:val="24"/>
        </w:rPr>
      </w:pPr>
      <w:r w:rsidRPr="00D738E4">
        <w:rPr>
          <w:rFonts w:ascii="Times New Roman" w:eastAsia="Times New Roman" w:hAnsi="Times New Roman" w:cs="Times New Roman"/>
          <w:b/>
          <w:iCs/>
          <w:sz w:val="24"/>
          <w:szCs w:val="24"/>
        </w:rPr>
        <w:t>Item 2</w:t>
      </w:r>
      <w:r>
        <w:rPr>
          <w:rFonts w:ascii="Times New Roman" w:eastAsia="Times New Roman" w:hAnsi="Times New Roman" w:cs="Times New Roman"/>
          <w:b/>
          <w:iCs/>
          <w:sz w:val="24"/>
          <w:szCs w:val="24"/>
        </w:rPr>
        <w:t xml:space="preserve"> </w:t>
      </w:r>
      <w:r w:rsidR="00747F09">
        <w:rPr>
          <w:rFonts w:ascii="Times New Roman" w:eastAsia="Times New Roman" w:hAnsi="Times New Roman" w:cs="Times New Roman"/>
          <w:iCs/>
          <w:sz w:val="24"/>
          <w:szCs w:val="24"/>
        </w:rPr>
        <w:t>rep</w:t>
      </w:r>
      <w:r w:rsidR="00B30896">
        <w:rPr>
          <w:rFonts w:ascii="Times New Roman" w:eastAsia="Times New Roman" w:hAnsi="Times New Roman" w:cs="Times New Roman"/>
          <w:iCs/>
          <w:sz w:val="24"/>
          <w:szCs w:val="24"/>
        </w:rPr>
        <w:t xml:space="preserve">eals paragraph 9(2)(c) and (d) and substitutes those paragraphs with a new paragraph 9(2)(c). The new paragraph 9(2)(c) prescribes the information that needs to </w:t>
      </w:r>
      <w:r>
        <w:rPr>
          <w:rFonts w:ascii="Times New Roman" w:eastAsia="Times New Roman" w:hAnsi="Times New Roman" w:cs="Times New Roman"/>
          <w:iCs/>
          <w:sz w:val="24"/>
          <w:szCs w:val="24"/>
        </w:rPr>
        <w:t xml:space="preserve">be included in an importer’s due diligence system. </w:t>
      </w:r>
      <w:r>
        <w:rPr>
          <w:rFonts w:ascii="Times New Roman" w:hAnsi="Times New Roman" w:cs="Times New Roman"/>
          <w:sz w:val="24"/>
          <w:szCs w:val="24"/>
        </w:rPr>
        <w:t>This clarifies that the importer only needs to include certain business information</w:t>
      </w:r>
      <w:r w:rsidRPr="00D738E4">
        <w:rPr>
          <w:rFonts w:ascii="Times New Roman" w:hAnsi="Times New Roman" w:cs="Times New Roman"/>
          <w:sz w:val="24"/>
          <w:szCs w:val="24"/>
        </w:rPr>
        <w:t xml:space="preserve"> </w:t>
      </w:r>
      <w:r>
        <w:rPr>
          <w:rFonts w:ascii="Times New Roman" w:hAnsi="Times New Roman" w:cs="Times New Roman"/>
          <w:sz w:val="24"/>
          <w:szCs w:val="24"/>
        </w:rPr>
        <w:t>in their due diligence system, such as an Australian Business Number (ABN) or Austral</w:t>
      </w:r>
      <w:r w:rsidR="00D30B5C">
        <w:rPr>
          <w:rFonts w:ascii="Times New Roman" w:hAnsi="Times New Roman" w:cs="Times New Roman"/>
          <w:sz w:val="24"/>
          <w:szCs w:val="24"/>
        </w:rPr>
        <w:t xml:space="preserve">ian Company Number (ACN); a </w:t>
      </w:r>
      <w:r>
        <w:rPr>
          <w:rFonts w:ascii="Times New Roman" w:hAnsi="Times New Roman" w:cs="Times New Roman"/>
          <w:sz w:val="24"/>
          <w:szCs w:val="24"/>
        </w:rPr>
        <w:t xml:space="preserve">business activity statement; or relevant position details, </w:t>
      </w:r>
      <w:r w:rsidR="00B30896">
        <w:rPr>
          <w:rFonts w:ascii="Times New Roman" w:hAnsi="Times New Roman" w:cs="Times New Roman"/>
          <w:sz w:val="24"/>
          <w:szCs w:val="24"/>
        </w:rPr>
        <w:t>if the timber product is imported in connection with a business carried on by the importer. An importer who contravenes subsection 9(1) of the Regulations is liable to a civil penalty of 100 penalty units.</w:t>
      </w:r>
    </w:p>
    <w:p w14:paraId="4F65C1E7" w14:textId="77777777" w:rsidR="00AD65C2" w:rsidRDefault="00AD65C2" w:rsidP="00AD65C2">
      <w:pPr>
        <w:spacing w:after="0" w:line="240" w:lineRule="auto"/>
        <w:rPr>
          <w:rFonts w:ascii="Times New Roman" w:eastAsia="Times New Roman" w:hAnsi="Times New Roman" w:cs="Times New Roman"/>
          <w:iCs/>
          <w:sz w:val="24"/>
          <w:szCs w:val="24"/>
        </w:rPr>
      </w:pPr>
    </w:p>
    <w:p w14:paraId="0DCC8E3E" w14:textId="5E78BAAC" w:rsidR="00AD65C2" w:rsidRPr="000B0770" w:rsidRDefault="00AD65C2" w:rsidP="00AD65C2">
      <w:pPr>
        <w:spacing w:after="0" w:line="240" w:lineRule="auto"/>
        <w:rPr>
          <w:rFonts w:ascii="Times New Roman" w:eastAsia="Times New Roman" w:hAnsi="Times New Roman" w:cs="Times New Roman"/>
          <w:iCs/>
          <w:sz w:val="24"/>
          <w:szCs w:val="24"/>
        </w:rPr>
      </w:pPr>
      <w:r w:rsidRPr="00C57042">
        <w:rPr>
          <w:rFonts w:ascii="Times New Roman" w:eastAsia="Times New Roman" w:hAnsi="Times New Roman" w:cs="Times New Roman"/>
          <w:b/>
          <w:iCs/>
          <w:sz w:val="24"/>
          <w:szCs w:val="24"/>
        </w:rPr>
        <w:t>Item 3</w:t>
      </w:r>
      <w:r>
        <w:rPr>
          <w:rFonts w:ascii="Times New Roman" w:eastAsia="Times New Roman" w:hAnsi="Times New Roman" w:cs="Times New Roman"/>
          <w:iCs/>
          <w:sz w:val="24"/>
          <w:szCs w:val="24"/>
        </w:rPr>
        <w:t xml:space="preserve"> inserts a new section 9A that </w:t>
      </w:r>
      <w:r>
        <w:rPr>
          <w:rFonts w:ascii="Times New Roman" w:hAnsi="Times New Roman" w:cs="Times New Roman"/>
          <w:sz w:val="24"/>
          <w:szCs w:val="24"/>
        </w:rPr>
        <w:t xml:space="preserve">establishes a ‘deemed to comply’ arrangement for imported </w:t>
      </w:r>
      <w:r w:rsidRPr="00D5594B">
        <w:rPr>
          <w:rFonts w:ascii="Times New Roman" w:hAnsi="Times New Roman" w:cs="Times New Roman"/>
          <w:sz w:val="24"/>
          <w:szCs w:val="24"/>
        </w:rPr>
        <w:t xml:space="preserve">timber products </w:t>
      </w:r>
      <w:r>
        <w:rPr>
          <w:rFonts w:ascii="Times New Roman" w:hAnsi="Times New Roman" w:cs="Times New Roman"/>
          <w:sz w:val="24"/>
          <w:szCs w:val="24"/>
        </w:rPr>
        <w:t xml:space="preserve">that are </w:t>
      </w:r>
      <w:r w:rsidRPr="00D5594B">
        <w:rPr>
          <w:rFonts w:ascii="Times New Roman" w:hAnsi="Times New Roman" w:cs="Times New Roman"/>
          <w:sz w:val="24"/>
          <w:szCs w:val="24"/>
        </w:rPr>
        <w:t xml:space="preserve">certified </w:t>
      </w:r>
      <w:r w:rsidR="00B30896">
        <w:rPr>
          <w:rFonts w:ascii="Times New Roman" w:hAnsi="Times New Roman" w:cs="Times New Roman"/>
          <w:sz w:val="24"/>
          <w:szCs w:val="24"/>
        </w:rPr>
        <w:t>or li</w:t>
      </w:r>
      <w:r w:rsidR="00645875">
        <w:rPr>
          <w:rFonts w:ascii="Times New Roman" w:hAnsi="Times New Roman" w:cs="Times New Roman"/>
          <w:sz w:val="24"/>
          <w:szCs w:val="24"/>
        </w:rPr>
        <w:t>censed under a TLF</w:t>
      </w:r>
      <w:r>
        <w:rPr>
          <w:rFonts w:ascii="Times New Roman" w:hAnsi="Times New Roman" w:cs="Times New Roman"/>
          <w:sz w:val="24"/>
          <w:szCs w:val="24"/>
        </w:rPr>
        <w:t>, as prescribed in Part 1, Schedule 2 of the Regulation</w:t>
      </w:r>
      <w:r w:rsidR="00B30896">
        <w:rPr>
          <w:rFonts w:ascii="Times New Roman" w:hAnsi="Times New Roman" w:cs="Times New Roman"/>
          <w:sz w:val="24"/>
          <w:szCs w:val="24"/>
        </w:rPr>
        <w:t>s</w:t>
      </w:r>
      <w:r>
        <w:rPr>
          <w:rFonts w:ascii="Times New Roman" w:hAnsi="Times New Roman" w:cs="Times New Roman"/>
          <w:sz w:val="24"/>
          <w:szCs w:val="24"/>
        </w:rPr>
        <w:t>.</w:t>
      </w:r>
    </w:p>
    <w:p w14:paraId="7B799365" w14:textId="77777777" w:rsidR="00AD65C2" w:rsidRDefault="00AD65C2" w:rsidP="00AD65C2">
      <w:pPr>
        <w:spacing w:after="0" w:line="240" w:lineRule="auto"/>
        <w:rPr>
          <w:rFonts w:ascii="Times New Roman" w:hAnsi="Times New Roman" w:cs="Times New Roman"/>
          <w:sz w:val="24"/>
          <w:szCs w:val="24"/>
        </w:rPr>
      </w:pPr>
    </w:p>
    <w:p w14:paraId="021896B6" w14:textId="4B7E814C" w:rsidR="00AD65C2" w:rsidRDefault="00AD65C2" w:rsidP="00AD65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new section 9A </w:t>
      </w:r>
      <w:r w:rsidR="00AD727B">
        <w:rPr>
          <w:rFonts w:ascii="Times New Roman" w:hAnsi="Times New Roman" w:cs="Times New Roman"/>
          <w:sz w:val="24"/>
          <w:szCs w:val="24"/>
        </w:rPr>
        <w:t>lists</w:t>
      </w:r>
      <w:r>
        <w:rPr>
          <w:rFonts w:ascii="Times New Roman" w:hAnsi="Times New Roman" w:cs="Times New Roman"/>
          <w:sz w:val="24"/>
          <w:szCs w:val="24"/>
        </w:rPr>
        <w:t xml:space="preserve"> the specific steps that an importer needs to undertake to verify thei</w:t>
      </w:r>
      <w:r w:rsidR="00B30896">
        <w:rPr>
          <w:rFonts w:ascii="Times New Roman" w:hAnsi="Times New Roman" w:cs="Times New Roman"/>
          <w:sz w:val="24"/>
          <w:szCs w:val="24"/>
        </w:rPr>
        <w:t>r products are covered by a TLF and</w:t>
      </w:r>
      <w:r>
        <w:rPr>
          <w:rFonts w:ascii="Times New Roman" w:hAnsi="Times New Roman" w:cs="Times New Roman"/>
          <w:sz w:val="24"/>
          <w:szCs w:val="24"/>
        </w:rPr>
        <w:t xml:space="preserve"> the records that need t</w:t>
      </w:r>
      <w:r w:rsidR="00B30896">
        <w:rPr>
          <w:rFonts w:ascii="Times New Roman" w:hAnsi="Times New Roman" w:cs="Times New Roman"/>
          <w:sz w:val="24"/>
          <w:szCs w:val="24"/>
        </w:rPr>
        <w:t>o be maintained by the importer. Section 9A is subject to a civil penalty of 100 penalty units.</w:t>
      </w:r>
    </w:p>
    <w:p w14:paraId="00A85286" w14:textId="77777777" w:rsidR="00AD65C2" w:rsidRDefault="00AD65C2" w:rsidP="00AD65C2">
      <w:pPr>
        <w:spacing w:after="0" w:line="240" w:lineRule="auto"/>
        <w:rPr>
          <w:rFonts w:ascii="Times New Roman" w:hAnsi="Times New Roman" w:cs="Times New Roman"/>
          <w:sz w:val="24"/>
          <w:szCs w:val="24"/>
        </w:rPr>
      </w:pPr>
    </w:p>
    <w:p w14:paraId="54729E7B" w14:textId="4B560549" w:rsidR="00AD65C2" w:rsidRDefault="00AD65C2" w:rsidP="00AD65C2">
      <w:pPr>
        <w:spacing w:after="0" w:line="240" w:lineRule="auto"/>
        <w:rPr>
          <w:rFonts w:ascii="Times New Roman" w:eastAsia="Times New Roman" w:hAnsi="Times New Roman" w:cs="Times New Roman"/>
          <w:iCs/>
          <w:sz w:val="24"/>
          <w:szCs w:val="24"/>
        </w:rPr>
      </w:pPr>
      <w:r w:rsidRPr="00C57042">
        <w:rPr>
          <w:rFonts w:ascii="Times New Roman" w:eastAsia="Times New Roman" w:hAnsi="Times New Roman" w:cs="Times New Roman"/>
          <w:b/>
          <w:iCs/>
          <w:sz w:val="24"/>
          <w:szCs w:val="24"/>
        </w:rPr>
        <w:lastRenderedPageBreak/>
        <w:t>Item 4</w:t>
      </w:r>
      <w:r>
        <w:rPr>
          <w:rFonts w:ascii="Times New Roman" w:eastAsia="Times New Roman" w:hAnsi="Times New Roman" w:cs="Times New Roman"/>
          <w:iCs/>
          <w:sz w:val="24"/>
          <w:szCs w:val="24"/>
        </w:rPr>
        <w:t xml:space="preserve"> </w:t>
      </w:r>
      <w:r w:rsidR="00B30896">
        <w:rPr>
          <w:rFonts w:ascii="Times New Roman" w:eastAsia="Times New Roman" w:hAnsi="Times New Roman" w:cs="Times New Roman"/>
          <w:iCs/>
          <w:sz w:val="24"/>
          <w:szCs w:val="24"/>
        </w:rPr>
        <w:t xml:space="preserve">inserts a new subsection 10(1A) to make it clear that </w:t>
      </w:r>
      <w:r w:rsidR="00747F09">
        <w:rPr>
          <w:rFonts w:ascii="Times New Roman" w:eastAsia="Times New Roman" w:hAnsi="Times New Roman" w:cs="Times New Roman"/>
          <w:iCs/>
          <w:sz w:val="24"/>
          <w:szCs w:val="24"/>
        </w:rPr>
        <w:t>the requirements set out in s</w:t>
      </w:r>
      <w:r>
        <w:rPr>
          <w:rFonts w:ascii="Times New Roman" w:eastAsia="Times New Roman" w:hAnsi="Times New Roman" w:cs="Times New Roman"/>
          <w:iCs/>
          <w:sz w:val="24"/>
          <w:szCs w:val="24"/>
        </w:rPr>
        <w:t>ection 10 do not apply to parties who elect to use the n</w:t>
      </w:r>
      <w:r w:rsidR="00645875">
        <w:rPr>
          <w:rFonts w:ascii="Times New Roman" w:eastAsia="Times New Roman" w:hAnsi="Times New Roman" w:cs="Times New Roman"/>
          <w:iCs/>
          <w:sz w:val="24"/>
          <w:szCs w:val="24"/>
        </w:rPr>
        <w:t>ew deemed to comply arrangement</w:t>
      </w:r>
      <w:r>
        <w:rPr>
          <w:rFonts w:ascii="Times New Roman" w:eastAsia="Times New Roman" w:hAnsi="Times New Roman" w:cs="Times New Roman"/>
          <w:iCs/>
          <w:sz w:val="24"/>
          <w:szCs w:val="24"/>
        </w:rPr>
        <w:t xml:space="preserve"> </w:t>
      </w:r>
      <w:r w:rsidR="006A16C2">
        <w:rPr>
          <w:rFonts w:ascii="Times New Roman" w:eastAsia="Times New Roman" w:hAnsi="Times New Roman" w:cs="Times New Roman"/>
          <w:iCs/>
          <w:sz w:val="24"/>
          <w:szCs w:val="24"/>
        </w:rPr>
        <w:t xml:space="preserve">for TLFs </w:t>
      </w:r>
      <w:r>
        <w:rPr>
          <w:rFonts w:ascii="Times New Roman" w:eastAsia="Times New Roman" w:hAnsi="Times New Roman" w:cs="Times New Roman"/>
          <w:iCs/>
          <w:sz w:val="24"/>
          <w:szCs w:val="24"/>
        </w:rPr>
        <w:t>set out in Section 9A.</w:t>
      </w:r>
    </w:p>
    <w:p w14:paraId="4C36B4EE" w14:textId="77777777" w:rsidR="00AD65C2" w:rsidRDefault="00AD65C2" w:rsidP="00AD65C2">
      <w:pPr>
        <w:spacing w:after="0" w:line="240" w:lineRule="auto"/>
        <w:rPr>
          <w:rFonts w:ascii="Times New Roman" w:eastAsia="Times New Roman" w:hAnsi="Times New Roman" w:cs="Times New Roman"/>
          <w:iCs/>
          <w:sz w:val="24"/>
          <w:szCs w:val="24"/>
        </w:rPr>
      </w:pPr>
    </w:p>
    <w:p w14:paraId="2636E5A8" w14:textId="3A242E7B" w:rsidR="005E4F1D" w:rsidRDefault="00AD65C2" w:rsidP="00AD65C2">
      <w:pPr>
        <w:spacing w:after="0" w:line="240" w:lineRule="auto"/>
        <w:rPr>
          <w:rFonts w:ascii="Times New Roman" w:eastAsia="Times New Roman" w:hAnsi="Times New Roman" w:cs="Times New Roman"/>
          <w:b/>
          <w:iCs/>
          <w:sz w:val="24"/>
          <w:szCs w:val="24"/>
        </w:rPr>
      </w:pPr>
      <w:r w:rsidRPr="0091185C">
        <w:rPr>
          <w:rFonts w:ascii="Times New Roman" w:eastAsia="Times New Roman" w:hAnsi="Times New Roman" w:cs="Times New Roman"/>
          <w:b/>
          <w:iCs/>
          <w:sz w:val="24"/>
          <w:szCs w:val="24"/>
        </w:rPr>
        <w:t xml:space="preserve">Item </w:t>
      </w:r>
      <w:r w:rsidR="005E4F1D">
        <w:rPr>
          <w:rFonts w:ascii="Times New Roman" w:eastAsia="Times New Roman" w:hAnsi="Times New Roman" w:cs="Times New Roman"/>
          <w:b/>
          <w:iCs/>
          <w:sz w:val="24"/>
          <w:szCs w:val="24"/>
        </w:rPr>
        <w:t xml:space="preserve">5 </w:t>
      </w:r>
      <w:r w:rsidR="005E4F1D" w:rsidRPr="005E4F1D">
        <w:rPr>
          <w:rFonts w:ascii="Times New Roman" w:eastAsia="Times New Roman" w:hAnsi="Times New Roman" w:cs="Times New Roman"/>
          <w:iCs/>
          <w:sz w:val="24"/>
          <w:szCs w:val="24"/>
        </w:rPr>
        <w:t>amends subsection 10(1) to remove the unnecessary duplication of the term “regulated timber” when describing the products.</w:t>
      </w:r>
    </w:p>
    <w:p w14:paraId="7F7D7E25" w14:textId="77777777" w:rsidR="005E4F1D" w:rsidRDefault="005E4F1D" w:rsidP="00AD65C2">
      <w:pPr>
        <w:spacing w:after="0" w:line="240" w:lineRule="auto"/>
        <w:rPr>
          <w:rFonts w:ascii="Times New Roman" w:eastAsia="Times New Roman" w:hAnsi="Times New Roman" w:cs="Times New Roman"/>
          <w:b/>
          <w:iCs/>
          <w:sz w:val="24"/>
          <w:szCs w:val="24"/>
        </w:rPr>
      </w:pPr>
    </w:p>
    <w:p w14:paraId="69C7ECCB" w14:textId="60A3C5C1" w:rsidR="00AD65C2" w:rsidRDefault="005E4F1D" w:rsidP="00AD65C2">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b/>
          <w:iCs/>
          <w:sz w:val="24"/>
          <w:szCs w:val="24"/>
        </w:rPr>
        <w:t xml:space="preserve">Item </w:t>
      </w:r>
      <w:r w:rsidR="00AD65C2" w:rsidRPr="000B0770">
        <w:rPr>
          <w:rFonts w:ascii="Times New Roman" w:eastAsia="Times New Roman" w:hAnsi="Times New Roman" w:cs="Times New Roman"/>
          <w:b/>
          <w:iCs/>
          <w:sz w:val="24"/>
          <w:szCs w:val="24"/>
        </w:rPr>
        <w:t>6</w:t>
      </w:r>
      <w:r w:rsidR="00AD65C2">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amends paragraph</w:t>
      </w:r>
      <w:r w:rsidR="00AD65C2">
        <w:rPr>
          <w:rFonts w:ascii="Times New Roman" w:eastAsia="Times New Roman" w:hAnsi="Times New Roman" w:cs="Times New Roman"/>
          <w:iCs/>
          <w:sz w:val="24"/>
          <w:szCs w:val="24"/>
        </w:rPr>
        <w:t xml:space="preserve"> 10(2)(a) to </w:t>
      </w:r>
      <w:r>
        <w:rPr>
          <w:rFonts w:ascii="Times New Roman" w:eastAsia="Times New Roman" w:hAnsi="Times New Roman" w:cs="Times New Roman"/>
          <w:iCs/>
          <w:sz w:val="24"/>
          <w:szCs w:val="24"/>
        </w:rPr>
        <w:t>remove the reference to “regulated timber”.</w:t>
      </w:r>
    </w:p>
    <w:p w14:paraId="35D41BE3" w14:textId="77777777" w:rsidR="00AD65C2" w:rsidRDefault="00AD65C2" w:rsidP="00AD65C2">
      <w:pPr>
        <w:spacing w:after="0" w:line="240" w:lineRule="auto"/>
        <w:rPr>
          <w:rFonts w:ascii="Times New Roman" w:eastAsia="Times New Roman" w:hAnsi="Times New Roman" w:cs="Times New Roman"/>
          <w:b/>
          <w:iCs/>
          <w:sz w:val="24"/>
          <w:szCs w:val="24"/>
        </w:rPr>
      </w:pPr>
    </w:p>
    <w:p w14:paraId="253E9BC6" w14:textId="1788F74E" w:rsidR="00AD65C2" w:rsidRDefault="00AD65C2" w:rsidP="00AD65C2">
      <w:pPr>
        <w:spacing w:after="0" w:line="240" w:lineRule="auto"/>
        <w:rPr>
          <w:rFonts w:ascii="Times New Roman" w:eastAsia="Times New Roman" w:hAnsi="Times New Roman" w:cs="Times New Roman"/>
          <w:iCs/>
          <w:sz w:val="24"/>
          <w:szCs w:val="24"/>
        </w:rPr>
      </w:pPr>
      <w:r w:rsidRPr="000B0770">
        <w:rPr>
          <w:rFonts w:ascii="Times New Roman" w:eastAsia="Times New Roman" w:hAnsi="Times New Roman" w:cs="Times New Roman"/>
          <w:b/>
          <w:iCs/>
          <w:sz w:val="24"/>
          <w:szCs w:val="24"/>
        </w:rPr>
        <w:t>Item 7</w:t>
      </w:r>
      <w:r>
        <w:rPr>
          <w:rFonts w:ascii="Times New Roman" w:eastAsia="Times New Roman" w:hAnsi="Times New Roman" w:cs="Times New Roman"/>
          <w:iCs/>
          <w:sz w:val="24"/>
          <w:szCs w:val="24"/>
        </w:rPr>
        <w:t xml:space="preserve"> repeals </w:t>
      </w:r>
      <w:r w:rsidR="00AD727B">
        <w:rPr>
          <w:rFonts w:ascii="Times New Roman" w:eastAsia="Times New Roman" w:hAnsi="Times New Roman" w:cs="Times New Roman"/>
          <w:iCs/>
          <w:sz w:val="24"/>
          <w:szCs w:val="24"/>
        </w:rPr>
        <w:t>paragraph</w:t>
      </w:r>
      <w:r>
        <w:rPr>
          <w:rFonts w:ascii="Times New Roman" w:eastAsia="Times New Roman" w:hAnsi="Times New Roman" w:cs="Times New Roman"/>
          <w:iCs/>
          <w:sz w:val="24"/>
          <w:szCs w:val="24"/>
        </w:rPr>
        <w:t xml:space="preserve"> 10(2)(g), which details the information that needs to be collected by an importer when they use a TLF as part of their due diligence process. T</w:t>
      </w:r>
      <w:r w:rsidR="00747F09">
        <w:rPr>
          <w:rFonts w:ascii="Times New Roman" w:eastAsia="Times New Roman" w:hAnsi="Times New Roman" w:cs="Times New Roman"/>
          <w:iCs/>
          <w:sz w:val="24"/>
          <w:szCs w:val="24"/>
        </w:rPr>
        <w:t>he new arrangements set out in s</w:t>
      </w:r>
      <w:r>
        <w:rPr>
          <w:rFonts w:ascii="Times New Roman" w:eastAsia="Times New Roman" w:hAnsi="Times New Roman" w:cs="Times New Roman"/>
          <w:iCs/>
          <w:sz w:val="24"/>
          <w:szCs w:val="24"/>
        </w:rPr>
        <w:t>ection 9A supersede this requirement.</w:t>
      </w:r>
    </w:p>
    <w:p w14:paraId="6DEAB944" w14:textId="77777777" w:rsidR="00AD65C2" w:rsidRDefault="00AD65C2" w:rsidP="00AD65C2">
      <w:pPr>
        <w:spacing w:after="0" w:line="240" w:lineRule="auto"/>
        <w:rPr>
          <w:rFonts w:ascii="Times New Roman" w:eastAsia="Times New Roman" w:hAnsi="Times New Roman" w:cs="Times New Roman"/>
          <w:iCs/>
          <w:sz w:val="24"/>
          <w:szCs w:val="24"/>
        </w:rPr>
      </w:pPr>
    </w:p>
    <w:p w14:paraId="60D26AB3" w14:textId="10B3F125" w:rsidR="00AD65C2" w:rsidRDefault="00AD65C2" w:rsidP="00AD65C2">
      <w:pPr>
        <w:spacing w:after="0" w:line="240" w:lineRule="auto"/>
        <w:rPr>
          <w:rFonts w:ascii="Times New Roman" w:eastAsia="Times New Roman" w:hAnsi="Times New Roman" w:cs="Times New Roman"/>
          <w:iCs/>
          <w:sz w:val="24"/>
          <w:szCs w:val="24"/>
        </w:rPr>
      </w:pPr>
      <w:r w:rsidRPr="009E5D9B">
        <w:rPr>
          <w:rFonts w:ascii="Times New Roman" w:eastAsia="Times New Roman" w:hAnsi="Times New Roman" w:cs="Times New Roman"/>
          <w:b/>
          <w:iCs/>
          <w:sz w:val="24"/>
          <w:szCs w:val="24"/>
        </w:rPr>
        <w:t>Item 8</w:t>
      </w:r>
      <w:r>
        <w:rPr>
          <w:rFonts w:ascii="Times New Roman" w:eastAsia="Times New Roman" w:hAnsi="Times New Roman" w:cs="Times New Roman"/>
          <w:iCs/>
          <w:sz w:val="24"/>
          <w:szCs w:val="24"/>
        </w:rPr>
        <w:t xml:space="preserve"> repeals section 11 that details how a TLF can be used by an importer to identify and assess risk. The n</w:t>
      </w:r>
      <w:r w:rsidR="00645875">
        <w:rPr>
          <w:rFonts w:ascii="Times New Roman" w:eastAsia="Times New Roman" w:hAnsi="Times New Roman" w:cs="Times New Roman"/>
          <w:iCs/>
          <w:sz w:val="24"/>
          <w:szCs w:val="24"/>
        </w:rPr>
        <w:t>ew deemed to comply arrangement</w:t>
      </w:r>
      <w:r>
        <w:rPr>
          <w:rFonts w:ascii="Times New Roman" w:eastAsia="Times New Roman" w:hAnsi="Times New Roman" w:cs="Times New Roman"/>
          <w:iCs/>
          <w:sz w:val="24"/>
          <w:szCs w:val="24"/>
        </w:rPr>
        <w:t xml:space="preserve"> set out in Section 9A supersede</w:t>
      </w:r>
      <w:r w:rsidR="00E32938">
        <w:rPr>
          <w:rFonts w:ascii="Times New Roman" w:eastAsia="Times New Roman" w:hAnsi="Times New Roman" w:cs="Times New Roman"/>
          <w:iCs/>
          <w:sz w:val="24"/>
          <w:szCs w:val="24"/>
        </w:rPr>
        <w:t>s</w:t>
      </w:r>
      <w:r>
        <w:rPr>
          <w:rFonts w:ascii="Times New Roman" w:eastAsia="Times New Roman" w:hAnsi="Times New Roman" w:cs="Times New Roman"/>
          <w:iCs/>
          <w:sz w:val="24"/>
          <w:szCs w:val="24"/>
        </w:rPr>
        <w:t xml:space="preserve"> this requirement.</w:t>
      </w:r>
    </w:p>
    <w:p w14:paraId="03543EC1" w14:textId="77777777" w:rsidR="00AD65C2" w:rsidRDefault="00AD65C2" w:rsidP="00AD65C2">
      <w:pPr>
        <w:spacing w:after="0" w:line="240" w:lineRule="auto"/>
        <w:rPr>
          <w:rFonts w:ascii="Times New Roman" w:eastAsia="Times New Roman" w:hAnsi="Times New Roman" w:cs="Times New Roman"/>
          <w:iCs/>
          <w:sz w:val="24"/>
          <w:szCs w:val="24"/>
        </w:rPr>
      </w:pPr>
    </w:p>
    <w:p w14:paraId="51F830E7" w14:textId="625366BE" w:rsidR="00AD65C2" w:rsidRDefault="00AD65C2" w:rsidP="00AD65C2">
      <w:pPr>
        <w:spacing w:after="0" w:line="240" w:lineRule="auto"/>
        <w:rPr>
          <w:rFonts w:ascii="Times New Roman" w:hAnsi="Times New Roman" w:cs="Times New Roman"/>
          <w:sz w:val="24"/>
          <w:szCs w:val="24"/>
        </w:rPr>
      </w:pPr>
      <w:r w:rsidRPr="009E5D9B">
        <w:rPr>
          <w:rFonts w:ascii="Times New Roman" w:eastAsia="Times New Roman" w:hAnsi="Times New Roman" w:cs="Times New Roman"/>
          <w:b/>
          <w:iCs/>
          <w:sz w:val="24"/>
          <w:szCs w:val="24"/>
        </w:rPr>
        <w:t>Item 9</w:t>
      </w:r>
      <w:r>
        <w:rPr>
          <w:rFonts w:ascii="Times New Roman" w:eastAsia="Times New Roman" w:hAnsi="Times New Roman" w:cs="Times New Roman"/>
          <w:iCs/>
          <w:sz w:val="24"/>
          <w:szCs w:val="24"/>
        </w:rPr>
        <w:t xml:space="preserve"> </w:t>
      </w:r>
      <w:r>
        <w:rPr>
          <w:rFonts w:ascii="Times New Roman" w:hAnsi="Times New Roman" w:cs="Times New Roman"/>
          <w:sz w:val="24"/>
          <w:szCs w:val="24"/>
        </w:rPr>
        <w:t xml:space="preserve">amends </w:t>
      </w:r>
      <w:r w:rsidR="00747F09">
        <w:rPr>
          <w:rFonts w:ascii="Times New Roman" w:hAnsi="Times New Roman" w:cs="Times New Roman"/>
          <w:sz w:val="24"/>
          <w:szCs w:val="24"/>
        </w:rPr>
        <w:t>paragraph</w:t>
      </w:r>
      <w:r>
        <w:rPr>
          <w:rFonts w:ascii="Times New Roman" w:hAnsi="Times New Roman" w:cs="Times New Roman"/>
          <w:sz w:val="24"/>
          <w:szCs w:val="24"/>
        </w:rPr>
        <w:t xml:space="preserve"> 12</w:t>
      </w:r>
      <w:r w:rsidR="00747F09">
        <w:rPr>
          <w:rFonts w:ascii="Times New Roman" w:hAnsi="Times New Roman" w:cs="Times New Roman"/>
          <w:sz w:val="24"/>
          <w:szCs w:val="24"/>
        </w:rPr>
        <w:t>(2)(b)</w:t>
      </w:r>
      <w:r>
        <w:rPr>
          <w:rFonts w:ascii="Times New Roman" w:hAnsi="Times New Roman" w:cs="Times New Roman"/>
          <w:sz w:val="24"/>
          <w:szCs w:val="24"/>
        </w:rPr>
        <w:t xml:space="preserve"> to clarify that when using a Country Specific Guideline</w:t>
      </w:r>
      <w:r w:rsidR="000B5563">
        <w:rPr>
          <w:rFonts w:ascii="Times New Roman" w:hAnsi="Times New Roman" w:cs="Times New Roman"/>
          <w:sz w:val="24"/>
          <w:szCs w:val="24"/>
        </w:rPr>
        <w:t xml:space="preserve">, the </w:t>
      </w:r>
      <w:r w:rsidR="00E32938">
        <w:rPr>
          <w:rFonts w:ascii="Times New Roman" w:hAnsi="Times New Roman" w:cs="Times New Roman"/>
          <w:sz w:val="24"/>
          <w:szCs w:val="24"/>
        </w:rPr>
        <w:t xml:space="preserve">risk </w:t>
      </w:r>
      <w:r w:rsidR="000B5563">
        <w:rPr>
          <w:rFonts w:ascii="Times New Roman" w:hAnsi="Times New Roman" w:cs="Times New Roman"/>
          <w:sz w:val="24"/>
          <w:szCs w:val="24"/>
        </w:rPr>
        <w:t>identification and assessment process is subject to the standard set out in the new subsection 12(2A).</w:t>
      </w:r>
      <w:r>
        <w:rPr>
          <w:rFonts w:ascii="Times New Roman" w:hAnsi="Times New Roman" w:cs="Times New Roman"/>
          <w:sz w:val="24"/>
          <w:szCs w:val="24"/>
        </w:rPr>
        <w:t xml:space="preserve"> </w:t>
      </w:r>
      <w:r w:rsidR="005E4F1D">
        <w:rPr>
          <w:rFonts w:ascii="Times New Roman" w:hAnsi="Times New Roman" w:cs="Times New Roman"/>
          <w:sz w:val="24"/>
          <w:szCs w:val="24"/>
        </w:rPr>
        <w:t>An importer who contravenes subsection 12(2) is liable to a civil penalty of 100 penalty units.</w:t>
      </w:r>
    </w:p>
    <w:p w14:paraId="10C55807" w14:textId="77777777" w:rsidR="00C000A4" w:rsidRDefault="00C000A4" w:rsidP="00AD65C2">
      <w:pPr>
        <w:spacing w:after="0" w:line="240" w:lineRule="auto"/>
        <w:rPr>
          <w:rFonts w:ascii="Times New Roman" w:hAnsi="Times New Roman" w:cs="Times New Roman"/>
          <w:sz w:val="24"/>
          <w:szCs w:val="24"/>
        </w:rPr>
      </w:pPr>
    </w:p>
    <w:p w14:paraId="7DCEC74D" w14:textId="44541CA8" w:rsidR="00C000A4" w:rsidRDefault="00C000A4" w:rsidP="00AD65C2">
      <w:pPr>
        <w:spacing w:after="0" w:line="240" w:lineRule="auto"/>
        <w:rPr>
          <w:rFonts w:ascii="Times New Roman" w:hAnsi="Times New Roman" w:cs="Times New Roman"/>
          <w:sz w:val="24"/>
          <w:szCs w:val="24"/>
        </w:rPr>
      </w:pPr>
      <w:r w:rsidRPr="008C541F">
        <w:rPr>
          <w:rFonts w:ascii="Times New Roman" w:hAnsi="Times New Roman" w:cs="Times New Roman"/>
          <w:b/>
          <w:sz w:val="24"/>
          <w:szCs w:val="24"/>
        </w:rPr>
        <w:t>Item 10</w:t>
      </w:r>
      <w:r w:rsidR="000B5563">
        <w:rPr>
          <w:rFonts w:ascii="Times New Roman" w:hAnsi="Times New Roman" w:cs="Times New Roman"/>
          <w:sz w:val="24"/>
          <w:szCs w:val="24"/>
        </w:rPr>
        <w:t xml:space="preserve"> inserts a new subsection 12(2A) that establishes the standard by which the risk identification and assessment process set out in paragraph 12(2)(b) is measured. This clarifies that the outcomes from this process must be reasonable.</w:t>
      </w:r>
    </w:p>
    <w:p w14:paraId="3978F001" w14:textId="77777777" w:rsidR="00AD65C2" w:rsidRDefault="00AD65C2" w:rsidP="00AD65C2">
      <w:pPr>
        <w:spacing w:after="0" w:line="240" w:lineRule="auto"/>
        <w:rPr>
          <w:rFonts w:ascii="Times New Roman" w:hAnsi="Times New Roman" w:cs="Times New Roman"/>
          <w:sz w:val="24"/>
          <w:szCs w:val="24"/>
        </w:rPr>
      </w:pPr>
    </w:p>
    <w:p w14:paraId="6F9C17EC" w14:textId="6236DF66" w:rsidR="00AD65C2" w:rsidRDefault="00AD65C2" w:rsidP="00AD65C2">
      <w:pPr>
        <w:spacing w:after="0" w:line="240" w:lineRule="auto"/>
        <w:rPr>
          <w:rFonts w:ascii="Times New Roman" w:hAnsi="Times New Roman" w:cs="Times New Roman"/>
          <w:sz w:val="24"/>
          <w:szCs w:val="24"/>
        </w:rPr>
      </w:pPr>
      <w:r w:rsidRPr="009E5D9B">
        <w:rPr>
          <w:rFonts w:ascii="Times New Roman" w:hAnsi="Times New Roman" w:cs="Times New Roman"/>
          <w:b/>
          <w:sz w:val="24"/>
          <w:szCs w:val="24"/>
        </w:rPr>
        <w:t>Item 1</w:t>
      </w:r>
      <w:r w:rsidR="00C000A4">
        <w:rPr>
          <w:rFonts w:ascii="Times New Roman" w:hAnsi="Times New Roman" w:cs="Times New Roman"/>
          <w:b/>
          <w:sz w:val="24"/>
          <w:szCs w:val="24"/>
        </w:rPr>
        <w:t>1</w:t>
      </w:r>
      <w:r w:rsidR="00747F09">
        <w:rPr>
          <w:rFonts w:ascii="Times New Roman" w:hAnsi="Times New Roman" w:cs="Times New Roman"/>
          <w:sz w:val="24"/>
          <w:szCs w:val="24"/>
        </w:rPr>
        <w:t xml:space="preserve"> updates the heading of s</w:t>
      </w:r>
      <w:r>
        <w:rPr>
          <w:rFonts w:ascii="Times New Roman" w:hAnsi="Times New Roman" w:cs="Times New Roman"/>
          <w:sz w:val="24"/>
          <w:szCs w:val="24"/>
        </w:rPr>
        <w:t>ection 13 to make it refer to the newly established section 9A and existing section 12. It previously referred to sections 11 and 12.</w:t>
      </w:r>
    </w:p>
    <w:p w14:paraId="524EB677" w14:textId="77777777" w:rsidR="00AD65C2" w:rsidRDefault="00AD65C2" w:rsidP="00AD65C2">
      <w:pPr>
        <w:spacing w:after="0" w:line="240" w:lineRule="auto"/>
        <w:rPr>
          <w:rFonts w:ascii="Times New Roman" w:hAnsi="Times New Roman" w:cs="Times New Roman"/>
          <w:sz w:val="24"/>
          <w:szCs w:val="24"/>
        </w:rPr>
      </w:pPr>
    </w:p>
    <w:p w14:paraId="30BAC547" w14:textId="6E25266A" w:rsidR="00AD65C2" w:rsidRDefault="00AD65C2" w:rsidP="00AD65C2">
      <w:pPr>
        <w:spacing w:after="0" w:line="240" w:lineRule="auto"/>
        <w:rPr>
          <w:rFonts w:ascii="Times New Roman" w:hAnsi="Times New Roman" w:cs="Times New Roman"/>
          <w:sz w:val="24"/>
          <w:szCs w:val="24"/>
        </w:rPr>
      </w:pPr>
      <w:r w:rsidRPr="00164593">
        <w:rPr>
          <w:rFonts w:ascii="Times New Roman" w:hAnsi="Times New Roman" w:cs="Times New Roman"/>
          <w:b/>
          <w:sz w:val="24"/>
          <w:szCs w:val="24"/>
        </w:rPr>
        <w:t>Item 1</w:t>
      </w:r>
      <w:r w:rsidR="00C000A4">
        <w:rPr>
          <w:rFonts w:ascii="Times New Roman" w:hAnsi="Times New Roman" w:cs="Times New Roman"/>
          <w:b/>
          <w:sz w:val="24"/>
          <w:szCs w:val="24"/>
        </w:rPr>
        <w:t>2</w:t>
      </w:r>
      <w:r>
        <w:rPr>
          <w:rFonts w:ascii="Times New Roman" w:hAnsi="Times New Roman" w:cs="Times New Roman"/>
          <w:sz w:val="24"/>
          <w:szCs w:val="24"/>
        </w:rPr>
        <w:t xml:space="preserve"> </w:t>
      </w:r>
      <w:r w:rsidR="005E4F1D">
        <w:rPr>
          <w:rFonts w:ascii="Times New Roman" w:hAnsi="Times New Roman" w:cs="Times New Roman"/>
          <w:sz w:val="24"/>
          <w:szCs w:val="24"/>
        </w:rPr>
        <w:t xml:space="preserve">amends </w:t>
      </w:r>
      <w:r>
        <w:rPr>
          <w:rFonts w:ascii="Times New Roman" w:hAnsi="Times New Roman" w:cs="Times New Roman"/>
          <w:sz w:val="24"/>
          <w:szCs w:val="24"/>
        </w:rPr>
        <w:t xml:space="preserve">paragraph 13(1)(a) </w:t>
      </w:r>
      <w:r w:rsidR="005E4F1D">
        <w:rPr>
          <w:rFonts w:ascii="Times New Roman" w:hAnsi="Times New Roman" w:cs="Times New Roman"/>
          <w:sz w:val="24"/>
          <w:szCs w:val="24"/>
        </w:rPr>
        <w:t xml:space="preserve">to omit subsection 11(2) and substitute subsection 9A(2) to make reference to the new </w:t>
      </w:r>
      <w:r>
        <w:rPr>
          <w:rFonts w:ascii="Times New Roman" w:hAnsi="Times New Roman" w:cs="Times New Roman"/>
          <w:sz w:val="24"/>
          <w:szCs w:val="24"/>
        </w:rPr>
        <w:t>section 9A.</w:t>
      </w:r>
    </w:p>
    <w:p w14:paraId="082F0AAA" w14:textId="77777777" w:rsidR="00AD65C2" w:rsidRDefault="00AD65C2" w:rsidP="00AD65C2">
      <w:pPr>
        <w:spacing w:after="0" w:line="240" w:lineRule="auto"/>
        <w:rPr>
          <w:rFonts w:ascii="Times New Roman" w:hAnsi="Times New Roman" w:cs="Times New Roman"/>
          <w:sz w:val="24"/>
          <w:szCs w:val="24"/>
        </w:rPr>
      </w:pPr>
    </w:p>
    <w:p w14:paraId="0FB8D562" w14:textId="223FB2F6" w:rsidR="00AD65C2" w:rsidRDefault="00AD65C2" w:rsidP="00AD65C2">
      <w:pPr>
        <w:spacing w:after="0" w:line="240" w:lineRule="auto"/>
        <w:rPr>
          <w:rFonts w:ascii="Times New Roman" w:hAnsi="Times New Roman" w:cs="Times New Roman"/>
          <w:sz w:val="24"/>
          <w:szCs w:val="24"/>
        </w:rPr>
      </w:pPr>
      <w:r w:rsidRPr="00164593">
        <w:rPr>
          <w:rFonts w:ascii="Times New Roman" w:hAnsi="Times New Roman" w:cs="Times New Roman"/>
          <w:b/>
          <w:sz w:val="24"/>
          <w:szCs w:val="24"/>
        </w:rPr>
        <w:t>Item 1</w:t>
      </w:r>
      <w:r w:rsidR="00C000A4">
        <w:rPr>
          <w:rFonts w:ascii="Times New Roman" w:hAnsi="Times New Roman" w:cs="Times New Roman"/>
          <w:b/>
          <w:sz w:val="24"/>
          <w:szCs w:val="24"/>
        </w:rPr>
        <w:t>3</w:t>
      </w:r>
      <w:r>
        <w:rPr>
          <w:rFonts w:ascii="Times New Roman" w:hAnsi="Times New Roman" w:cs="Times New Roman"/>
          <w:sz w:val="24"/>
          <w:szCs w:val="24"/>
        </w:rPr>
        <w:t xml:space="preserve"> </w:t>
      </w:r>
      <w:r w:rsidR="00747F09">
        <w:rPr>
          <w:rFonts w:ascii="Times New Roman" w:hAnsi="Times New Roman" w:cs="Times New Roman"/>
          <w:sz w:val="24"/>
          <w:szCs w:val="24"/>
        </w:rPr>
        <w:t>amends subparagraph 13(1)(b)(i) to remove</w:t>
      </w:r>
      <w:r>
        <w:rPr>
          <w:rFonts w:ascii="Times New Roman" w:hAnsi="Times New Roman" w:cs="Times New Roman"/>
          <w:sz w:val="24"/>
          <w:szCs w:val="24"/>
        </w:rPr>
        <w:t xml:space="preserve"> the existing reference to </w:t>
      </w:r>
      <w:r w:rsidR="00747F09">
        <w:rPr>
          <w:rFonts w:ascii="Times New Roman" w:hAnsi="Times New Roman" w:cs="Times New Roman"/>
          <w:sz w:val="24"/>
          <w:szCs w:val="24"/>
        </w:rPr>
        <w:t>sub</w:t>
      </w:r>
      <w:r w:rsidR="00E45928">
        <w:rPr>
          <w:rFonts w:ascii="Times New Roman" w:hAnsi="Times New Roman" w:cs="Times New Roman"/>
          <w:sz w:val="24"/>
          <w:szCs w:val="24"/>
        </w:rPr>
        <w:t>section </w:t>
      </w:r>
      <w:r>
        <w:rPr>
          <w:rFonts w:ascii="Times New Roman" w:hAnsi="Times New Roman" w:cs="Times New Roman"/>
          <w:sz w:val="24"/>
          <w:szCs w:val="24"/>
        </w:rPr>
        <w:t>11(2).</w:t>
      </w:r>
    </w:p>
    <w:p w14:paraId="40DEB7DD" w14:textId="77777777" w:rsidR="00AD65C2" w:rsidRDefault="00AD65C2" w:rsidP="00AD65C2">
      <w:pPr>
        <w:spacing w:after="0" w:line="240" w:lineRule="auto"/>
        <w:rPr>
          <w:rFonts w:ascii="Times New Roman" w:hAnsi="Times New Roman" w:cs="Times New Roman"/>
          <w:sz w:val="24"/>
          <w:szCs w:val="24"/>
        </w:rPr>
      </w:pPr>
    </w:p>
    <w:p w14:paraId="3B407A05" w14:textId="28007C57" w:rsidR="00AD65C2" w:rsidRDefault="00AD65C2" w:rsidP="00AD65C2">
      <w:pPr>
        <w:spacing w:after="0" w:line="240" w:lineRule="auto"/>
        <w:rPr>
          <w:rFonts w:ascii="Times New Roman" w:hAnsi="Times New Roman" w:cs="Times New Roman"/>
          <w:sz w:val="24"/>
          <w:szCs w:val="24"/>
        </w:rPr>
      </w:pPr>
      <w:r w:rsidRPr="00164593">
        <w:rPr>
          <w:rFonts w:ascii="Times New Roman" w:hAnsi="Times New Roman" w:cs="Times New Roman"/>
          <w:b/>
          <w:sz w:val="24"/>
          <w:szCs w:val="24"/>
        </w:rPr>
        <w:t>Item 1</w:t>
      </w:r>
      <w:r w:rsidR="00C000A4">
        <w:rPr>
          <w:rFonts w:ascii="Times New Roman" w:hAnsi="Times New Roman" w:cs="Times New Roman"/>
          <w:b/>
          <w:sz w:val="24"/>
          <w:szCs w:val="24"/>
        </w:rPr>
        <w:t>4</w:t>
      </w:r>
      <w:r>
        <w:rPr>
          <w:rFonts w:ascii="Times New Roman" w:hAnsi="Times New Roman" w:cs="Times New Roman"/>
          <w:sz w:val="24"/>
          <w:szCs w:val="24"/>
        </w:rPr>
        <w:t xml:space="preserve"> amends </w:t>
      </w:r>
      <w:r w:rsidR="00747F09">
        <w:rPr>
          <w:rFonts w:ascii="Times New Roman" w:hAnsi="Times New Roman" w:cs="Times New Roman"/>
          <w:sz w:val="24"/>
          <w:szCs w:val="24"/>
        </w:rPr>
        <w:t>paragraph</w:t>
      </w:r>
      <w:r>
        <w:rPr>
          <w:rFonts w:ascii="Times New Roman" w:hAnsi="Times New Roman" w:cs="Times New Roman"/>
          <w:sz w:val="24"/>
          <w:szCs w:val="24"/>
        </w:rPr>
        <w:t xml:space="preserve"> 13</w:t>
      </w:r>
      <w:r w:rsidR="00747F09">
        <w:rPr>
          <w:rFonts w:ascii="Times New Roman" w:hAnsi="Times New Roman" w:cs="Times New Roman"/>
          <w:sz w:val="24"/>
          <w:szCs w:val="24"/>
        </w:rPr>
        <w:t>(2)(a)</w:t>
      </w:r>
      <w:r>
        <w:rPr>
          <w:rFonts w:ascii="Times New Roman" w:hAnsi="Times New Roman" w:cs="Times New Roman"/>
          <w:sz w:val="24"/>
          <w:szCs w:val="24"/>
        </w:rPr>
        <w:t xml:space="preserve"> to clarify that when using the risk factors set out in that section, </w:t>
      </w:r>
      <w:r w:rsidR="008C541F">
        <w:rPr>
          <w:rFonts w:ascii="Times New Roman" w:hAnsi="Times New Roman" w:cs="Times New Roman"/>
          <w:sz w:val="24"/>
          <w:szCs w:val="24"/>
        </w:rPr>
        <w:t xml:space="preserve">the </w:t>
      </w:r>
      <w:r w:rsidR="00E32938">
        <w:rPr>
          <w:rFonts w:ascii="Times New Roman" w:hAnsi="Times New Roman" w:cs="Times New Roman"/>
          <w:sz w:val="24"/>
          <w:szCs w:val="24"/>
        </w:rPr>
        <w:t xml:space="preserve">risk </w:t>
      </w:r>
      <w:r w:rsidR="008C541F">
        <w:rPr>
          <w:rFonts w:ascii="Times New Roman" w:hAnsi="Times New Roman" w:cs="Times New Roman"/>
          <w:sz w:val="24"/>
          <w:szCs w:val="24"/>
        </w:rPr>
        <w:t xml:space="preserve">identification and assessment process is subject to the standard set out in the new subsection 13(2A). </w:t>
      </w:r>
      <w:r w:rsidR="005E4F1D">
        <w:rPr>
          <w:rFonts w:ascii="Times New Roman" w:hAnsi="Times New Roman" w:cs="Times New Roman"/>
          <w:sz w:val="24"/>
          <w:szCs w:val="24"/>
        </w:rPr>
        <w:t>An importer who contravenes subsection 13(2) is liable to a civil penalty of 100 penalty units.</w:t>
      </w:r>
    </w:p>
    <w:p w14:paraId="3395D866" w14:textId="77777777" w:rsidR="00AD65C2" w:rsidRDefault="00AD65C2" w:rsidP="00AD65C2">
      <w:pPr>
        <w:spacing w:after="0" w:line="240" w:lineRule="auto"/>
        <w:rPr>
          <w:rFonts w:ascii="Times New Roman" w:hAnsi="Times New Roman" w:cs="Times New Roman"/>
          <w:sz w:val="24"/>
          <w:szCs w:val="24"/>
        </w:rPr>
      </w:pPr>
    </w:p>
    <w:p w14:paraId="6E3A1D2A" w14:textId="4FB985F5" w:rsidR="00C000A4" w:rsidRDefault="00C000A4" w:rsidP="00AD65C2">
      <w:pPr>
        <w:spacing w:after="0" w:line="240" w:lineRule="auto"/>
        <w:rPr>
          <w:rFonts w:ascii="Times New Roman" w:hAnsi="Times New Roman" w:cs="Times New Roman"/>
          <w:sz w:val="24"/>
          <w:szCs w:val="24"/>
        </w:rPr>
      </w:pPr>
      <w:r>
        <w:rPr>
          <w:rFonts w:ascii="Times New Roman" w:hAnsi="Times New Roman" w:cs="Times New Roman"/>
          <w:sz w:val="24"/>
          <w:szCs w:val="24"/>
        </w:rPr>
        <w:t>Item 15</w:t>
      </w:r>
      <w:r w:rsidR="00A52544">
        <w:rPr>
          <w:rFonts w:ascii="Times New Roman" w:hAnsi="Times New Roman" w:cs="Times New Roman"/>
          <w:sz w:val="24"/>
          <w:szCs w:val="24"/>
        </w:rPr>
        <w:t xml:space="preserve"> insert</w:t>
      </w:r>
      <w:r w:rsidR="008C541F">
        <w:rPr>
          <w:rFonts w:ascii="Times New Roman" w:hAnsi="Times New Roman" w:cs="Times New Roman"/>
          <w:sz w:val="24"/>
          <w:szCs w:val="24"/>
        </w:rPr>
        <w:t>s</w:t>
      </w:r>
      <w:r w:rsidR="00A52544">
        <w:rPr>
          <w:rFonts w:ascii="Times New Roman" w:hAnsi="Times New Roman" w:cs="Times New Roman"/>
          <w:sz w:val="24"/>
          <w:szCs w:val="24"/>
        </w:rPr>
        <w:t xml:space="preserve"> a new subsection 13(2A) that establishes the standard by which the risk identification and assessment process set out in paragraph 13(2)(a) </w:t>
      </w:r>
      <w:r w:rsidR="008C541F">
        <w:rPr>
          <w:rFonts w:ascii="Times New Roman" w:hAnsi="Times New Roman" w:cs="Times New Roman"/>
          <w:sz w:val="24"/>
          <w:szCs w:val="24"/>
        </w:rPr>
        <w:t>is</w:t>
      </w:r>
      <w:r w:rsidR="00A52544">
        <w:rPr>
          <w:rFonts w:ascii="Times New Roman" w:hAnsi="Times New Roman" w:cs="Times New Roman"/>
          <w:sz w:val="24"/>
          <w:szCs w:val="24"/>
        </w:rPr>
        <w:t xml:space="preserve"> measured. This </w:t>
      </w:r>
      <w:r w:rsidR="008C541F">
        <w:rPr>
          <w:rFonts w:ascii="Times New Roman" w:hAnsi="Times New Roman" w:cs="Times New Roman"/>
          <w:sz w:val="24"/>
          <w:szCs w:val="24"/>
        </w:rPr>
        <w:t>clarifies</w:t>
      </w:r>
      <w:r w:rsidR="00A52544">
        <w:rPr>
          <w:rFonts w:ascii="Times New Roman" w:hAnsi="Times New Roman" w:cs="Times New Roman"/>
          <w:sz w:val="24"/>
          <w:szCs w:val="24"/>
        </w:rPr>
        <w:t xml:space="preserve"> that the outcomes from this process must be reasonable.</w:t>
      </w:r>
    </w:p>
    <w:p w14:paraId="467DB630" w14:textId="77777777" w:rsidR="00C000A4" w:rsidRDefault="00C000A4" w:rsidP="00AD65C2">
      <w:pPr>
        <w:spacing w:after="0" w:line="240" w:lineRule="auto"/>
        <w:rPr>
          <w:rFonts w:ascii="Times New Roman" w:hAnsi="Times New Roman" w:cs="Times New Roman"/>
          <w:sz w:val="24"/>
          <w:szCs w:val="24"/>
        </w:rPr>
      </w:pPr>
    </w:p>
    <w:p w14:paraId="169B9EF1" w14:textId="1159F25E" w:rsidR="00AD65C2" w:rsidRDefault="00AD65C2" w:rsidP="00AD65C2">
      <w:pPr>
        <w:spacing w:after="0" w:line="240" w:lineRule="auto"/>
        <w:rPr>
          <w:rFonts w:ascii="Times New Roman" w:hAnsi="Times New Roman" w:cs="Times New Roman"/>
          <w:sz w:val="24"/>
          <w:szCs w:val="24"/>
        </w:rPr>
      </w:pPr>
      <w:r w:rsidRPr="00164593">
        <w:rPr>
          <w:rFonts w:ascii="Times New Roman" w:hAnsi="Times New Roman" w:cs="Times New Roman"/>
          <w:b/>
          <w:sz w:val="24"/>
          <w:szCs w:val="24"/>
        </w:rPr>
        <w:t>Item 1</w:t>
      </w:r>
      <w:r w:rsidR="00C000A4">
        <w:rPr>
          <w:rFonts w:ascii="Times New Roman" w:hAnsi="Times New Roman" w:cs="Times New Roman"/>
          <w:b/>
          <w:sz w:val="24"/>
          <w:szCs w:val="24"/>
        </w:rPr>
        <w:t>6</w:t>
      </w:r>
      <w:r>
        <w:rPr>
          <w:rFonts w:ascii="Times New Roman" w:hAnsi="Times New Roman" w:cs="Times New Roman"/>
          <w:sz w:val="24"/>
          <w:szCs w:val="24"/>
        </w:rPr>
        <w:t xml:space="preserve"> </w:t>
      </w:r>
      <w:r w:rsidR="006A16C2">
        <w:rPr>
          <w:rFonts w:ascii="Times New Roman" w:hAnsi="Times New Roman" w:cs="Times New Roman"/>
          <w:sz w:val="24"/>
          <w:szCs w:val="24"/>
        </w:rPr>
        <w:t>amends paragraph 14(3)(b) to remove</w:t>
      </w:r>
      <w:r>
        <w:rPr>
          <w:rFonts w:ascii="Times New Roman" w:hAnsi="Times New Roman" w:cs="Times New Roman"/>
          <w:sz w:val="24"/>
          <w:szCs w:val="24"/>
        </w:rPr>
        <w:t xml:space="preserve"> the existing reference to </w:t>
      </w:r>
      <w:r w:rsidR="00747F09">
        <w:rPr>
          <w:rFonts w:ascii="Times New Roman" w:hAnsi="Times New Roman" w:cs="Times New Roman"/>
          <w:sz w:val="24"/>
          <w:szCs w:val="24"/>
        </w:rPr>
        <w:t>sub</w:t>
      </w:r>
      <w:r>
        <w:rPr>
          <w:rFonts w:ascii="Times New Roman" w:hAnsi="Times New Roman" w:cs="Times New Roman"/>
          <w:sz w:val="24"/>
          <w:szCs w:val="24"/>
        </w:rPr>
        <w:t>section 11(2).</w:t>
      </w:r>
    </w:p>
    <w:p w14:paraId="6B2D4DE1" w14:textId="77777777" w:rsidR="00AD65C2" w:rsidRDefault="00AD65C2" w:rsidP="00AD65C2">
      <w:pPr>
        <w:spacing w:after="0" w:line="240" w:lineRule="auto"/>
        <w:rPr>
          <w:rFonts w:ascii="Times New Roman" w:hAnsi="Times New Roman" w:cs="Times New Roman"/>
          <w:sz w:val="24"/>
          <w:szCs w:val="24"/>
        </w:rPr>
      </w:pPr>
    </w:p>
    <w:p w14:paraId="441191C5" w14:textId="42B3AF21" w:rsidR="00AD65C2" w:rsidRDefault="00AD65C2" w:rsidP="00AD65C2">
      <w:pPr>
        <w:spacing w:after="0" w:line="240" w:lineRule="auto"/>
        <w:rPr>
          <w:rFonts w:ascii="Times New Roman" w:hAnsi="Times New Roman" w:cs="Times New Roman"/>
          <w:sz w:val="24"/>
          <w:szCs w:val="24"/>
        </w:rPr>
      </w:pPr>
      <w:r w:rsidRPr="00164593">
        <w:rPr>
          <w:rFonts w:ascii="Times New Roman" w:hAnsi="Times New Roman" w:cs="Times New Roman"/>
          <w:b/>
          <w:sz w:val="24"/>
          <w:szCs w:val="24"/>
        </w:rPr>
        <w:t>Item 1</w:t>
      </w:r>
      <w:r w:rsidR="00C000A4">
        <w:rPr>
          <w:rFonts w:ascii="Times New Roman" w:hAnsi="Times New Roman" w:cs="Times New Roman"/>
          <w:b/>
          <w:sz w:val="24"/>
          <w:szCs w:val="24"/>
        </w:rPr>
        <w:t>7</w:t>
      </w:r>
      <w:r>
        <w:rPr>
          <w:rFonts w:ascii="Times New Roman" w:hAnsi="Times New Roman" w:cs="Times New Roman"/>
          <w:sz w:val="24"/>
          <w:szCs w:val="24"/>
        </w:rPr>
        <w:t xml:space="preserve"> inserts a new requirement in </w:t>
      </w:r>
      <w:r w:rsidR="00747F09">
        <w:rPr>
          <w:rFonts w:ascii="Times New Roman" w:hAnsi="Times New Roman" w:cs="Times New Roman"/>
          <w:sz w:val="24"/>
          <w:szCs w:val="24"/>
        </w:rPr>
        <w:t>sub</w:t>
      </w:r>
      <w:r>
        <w:rPr>
          <w:rFonts w:ascii="Times New Roman" w:hAnsi="Times New Roman" w:cs="Times New Roman"/>
          <w:sz w:val="24"/>
          <w:szCs w:val="24"/>
        </w:rPr>
        <w:t>section 16(1) that requires an importer to keep a record of the procedures carried out in relation to the use of a TLF for a period of 5 years.</w:t>
      </w:r>
      <w:r w:rsidR="005E4F1D">
        <w:rPr>
          <w:rFonts w:ascii="Times New Roman" w:hAnsi="Times New Roman" w:cs="Times New Roman"/>
          <w:sz w:val="24"/>
          <w:szCs w:val="24"/>
        </w:rPr>
        <w:t xml:space="preserve"> An importer who contravenes subsection 16(1) is liable to a civil penalty of 100 penalty units.</w:t>
      </w:r>
    </w:p>
    <w:p w14:paraId="71121518" w14:textId="77777777" w:rsidR="00AD65C2" w:rsidRDefault="00AD65C2" w:rsidP="00AD65C2">
      <w:pPr>
        <w:spacing w:after="0" w:line="240" w:lineRule="auto"/>
        <w:rPr>
          <w:rFonts w:ascii="Times New Roman" w:hAnsi="Times New Roman" w:cs="Times New Roman"/>
          <w:sz w:val="24"/>
          <w:szCs w:val="24"/>
        </w:rPr>
      </w:pPr>
    </w:p>
    <w:p w14:paraId="6D4BCAC6" w14:textId="24C75831" w:rsidR="005E4F1D" w:rsidRPr="005E4F1D" w:rsidRDefault="005E4F1D" w:rsidP="00AD65C2">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Items 1</w:t>
      </w:r>
      <w:r w:rsidR="00C000A4">
        <w:rPr>
          <w:rFonts w:ascii="Times New Roman" w:hAnsi="Times New Roman" w:cs="Times New Roman"/>
          <w:b/>
          <w:sz w:val="24"/>
          <w:szCs w:val="24"/>
        </w:rPr>
        <w:t>8</w:t>
      </w:r>
      <w:r>
        <w:rPr>
          <w:rFonts w:ascii="Times New Roman" w:hAnsi="Times New Roman" w:cs="Times New Roman"/>
          <w:b/>
          <w:sz w:val="24"/>
          <w:szCs w:val="24"/>
        </w:rPr>
        <w:t xml:space="preserve"> </w:t>
      </w:r>
      <w:r>
        <w:rPr>
          <w:rFonts w:ascii="Times New Roman" w:hAnsi="Times New Roman" w:cs="Times New Roman"/>
          <w:sz w:val="24"/>
          <w:szCs w:val="24"/>
        </w:rPr>
        <w:t>removes any references to TLFs in table item 3 in subsection 16(1). These references are superseded by the new requirement established in Item 1</w:t>
      </w:r>
      <w:r w:rsidR="000B5563">
        <w:rPr>
          <w:rFonts w:ascii="Times New Roman" w:hAnsi="Times New Roman" w:cs="Times New Roman"/>
          <w:sz w:val="24"/>
          <w:szCs w:val="24"/>
        </w:rPr>
        <w:t>7</w:t>
      </w:r>
      <w:r>
        <w:rPr>
          <w:rFonts w:ascii="Times New Roman" w:hAnsi="Times New Roman" w:cs="Times New Roman"/>
          <w:sz w:val="24"/>
          <w:szCs w:val="24"/>
        </w:rPr>
        <w:t>.</w:t>
      </w:r>
    </w:p>
    <w:p w14:paraId="468DA4D4" w14:textId="77777777" w:rsidR="005E4F1D" w:rsidRDefault="005E4F1D" w:rsidP="00AD65C2">
      <w:pPr>
        <w:spacing w:after="0" w:line="240" w:lineRule="auto"/>
        <w:rPr>
          <w:rFonts w:ascii="Times New Roman" w:hAnsi="Times New Roman" w:cs="Times New Roman"/>
          <w:b/>
          <w:sz w:val="24"/>
          <w:szCs w:val="24"/>
        </w:rPr>
      </w:pPr>
    </w:p>
    <w:p w14:paraId="5DC03473" w14:textId="2E22202C" w:rsidR="00AD65C2" w:rsidRPr="009E5D9B" w:rsidRDefault="005E4F1D" w:rsidP="00AD65C2">
      <w:pPr>
        <w:spacing w:after="0" w:line="240" w:lineRule="auto"/>
        <w:rPr>
          <w:rFonts w:ascii="Times New Roman" w:eastAsia="Times New Roman" w:hAnsi="Times New Roman" w:cs="Times New Roman"/>
          <w:iCs/>
          <w:sz w:val="24"/>
          <w:szCs w:val="24"/>
        </w:rPr>
      </w:pPr>
      <w:r>
        <w:rPr>
          <w:rFonts w:ascii="Times New Roman" w:hAnsi="Times New Roman" w:cs="Times New Roman"/>
          <w:b/>
          <w:sz w:val="24"/>
          <w:szCs w:val="24"/>
        </w:rPr>
        <w:t xml:space="preserve">Item </w:t>
      </w:r>
      <w:r w:rsidR="00AD65C2" w:rsidRPr="00A24DBB">
        <w:rPr>
          <w:rFonts w:ascii="Times New Roman" w:hAnsi="Times New Roman" w:cs="Times New Roman"/>
          <w:b/>
          <w:sz w:val="24"/>
          <w:szCs w:val="24"/>
        </w:rPr>
        <w:t>1</w:t>
      </w:r>
      <w:r w:rsidR="00C000A4">
        <w:rPr>
          <w:rFonts w:ascii="Times New Roman" w:hAnsi="Times New Roman" w:cs="Times New Roman"/>
          <w:b/>
          <w:sz w:val="24"/>
          <w:szCs w:val="24"/>
        </w:rPr>
        <w:t>9</w:t>
      </w:r>
      <w:r w:rsidR="00AD65C2">
        <w:rPr>
          <w:rFonts w:ascii="Times New Roman" w:hAnsi="Times New Roman" w:cs="Times New Roman"/>
          <w:sz w:val="24"/>
          <w:szCs w:val="24"/>
        </w:rPr>
        <w:t xml:space="preserve"> </w:t>
      </w:r>
      <w:r w:rsidR="009927A1">
        <w:rPr>
          <w:rFonts w:ascii="Times New Roman" w:hAnsi="Times New Roman" w:cs="Times New Roman"/>
          <w:sz w:val="24"/>
          <w:szCs w:val="24"/>
        </w:rPr>
        <w:t>amends table item 3 in subsection 16(1) to re</w:t>
      </w:r>
      <w:r w:rsidR="00E45928">
        <w:rPr>
          <w:rFonts w:ascii="Times New Roman" w:hAnsi="Times New Roman" w:cs="Times New Roman"/>
          <w:sz w:val="24"/>
          <w:szCs w:val="24"/>
        </w:rPr>
        <w:t>move the reference to paragraph </w:t>
      </w:r>
      <w:r w:rsidR="009927A1">
        <w:rPr>
          <w:rFonts w:ascii="Times New Roman" w:hAnsi="Times New Roman" w:cs="Times New Roman"/>
          <w:sz w:val="24"/>
          <w:szCs w:val="24"/>
        </w:rPr>
        <w:t>11(2)(d).</w:t>
      </w:r>
    </w:p>
    <w:p w14:paraId="31A90E00" w14:textId="77777777" w:rsidR="00AD65C2" w:rsidRDefault="00AD65C2" w:rsidP="00AD65C2">
      <w:pPr>
        <w:spacing w:after="0" w:line="240" w:lineRule="auto"/>
        <w:rPr>
          <w:rFonts w:ascii="Times New Roman" w:eastAsia="Times New Roman" w:hAnsi="Times New Roman" w:cs="Times New Roman"/>
          <w:iCs/>
          <w:sz w:val="24"/>
          <w:szCs w:val="24"/>
        </w:rPr>
      </w:pPr>
    </w:p>
    <w:p w14:paraId="3D8AD0E5" w14:textId="6E38FFD7" w:rsidR="00AD65C2" w:rsidRDefault="00AD65C2" w:rsidP="00AD65C2">
      <w:pPr>
        <w:spacing w:after="0" w:line="240" w:lineRule="auto"/>
        <w:rPr>
          <w:rFonts w:ascii="Times New Roman" w:hAnsi="Times New Roman" w:cs="Times New Roman"/>
          <w:sz w:val="24"/>
          <w:szCs w:val="24"/>
        </w:rPr>
      </w:pPr>
      <w:r w:rsidRPr="00A24DBB">
        <w:rPr>
          <w:rFonts w:ascii="Times New Roman" w:eastAsia="Times New Roman" w:hAnsi="Times New Roman" w:cs="Times New Roman"/>
          <w:b/>
          <w:iCs/>
          <w:sz w:val="24"/>
          <w:szCs w:val="24"/>
        </w:rPr>
        <w:t xml:space="preserve">Item </w:t>
      </w:r>
      <w:r w:rsidR="00C000A4">
        <w:rPr>
          <w:rFonts w:ascii="Times New Roman" w:eastAsia="Times New Roman" w:hAnsi="Times New Roman" w:cs="Times New Roman"/>
          <w:b/>
          <w:iCs/>
          <w:sz w:val="24"/>
          <w:szCs w:val="24"/>
        </w:rPr>
        <w:t>20</w:t>
      </w:r>
      <w:r w:rsidR="00747F09">
        <w:rPr>
          <w:rFonts w:ascii="Times New Roman" w:eastAsia="Times New Roman" w:hAnsi="Times New Roman" w:cs="Times New Roman"/>
          <w:iCs/>
          <w:sz w:val="24"/>
          <w:szCs w:val="24"/>
        </w:rPr>
        <w:t xml:space="preserve"> </w:t>
      </w:r>
      <w:r w:rsidR="009927A1">
        <w:rPr>
          <w:rFonts w:ascii="Times New Roman" w:eastAsia="Times New Roman" w:hAnsi="Times New Roman" w:cs="Times New Roman"/>
          <w:iCs/>
          <w:sz w:val="24"/>
          <w:szCs w:val="24"/>
        </w:rPr>
        <w:t xml:space="preserve">repeals paragraphs 18(2)(c) and (d) and substitutes those paragraphs with a new paragraph 18(2)(c). The new paragraph 18(2)(c) </w:t>
      </w:r>
      <w:r>
        <w:rPr>
          <w:rFonts w:ascii="Times New Roman" w:eastAsia="Times New Roman" w:hAnsi="Times New Roman" w:cs="Times New Roman"/>
          <w:iCs/>
          <w:sz w:val="24"/>
          <w:szCs w:val="24"/>
        </w:rPr>
        <w:t>prescribe</w:t>
      </w:r>
      <w:r w:rsidR="009927A1">
        <w:rPr>
          <w:rFonts w:ascii="Times New Roman" w:eastAsia="Times New Roman" w:hAnsi="Times New Roman" w:cs="Times New Roman"/>
          <w:iCs/>
          <w:sz w:val="24"/>
          <w:szCs w:val="24"/>
        </w:rPr>
        <w:t>s</w:t>
      </w:r>
      <w:r>
        <w:rPr>
          <w:rFonts w:ascii="Times New Roman" w:eastAsia="Times New Roman" w:hAnsi="Times New Roman" w:cs="Times New Roman"/>
          <w:iCs/>
          <w:sz w:val="24"/>
          <w:szCs w:val="24"/>
        </w:rPr>
        <w:t xml:space="preserve"> the information that needs to be included in a domestic processor’s due diligence system. </w:t>
      </w:r>
      <w:r>
        <w:rPr>
          <w:rFonts w:ascii="Times New Roman" w:hAnsi="Times New Roman" w:cs="Times New Roman"/>
          <w:sz w:val="24"/>
          <w:szCs w:val="24"/>
        </w:rPr>
        <w:t>This clarifies</w:t>
      </w:r>
      <w:r w:rsidR="00D30B5C">
        <w:rPr>
          <w:rFonts w:ascii="Times New Roman" w:hAnsi="Times New Roman" w:cs="Times New Roman"/>
          <w:sz w:val="24"/>
          <w:szCs w:val="24"/>
        </w:rPr>
        <w:t xml:space="preserve"> </w:t>
      </w:r>
      <w:r>
        <w:rPr>
          <w:rFonts w:ascii="Times New Roman" w:hAnsi="Times New Roman" w:cs="Times New Roman"/>
          <w:sz w:val="24"/>
          <w:szCs w:val="24"/>
        </w:rPr>
        <w:t>the processor only needs to include certain business information</w:t>
      </w:r>
      <w:r w:rsidRPr="00D738E4">
        <w:rPr>
          <w:rFonts w:ascii="Times New Roman" w:hAnsi="Times New Roman" w:cs="Times New Roman"/>
          <w:sz w:val="24"/>
          <w:szCs w:val="24"/>
        </w:rPr>
        <w:t xml:space="preserve"> </w:t>
      </w:r>
      <w:r>
        <w:rPr>
          <w:rFonts w:ascii="Times New Roman" w:hAnsi="Times New Roman" w:cs="Times New Roman"/>
          <w:sz w:val="24"/>
          <w:szCs w:val="24"/>
        </w:rPr>
        <w:t>in their due diligence system, such as an Australian Business Number (ABN) or Austral</w:t>
      </w:r>
      <w:r w:rsidR="00D30B5C">
        <w:rPr>
          <w:rFonts w:ascii="Times New Roman" w:hAnsi="Times New Roman" w:cs="Times New Roman"/>
          <w:sz w:val="24"/>
          <w:szCs w:val="24"/>
        </w:rPr>
        <w:t xml:space="preserve">ian Company Number (ACN); a </w:t>
      </w:r>
      <w:r>
        <w:rPr>
          <w:rFonts w:ascii="Times New Roman" w:hAnsi="Times New Roman" w:cs="Times New Roman"/>
          <w:sz w:val="24"/>
          <w:szCs w:val="24"/>
        </w:rPr>
        <w:t xml:space="preserve">business activity statement; or relevant position details, </w:t>
      </w:r>
      <w:r w:rsidR="009927A1">
        <w:rPr>
          <w:rFonts w:ascii="Times New Roman" w:hAnsi="Times New Roman" w:cs="Times New Roman"/>
          <w:sz w:val="24"/>
          <w:szCs w:val="24"/>
        </w:rPr>
        <w:t>if the raw logs are processed in connection with a business carried</w:t>
      </w:r>
      <w:r w:rsidR="0068653B">
        <w:rPr>
          <w:rFonts w:ascii="Times New Roman" w:hAnsi="Times New Roman" w:cs="Times New Roman"/>
          <w:sz w:val="24"/>
          <w:szCs w:val="24"/>
        </w:rPr>
        <w:t xml:space="preserve"> on by the processor. A processor who contravenes subsection 18(1) is liable to a civil penalty of 100 penalty units.</w:t>
      </w:r>
    </w:p>
    <w:p w14:paraId="117CB231" w14:textId="77777777" w:rsidR="00AD65C2" w:rsidRDefault="00AD65C2" w:rsidP="00AD65C2">
      <w:pPr>
        <w:spacing w:after="0" w:line="240" w:lineRule="auto"/>
        <w:rPr>
          <w:rFonts w:ascii="Times New Roman" w:hAnsi="Times New Roman" w:cs="Times New Roman"/>
          <w:sz w:val="24"/>
          <w:szCs w:val="24"/>
        </w:rPr>
      </w:pPr>
    </w:p>
    <w:p w14:paraId="77CCC2D6" w14:textId="1BBBD35E" w:rsidR="00AD65C2" w:rsidRPr="000B0770" w:rsidRDefault="00AD65C2" w:rsidP="00AD65C2">
      <w:pPr>
        <w:spacing w:after="0" w:line="240" w:lineRule="auto"/>
        <w:rPr>
          <w:rFonts w:ascii="Times New Roman" w:eastAsia="Times New Roman" w:hAnsi="Times New Roman" w:cs="Times New Roman"/>
          <w:iCs/>
          <w:sz w:val="24"/>
          <w:szCs w:val="24"/>
        </w:rPr>
      </w:pPr>
      <w:r w:rsidRPr="00A24DBB">
        <w:rPr>
          <w:rFonts w:ascii="Times New Roman" w:eastAsia="Times New Roman" w:hAnsi="Times New Roman" w:cs="Times New Roman"/>
          <w:b/>
          <w:iCs/>
          <w:sz w:val="24"/>
          <w:szCs w:val="24"/>
        </w:rPr>
        <w:t xml:space="preserve">Item </w:t>
      </w:r>
      <w:r w:rsidR="00C000A4">
        <w:rPr>
          <w:rFonts w:ascii="Times New Roman" w:eastAsia="Times New Roman" w:hAnsi="Times New Roman" w:cs="Times New Roman"/>
          <w:b/>
          <w:iCs/>
          <w:sz w:val="24"/>
          <w:szCs w:val="24"/>
        </w:rPr>
        <w:t>21</w:t>
      </w:r>
      <w:r>
        <w:rPr>
          <w:rFonts w:ascii="Times New Roman" w:eastAsia="Times New Roman" w:hAnsi="Times New Roman" w:cs="Times New Roman"/>
          <w:iCs/>
          <w:sz w:val="24"/>
          <w:szCs w:val="24"/>
        </w:rPr>
        <w:t xml:space="preserve"> inserts a new section 18A that </w:t>
      </w:r>
      <w:r>
        <w:rPr>
          <w:rFonts w:ascii="Times New Roman" w:hAnsi="Times New Roman" w:cs="Times New Roman"/>
          <w:sz w:val="24"/>
          <w:szCs w:val="24"/>
        </w:rPr>
        <w:t>establishes a ‘deemed to comply’ arrangement for domestically grown raw logs that are</w:t>
      </w:r>
      <w:r w:rsidRPr="00D5594B">
        <w:rPr>
          <w:rFonts w:ascii="Times New Roman" w:hAnsi="Times New Roman" w:cs="Times New Roman"/>
          <w:sz w:val="24"/>
          <w:szCs w:val="24"/>
        </w:rPr>
        <w:t xml:space="preserve"> certified </w:t>
      </w:r>
      <w:r>
        <w:rPr>
          <w:rFonts w:ascii="Times New Roman" w:hAnsi="Times New Roman" w:cs="Times New Roman"/>
          <w:sz w:val="24"/>
          <w:szCs w:val="24"/>
        </w:rPr>
        <w:t>or licensed under a TLF.</w:t>
      </w:r>
    </w:p>
    <w:p w14:paraId="055B7F10" w14:textId="77777777" w:rsidR="00AD65C2" w:rsidRDefault="00AD65C2" w:rsidP="00AD65C2">
      <w:pPr>
        <w:spacing w:after="0" w:line="240" w:lineRule="auto"/>
        <w:rPr>
          <w:rFonts w:ascii="Times New Roman" w:hAnsi="Times New Roman" w:cs="Times New Roman"/>
          <w:sz w:val="24"/>
          <w:szCs w:val="24"/>
        </w:rPr>
      </w:pPr>
    </w:p>
    <w:p w14:paraId="22262AE8" w14:textId="333B4DD3" w:rsidR="00AD65C2" w:rsidRDefault="00AD65C2" w:rsidP="00AD65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new section 18A </w:t>
      </w:r>
      <w:r w:rsidR="0068653B">
        <w:rPr>
          <w:rFonts w:ascii="Times New Roman" w:hAnsi="Times New Roman" w:cs="Times New Roman"/>
          <w:sz w:val="24"/>
          <w:szCs w:val="24"/>
        </w:rPr>
        <w:t>lists</w:t>
      </w:r>
      <w:r>
        <w:rPr>
          <w:rFonts w:ascii="Times New Roman" w:hAnsi="Times New Roman" w:cs="Times New Roman"/>
          <w:sz w:val="24"/>
          <w:szCs w:val="24"/>
        </w:rPr>
        <w:t xml:space="preserve"> the specific steps that a domestic processor needs to undertake to verify thei</w:t>
      </w:r>
      <w:r w:rsidR="0068653B">
        <w:rPr>
          <w:rFonts w:ascii="Times New Roman" w:hAnsi="Times New Roman" w:cs="Times New Roman"/>
          <w:sz w:val="24"/>
          <w:szCs w:val="24"/>
        </w:rPr>
        <w:t>r products are covered by a TLF and</w:t>
      </w:r>
      <w:r>
        <w:rPr>
          <w:rFonts w:ascii="Times New Roman" w:hAnsi="Times New Roman" w:cs="Times New Roman"/>
          <w:sz w:val="24"/>
          <w:szCs w:val="24"/>
        </w:rPr>
        <w:t xml:space="preserve"> the records that need to</w:t>
      </w:r>
      <w:r w:rsidR="0068653B">
        <w:rPr>
          <w:rFonts w:ascii="Times New Roman" w:hAnsi="Times New Roman" w:cs="Times New Roman"/>
          <w:sz w:val="24"/>
          <w:szCs w:val="24"/>
        </w:rPr>
        <w:t xml:space="preserve"> be maintained by the processor. Section 18A is subject to a civil penalty of 100 penalty units.</w:t>
      </w:r>
    </w:p>
    <w:p w14:paraId="0BDB8A02" w14:textId="77777777" w:rsidR="00AD65C2" w:rsidRDefault="00AD65C2" w:rsidP="00AD65C2">
      <w:pPr>
        <w:spacing w:after="0" w:line="240" w:lineRule="auto"/>
        <w:rPr>
          <w:rFonts w:ascii="Times New Roman" w:eastAsia="Times New Roman" w:hAnsi="Times New Roman" w:cs="Times New Roman"/>
          <w:iCs/>
          <w:sz w:val="24"/>
          <w:szCs w:val="24"/>
        </w:rPr>
      </w:pPr>
    </w:p>
    <w:p w14:paraId="004A1F82" w14:textId="0FA88528" w:rsidR="00AD65C2" w:rsidRDefault="00AD65C2" w:rsidP="00AD65C2">
      <w:pPr>
        <w:spacing w:after="0" w:line="240" w:lineRule="auto"/>
        <w:rPr>
          <w:rFonts w:ascii="Times New Roman" w:eastAsia="Times New Roman" w:hAnsi="Times New Roman" w:cs="Times New Roman"/>
          <w:iCs/>
          <w:sz w:val="24"/>
          <w:szCs w:val="24"/>
        </w:rPr>
      </w:pPr>
      <w:r w:rsidRPr="008B51B1">
        <w:rPr>
          <w:rFonts w:ascii="Times New Roman" w:eastAsia="Times New Roman" w:hAnsi="Times New Roman" w:cs="Times New Roman"/>
          <w:b/>
          <w:iCs/>
          <w:sz w:val="24"/>
          <w:szCs w:val="24"/>
        </w:rPr>
        <w:t>Item 2</w:t>
      </w:r>
      <w:r w:rsidR="00C000A4">
        <w:rPr>
          <w:rFonts w:ascii="Times New Roman" w:eastAsia="Times New Roman" w:hAnsi="Times New Roman" w:cs="Times New Roman"/>
          <w:b/>
          <w:iCs/>
          <w:sz w:val="24"/>
          <w:szCs w:val="24"/>
        </w:rPr>
        <w:t>2</w:t>
      </w:r>
      <w:r>
        <w:rPr>
          <w:rFonts w:ascii="Times New Roman" w:eastAsia="Times New Roman" w:hAnsi="Times New Roman" w:cs="Times New Roman"/>
          <w:iCs/>
          <w:sz w:val="24"/>
          <w:szCs w:val="24"/>
        </w:rPr>
        <w:t xml:space="preserve"> </w:t>
      </w:r>
      <w:r w:rsidR="0068653B">
        <w:rPr>
          <w:rFonts w:ascii="Times New Roman" w:eastAsia="Times New Roman" w:hAnsi="Times New Roman" w:cs="Times New Roman"/>
          <w:iCs/>
          <w:sz w:val="24"/>
          <w:szCs w:val="24"/>
        </w:rPr>
        <w:t xml:space="preserve">inserts a new subsection 19(1A) to make it clear that the requirements </w:t>
      </w:r>
      <w:r w:rsidR="00747F09">
        <w:rPr>
          <w:rFonts w:ascii="Times New Roman" w:eastAsia="Times New Roman" w:hAnsi="Times New Roman" w:cs="Times New Roman"/>
          <w:iCs/>
          <w:sz w:val="24"/>
          <w:szCs w:val="24"/>
        </w:rPr>
        <w:t>in s</w:t>
      </w:r>
      <w:r>
        <w:rPr>
          <w:rFonts w:ascii="Times New Roman" w:eastAsia="Times New Roman" w:hAnsi="Times New Roman" w:cs="Times New Roman"/>
          <w:iCs/>
          <w:sz w:val="24"/>
          <w:szCs w:val="24"/>
        </w:rPr>
        <w:t xml:space="preserve">ection 19 do not apply to parties who elect to use the new deemed to </w:t>
      </w:r>
      <w:r w:rsidR="00645875">
        <w:rPr>
          <w:rFonts w:ascii="Times New Roman" w:eastAsia="Times New Roman" w:hAnsi="Times New Roman" w:cs="Times New Roman"/>
          <w:iCs/>
          <w:sz w:val="24"/>
          <w:szCs w:val="24"/>
        </w:rPr>
        <w:t>comply arrangement</w:t>
      </w:r>
      <w:r w:rsidR="00747F09">
        <w:rPr>
          <w:rFonts w:ascii="Times New Roman" w:eastAsia="Times New Roman" w:hAnsi="Times New Roman" w:cs="Times New Roman"/>
          <w:iCs/>
          <w:sz w:val="24"/>
          <w:szCs w:val="24"/>
        </w:rPr>
        <w:t xml:space="preserve"> </w:t>
      </w:r>
      <w:r w:rsidR="006A16C2">
        <w:rPr>
          <w:rFonts w:ascii="Times New Roman" w:eastAsia="Times New Roman" w:hAnsi="Times New Roman" w:cs="Times New Roman"/>
          <w:iCs/>
          <w:sz w:val="24"/>
          <w:szCs w:val="24"/>
        </w:rPr>
        <w:t xml:space="preserve">for TLFs </w:t>
      </w:r>
      <w:r w:rsidR="00747F09">
        <w:rPr>
          <w:rFonts w:ascii="Times New Roman" w:eastAsia="Times New Roman" w:hAnsi="Times New Roman" w:cs="Times New Roman"/>
          <w:iCs/>
          <w:sz w:val="24"/>
          <w:szCs w:val="24"/>
        </w:rPr>
        <w:t>set out in s</w:t>
      </w:r>
      <w:r>
        <w:rPr>
          <w:rFonts w:ascii="Times New Roman" w:eastAsia="Times New Roman" w:hAnsi="Times New Roman" w:cs="Times New Roman"/>
          <w:iCs/>
          <w:sz w:val="24"/>
          <w:szCs w:val="24"/>
        </w:rPr>
        <w:t>ection 18A.</w:t>
      </w:r>
    </w:p>
    <w:p w14:paraId="36A77B38" w14:textId="77777777" w:rsidR="00AD65C2" w:rsidRDefault="00AD65C2" w:rsidP="00AD65C2">
      <w:pPr>
        <w:spacing w:after="0" w:line="240" w:lineRule="auto"/>
        <w:rPr>
          <w:rFonts w:ascii="Times New Roman" w:eastAsia="Times New Roman" w:hAnsi="Times New Roman" w:cs="Times New Roman"/>
          <w:iCs/>
          <w:sz w:val="24"/>
          <w:szCs w:val="24"/>
        </w:rPr>
      </w:pPr>
    </w:p>
    <w:p w14:paraId="522EE7A4" w14:textId="0E8F07A0" w:rsidR="00AD65C2" w:rsidRDefault="00AD65C2" w:rsidP="00AD65C2">
      <w:pPr>
        <w:spacing w:after="0" w:line="240" w:lineRule="auto"/>
        <w:rPr>
          <w:rFonts w:ascii="Times New Roman" w:eastAsia="Times New Roman" w:hAnsi="Times New Roman" w:cs="Times New Roman"/>
          <w:iCs/>
          <w:sz w:val="24"/>
          <w:szCs w:val="24"/>
        </w:rPr>
      </w:pPr>
      <w:r w:rsidRPr="008B51B1">
        <w:rPr>
          <w:rFonts w:ascii="Times New Roman" w:eastAsia="Times New Roman" w:hAnsi="Times New Roman" w:cs="Times New Roman"/>
          <w:b/>
          <w:iCs/>
          <w:sz w:val="24"/>
          <w:szCs w:val="24"/>
        </w:rPr>
        <w:t>Item 2</w:t>
      </w:r>
      <w:r w:rsidR="00C000A4">
        <w:rPr>
          <w:rFonts w:ascii="Times New Roman" w:eastAsia="Times New Roman" w:hAnsi="Times New Roman" w:cs="Times New Roman"/>
          <w:b/>
          <w:iCs/>
          <w:sz w:val="24"/>
          <w:szCs w:val="24"/>
        </w:rPr>
        <w:t>3</w:t>
      </w:r>
      <w:r>
        <w:rPr>
          <w:rFonts w:ascii="Times New Roman" w:eastAsia="Times New Roman" w:hAnsi="Times New Roman" w:cs="Times New Roman"/>
          <w:iCs/>
          <w:sz w:val="24"/>
          <w:szCs w:val="24"/>
        </w:rPr>
        <w:t xml:space="preserve"> makes a minor amendment to </w:t>
      </w:r>
      <w:r w:rsidR="00747F09">
        <w:rPr>
          <w:rFonts w:ascii="Times New Roman" w:eastAsia="Times New Roman" w:hAnsi="Times New Roman" w:cs="Times New Roman"/>
          <w:iCs/>
          <w:sz w:val="24"/>
          <w:szCs w:val="24"/>
        </w:rPr>
        <w:t>sub</w:t>
      </w:r>
      <w:r>
        <w:rPr>
          <w:rFonts w:ascii="Times New Roman" w:eastAsia="Times New Roman" w:hAnsi="Times New Roman" w:cs="Times New Roman"/>
          <w:iCs/>
          <w:sz w:val="24"/>
          <w:szCs w:val="24"/>
        </w:rPr>
        <w:t>section 19(1) to allow for the new language provided for under Item 2</w:t>
      </w:r>
      <w:r w:rsidR="000B5563">
        <w:rPr>
          <w:rFonts w:ascii="Times New Roman" w:eastAsia="Times New Roman" w:hAnsi="Times New Roman" w:cs="Times New Roman"/>
          <w:iCs/>
          <w:sz w:val="24"/>
          <w:szCs w:val="24"/>
        </w:rPr>
        <w:t>2</w:t>
      </w:r>
      <w:r>
        <w:rPr>
          <w:rFonts w:ascii="Times New Roman" w:eastAsia="Times New Roman" w:hAnsi="Times New Roman" w:cs="Times New Roman"/>
          <w:iCs/>
          <w:sz w:val="24"/>
          <w:szCs w:val="24"/>
        </w:rPr>
        <w:t>.</w:t>
      </w:r>
    </w:p>
    <w:p w14:paraId="6C794DB3" w14:textId="77777777" w:rsidR="00AD65C2" w:rsidRDefault="00AD65C2" w:rsidP="00AD65C2">
      <w:pPr>
        <w:spacing w:after="0" w:line="240" w:lineRule="auto"/>
        <w:rPr>
          <w:rFonts w:ascii="Times New Roman" w:eastAsia="Times New Roman" w:hAnsi="Times New Roman" w:cs="Times New Roman"/>
          <w:iCs/>
          <w:sz w:val="24"/>
          <w:szCs w:val="24"/>
        </w:rPr>
      </w:pPr>
    </w:p>
    <w:p w14:paraId="04A6C50A" w14:textId="2AF8708B" w:rsidR="00AD65C2" w:rsidRDefault="00AD65C2" w:rsidP="00AD65C2">
      <w:pPr>
        <w:spacing w:after="0" w:line="240" w:lineRule="auto"/>
        <w:rPr>
          <w:rFonts w:ascii="Times New Roman" w:eastAsia="Times New Roman" w:hAnsi="Times New Roman" w:cs="Times New Roman"/>
          <w:iCs/>
          <w:sz w:val="24"/>
          <w:szCs w:val="24"/>
        </w:rPr>
      </w:pPr>
      <w:r w:rsidRPr="008B51B1">
        <w:rPr>
          <w:rFonts w:ascii="Times New Roman" w:eastAsia="Times New Roman" w:hAnsi="Times New Roman" w:cs="Times New Roman"/>
          <w:b/>
          <w:iCs/>
          <w:sz w:val="24"/>
          <w:szCs w:val="24"/>
        </w:rPr>
        <w:t>Item 2</w:t>
      </w:r>
      <w:r w:rsidR="00C000A4">
        <w:rPr>
          <w:rFonts w:ascii="Times New Roman" w:eastAsia="Times New Roman" w:hAnsi="Times New Roman" w:cs="Times New Roman"/>
          <w:b/>
          <w:iCs/>
          <w:sz w:val="24"/>
          <w:szCs w:val="24"/>
        </w:rPr>
        <w:t>4</w:t>
      </w:r>
      <w:r>
        <w:rPr>
          <w:rFonts w:ascii="Times New Roman" w:eastAsia="Times New Roman" w:hAnsi="Times New Roman" w:cs="Times New Roman"/>
          <w:iCs/>
          <w:sz w:val="24"/>
          <w:szCs w:val="24"/>
        </w:rPr>
        <w:t xml:space="preserve"> repeals </w:t>
      </w:r>
      <w:r w:rsidR="00747F09">
        <w:rPr>
          <w:rFonts w:ascii="Times New Roman" w:eastAsia="Times New Roman" w:hAnsi="Times New Roman" w:cs="Times New Roman"/>
          <w:iCs/>
          <w:sz w:val="24"/>
          <w:szCs w:val="24"/>
        </w:rPr>
        <w:t>paragraph</w:t>
      </w:r>
      <w:r>
        <w:rPr>
          <w:rFonts w:ascii="Times New Roman" w:eastAsia="Times New Roman" w:hAnsi="Times New Roman" w:cs="Times New Roman"/>
          <w:iCs/>
          <w:sz w:val="24"/>
          <w:szCs w:val="24"/>
        </w:rPr>
        <w:t xml:space="preserve"> 19(2)(e), which details the information that needs to be collected by a processor when they use a TLF as part of their due diligence process. The new </w:t>
      </w:r>
      <w:r w:rsidR="00747F09">
        <w:rPr>
          <w:rFonts w:ascii="Times New Roman" w:eastAsia="Times New Roman" w:hAnsi="Times New Roman" w:cs="Times New Roman"/>
          <w:iCs/>
          <w:sz w:val="24"/>
          <w:szCs w:val="24"/>
        </w:rPr>
        <w:t>arrangements set out in s</w:t>
      </w:r>
      <w:r>
        <w:rPr>
          <w:rFonts w:ascii="Times New Roman" w:eastAsia="Times New Roman" w:hAnsi="Times New Roman" w:cs="Times New Roman"/>
          <w:iCs/>
          <w:sz w:val="24"/>
          <w:szCs w:val="24"/>
        </w:rPr>
        <w:t>ection 18A supersede this requirement.</w:t>
      </w:r>
    </w:p>
    <w:p w14:paraId="0CE1D199" w14:textId="77777777" w:rsidR="00AD65C2" w:rsidRDefault="00AD65C2" w:rsidP="00AD65C2">
      <w:pPr>
        <w:spacing w:after="0" w:line="240" w:lineRule="auto"/>
        <w:rPr>
          <w:rFonts w:ascii="Times New Roman" w:eastAsia="Times New Roman" w:hAnsi="Times New Roman" w:cs="Times New Roman"/>
          <w:iCs/>
          <w:sz w:val="24"/>
          <w:szCs w:val="24"/>
        </w:rPr>
      </w:pPr>
    </w:p>
    <w:p w14:paraId="4E32A091" w14:textId="18024649" w:rsidR="00AD65C2" w:rsidRDefault="00AD65C2" w:rsidP="00AD65C2">
      <w:pPr>
        <w:spacing w:after="0" w:line="240" w:lineRule="auto"/>
        <w:rPr>
          <w:rFonts w:ascii="Times New Roman" w:eastAsia="Times New Roman" w:hAnsi="Times New Roman" w:cs="Times New Roman"/>
          <w:iCs/>
          <w:sz w:val="24"/>
          <w:szCs w:val="24"/>
        </w:rPr>
      </w:pPr>
      <w:r w:rsidRPr="005D5346">
        <w:rPr>
          <w:rFonts w:ascii="Times New Roman" w:eastAsia="Times New Roman" w:hAnsi="Times New Roman" w:cs="Times New Roman"/>
          <w:b/>
          <w:iCs/>
          <w:sz w:val="24"/>
          <w:szCs w:val="24"/>
        </w:rPr>
        <w:t>Item 2</w:t>
      </w:r>
      <w:r w:rsidR="00C000A4">
        <w:rPr>
          <w:rFonts w:ascii="Times New Roman" w:eastAsia="Times New Roman" w:hAnsi="Times New Roman" w:cs="Times New Roman"/>
          <w:b/>
          <w:iCs/>
          <w:sz w:val="24"/>
          <w:szCs w:val="24"/>
        </w:rPr>
        <w:t>5</w:t>
      </w:r>
      <w:r>
        <w:rPr>
          <w:rFonts w:ascii="Times New Roman" w:eastAsia="Times New Roman" w:hAnsi="Times New Roman" w:cs="Times New Roman"/>
          <w:iCs/>
          <w:sz w:val="24"/>
          <w:szCs w:val="24"/>
        </w:rPr>
        <w:t xml:space="preserve"> repeals section 20, which details how a TLF can be used by a processor to identify and assess risk. The new deemed to </w:t>
      </w:r>
      <w:r w:rsidR="00645875">
        <w:rPr>
          <w:rFonts w:ascii="Times New Roman" w:eastAsia="Times New Roman" w:hAnsi="Times New Roman" w:cs="Times New Roman"/>
          <w:iCs/>
          <w:sz w:val="24"/>
          <w:szCs w:val="24"/>
        </w:rPr>
        <w:t>comply arrangement</w:t>
      </w:r>
      <w:r w:rsidR="00747F09">
        <w:rPr>
          <w:rFonts w:ascii="Times New Roman" w:eastAsia="Times New Roman" w:hAnsi="Times New Roman" w:cs="Times New Roman"/>
          <w:iCs/>
          <w:sz w:val="24"/>
          <w:szCs w:val="24"/>
        </w:rPr>
        <w:t xml:space="preserve"> set out in s</w:t>
      </w:r>
      <w:r>
        <w:rPr>
          <w:rFonts w:ascii="Times New Roman" w:eastAsia="Times New Roman" w:hAnsi="Times New Roman" w:cs="Times New Roman"/>
          <w:iCs/>
          <w:sz w:val="24"/>
          <w:szCs w:val="24"/>
        </w:rPr>
        <w:t>ection 18A supersede this requirement.</w:t>
      </w:r>
    </w:p>
    <w:p w14:paraId="0746A72E" w14:textId="77777777" w:rsidR="00AD65C2" w:rsidRDefault="00AD65C2" w:rsidP="00AD65C2">
      <w:pPr>
        <w:spacing w:after="0" w:line="240" w:lineRule="auto"/>
        <w:rPr>
          <w:rFonts w:ascii="Times New Roman" w:eastAsia="Times New Roman" w:hAnsi="Times New Roman" w:cs="Times New Roman"/>
          <w:iCs/>
          <w:sz w:val="24"/>
          <w:szCs w:val="24"/>
        </w:rPr>
      </w:pPr>
    </w:p>
    <w:p w14:paraId="3C8854A5" w14:textId="4EBCE898" w:rsidR="00AD65C2" w:rsidRDefault="00AD65C2" w:rsidP="00AD65C2">
      <w:pPr>
        <w:spacing w:after="0" w:line="240" w:lineRule="auto"/>
        <w:rPr>
          <w:rFonts w:ascii="Times New Roman" w:eastAsia="Times New Roman" w:hAnsi="Times New Roman" w:cs="Times New Roman"/>
          <w:iCs/>
          <w:sz w:val="24"/>
          <w:szCs w:val="24"/>
        </w:rPr>
      </w:pPr>
      <w:r w:rsidRPr="005D5346">
        <w:rPr>
          <w:rFonts w:ascii="Times New Roman" w:eastAsia="Times New Roman" w:hAnsi="Times New Roman" w:cs="Times New Roman"/>
          <w:b/>
          <w:iCs/>
          <w:sz w:val="24"/>
          <w:szCs w:val="24"/>
        </w:rPr>
        <w:t>Item 2</w:t>
      </w:r>
      <w:r w:rsidR="00C000A4">
        <w:rPr>
          <w:rFonts w:ascii="Times New Roman" w:eastAsia="Times New Roman" w:hAnsi="Times New Roman" w:cs="Times New Roman"/>
          <w:b/>
          <w:iCs/>
          <w:sz w:val="24"/>
          <w:szCs w:val="24"/>
        </w:rPr>
        <w:t>6</w:t>
      </w:r>
      <w:r>
        <w:rPr>
          <w:rFonts w:ascii="Times New Roman" w:eastAsia="Times New Roman" w:hAnsi="Times New Roman" w:cs="Times New Roman"/>
          <w:iCs/>
          <w:sz w:val="24"/>
          <w:szCs w:val="24"/>
        </w:rPr>
        <w:t xml:space="preserve"> </w:t>
      </w:r>
      <w:r>
        <w:rPr>
          <w:rFonts w:ascii="Times New Roman" w:hAnsi="Times New Roman" w:cs="Times New Roman"/>
          <w:sz w:val="24"/>
          <w:szCs w:val="24"/>
        </w:rPr>
        <w:t xml:space="preserve">amends </w:t>
      </w:r>
      <w:r w:rsidR="00747F09">
        <w:rPr>
          <w:rFonts w:ascii="Times New Roman" w:hAnsi="Times New Roman" w:cs="Times New Roman"/>
          <w:sz w:val="24"/>
          <w:szCs w:val="24"/>
        </w:rPr>
        <w:t>paragraph</w:t>
      </w:r>
      <w:r>
        <w:rPr>
          <w:rFonts w:ascii="Times New Roman" w:hAnsi="Times New Roman" w:cs="Times New Roman"/>
          <w:sz w:val="24"/>
          <w:szCs w:val="24"/>
        </w:rPr>
        <w:t xml:space="preserve"> 21(2)(b) to clarify that when using a State Specific Guideline</w:t>
      </w:r>
      <w:r w:rsidR="00A52544">
        <w:rPr>
          <w:rFonts w:ascii="Times New Roman" w:hAnsi="Times New Roman" w:cs="Times New Roman"/>
          <w:sz w:val="24"/>
          <w:szCs w:val="24"/>
        </w:rPr>
        <w:t xml:space="preserve">, the </w:t>
      </w:r>
      <w:r w:rsidR="00E32938">
        <w:rPr>
          <w:rFonts w:ascii="Times New Roman" w:hAnsi="Times New Roman" w:cs="Times New Roman"/>
          <w:sz w:val="24"/>
          <w:szCs w:val="24"/>
        </w:rPr>
        <w:t xml:space="preserve">risk </w:t>
      </w:r>
      <w:r w:rsidR="00A52544">
        <w:rPr>
          <w:rFonts w:ascii="Times New Roman" w:hAnsi="Times New Roman" w:cs="Times New Roman"/>
          <w:sz w:val="24"/>
          <w:szCs w:val="24"/>
        </w:rPr>
        <w:t>identification and assessment process is subject to the standard set out in the new subsection 21(2A).</w:t>
      </w:r>
      <w:r>
        <w:rPr>
          <w:rFonts w:ascii="Times New Roman" w:hAnsi="Times New Roman" w:cs="Times New Roman"/>
          <w:sz w:val="24"/>
          <w:szCs w:val="24"/>
        </w:rPr>
        <w:t xml:space="preserve"> </w:t>
      </w:r>
      <w:r w:rsidR="0068653B">
        <w:rPr>
          <w:rFonts w:ascii="Times New Roman" w:hAnsi="Times New Roman" w:cs="Times New Roman"/>
          <w:sz w:val="24"/>
          <w:szCs w:val="24"/>
        </w:rPr>
        <w:t>A processor who contravenes subsection 21(2) is liable to a civil penalty of 100 penalty units.</w:t>
      </w:r>
    </w:p>
    <w:p w14:paraId="55241BFA" w14:textId="77777777" w:rsidR="00AD65C2" w:rsidRDefault="00AD65C2" w:rsidP="00AD65C2">
      <w:pPr>
        <w:spacing w:after="0" w:line="240" w:lineRule="auto"/>
        <w:rPr>
          <w:rFonts w:ascii="Times New Roman" w:eastAsia="Times New Roman" w:hAnsi="Times New Roman" w:cs="Times New Roman"/>
          <w:iCs/>
          <w:sz w:val="24"/>
          <w:szCs w:val="24"/>
        </w:rPr>
      </w:pPr>
    </w:p>
    <w:p w14:paraId="55EF96DA" w14:textId="797BD889" w:rsidR="00C000A4" w:rsidRDefault="00C000A4" w:rsidP="00AD65C2">
      <w:pPr>
        <w:spacing w:after="0" w:line="240" w:lineRule="auto"/>
        <w:rPr>
          <w:rFonts w:ascii="Times New Roman" w:eastAsia="Times New Roman" w:hAnsi="Times New Roman" w:cs="Times New Roman"/>
          <w:iCs/>
          <w:sz w:val="24"/>
          <w:szCs w:val="24"/>
        </w:rPr>
      </w:pPr>
      <w:r w:rsidRPr="00A52544">
        <w:rPr>
          <w:rFonts w:ascii="Times New Roman" w:eastAsia="Times New Roman" w:hAnsi="Times New Roman" w:cs="Times New Roman"/>
          <w:b/>
          <w:iCs/>
          <w:sz w:val="24"/>
          <w:szCs w:val="24"/>
        </w:rPr>
        <w:t>Item 27</w:t>
      </w:r>
      <w:r w:rsidR="00A52544">
        <w:rPr>
          <w:rFonts w:ascii="Times New Roman" w:eastAsia="Times New Roman" w:hAnsi="Times New Roman" w:cs="Times New Roman"/>
          <w:iCs/>
          <w:sz w:val="24"/>
          <w:szCs w:val="24"/>
        </w:rPr>
        <w:t xml:space="preserve"> inserts a new subsection 21(2A) that establishes the standard by which the risk identification and assessment process set out in paragraph 21(2)(b) </w:t>
      </w:r>
      <w:r w:rsidR="008C541F">
        <w:rPr>
          <w:rFonts w:ascii="Times New Roman" w:eastAsia="Times New Roman" w:hAnsi="Times New Roman" w:cs="Times New Roman"/>
          <w:iCs/>
          <w:sz w:val="24"/>
          <w:szCs w:val="24"/>
        </w:rPr>
        <w:t>is</w:t>
      </w:r>
      <w:r w:rsidR="00A52544">
        <w:rPr>
          <w:rFonts w:ascii="Times New Roman" w:eastAsia="Times New Roman" w:hAnsi="Times New Roman" w:cs="Times New Roman"/>
          <w:iCs/>
          <w:sz w:val="24"/>
          <w:szCs w:val="24"/>
        </w:rPr>
        <w:t xml:space="preserve"> measured. This clarifies that the outcomes from this process must be reasonable.</w:t>
      </w:r>
    </w:p>
    <w:p w14:paraId="637B043B" w14:textId="77777777" w:rsidR="00C000A4" w:rsidRDefault="00C000A4" w:rsidP="00AD65C2">
      <w:pPr>
        <w:spacing w:after="0" w:line="240" w:lineRule="auto"/>
        <w:rPr>
          <w:rFonts w:ascii="Times New Roman" w:eastAsia="Times New Roman" w:hAnsi="Times New Roman" w:cs="Times New Roman"/>
          <w:iCs/>
          <w:sz w:val="24"/>
          <w:szCs w:val="24"/>
        </w:rPr>
      </w:pPr>
    </w:p>
    <w:p w14:paraId="65521E15" w14:textId="3935557F" w:rsidR="00AD65C2" w:rsidRDefault="00AD65C2" w:rsidP="00AD65C2">
      <w:pPr>
        <w:spacing w:after="0" w:line="240" w:lineRule="auto"/>
        <w:rPr>
          <w:rFonts w:ascii="Times New Roman" w:eastAsia="Times New Roman" w:hAnsi="Times New Roman" w:cs="Times New Roman"/>
          <w:iCs/>
          <w:sz w:val="24"/>
          <w:szCs w:val="24"/>
        </w:rPr>
      </w:pPr>
      <w:r w:rsidRPr="005D5346">
        <w:rPr>
          <w:rFonts w:ascii="Times New Roman" w:eastAsia="Times New Roman" w:hAnsi="Times New Roman" w:cs="Times New Roman"/>
          <w:b/>
          <w:iCs/>
          <w:sz w:val="24"/>
          <w:szCs w:val="24"/>
        </w:rPr>
        <w:t>Item 2</w:t>
      </w:r>
      <w:r w:rsidR="00C000A4">
        <w:rPr>
          <w:rFonts w:ascii="Times New Roman" w:eastAsia="Times New Roman" w:hAnsi="Times New Roman" w:cs="Times New Roman"/>
          <w:b/>
          <w:iCs/>
          <w:sz w:val="24"/>
          <w:szCs w:val="24"/>
        </w:rPr>
        <w:t>8</w:t>
      </w:r>
      <w:r>
        <w:rPr>
          <w:rFonts w:ascii="Times New Roman" w:eastAsia="Times New Roman" w:hAnsi="Times New Roman" w:cs="Times New Roman"/>
          <w:iCs/>
          <w:sz w:val="24"/>
          <w:szCs w:val="24"/>
        </w:rPr>
        <w:t xml:space="preserve"> </w:t>
      </w:r>
      <w:r w:rsidR="00747F09">
        <w:rPr>
          <w:rFonts w:ascii="Times New Roman" w:hAnsi="Times New Roman" w:cs="Times New Roman"/>
          <w:sz w:val="24"/>
          <w:szCs w:val="24"/>
        </w:rPr>
        <w:t>updates the heading of s</w:t>
      </w:r>
      <w:r>
        <w:rPr>
          <w:rFonts w:ascii="Times New Roman" w:hAnsi="Times New Roman" w:cs="Times New Roman"/>
          <w:sz w:val="24"/>
          <w:szCs w:val="24"/>
        </w:rPr>
        <w:t>ection 22 to make it</w:t>
      </w:r>
      <w:r w:rsidR="00D30B5C">
        <w:rPr>
          <w:rFonts w:ascii="Times New Roman" w:hAnsi="Times New Roman" w:cs="Times New Roman"/>
          <w:sz w:val="24"/>
          <w:szCs w:val="24"/>
        </w:rPr>
        <w:t xml:space="preserve"> refer to the new </w:t>
      </w:r>
      <w:r>
        <w:rPr>
          <w:rFonts w:ascii="Times New Roman" w:hAnsi="Times New Roman" w:cs="Times New Roman"/>
          <w:sz w:val="24"/>
          <w:szCs w:val="24"/>
        </w:rPr>
        <w:t>section 18A and the existing section 21. It previously referred to sections 20 and 21.</w:t>
      </w:r>
    </w:p>
    <w:p w14:paraId="1A590AC9" w14:textId="77777777" w:rsidR="00AD65C2" w:rsidRDefault="00AD65C2" w:rsidP="00AD65C2">
      <w:pPr>
        <w:spacing w:after="0" w:line="240" w:lineRule="auto"/>
        <w:rPr>
          <w:rFonts w:ascii="Times New Roman" w:eastAsia="Times New Roman" w:hAnsi="Times New Roman" w:cs="Times New Roman"/>
          <w:iCs/>
          <w:sz w:val="24"/>
          <w:szCs w:val="24"/>
        </w:rPr>
      </w:pPr>
    </w:p>
    <w:p w14:paraId="64FF7DDC" w14:textId="1590A723" w:rsidR="00AD65C2" w:rsidRDefault="00AD65C2" w:rsidP="00AD65C2">
      <w:pPr>
        <w:spacing w:after="0" w:line="240" w:lineRule="auto"/>
        <w:rPr>
          <w:rFonts w:ascii="Times New Roman" w:eastAsia="Times New Roman" w:hAnsi="Times New Roman" w:cs="Times New Roman"/>
          <w:iCs/>
          <w:sz w:val="24"/>
          <w:szCs w:val="24"/>
        </w:rPr>
      </w:pPr>
      <w:r w:rsidRPr="005D5346">
        <w:rPr>
          <w:rFonts w:ascii="Times New Roman" w:eastAsia="Times New Roman" w:hAnsi="Times New Roman" w:cs="Times New Roman"/>
          <w:b/>
          <w:iCs/>
          <w:sz w:val="24"/>
          <w:szCs w:val="24"/>
        </w:rPr>
        <w:t>Item 2</w:t>
      </w:r>
      <w:r w:rsidR="00C000A4">
        <w:rPr>
          <w:rFonts w:ascii="Times New Roman" w:eastAsia="Times New Roman" w:hAnsi="Times New Roman" w:cs="Times New Roman"/>
          <w:b/>
          <w:iCs/>
          <w:sz w:val="24"/>
          <w:szCs w:val="24"/>
        </w:rPr>
        <w:t>9</w:t>
      </w:r>
      <w:r>
        <w:rPr>
          <w:rFonts w:ascii="Times New Roman" w:eastAsia="Times New Roman" w:hAnsi="Times New Roman" w:cs="Times New Roman"/>
          <w:iCs/>
          <w:sz w:val="24"/>
          <w:szCs w:val="24"/>
        </w:rPr>
        <w:t xml:space="preserve"> </w:t>
      </w:r>
      <w:r w:rsidR="0068653B">
        <w:rPr>
          <w:rFonts w:ascii="Times New Roman" w:hAnsi="Times New Roman" w:cs="Times New Roman"/>
          <w:sz w:val="24"/>
          <w:szCs w:val="24"/>
        </w:rPr>
        <w:t>amends</w:t>
      </w:r>
      <w:r>
        <w:rPr>
          <w:rFonts w:ascii="Times New Roman" w:hAnsi="Times New Roman" w:cs="Times New Roman"/>
          <w:sz w:val="24"/>
          <w:szCs w:val="24"/>
        </w:rPr>
        <w:t xml:space="preserve"> paragraph 22(1)(a) to make reference to the new </w:t>
      </w:r>
      <w:r w:rsidR="00E32938">
        <w:rPr>
          <w:rFonts w:ascii="Times New Roman" w:hAnsi="Times New Roman" w:cs="Times New Roman"/>
          <w:sz w:val="24"/>
          <w:szCs w:val="24"/>
        </w:rPr>
        <w:t>sub</w:t>
      </w:r>
      <w:r>
        <w:rPr>
          <w:rFonts w:ascii="Times New Roman" w:hAnsi="Times New Roman" w:cs="Times New Roman"/>
          <w:sz w:val="24"/>
          <w:szCs w:val="24"/>
        </w:rPr>
        <w:t>section 18A</w:t>
      </w:r>
      <w:r w:rsidR="009E3F1B">
        <w:rPr>
          <w:rFonts w:ascii="Times New Roman" w:hAnsi="Times New Roman" w:cs="Times New Roman"/>
          <w:sz w:val="24"/>
          <w:szCs w:val="24"/>
        </w:rPr>
        <w:t>(2)</w:t>
      </w:r>
      <w:r>
        <w:rPr>
          <w:rFonts w:ascii="Times New Roman" w:hAnsi="Times New Roman" w:cs="Times New Roman"/>
          <w:sz w:val="24"/>
          <w:szCs w:val="24"/>
        </w:rPr>
        <w:t>.</w:t>
      </w:r>
    </w:p>
    <w:p w14:paraId="388C4DA5" w14:textId="77777777" w:rsidR="00AD65C2" w:rsidRDefault="00AD65C2" w:rsidP="00AD65C2">
      <w:pPr>
        <w:spacing w:after="0" w:line="240" w:lineRule="auto"/>
        <w:rPr>
          <w:rFonts w:ascii="Times New Roman" w:eastAsia="Times New Roman" w:hAnsi="Times New Roman" w:cs="Times New Roman"/>
          <w:iCs/>
          <w:sz w:val="24"/>
          <w:szCs w:val="24"/>
        </w:rPr>
      </w:pPr>
    </w:p>
    <w:p w14:paraId="798B7BEB" w14:textId="6449DF76" w:rsidR="00AD65C2" w:rsidRDefault="00AD65C2" w:rsidP="00AD65C2">
      <w:pPr>
        <w:spacing w:after="0" w:line="240" w:lineRule="auto"/>
        <w:rPr>
          <w:rFonts w:ascii="Times New Roman" w:eastAsia="Times New Roman" w:hAnsi="Times New Roman" w:cs="Times New Roman"/>
          <w:iCs/>
          <w:sz w:val="24"/>
          <w:szCs w:val="24"/>
        </w:rPr>
      </w:pPr>
      <w:r w:rsidRPr="003D5C10">
        <w:rPr>
          <w:rFonts w:ascii="Times New Roman" w:eastAsia="Times New Roman" w:hAnsi="Times New Roman" w:cs="Times New Roman"/>
          <w:b/>
          <w:iCs/>
          <w:sz w:val="24"/>
          <w:szCs w:val="24"/>
        </w:rPr>
        <w:t xml:space="preserve">Item </w:t>
      </w:r>
      <w:r w:rsidR="00C000A4">
        <w:rPr>
          <w:rFonts w:ascii="Times New Roman" w:eastAsia="Times New Roman" w:hAnsi="Times New Roman" w:cs="Times New Roman"/>
          <w:b/>
          <w:iCs/>
          <w:sz w:val="24"/>
          <w:szCs w:val="24"/>
        </w:rPr>
        <w:t>30</w:t>
      </w:r>
      <w:r>
        <w:rPr>
          <w:rFonts w:ascii="Times New Roman" w:eastAsia="Times New Roman" w:hAnsi="Times New Roman" w:cs="Times New Roman"/>
          <w:iCs/>
          <w:sz w:val="24"/>
          <w:szCs w:val="24"/>
        </w:rPr>
        <w:t xml:space="preserve"> </w:t>
      </w:r>
      <w:r w:rsidR="006A16C2">
        <w:rPr>
          <w:rFonts w:ascii="Times New Roman" w:eastAsia="Times New Roman" w:hAnsi="Times New Roman" w:cs="Times New Roman"/>
          <w:iCs/>
          <w:sz w:val="24"/>
          <w:szCs w:val="24"/>
        </w:rPr>
        <w:t xml:space="preserve">amends subparagraph 22(1)(b)(i) to </w:t>
      </w:r>
      <w:r w:rsidR="006A16C2">
        <w:rPr>
          <w:rFonts w:ascii="Times New Roman" w:hAnsi="Times New Roman" w:cs="Times New Roman"/>
          <w:sz w:val="24"/>
          <w:szCs w:val="24"/>
        </w:rPr>
        <w:t>remove</w:t>
      </w:r>
      <w:r>
        <w:rPr>
          <w:rFonts w:ascii="Times New Roman" w:hAnsi="Times New Roman" w:cs="Times New Roman"/>
          <w:sz w:val="24"/>
          <w:szCs w:val="24"/>
        </w:rPr>
        <w:t xml:space="preserve"> the existing reference to </w:t>
      </w:r>
      <w:r w:rsidR="00747F09">
        <w:rPr>
          <w:rFonts w:ascii="Times New Roman" w:hAnsi="Times New Roman" w:cs="Times New Roman"/>
          <w:sz w:val="24"/>
          <w:szCs w:val="24"/>
        </w:rPr>
        <w:t>sub</w:t>
      </w:r>
      <w:r w:rsidR="00E45928">
        <w:rPr>
          <w:rFonts w:ascii="Times New Roman" w:hAnsi="Times New Roman" w:cs="Times New Roman"/>
          <w:sz w:val="24"/>
          <w:szCs w:val="24"/>
        </w:rPr>
        <w:t>section </w:t>
      </w:r>
      <w:r>
        <w:rPr>
          <w:rFonts w:ascii="Times New Roman" w:hAnsi="Times New Roman" w:cs="Times New Roman"/>
          <w:sz w:val="24"/>
          <w:szCs w:val="24"/>
        </w:rPr>
        <w:t>20(2).</w:t>
      </w:r>
    </w:p>
    <w:p w14:paraId="771DE36C" w14:textId="77777777" w:rsidR="00AD65C2" w:rsidRDefault="00AD65C2" w:rsidP="00AD65C2">
      <w:pPr>
        <w:spacing w:after="0" w:line="240" w:lineRule="auto"/>
        <w:rPr>
          <w:rFonts w:ascii="Times New Roman" w:eastAsia="Times New Roman" w:hAnsi="Times New Roman" w:cs="Times New Roman"/>
          <w:iCs/>
          <w:sz w:val="24"/>
          <w:szCs w:val="24"/>
        </w:rPr>
      </w:pPr>
    </w:p>
    <w:p w14:paraId="50AAAC95" w14:textId="2411E6B7" w:rsidR="00AD65C2" w:rsidRPr="00A52544" w:rsidRDefault="00AD65C2" w:rsidP="00AD65C2">
      <w:pPr>
        <w:spacing w:after="0" w:line="240" w:lineRule="auto"/>
        <w:rPr>
          <w:rFonts w:ascii="Times New Roman" w:eastAsia="Times New Roman" w:hAnsi="Times New Roman" w:cs="Times New Roman"/>
          <w:iCs/>
          <w:sz w:val="24"/>
          <w:szCs w:val="24"/>
        </w:rPr>
      </w:pPr>
      <w:r w:rsidRPr="003D5C10">
        <w:rPr>
          <w:rFonts w:ascii="Times New Roman" w:eastAsia="Times New Roman" w:hAnsi="Times New Roman" w:cs="Times New Roman"/>
          <w:b/>
          <w:iCs/>
          <w:sz w:val="24"/>
          <w:szCs w:val="24"/>
        </w:rPr>
        <w:t xml:space="preserve">Item </w:t>
      </w:r>
      <w:r w:rsidR="009E3F1B">
        <w:rPr>
          <w:rFonts w:ascii="Times New Roman" w:eastAsia="Times New Roman" w:hAnsi="Times New Roman" w:cs="Times New Roman"/>
          <w:b/>
          <w:iCs/>
          <w:sz w:val="24"/>
          <w:szCs w:val="24"/>
        </w:rPr>
        <w:t>31</w:t>
      </w:r>
      <w:r>
        <w:rPr>
          <w:rFonts w:ascii="Times New Roman" w:eastAsia="Times New Roman" w:hAnsi="Times New Roman" w:cs="Times New Roman"/>
          <w:iCs/>
          <w:sz w:val="24"/>
          <w:szCs w:val="24"/>
        </w:rPr>
        <w:t xml:space="preserve"> </w:t>
      </w:r>
      <w:r>
        <w:rPr>
          <w:rFonts w:ascii="Times New Roman" w:hAnsi="Times New Roman" w:cs="Times New Roman"/>
          <w:sz w:val="24"/>
          <w:szCs w:val="24"/>
        </w:rPr>
        <w:t xml:space="preserve">amends paragraph 22(2)(a) to clarify that when using the risk factors set out in that section, </w:t>
      </w:r>
      <w:r w:rsidR="00A52544">
        <w:rPr>
          <w:rFonts w:ascii="Times New Roman" w:hAnsi="Times New Roman" w:cs="Times New Roman"/>
          <w:sz w:val="24"/>
          <w:szCs w:val="24"/>
        </w:rPr>
        <w:t xml:space="preserve">the </w:t>
      </w:r>
      <w:r w:rsidR="00E32938">
        <w:rPr>
          <w:rFonts w:ascii="Times New Roman" w:hAnsi="Times New Roman" w:cs="Times New Roman"/>
          <w:sz w:val="24"/>
          <w:szCs w:val="24"/>
        </w:rPr>
        <w:t xml:space="preserve">risk </w:t>
      </w:r>
      <w:r w:rsidR="00A52544">
        <w:rPr>
          <w:rFonts w:ascii="Times New Roman" w:hAnsi="Times New Roman" w:cs="Times New Roman"/>
          <w:sz w:val="24"/>
          <w:szCs w:val="24"/>
        </w:rPr>
        <w:t xml:space="preserve">identification and assessment process is subject to the standard set out in the new subsection 22(2A). </w:t>
      </w:r>
      <w:r w:rsidR="00102CE2">
        <w:rPr>
          <w:rFonts w:ascii="Times New Roman" w:hAnsi="Times New Roman" w:cs="Times New Roman"/>
          <w:sz w:val="24"/>
          <w:szCs w:val="24"/>
        </w:rPr>
        <w:t>A processor who contravenes subsection 22(2) is liable to a civil penalty of 100 penalty units.</w:t>
      </w:r>
    </w:p>
    <w:p w14:paraId="3EAB9DD4" w14:textId="77777777" w:rsidR="00AD65C2" w:rsidRDefault="00AD65C2" w:rsidP="00AD65C2">
      <w:pPr>
        <w:spacing w:after="0" w:line="240" w:lineRule="auto"/>
        <w:rPr>
          <w:rFonts w:ascii="Times New Roman" w:eastAsia="Times New Roman" w:hAnsi="Times New Roman" w:cs="Times New Roman"/>
          <w:iCs/>
          <w:sz w:val="24"/>
          <w:szCs w:val="24"/>
        </w:rPr>
      </w:pPr>
    </w:p>
    <w:p w14:paraId="7386BAB9" w14:textId="495956A2" w:rsidR="009E3F1B" w:rsidRDefault="009E3F1B" w:rsidP="00AD65C2">
      <w:pPr>
        <w:spacing w:after="0" w:line="240" w:lineRule="auto"/>
        <w:rPr>
          <w:rFonts w:ascii="Times New Roman" w:eastAsia="Times New Roman" w:hAnsi="Times New Roman" w:cs="Times New Roman"/>
          <w:iCs/>
          <w:sz w:val="24"/>
          <w:szCs w:val="24"/>
        </w:rPr>
      </w:pPr>
      <w:r w:rsidRPr="008C541F">
        <w:rPr>
          <w:rFonts w:ascii="Times New Roman" w:eastAsia="Times New Roman" w:hAnsi="Times New Roman" w:cs="Times New Roman"/>
          <w:b/>
          <w:iCs/>
          <w:sz w:val="24"/>
          <w:szCs w:val="24"/>
        </w:rPr>
        <w:t>Item 32</w:t>
      </w:r>
      <w:r w:rsidR="00A52544">
        <w:rPr>
          <w:rFonts w:ascii="Times New Roman" w:eastAsia="Times New Roman" w:hAnsi="Times New Roman" w:cs="Times New Roman"/>
          <w:iCs/>
          <w:sz w:val="24"/>
          <w:szCs w:val="24"/>
        </w:rPr>
        <w:t xml:space="preserve"> inserts a new subsection 22(2A) that establishes the standard by which the risk identification and assessment process set out in paragraph 22(2)(a) </w:t>
      </w:r>
      <w:r w:rsidR="008C541F">
        <w:rPr>
          <w:rFonts w:ascii="Times New Roman" w:eastAsia="Times New Roman" w:hAnsi="Times New Roman" w:cs="Times New Roman"/>
          <w:iCs/>
          <w:sz w:val="24"/>
          <w:szCs w:val="24"/>
        </w:rPr>
        <w:t>is</w:t>
      </w:r>
      <w:r w:rsidR="00A52544">
        <w:rPr>
          <w:rFonts w:ascii="Times New Roman" w:eastAsia="Times New Roman" w:hAnsi="Times New Roman" w:cs="Times New Roman"/>
          <w:iCs/>
          <w:sz w:val="24"/>
          <w:szCs w:val="24"/>
        </w:rPr>
        <w:t xml:space="preserve"> measured. This clarifies that the outcomes from this process must be reasonable.</w:t>
      </w:r>
    </w:p>
    <w:p w14:paraId="12B64B6A" w14:textId="77777777" w:rsidR="009E3F1B" w:rsidRDefault="009E3F1B" w:rsidP="00AD65C2">
      <w:pPr>
        <w:spacing w:after="0" w:line="240" w:lineRule="auto"/>
        <w:rPr>
          <w:rFonts w:ascii="Times New Roman" w:eastAsia="Times New Roman" w:hAnsi="Times New Roman" w:cs="Times New Roman"/>
          <w:iCs/>
          <w:sz w:val="24"/>
          <w:szCs w:val="24"/>
        </w:rPr>
      </w:pPr>
    </w:p>
    <w:p w14:paraId="58D2B5B7" w14:textId="265D2D11" w:rsidR="00AD65C2" w:rsidRDefault="00AD65C2" w:rsidP="00AD65C2">
      <w:pPr>
        <w:spacing w:after="0" w:line="240" w:lineRule="auto"/>
        <w:rPr>
          <w:rFonts w:ascii="Times New Roman" w:eastAsia="Times New Roman" w:hAnsi="Times New Roman" w:cs="Times New Roman"/>
          <w:iCs/>
          <w:sz w:val="24"/>
          <w:szCs w:val="24"/>
        </w:rPr>
      </w:pPr>
      <w:r w:rsidRPr="003D5C10">
        <w:rPr>
          <w:rFonts w:ascii="Times New Roman" w:eastAsia="Times New Roman" w:hAnsi="Times New Roman" w:cs="Times New Roman"/>
          <w:b/>
          <w:iCs/>
          <w:sz w:val="24"/>
          <w:szCs w:val="24"/>
        </w:rPr>
        <w:t xml:space="preserve">Item </w:t>
      </w:r>
      <w:r w:rsidR="009E3F1B">
        <w:rPr>
          <w:rFonts w:ascii="Times New Roman" w:eastAsia="Times New Roman" w:hAnsi="Times New Roman" w:cs="Times New Roman"/>
          <w:b/>
          <w:iCs/>
          <w:sz w:val="24"/>
          <w:szCs w:val="24"/>
        </w:rPr>
        <w:t>33</w:t>
      </w:r>
      <w:r>
        <w:rPr>
          <w:rFonts w:ascii="Times New Roman" w:eastAsia="Times New Roman" w:hAnsi="Times New Roman" w:cs="Times New Roman"/>
          <w:iCs/>
          <w:sz w:val="24"/>
          <w:szCs w:val="24"/>
        </w:rPr>
        <w:t xml:space="preserve"> </w:t>
      </w:r>
      <w:r w:rsidR="006A16C2">
        <w:rPr>
          <w:rFonts w:ascii="Times New Roman" w:eastAsia="Times New Roman" w:hAnsi="Times New Roman" w:cs="Times New Roman"/>
          <w:iCs/>
          <w:sz w:val="24"/>
          <w:szCs w:val="24"/>
        </w:rPr>
        <w:t xml:space="preserve">amends paragraph 23(3)(b) to </w:t>
      </w:r>
      <w:r w:rsidR="006A16C2">
        <w:rPr>
          <w:rFonts w:ascii="Times New Roman" w:hAnsi="Times New Roman" w:cs="Times New Roman"/>
          <w:sz w:val="24"/>
          <w:szCs w:val="24"/>
        </w:rPr>
        <w:t>remove</w:t>
      </w:r>
      <w:r>
        <w:rPr>
          <w:rFonts w:ascii="Times New Roman" w:hAnsi="Times New Roman" w:cs="Times New Roman"/>
          <w:sz w:val="24"/>
          <w:szCs w:val="24"/>
        </w:rPr>
        <w:t xml:space="preserve"> the existing reference to </w:t>
      </w:r>
      <w:r w:rsidR="00747F09">
        <w:rPr>
          <w:rFonts w:ascii="Times New Roman" w:hAnsi="Times New Roman" w:cs="Times New Roman"/>
          <w:sz w:val="24"/>
          <w:szCs w:val="24"/>
        </w:rPr>
        <w:t>sub</w:t>
      </w:r>
      <w:r w:rsidR="00102CE2">
        <w:rPr>
          <w:rFonts w:ascii="Times New Roman" w:hAnsi="Times New Roman" w:cs="Times New Roman"/>
          <w:sz w:val="24"/>
          <w:szCs w:val="24"/>
        </w:rPr>
        <w:t>section 20(2)</w:t>
      </w:r>
      <w:r>
        <w:rPr>
          <w:rFonts w:ascii="Times New Roman" w:hAnsi="Times New Roman" w:cs="Times New Roman"/>
          <w:sz w:val="24"/>
          <w:szCs w:val="24"/>
        </w:rPr>
        <w:t>.</w:t>
      </w:r>
    </w:p>
    <w:p w14:paraId="2692164F" w14:textId="77777777" w:rsidR="00AD65C2" w:rsidRDefault="00AD65C2" w:rsidP="00AD65C2">
      <w:pPr>
        <w:spacing w:after="0" w:line="240" w:lineRule="auto"/>
        <w:rPr>
          <w:rFonts w:ascii="Times New Roman" w:eastAsia="Times New Roman" w:hAnsi="Times New Roman" w:cs="Times New Roman"/>
          <w:iCs/>
          <w:sz w:val="24"/>
          <w:szCs w:val="24"/>
        </w:rPr>
      </w:pPr>
    </w:p>
    <w:p w14:paraId="4D6E8C98" w14:textId="5F96A025" w:rsidR="00AD65C2" w:rsidRPr="007237D7" w:rsidRDefault="00AD65C2" w:rsidP="00AD65C2">
      <w:pPr>
        <w:spacing w:after="0" w:line="240" w:lineRule="auto"/>
        <w:rPr>
          <w:rFonts w:ascii="Times New Roman" w:hAnsi="Times New Roman" w:cs="Times New Roman"/>
          <w:sz w:val="24"/>
          <w:szCs w:val="24"/>
        </w:rPr>
      </w:pPr>
      <w:r w:rsidRPr="003D5C10">
        <w:rPr>
          <w:rFonts w:ascii="Times New Roman" w:eastAsia="Times New Roman" w:hAnsi="Times New Roman" w:cs="Times New Roman"/>
          <w:b/>
          <w:iCs/>
          <w:sz w:val="24"/>
          <w:szCs w:val="24"/>
        </w:rPr>
        <w:t>Item 3</w:t>
      </w:r>
      <w:r w:rsidR="009E3F1B">
        <w:rPr>
          <w:rFonts w:ascii="Times New Roman" w:eastAsia="Times New Roman" w:hAnsi="Times New Roman" w:cs="Times New Roman"/>
          <w:b/>
          <w:iCs/>
          <w:sz w:val="24"/>
          <w:szCs w:val="24"/>
        </w:rPr>
        <w:t>4</w:t>
      </w:r>
      <w:r>
        <w:rPr>
          <w:rFonts w:ascii="Times New Roman" w:eastAsia="Times New Roman" w:hAnsi="Times New Roman" w:cs="Times New Roman"/>
          <w:iCs/>
          <w:sz w:val="24"/>
          <w:szCs w:val="24"/>
        </w:rPr>
        <w:t xml:space="preserve"> </w:t>
      </w:r>
      <w:r>
        <w:rPr>
          <w:rFonts w:ascii="Times New Roman" w:hAnsi="Times New Roman" w:cs="Times New Roman"/>
          <w:sz w:val="24"/>
          <w:szCs w:val="24"/>
        </w:rPr>
        <w:t xml:space="preserve">inserts a new requirement in </w:t>
      </w:r>
      <w:r w:rsidR="00747F09">
        <w:rPr>
          <w:rFonts w:ascii="Times New Roman" w:hAnsi="Times New Roman" w:cs="Times New Roman"/>
          <w:sz w:val="24"/>
          <w:szCs w:val="24"/>
        </w:rPr>
        <w:t>sub</w:t>
      </w:r>
      <w:r>
        <w:rPr>
          <w:rFonts w:ascii="Times New Roman" w:hAnsi="Times New Roman" w:cs="Times New Roman"/>
          <w:sz w:val="24"/>
          <w:szCs w:val="24"/>
        </w:rPr>
        <w:t>section 25(1) that requires a processor to keep a record of the procedures carried</w:t>
      </w:r>
      <w:r w:rsidRPr="007237D7">
        <w:rPr>
          <w:rFonts w:ascii="Times New Roman" w:hAnsi="Times New Roman" w:cs="Times New Roman"/>
          <w:sz w:val="24"/>
          <w:szCs w:val="24"/>
        </w:rPr>
        <w:t xml:space="preserve"> </w:t>
      </w:r>
      <w:r>
        <w:rPr>
          <w:rFonts w:ascii="Times New Roman" w:hAnsi="Times New Roman" w:cs="Times New Roman"/>
          <w:sz w:val="24"/>
          <w:szCs w:val="24"/>
        </w:rPr>
        <w:t>out in relation to the use of a TLF for a period of 5 years.</w:t>
      </w:r>
      <w:r w:rsidR="00102CE2">
        <w:rPr>
          <w:rFonts w:ascii="Times New Roman" w:hAnsi="Times New Roman" w:cs="Times New Roman"/>
          <w:sz w:val="24"/>
          <w:szCs w:val="24"/>
        </w:rPr>
        <w:t xml:space="preserve"> A processor who contravenes subsection 25(1) is liable to a civil penalty of 100 penalty units.</w:t>
      </w:r>
    </w:p>
    <w:p w14:paraId="25149064" w14:textId="77777777" w:rsidR="00AD65C2" w:rsidRDefault="00AD65C2" w:rsidP="00AD65C2">
      <w:pPr>
        <w:spacing w:after="0" w:line="240" w:lineRule="auto"/>
        <w:rPr>
          <w:rFonts w:ascii="Times New Roman" w:eastAsia="Times New Roman" w:hAnsi="Times New Roman" w:cs="Times New Roman"/>
          <w:iCs/>
          <w:sz w:val="24"/>
          <w:szCs w:val="24"/>
        </w:rPr>
      </w:pPr>
    </w:p>
    <w:p w14:paraId="742830F5" w14:textId="202444F7" w:rsidR="002D4848" w:rsidRPr="002D4848" w:rsidRDefault="00AD65C2" w:rsidP="00AD65C2">
      <w:pPr>
        <w:spacing w:after="0" w:line="240" w:lineRule="auto"/>
        <w:rPr>
          <w:rFonts w:ascii="Times New Roman" w:eastAsia="Times New Roman" w:hAnsi="Times New Roman" w:cs="Times New Roman"/>
          <w:iCs/>
          <w:sz w:val="24"/>
          <w:szCs w:val="24"/>
        </w:rPr>
      </w:pPr>
      <w:r w:rsidRPr="003D5C10">
        <w:rPr>
          <w:rFonts w:ascii="Times New Roman" w:eastAsia="Times New Roman" w:hAnsi="Times New Roman" w:cs="Times New Roman"/>
          <w:b/>
          <w:iCs/>
          <w:sz w:val="24"/>
          <w:szCs w:val="24"/>
        </w:rPr>
        <w:t>Item</w:t>
      </w:r>
      <w:r>
        <w:rPr>
          <w:rFonts w:ascii="Times New Roman" w:eastAsia="Times New Roman" w:hAnsi="Times New Roman" w:cs="Times New Roman"/>
          <w:b/>
          <w:iCs/>
          <w:sz w:val="24"/>
          <w:szCs w:val="24"/>
        </w:rPr>
        <w:t>s</w:t>
      </w:r>
      <w:r w:rsidRPr="003D5C10">
        <w:rPr>
          <w:rFonts w:ascii="Times New Roman" w:eastAsia="Times New Roman" w:hAnsi="Times New Roman" w:cs="Times New Roman"/>
          <w:b/>
          <w:iCs/>
          <w:sz w:val="24"/>
          <w:szCs w:val="24"/>
        </w:rPr>
        <w:t xml:space="preserve"> 3</w:t>
      </w:r>
      <w:r w:rsidR="009E3F1B">
        <w:rPr>
          <w:rFonts w:ascii="Times New Roman" w:eastAsia="Times New Roman" w:hAnsi="Times New Roman" w:cs="Times New Roman"/>
          <w:b/>
          <w:iCs/>
          <w:sz w:val="24"/>
          <w:szCs w:val="24"/>
        </w:rPr>
        <w:t>5</w:t>
      </w:r>
      <w:r w:rsidR="002D4848">
        <w:rPr>
          <w:rFonts w:ascii="Times New Roman" w:eastAsia="Times New Roman" w:hAnsi="Times New Roman" w:cs="Times New Roman"/>
          <w:b/>
          <w:iCs/>
          <w:sz w:val="24"/>
          <w:szCs w:val="24"/>
        </w:rPr>
        <w:t xml:space="preserve"> </w:t>
      </w:r>
      <w:r w:rsidR="002D4848" w:rsidRPr="002D4848">
        <w:rPr>
          <w:rFonts w:ascii="Times New Roman" w:eastAsia="Times New Roman" w:hAnsi="Times New Roman" w:cs="Times New Roman"/>
          <w:iCs/>
          <w:sz w:val="24"/>
          <w:szCs w:val="24"/>
        </w:rPr>
        <w:t>removes existing references</w:t>
      </w:r>
      <w:r w:rsidR="002D4848">
        <w:rPr>
          <w:rFonts w:ascii="Times New Roman" w:eastAsia="Times New Roman" w:hAnsi="Times New Roman" w:cs="Times New Roman"/>
          <w:iCs/>
          <w:sz w:val="24"/>
          <w:szCs w:val="24"/>
        </w:rPr>
        <w:t xml:space="preserve"> to TLFs in table item 3 in subsection 25(1). These references are superseded by the new requirement established in Item 3</w:t>
      </w:r>
      <w:r w:rsidR="00A52544">
        <w:rPr>
          <w:rFonts w:ascii="Times New Roman" w:eastAsia="Times New Roman" w:hAnsi="Times New Roman" w:cs="Times New Roman"/>
          <w:iCs/>
          <w:sz w:val="24"/>
          <w:szCs w:val="24"/>
        </w:rPr>
        <w:t>4</w:t>
      </w:r>
      <w:r w:rsidR="002D4848">
        <w:rPr>
          <w:rFonts w:ascii="Times New Roman" w:eastAsia="Times New Roman" w:hAnsi="Times New Roman" w:cs="Times New Roman"/>
          <w:iCs/>
          <w:sz w:val="24"/>
          <w:szCs w:val="24"/>
        </w:rPr>
        <w:t>.</w:t>
      </w:r>
    </w:p>
    <w:p w14:paraId="09101340" w14:textId="77777777" w:rsidR="002D4848" w:rsidRDefault="002D4848" w:rsidP="00AD65C2">
      <w:pPr>
        <w:spacing w:after="0" w:line="240" w:lineRule="auto"/>
        <w:rPr>
          <w:rFonts w:ascii="Times New Roman" w:eastAsia="Times New Roman" w:hAnsi="Times New Roman" w:cs="Times New Roman"/>
          <w:b/>
          <w:iCs/>
          <w:sz w:val="24"/>
          <w:szCs w:val="24"/>
        </w:rPr>
      </w:pPr>
    </w:p>
    <w:p w14:paraId="20F418C2" w14:textId="4E994C2C" w:rsidR="00AD65C2" w:rsidRDefault="002D4848" w:rsidP="00AD65C2">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b/>
          <w:iCs/>
          <w:sz w:val="24"/>
          <w:szCs w:val="24"/>
        </w:rPr>
        <w:t xml:space="preserve">Item </w:t>
      </w:r>
      <w:r w:rsidR="00AD65C2">
        <w:rPr>
          <w:rFonts w:ascii="Times New Roman" w:eastAsia="Times New Roman" w:hAnsi="Times New Roman" w:cs="Times New Roman"/>
          <w:b/>
          <w:iCs/>
          <w:sz w:val="24"/>
          <w:szCs w:val="24"/>
        </w:rPr>
        <w:t>3</w:t>
      </w:r>
      <w:r w:rsidR="009E3F1B">
        <w:rPr>
          <w:rFonts w:ascii="Times New Roman" w:eastAsia="Times New Roman" w:hAnsi="Times New Roman" w:cs="Times New Roman"/>
          <w:b/>
          <w:iCs/>
          <w:sz w:val="24"/>
          <w:szCs w:val="24"/>
        </w:rPr>
        <w:t>6</w:t>
      </w:r>
      <w:r w:rsidR="00AD65C2">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amends table item 3 in subsection 25(1) to re</w:t>
      </w:r>
      <w:r w:rsidR="00E45928">
        <w:rPr>
          <w:rFonts w:ascii="Times New Roman" w:eastAsia="Times New Roman" w:hAnsi="Times New Roman" w:cs="Times New Roman"/>
          <w:iCs/>
          <w:sz w:val="24"/>
          <w:szCs w:val="24"/>
        </w:rPr>
        <w:t>move the reference to paragraph </w:t>
      </w:r>
      <w:r>
        <w:rPr>
          <w:rFonts w:ascii="Times New Roman" w:eastAsia="Times New Roman" w:hAnsi="Times New Roman" w:cs="Times New Roman"/>
          <w:iCs/>
          <w:sz w:val="24"/>
          <w:szCs w:val="24"/>
        </w:rPr>
        <w:t>20(2)(d).</w:t>
      </w:r>
    </w:p>
    <w:p w14:paraId="4F668871" w14:textId="77777777" w:rsidR="00AD65C2" w:rsidRDefault="00AD65C2" w:rsidP="00AD65C2">
      <w:pPr>
        <w:spacing w:after="0" w:line="240" w:lineRule="auto"/>
        <w:rPr>
          <w:rFonts w:ascii="Times New Roman" w:eastAsia="Times New Roman" w:hAnsi="Times New Roman" w:cs="Times New Roman"/>
          <w:iCs/>
          <w:sz w:val="24"/>
          <w:szCs w:val="24"/>
        </w:rPr>
      </w:pPr>
    </w:p>
    <w:p w14:paraId="1A4D710E" w14:textId="6C05231D" w:rsidR="002D4848" w:rsidRDefault="00AD65C2" w:rsidP="00AD65C2">
      <w:pPr>
        <w:spacing w:after="0" w:line="240" w:lineRule="auto"/>
        <w:rPr>
          <w:rFonts w:ascii="Times New Roman" w:eastAsia="Times New Roman" w:hAnsi="Times New Roman" w:cs="Times New Roman"/>
          <w:iCs/>
          <w:sz w:val="24"/>
          <w:szCs w:val="24"/>
        </w:rPr>
      </w:pPr>
      <w:r w:rsidRPr="000A3A78">
        <w:rPr>
          <w:rFonts w:ascii="Times New Roman" w:eastAsia="Times New Roman" w:hAnsi="Times New Roman" w:cs="Times New Roman"/>
          <w:b/>
          <w:iCs/>
          <w:sz w:val="24"/>
          <w:szCs w:val="24"/>
        </w:rPr>
        <w:t>Item</w:t>
      </w:r>
      <w:r>
        <w:rPr>
          <w:rFonts w:ascii="Times New Roman" w:eastAsia="Times New Roman" w:hAnsi="Times New Roman" w:cs="Times New Roman"/>
          <w:b/>
          <w:iCs/>
          <w:sz w:val="24"/>
          <w:szCs w:val="24"/>
        </w:rPr>
        <w:t>s</w:t>
      </w:r>
      <w:r w:rsidRPr="000A3A78">
        <w:rPr>
          <w:rFonts w:ascii="Times New Roman" w:eastAsia="Times New Roman" w:hAnsi="Times New Roman" w:cs="Times New Roman"/>
          <w:b/>
          <w:iCs/>
          <w:sz w:val="24"/>
          <w:szCs w:val="24"/>
        </w:rPr>
        <w:t xml:space="preserve"> 3</w:t>
      </w:r>
      <w:r w:rsidR="009E3F1B">
        <w:rPr>
          <w:rFonts w:ascii="Times New Roman" w:eastAsia="Times New Roman" w:hAnsi="Times New Roman" w:cs="Times New Roman"/>
          <w:b/>
          <w:iCs/>
          <w:sz w:val="24"/>
          <w:szCs w:val="24"/>
        </w:rPr>
        <w:t>7</w:t>
      </w:r>
      <w:r>
        <w:rPr>
          <w:rFonts w:ascii="Times New Roman" w:eastAsia="Times New Roman" w:hAnsi="Times New Roman" w:cs="Times New Roman"/>
          <w:iCs/>
          <w:sz w:val="24"/>
          <w:szCs w:val="24"/>
        </w:rPr>
        <w:t xml:space="preserve"> </w:t>
      </w:r>
      <w:r w:rsidRPr="000A3A78">
        <w:rPr>
          <w:rFonts w:ascii="Times New Roman" w:eastAsia="Times New Roman" w:hAnsi="Times New Roman" w:cs="Times New Roman"/>
          <w:b/>
          <w:iCs/>
          <w:sz w:val="24"/>
          <w:szCs w:val="24"/>
        </w:rPr>
        <w:t>and 3</w:t>
      </w:r>
      <w:r w:rsidR="009E3F1B">
        <w:rPr>
          <w:rFonts w:ascii="Times New Roman" w:eastAsia="Times New Roman" w:hAnsi="Times New Roman" w:cs="Times New Roman"/>
          <w:b/>
          <w:iCs/>
          <w:sz w:val="24"/>
          <w:szCs w:val="24"/>
        </w:rPr>
        <w:t>8</w:t>
      </w:r>
      <w:r>
        <w:rPr>
          <w:rFonts w:ascii="Times New Roman" w:eastAsia="Times New Roman" w:hAnsi="Times New Roman" w:cs="Times New Roman"/>
          <w:iCs/>
          <w:sz w:val="24"/>
          <w:szCs w:val="24"/>
        </w:rPr>
        <w:t xml:space="preserve"> </w:t>
      </w:r>
      <w:r w:rsidR="002D4848">
        <w:rPr>
          <w:rFonts w:ascii="Times New Roman" w:eastAsia="Times New Roman" w:hAnsi="Times New Roman" w:cs="Times New Roman"/>
          <w:iCs/>
          <w:sz w:val="24"/>
          <w:szCs w:val="24"/>
        </w:rPr>
        <w:t>repeals table item 1 and note 1 of Clause 1 of Schedule 2 to remove the existing references to Forest Law Enforcement, Government and Trade licences from Schedule 2 of the Regulation. This reflects the limited application of Forest Law Enforcement, Governance and Trade licences to the Australian market.</w:t>
      </w:r>
    </w:p>
    <w:p w14:paraId="2AA99AB6" w14:textId="77777777" w:rsidR="002D4848" w:rsidRDefault="002D4848" w:rsidP="00AD65C2">
      <w:pPr>
        <w:spacing w:after="0" w:line="240" w:lineRule="auto"/>
        <w:rPr>
          <w:rFonts w:ascii="Times New Roman" w:eastAsia="Times New Roman" w:hAnsi="Times New Roman" w:cs="Times New Roman"/>
          <w:iCs/>
          <w:sz w:val="24"/>
          <w:szCs w:val="24"/>
        </w:rPr>
      </w:pPr>
    </w:p>
    <w:p w14:paraId="0F0AE29A" w14:textId="77777777" w:rsidR="00AD65C2" w:rsidRDefault="00AD65C2">
      <w:pPr>
        <w:spacing w:after="0" w:line="240" w:lineRule="auto"/>
        <w:rPr>
          <w:rFonts w:ascii="Times" w:eastAsia="Times New Roman" w:hAnsi="Times" w:cs="Times New Roman"/>
          <w:b/>
          <w:caps/>
          <w:color w:val="000000"/>
          <w:sz w:val="24"/>
          <w:u w:val="single"/>
        </w:rPr>
      </w:pPr>
      <w:r>
        <w:rPr>
          <w:rFonts w:ascii="Times" w:hAnsi="Times"/>
          <w:b/>
          <w:caps/>
          <w:u w:val="single"/>
        </w:rPr>
        <w:br w:type="page"/>
      </w:r>
    </w:p>
    <w:p w14:paraId="30623782" w14:textId="5463ADAF" w:rsidR="00D91785" w:rsidRDefault="00D91785" w:rsidP="00D91785">
      <w:pPr>
        <w:pStyle w:val="Normal-em"/>
        <w:spacing w:after="0" w:line="240" w:lineRule="auto"/>
        <w:jc w:val="right"/>
        <w:rPr>
          <w:rFonts w:ascii="Times" w:hAnsi="Times"/>
          <w:b/>
          <w:caps/>
          <w:u w:val="single"/>
        </w:rPr>
      </w:pPr>
      <w:r>
        <w:rPr>
          <w:rFonts w:ascii="Times" w:hAnsi="Times"/>
          <w:b/>
          <w:caps/>
          <w:u w:val="single"/>
        </w:rPr>
        <w:lastRenderedPageBreak/>
        <w:t>Attachment B</w:t>
      </w:r>
    </w:p>
    <w:p w14:paraId="42F846C6" w14:textId="77777777" w:rsidR="00D91785" w:rsidRPr="00401E03" w:rsidRDefault="00D91785" w:rsidP="00D91785">
      <w:pPr>
        <w:pStyle w:val="Normal-em"/>
        <w:spacing w:after="0" w:line="240" w:lineRule="auto"/>
        <w:rPr>
          <w:b/>
          <w:color w:val="auto"/>
          <w:szCs w:val="24"/>
        </w:rPr>
      </w:pPr>
    </w:p>
    <w:p w14:paraId="657BACC7" w14:textId="77777777" w:rsidR="00EE7B83" w:rsidRPr="009329F7" w:rsidRDefault="00EE7B83" w:rsidP="00EE7B83">
      <w:pPr>
        <w:spacing w:after="0" w:line="240" w:lineRule="auto"/>
        <w:jc w:val="center"/>
        <w:rPr>
          <w:rFonts w:ascii="Times New Roman" w:hAnsi="Times New Roman" w:cs="Times New Roman"/>
          <w:b/>
          <w:sz w:val="24"/>
          <w:szCs w:val="24"/>
        </w:rPr>
      </w:pPr>
      <w:r w:rsidRPr="009329F7">
        <w:rPr>
          <w:rFonts w:ascii="Times New Roman" w:hAnsi="Times New Roman" w:cs="Times New Roman"/>
          <w:b/>
          <w:sz w:val="24"/>
          <w:szCs w:val="24"/>
        </w:rPr>
        <w:t>Statement of Compatibility with Human Rights</w:t>
      </w:r>
    </w:p>
    <w:p w14:paraId="54A03ACA" w14:textId="77777777" w:rsidR="00EE7B83" w:rsidRPr="009329F7" w:rsidRDefault="00EE7B83" w:rsidP="00EE7B83">
      <w:pPr>
        <w:spacing w:after="0" w:line="240" w:lineRule="auto"/>
        <w:jc w:val="center"/>
        <w:rPr>
          <w:rFonts w:ascii="Times New Roman" w:hAnsi="Times New Roman" w:cs="Times New Roman"/>
          <w:sz w:val="24"/>
          <w:szCs w:val="24"/>
        </w:rPr>
      </w:pPr>
      <w:r w:rsidRPr="009329F7">
        <w:rPr>
          <w:rFonts w:ascii="Times New Roman" w:hAnsi="Times New Roman" w:cs="Times New Roman"/>
          <w:i/>
          <w:sz w:val="24"/>
          <w:szCs w:val="24"/>
        </w:rPr>
        <w:t>Prepared in accordance with Part 3 of the Human Rights (Parliamentary Scrutiny) Act 2011</w:t>
      </w:r>
    </w:p>
    <w:p w14:paraId="21FC31D3" w14:textId="77777777" w:rsidR="00EE7B83" w:rsidRPr="009329F7" w:rsidRDefault="00EE7B83" w:rsidP="00EE7B83">
      <w:pPr>
        <w:spacing w:after="0" w:line="240" w:lineRule="auto"/>
        <w:jc w:val="center"/>
        <w:rPr>
          <w:rFonts w:ascii="Times New Roman" w:hAnsi="Times New Roman" w:cs="Times New Roman"/>
          <w:sz w:val="24"/>
          <w:szCs w:val="24"/>
        </w:rPr>
      </w:pPr>
    </w:p>
    <w:p w14:paraId="63102858" w14:textId="6CD92FAE" w:rsidR="00EE7B83" w:rsidRPr="00B97C28" w:rsidRDefault="00EE7B83" w:rsidP="00EE7B83">
      <w:pPr>
        <w:spacing w:after="0" w:line="240" w:lineRule="auto"/>
        <w:jc w:val="center"/>
        <w:rPr>
          <w:rFonts w:ascii="Times New Roman" w:hAnsi="Times New Roman" w:cs="Times New Roman"/>
          <w:i/>
          <w:sz w:val="24"/>
          <w:szCs w:val="24"/>
        </w:rPr>
      </w:pPr>
      <w:r w:rsidRPr="009329F7">
        <w:rPr>
          <w:rFonts w:ascii="Times New Roman" w:hAnsi="Times New Roman" w:cs="Times New Roman"/>
          <w:b/>
          <w:sz w:val="24"/>
          <w:szCs w:val="24"/>
          <w:u w:val="single"/>
        </w:rPr>
        <w:t xml:space="preserve">Illegal Logging Prohibition </w:t>
      </w:r>
      <w:r>
        <w:rPr>
          <w:rFonts w:ascii="Times New Roman" w:hAnsi="Times New Roman" w:cs="Times New Roman"/>
          <w:b/>
          <w:sz w:val="24"/>
          <w:szCs w:val="24"/>
          <w:u w:val="single"/>
        </w:rPr>
        <w:t xml:space="preserve">Amendment </w:t>
      </w:r>
      <w:r w:rsidRPr="00EE7B83">
        <w:rPr>
          <w:rFonts w:ascii="Times New Roman" w:hAnsi="Times New Roman" w:cs="Times New Roman"/>
          <w:b/>
          <w:sz w:val="24"/>
          <w:szCs w:val="24"/>
          <w:u w:val="single"/>
        </w:rPr>
        <w:t>(</w:t>
      </w:r>
      <w:r w:rsidR="00B10FE5">
        <w:rPr>
          <w:rFonts w:ascii="Times New Roman" w:hAnsi="Times New Roman" w:cs="Times New Roman"/>
          <w:b/>
          <w:sz w:val="24"/>
          <w:szCs w:val="24"/>
          <w:u w:val="single"/>
        </w:rPr>
        <w:t>Due Diligence</w:t>
      </w:r>
      <w:r w:rsidRPr="00EE7B83">
        <w:rPr>
          <w:rFonts w:ascii="Times New Roman" w:hAnsi="Times New Roman" w:cs="Times New Roman"/>
          <w:b/>
          <w:sz w:val="24"/>
          <w:szCs w:val="24"/>
          <w:u w:val="single"/>
        </w:rPr>
        <w:t xml:space="preserve"> Improvements</w:t>
      </w:r>
      <w:r w:rsidR="003C74A5">
        <w:rPr>
          <w:rFonts w:ascii="Times New Roman" w:hAnsi="Times New Roman" w:cs="Times New Roman"/>
          <w:b/>
          <w:sz w:val="24"/>
          <w:szCs w:val="24"/>
          <w:u w:val="single"/>
        </w:rPr>
        <w:t>) Regulation</w:t>
      </w:r>
      <w:r w:rsidR="00B10FE5">
        <w:rPr>
          <w:rFonts w:ascii="Times New Roman" w:hAnsi="Times New Roman" w:cs="Times New Roman"/>
          <w:b/>
          <w:sz w:val="24"/>
          <w:szCs w:val="24"/>
          <w:u w:val="single"/>
        </w:rPr>
        <w:t>s</w:t>
      </w:r>
      <w:r w:rsidRPr="00EE7B83">
        <w:rPr>
          <w:rFonts w:ascii="Times New Roman" w:hAnsi="Times New Roman" w:cs="Times New Roman"/>
          <w:b/>
          <w:sz w:val="24"/>
          <w:szCs w:val="24"/>
          <w:u w:val="single"/>
        </w:rPr>
        <w:t xml:space="preserve"> 2017</w:t>
      </w:r>
    </w:p>
    <w:p w14:paraId="7DE896C0" w14:textId="77777777" w:rsidR="00EE7B83" w:rsidRPr="009329F7" w:rsidRDefault="00EE7B83" w:rsidP="00EE7B83">
      <w:pPr>
        <w:spacing w:after="0" w:line="240" w:lineRule="auto"/>
        <w:jc w:val="center"/>
        <w:rPr>
          <w:rFonts w:ascii="Times New Roman" w:hAnsi="Times New Roman" w:cs="Times New Roman"/>
          <w:b/>
          <w:sz w:val="24"/>
          <w:szCs w:val="24"/>
        </w:rPr>
      </w:pPr>
    </w:p>
    <w:p w14:paraId="27AD2830" w14:textId="77777777" w:rsidR="00EE7B83" w:rsidRPr="009329F7" w:rsidRDefault="00EE7B83" w:rsidP="00EE7B83">
      <w:pPr>
        <w:spacing w:after="0" w:line="240" w:lineRule="auto"/>
        <w:jc w:val="center"/>
        <w:rPr>
          <w:rFonts w:ascii="Times New Roman" w:hAnsi="Times New Roman" w:cs="Times New Roman"/>
          <w:sz w:val="24"/>
          <w:szCs w:val="24"/>
        </w:rPr>
      </w:pPr>
      <w:r w:rsidRPr="009329F7">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9329F7">
        <w:rPr>
          <w:rFonts w:ascii="Times New Roman" w:hAnsi="Times New Roman" w:cs="Times New Roman"/>
          <w:i/>
          <w:sz w:val="24"/>
          <w:szCs w:val="24"/>
        </w:rPr>
        <w:t>Human Rights (Parliamentary Scrutiny) Act 2011</w:t>
      </w:r>
      <w:r w:rsidRPr="009329F7">
        <w:rPr>
          <w:rFonts w:ascii="Times New Roman" w:hAnsi="Times New Roman" w:cs="Times New Roman"/>
          <w:sz w:val="24"/>
          <w:szCs w:val="24"/>
        </w:rPr>
        <w:t>.</w:t>
      </w:r>
    </w:p>
    <w:p w14:paraId="38EB7A07" w14:textId="77777777" w:rsidR="00EE7B83" w:rsidRPr="009329F7" w:rsidRDefault="00EE7B83" w:rsidP="00EE7B83">
      <w:pPr>
        <w:spacing w:after="0" w:line="240" w:lineRule="auto"/>
        <w:rPr>
          <w:rFonts w:ascii="Times New Roman" w:hAnsi="Times New Roman" w:cs="Times New Roman"/>
          <w:sz w:val="24"/>
          <w:szCs w:val="24"/>
        </w:rPr>
      </w:pPr>
    </w:p>
    <w:p w14:paraId="3CB5280C" w14:textId="77777777" w:rsidR="00EE7B83" w:rsidRPr="009329F7" w:rsidRDefault="00EE7B83" w:rsidP="00EE7B83">
      <w:pPr>
        <w:spacing w:after="0" w:line="240" w:lineRule="auto"/>
        <w:jc w:val="both"/>
        <w:rPr>
          <w:rFonts w:ascii="Times New Roman" w:hAnsi="Times New Roman" w:cs="Times New Roman"/>
          <w:b/>
          <w:sz w:val="24"/>
          <w:szCs w:val="24"/>
        </w:rPr>
      </w:pPr>
      <w:r w:rsidRPr="009329F7">
        <w:rPr>
          <w:rFonts w:ascii="Times New Roman" w:hAnsi="Times New Roman" w:cs="Times New Roman"/>
          <w:b/>
          <w:sz w:val="24"/>
          <w:szCs w:val="24"/>
        </w:rPr>
        <w:t>Overview of the Legislative Instrument</w:t>
      </w:r>
    </w:p>
    <w:p w14:paraId="0CCE3578" w14:textId="3554F000" w:rsidR="00EE7B83" w:rsidRDefault="00EE7B83" w:rsidP="00213197">
      <w:pPr>
        <w:tabs>
          <w:tab w:val="left" w:pos="1701"/>
          <w:tab w:val="right" w:pos="9072"/>
        </w:tabs>
        <w:spacing w:after="0" w:line="240" w:lineRule="auto"/>
        <w:rPr>
          <w:rFonts w:ascii="Times New Roman" w:hAnsi="Times New Roman" w:cs="Times New Roman"/>
          <w:sz w:val="24"/>
          <w:szCs w:val="24"/>
        </w:rPr>
      </w:pPr>
      <w:r w:rsidRPr="009329F7">
        <w:rPr>
          <w:rFonts w:ascii="Times New Roman" w:hAnsi="Times New Roman" w:cs="Times New Roman"/>
          <w:sz w:val="24"/>
          <w:szCs w:val="24"/>
        </w:rPr>
        <w:t xml:space="preserve">The </w:t>
      </w:r>
      <w:r w:rsidRPr="00F92B2A">
        <w:rPr>
          <w:rFonts w:ascii="Times New Roman" w:hAnsi="Times New Roman" w:cs="Times New Roman"/>
          <w:i/>
          <w:sz w:val="24"/>
          <w:szCs w:val="24"/>
        </w:rPr>
        <w:t>Illegal Logging Prohibition Amendment</w:t>
      </w:r>
      <w:r w:rsidR="003C74A5">
        <w:rPr>
          <w:rFonts w:ascii="Times New Roman" w:hAnsi="Times New Roman" w:cs="Times New Roman"/>
          <w:i/>
          <w:sz w:val="24"/>
          <w:szCs w:val="24"/>
        </w:rPr>
        <w:t xml:space="preserve"> (</w:t>
      </w:r>
      <w:r w:rsidR="00B10FE5">
        <w:rPr>
          <w:rFonts w:ascii="Times New Roman" w:hAnsi="Times New Roman" w:cs="Times New Roman"/>
          <w:i/>
          <w:sz w:val="24"/>
          <w:szCs w:val="24"/>
        </w:rPr>
        <w:t>Due Diligence Improvements</w:t>
      </w:r>
      <w:r w:rsidR="003C74A5">
        <w:rPr>
          <w:rFonts w:ascii="Times New Roman" w:hAnsi="Times New Roman" w:cs="Times New Roman"/>
          <w:i/>
          <w:sz w:val="24"/>
          <w:szCs w:val="24"/>
        </w:rPr>
        <w:t>)</w:t>
      </w:r>
      <w:r w:rsidRPr="00F92B2A">
        <w:rPr>
          <w:rFonts w:ascii="Times New Roman" w:hAnsi="Times New Roman" w:cs="Times New Roman"/>
          <w:i/>
          <w:sz w:val="24"/>
          <w:szCs w:val="24"/>
        </w:rPr>
        <w:t xml:space="preserve"> Regulation</w:t>
      </w:r>
      <w:r w:rsidR="002D4848">
        <w:rPr>
          <w:rFonts w:ascii="Times New Roman" w:hAnsi="Times New Roman" w:cs="Times New Roman"/>
          <w:i/>
          <w:sz w:val="24"/>
          <w:szCs w:val="24"/>
        </w:rPr>
        <w:t>s</w:t>
      </w:r>
      <w:r w:rsidRPr="00F92B2A">
        <w:rPr>
          <w:rFonts w:ascii="Times New Roman" w:hAnsi="Times New Roman" w:cs="Times New Roman"/>
          <w:i/>
          <w:sz w:val="24"/>
          <w:szCs w:val="24"/>
        </w:rPr>
        <w:t xml:space="preserve"> 2017</w:t>
      </w:r>
      <w:r w:rsidR="00213197">
        <w:rPr>
          <w:rFonts w:ascii="Times New Roman" w:hAnsi="Times New Roman" w:cs="Times New Roman"/>
          <w:i/>
          <w:sz w:val="24"/>
          <w:szCs w:val="24"/>
        </w:rPr>
        <w:t xml:space="preserve"> </w:t>
      </w:r>
      <w:r w:rsidR="00FF1691" w:rsidRPr="00FF1691">
        <w:rPr>
          <w:rFonts w:ascii="Times New Roman" w:hAnsi="Times New Roman" w:cs="Times New Roman"/>
          <w:sz w:val="24"/>
          <w:szCs w:val="24"/>
        </w:rPr>
        <w:t>(the amending Regulations)</w:t>
      </w:r>
      <w:r w:rsidR="00FF1691">
        <w:rPr>
          <w:rFonts w:ascii="Times New Roman" w:hAnsi="Times New Roman" w:cs="Times New Roman"/>
          <w:i/>
          <w:sz w:val="24"/>
          <w:szCs w:val="24"/>
        </w:rPr>
        <w:t xml:space="preserve"> </w:t>
      </w:r>
      <w:r>
        <w:rPr>
          <w:rFonts w:ascii="Times New Roman" w:hAnsi="Times New Roman" w:cs="Times New Roman"/>
          <w:sz w:val="24"/>
          <w:szCs w:val="24"/>
        </w:rPr>
        <w:t xml:space="preserve">amends the </w:t>
      </w:r>
      <w:r w:rsidRPr="004C3BE6">
        <w:rPr>
          <w:rFonts w:ascii="Times New Roman" w:hAnsi="Times New Roman" w:cs="Times New Roman"/>
          <w:i/>
          <w:sz w:val="24"/>
          <w:szCs w:val="24"/>
        </w:rPr>
        <w:t>Illegal Logging Prohibition Regulation 2012</w:t>
      </w:r>
      <w:r>
        <w:rPr>
          <w:rFonts w:ascii="Times New Roman" w:hAnsi="Times New Roman" w:cs="Times New Roman"/>
          <w:sz w:val="24"/>
          <w:szCs w:val="24"/>
        </w:rPr>
        <w:t xml:space="preserve"> </w:t>
      </w:r>
      <w:r w:rsidR="00FF1691">
        <w:rPr>
          <w:rFonts w:ascii="Times New Roman" w:hAnsi="Times New Roman" w:cs="Times New Roman"/>
          <w:sz w:val="24"/>
          <w:szCs w:val="24"/>
        </w:rPr>
        <w:t xml:space="preserve">(the primary Regulations) </w:t>
      </w:r>
      <w:r w:rsidR="00B10FE5">
        <w:rPr>
          <w:rFonts w:ascii="Times New Roman" w:hAnsi="Times New Roman" w:cs="Times New Roman"/>
          <w:sz w:val="24"/>
          <w:szCs w:val="24"/>
        </w:rPr>
        <w:t>to simplify and streamline how certain elements of the due diligence requirements operate.</w:t>
      </w:r>
    </w:p>
    <w:p w14:paraId="5DE5FFA7" w14:textId="77777777" w:rsidR="00213197" w:rsidRPr="009329F7" w:rsidRDefault="00213197" w:rsidP="00213197">
      <w:pPr>
        <w:tabs>
          <w:tab w:val="left" w:pos="1701"/>
          <w:tab w:val="right" w:pos="9072"/>
        </w:tabs>
        <w:spacing w:after="0" w:line="240" w:lineRule="auto"/>
        <w:rPr>
          <w:rFonts w:ascii="Times New Roman" w:hAnsi="Times New Roman" w:cs="Times New Roman"/>
          <w:sz w:val="24"/>
          <w:szCs w:val="24"/>
        </w:rPr>
      </w:pPr>
    </w:p>
    <w:p w14:paraId="5B8D994F" w14:textId="77777777" w:rsidR="00EE7B83" w:rsidRPr="009329F7" w:rsidRDefault="00EE7B83" w:rsidP="00EE7B83">
      <w:pPr>
        <w:spacing w:after="0" w:line="240" w:lineRule="auto"/>
        <w:jc w:val="both"/>
        <w:rPr>
          <w:rFonts w:ascii="Times New Roman" w:hAnsi="Times New Roman" w:cs="Times New Roman"/>
          <w:b/>
          <w:sz w:val="24"/>
          <w:szCs w:val="24"/>
        </w:rPr>
      </w:pPr>
      <w:r w:rsidRPr="009329F7">
        <w:rPr>
          <w:rFonts w:ascii="Times New Roman" w:hAnsi="Times New Roman" w:cs="Times New Roman"/>
          <w:b/>
          <w:sz w:val="24"/>
          <w:szCs w:val="24"/>
        </w:rPr>
        <w:t>Human rights implications</w:t>
      </w:r>
    </w:p>
    <w:p w14:paraId="46372223" w14:textId="3A6E6288" w:rsidR="00FF1691" w:rsidRDefault="00FF1691" w:rsidP="00FF16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Items 3 and </w:t>
      </w:r>
      <w:r w:rsidR="00A52544">
        <w:rPr>
          <w:rFonts w:ascii="Times New Roman" w:hAnsi="Times New Roman" w:cs="Times New Roman"/>
          <w:sz w:val="24"/>
          <w:szCs w:val="24"/>
        </w:rPr>
        <w:t>21</w:t>
      </w:r>
      <w:r>
        <w:rPr>
          <w:rFonts w:ascii="Times New Roman" w:hAnsi="Times New Roman" w:cs="Times New Roman"/>
          <w:sz w:val="24"/>
          <w:szCs w:val="24"/>
        </w:rPr>
        <w:t xml:space="preserve"> of the </w:t>
      </w:r>
      <w:r w:rsidR="00B56BA5">
        <w:rPr>
          <w:rFonts w:ascii="Times New Roman" w:hAnsi="Times New Roman" w:cs="Times New Roman"/>
          <w:sz w:val="24"/>
          <w:szCs w:val="24"/>
        </w:rPr>
        <w:t xml:space="preserve">amending </w:t>
      </w:r>
      <w:r>
        <w:rPr>
          <w:rFonts w:ascii="Times New Roman" w:hAnsi="Times New Roman" w:cs="Times New Roman"/>
          <w:sz w:val="24"/>
          <w:szCs w:val="24"/>
        </w:rPr>
        <w:t xml:space="preserve">Regulations insert new sections into the </w:t>
      </w:r>
      <w:r w:rsidR="00B56BA5">
        <w:rPr>
          <w:rFonts w:ascii="Times New Roman" w:hAnsi="Times New Roman" w:cs="Times New Roman"/>
          <w:sz w:val="24"/>
          <w:szCs w:val="24"/>
        </w:rPr>
        <w:t xml:space="preserve">primary </w:t>
      </w:r>
      <w:r>
        <w:rPr>
          <w:rFonts w:ascii="Times New Roman" w:hAnsi="Times New Roman" w:cs="Times New Roman"/>
          <w:sz w:val="24"/>
          <w:szCs w:val="24"/>
        </w:rPr>
        <w:t xml:space="preserve">Regulations which seek to prescribe conduct that is subject to a civil penalty. </w:t>
      </w:r>
      <w:r w:rsidR="00B56BA5">
        <w:rPr>
          <w:rFonts w:ascii="Times New Roman" w:hAnsi="Times New Roman" w:cs="Times New Roman"/>
          <w:sz w:val="24"/>
          <w:szCs w:val="24"/>
        </w:rPr>
        <w:t xml:space="preserve">These replace existing sections </w:t>
      </w:r>
      <w:r w:rsidR="00795DE3">
        <w:rPr>
          <w:rFonts w:ascii="Times New Roman" w:hAnsi="Times New Roman" w:cs="Times New Roman"/>
          <w:sz w:val="24"/>
          <w:szCs w:val="24"/>
        </w:rPr>
        <w:t xml:space="preserve">in the primary Regulations </w:t>
      </w:r>
      <w:r w:rsidR="00B56BA5">
        <w:rPr>
          <w:rFonts w:ascii="Times New Roman" w:hAnsi="Times New Roman" w:cs="Times New Roman"/>
          <w:sz w:val="24"/>
          <w:szCs w:val="24"/>
        </w:rPr>
        <w:t>that outline the use of Timber Legality Frameworks to identify and assess risk</w:t>
      </w:r>
      <w:r w:rsidR="00795DE3">
        <w:rPr>
          <w:rFonts w:ascii="Times New Roman" w:hAnsi="Times New Roman" w:cs="Times New Roman"/>
          <w:sz w:val="24"/>
          <w:szCs w:val="24"/>
        </w:rPr>
        <w:t>,</w:t>
      </w:r>
      <w:r w:rsidR="00B56BA5">
        <w:rPr>
          <w:rFonts w:ascii="Times New Roman" w:hAnsi="Times New Roman" w:cs="Times New Roman"/>
          <w:sz w:val="24"/>
          <w:szCs w:val="24"/>
        </w:rPr>
        <w:t xml:space="preserve"> and mirror their civil penalty </w:t>
      </w:r>
      <w:r w:rsidR="00795DE3">
        <w:rPr>
          <w:rFonts w:ascii="Times New Roman" w:hAnsi="Times New Roman" w:cs="Times New Roman"/>
          <w:sz w:val="24"/>
          <w:szCs w:val="24"/>
        </w:rPr>
        <w:t xml:space="preserve">provisions. </w:t>
      </w:r>
      <w:r>
        <w:rPr>
          <w:rFonts w:ascii="Times New Roman" w:hAnsi="Times New Roman" w:cs="Times New Roman"/>
          <w:sz w:val="24"/>
          <w:szCs w:val="24"/>
        </w:rPr>
        <w:t>The penalty for contravention of these sections is 100 penalty units for each provision.</w:t>
      </w:r>
      <w:r w:rsidR="00B56BA5">
        <w:rPr>
          <w:rFonts w:ascii="Times New Roman" w:hAnsi="Times New Roman" w:cs="Times New Roman"/>
          <w:sz w:val="24"/>
          <w:szCs w:val="24"/>
        </w:rPr>
        <w:t xml:space="preserve"> </w:t>
      </w:r>
    </w:p>
    <w:p w14:paraId="4C256883" w14:textId="77777777" w:rsidR="00FF1691" w:rsidRDefault="00FF1691" w:rsidP="00FF1691">
      <w:pPr>
        <w:spacing w:after="0" w:line="240" w:lineRule="auto"/>
        <w:rPr>
          <w:rFonts w:ascii="Times New Roman" w:hAnsi="Times New Roman" w:cs="Times New Roman"/>
          <w:sz w:val="24"/>
          <w:szCs w:val="24"/>
        </w:rPr>
      </w:pPr>
    </w:p>
    <w:p w14:paraId="52275496" w14:textId="3A146181" w:rsidR="00FF1691" w:rsidRDefault="00FF1691" w:rsidP="00FF1691">
      <w:pPr>
        <w:spacing w:after="0" w:line="240" w:lineRule="auto"/>
        <w:rPr>
          <w:rFonts w:ascii="Times New Roman" w:hAnsi="Times New Roman" w:cs="Times New Roman"/>
          <w:sz w:val="24"/>
          <w:szCs w:val="24"/>
        </w:rPr>
      </w:pPr>
      <w:r>
        <w:rPr>
          <w:rFonts w:ascii="Times New Roman" w:hAnsi="Times New Roman" w:cs="Times New Roman"/>
          <w:sz w:val="24"/>
          <w:szCs w:val="24"/>
        </w:rPr>
        <w:t>Prescribing conduct that is subject to a civil penalty could engage criminal process rights if the imposition of the penalty is classified as ‘criminal’ under international human rights law.</w:t>
      </w:r>
    </w:p>
    <w:p w14:paraId="49E4E704" w14:textId="77777777" w:rsidR="00FF1691" w:rsidRDefault="00FF1691" w:rsidP="00FF1691">
      <w:pPr>
        <w:spacing w:after="0" w:line="240" w:lineRule="auto"/>
        <w:rPr>
          <w:rFonts w:ascii="Times New Roman" w:hAnsi="Times New Roman" w:cs="Times New Roman"/>
          <w:sz w:val="24"/>
          <w:szCs w:val="24"/>
        </w:rPr>
      </w:pPr>
    </w:p>
    <w:p w14:paraId="6D7F6D33" w14:textId="77777777" w:rsidR="00FF1691" w:rsidRDefault="00FF1691" w:rsidP="00FF1691">
      <w:pPr>
        <w:spacing w:after="0" w:line="240" w:lineRule="auto"/>
        <w:rPr>
          <w:rFonts w:ascii="Times New Roman" w:hAnsi="Times New Roman" w:cs="Times New Roman"/>
          <w:sz w:val="24"/>
          <w:szCs w:val="24"/>
        </w:rPr>
      </w:pPr>
      <w:r w:rsidRPr="002E0093">
        <w:rPr>
          <w:rFonts w:ascii="Times New Roman" w:hAnsi="Times New Roman" w:cs="Times New Roman"/>
          <w:i/>
          <w:sz w:val="24"/>
          <w:szCs w:val="24"/>
        </w:rPr>
        <w:t>Guidance Note 2: Offence provisions, civil penalties and human rights</w:t>
      </w:r>
      <w:r w:rsidRPr="002E0093">
        <w:rPr>
          <w:rFonts w:ascii="Times New Roman" w:hAnsi="Times New Roman" w:cs="Times New Roman"/>
          <w:sz w:val="24"/>
          <w:szCs w:val="24"/>
        </w:rPr>
        <w:t xml:space="preserve"> (December 2014), which is published by the Parliamentary Joint Committee on Human Rights, states that civil penalty provisions may engage criminal process rights under Articles 14 and 15 of the </w:t>
      </w:r>
      <w:r w:rsidRPr="002E0093">
        <w:rPr>
          <w:rFonts w:ascii="Times New Roman" w:hAnsi="Times New Roman" w:cs="Times New Roman"/>
          <w:i/>
          <w:sz w:val="24"/>
          <w:szCs w:val="24"/>
        </w:rPr>
        <w:t>International Convention on Civil and Political Rights</w:t>
      </w:r>
      <w:r>
        <w:rPr>
          <w:rFonts w:ascii="Times New Roman" w:hAnsi="Times New Roman" w:cs="Times New Roman"/>
          <w:sz w:val="24"/>
          <w:szCs w:val="24"/>
        </w:rPr>
        <w:t xml:space="preserve"> (ICCPR)</w:t>
      </w:r>
      <w:r w:rsidRPr="002E0093">
        <w:rPr>
          <w:rFonts w:ascii="Times New Roman" w:hAnsi="Times New Roman" w:cs="Times New Roman"/>
          <w:sz w:val="24"/>
          <w:szCs w:val="24"/>
        </w:rPr>
        <w:t>, regardless of the distinction between criminal and civil penalties in domestic law. When a provision imposes a civil penalty, an assessment is required as to whether it amounts to a ‘criminal’ penalty for the purposes of the ICCPR.</w:t>
      </w:r>
    </w:p>
    <w:p w14:paraId="4C8D3B2F" w14:textId="77777777" w:rsidR="00FF1691" w:rsidRPr="002E0093" w:rsidRDefault="00FF1691" w:rsidP="00FF1691">
      <w:pPr>
        <w:spacing w:after="0" w:line="240" w:lineRule="auto"/>
        <w:rPr>
          <w:rFonts w:ascii="Times New Roman" w:hAnsi="Times New Roman" w:cs="Times New Roman"/>
          <w:sz w:val="24"/>
          <w:szCs w:val="24"/>
        </w:rPr>
      </w:pPr>
    </w:p>
    <w:p w14:paraId="61244513" w14:textId="3C0B2978" w:rsidR="00FF1691" w:rsidRPr="002E0093" w:rsidRDefault="00FF1691" w:rsidP="00FF1691">
      <w:pPr>
        <w:spacing w:after="0" w:line="240" w:lineRule="auto"/>
        <w:rPr>
          <w:rFonts w:ascii="Times New Roman" w:hAnsi="Times New Roman" w:cs="Times New Roman"/>
          <w:sz w:val="24"/>
          <w:szCs w:val="24"/>
        </w:rPr>
      </w:pPr>
      <w:r w:rsidRPr="002E0093">
        <w:rPr>
          <w:rFonts w:ascii="Times New Roman" w:hAnsi="Times New Roman" w:cs="Times New Roman"/>
          <w:sz w:val="24"/>
          <w:szCs w:val="24"/>
        </w:rPr>
        <w:t>The penalty provisions inserted by item</w:t>
      </w:r>
      <w:r>
        <w:rPr>
          <w:rFonts w:ascii="Times New Roman" w:hAnsi="Times New Roman" w:cs="Times New Roman"/>
          <w:sz w:val="24"/>
          <w:szCs w:val="24"/>
        </w:rPr>
        <w:t>s</w:t>
      </w:r>
      <w:r w:rsidRPr="002E0093">
        <w:rPr>
          <w:rFonts w:ascii="Times New Roman" w:hAnsi="Times New Roman" w:cs="Times New Roman"/>
          <w:sz w:val="24"/>
          <w:szCs w:val="24"/>
        </w:rPr>
        <w:t> </w:t>
      </w:r>
      <w:r>
        <w:rPr>
          <w:rFonts w:ascii="Times New Roman" w:hAnsi="Times New Roman" w:cs="Times New Roman"/>
          <w:sz w:val="24"/>
          <w:szCs w:val="24"/>
        </w:rPr>
        <w:t xml:space="preserve">3 and </w:t>
      </w:r>
      <w:r w:rsidR="00A52544">
        <w:rPr>
          <w:rFonts w:ascii="Times New Roman" w:hAnsi="Times New Roman" w:cs="Times New Roman"/>
          <w:sz w:val="24"/>
          <w:szCs w:val="24"/>
        </w:rPr>
        <w:t>21</w:t>
      </w:r>
      <w:r w:rsidR="00A52544" w:rsidRPr="002E0093">
        <w:rPr>
          <w:rFonts w:ascii="Times New Roman" w:hAnsi="Times New Roman" w:cs="Times New Roman"/>
          <w:sz w:val="24"/>
          <w:szCs w:val="24"/>
        </w:rPr>
        <w:t xml:space="preserve"> </w:t>
      </w:r>
      <w:r w:rsidRPr="002E0093">
        <w:rPr>
          <w:rFonts w:ascii="Times New Roman" w:hAnsi="Times New Roman" w:cs="Times New Roman"/>
          <w:sz w:val="24"/>
          <w:szCs w:val="24"/>
        </w:rPr>
        <w:t>of the </w:t>
      </w:r>
      <w:r>
        <w:rPr>
          <w:rFonts w:ascii="Times New Roman" w:hAnsi="Times New Roman" w:cs="Times New Roman"/>
          <w:sz w:val="24"/>
          <w:szCs w:val="24"/>
        </w:rPr>
        <w:t>Regulations</w:t>
      </w:r>
      <w:r w:rsidRPr="002E0093">
        <w:rPr>
          <w:rFonts w:ascii="Times New Roman" w:hAnsi="Times New Roman" w:cs="Times New Roman"/>
          <w:sz w:val="24"/>
          <w:szCs w:val="24"/>
        </w:rPr>
        <w:t xml:space="preserve"> are expressly classified as civil penalties. New subsections 9A and </w:t>
      </w:r>
      <w:r>
        <w:rPr>
          <w:rFonts w:ascii="Times New Roman" w:hAnsi="Times New Roman" w:cs="Times New Roman"/>
          <w:sz w:val="24"/>
          <w:szCs w:val="24"/>
        </w:rPr>
        <w:t>18A</w:t>
      </w:r>
      <w:r w:rsidRPr="002E0093">
        <w:rPr>
          <w:rFonts w:ascii="Times New Roman" w:hAnsi="Times New Roman" w:cs="Times New Roman"/>
          <w:sz w:val="24"/>
          <w:szCs w:val="24"/>
        </w:rPr>
        <w:t xml:space="preserve"> of the </w:t>
      </w:r>
      <w:r>
        <w:rPr>
          <w:rFonts w:ascii="Times New Roman" w:hAnsi="Times New Roman" w:cs="Times New Roman"/>
          <w:sz w:val="24"/>
          <w:szCs w:val="24"/>
        </w:rPr>
        <w:t>Principal Regulations</w:t>
      </w:r>
      <w:r w:rsidRPr="002E0093">
        <w:rPr>
          <w:rFonts w:ascii="Times New Roman" w:hAnsi="Times New Roman" w:cs="Times New Roman"/>
          <w:sz w:val="24"/>
          <w:szCs w:val="24"/>
        </w:rPr>
        <w:t xml:space="preserve"> seek to create solely pecuniary penalties in the form of a debt payable to the Commonwealth. The purpose of these penalties is to encourage compliance </w:t>
      </w:r>
      <w:r>
        <w:rPr>
          <w:rFonts w:ascii="Times New Roman" w:hAnsi="Times New Roman" w:cs="Times New Roman"/>
          <w:sz w:val="24"/>
          <w:szCs w:val="24"/>
        </w:rPr>
        <w:t>with the steps an importer or domestic processor needs to undertake to verify their products are covered by a prescribed timber legality framework</w:t>
      </w:r>
      <w:r w:rsidRPr="002E0093">
        <w:rPr>
          <w:rFonts w:ascii="Times New Roman" w:hAnsi="Times New Roman" w:cs="Times New Roman"/>
          <w:sz w:val="24"/>
          <w:szCs w:val="24"/>
        </w:rPr>
        <w:t>. The new civil penalty provisions of the </w:t>
      </w:r>
      <w:r>
        <w:rPr>
          <w:rFonts w:ascii="Times New Roman" w:hAnsi="Times New Roman" w:cs="Times New Roman"/>
          <w:sz w:val="24"/>
          <w:szCs w:val="24"/>
        </w:rPr>
        <w:t>Principal Regulations</w:t>
      </w:r>
      <w:r w:rsidRPr="002E0093">
        <w:rPr>
          <w:rFonts w:ascii="Times New Roman" w:hAnsi="Times New Roman" w:cs="Times New Roman"/>
          <w:sz w:val="24"/>
          <w:szCs w:val="24"/>
        </w:rPr>
        <w:t xml:space="preserve"> do not seek to impose criminal liability, and do not lead to the creation of a criminal record. Further, the imposition of the civil penalties is not dependent on a finding of guilt. </w:t>
      </w:r>
    </w:p>
    <w:p w14:paraId="34102621" w14:textId="77777777" w:rsidR="00EE7B83" w:rsidRPr="009329F7" w:rsidRDefault="00EE7B83" w:rsidP="00EE7B83">
      <w:pPr>
        <w:spacing w:after="0" w:line="240" w:lineRule="auto"/>
        <w:rPr>
          <w:rFonts w:ascii="Times New Roman" w:hAnsi="Times New Roman" w:cs="Times New Roman"/>
          <w:sz w:val="24"/>
          <w:szCs w:val="24"/>
        </w:rPr>
      </w:pPr>
    </w:p>
    <w:p w14:paraId="6A938824" w14:textId="77777777" w:rsidR="00EE7B83" w:rsidRPr="009329F7" w:rsidRDefault="00EE7B83" w:rsidP="00EE7B83">
      <w:pPr>
        <w:spacing w:after="0" w:line="240" w:lineRule="auto"/>
        <w:jc w:val="both"/>
        <w:rPr>
          <w:rFonts w:ascii="Times New Roman" w:hAnsi="Times New Roman" w:cs="Times New Roman"/>
          <w:b/>
          <w:sz w:val="24"/>
          <w:szCs w:val="24"/>
        </w:rPr>
      </w:pPr>
      <w:r w:rsidRPr="009329F7">
        <w:rPr>
          <w:rFonts w:ascii="Times New Roman" w:hAnsi="Times New Roman" w:cs="Times New Roman"/>
          <w:b/>
          <w:sz w:val="24"/>
          <w:szCs w:val="24"/>
        </w:rPr>
        <w:t>Conclusion</w:t>
      </w:r>
    </w:p>
    <w:p w14:paraId="506E4B40" w14:textId="110C5679" w:rsidR="00FF1691" w:rsidRDefault="00FF1691" w:rsidP="00FF16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measures in the amending Regulations are compatible with the human rights and freedoms recognised or declared in the international instruments listed in section of the </w:t>
      </w:r>
      <w:r>
        <w:rPr>
          <w:rFonts w:ascii="Times New Roman" w:hAnsi="Times New Roman" w:cs="Times New Roman"/>
          <w:i/>
          <w:sz w:val="24"/>
          <w:szCs w:val="24"/>
        </w:rPr>
        <w:t>Human Rights (Parliamentary Scrutiny) Act 2011</w:t>
      </w:r>
      <w:r>
        <w:rPr>
          <w:rFonts w:ascii="Times New Roman" w:hAnsi="Times New Roman" w:cs="Times New Roman"/>
          <w:sz w:val="24"/>
          <w:szCs w:val="24"/>
        </w:rPr>
        <w:t xml:space="preserve"> as they do not engage any human rights issues.</w:t>
      </w:r>
    </w:p>
    <w:p w14:paraId="3C8C3A22" w14:textId="77777777" w:rsidR="00EE7B83" w:rsidRPr="009329F7" w:rsidRDefault="00EE7B83" w:rsidP="00EE7B83">
      <w:pPr>
        <w:spacing w:after="0" w:line="240" w:lineRule="auto"/>
        <w:rPr>
          <w:rFonts w:ascii="Times New Roman" w:hAnsi="Times New Roman" w:cs="Times New Roman"/>
          <w:sz w:val="24"/>
          <w:szCs w:val="24"/>
        </w:rPr>
      </w:pPr>
    </w:p>
    <w:p w14:paraId="6A9EECE3" w14:textId="77777777" w:rsidR="00EE7B83" w:rsidRPr="009329F7" w:rsidRDefault="00EE7B83" w:rsidP="00EE7B83">
      <w:pPr>
        <w:spacing w:after="0" w:line="240" w:lineRule="auto"/>
        <w:rPr>
          <w:rFonts w:ascii="Times New Roman" w:hAnsi="Times New Roman" w:cs="Times New Roman"/>
          <w:sz w:val="24"/>
          <w:szCs w:val="24"/>
        </w:rPr>
      </w:pPr>
    </w:p>
    <w:p w14:paraId="6DF2A5B1" w14:textId="77777777" w:rsidR="00EE7B83" w:rsidRPr="004C3BE6" w:rsidRDefault="00EE7B83" w:rsidP="00EE7B83">
      <w:pPr>
        <w:spacing w:after="0" w:line="240" w:lineRule="auto"/>
        <w:jc w:val="center"/>
        <w:rPr>
          <w:rFonts w:ascii="Times New Roman" w:hAnsi="Times New Roman" w:cs="Times New Roman"/>
          <w:b/>
          <w:bCs/>
          <w:color w:val="000000" w:themeColor="text1"/>
          <w:sz w:val="24"/>
          <w:szCs w:val="24"/>
        </w:rPr>
      </w:pPr>
    </w:p>
    <w:p w14:paraId="10CB605A" w14:textId="77777777" w:rsidR="00EE7B83" w:rsidRPr="004C3BE6" w:rsidRDefault="00EE7B83" w:rsidP="00EE7B83">
      <w:pPr>
        <w:spacing w:after="0" w:line="240" w:lineRule="auto"/>
        <w:jc w:val="center"/>
        <w:rPr>
          <w:rFonts w:ascii="Times New Roman" w:hAnsi="Times New Roman" w:cs="Times New Roman"/>
          <w:b/>
          <w:bCs/>
          <w:color w:val="000000" w:themeColor="text1"/>
          <w:sz w:val="24"/>
          <w:szCs w:val="24"/>
        </w:rPr>
      </w:pPr>
      <w:r w:rsidRPr="004C3BE6">
        <w:rPr>
          <w:rFonts w:ascii="Times New Roman" w:hAnsi="Times New Roman" w:cs="Times New Roman"/>
          <w:b/>
          <w:bCs/>
          <w:color w:val="000000" w:themeColor="text1"/>
          <w:sz w:val="24"/>
          <w:szCs w:val="24"/>
        </w:rPr>
        <w:t>Senator the Hon. Anne Ruston</w:t>
      </w:r>
    </w:p>
    <w:p w14:paraId="653C29A5" w14:textId="4F65DC2B" w:rsidR="00EE7B83" w:rsidRDefault="00EE7B83" w:rsidP="00EE7B83">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Assistant </w:t>
      </w:r>
      <w:r w:rsidRPr="004C3BE6">
        <w:rPr>
          <w:rFonts w:ascii="Times New Roman" w:hAnsi="Times New Roman" w:cs="Times New Roman"/>
          <w:b/>
          <w:bCs/>
          <w:color w:val="000000" w:themeColor="text1"/>
          <w:sz w:val="24"/>
          <w:szCs w:val="24"/>
        </w:rPr>
        <w:t>Minister for Agriculture and Water Resources</w:t>
      </w:r>
    </w:p>
    <w:p w14:paraId="07285FE8" w14:textId="77436B4C" w:rsidR="00E45928" w:rsidRPr="004C3BE6" w:rsidRDefault="00E45928" w:rsidP="00EE7B83">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Parliamentary Secretary to the Deputy Prime Minister and Minister for Agriculture and Water Resources</w:t>
      </w:r>
    </w:p>
    <w:p w14:paraId="50168DAF" w14:textId="77777777" w:rsidR="00EE7B83" w:rsidRPr="004C3BE6" w:rsidRDefault="00EE7B83" w:rsidP="00EE7B83">
      <w:pPr>
        <w:spacing w:after="0" w:line="240" w:lineRule="auto"/>
        <w:jc w:val="center"/>
        <w:rPr>
          <w:rFonts w:ascii="Times New Roman" w:hAnsi="Times New Roman" w:cs="Times New Roman"/>
          <w:i/>
          <w:color w:val="000000" w:themeColor="text1"/>
          <w:sz w:val="24"/>
          <w:szCs w:val="24"/>
        </w:rPr>
      </w:pPr>
    </w:p>
    <w:p w14:paraId="0C465E40" w14:textId="77777777" w:rsidR="00EE7B83" w:rsidRPr="004C3BE6" w:rsidRDefault="00EE7B83" w:rsidP="00EE7B83">
      <w:pPr>
        <w:spacing w:after="0" w:line="240" w:lineRule="auto"/>
        <w:jc w:val="center"/>
        <w:rPr>
          <w:rFonts w:ascii="Times New Roman" w:hAnsi="Times New Roman" w:cs="Times New Roman"/>
          <w:color w:val="000000" w:themeColor="text1"/>
          <w:sz w:val="24"/>
          <w:szCs w:val="24"/>
        </w:rPr>
      </w:pPr>
    </w:p>
    <w:p w14:paraId="029A7167" w14:textId="77777777" w:rsidR="00905F94" w:rsidRDefault="00905F94" w:rsidP="00905F94">
      <w:pPr>
        <w:rPr>
          <w:lang w:eastAsia="ja-JP"/>
        </w:rPr>
      </w:pPr>
    </w:p>
    <w:sectPr w:rsidR="00905F9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E82CA" w14:textId="77777777" w:rsidR="00A52544" w:rsidRDefault="00A52544">
      <w:r>
        <w:separator/>
      </w:r>
    </w:p>
  </w:endnote>
  <w:endnote w:type="continuationSeparator" w:id="0">
    <w:p w14:paraId="0F943A2D" w14:textId="77777777" w:rsidR="00A52544" w:rsidRDefault="00A5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262646"/>
      <w:docPartObj>
        <w:docPartGallery w:val="Page Numbers (Bottom of Page)"/>
        <w:docPartUnique/>
      </w:docPartObj>
    </w:sdtPr>
    <w:sdtEndPr>
      <w:rPr>
        <w:rFonts w:ascii="Times New Roman" w:hAnsi="Times New Roman"/>
        <w:caps/>
        <w:noProof/>
        <w:sz w:val="24"/>
        <w:szCs w:val="24"/>
      </w:rPr>
    </w:sdtEndPr>
    <w:sdtContent>
      <w:p w14:paraId="45E533ED" w14:textId="5138D9BB" w:rsidR="00A52544" w:rsidRPr="00CA04C5" w:rsidRDefault="00A52544" w:rsidP="00CA04C5">
        <w:pPr>
          <w:pStyle w:val="Footer"/>
          <w:jc w:val="center"/>
          <w:rPr>
            <w:rFonts w:ascii="Times New Roman" w:hAnsi="Times New Roman"/>
            <w:caps/>
            <w:noProof/>
            <w:sz w:val="24"/>
            <w:szCs w:val="24"/>
          </w:rPr>
        </w:pPr>
        <w:r w:rsidRPr="00CA04C5">
          <w:rPr>
            <w:rFonts w:ascii="Times New Roman" w:hAnsi="Times New Roman"/>
            <w:caps/>
            <w:noProof/>
            <w:sz w:val="24"/>
            <w:szCs w:val="24"/>
          </w:rPr>
          <w:fldChar w:fldCharType="begin"/>
        </w:r>
        <w:r w:rsidRPr="00CA04C5">
          <w:rPr>
            <w:rFonts w:ascii="Times New Roman" w:hAnsi="Times New Roman"/>
            <w:caps/>
            <w:noProof/>
            <w:sz w:val="24"/>
            <w:szCs w:val="24"/>
          </w:rPr>
          <w:instrText xml:space="preserve"> PAGE   \* MERGEFORMAT </w:instrText>
        </w:r>
        <w:r w:rsidRPr="00CA04C5">
          <w:rPr>
            <w:rFonts w:ascii="Times New Roman" w:hAnsi="Times New Roman"/>
            <w:caps/>
            <w:noProof/>
            <w:sz w:val="24"/>
            <w:szCs w:val="24"/>
          </w:rPr>
          <w:fldChar w:fldCharType="separate"/>
        </w:r>
        <w:r w:rsidR="00C566C9">
          <w:rPr>
            <w:rFonts w:ascii="Times New Roman" w:hAnsi="Times New Roman"/>
            <w:caps/>
            <w:noProof/>
            <w:sz w:val="24"/>
            <w:szCs w:val="24"/>
          </w:rPr>
          <w:t>1</w:t>
        </w:r>
        <w:r w:rsidRPr="00CA04C5">
          <w:rPr>
            <w:rFonts w:ascii="Times New Roman" w:hAnsi="Times New Roman"/>
            <w:caps/>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F8175" w14:textId="77777777" w:rsidR="00A52544" w:rsidRDefault="00A52544">
      <w:r>
        <w:separator/>
      </w:r>
    </w:p>
  </w:footnote>
  <w:footnote w:type="continuationSeparator" w:id="0">
    <w:p w14:paraId="3C5206C8" w14:textId="77777777" w:rsidR="00A52544" w:rsidRDefault="00A525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D2EAB4"/>
    <w:lvl w:ilvl="0">
      <w:start w:val="1"/>
      <w:numFmt w:val="decimal"/>
      <w:lvlText w:val="%1."/>
      <w:lvlJc w:val="left"/>
      <w:pPr>
        <w:tabs>
          <w:tab w:val="num" w:pos="1492"/>
        </w:tabs>
        <w:ind w:left="1492" w:hanging="360"/>
      </w:pPr>
    </w:lvl>
  </w:abstractNum>
  <w:abstractNum w:abstractNumId="1">
    <w:nsid w:val="FFFFFF7D"/>
    <w:multiLevelType w:val="singleLevel"/>
    <w:tmpl w:val="EF78580E"/>
    <w:lvl w:ilvl="0">
      <w:start w:val="1"/>
      <w:numFmt w:val="decimal"/>
      <w:lvlText w:val="%1."/>
      <w:lvlJc w:val="left"/>
      <w:pPr>
        <w:tabs>
          <w:tab w:val="num" w:pos="1209"/>
        </w:tabs>
        <w:ind w:left="1209" w:hanging="360"/>
      </w:pPr>
    </w:lvl>
  </w:abstractNum>
  <w:abstractNum w:abstractNumId="2">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nsid w:val="0F7D6BD2"/>
    <w:multiLevelType w:val="hybridMultilevel"/>
    <w:tmpl w:val="687E4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9">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0">
    <w:nsid w:val="2A913599"/>
    <w:multiLevelType w:val="multilevel"/>
    <w:tmpl w:val="02AA8FA0"/>
    <w:numStyleLink w:val="ListBullets"/>
  </w:abstractNum>
  <w:abstractNum w:abstractNumId="11">
    <w:nsid w:val="2F2425AB"/>
    <w:multiLevelType w:val="multilevel"/>
    <w:tmpl w:val="BC8603C0"/>
    <w:numStyleLink w:val="ListNumbers"/>
  </w:abstractNum>
  <w:abstractNum w:abstractNumId="12">
    <w:nsid w:val="394A15FE"/>
    <w:multiLevelType w:val="multilevel"/>
    <w:tmpl w:val="118A49FA"/>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6DD5C12"/>
    <w:multiLevelType w:val="multilevel"/>
    <w:tmpl w:val="20F2356A"/>
    <w:numStyleLink w:val="Appendix"/>
  </w:abstractNum>
  <w:abstractNum w:abstractNumId="14">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6">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7">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14"/>
  </w:num>
  <w:num w:numId="3">
    <w:abstractNumId w:val="7"/>
  </w:num>
  <w:num w:numId="4">
    <w:abstractNumId w:val="8"/>
  </w:num>
  <w:num w:numId="5">
    <w:abstractNumId w:val="3"/>
  </w:num>
  <w:num w:numId="6">
    <w:abstractNumId w:val="10"/>
  </w:num>
  <w:num w:numId="7">
    <w:abstractNumId w:val="18"/>
  </w:num>
  <w:num w:numId="8">
    <w:abstractNumId w:val="11"/>
  </w:num>
  <w:num w:numId="9">
    <w:abstractNumId w:val="16"/>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7"/>
  </w:num>
  <w:num w:numId="14">
    <w:abstractNumId w:val="2"/>
  </w:num>
  <w:num w:numId="15">
    <w:abstractNumId w:val="1"/>
  </w:num>
  <w:num w:numId="16">
    <w:abstractNumId w:val="0"/>
  </w:num>
  <w:num w:numId="17">
    <w:abstractNumId w:val="4"/>
  </w:num>
  <w:num w:numId="18">
    <w:abstractNumId w:val="6"/>
  </w:num>
  <w:num w:numId="19">
    <w:abstractNumId w:val="5"/>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67"/>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451"/>
    <w:rsid w:val="00041ECC"/>
    <w:rsid w:val="00057BE1"/>
    <w:rsid w:val="000917B4"/>
    <w:rsid w:val="000A3A92"/>
    <w:rsid w:val="000B5563"/>
    <w:rsid w:val="000B5B66"/>
    <w:rsid w:val="000D39C7"/>
    <w:rsid w:val="000E4D60"/>
    <w:rsid w:val="00102CE2"/>
    <w:rsid w:val="00126061"/>
    <w:rsid w:val="00166B47"/>
    <w:rsid w:val="00197D87"/>
    <w:rsid w:val="001C57E3"/>
    <w:rsid w:val="001D15D1"/>
    <w:rsid w:val="001D2BE6"/>
    <w:rsid w:val="001F3175"/>
    <w:rsid w:val="00203F4D"/>
    <w:rsid w:val="00213197"/>
    <w:rsid w:val="002563B6"/>
    <w:rsid w:val="002766FC"/>
    <w:rsid w:val="002D216E"/>
    <w:rsid w:val="002D4848"/>
    <w:rsid w:val="002D5861"/>
    <w:rsid w:val="002F022D"/>
    <w:rsid w:val="002F213A"/>
    <w:rsid w:val="00303DFD"/>
    <w:rsid w:val="00327FE7"/>
    <w:rsid w:val="0033299A"/>
    <w:rsid w:val="003A44F7"/>
    <w:rsid w:val="003B1607"/>
    <w:rsid w:val="003C74A5"/>
    <w:rsid w:val="003D1D79"/>
    <w:rsid w:val="004136F9"/>
    <w:rsid w:val="004203C0"/>
    <w:rsid w:val="00461807"/>
    <w:rsid w:val="00466600"/>
    <w:rsid w:val="00473A35"/>
    <w:rsid w:val="00492A75"/>
    <w:rsid w:val="004D1502"/>
    <w:rsid w:val="004D54F9"/>
    <w:rsid w:val="004F01F1"/>
    <w:rsid w:val="00522FC7"/>
    <w:rsid w:val="00523744"/>
    <w:rsid w:val="0054747E"/>
    <w:rsid w:val="00583D90"/>
    <w:rsid w:val="005E3BA7"/>
    <w:rsid w:val="005E4F1D"/>
    <w:rsid w:val="00604690"/>
    <w:rsid w:val="00626E31"/>
    <w:rsid w:val="00631D56"/>
    <w:rsid w:val="00645875"/>
    <w:rsid w:val="00654451"/>
    <w:rsid w:val="0066667E"/>
    <w:rsid w:val="0068653B"/>
    <w:rsid w:val="006A16C2"/>
    <w:rsid w:val="006D22E9"/>
    <w:rsid w:val="00747F09"/>
    <w:rsid w:val="00761C35"/>
    <w:rsid w:val="00795DE3"/>
    <w:rsid w:val="007B6040"/>
    <w:rsid w:val="007B61AC"/>
    <w:rsid w:val="008452E1"/>
    <w:rsid w:val="008978A2"/>
    <w:rsid w:val="008C541F"/>
    <w:rsid w:val="008F186C"/>
    <w:rsid w:val="008F5C8C"/>
    <w:rsid w:val="00905F94"/>
    <w:rsid w:val="009927A1"/>
    <w:rsid w:val="009A272F"/>
    <w:rsid w:val="009B7C72"/>
    <w:rsid w:val="009E3F1B"/>
    <w:rsid w:val="009E7409"/>
    <w:rsid w:val="009F038E"/>
    <w:rsid w:val="009F2A84"/>
    <w:rsid w:val="00A3573F"/>
    <w:rsid w:val="00A52544"/>
    <w:rsid w:val="00A52869"/>
    <w:rsid w:val="00A5780F"/>
    <w:rsid w:val="00AA4B88"/>
    <w:rsid w:val="00AB37E3"/>
    <w:rsid w:val="00AD65C2"/>
    <w:rsid w:val="00AD727B"/>
    <w:rsid w:val="00B10FE5"/>
    <w:rsid w:val="00B11602"/>
    <w:rsid w:val="00B26C40"/>
    <w:rsid w:val="00B30896"/>
    <w:rsid w:val="00B375EB"/>
    <w:rsid w:val="00B405ED"/>
    <w:rsid w:val="00B56BA5"/>
    <w:rsid w:val="00B57188"/>
    <w:rsid w:val="00B97C28"/>
    <w:rsid w:val="00BC3FCF"/>
    <w:rsid w:val="00BC62EC"/>
    <w:rsid w:val="00C000A4"/>
    <w:rsid w:val="00C07340"/>
    <w:rsid w:val="00C566C9"/>
    <w:rsid w:val="00C6669A"/>
    <w:rsid w:val="00C8566F"/>
    <w:rsid w:val="00CA04C5"/>
    <w:rsid w:val="00CA0F37"/>
    <w:rsid w:val="00CD5095"/>
    <w:rsid w:val="00D1595B"/>
    <w:rsid w:val="00D30B5C"/>
    <w:rsid w:val="00D3668F"/>
    <w:rsid w:val="00D57923"/>
    <w:rsid w:val="00D830ED"/>
    <w:rsid w:val="00D85F18"/>
    <w:rsid w:val="00D91785"/>
    <w:rsid w:val="00DB3B72"/>
    <w:rsid w:val="00DD6E7D"/>
    <w:rsid w:val="00DF2425"/>
    <w:rsid w:val="00DF2618"/>
    <w:rsid w:val="00DF628C"/>
    <w:rsid w:val="00E320EC"/>
    <w:rsid w:val="00E3214D"/>
    <w:rsid w:val="00E32938"/>
    <w:rsid w:val="00E45928"/>
    <w:rsid w:val="00E719F4"/>
    <w:rsid w:val="00E73137"/>
    <w:rsid w:val="00E83926"/>
    <w:rsid w:val="00EE7B83"/>
    <w:rsid w:val="00EF1C6B"/>
    <w:rsid w:val="00F020DA"/>
    <w:rsid w:val="00F60B5F"/>
    <w:rsid w:val="00F94A61"/>
    <w:rsid w:val="00FF16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8E2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3" w:qFormat="1"/>
    <w:lsdException w:name="heading 3" w:uiPriority="4" w:qFormat="1"/>
    <w:lsdException w:name="heading 4" w:uiPriority="5" w:qFormat="1"/>
    <w:lsdException w:name="heading 5" w:uiPriority="9"/>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12" w:qFormat="1"/>
    <w:lsdException w:name="List Bullet" w:uiPriority="7" w:qFormat="1"/>
    <w:lsdException w:name="List Number" w:uiPriority="9" w:qFormat="1"/>
    <w:lsdException w:name="List Bullet 2" w:uiPriority="8" w:qFormat="1"/>
    <w:lsdException w:name="List Number 2" w:uiPriority="10" w:qFormat="1"/>
    <w:lsdException w:name="List Number 3" w:uiPriority="11" w:qFormat="1"/>
    <w:lsdException w:name="Title" w:semiHidden="0" w:uiPriority="10" w:unhideWhenUsed="0" w:qFormat="1"/>
    <w:lsdException w:name="Default Paragraph Font" w:uiPriority="1"/>
    <w:lsdException w:name="Subtitle" w:semiHidden="0" w:uiPriority="23"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18"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451"/>
    <w:pPr>
      <w:spacing w:after="120" w:line="264" w:lineRule="auto"/>
    </w:pPr>
    <w:rPr>
      <w:rFonts w:asciiTheme="minorHAnsi" w:eastAsiaTheme="minorEastAsia" w:hAnsiTheme="minorHAnsi" w:cstheme="minorBidi"/>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pPr>
    <w:rPr>
      <w:b/>
      <w:noProof/>
    </w:rPr>
  </w:style>
  <w:style w:type="paragraph" w:styleId="TOC2">
    <w:name w:val="toc 2"/>
    <w:basedOn w:val="Normal"/>
    <w:next w:val="Normal"/>
    <w:uiPriority w:val="39"/>
    <w:unhideWhenUsed/>
    <w:qFormat/>
    <w:pPr>
      <w:tabs>
        <w:tab w:val="right" w:leader="dot" w:pos="9060"/>
      </w:tabs>
      <w:ind w:firstLine="425"/>
    </w:pPr>
    <w:rPr>
      <w:noProof/>
    </w:rPr>
  </w:style>
  <w:style w:type="paragraph" w:styleId="TOC3">
    <w:name w:val="toc 3"/>
    <w:basedOn w:val="Normal"/>
    <w:next w:val="Normal"/>
    <w:uiPriority w:val="39"/>
    <w:unhideWhenUsed/>
    <w:qFormat/>
    <w:pPr>
      <w:tabs>
        <w:tab w:val="right" w:leader="dot" w:pos="9072"/>
      </w:tabs>
      <w:ind w:firstLine="851"/>
    </w:pPr>
    <w:rPr>
      <w:noProof/>
    </w:rPr>
  </w:style>
  <w:style w:type="paragraph" w:styleId="Caption">
    <w:name w:val="caption"/>
    <w:basedOn w:val="Normal"/>
    <w:next w:val="Normal"/>
    <w:uiPriority w:val="12"/>
    <w:qFormat/>
    <w:pPr>
      <w:keepNext/>
      <w:spacing w:before="360"/>
    </w:pPr>
    <w:rPr>
      <w:b/>
      <w:bCs/>
      <w:sz w:val="24"/>
      <w:szCs w:val="18"/>
    </w:rPr>
  </w:style>
  <w:style w:type="paragraph" w:styleId="ListBullet">
    <w:name w:val="List Bullet"/>
    <w:basedOn w:val="Normal"/>
    <w:uiPriority w:val="7"/>
    <w:qFormat/>
    <w:pPr>
      <w:numPr>
        <w:numId w:val="6"/>
      </w:numPr>
    </w:pPr>
  </w:style>
  <w:style w:type="paragraph" w:styleId="ListNumber">
    <w:name w:val="List Number"/>
    <w:basedOn w:val="Normal"/>
    <w:uiPriority w:val="9"/>
    <w:qFormat/>
    <w:pPr>
      <w:numPr>
        <w:numId w:val="8"/>
      </w:numPr>
    </w:pPr>
  </w:style>
  <w:style w:type="paragraph" w:styleId="ListBullet2">
    <w:name w:val="List Bullet 2"/>
    <w:basedOn w:val="Normal"/>
    <w:uiPriority w:val="8"/>
    <w:qFormat/>
    <w:pPr>
      <w:numPr>
        <w:ilvl w:val="1"/>
        <w:numId w:val="6"/>
      </w:numPr>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pPr>
  </w:style>
  <w:style w:type="paragraph" w:customStyle="1" w:styleId="FigureTableNoteSource">
    <w:name w:val="Figure/Table Note/Source"/>
    <w:basedOn w:val="Normal"/>
    <w:next w:val="Normal"/>
    <w:uiPriority w:val="16"/>
    <w:qFormat/>
    <w:pPr>
      <w:contextualSpacing/>
    </w:pPr>
    <w:rPr>
      <w:sz w:val="18"/>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m">
    <w:name w:val="Normal-em"/>
    <w:basedOn w:val="Normal"/>
    <w:rsid w:val="00654451"/>
    <w:rPr>
      <w:rFonts w:ascii="Times New Roman" w:eastAsia="Times New Roman" w:hAnsi="Times New Roman" w:cs="Times New Roman"/>
      <w:color w:val="000000"/>
      <w:sz w:val="24"/>
    </w:rPr>
  </w:style>
  <w:style w:type="paragraph" w:styleId="ListParagraph">
    <w:name w:val="List Paragraph"/>
    <w:basedOn w:val="Normal"/>
    <w:uiPriority w:val="99"/>
    <w:qFormat/>
    <w:rsid w:val="004D54F9"/>
    <w:pPr>
      <w:ind w:left="720"/>
      <w:contextualSpacing/>
    </w:pPr>
  </w:style>
  <w:style w:type="paragraph" w:customStyle="1" w:styleId="boxtext0">
    <w:name w:val="boxtext"/>
    <w:basedOn w:val="Normal"/>
    <w:rsid w:val="00E320E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gnCoverPageEnd">
    <w:name w:val="SignCoverPageEnd"/>
    <w:basedOn w:val="Normal"/>
    <w:next w:val="Normal"/>
    <w:rsid w:val="00D1595B"/>
    <w:pPr>
      <w:keepNext/>
      <w:pBdr>
        <w:bottom w:val="single" w:sz="4" w:space="12" w:color="auto"/>
      </w:pBdr>
      <w:tabs>
        <w:tab w:val="left" w:pos="3402"/>
      </w:tabs>
      <w:spacing w:after="0" w:line="300" w:lineRule="atLeast"/>
      <w:ind w:right="397"/>
    </w:pPr>
    <w:rPr>
      <w:rFonts w:ascii="Times New Roman" w:eastAsia="Times New Roman" w:hAnsi="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3" w:qFormat="1"/>
    <w:lsdException w:name="heading 3" w:uiPriority="4" w:qFormat="1"/>
    <w:lsdException w:name="heading 4" w:uiPriority="5" w:qFormat="1"/>
    <w:lsdException w:name="heading 5" w:uiPriority="9"/>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12" w:qFormat="1"/>
    <w:lsdException w:name="List Bullet" w:uiPriority="7" w:qFormat="1"/>
    <w:lsdException w:name="List Number" w:uiPriority="9" w:qFormat="1"/>
    <w:lsdException w:name="List Bullet 2" w:uiPriority="8" w:qFormat="1"/>
    <w:lsdException w:name="List Number 2" w:uiPriority="10" w:qFormat="1"/>
    <w:lsdException w:name="List Number 3" w:uiPriority="11" w:qFormat="1"/>
    <w:lsdException w:name="Title" w:semiHidden="0" w:uiPriority="10" w:unhideWhenUsed="0" w:qFormat="1"/>
    <w:lsdException w:name="Default Paragraph Font" w:uiPriority="1"/>
    <w:lsdException w:name="Subtitle" w:semiHidden="0" w:uiPriority="23"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18"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451"/>
    <w:pPr>
      <w:spacing w:after="120" w:line="264" w:lineRule="auto"/>
    </w:pPr>
    <w:rPr>
      <w:rFonts w:asciiTheme="minorHAnsi" w:eastAsiaTheme="minorEastAsia" w:hAnsiTheme="minorHAnsi" w:cstheme="minorBidi"/>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pPr>
    <w:rPr>
      <w:b/>
      <w:noProof/>
    </w:rPr>
  </w:style>
  <w:style w:type="paragraph" w:styleId="TOC2">
    <w:name w:val="toc 2"/>
    <w:basedOn w:val="Normal"/>
    <w:next w:val="Normal"/>
    <w:uiPriority w:val="39"/>
    <w:unhideWhenUsed/>
    <w:qFormat/>
    <w:pPr>
      <w:tabs>
        <w:tab w:val="right" w:leader="dot" w:pos="9060"/>
      </w:tabs>
      <w:ind w:firstLine="425"/>
    </w:pPr>
    <w:rPr>
      <w:noProof/>
    </w:rPr>
  </w:style>
  <w:style w:type="paragraph" w:styleId="TOC3">
    <w:name w:val="toc 3"/>
    <w:basedOn w:val="Normal"/>
    <w:next w:val="Normal"/>
    <w:uiPriority w:val="39"/>
    <w:unhideWhenUsed/>
    <w:qFormat/>
    <w:pPr>
      <w:tabs>
        <w:tab w:val="right" w:leader="dot" w:pos="9072"/>
      </w:tabs>
      <w:ind w:firstLine="851"/>
    </w:pPr>
    <w:rPr>
      <w:noProof/>
    </w:rPr>
  </w:style>
  <w:style w:type="paragraph" w:styleId="Caption">
    <w:name w:val="caption"/>
    <w:basedOn w:val="Normal"/>
    <w:next w:val="Normal"/>
    <w:uiPriority w:val="12"/>
    <w:qFormat/>
    <w:pPr>
      <w:keepNext/>
      <w:spacing w:before="360"/>
    </w:pPr>
    <w:rPr>
      <w:b/>
      <w:bCs/>
      <w:sz w:val="24"/>
      <w:szCs w:val="18"/>
    </w:rPr>
  </w:style>
  <w:style w:type="paragraph" w:styleId="ListBullet">
    <w:name w:val="List Bullet"/>
    <w:basedOn w:val="Normal"/>
    <w:uiPriority w:val="7"/>
    <w:qFormat/>
    <w:pPr>
      <w:numPr>
        <w:numId w:val="6"/>
      </w:numPr>
    </w:pPr>
  </w:style>
  <w:style w:type="paragraph" w:styleId="ListNumber">
    <w:name w:val="List Number"/>
    <w:basedOn w:val="Normal"/>
    <w:uiPriority w:val="9"/>
    <w:qFormat/>
    <w:pPr>
      <w:numPr>
        <w:numId w:val="8"/>
      </w:numPr>
    </w:pPr>
  </w:style>
  <w:style w:type="paragraph" w:styleId="ListBullet2">
    <w:name w:val="List Bullet 2"/>
    <w:basedOn w:val="Normal"/>
    <w:uiPriority w:val="8"/>
    <w:qFormat/>
    <w:pPr>
      <w:numPr>
        <w:ilvl w:val="1"/>
        <w:numId w:val="6"/>
      </w:numPr>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pPr>
  </w:style>
  <w:style w:type="paragraph" w:customStyle="1" w:styleId="FigureTableNoteSource">
    <w:name w:val="Figure/Table Note/Source"/>
    <w:basedOn w:val="Normal"/>
    <w:next w:val="Normal"/>
    <w:uiPriority w:val="16"/>
    <w:qFormat/>
    <w:pPr>
      <w:contextualSpacing/>
    </w:pPr>
    <w:rPr>
      <w:sz w:val="18"/>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m">
    <w:name w:val="Normal-em"/>
    <w:basedOn w:val="Normal"/>
    <w:rsid w:val="00654451"/>
    <w:rPr>
      <w:rFonts w:ascii="Times New Roman" w:eastAsia="Times New Roman" w:hAnsi="Times New Roman" w:cs="Times New Roman"/>
      <w:color w:val="000000"/>
      <w:sz w:val="24"/>
    </w:rPr>
  </w:style>
  <w:style w:type="paragraph" w:styleId="ListParagraph">
    <w:name w:val="List Paragraph"/>
    <w:basedOn w:val="Normal"/>
    <w:uiPriority w:val="99"/>
    <w:qFormat/>
    <w:rsid w:val="004D54F9"/>
    <w:pPr>
      <w:ind w:left="720"/>
      <w:contextualSpacing/>
    </w:pPr>
  </w:style>
  <w:style w:type="paragraph" w:customStyle="1" w:styleId="boxtext0">
    <w:name w:val="boxtext"/>
    <w:basedOn w:val="Normal"/>
    <w:rsid w:val="00E320E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gnCoverPageEnd">
    <w:name w:val="SignCoverPageEnd"/>
    <w:basedOn w:val="Normal"/>
    <w:next w:val="Normal"/>
    <w:rsid w:val="00D1595B"/>
    <w:pPr>
      <w:keepNext/>
      <w:pBdr>
        <w:bottom w:val="single" w:sz="4" w:space="12" w:color="auto"/>
      </w:pBdr>
      <w:tabs>
        <w:tab w:val="left" w:pos="3402"/>
      </w:tabs>
      <w:spacing w:after="0" w:line="300" w:lineRule="atLeast"/>
      <w:ind w:right="397"/>
    </w:pPr>
    <w:rPr>
      <w:rFonts w:ascii="Times New Roman" w:eastAsia="Times New Roman" w:hAnsi="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04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E64BD-E52B-4089-A611-EDE194910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3059</Words>
  <Characters>15051</Characters>
  <Application>Microsoft Office Word</Application>
  <DocSecurity>4</DocSecurity>
  <Lines>1075</Lines>
  <Paragraphs>584</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17526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creator>Brajdic, Samantha</dc:creator>
  <cp:lastModifiedBy>Conduit, Nikki</cp:lastModifiedBy>
  <cp:revision>2</cp:revision>
  <cp:lastPrinted>2017-09-19T05:19:00Z</cp:lastPrinted>
  <dcterms:created xsi:type="dcterms:W3CDTF">2017-10-11T03:45:00Z</dcterms:created>
  <dcterms:modified xsi:type="dcterms:W3CDTF">2017-10-11T03:45:00Z</dcterms:modified>
</cp:coreProperties>
</file>