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23" w:rsidRDefault="00872F23" w:rsidP="00126429">
      <w:pPr>
        <w:spacing w:before="0" w:after="120"/>
        <w:ind w:right="91"/>
        <w:jc w:val="center"/>
        <w:rPr>
          <w:rFonts w:ascii="Arial" w:hAnsi="Arial" w:cs="Arial"/>
          <w:b/>
          <w:szCs w:val="24"/>
          <w:u w:val="single"/>
        </w:rPr>
      </w:pPr>
    </w:p>
    <w:p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r w:rsidR="00B54C30" w:rsidRPr="00BC76EB">
        <w:rPr>
          <w:rFonts w:ascii="Arial" w:hAnsi="Arial" w:cs="Arial"/>
          <w:b/>
          <w:szCs w:val="24"/>
          <w:u w:val="single"/>
        </w:rPr>
        <w:t xml:space="preserve"> </w:t>
      </w:r>
    </w:p>
    <w:p w:rsidR="0085603F" w:rsidRPr="00BC76EB" w:rsidRDefault="0085603F" w:rsidP="00736773">
      <w:pPr>
        <w:spacing w:before="0"/>
        <w:ind w:right="91"/>
        <w:rPr>
          <w:rFonts w:ascii="Arial" w:hAnsi="Arial" w:cs="Arial"/>
          <w:szCs w:val="24"/>
        </w:rPr>
      </w:pPr>
    </w:p>
    <w:p w:rsidR="0085603F" w:rsidRPr="0085603F" w:rsidRDefault="0085603F" w:rsidP="002533F0">
      <w:pPr>
        <w:spacing w:before="0"/>
        <w:ind w:right="91"/>
        <w:jc w:val="center"/>
        <w:rPr>
          <w:rFonts w:ascii="Arial" w:hAnsi="Arial" w:cs="Arial"/>
          <w:i/>
          <w:szCs w:val="24"/>
        </w:rPr>
      </w:pPr>
      <w:r w:rsidRPr="0085603F">
        <w:rPr>
          <w:rFonts w:ascii="Arial" w:hAnsi="Arial" w:cs="Arial"/>
          <w:i/>
          <w:szCs w:val="24"/>
        </w:rPr>
        <w:t>Social Security Act 1991</w:t>
      </w:r>
    </w:p>
    <w:p w:rsidR="0085603F" w:rsidRPr="0085603F" w:rsidRDefault="0085603F" w:rsidP="002533F0">
      <w:pPr>
        <w:spacing w:before="0"/>
        <w:ind w:right="91"/>
        <w:jc w:val="center"/>
        <w:rPr>
          <w:rFonts w:ascii="Arial" w:hAnsi="Arial" w:cs="Arial"/>
          <w:i/>
          <w:szCs w:val="24"/>
        </w:rPr>
      </w:pPr>
    </w:p>
    <w:p w:rsidR="002533F0" w:rsidRPr="0085603F" w:rsidRDefault="00736773" w:rsidP="002533F0">
      <w:pPr>
        <w:spacing w:before="0"/>
        <w:ind w:right="91"/>
        <w:jc w:val="center"/>
        <w:rPr>
          <w:rFonts w:ascii="Arial" w:hAnsi="Arial" w:cs="Arial"/>
          <w:i/>
          <w:szCs w:val="24"/>
        </w:rPr>
      </w:pPr>
      <w:r w:rsidRPr="0085603F">
        <w:rPr>
          <w:rFonts w:ascii="Arial" w:hAnsi="Arial" w:cs="Arial"/>
          <w:i/>
          <w:szCs w:val="24"/>
        </w:rPr>
        <w:t xml:space="preserve">Social Security (Exempt Lump Sum – </w:t>
      </w:r>
      <w:r w:rsidR="0085603F" w:rsidRPr="0085603F">
        <w:rPr>
          <w:rFonts w:ascii="Arial" w:hAnsi="Arial" w:cs="Arial"/>
          <w:i/>
          <w:szCs w:val="24"/>
        </w:rPr>
        <w:t>New South Wales Additional Assistance Hire Vehicle Payment</w:t>
      </w:r>
      <w:r w:rsidRPr="0085603F">
        <w:rPr>
          <w:rFonts w:ascii="Arial" w:hAnsi="Arial" w:cs="Arial"/>
          <w:i/>
          <w:szCs w:val="24"/>
        </w:rPr>
        <w:t>) Determination 2017</w:t>
      </w:r>
    </w:p>
    <w:p w:rsidR="002533F0" w:rsidRPr="00BC76EB" w:rsidRDefault="002533F0" w:rsidP="002533F0">
      <w:pPr>
        <w:spacing w:before="0"/>
        <w:ind w:right="91"/>
        <w:jc w:val="center"/>
        <w:rPr>
          <w:rFonts w:ascii="Arial" w:hAnsi="Arial" w:cs="Arial"/>
          <w:i/>
          <w:szCs w:val="24"/>
        </w:rPr>
      </w:pPr>
    </w:p>
    <w:p w:rsidR="002533F0" w:rsidRPr="00BC76EB" w:rsidRDefault="00736773" w:rsidP="001A6C69">
      <w:pPr>
        <w:spacing w:before="0"/>
        <w:ind w:right="91"/>
        <w:jc w:val="both"/>
        <w:rPr>
          <w:rFonts w:ascii="Arial" w:hAnsi="Arial" w:cs="Arial"/>
          <w:b/>
          <w:szCs w:val="24"/>
        </w:rPr>
      </w:pPr>
      <w:r>
        <w:rPr>
          <w:rFonts w:ascii="Arial" w:hAnsi="Arial" w:cs="Arial"/>
          <w:b/>
          <w:szCs w:val="24"/>
        </w:rPr>
        <w:t>Summary</w:t>
      </w:r>
    </w:p>
    <w:p w:rsidR="00736773" w:rsidRPr="00736773" w:rsidRDefault="00736773" w:rsidP="001A6C69">
      <w:pPr>
        <w:jc w:val="both"/>
        <w:rPr>
          <w:rFonts w:ascii="Arial" w:hAnsi="Arial" w:cs="Arial"/>
          <w:szCs w:val="24"/>
        </w:rPr>
      </w:pPr>
      <w:r w:rsidRPr="00736773">
        <w:rPr>
          <w:rFonts w:ascii="Arial" w:hAnsi="Arial" w:cs="Arial"/>
          <w:szCs w:val="24"/>
        </w:rPr>
        <w:t>Under the social security law all income earned, derived</w:t>
      </w:r>
      <w:r w:rsidR="00132715">
        <w:rPr>
          <w:rFonts w:ascii="Arial" w:hAnsi="Arial" w:cs="Arial"/>
          <w:szCs w:val="24"/>
        </w:rPr>
        <w:t>,</w:t>
      </w:r>
      <w:r w:rsidRPr="00736773">
        <w:rPr>
          <w:rFonts w:ascii="Arial" w:hAnsi="Arial" w:cs="Arial"/>
          <w:szCs w:val="24"/>
        </w:rPr>
        <w:t xml:space="preserve"> or received for a person’s own use or benefit, is counted as income. The only exceptions are items specifically exempted under the social security law. Paragraph 8(11)(d) of the </w:t>
      </w:r>
      <w:r w:rsidRPr="00736773">
        <w:rPr>
          <w:rFonts w:ascii="Arial" w:hAnsi="Arial" w:cs="Arial"/>
          <w:i/>
          <w:szCs w:val="24"/>
        </w:rPr>
        <w:t>Social Security Act 1991</w:t>
      </w:r>
      <w:r w:rsidRPr="00736773">
        <w:rPr>
          <w:rFonts w:ascii="Arial" w:hAnsi="Arial" w:cs="Arial"/>
          <w:szCs w:val="24"/>
        </w:rPr>
        <w:t xml:space="preserve"> (the Act) allows the Secretary of the Department of Social Services (DSS) to determine that an amount or class of amounts received by a person is an exempt lump su</w:t>
      </w:r>
      <w:r w:rsidR="007C3E4E">
        <w:rPr>
          <w:rFonts w:ascii="Arial" w:hAnsi="Arial" w:cs="Arial"/>
          <w:szCs w:val="24"/>
        </w:rPr>
        <w:t xml:space="preserve">m for the purposes of the Act. </w:t>
      </w:r>
      <w:r w:rsidRPr="00736773">
        <w:rPr>
          <w:rFonts w:ascii="Arial" w:hAnsi="Arial" w:cs="Arial"/>
          <w:szCs w:val="24"/>
        </w:rPr>
        <w:t>An exempt lump sum is not included in the definition of ‘ordinary income’ under subsection 8(1) of the Act, so any such amount would not be taken into account under the social security income test.</w:t>
      </w:r>
    </w:p>
    <w:p w:rsidR="00954D27" w:rsidRDefault="00954D27" w:rsidP="001A6C69">
      <w:pPr>
        <w:jc w:val="both"/>
        <w:rPr>
          <w:rFonts w:ascii="Arial" w:hAnsi="Arial" w:cs="Arial"/>
          <w:szCs w:val="24"/>
        </w:rPr>
      </w:pPr>
      <w:r>
        <w:rPr>
          <w:rFonts w:ascii="Arial" w:hAnsi="Arial" w:cs="Arial"/>
          <w:szCs w:val="24"/>
        </w:rPr>
        <w:t xml:space="preserve">The NSW Government established a $250 million industry adjustment assistance package to help eligible taxi and hire car licence holders adjust to the point to point transport industry changes. The </w:t>
      </w:r>
      <w:r>
        <w:rPr>
          <w:rFonts w:ascii="Arial" w:hAnsi="Arial" w:cs="Arial"/>
          <w:i/>
          <w:szCs w:val="24"/>
        </w:rPr>
        <w:t xml:space="preserve">Social Security (Exempt Lump Sum – Taxi Reform Transitional Assistance Payment) Determination 2016 </w:t>
      </w:r>
      <w:r>
        <w:rPr>
          <w:rFonts w:ascii="Arial" w:hAnsi="Arial" w:cs="Arial"/>
          <w:szCs w:val="24"/>
        </w:rPr>
        <w:t xml:space="preserve">was made as part of the first stage of the industry adjustment assistance package. The Additional Assistance Hire Vehicle </w:t>
      </w:r>
      <w:r w:rsidR="007E4669">
        <w:rPr>
          <w:rFonts w:ascii="Arial" w:hAnsi="Arial" w:cs="Arial"/>
          <w:szCs w:val="24"/>
        </w:rPr>
        <w:t xml:space="preserve">Payment </w:t>
      </w:r>
      <w:r>
        <w:rPr>
          <w:rFonts w:ascii="Arial" w:hAnsi="Arial" w:cs="Arial"/>
          <w:szCs w:val="24"/>
        </w:rPr>
        <w:t xml:space="preserve">forms the second </w:t>
      </w:r>
      <w:r w:rsidR="00221D91">
        <w:rPr>
          <w:rFonts w:ascii="Arial" w:hAnsi="Arial" w:cs="Arial"/>
          <w:szCs w:val="24"/>
        </w:rPr>
        <w:t>stage</w:t>
      </w:r>
      <w:r>
        <w:rPr>
          <w:rFonts w:ascii="Arial" w:hAnsi="Arial" w:cs="Arial"/>
          <w:szCs w:val="24"/>
        </w:rPr>
        <w:t xml:space="preserve"> of the package. As part of the industry reforms, hire vehicle licences are no longer required in order to provide </w:t>
      </w:r>
      <w:r w:rsidR="00AC1F9B">
        <w:rPr>
          <w:rFonts w:ascii="Arial" w:hAnsi="Arial" w:cs="Arial"/>
          <w:szCs w:val="24"/>
        </w:rPr>
        <w:t xml:space="preserve">a </w:t>
      </w:r>
      <w:r>
        <w:rPr>
          <w:rFonts w:ascii="Arial" w:hAnsi="Arial" w:cs="Arial"/>
          <w:szCs w:val="24"/>
        </w:rPr>
        <w:t>hire vehicle service. Therefore the Additional Assistance Hire Vehicle Payment is essentially a licence buy-back scheme. The New South Wales</w:t>
      </w:r>
      <w:r w:rsidR="00767E74">
        <w:rPr>
          <w:rFonts w:ascii="Arial" w:hAnsi="Arial" w:cs="Arial"/>
          <w:szCs w:val="24"/>
        </w:rPr>
        <w:t xml:space="preserve"> Government </w:t>
      </w:r>
      <w:r>
        <w:rPr>
          <w:rFonts w:ascii="Arial" w:hAnsi="Arial" w:cs="Arial"/>
          <w:szCs w:val="24"/>
        </w:rPr>
        <w:t xml:space="preserve">has dedicated up to $10 million to reimburse eligible hire vehicle licence holders for their perpetual hire vehicle licence. </w:t>
      </w:r>
    </w:p>
    <w:p w:rsidR="009F05FF" w:rsidRDefault="009F05FF" w:rsidP="009F05FF">
      <w:pPr>
        <w:jc w:val="both"/>
        <w:rPr>
          <w:rFonts w:ascii="Arial" w:hAnsi="Arial" w:cs="Arial"/>
          <w:szCs w:val="24"/>
        </w:rPr>
      </w:pPr>
      <w:r w:rsidRPr="00736773">
        <w:rPr>
          <w:rFonts w:ascii="Arial" w:hAnsi="Arial" w:cs="Arial"/>
          <w:szCs w:val="24"/>
        </w:rPr>
        <w:t xml:space="preserve">This Determination provides that </w:t>
      </w:r>
      <w:r>
        <w:rPr>
          <w:rFonts w:ascii="Arial" w:hAnsi="Arial" w:cs="Arial"/>
          <w:szCs w:val="24"/>
        </w:rPr>
        <w:t>a</w:t>
      </w:r>
      <w:r w:rsidR="00DE7F6F">
        <w:rPr>
          <w:rFonts w:ascii="Arial" w:hAnsi="Arial" w:cs="Arial"/>
          <w:szCs w:val="24"/>
        </w:rPr>
        <w:t>n Additional Assistance Hire Vehicle Payment</w:t>
      </w:r>
      <w:r w:rsidRPr="00736773">
        <w:rPr>
          <w:rFonts w:ascii="Arial" w:hAnsi="Arial" w:cs="Arial"/>
          <w:szCs w:val="24"/>
        </w:rPr>
        <w:t xml:space="preserve"> is an exempt lump sum for the purpose of paragraph 8(11</w:t>
      </w:r>
      <w:proofErr w:type="gramStart"/>
      <w:r w:rsidRPr="00736773">
        <w:rPr>
          <w:rFonts w:ascii="Arial" w:hAnsi="Arial" w:cs="Arial"/>
          <w:szCs w:val="24"/>
        </w:rPr>
        <w:t>)(</w:t>
      </w:r>
      <w:proofErr w:type="gramEnd"/>
      <w:r w:rsidRPr="00736773">
        <w:rPr>
          <w:rFonts w:ascii="Arial" w:hAnsi="Arial" w:cs="Arial"/>
          <w:szCs w:val="24"/>
        </w:rPr>
        <w:t>d) of the Act.</w:t>
      </w:r>
    </w:p>
    <w:p w:rsidR="00736773" w:rsidRDefault="00736773" w:rsidP="001A6C69">
      <w:pPr>
        <w:jc w:val="both"/>
        <w:rPr>
          <w:rStyle w:val="BookTitle"/>
          <w:rFonts w:ascii="Arial" w:hAnsi="Arial" w:cs="Arial"/>
          <w:i w:val="0"/>
          <w:iCs w:val="0"/>
          <w:smallCaps w:val="0"/>
          <w:spacing w:val="0"/>
          <w:szCs w:val="24"/>
        </w:rPr>
      </w:pPr>
      <w:r>
        <w:rPr>
          <w:rFonts w:ascii="Arial" w:hAnsi="Arial" w:cs="Arial"/>
          <w:szCs w:val="24"/>
        </w:rPr>
        <w:t xml:space="preserve">The effect of this Determination is such that a payment will not be regarded as income under the Act, so that if a social security recipient receives such a payment, it will be exempt from the social security income test. </w:t>
      </w:r>
    </w:p>
    <w:p w:rsidR="006A6D51" w:rsidRPr="00BC76EB" w:rsidRDefault="006A6D51" w:rsidP="001A6C69">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871F28" w:rsidRPr="00736773" w:rsidRDefault="00736773" w:rsidP="001A6C69">
      <w:pPr>
        <w:jc w:val="both"/>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of the Determination states the name of the Determination.</w:t>
      </w:r>
    </w:p>
    <w:p w:rsidR="00C456ED" w:rsidRDefault="00365424" w:rsidP="001A6C69">
      <w:pPr>
        <w:jc w:val="both"/>
        <w:rPr>
          <w:rStyle w:val="BookTitle"/>
          <w:rFonts w:ascii="Arial" w:hAnsi="Arial" w:cs="Arial"/>
          <w:i w:val="0"/>
          <w:iCs w:val="0"/>
          <w:smallCaps w:val="0"/>
          <w:spacing w:val="0"/>
          <w:szCs w:val="24"/>
        </w:rPr>
      </w:pPr>
      <w:r w:rsidRPr="00736773">
        <w:rPr>
          <w:rStyle w:val="BookTitle"/>
          <w:rFonts w:ascii="Arial" w:hAnsi="Arial" w:cs="Arial"/>
          <w:b/>
          <w:i w:val="0"/>
          <w:iCs w:val="0"/>
          <w:smallCaps w:val="0"/>
          <w:spacing w:val="0"/>
          <w:szCs w:val="24"/>
        </w:rPr>
        <w:t>Section</w:t>
      </w:r>
      <w:r w:rsidR="00446D6C" w:rsidRPr="00736773">
        <w:rPr>
          <w:rStyle w:val="BookTitle"/>
          <w:rFonts w:ascii="Arial" w:hAnsi="Arial" w:cs="Arial"/>
          <w:b/>
          <w:i w:val="0"/>
          <w:iCs w:val="0"/>
          <w:smallCaps w:val="0"/>
          <w:spacing w:val="0"/>
          <w:szCs w:val="24"/>
        </w:rPr>
        <w:t xml:space="preserve"> 2 </w:t>
      </w:r>
      <w:r w:rsidR="00736773">
        <w:rPr>
          <w:rStyle w:val="BookTitle"/>
          <w:rFonts w:ascii="Arial" w:hAnsi="Arial" w:cs="Arial"/>
          <w:i w:val="0"/>
          <w:iCs w:val="0"/>
          <w:smallCaps w:val="0"/>
          <w:spacing w:val="0"/>
          <w:szCs w:val="24"/>
        </w:rPr>
        <w:t xml:space="preserve">provides that the Determination commences </w:t>
      </w:r>
      <w:r w:rsidR="0085603F">
        <w:rPr>
          <w:rStyle w:val="BookTitle"/>
          <w:rFonts w:ascii="Arial" w:hAnsi="Arial" w:cs="Arial"/>
          <w:i w:val="0"/>
          <w:iCs w:val="0"/>
          <w:smallCaps w:val="0"/>
          <w:spacing w:val="0"/>
          <w:szCs w:val="24"/>
        </w:rPr>
        <w:t xml:space="preserve">on </w:t>
      </w:r>
      <w:r w:rsidR="004D4CE5" w:rsidRPr="004D4CE5">
        <w:rPr>
          <w:rStyle w:val="BookTitle"/>
          <w:rFonts w:ascii="Arial" w:hAnsi="Arial" w:cs="Arial"/>
          <w:i w:val="0"/>
          <w:iCs w:val="0"/>
          <w:smallCaps w:val="0"/>
          <w:spacing w:val="0"/>
          <w:szCs w:val="24"/>
        </w:rPr>
        <w:t>1</w:t>
      </w:r>
      <w:r w:rsidR="004D4CE5">
        <w:rPr>
          <w:rStyle w:val="BookTitle"/>
          <w:rFonts w:ascii="Arial" w:hAnsi="Arial" w:cs="Arial"/>
          <w:i w:val="0"/>
          <w:iCs w:val="0"/>
          <w:smallCaps w:val="0"/>
          <w:spacing w:val="0"/>
          <w:szCs w:val="24"/>
        </w:rPr>
        <w:t xml:space="preserve"> </w:t>
      </w:r>
      <w:r w:rsidR="0085603F" w:rsidRPr="004D4CE5">
        <w:rPr>
          <w:rStyle w:val="BookTitle"/>
          <w:rFonts w:ascii="Arial" w:hAnsi="Arial" w:cs="Arial"/>
          <w:i w:val="0"/>
          <w:iCs w:val="0"/>
          <w:smallCaps w:val="0"/>
          <w:spacing w:val="0"/>
          <w:szCs w:val="24"/>
        </w:rPr>
        <w:t>November</w:t>
      </w:r>
      <w:r w:rsidR="006431C2" w:rsidRPr="004D4CE5">
        <w:rPr>
          <w:rStyle w:val="BookTitle"/>
          <w:rFonts w:ascii="Arial" w:hAnsi="Arial" w:cs="Arial"/>
          <w:i w:val="0"/>
          <w:iCs w:val="0"/>
          <w:smallCaps w:val="0"/>
          <w:spacing w:val="0"/>
          <w:szCs w:val="24"/>
        </w:rPr>
        <w:t xml:space="preserve"> 2017</w:t>
      </w:r>
      <w:r w:rsidR="008536EA" w:rsidRPr="004D4CE5">
        <w:rPr>
          <w:rStyle w:val="BookTitle"/>
          <w:rFonts w:ascii="Arial" w:hAnsi="Arial" w:cs="Arial"/>
          <w:i w:val="0"/>
          <w:iCs w:val="0"/>
          <w:smallCaps w:val="0"/>
          <w:spacing w:val="0"/>
          <w:szCs w:val="24"/>
        </w:rPr>
        <w:t>,</w:t>
      </w:r>
      <w:r w:rsidR="008536EA">
        <w:rPr>
          <w:rStyle w:val="BookTitle"/>
          <w:rFonts w:ascii="Arial" w:hAnsi="Arial" w:cs="Arial"/>
          <w:i w:val="0"/>
          <w:iCs w:val="0"/>
          <w:smallCaps w:val="0"/>
          <w:spacing w:val="0"/>
          <w:szCs w:val="24"/>
        </w:rPr>
        <w:t xml:space="preserve"> being the first day on which an application for a payment can be made. </w:t>
      </w:r>
    </w:p>
    <w:p w:rsidR="00736773" w:rsidRDefault="00736773" w:rsidP="001A6C69">
      <w:pPr>
        <w:jc w:val="both"/>
        <w:rPr>
          <w:rFonts w:ascii="Arial" w:hAnsi="Arial" w:cs="Arial"/>
          <w:szCs w:val="24"/>
        </w:rPr>
      </w:pPr>
      <w:r>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w:t>
      </w:r>
      <w:r w:rsidRPr="00736773">
        <w:rPr>
          <w:rFonts w:ascii="Arial" w:hAnsi="Arial" w:cs="Arial"/>
          <w:szCs w:val="24"/>
        </w:rPr>
        <w:t>provides that the authority for making this Determination is paragraph 8(11</w:t>
      </w:r>
      <w:proofErr w:type="gramStart"/>
      <w:r w:rsidRPr="00736773">
        <w:rPr>
          <w:rFonts w:ascii="Arial" w:hAnsi="Arial" w:cs="Arial"/>
          <w:szCs w:val="24"/>
        </w:rPr>
        <w:t>)(</w:t>
      </w:r>
      <w:proofErr w:type="gramEnd"/>
      <w:r w:rsidRPr="00736773">
        <w:rPr>
          <w:rFonts w:ascii="Arial" w:hAnsi="Arial" w:cs="Arial"/>
          <w:szCs w:val="24"/>
        </w:rPr>
        <w:t xml:space="preserve">d) of the </w:t>
      </w:r>
      <w:r w:rsidRPr="00736773">
        <w:rPr>
          <w:rFonts w:ascii="Arial" w:hAnsi="Arial" w:cs="Arial"/>
          <w:i/>
          <w:szCs w:val="24"/>
        </w:rPr>
        <w:t>Social Security Act 1991</w:t>
      </w:r>
      <w:r>
        <w:rPr>
          <w:rFonts w:ascii="Arial" w:hAnsi="Arial" w:cs="Arial"/>
          <w:szCs w:val="24"/>
        </w:rPr>
        <w:t>.</w:t>
      </w:r>
    </w:p>
    <w:p w:rsidR="00872F23" w:rsidRDefault="00872F23" w:rsidP="001A6C69">
      <w:pPr>
        <w:jc w:val="both"/>
        <w:rPr>
          <w:rFonts w:ascii="Arial" w:hAnsi="Arial" w:cs="Arial"/>
          <w:b/>
          <w:szCs w:val="24"/>
        </w:rPr>
      </w:pPr>
    </w:p>
    <w:p w:rsidR="00872F23" w:rsidRDefault="00872F23" w:rsidP="001A6C69">
      <w:pPr>
        <w:jc w:val="both"/>
        <w:rPr>
          <w:rFonts w:ascii="Arial" w:hAnsi="Arial" w:cs="Arial"/>
          <w:b/>
          <w:szCs w:val="24"/>
        </w:rPr>
      </w:pPr>
    </w:p>
    <w:p w:rsidR="00872F23" w:rsidRDefault="00872F23" w:rsidP="001A6C69">
      <w:pPr>
        <w:jc w:val="both"/>
        <w:rPr>
          <w:rFonts w:ascii="Arial" w:hAnsi="Arial" w:cs="Arial"/>
          <w:b/>
          <w:szCs w:val="24"/>
        </w:rPr>
      </w:pPr>
    </w:p>
    <w:p w:rsidR="00872F23" w:rsidRDefault="00872F23" w:rsidP="001A6C69">
      <w:pPr>
        <w:jc w:val="both"/>
        <w:rPr>
          <w:rFonts w:ascii="Arial" w:hAnsi="Arial" w:cs="Arial"/>
          <w:b/>
          <w:szCs w:val="24"/>
        </w:rPr>
      </w:pPr>
    </w:p>
    <w:p w:rsidR="002021B0" w:rsidRDefault="00736773" w:rsidP="001A6C69">
      <w:pPr>
        <w:jc w:val="both"/>
        <w:rPr>
          <w:rFonts w:ascii="Arial" w:hAnsi="Arial" w:cs="Arial"/>
          <w:i/>
          <w:szCs w:val="24"/>
        </w:rPr>
      </w:pPr>
      <w:r w:rsidRPr="00A1355C">
        <w:rPr>
          <w:rFonts w:ascii="Arial" w:hAnsi="Arial" w:cs="Arial"/>
          <w:b/>
          <w:szCs w:val="24"/>
        </w:rPr>
        <w:t>Section 4</w:t>
      </w:r>
      <w:r w:rsidRPr="00A1355C">
        <w:rPr>
          <w:rFonts w:ascii="Arial" w:hAnsi="Arial" w:cs="Arial"/>
          <w:szCs w:val="24"/>
        </w:rPr>
        <w:t xml:space="preserve"> contains</w:t>
      </w:r>
      <w:r>
        <w:rPr>
          <w:rFonts w:ascii="Arial" w:hAnsi="Arial" w:cs="Arial"/>
          <w:szCs w:val="24"/>
        </w:rPr>
        <w:t xml:space="preserve"> definitions of certain terms used in the Determination, including the definition of </w:t>
      </w:r>
      <w:r w:rsidR="0016207D">
        <w:rPr>
          <w:rFonts w:ascii="Arial" w:hAnsi="Arial" w:cs="Arial"/>
          <w:szCs w:val="24"/>
        </w:rPr>
        <w:t>a</w:t>
      </w:r>
      <w:r w:rsidR="008536EA">
        <w:rPr>
          <w:rFonts w:ascii="Arial" w:hAnsi="Arial" w:cs="Arial"/>
          <w:szCs w:val="24"/>
        </w:rPr>
        <w:t>n Additional Assistance Hire Vehicle Payment</w:t>
      </w:r>
      <w:r>
        <w:rPr>
          <w:rFonts w:ascii="Arial" w:hAnsi="Arial" w:cs="Arial"/>
          <w:szCs w:val="24"/>
        </w:rPr>
        <w:t xml:space="preserve">. This is defined as a payment made </w:t>
      </w:r>
      <w:r w:rsidR="002372F7">
        <w:rPr>
          <w:rFonts w:ascii="Arial" w:hAnsi="Arial" w:cs="Arial"/>
          <w:szCs w:val="24"/>
        </w:rPr>
        <w:t>by</w:t>
      </w:r>
      <w:r w:rsidR="00DD7D6F">
        <w:rPr>
          <w:rFonts w:ascii="Arial" w:hAnsi="Arial" w:cs="Arial"/>
          <w:szCs w:val="24"/>
        </w:rPr>
        <w:t xml:space="preserve"> the </w:t>
      </w:r>
      <w:r w:rsidR="008536EA">
        <w:rPr>
          <w:rFonts w:ascii="Arial" w:hAnsi="Arial" w:cs="Arial"/>
          <w:szCs w:val="24"/>
        </w:rPr>
        <w:t>New South Wales</w:t>
      </w:r>
      <w:r w:rsidR="00DD7D6F">
        <w:rPr>
          <w:rFonts w:ascii="Arial" w:hAnsi="Arial" w:cs="Arial"/>
          <w:szCs w:val="24"/>
        </w:rPr>
        <w:t xml:space="preserve"> Government under </w:t>
      </w:r>
      <w:r w:rsidR="00221D91">
        <w:rPr>
          <w:rFonts w:ascii="Arial" w:hAnsi="Arial" w:cs="Arial"/>
          <w:szCs w:val="24"/>
        </w:rPr>
        <w:t xml:space="preserve">Schedule 3 of </w:t>
      </w:r>
      <w:r w:rsidR="00DD7D6F">
        <w:rPr>
          <w:rFonts w:ascii="Arial" w:hAnsi="Arial" w:cs="Arial"/>
          <w:szCs w:val="24"/>
        </w:rPr>
        <w:t>the</w:t>
      </w:r>
      <w:r w:rsidR="0085603F" w:rsidRPr="0085603F">
        <w:t xml:space="preserve"> </w:t>
      </w:r>
      <w:r w:rsidR="0085603F" w:rsidRPr="0085603F">
        <w:rPr>
          <w:rFonts w:ascii="Arial" w:hAnsi="Arial" w:cs="Arial"/>
          <w:i/>
          <w:szCs w:val="24"/>
        </w:rPr>
        <w:t>Point to Point Transport (Taxis and Hire Vehicles) Act 2016 No 34</w:t>
      </w:r>
      <w:r w:rsidR="0085603F" w:rsidRPr="0085603F">
        <w:rPr>
          <w:rFonts w:ascii="Arial" w:hAnsi="Arial" w:cs="Arial"/>
          <w:szCs w:val="24"/>
        </w:rPr>
        <w:t xml:space="preserve"> (NSW)</w:t>
      </w:r>
      <w:r w:rsidR="0085603F">
        <w:rPr>
          <w:rFonts w:ascii="Arial" w:hAnsi="Arial" w:cs="Arial"/>
          <w:szCs w:val="24"/>
        </w:rPr>
        <w:t>.</w:t>
      </w:r>
      <w:r w:rsidR="0085603F" w:rsidRPr="0085603F">
        <w:rPr>
          <w:rFonts w:ascii="Arial" w:hAnsi="Arial" w:cs="Arial"/>
          <w:szCs w:val="24"/>
        </w:rPr>
        <w:t xml:space="preserve"> </w:t>
      </w:r>
      <w:r w:rsidR="002021B0">
        <w:rPr>
          <w:rFonts w:ascii="Arial" w:hAnsi="Arial" w:cs="Arial"/>
          <w:szCs w:val="24"/>
        </w:rPr>
        <w:t xml:space="preserve">The </w:t>
      </w:r>
      <w:r w:rsidR="002021B0">
        <w:rPr>
          <w:rFonts w:ascii="Arial" w:hAnsi="Arial" w:cs="Arial"/>
          <w:i/>
          <w:szCs w:val="24"/>
        </w:rPr>
        <w:t xml:space="preserve">Point to Point </w:t>
      </w:r>
      <w:r w:rsidR="002021B0" w:rsidRPr="0085603F">
        <w:rPr>
          <w:rFonts w:ascii="Arial" w:hAnsi="Arial" w:cs="Arial"/>
          <w:i/>
          <w:szCs w:val="24"/>
        </w:rPr>
        <w:t>Transport (Taxis and Hire Vehicles) Act 2016 No 34</w:t>
      </w:r>
      <w:r w:rsidR="002021B0" w:rsidRPr="0085603F">
        <w:rPr>
          <w:rFonts w:ascii="Arial" w:hAnsi="Arial" w:cs="Arial"/>
          <w:szCs w:val="24"/>
        </w:rPr>
        <w:t xml:space="preserve"> (NSW</w:t>
      </w:r>
      <w:r w:rsidR="002021B0">
        <w:rPr>
          <w:rFonts w:ascii="Arial" w:hAnsi="Arial" w:cs="Arial"/>
          <w:szCs w:val="24"/>
        </w:rPr>
        <w:t>) is available at: http://www.legislation.nsw.gov.au.</w:t>
      </w:r>
      <w:r w:rsidR="002021B0">
        <w:rPr>
          <w:rFonts w:ascii="Arial" w:hAnsi="Arial" w:cs="Arial"/>
          <w:i/>
          <w:szCs w:val="24"/>
        </w:rPr>
        <w:t xml:space="preserve"> </w:t>
      </w:r>
      <w:bookmarkStart w:id="0" w:name="_GoBack"/>
      <w:bookmarkEnd w:id="0"/>
    </w:p>
    <w:p w:rsidR="00736773" w:rsidRDefault="00722D35" w:rsidP="001A6C69">
      <w:pPr>
        <w:jc w:val="both"/>
        <w:rPr>
          <w:rFonts w:ascii="Arial" w:hAnsi="Arial" w:cs="Arial"/>
          <w:szCs w:val="24"/>
        </w:rPr>
      </w:pPr>
      <w:r>
        <w:rPr>
          <w:rFonts w:ascii="Arial" w:hAnsi="Arial" w:cs="Arial"/>
          <w:szCs w:val="24"/>
        </w:rPr>
        <w:t>These payments</w:t>
      </w:r>
      <w:r w:rsidR="00DD7D6F">
        <w:rPr>
          <w:rFonts w:ascii="Arial" w:hAnsi="Arial" w:cs="Arial"/>
          <w:szCs w:val="24"/>
        </w:rPr>
        <w:t xml:space="preserve"> </w:t>
      </w:r>
      <w:r>
        <w:rPr>
          <w:rFonts w:ascii="Arial" w:hAnsi="Arial" w:cs="Arial"/>
          <w:szCs w:val="24"/>
        </w:rPr>
        <w:t xml:space="preserve">are one </w:t>
      </w:r>
      <w:r w:rsidR="00DD7D6F">
        <w:rPr>
          <w:rFonts w:ascii="Arial" w:hAnsi="Arial" w:cs="Arial"/>
          <w:szCs w:val="24"/>
        </w:rPr>
        <w:t xml:space="preserve">off payments to </w:t>
      </w:r>
      <w:r w:rsidR="00C21BCF">
        <w:rPr>
          <w:rFonts w:ascii="Arial" w:hAnsi="Arial" w:cs="Arial"/>
          <w:szCs w:val="24"/>
        </w:rPr>
        <w:t xml:space="preserve">holders of a </w:t>
      </w:r>
      <w:r w:rsidR="0085603F">
        <w:rPr>
          <w:rFonts w:ascii="Arial" w:hAnsi="Arial" w:cs="Arial"/>
          <w:szCs w:val="24"/>
        </w:rPr>
        <w:t>hire vehicle</w:t>
      </w:r>
      <w:r w:rsidR="00C21BCF">
        <w:rPr>
          <w:rFonts w:ascii="Arial" w:hAnsi="Arial" w:cs="Arial"/>
          <w:szCs w:val="24"/>
        </w:rPr>
        <w:t xml:space="preserve"> licence</w:t>
      </w:r>
      <w:r w:rsidR="00DD7D6F" w:rsidRPr="006E5962">
        <w:rPr>
          <w:rFonts w:ascii="Arial" w:hAnsi="Arial" w:cs="Arial"/>
          <w:szCs w:val="24"/>
        </w:rPr>
        <w:t xml:space="preserve"> </w:t>
      </w:r>
      <w:r w:rsidR="0033748F">
        <w:rPr>
          <w:rFonts w:ascii="Arial" w:hAnsi="Arial" w:cs="Arial"/>
          <w:szCs w:val="24"/>
        </w:rPr>
        <w:t xml:space="preserve">who have been affected </w:t>
      </w:r>
      <w:r w:rsidR="006E5962" w:rsidRPr="006E5962">
        <w:rPr>
          <w:rFonts w:ascii="Arial" w:hAnsi="Arial" w:cs="Arial"/>
          <w:szCs w:val="24"/>
        </w:rPr>
        <w:t xml:space="preserve">as a result of structural changes in the taxi </w:t>
      </w:r>
      <w:r w:rsidR="0085603F">
        <w:rPr>
          <w:rFonts w:ascii="Arial" w:hAnsi="Arial" w:cs="Arial"/>
          <w:szCs w:val="24"/>
        </w:rPr>
        <w:t>and hire vehicle service industry</w:t>
      </w:r>
      <w:r w:rsidRPr="006E5962">
        <w:rPr>
          <w:rFonts w:ascii="Arial" w:hAnsi="Arial" w:cs="Arial"/>
          <w:szCs w:val="24"/>
        </w:rPr>
        <w:t>.</w:t>
      </w:r>
      <w:r w:rsidR="00173466" w:rsidRPr="00173466">
        <w:t xml:space="preserve"> </w:t>
      </w:r>
      <w:r w:rsidR="00AC1F9B">
        <w:rPr>
          <w:rFonts w:ascii="Arial" w:hAnsi="Arial" w:cs="Arial"/>
          <w:szCs w:val="24"/>
        </w:rPr>
        <w:t xml:space="preserve">A minimum payment of $30,000 will be made for perpetual hire vehicle licences outside of Sydney, </w:t>
      </w:r>
      <w:r w:rsidR="00BC3574">
        <w:rPr>
          <w:rFonts w:ascii="Arial" w:hAnsi="Arial" w:cs="Arial"/>
          <w:szCs w:val="24"/>
        </w:rPr>
        <w:t>and $80,000 for licences within Sydney. Single licence payments could be as high as $235,000 with total payments for all licences held by an individual party as high as $418,000.</w:t>
      </w:r>
    </w:p>
    <w:p w:rsidR="001A6C69" w:rsidRPr="001A6C69" w:rsidRDefault="001A6C69" w:rsidP="001A6C69">
      <w:pPr>
        <w:jc w:val="both"/>
        <w:rPr>
          <w:rStyle w:val="BookTitle"/>
          <w:rFonts w:ascii="Arial" w:hAnsi="Arial" w:cs="Arial"/>
          <w:i w:val="0"/>
          <w:iCs w:val="0"/>
          <w:smallCaps w:val="0"/>
          <w:spacing w:val="0"/>
          <w:szCs w:val="24"/>
        </w:rPr>
      </w:pPr>
      <w:r>
        <w:rPr>
          <w:rFonts w:ascii="Arial" w:hAnsi="Arial" w:cs="Arial"/>
          <w:b/>
          <w:szCs w:val="24"/>
        </w:rPr>
        <w:t>Section 5</w:t>
      </w:r>
      <w:r>
        <w:rPr>
          <w:rFonts w:ascii="Arial" w:hAnsi="Arial" w:cs="Arial"/>
          <w:szCs w:val="24"/>
        </w:rPr>
        <w:t xml:space="preserve"> </w:t>
      </w:r>
      <w:r w:rsidRPr="001A6C69">
        <w:rPr>
          <w:rFonts w:ascii="Arial" w:hAnsi="Arial" w:cs="Arial"/>
          <w:szCs w:val="24"/>
        </w:rPr>
        <w:t xml:space="preserve">specifies that a payment made to a person as </w:t>
      </w:r>
      <w:r w:rsidR="00DD7D6F">
        <w:rPr>
          <w:rFonts w:ascii="Arial" w:hAnsi="Arial" w:cs="Arial"/>
          <w:szCs w:val="24"/>
        </w:rPr>
        <w:t>a</w:t>
      </w:r>
      <w:r w:rsidR="008536EA">
        <w:rPr>
          <w:rFonts w:ascii="Arial" w:hAnsi="Arial" w:cs="Arial"/>
          <w:szCs w:val="24"/>
        </w:rPr>
        <w:t>n Additional Assistance Hire Vehicle Payment</w:t>
      </w:r>
      <w:r w:rsidRPr="001A6C69">
        <w:rPr>
          <w:rFonts w:ascii="Arial" w:hAnsi="Arial" w:cs="Arial"/>
          <w:szCs w:val="24"/>
        </w:rPr>
        <w:t xml:space="preserve"> is an exempt lump sum for the purposes of paragraph 8(11)(d) of the </w:t>
      </w:r>
      <w:r w:rsidRPr="001A6C69">
        <w:rPr>
          <w:rFonts w:ascii="Arial" w:hAnsi="Arial" w:cs="Arial"/>
          <w:i/>
          <w:szCs w:val="24"/>
        </w:rPr>
        <w:t>Social Security Act 1991</w:t>
      </w:r>
      <w:r w:rsidRPr="001A6C69">
        <w:rPr>
          <w:rFonts w:ascii="Arial" w:hAnsi="Arial" w:cs="Arial"/>
          <w:szCs w:val="24"/>
        </w:rPr>
        <w:t>. Such an amount will be regarded as an exempt lump sum from the date the payment is received by the person.</w:t>
      </w:r>
    </w:p>
    <w:p w:rsidR="0016207D" w:rsidRPr="00BC76EB" w:rsidRDefault="0016207D" w:rsidP="0016207D">
      <w:pPr>
        <w:jc w:val="both"/>
        <w:rPr>
          <w:rStyle w:val="BookTitle"/>
          <w:rFonts w:ascii="Arial" w:hAnsi="Arial" w:cs="Arial"/>
          <w:b/>
          <w:i w:val="0"/>
          <w:iCs w:val="0"/>
          <w:smallCaps w:val="0"/>
          <w:spacing w:val="0"/>
          <w:szCs w:val="24"/>
        </w:rPr>
      </w:pPr>
      <w:bookmarkStart w:id="1" w:name="_Toc290210739"/>
      <w:r w:rsidRPr="00BC76EB">
        <w:rPr>
          <w:rStyle w:val="BookTitle"/>
          <w:rFonts w:ascii="Arial" w:hAnsi="Arial" w:cs="Arial"/>
          <w:b/>
          <w:i w:val="0"/>
          <w:iCs w:val="0"/>
          <w:smallCaps w:val="0"/>
          <w:spacing w:val="0"/>
          <w:szCs w:val="24"/>
        </w:rPr>
        <w:t>Consultation</w:t>
      </w:r>
    </w:p>
    <w:p w:rsidR="008536EA" w:rsidRDefault="0016207D" w:rsidP="0016207D">
      <w:pPr>
        <w:spacing w:before="120"/>
        <w:jc w:val="both"/>
        <w:rPr>
          <w:rFonts w:ascii="Arial" w:hAnsi="Arial" w:cs="Arial"/>
          <w:szCs w:val="24"/>
        </w:rPr>
      </w:pPr>
      <w:r w:rsidRPr="0016207D">
        <w:rPr>
          <w:rFonts w:ascii="Arial" w:hAnsi="Arial" w:cs="Arial"/>
          <w:szCs w:val="24"/>
        </w:rPr>
        <w:t xml:space="preserve">This </w:t>
      </w:r>
      <w:r w:rsidR="008536EA">
        <w:rPr>
          <w:rFonts w:ascii="Arial" w:hAnsi="Arial" w:cs="Arial"/>
          <w:szCs w:val="24"/>
        </w:rPr>
        <w:t>D</w:t>
      </w:r>
      <w:r w:rsidRPr="0016207D">
        <w:rPr>
          <w:rFonts w:ascii="Arial" w:hAnsi="Arial" w:cs="Arial"/>
          <w:szCs w:val="24"/>
        </w:rPr>
        <w:t xml:space="preserve">etermination was made at the request of the </w:t>
      </w:r>
      <w:r w:rsidR="008536EA">
        <w:rPr>
          <w:rFonts w:ascii="Arial" w:hAnsi="Arial" w:cs="Arial"/>
          <w:szCs w:val="24"/>
        </w:rPr>
        <w:t xml:space="preserve">New South Wales Government Transport for NSW. </w:t>
      </w:r>
    </w:p>
    <w:p w:rsidR="008536EA" w:rsidRDefault="007E4669" w:rsidP="0016207D">
      <w:pPr>
        <w:spacing w:before="120"/>
        <w:jc w:val="both"/>
        <w:rPr>
          <w:rFonts w:ascii="Arial" w:hAnsi="Arial" w:cs="Arial"/>
          <w:szCs w:val="24"/>
        </w:rPr>
      </w:pPr>
      <w:r>
        <w:rPr>
          <w:rFonts w:ascii="Arial" w:hAnsi="Arial" w:cs="Arial"/>
          <w:szCs w:val="24"/>
        </w:rPr>
        <w:t>The Departments of Human Services, Veterans’ Affairs and Agriculture and Water Services have been consulted about this determination.</w:t>
      </w:r>
    </w:p>
    <w:p w:rsidR="0016207D" w:rsidRPr="0016207D" w:rsidRDefault="0016207D" w:rsidP="0016207D">
      <w:pPr>
        <w:spacing w:before="120"/>
        <w:jc w:val="both"/>
        <w:rPr>
          <w:rFonts w:ascii="Arial" w:hAnsi="Arial" w:cs="Arial"/>
          <w:szCs w:val="24"/>
        </w:rPr>
      </w:pPr>
      <w:r w:rsidRPr="0016207D">
        <w:rPr>
          <w:rFonts w:ascii="Arial" w:hAnsi="Arial" w:cs="Arial"/>
          <w:szCs w:val="24"/>
        </w:rPr>
        <w:t xml:space="preserve">This Determination will be beneficial to persons affected as it exempts a </w:t>
      </w:r>
      <w:r w:rsidR="008536EA">
        <w:rPr>
          <w:rFonts w:ascii="Arial" w:hAnsi="Arial" w:cs="Arial"/>
          <w:szCs w:val="24"/>
        </w:rPr>
        <w:t>New South Wales Additional Assistance Hire Vehicle</w:t>
      </w:r>
      <w:r w:rsidR="006431C2" w:rsidRPr="0016207D">
        <w:rPr>
          <w:rFonts w:ascii="Arial" w:hAnsi="Arial" w:cs="Arial"/>
          <w:szCs w:val="24"/>
        </w:rPr>
        <w:t xml:space="preserve"> </w:t>
      </w:r>
      <w:r w:rsidRPr="0016207D">
        <w:rPr>
          <w:rFonts w:ascii="Arial" w:hAnsi="Arial" w:cs="Arial"/>
          <w:szCs w:val="24"/>
        </w:rPr>
        <w:t>Payment from the social security income test. As a result, public consultation was considered unnecessary.</w:t>
      </w:r>
    </w:p>
    <w:p w:rsidR="0016207D" w:rsidRPr="00BC76EB" w:rsidRDefault="0016207D" w:rsidP="0016207D">
      <w:pPr>
        <w:spacing w:after="240"/>
        <w:jc w:val="both"/>
        <w:rPr>
          <w:rFonts w:ascii="Arial" w:hAnsi="Arial" w:cs="Arial"/>
          <w:b/>
          <w:szCs w:val="24"/>
        </w:rPr>
      </w:pPr>
      <w:r w:rsidRPr="00BC76EB">
        <w:rPr>
          <w:rFonts w:ascii="Arial" w:hAnsi="Arial" w:cs="Arial"/>
          <w:b/>
          <w:szCs w:val="24"/>
        </w:rPr>
        <w:t>Regulation Impact Statement (RIS)</w:t>
      </w:r>
    </w:p>
    <w:p w:rsidR="007E4669" w:rsidRDefault="0016207D" w:rsidP="0016207D">
      <w:pPr>
        <w:jc w:val="both"/>
        <w:rPr>
          <w:rFonts w:ascii="Arial" w:hAnsi="Arial" w:cs="Arial"/>
          <w:szCs w:val="24"/>
        </w:rPr>
      </w:pPr>
      <w:r w:rsidRPr="00B63566">
        <w:rPr>
          <w:rFonts w:ascii="Arial" w:hAnsi="Arial" w:cs="Arial"/>
          <w:szCs w:val="24"/>
        </w:rPr>
        <w:t xml:space="preserve">The Determination does not require a Regulatory Impact Statement. The Determination is not regulatory in nature, will </w:t>
      </w:r>
      <w:r w:rsidRPr="00B63566">
        <w:rPr>
          <w:rFonts w:ascii="Arial" w:hAnsi="Arial" w:cs="Arial"/>
          <w:bCs/>
          <w:szCs w:val="24"/>
        </w:rPr>
        <w:t>not</w:t>
      </w:r>
      <w:r w:rsidRPr="00B63566">
        <w:rPr>
          <w:rFonts w:ascii="Arial" w:hAnsi="Arial" w:cs="Arial"/>
          <w:szCs w:val="24"/>
        </w:rPr>
        <w:t xml:space="preserve"> impact on business activity and will have no, or minimal, compliance costs or competition impact.</w:t>
      </w:r>
    </w:p>
    <w:p w:rsidR="007E4669" w:rsidRDefault="007E4669">
      <w:pPr>
        <w:spacing w:before="0" w:after="200" w:line="276" w:lineRule="auto"/>
        <w:rPr>
          <w:rFonts w:ascii="Arial" w:hAnsi="Arial" w:cs="Arial"/>
          <w:szCs w:val="24"/>
        </w:rPr>
      </w:pPr>
      <w:r>
        <w:rPr>
          <w:rFonts w:ascii="Arial" w:hAnsi="Arial" w:cs="Arial"/>
          <w:szCs w:val="24"/>
        </w:rPr>
        <w:br w:type="page"/>
      </w:r>
    </w:p>
    <w:p w:rsidR="007E4669" w:rsidRPr="00057409" w:rsidRDefault="007E4669" w:rsidP="007E4669">
      <w:pPr>
        <w:keepNext/>
        <w:spacing w:before="0" w:after="200" w:line="276" w:lineRule="auto"/>
        <w:jc w:val="center"/>
        <w:outlineLvl w:val="2"/>
        <w:rPr>
          <w:rFonts w:ascii="Arial" w:eastAsiaTheme="minorHAnsi" w:hAnsi="Arial" w:cstheme="minorBidi"/>
          <w:b/>
          <w:bCs/>
          <w:szCs w:val="24"/>
          <w:lang w:eastAsia="en-US"/>
        </w:rPr>
      </w:pPr>
      <w:bookmarkStart w:id="2" w:name="_Toc290210738"/>
      <w:r w:rsidRPr="00057409">
        <w:rPr>
          <w:rFonts w:ascii="Arial" w:eastAsiaTheme="minorHAnsi" w:hAnsi="Arial" w:cstheme="minorBidi"/>
          <w:b/>
          <w:bCs/>
          <w:szCs w:val="24"/>
          <w:lang w:eastAsia="en-US"/>
        </w:rPr>
        <w:lastRenderedPageBreak/>
        <w:t>Statement of Compatibility with Human Rights</w:t>
      </w:r>
    </w:p>
    <w:p w:rsidR="007E4669" w:rsidRPr="007E4669" w:rsidRDefault="007E4669" w:rsidP="007E4669">
      <w:pPr>
        <w:spacing w:before="0" w:after="200" w:line="276" w:lineRule="auto"/>
        <w:jc w:val="center"/>
        <w:rPr>
          <w:rFonts w:ascii="Arial" w:eastAsiaTheme="minorHAnsi" w:hAnsi="Arial" w:cstheme="minorBidi"/>
          <w:i/>
          <w:szCs w:val="24"/>
          <w:lang w:eastAsia="en-US"/>
        </w:rPr>
      </w:pPr>
      <w:r w:rsidRPr="007E4669">
        <w:rPr>
          <w:rFonts w:ascii="Arial" w:eastAsiaTheme="minorHAnsi" w:hAnsi="Arial" w:cstheme="minorBidi"/>
          <w:szCs w:val="24"/>
          <w:lang w:eastAsia="en-US"/>
        </w:rPr>
        <w:t>Prepared in accordance with Part 3 of the</w:t>
      </w:r>
      <w:r w:rsidRPr="007E4669">
        <w:rPr>
          <w:rFonts w:ascii="Arial" w:eastAsiaTheme="minorHAnsi" w:hAnsi="Arial" w:cstheme="minorBidi"/>
          <w:i/>
          <w:szCs w:val="24"/>
          <w:lang w:eastAsia="en-US"/>
        </w:rPr>
        <w:t xml:space="preserve"> Human Rights (Parliamentary Scrutiny) Act 2011</w:t>
      </w:r>
    </w:p>
    <w:p w:rsidR="007E4669" w:rsidRPr="007E4669" w:rsidRDefault="007E4669" w:rsidP="007E4669">
      <w:pPr>
        <w:spacing w:after="200" w:line="276" w:lineRule="auto"/>
        <w:jc w:val="center"/>
        <w:rPr>
          <w:rFonts w:ascii="Arial" w:eastAsiaTheme="minorHAnsi" w:hAnsi="Arial" w:cstheme="minorBidi"/>
          <w:b/>
          <w:bCs/>
          <w:i/>
          <w:szCs w:val="24"/>
          <w:lang w:eastAsia="en-US"/>
        </w:rPr>
      </w:pPr>
      <w:r w:rsidRPr="007E4669">
        <w:rPr>
          <w:rFonts w:ascii="Arial" w:eastAsiaTheme="minorHAnsi" w:hAnsi="Arial" w:cs="Arial"/>
          <w:b/>
          <w:i/>
          <w:szCs w:val="24"/>
          <w:lang w:eastAsia="en-US"/>
        </w:rPr>
        <w:t>Social Security (Exempt Lump Sum – New South Wales Additional Assistance Hire Vehicle Payment) Determination 2017</w:t>
      </w:r>
    </w:p>
    <w:p w:rsidR="007E4669" w:rsidRPr="007E4669" w:rsidRDefault="007E4669" w:rsidP="007E4669">
      <w:pPr>
        <w:spacing w:after="200"/>
        <w:jc w:val="both"/>
        <w:rPr>
          <w:rFonts w:ascii="Arial" w:eastAsiaTheme="minorHAnsi" w:hAnsi="Arial" w:cs="Arial"/>
          <w:szCs w:val="24"/>
          <w:lang w:eastAsia="en-US"/>
        </w:rPr>
      </w:pPr>
      <w:r w:rsidRPr="007E4669">
        <w:rPr>
          <w:rFonts w:ascii="Arial" w:eastAsiaTheme="minorHAnsi" w:hAnsi="Arial" w:cs="Arial"/>
          <w:szCs w:val="24"/>
          <w:lang w:eastAsia="en-US"/>
        </w:rPr>
        <w:t xml:space="preserve">The effect of the Determination is that a person who receives a hire vehicle additional assistance payment from the NSW Government under Schedule 3 of the NSW </w:t>
      </w:r>
      <w:r w:rsidRPr="007E4669">
        <w:rPr>
          <w:rFonts w:ascii="Arial" w:eastAsiaTheme="minorHAnsi" w:hAnsi="Arial" w:cs="Arial"/>
          <w:i/>
          <w:szCs w:val="24"/>
          <w:lang w:eastAsia="en-US"/>
        </w:rPr>
        <w:t>Point to Point Transport (Taxis and Hire Vehicles) Act 2016</w:t>
      </w:r>
      <w:r w:rsidRPr="007E4669">
        <w:rPr>
          <w:rFonts w:ascii="Arial" w:eastAsiaTheme="minorHAnsi" w:hAnsi="Arial" w:cs="Arial"/>
          <w:szCs w:val="24"/>
          <w:lang w:eastAsia="en-US"/>
        </w:rPr>
        <w:t xml:space="preserve"> will not have that payment assessed as income under the social security law. </w:t>
      </w:r>
    </w:p>
    <w:p w:rsidR="007E4669" w:rsidRPr="007E4669" w:rsidRDefault="007E4669" w:rsidP="007E4669">
      <w:pPr>
        <w:spacing w:before="0" w:after="200" w:line="276" w:lineRule="auto"/>
        <w:jc w:val="both"/>
        <w:outlineLvl w:val="2"/>
        <w:rPr>
          <w:rFonts w:ascii="Arial" w:eastAsiaTheme="minorHAnsi" w:hAnsi="Arial" w:cstheme="minorBidi"/>
          <w:i/>
          <w:szCs w:val="24"/>
          <w:lang w:eastAsia="en-US"/>
        </w:rPr>
      </w:pPr>
      <w:r w:rsidRPr="007E4669">
        <w:rPr>
          <w:rFonts w:ascii="Arial" w:eastAsiaTheme="minorHAnsi" w:hAnsi="Arial" w:cs="Arial"/>
          <w:b/>
          <w:sz w:val="22"/>
          <w:szCs w:val="22"/>
          <w:lang w:eastAsia="en-US"/>
        </w:rPr>
        <w:t>Human rights implications</w:t>
      </w:r>
      <w:r w:rsidRPr="007E4669" w:rsidDel="00EC3852">
        <w:rPr>
          <w:rFonts w:ascii="Arial" w:eastAsiaTheme="minorHAnsi" w:hAnsi="Arial" w:cstheme="minorBidi"/>
          <w:i/>
          <w:szCs w:val="24"/>
          <w:lang w:eastAsia="en-US"/>
        </w:rPr>
        <w:t xml:space="preserve"> </w:t>
      </w:r>
    </w:p>
    <w:p w:rsidR="007E4669" w:rsidRPr="007E4669" w:rsidRDefault="007E4669" w:rsidP="007E4669">
      <w:pPr>
        <w:spacing w:before="0"/>
        <w:jc w:val="both"/>
        <w:rPr>
          <w:rFonts w:ascii="Arial" w:hAnsi="Arial" w:cs="Arial"/>
          <w:lang w:eastAsia="en-US"/>
        </w:rPr>
      </w:pPr>
      <w:r w:rsidRPr="007E4669">
        <w:rPr>
          <w:rFonts w:ascii="Arial" w:hAnsi="Arial" w:cs="Arial"/>
          <w:lang w:eastAsia="en-US"/>
        </w:rPr>
        <w:t xml:space="preserve">This Determination is made under Section 8(11) of the </w:t>
      </w:r>
      <w:r w:rsidRPr="007E4669">
        <w:rPr>
          <w:rFonts w:ascii="Arial" w:hAnsi="Arial" w:cs="Arial"/>
          <w:i/>
          <w:lang w:eastAsia="en-US"/>
        </w:rPr>
        <w:t>Social Security Act 1991</w:t>
      </w:r>
      <w:r w:rsidRPr="007E4669">
        <w:rPr>
          <w:rFonts w:ascii="Arial" w:hAnsi="Arial" w:cs="Arial"/>
          <w:lang w:eastAsia="en-US"/>
        </w:rPr>
        <w:t xml:space="preserve"> (the Act) and determines that </w:t>
      </w:r>
      <w:r w:rsidR="008E6D38">
        <w:rPr>
          <w:rFonts w:ascii="Arial" w:hAnsi="Arial" w:cs="Arial"/>
          <w:lang w:eastAsia="en-US"/>
        </w:rPr>
        <w:t>additional assistance hire vehicle</w:t>
      </w:r>
      <w:r w:rsidRPr="007E4669">
        <w:rPr>
          <w:rFonts w:ascii="Arial" w:hAnsi="Arial" w:cs="Arial"/>
          <w:lang w:eastAsia="en-US"/>
        </w:rPr>
        <w:t xml:space="preserve"> payments from the Transport for NSW (on behalf of the NSW Government) </w:t>
      </w:r>
      <w:r w:rsidR="008E6D38">
        <w:rPr>
          <w:rFonts w:ascii="Arial" w:hAnsi="Arial" w:cs="Arial"/>
          <w:szCs w:val="24"/>
        </w:rPr>
        <w:t>under Schedule 3 of the</w:t>
      </w:r>
      <w:r w:rsidR="008E6D38" w:rsidRPr="0085603F">
        <w:t xml:space="preserve"> </w:t>
      </w:r>
      <w:r w:rsidR="008E6D38" w:rsidRPr="0085603F">
        <w:rPr>
          <w:rFonts w:ascii="Arial" w:hAnsi="Arial" w:cs="Arial"/>
          <w:i/>
          <w:szCs w:val="24"/>
        </w:rPr>
        <w:t>Point to Point Transport (Taxis and Hire Vehicles) Act 2016 No 34</w:t>
      </w:r>
      <w:r w:rsidR="008E6D38" w:rsidRPr="0085603F">
        <w:rPr>
          <w:rFonts w:ascii="Arial" w:hAnsi="Arial" w:cs="Arial"/>
          <w:szCs w:val="24"/>
        </w:rPr>
        <w:t xml:space="preserve"> (NSW) </w:t>
      </w:r>
      <w:r w:rsidRPr="007E4669">
        <w:rPr>
          <w:rFonts w:ascii="Arial" w:hAnsi="Arial" w:cs="Arial"/>
          <w:lang w:eastAsia="en-US"/>
        </w:rPr>
        <w:t xml:space="preserve">will not be assessed under the social security income test for the purposes of the Act, thereby exempting such payments from the social security income test.  </w:t>
      </w:r>
    </w:p>
    <w:p w:rsidR="007E4669" w:rsidRPr="007E4669" w:rsidRDefault="007E4669" w:rsidP="007E4669">
      <w:pPr>
        <w:spacing w:before="0"/>
        <w:jc w:val="both"/>
        <w:rPr>
          <w:rFonts w:ascii="Arial" w:hAnsi="Arial" w:cs="Arial"/>
          <w:lang w:eastAsia="en-US"/>
        </w:rPr>
      </w:pPr>
    </w:p>
    <w:p w:rsidR="007E4669" w:rsidRPr="007E4669" w:rsidRDefault="007E4669" w:rsidP="007E4669">
      <w:pPr>
        <w:spacing w:before="0"/>
        <w:jc w:val="both"/>
        <w:rPr>
          <w:rFonts w:ascii="Arial" w:hAnsi="Arial" w:cs="Arial"/>
          <w:lang w:eastAsia="en-US"/>
        </w:rPr>
      </w:pPr>
      <w:r w:rsidRPr="007E4669">
        <w:rPr>
          <w:rFonts w:ascii="Arial" w:hAnsi="Arial" w:cs="Arial"/>
          <w:lang w:eastAsia="en-US"/>
        </w:rPr>
        <w:t xml:space="preserve">The Determination ensures that people receiving payments </w:t>
      </w:r>
      <w:r w:rsidR="008E6D38">
        <w:rPr>
          <w:rFonts w:ascii="Arial" w:hAnsi="Arial" w:cs="Arial"/>
          <w:szCs w:val="24"/>
        </w:rPr>
        <w:t>under Schedule 3 of the</w:t>
      </w:r>
      <w:r w:rsidR="008E6D38" w:rsidRPr="0085603F">
        <w:t xml:space="preserve"> </w:t>
      </w:r>
      <w:r w:rsidR="008E6D38" w:rsidRPr="0085603F">
        <w:rPr>
          <w:rFonts w:ascii="Arial" w:hAnsi="Arial" w:cs="Arial"/>
          <w:i/>
          <w:szCs w:val="24"/>
        </w:rPr>
        <w:t>Point to Point Transport (Taxis and Hire Vehicles) Act 2016 No 34</w:t>
      </w:r>
      <w:r w:rsidR="008E6D38" w:rsidRPr="0085603F">
        <w:rPr>
          <w:rFonts w:ascii="Arial" w:hAnsi="Arial" w:cs="Arial"/>
          <w:szCs w:val="24"/>
        </w:rPr>
        <w:t xml:space="preserve"> (NSW)</w:t>
      </w:r>
      <w:r w:rsidR="008E6D38">
        <w:rPr>
          <w:rFonts w:ascii="Arial" w:hAnsi="Arial" w:cs="Arial"/>
          <w:szCs w:val="24"/>
        </w:rPr>
        <w:t xml:space="preserve"> </w:t>
      </w:r>
      <w:r w:rsidRPr="007E4669">
        <w:rPr>
          <w:rFonts w:ascii="Arial" w:hAnsi="Arial" w:cs="Arial"/>
          <w:lang w:eastAsia="en-US"/>
        </w:rPr>
        <w:t xml:space="preserve">will not have these payments assessed as income for social security purposes. </w:t>
      </w:r>
    </w:p>
    <w:p w:rsidR="007E4669" w:rsidRPr="007E4669" w:rsidRDefault="007E4669" w:rsidP="007E4669">
      <w:pPr>
        <w:spacing w:before="0"/>
        <w:jc w:val="both"/>
        <w:rPr>
          <w:rFonts w:ascii="Arial" w:hAnsi="Arial" w:cs="Arial"/>
          <w:lang w:eastAsia="en-US"/>
        </w:rPr>
      </w:pPr>
    </w:p>
    <w:p w:rsidR="007E4669" w:rsidRPr="007E4669" w:rsidRDefault="007E4669" w:rsidP="007E4669">
      <w:pPr>
        <w:spacing w:before="0"/>
        <w:jc w:val="both"/>
        <w:rPr>
          <w:rFonts w:ascii="Arial" w:hAnsi="Arial" w:cs="Arial"/>
          <w:lang w:eastAsia="en-US"/>
        </w:rPr>
      </w:pPr>
      <w:r w:rsidRPr="007E4669">
        <w:rPr>
          <w:rFonts w:ascii="Arial" w:hAnsi="Arial" w:cs="Arial"/>
          <w:lang w:eastAsia="en-US"/>
        </w:rPr>
        <w:t>The Determination engages the right to social security.</w:t>
      </w:r>
    </w:p>
    <w:p w:rsidR="007E4669" w:rsidRPr="007E4669" w:rsidRDefault="007E4669" w:rsidP="007E4669">
      <w:pPr>
        <w:spacing w:before="0"/>
        <w:jc w:val="both"/>
        <w:rPr>
          <w:rFonts w:ascii="Arial" w:hAnsi="Arial" w:cs="Arial"/>
          <w:lang w:eastAsia="en-US"/>
        </w:rPr>
      </w:pPr>
    </w:p>
    <w:p w:rsidR="007E4669" w:rsidRPr="007E4669" w:rsidRDefault="007E4669" w:rsidP="007E4669">
      <w:pPr>
        <w:spacing w:before="0"/>
        <w:jc w:val="both"/>
        <w:rPr>
          <w:rFonts w:ascii="Arial" w:hAnsi="Arial" w:cs="Arial"/>
          <w:u w:val="single"/>
          <w:lang w:eastAsia="en-US"/>
        </w:rPr>
      </w:pPr>
      <w:r w:rsidRPr="007E4669">
        <w:rPr>
          <w:rFonts w:ascii="Arial" w:hAnsi="Arial" w:cs="Arial"/>
          <w:u w:val="single"/>
          <w:lang w:eastAsia="en-US"/>
        </w:rPr>
        <w:t>The right to social security</w:t>
      </w:r>
    </w:p>
    <w:p w:rsidR="007E4669" w:rsidRPr="007E4669" w:rsidRDefault="007E4669" w:rsidP="007E4669">
      <w:pPr>
        <w:spacing w:before="0"/>
        <w:jc w:val="both"/>
        <w:rPr>
          <w:rFonts w:ascii="Arial" w:hAnsi="Arial" w:cs="Arial"/>
          <w:u w:val="single"/>
          <w:lang w:eastAsia="en-US"/>
        </w:rPr>
      </w:pPr>
    </w:p>
    <w:p w:rsidR="007E4669" w:rsidRPr="007E4669" w:rsidRDefault="007E4669" w:rsidP="007E4669">
      <w:pPr>
        <w:autoSpaceDE w:val="0"/>
        <w:autoSpaceDN w:val="0"/>
        <w:adjustRightInd w:val="0"/>
        <w:spacing w:before="0" w:after="200"/>
        <w:jc w:val="both"/>
        <w:rPr>
          <w:rFonts w:ascii="Arial" w:eastAsiaTheme="minorHAnsi" w:hAnsi="Arial" w:cs="Arial"/>
          <w:szCs w:val="24"/>
          <w:lang w:eastAsia="en-US"/>
        </w:rPr>
      </w:pPr>
      <w:r w:rsidRPr="007E4669">
        <w:rPr>
          <w:rFonts w:ascii="Arial" w:eastAsiaTheme="minorHAnsi" w:hAnsi="Arial" w:cstheme="minorBidi"/>
          <w:szCs w:val="24"/>
          <w:lang w:eastAsia="en-US"/>
        </w:rPr>
        <w:t>T</w:t>
      </w:r>
      <w:r w:rsidRPr="007E4669">
        <w:rPr>
          <w:rFonts w:ascii="Arial" w:eastAsiaTheme="minorHAnsi" w:hAnsi="Arial" w:cs="Arial"/>
          <w:szCs w:val="24"/>
          <w:lang w:eastAsia="en-US"/>
        </w:rPr>
        <w:t xml:space="preserve">he Determination will operate beneficially as a payment </w:t>
      </w:r>
      <w:r w:rsidR="008E6D38">
        <w:rPr>
          <w:rFonts w:ascii="Arial" w:hAnsi="Arial" w:cs="Arial"/>
          <w:szCs w:val="24"/>
        </w:rPr>
        <w:t>under Schedule 3 of the</w:t>
      </w:r>
      <w:r w:rsidR="008E6D38" w:rsidRPr="0085603F">
        <w:t xml:space="preserve"> </w:t>
      </w:r>
      <w:r w:rsidR="008E6D38" w:rsidRPr="0085603F">
        <w:rPr>
          <w:rFonts w:ascii="Arial" w:hAnsi="Arial" w:cs="Arial"/>
          <w:i/>
          <w:szCs w:val="24"/>
        </w:rPr>
        <w:t>Point to Point Transport (Taxis and Hire Vehicles) Act 2016 No 34</w:t>
      </w:r>
      <w:r w:rsidR="008E6D38" w:rsidRPr="0085603F">
        <w:rPr>
          <w:rFonts w:ascii="Arial" w:hAnsi="Arial" w:cs="Arial"/>
          <w:szCs w:val="24"/>
        </w:rPr>
        <w:t xml:space="preserve"> (NSW)</w:t>
      </w:r>
      <w:r w:rsidR="008E6D38">
        <w:rPr>
          <w:rFonts w:ascii="Arial" w:hAnsi="Arial" w:cs="Arial"/>
          <w:szCs w:val="24"/>
        </w:rPr>
        <w:t xml:space="preserve"> </w:t>
      </w:r>
      <w:r w:rsidRPr="007E4669">
        <w:rPr>
          <w:rFonts w:ascii="Arial" w:eastAsiaTheme="minorHAnsi" w:hAnsi="Arial" w:cs="Arial"/>
          <w:szCs w:val="24"/>
          <w:lang w:eastAsia="en-US"/>
        </w:rPr>
        <w:t xml:space="preserve">will not be taken into account when assessing a person’s eligibility for, or rate of social security entitlements under the social security income test. If such payments were not exempted, a person in receipt of a payment </w:t>
      </w:r>
      <w:r w:rsidR="008E6D38">
        <w:rPr>
          <w:rFonts w:ascii="Arial" w:hAnsi="Arial" w:cs="Arial"/>
          <w:szCs w:val="24"/>
        </w:rPr>
        <w:t>under Schedule 3 of the</w:t>
      </w:r>
      <w:r w:rsidR="008E6D38" w:rsidRPr="0085603F">
        <w:t xml:space="preserve"> </w:t>
      </w:r>
      <w:r w:rsidR="008E6D38" w:rsidRPr="0085603F">
        <w:rPr>
          <w:rFonts w:ascii="Arial" w:hAnsi="Arial" w:cs="Arial"/>
          <w:i/>
          <w:szCs w:val="24"/>
        </w:rPr>
        <w:t>Point to Point Transport (Taxis and Hire Vehicles) Act 2016 No 34</w:t>
      </w:r>
      <w:r w:rsidR="008E6D38" w:rsidRPr="0085603F">
        <w:rPr>
          <w:rFonts w:ascii="Arial" w:hAnsi="Arial" w:cs="Arial"/>
          <w:szCs w:val="24"/>
        </w:rPr>
        <w:t xml:space="preserve"> (NSW)</w:t>
      </w:r>
      <w:r w:rsidRPr="007E4669">
        <w:rPr>
          <w:rFonts w:ascii="Arial" w:eastAsiaTheme="minorHAnsi" w:hAnsi="Arial" w:cs="Arial"/>
          <w:szCs w:val="24"/>
          <w:lang w:eastAsia="en-US"/>
        </w:rPr>
        <w:t xml:space="preserve"> may not be eligible for a social security payment or, if they are eligible, their rate of payment might be reduced.</w:t>
      </w:r>
      <w:r w:rsidRPr="007E4669">
        <w:rPr>
          <w:rFonts w:ascii="Arial" w:hAnsi="Arial"/>
          <w:szCs w:val="24"/>
          <w:lang w:eastAsia="en-US"/>
        </w:rPr>
        <w:t xml:space="preserve"> </w:t>
      </w:r>
      <w:r w:rsidRPr="007E4669">
        <w:rPr>
          <w:rFonts w:ascii="Arial" w:eastAsiaTheme="minorHAnsi" w:hAnsi="Arial" w:cs="Arial"/>
          <w:szCs w:val="24"/>
          <w:lang w:eastAsia="en-US"/>
        </w:rPr>
        <w:t>The Determination is therefore consistent with the promotion of the right to social security.</w:t>
      </w:r>
    </w:p>
    <w:p w:rsidR="007E4669" w:rsidRPr="007E4669" w:rsidRDefault="007E4669" w:rsidP="007E4669">
      <w:pPr>
        <w:spacing w:before="0"/>
        <w:jc w:val="both"/>
        <w:rPr>
          <w:rFonts w:ascii="Arial" w:hAnsi="Arial" w:cs="Arial"/>
          <w:u w:val="single"/>
          <w:lang w:eastAsia="en-US"/>
        </w:rPr>
      </w:pPr>
      <w:r w:rsidRPr="007E4669">
        <w:rPr>
          <w:rFonts w:ascii="Arial" w:hAnsi="Arial" w:cs="Arial"/>
          <w:szCs w:val="24"/>
          <w:lang w:eastAsia="en-US"/>
        </w:rPr>
        <w:t xml:space="preserve">The exemption of payments </w:t>
      </w:r>
      <w:r w:rsidR="008E6D38">
        <w:rPr>
          <w:rFonts w:ascii="Arial" w:hAnsi="Arial" w:cs="Arial"/>
          <w:szCs w:val="24"/>
        </w:rPr>
        <w:t>under Schedule 3 of the</w:t>
      </w:r>
      <w:r w:rsidR="008E6D38" w:rsidRPr="0085603F">
        <w:t xml:space="preserve"> </w:t>
      </w:r>
      <w:r w:rsidR="008E6D38" w:rsidRPr="0085603F">
        <w:rPr>
          <w:rFonts w:ascii="Arial" w:hAnsi="Arial" w:cs="Arial"/>
          <w:i/>
          <w:szCs w:val="24"/>
        </w:rPr>
        <w:t>Point to Point Transport (Taxis and Hire Vehicles) Act 2016 No 34</w:t>
      </w:r>
      <w:r w:rsidR="008E6D38" w:rsidRPr="0085603F">
        <w:rPr>
          <w:rFonts w:ascii="Arial" w:hAnsi="Arial" w:cs="Arial"/>
          <w:szCs w:val="24"/>
        </w:rPr>
        <w:t xml:space="preserve"> (NSW)</w:t>
      </w:r>
      <w:r w:rsidR="008E6D38">
        <w:rPr>
          <w:rFonts w:ascii="Arial" w:hAnsi="Arial" w:cs="Arial"/>
          <w:szCs w:val="24"/>
        </w:rPr>
        <w:t xml:space="preserve"> </w:t>
      </w:r>
      <w:r w:rsidRPr="007E4669">
        <w:rPr>
          <w:rFonts w:ascii="Arial" w:hAnsi="Arial" w:cs="Arial"/>
          <w:szCs w:val="24"/>
          <w:lang w:eastAsia="en-US"/>
        </w:rPr>
        <w:t>from the income test on receipt does not alter the fact that any ongoing income generated by the lump sum is counted under the income test, and any assessable asset produced from the lump sum is counted under the social security assets test. This is consistent with the treatment of other lump sum payments exempted under paragraph 8(11</w:t>
      </w:r>
      <w:proofErr w:type="gramStart"/>
      <w:r w:rsidRPr="007E4669">
        <w:rPr>
          <w:rFonts w:ascii="Arial" w:hAnsi="Arial" w:cs="Arial"/>
          <w:szCs w:val="24"/>
          <w:lang w:eastAsia="en-US"/>
        </w:rPr>
        <w:t>)(</w:t>
      </w:r>
      <w:proofErr w:type="gramEnd"/>
      <w:r w:rsidRPr="007E4669">
        <w:rPr>
          <w:rFonts w:ascii="Arial" w:hAnsi="Arial" w:cs="Arial"/>
          <w:szCs w:val="24"/>
          <w:lang w:eastAsia="en-US"/>
        </w:rPr>
        <w:t>d) of the Act.</w:t>
      </w:r>
    </w:p>
    <w:p w:rsidR="007E4669" w:rsidRPr="007E4669" w:rsidRDefault="007E4669" w:rsidP="007E4669">
      <w:pPr>
        <w:spacing w:before="0"/>
        <w:jc w:val="both"/>
        <w:rPr>
          <w:rFonts w:ascii="Arial" w:hAnsi="Arial" w:cs="Arial"/>
          <w:u w:val="single"/>
          <w:lang w:eastAsia="en-US"/>
        </w:rPr>
      </w:pPr>
    </w:p>
    <w:p w:rsidR="007E4669" w:rsidRPr="007E4669" w:rsidRDefault="007E4669" w:rsidP="007E4669">
      <w:pPr>
        <w:spacing w:before="0"/>
        <w:jc w:val="both"/>
        <w:rPr>
          <w:rFonts w:ascii="Arial" w:hAnsi="Arial" w:cs="Arial"/>
          <w:u w:val="single"/>
          <w:lang w:eastAsia="en-US"/>
        </w:rPr>
      </w:pPr>
      <w:r w:rsidRPr="007E4669">
        <w:rPr>
          <w:rFonts w:ascii="Arial" w:hAnsi="Arial" w:cs="Arial"/>
          <w:u w:val="single"/>
          <w:lang w:eastAsia="en-US"/>
        </w:rPr>
        <w:t>Conclusion</w:t>
      </w:r>
    </w:p>
    <w:p w:rsidR="007E4669" w:rsidRPr="007E4669" w:rsidRDefault="007E4669" w:rsidP="007E4669">
      <w:pPr>
        <w:spacing w:before="0"/>
        <w:jc w:val="both"/>
        <w:rPr>
          <w:rFonts w:ascii="Arial" w:hAnsi="Arial" w:cs="Arial"/>
          <w:lang w:eastAsia="en-US"/>
        </w:rPr>
      </w:pPr>
    </w:p>
    <w:p w:rsidR="007E4669" w:rsidRDefault="007E4669" w:rsidP="00FE2A47">
      <w:pPr>
        <w:spacing w:before="0" w:after="120"/>
        <w:jc w:val="both"/>
        <w:rPr>
          <w:rFonts w:ascii="Arial" w:hAnsi="Arial" w:cs="Arial"/>
          <w:lang w:eastAsia="en-US"/>
        </w:rPr>
      </w:pPr>
      <w:r w:rsidRPr="007E4669">
        <w:rPr>
          <w:rFonts w:ascii="Arial" w:hAnsi="Arial" w:cs="Arial"/>
          <w:lang w:eastAsia="en-US"/>
        </w:rPr>
        <w:t>This Determination supports a person’s human right to social security.</w:t>
      </w:r>
    </w:p>
    <w:p w:rsidR="007E4669" w:rsidRPr="007E4669" w:rsidRDefault="007E4669" w:rsidP="00FE2A47">
      <w:pPr>
        <w:spacing w:after="200" w:line="276" w:lineRule="auto"/>
        <w:jc w:val="center"/>
        <w:rPr>
          <w:rFonts w:ascii="Arial" w:eastAsiaTheme="minorHAnsi" w:hAnsi="Arial" w:cs="Arial"/>
          <w:b/>
          <w:spacing w:val="5"/>
          <w:szCs w:val="24"/>
          <w:lang w:eastAsia="en-US"/>
        </w:rPr>
      </w:pPr>
      <w:proofErr w:type="gramStart"/>
      <w:r w:rsidRPr="007E4669">
        <w:rPr>
          <w:rFonts w:ascii="Arial" w:eastAsiaTheme="minorHAnsi" w:hAnsi="Arial" w:cs="Arial"/>
          <w:b/>
          <w:szCs w:val="24"/>
          <w:lang w:eastAsia="en-US"/>
        </w:rPr>
        <w:t xml:space="preserve">Anita Davis, Branch Manager, </w:t>
      </w:r>
      <w:proofErr w:type="spellStart"/>
      <w:r w:rsidRPr="007E4669">
        <w:rPr>
          <w:rFonts w:ascii="Arial" w:eastAsiaTheme="minorHAnsi" w:hAnsi="Arial" w:cs="Arial"/>
          <w:b/>
          <w:szCs w:val="24"/>
          <w:lang w:eastAsia="en-US"/>
        </w:rPr>
        <w:t>Payability</w:t>
      </w:r>
      <w:proofErr w:type="spellEnd"/>
      <w:r w:rsidRPr="007E4669">
        <w:rPr>
          <w:rFonts w:ascii="Arial" w:eastAsiaTheme="minorHAnsi" w:hAnsi="Arial" w:cs="Arial"/>
          <w:b/>
          <w:szCs w:val="24"/>
          <w:lang w:eastAsia="en-US"/>
        </w:rPr>
        <w:t xml:space="preserve"> and Integrity, as a delegate of the Secretary of the Department of Social Services.</w:t>
      </w:r>
      <w:proofErr w:type="gramEnd"/>
    </w:p>
    <w:bookmarkEnd w:id="2"/>
    <w:bookmarkEnd w:id="1"/>
    <w:sectPr w:rsidR="007E4669" w:rsidRPr="007E4669" w:rsidSect="00872F23">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1"/>
  </w:num>
  <w:num w:numId="5">
    <w:abstractNumId w:val="10"/>
  </w:num>
  <w:num w:numId="6">
    <w:abstractNumId w:val="1"/>
  </w:num>
  <w:num w:numId="7">
    <w:abstractNumId w:val="8"/>
  </w:num>
  <w:num w:numId="8">
    <w:abstractNumId w:val="12"/>
  </w:num>
  <w:num w:numId="9">
    <w:abstractNumId w:val="6"/>
  </w:num>
  <w:num w:numId="10">
    <w:abstractNumId w:val="13"/>
  </w:num>
  <w:num w:numId="11">
    <w:abstractNumId w:val="2"/>
  </w:num>
  <w:num w:numId="12">
    <w:abstractNumId w:val="4"/>
  </w:num>
  <w:num w:numId="13">
    <w:abstractNumId w:val="0"/>
  </w:num>
  <w:num w:numId="14">
    <w:abstractNumId w:val="7"/>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4004"/>
    <w:rsid w:val="0000668E"/>
    <w:rsid w:val="00021ED2"/>
    <w:rsid w:val="00022F64"/>
    <w:rsid w:val="00030B79"/>
    <w:rsid w:val="00031D0B"/>
    <w:rsid w:val="00043B6D"/>
    <w:rsid w:val="00045BF2"/>
    <w:rsid w:val="00051C3F"/>
    <w:rsid w:val="000616CC"/>
    <w:rsid w:val="00063692"/>
    <w:rsid w:val="00066DAE"/>
    <w:rsid w:val="00074C1A"/>
    <w:rsid w:val="000760DC"/>
    <w:rsid w:val="000844AF"/>
    <w:rsid w:val="00084B46"/>
    <w:rsid w:val="00085730"/>
    <w:rsid w:val="00096B8D"/>
    <w:rsid w:val="000A3595"/>
    <w:rsid w:val="000A772F"/>
    <w:rsid w:val="000B4130"/>
    <w:rsid w:val="000C2DDB"/>
    <w:rsid w:val="000C5204"/>
    <w:rsid w:val="000D365F"/>
    <w:rsid w:val="000D4DE9"/>
    <w:rsid w:val="000E02A0"/>
    <w:rsid w:val="000E3915"/>
    <w:rsid w:val="0011719D"/>
    <w:rsid w:val="00126429"/>
    <w:rsid w:val="001310C6"/>
    <w:rsid w:val="00132715"/>
    <w:rsid w:val="00140359"/>
    <w:rsid w:val="001502F9"/>
    <w:rsid w:val="0015134A"/>
    <w:rsid w:val="00152472"/>
    <w:rsid w:val="0016207D"/>
    <w:rsid w:val="00163809"/>
    <w:rsid w:val="0016653C"/>
    <w:rsid w:val="00173466"/>
    <w:rsid w:val="00175BC6"/>
    <w:rsid w:val="00191AEC"/>
    <w:rsid w:val="001920F3"/>
    <w:rsid w:val="001A6C69"/>
    <w:rsid w:val="001A737C"/>
    <w:rsid w:val="001B5379"/>
    <w:rsid w:val="001C64F9"/>
    <w:rsid w:val="001D69AF"/>
    <w:rsid w:val="001E5B72"/>
    <w:rsid w:val="001E5D12"/>
    <w:rsid w:val="001E630D"/>
    <w:rsid w:val="001E7422"/>
    <w:rsid w:val="001F4805"/>
    <w:rsid w:val="001F4E3C"/>
    <w:rsid w:val="001F5850"/>
    <w:rsid w:val="001F7C56"/>
    <w:rsid w:val="002021B0"/>
    <w:rsid w:val="002154EE"/>
    <w:rsid w:val="00221D91"/>
    <w:rsid w:val="00224887"/>
    <w:rsid w:val="002329E1"/>
    <w:rsid w:val="002334D9"/>
    <w:rsid w:val="00234F9E"/>
    <w:rsid w:val="002372F7"/>
    <w:rsid w:val="0024465E"/>
    <w:rsid w:val="0024760C"/>
    <w:rsid w:val="002533F0"/>
    <w:rsid w:val="00263A4E"/>
    <w:rsid w:val="002642C7"/>
    <w:rsid w:val="00264C31"/>
    <w:rsid w:val="002741BD"/>
    <w:rsid w:val="00274CAF"/>
    <w:rsid w:val="00274F07"/>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3773"/>
    <w:rsid w:val="002C6177"/>
    <w:rsid w:val="002D0F1C"/>
    <w:rsid w:val="002D35D8"/>
    <w:rsid w:val="002D4522"/>
    <w:rsid w:val="002E0BB1"/>
    <w:rsid w:val="002E45E2"/>
    <w:rsid w:val="00300519"/>
    <w:rsid w:val="00300D8B"/>
    <w:rsid w:val="003119FD"/>
    <w:rsid w:val="00315114"/>
    <w:rsid w:val="00317DDB"/>
    <w:rsid w:val="00334F9D"/>
    <w:rsid w:val="00337065"/>
    <w:rsid w:val="0033748F"/>
    <w:rsid w:val="003430FC"/>
    <w:rsid w:val="003434E2"/>
    <w:rsid w:val="00345FFE"/>
    <w:rsid w:val="0035378F"/>
    <w:rsid w:val="003606C5"/>
    <w:rsid w:val="00365424"/>
    <w:rsid w:val="00371044"/>
    <w:rsid w:val="00374A77"/>
    <w:rsid w:val="00380666"/>
    <w:rsid w:val="00387D89"/>
    <w:rsid w:val="00392EB6"/>
    <w:rsid w:val="00393D4E"/>
    <w:rsid w:val="00394743"/>
    <w:rsid w:val="003A04AD"/>
    <w:rsid w:val="003B2BB8"/>
    <w:rsid w:val="003B44E1"/>
    <w:rsid w:val="003C3368"/>
    <w:rsid w:val="003C54B6"/>
    <w:rsid w:val="003D34FF"/>
    <w:rsid w:val="003D37D7"/>
    <w:rsid w:val="003D71F6"/>
    <w:rsid w:val="003E1784"/>
    <w:rsid w:val="003F1691"/>
    <w:rsid w:val="00400273"/>
    <w:rsid w:val="00420387"/>
    <w:rsid w:val="0042132E"/>
    <w:rsid w:val="00446D6C"/>
    <w:rsid w:val="0045240C"/>
    <w:rsid w:val="00453FC9"/>
    <w:rsid w:val="00454405"/>
    <w:rsid w:val="00456FBD"/>
    <w:rsid w:val="00457792"/>
    <w:rsid w:val="004646E1"/>
    <w:rsid w:val="00470C3D"/>
    <w:rsid w:val="004726FF"/>
    <w:rsid w:val="004814F1"/>
    <w:rsid w:val="00482411"/>
    <w:rsid w:val="004956ED"/>
    <w:rsid w:val="0049646F"/>
    <w:rsid w:val="00497768"/>
    <w:rsid w:val="004A0C19"/>
    <w:rsid w:val="004A126A"/>
    <w:rsid w:val="004A24AF"/>
    <w:rsid w:val="004B3147"/>
    <w:rsid w:val="004B54CA"/>
    <w:rsid w:val="004C163F"/>
    <w:rsid w:val="004D1D7F"/>
    <w:rsid w:val="004D336A"/>
    <w:rsid w:val="004D4CE5"/>
    <w:rsid w:val="004E3A61"/>
    <w:rsid w:val="004E5CBF"/>
    <w:rsid w:val="004F1CD0"/>
    <w:rsid w:val="004F264A"/>
    <w:rsid w:val="004F5308"/>
    <w:rsid w:val="004F69ED"/>
    <w:rsid w:val="00511520"/>
    <w:rsid w:val="00516775"/>
    <w:rsid w:val="00526AC3"/>
    <w:rsid w:val="00527238"/>
    <w:rsid w:val="005332C8"/>
    <w:rsid w:val="00540BD8"/>
    <w:rsid w:val="0055503B"/>
    <w:rsid w:val="00562CBC"/>
    <w:rsid w:val="00566538"/>
    <w:rsid w:val="00566BF6"/>
    <w:rsid w:val="00570884"/>
    <w:rsid w:val="00576330"/>
    <w:rsid w:val="0057641C"/>
    <w:rsid w:val="005766D2"/>
    <w:rsid w:val="00580C08"/>
    <w:rsid w:val="00591D1A"/>
    <w:rsid w:val="00594251"/>
    <w:rsid w:val="005C390A"/>
    <w:rsid w:val="005C3AA9"/>
    <w:rsid w:val="005C54B4"/>
    <w:rsid w:val="005C78B2"/>
    <w:rsid w:val="005E4167"/>
    <w:rsid w:val="005E4362"/>
    <w:rsid w:val="005E4607"/>
    <w:rsid w:val="005E7B26"/>
    <w:rsid w:val="005F41C9"/>
    <w:rsid w:val="005F5E17"/>
    <w:rsid w:val="00614C63"/>
    <w:rsid w:val="00620404"/>
    <w:rsid w:val="00622668"/>
    <w:rsid w:val="00622B71"/>
    <w:rsid w:val="00622D63"/>
    <w:rsid w:val="00624E34"/>
    <w:rsid w:val="00632F44"/>
    <w:rsid w:val="006402A6"/>
    <w:rsid w:val="006407D3"/>
    <w:rsid w:val="0064167D"/>
    <w:rsid w:val="006431C2"/>
    <w:rsid w:val="00645985"/>
    <w:rsid w:val="00650B9C"/>
    <w:rsid w:val="00650C1C"/>
    <w:rsid w:val="006546B7"/>
    <w:rsid w:val="006643AB"/>
    <w:rsid w:val="0067070B"/>
    <w:rsid w:val="00681C7F"/>
    <w:rsid w:val="00683FF5"/>
    <w:rsid w:val="00687351"/>
    <w:rsid w:val="006A1F70"/>
    <w:rsid w:val="006A4CE7"/>
    <w:rsid w:val="006A5D55"/>
    <w:rsid w:val="006A6D51"/>
    <w:rsid w:val="006B0148"/>
    <w:rsid w:val="006C5E5E"/>
    <w:rsid w:val="006D7E0F"/>
    <w:rsid w:val="006E1B19"/>
    <w:rsid w:val="006E5962"/>
    <w:rsid w:val="006F0769"/>
    <w:rsid w:val="00701486"/>
    <w:rsid w:val="007066E0"/>
    <w:rsid w:val="00720E42"/>
    <w:rsid w:val="00722D35"/>
    <w:rsid w:val="00736773"/>
    <w:rsid w:val="0073766B"/>
    <w:rsid w:val="00762A05"/>
    <w:rsid w:val="00767E74"/>
    <w:rsid w:val="00771003"/>
    <w:rsid w:val="0077461F"/>
    <w:rsid w:val="0078126B"/>
    <w:rsid w:val="00785261"/>
    <w:rsid w:val="007907A8"/>
    <w:rsid w:val="007938F3"/>
    <w:rsid w:val="0079557B"/>
    <w:rsid w:val="007A53DD"/>
    <w:rsid w:val="007B0256"/>
    <w:rsid w:val="007B69DD"/>
    <w:rsid w:val="007C3E4E"/>
    <w:rsid w:val="007C4060"/>
    <w:rsid w:val="007C5234"/>
    <w:rsid w:val="007D6273"/>
    <w:rsid w:val="007E4669"/>
    <w:rsid w:val="007E4FAD"/>
    <w:rsid w:val="007F44F6"/>
    <w:rsid w:val="00807CD7"/>
    <w:rsid w:val="00816CFA"/>
    <w:rsid w:val="00817201"/>
    <w:rsid w:val="0083135C"/>
    <w:rsid w:val="00841C22"/>
    <w:rsid w:val="008536EA"/>
    <w:rsid w:val="0085603F"/>
    <w:rsid w:val="00860BE9"/>
    <w:rsid w:val="008669B7"/>
    <w:rsid w:val="008707FE"/>
    <w:rsid w:val="00871F28"/>
    <w:rsid w:val="00872F23"/>
    <w:rsid w:val="008761FF"/>
    <w:rsid w:val="00880E92"/>
    <w:rsid w:val="008954BF"/>
    <w:rsid w:val="00896466"/>
    <w:rsid w:val="008B026E"/>
    <w:rsid w:val="008B1AA5"/>
    <w:rsid w:val="008B4CF1"/>
    <w:rsid w:val="008D23C7"/>
    <w:rsid w:val="008D2D41"/>
    <w:rsid w:val="008D2FC2"/>
    <w:rsid w:val="008D59CA"/>
    <w:rsid w:val="008D68B6"/>
    <w:rsid w:val="008D7A97"/>
    <w:rsid w:val="008E1D0E"/>
    <w:rsid w:val="008E320A"/>
    <w:rsid w:val="008E6D38"/>
    <w:rsid w:val="008F4B36"/>
    <w:rsid w:val="008F5702"/>
    <w:rsid w:val="0090001F"/>
    <w:rsid w:val="0090702B"/>
    <w:rsid w:val="009140F6"/>
    <w:rsid w:val="00915A96"/>
    <w:rsid w:val="009225F0"/>
    <w:rsid w:val="00925633"/>
    <w:rsid w:val="00930624"/>
    <w:rsid w:val="00932E80"/>
    <w:rsid w:val="009332B3"/>
    <w:rsid w:val="00935A03"/>
    <w:rsid w:val="009426E4"/>
    <w:rsid w:val="00946730"/>
    <w:rsid w:val="00947C5E"/>
    <w:rsid w:val="00950ACB"/>
    <w:rsid w:val="0095196E"/>
    <w:rsid w:val="00954D27"/>
    <w:rsid w:val="00956519"/>
    <w:rsid w:val="00966756"/>
    <w:rsid w:val="00966F79"/>
    <w:rsid w:val="00970C88"/>
    <w:rsid w:val="00985038"/>
    <w:rsid w:val="0099649B"/>
    <w:rsid w:val="00996F30"/>
    <w:rsid w:val="009A4EAB"/>
    <w:rsid w:val="009A5D3E"/>
    <w:rsid w:val="009B71A9"/>
    <w:rsid w:val="009C2E01"/>
    <w:rsid w:val="009C63A9"/>
    <w:rsid w:val="009C63B6"/>
    <w:rsid w:val="009D1BE5"/>
    <w:rsid w:val="009F05FF"/>
    <w:rsid w:val="009F3C43"/>
    <w:rsid w:val="00A06B72"/>
    <w:rsid w:val="00A1355C"/>
    <w:rsid w:val="00A23F91"/>
    <w:rsid w:val="00A27E85"/>
    <w:rsid w:val="00A375D4"/>
    <w:rsid w:val="00A37984"/>
    <w:rsid w:val="00A42690"/>
    <w:rsid w:val="00A4616D"/>
    <w:rsid w:val="00A6045B"/>
    <w:rsid w:val="00A63D74"/>
    <w:rsid w:val="00A66DD0"/>
    <w:rsid w:val="00A719D2"/>
    <w:rsid w:val="00A763EC"/>
    <w:rsid w:val="00A8767B"/>
    <w:rsid w:val="00A94C22"/>
    <w:rsid w:val="00AA0F80"/>
    <w:rsid w:val="00AA37AC"/>
    <w:rsid w:val="00AA45C6"/>
    <w:rsid w:val="00AA51E7"/>
    <w:rsid w:val="00AB7356"/>
    <w:rsid w:val="00AC1F9B"/>
    <w:rsid w:val="00AC271F"/>
    <w:rsid w:val="00AC635D"/>
    <w:rsid w:val="00AD1347"/>
    <w:rsid w:val="00AD1645"/>
    <w:rsid w:val="00AD69FE"/>
    <w:rsid w:val="00AE11F6"/>
    <w:rsid w:val="00AE3176"/>
    <w:rsid w:val="00AE527E"/>
    <w:rsid w:val="00AF0E6A"/>
    <w:rsid w:val="00B01538"/>
    <w:rsid w:val="00B04EB0"/>
    <w:rsid w:val="00B261D9"/>
    <w:rsid w:val="00B33E33"/>
    <w:rsid w:val="00B376E6"/>
    <w:rsid w:val="00B52B87"/>
    <w:rsid w:val="00B54C30"/>
    <w:rsid w:val="00B57278"/>
    <w:rsid w:val="00B63566"/>
    <w:rsid w:val="00B6472A"/>
    <w:rsid w:val="00B73680"/>
    <w:rsid w:val="00B74531"/>
    <w:rsid w:val="00B777D9"/>
    <w:rsid w:val="00B821A0"/>
    <w:rsid w:val="00BA2DB9"/>
    <w:rsid w:val="00BB0D37"/>
    <w:rsid w:val="00BC3574"/>
    <w:rsid w:val="00BC35F6"/>
    <w:rsid w:val="00BC76EB"/>
    <w:rsid w:val="00BD25AE"/>
    <w:rsid w:val="00BD7E9D"/>
    <w:rsid w:val="00BE56A0"/>
    <w:rsid w:val="00BE7148"/>
    <w:rsid w:val="00BF2FB3"/>
    <w:rsid w:val="00C06E47"/>
    <w:rsid w:val="00C21BCF"/>
    <w:rsid w:val="00C21C68"/>
    <w:rsid w:val="00C27316"/>
    <w:rsid w:val="00C2733D"/>
    <w:rsid w:val="00C3204C"/>
    <w:rsid w:val="00C3470C"/>
    <w:rsid w:val="00C37944"/>
    <w:rsid w:val="00C37BA8"/>
    <w:rsid w:val="00C4511C"/>
    <w:rsid w:val="00C455A2"/>
    <w:rsid w:val="00C456ED"/>
    <w:rsid w:val="00C559BF"/>
    <w:rsid w:val="00C66CFA"/>
    <w:rsid w:val="00C7238E"/>
    <w:rsid w:val="00C77B41"/>
    <w:rsid w:val="00C97E7F"/>
    <w:rsid w:val="00CA33B2"/>
    <w:rsid w:val="00CA3D78"/>
    <w:rsid w:val="00CA43C4"/>
    <w:rsid w:val="00CA6F15"/>
    <w:rsid w:val="00CB344C"/>
    <w:rsid w:val="00CB42CE"/>
    <w:rsid w:val="00CC10FF"/>
    <w:rsid w:val="00CC7EC4"/>
    <w:rsid w:val="00CD0DDB"/>
    <w:rsid w:val="00CE1802"/>
    <w:rsid w:val="00CE39CD"/>
    <w:rsid w:val="00CF0527"/>
    <w:rsid w:val="00D1706F"/>
    <w:rsid w:val="00D2075E"/>
    <w:rsid w:val="00D21D83"/>
    <w:rsid w:val="00D243C5"/>
    <w:rsid w:val="00D3071D"/>
    <w:rsid w:val="00D31C51"/>
    <w:rsid w:val="00D367AA"/>
    <w:rsid w:val="00D37C2C"/>
    <w:rsid w:val="00D459E0"/>
    <w:rsid w:val="00D520A1"/>
    <w:rsid w:val="00D61C4B"/>
    <w:rsid w:val="00D708CA"/>
    <w:rsid w:val="00D72F4B"/>
    <w:rsid w:val="00D849AE"/>
    <w:rsid w:val="00D93D4F"/>
    <w:rsid w:val="00DB6E7A"/>
    <w:rsid w:val="00DC765C"/>
    <w:rsid w:val="00DD2423"/>
    <w:rsid w:val="00DD3BC1"/>
    <w:rsid w:val="00DD7D6F"/>
    <w:rsid w:val="00DE0717"/>
    <w:rsid w:val="00DE3A1F"/>
    <w:rsid w:val="00DE7F6F"/>
    <w:rsid w:val="00E01E71"/>
    <w:rsid w:val="00E027AF"/>
    <w:rsid w:val="00E14BDF"/>
    <w:rsid w:val="00E15CFF"/>
    <w:rsid w:val="00E230ED"/>
    <w:rsid w:val="00E23C53"/>
    <w:rsid w:val="00E32139"/>
    <w:rsid w:val="00E44FD4"/>
    <w:rsid w:val="00E527DA"/>
    <w:rsid w:val="00E708B1"/>
    <w:rsid w:val="00E72DC6"/>
    <w:rsid w:val="00E745BB"/>
    <w:rsid w:val="00E7675B"/>
    <w:rsid w:val="00E87016"/>
    <w:rsid w:val="00E905CA"/>
    <w:rsid w:val="00E907A4"/>
    <w:rsid w:val="00E9738E"/>
    <w:rsid w:val="00EA16F9"/>
    <w:rsid w:val="00EA2DDC"/>
    <w:rsid w:val="00EA3666"/>
    <w:rsid w:val="00EA677D"/>
    <w:rsid w:val="00EA6829"/>
    <w:rsid w:val="00EA76C2"/>
    <w:rsid w:val="00EB51A2"/>
    <w:rsid w:val="00EB51BC"/>
    <w:rsid w:val="00EC0C59"/>
    <w:rsid w:val="00EC25F5"/>
    <w:rsid w:val="00EC4501"/>
    <w:rsid w:val="00EC47F6"/>
    <w:rsid w:val="00ED1D5E"/>
    <w:rsid w:val="00ED6613"/>
    <w:rsid w:val="00EE2764"/>
    <w:rsid w:val="00EF54F0"/>
    <w:rsid w:val="00F0576D"/>
    <w:rsid w:val="00F108ED"/>
    <w:rsid w:val="00F227A4"/>
    <w:rsid w:val="00F328DA"/>
    <w:rsid w:val="00F35271"/>
    <w:rsid w:val="00F35580"/>
    <w:rsid w:val="00F502A9"/>
    <w:rsid w:val="00F5235A"/>
    <w:rsid w:val="00F52853"/>
    <w:rsid w:val="00F61A88"/>
    <w:rsid w:val="00F754A3"/>
    <w:rsid w:val="00F925B9"/>
    <w:rsid w:val="00FA6F53"/>
    <w:rsid w:val="00FA7196"/>
    <w:rsid w:val="00FB030F"/>
    <w:rsid w:val="00FD2F20"/>
    <w:rsid w:val="00FD368E"/>
    <w:rsid w:val="00FD6BF4"/>
    <w:rsid w:val="00FD7A80"/>
    <w:rsid w:val="00FE1F5E"/>
    <w:rsid w:val="00FE2A47"/>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3321">
      <w:bodyDiv w:val="1"/>
      <w:marLeft w:val="0"/>
      <w:marRight w:val="0"/>
      <w:marTop w:val="0"/>
      <w:marBottom w:val="0"/>
      <w:divBdr>
        <w:top w:val="none" w:sz="0" w:space="0" w:color="auto"/>
        <w:left w:val="none" w:sz="0" w:space="0" w:color="auto"/>
        <w:bottom w:val="none" w:sz="0" w:space="0" w:color="auto"/>
        <w:right w:val="none" w:sz="0" w:space="0" w:color="auto"/>
      </w:divBdr>
      <w:divsChild>
        <w:div w:id="520316609">
          <w:marLeft w:val="0"/>
          <w:marRight w:val="0"/>
          <w:marTop w:val="0"/>
          <w:marBottom w:val="0"/>
          <w:divBdr>
            <w:top w:val="none" w:sz="0" w:space="0" w:color="auto"/>
            <w:left w:val="none" w:sz="0" w:space="0" w:color="auto"/>
            <w:bottom w:val="none" w:sz="0" w:space="0" w:color="auto"/>
            <w:right w:val="none" w:sz="0" w:space="0" w:color="auto"/>
          </w:divBdr>
          <w:divsChild>
            <w:div w:id="41760409">
              <w:marLeft w:val="0"/>
              <w:marRight w:val="0"/>
              <w:marTop w:val="0"/>
              <w:marBottom w:val="0"/>
              <w:divBdr>
                <w:top w:val="none" w:sz="0" w:space="0" w:color="auto"/>
                <w:left w:val="none" w:sz="0" w:space="0" w:color="auto"/>
                <w:bottom w:val="none" w:sz="0" w:space="0" w:color="auto"/>
                <w:right w:val="none" w:sz="0" w:space="0" w:color="auto"/>
              </w:divBdr>
              <w:divsChild>
                <w:div w:id="1089427936">
                  <w:marLeft w:val="0"/>
                  <w:marRight w:val="0"/>
                  <w:marTop w:val="0"/>
                  <w:marBottom w:val="0"/>
                  <w:divBdr>
                    <w:top w:val="none" w:sz="0" w:space="0" w:color="auto"/>
                    <w:left w:val="none" w:sz="0" w:space="0" w:color="auto"/>
                    <w:bottom w:val="none" w:sz="0" w:space="0" w:color="auto"/>
                    <w:right w:val="none" w:sz="0" w:space="0" w:color="auto"/>
                  </w:divBdr>
                  <w:divsChild>
                    <w:div w:id="242573701">
                      <w:marLeft w:val="0"/>
                      <w:marRight w:val="0"/>
                      <w:marTop w:val="0"/>
                      <w:marBottom w:val="0"/>
                      <w:divBdr>
                        <w:top w:val="none" w:sz="0" w:space="0" w:color="auto"/>
                        <w:left w:val="none" w:sz="0" w:space="0" w:color="auto"/>
                        <w:bottom w:val="none" w:sz="0" w:space="0" w:color="auto"/>
                        <w:right w:val="none" w:sz="0" w:space="0" w:color="auto"/>
                      </w:divBdr>
                      <w:divsChild>
                        <w:div w:id="1605764460">
                          <w:marLeft w:val="0"/>
                          <w:marRight w:val="0"/>
                          <w:marTop w:val="0"/>
                          <w:marBottom w:val="0"/>
                          <w:divBdr>
                            <w:top w:val="none" w:sz="0" w:space="0" w:color="auto"/>
                            <w:left w:val="none" w:sz="0" w:space="0" w:color="auto"/>
                            <w:bottom w:val="none" w:sz="0" w:space="0" w:color="auto"/>
                            <w:right w:val="none" w:sz="0" w:space="0" w:color="auto"/>
                          </w:divBdr>
                          <w:divsChild>
                            <w:div w:id="1522813009">
                              <w:marLeft w:val="0"/>
                              <w:marRight w:val="0"/>
                              <w:marTop w:val="0"/>
                              <w:marBottom w:val="0"/>
                              <w:divBdr>
                                <w:top w:val="none" w:sz="0" w:space="0" w:color="auto"/>
                                <w:left w:val="none" w:sz="0" w:space="0" w:color="auto"/>
                                <w:bottom w:val="none" w:sz="0" w:space="0" w:color="auto"/>
                                <w:right w:val="none" w:sz="0" w:space="0" w:color="auto"/>
                              </w:divBdr>
                              <w:divsChild>
                                <w:div w:id="1309624501">
                                  <w:marLeft w:val="0"/>
                                  <w:marRight w:val="0"/>
                                  <w:marTop w:val="0"/>
                                  <w:marBottom w:val="0"/>
                                  <w:divBdr>
                                    <w:top w:val="none" w:sz="0" w:space="0" w:color="auto"/>
                                    <w:left w:val="none" w:sz="0" w:space="0" w:color="auto"/>
                                    <w:bottom w:val="none" w:sz="0" w:space="0" w:color="auto"/>
                                    <w:right w:val="none" w:sz="0" w:space="0" w:color="auto"/>
                                  </w:divBdr>
                                  <w:divsChild>
                                    <w:div w:id="1315525663">
                                      <w:marLeft w:val="0"/>
                                      <w:marRight w:val="0"/>
                                      <w:marTop w:val="0"/>
                                      <w:marBottom w:val="0"/>
                                      <w:divBdr>
                                        <w:top w:val="none" w:sz="0" w:space="0" w:color="auto"/>
                                        <w:left w:val="none" w:sz="0" w:space="0" w:color="auto"/>
                                        <w:bottom w:val="none" w:sz="0" w:space="0" w:color="auto"/>
                                        <w:right w:val="none" w:sz="0" w:space="0" w:color="auto"/>
                                      </w:divBdr>
                                      <w:divsChild>
                                        <w:div w:id="1012024767">
                                          <w:marLeft w:val="0"/>
                                          <w:marRight w:val="0"/>
                                          <w:marTop w:val="0"/>
                                          <w:marBottom w:val="0"/>
                                          <w:divBdr>
                                            <w:top w:val="none" w:sz="0" w:space="0" w:color="auto"/>
                                            <w:left w:val="none" w:sz="0" w:space="0" w:color="auto"/>
                                            <w:bottom w:val="none" w:sz="0" w:space="0" w:color="auto"/>
                                            <w:right w:val="none" w:sz="0" w:space="0" w:color="auto"/>
                                          </w:divBdr>
                                          <w:divsChild>
                                            <w:div w:id="103156028">
                                              <w:marLeft w:val="0"/>
                                              <w:marRight w:val="0"/>
                                              <w:marTop w:val="0"/>
                                              <w:marBottom w:val="0"/>
                                              <w:divBdr>
                                                <w:top w:val="none" w:sz="0" w:space="0" w:color="auto"/>
                                                <w:left w:val="none" w:sz="0" w:space="0" w:color="auto"/>
                                                <w:bottom w:val="none" w:sz="0" w:space="0" w:color="auto"/>
                                                <w:right w:val="none" w:sz="0" w:space="0" w:color="auto"/>
                                              </w:divBdr>
                                              <w:divsChild>
                                                <w:div w:id="15665600">
                                                  <w:marLeft w:val="0"/>
                                                  <w:marRight w:val="0"/>
                                                  <w:marTop w:val="0"/>
                                                  <w:marBottom w:val="0"/>
                                                  <w:divBdr>
                                                    <w:top w:val="none" w:sz="0" w:space="0" w:color="auto"/>
                                                    <w:left w:val="none" w:sz="0" w:space="0" w:color="auto"/>
                                                    <w:bottom w:val="none" w:sz="0" w:space="0" w:color="auto"/>
                                                    <w:right w:val="none" w:sz="0" w:space="0" w:color="auto"/>
                                                  </w:divBdr>
                                                  <w:divsChild>
                                                    <w:div w:id="1390573259">
                                                      <w:marLeft w:val="0"/>
                                                      <w:marRight w:val="0"/>
                                                      <w:marTop w:val="0"/>
                                                      <w:marBottom w:val="0"/>
                                                      <w:divBdr>
                                                        <w:top w:val="none" w:sz="0" w:space="0" w:color="auto"/>
                                                        <w:left w:val="none" w:sz="0" w:space="0" w:color="auto"/>
                                                        <w:bottom w:val="none" w:sz="0" w:space="0" w:color="auto"/>
                                                        <w:right w:val="none" w:sz="0" w:space="0" w:color="auto"/>
                                                      </w:divBdr>
                                                      <w:divsChild>
                                                        <w:div w:id="16374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224724">
      <w:bodyDiv w:val="1"/>
      <w:marLeft w:val="0"/>
      <w:marRight w:val="0"/>
      <w:marTop w:val="0"/>
      <w:marBottom w:val="0"/>
      <w:divBdr>
        <w:top w:val="none" w:sz="0" w:space="0" w:color="auto"/>
        <w:left w:val="none" w:sz="0" w:space="0" w:color="auto"/>
        <w:bottom w:val="none" w:sz="0" w:space="0" w:color="auto"/>
        <w:right w:val="none" w:sz="0" w:space="0" w:color="auto"/>
      </w:divBdr>
      <w:divsChild>
        <w:div w:id="1584217265">
          <w:marLeft w:val="0"/>
          <w:marRight w:val="0"/>
          <w:marTop w:val="0"/>
          <w:marBottom w:val="0"/>
          <w:divBdr>
            <w:top w:val="none" w:sz="0" w:space="0" w:color="auto"/>
            <w:left w:val="none" w:sz="0" w:space="0" w:color="auto"/>
            <w:bottom w:val="none" w:sz="0" w:space="0" w:color="auto"/>
            <w:right w:val="none" w:sz="0" w:space="0" w:color="auto"/>
          </w:divBdr>
          <w:divsChild>
            <w:div w:id="1464034897">
              <w:marLeft w:val="0"/>
              <w:marRight w:val="0"/>
              <w:marTop w:val="0"/>
              <w:marBottom w:val="0"/>
              <w:divBdr>
                <w:top w:val="none" w:sz="0" w:space="0" w:color="auto"/>
                <w:left w:val="none" w:sz="0" w:space="0" w:color="auto"/>
                <w:bottom w:val="none" w:sz="0" w:space="0" w:color="auto"/>
                <w:right w:val="none" w:sz="0" w:space="0" w:color="auto"/>
              </w:divBdr>
              <w:divsChild>
                <w:div w:id="95488757">
                  <w:marLeft w:val="0"/>
                  <w:marRight w:val="0"/>
                  <w:marTop w:val="0"/>
                  <w:marBottom w:val="0"/>
                  <w:divBdr>
                    <w:top w:val="none" w:sz="0" w:space="0" w:color="auto"/>
                    <w:left w:val="none" w:sz="0" w:space="0" w:color="auto"/>
                    <w:bottom w:val="none" w:sz="0" w:space="0" w:color="auto"/>
                    <w:right w:val="none" w:sz="0" w:space="0" w:color="auto"/>
                  </w:divBdr>
                  <w:divsChild>
                    <w:div w:id="1949770474">
                      <w:marLeft w:val="0"/>
                      <w:marRight w:val="0"/>
                      <w:marTop w:val="0"/>
                      <w:marBottom w:val="0"/>
                      <w:divBdr>
                        <w:top w:val="none" w:sz="0" w:space="0" w:color="auto"/>
                        <w:left w:val="none" w:sz="0" w:space="0" w:color="auto"/>
                        <w:bottom w:val="none" w:sz="0" w:space="0" w:color="auto"/>
                        <w:right w:val="none" w:sz="0" w:space="0" w:color="auto"/>
                      </w:divBdr>
                      <w:divsChild>
                        <w:div w:id="1133904369">
                          <w:marLeft w:val="0"/>
                          <w:marRight w:val="0"/>
                          <w:marTop w:val="0"/>
                          <w:marBottom w:val="0"/>
                          <w:divBdr>
                            <w:top w:val="none" w:sz="0" w:space="0" w:color="auto"/>
                            <w:left w:val="none" w:sz="0" w:space="0" w:color="auto"/>
                            <w:bottom w:val="none" w:sz="0" w:space="0" w:color="auto"/>
                            <w:right w:val="none" w:sz="0" w:space="0" w:color="auto"/>
                          </w:divBdr>
                          <w:divsChild>
                            <w:div w:id="1853370333">
                              <w:marLeft w:val="0"/>
                              <w:marRight w:val="0"/>
                              <w:marTop w:val="0"/>
                              <w:marBottom w:val="0"/>
                              <w:divBdr>
                                <w:top w:val="none" w:sz="0" w:space="0" w:color="auto"/>
                                <w:left w:val="none" w:sz="0" w:space="0" w:color="auto"/>
                                <w:bottom w:val="none" w:sz="0" w:space="0" w:color="auto"/>
                                <w:right w:val="none" w:sz="0" w:space="0" w:color="auto"/>
                              </w:divBdr>
                              <w:divsChild>
                                <w:div w:id="1655640825">
                                  <w:marLeft w:val="0"/>
                                  <w:marRight w:val="0"/>
                                  <w:marTop w:val="0"/>
                                  <w:marBottom w:val="0"/>
                                  <w:divBdr>
                                    <w:top w:val="none" w:sz="0" w:space="0" w:color="auto"/>
                                    <w:left w:val="none" w:sz="0" w:space="0" w:color="auto"/>
                                    <w:bottom w:val="none" w:sz="0" w:space="0" w:color="auto"/>
                                    <w:right w:val="none" w:sz="0" w:space="0" w:color="auto"/>
                                  </w:divBdr>
                                  <w:divsChild>
                                    <w:div w:id="2020696447">
                                      <w:marLeft w:val="0"/>
                                      <w:marRight w:val="0"/>
                                      <w:marTop w:val="0"/>
                                      <w:marBottom w:val="0"/>
                                      <w:divBdr>
                                        <w:top w:val="none" w:sz="0" w:space="0" w:color="auto"/>
                                        <w:left w:val="none" w:sz="0" w:space="0" w:color="auto"/>
                                        <w:bottom w:val="none" w:sz="0" w:space="0" w:color="auto"/>
                                        <w:right w:val="none" w:sz="0" w:space="0" w:color="auto"/>
                                      </w:divBdr>
                                      <w:divsChild>
                                        <w:div w:id="918946806">
                                          <w:marLeft w:val="0"/>
                                          <w:marRight w:val="0"/>
                                          <w:marTop w:val="0"/>
                                          <w:marBottom w:val="0"/>
                                          <w:divBdr>
                                            <w:top w:val="none" w:sz="0" w:space="0" w:color="auto"/>
                                            <w:left w:val="none" w:sz="0" w:space="0" w:color="auto"/>
                                            <w:bottom w:val="none" w:sz="0" w:space="0" w:color="auto"/>
                                            <w:right w:val="none" w:sz="0" w:space="0" w:color="auto"/>
                                          </w:divBdr>
                                          <w:divsChild>
                                            <w:div w:id="1450657992">
                                              <w:marLeft w:val="0"/>
                                              <w:marRight w:val="0"/>
                                              <w:marTop w:val="0"/>
                                              <w:marBottom w:val="0"/>
                                              <w:divBdr>
                                                <w:top w:val="none" w:sz="0" w:space="0" w:color="auto"/>
                                                <w:left w:val="none" w:sz="0" w:space="0" w:color="auto"/>
                                                <w:bottom w:val="none" w:sz="0" w:space="0" w:color="auto"/>
                                                <w:right w:val="none" w:sz="0" w:space="0" w:color="auto"/>
                                              </w:divBdr>
                                              <w:divsChild>
                                                <w:div w:id="1372268936">
                                                  <w:marLeft w:val="0"/>
                                                  <w:marRight w:val="0"/>
                                                  <w:marTop w:val="0"/>
                                                  <w:marBottom w:val="0"/>
                                                  <w:divBdr>
                                                    <w:top w:val="none" w:sz="0" w:space="0" w:color="auto"/>
                                                    <w:left w:val="none" w:sz="0" w:space="0" w:color="auto"/>
                                                    <w:bottom w:val="none" w:sz="0" w:space="0" w:color="auto"/>
                                                    <w:right w:val="none" w:sz="0" w:space="0" w:color="auto"/>
                                                  </w:divBdr>
                                                  <w:divsChild>
                                                    <w:div w:id="749808438">
                                                      <w:marLeft w:val="0"/>
                                                      <w:marRight w:val="0"/>
                                                      <w:marTop w:val="0"/>
                                                      <w:marBottom w:val="0"/>
                                                      <w:divBdr>
                                                        <w:top w:val="none" w:sz="0" w:space="0" w:color="auto"/>
                                                        <w:left w:val="none" w:sz="0" w:space="0" w:color="auto"/>
                                                        <w:bottom w:val="none" w:sz="0" w:space="0" w:color="auto"/>
                                                        <w:right w:val="none" w:sz="0" w:space="0" w:color="auto"/>
                                                      </w:divBdr>
                                                      <w:divsChild>
                                                        <w:div w:id="1516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ACAA-1FDB-4EB1-AF51-D074FA85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ADDY, Rachel</cp:lastModifiedBy>
  <cp:revision>2</cp:revision>
  <cp:lastPrinted>2017-09-27T00:50:00Z</cp:lastPrinted>
  <dcterms:created xsi:type="dcterms:W3CDTF">2017-10-06T04:30:00Z</dcterms:created>
  <dcterms:modified xsi:type="dcterms:W3CDTF">2017-10-06T04:30:00Z</dcterms:modified>
</cp:coreProperties>
</file>