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IC Class Rule Waiver [CW 17/740</w:t>
      </w:r>
      <w:r w:rsidR="00D33963">
        <w:rPr>
          <w:b/>
          <w:color w:val="000000"/>
          <w:spacing w:val="-1"/>
          <w:sz w:val="28"/>
        </w:rPr>
        <w:t>]</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9026D4">
        <w:t xml:space="preserve">ASIC Class Rule Waiver </w:t>
      </w:r>
      <w:r w:rsidR="001A6AE2">
        <w:t xml:space="preserve">[CW </w:t>
      </w:r>
      <w:r w:rsidR="009026D4">
        <w:t>17/740</w:t>
      </w:r>
      <w:r w:rsidR="001A6AE2">
        <w:t>]</w:t>
      </w:r>
      <w:r w:rsidR="00C313B8">
        <w:t xml:space="preserve"> </w:t>
      </w:r>
      <w:r>
        <w:rPr>
          <w:color w:val="000000"/>
          <w:spacing w:val="-1"/>
        </w:rPr>
        <w:t xml:space="preserve">under </w:t>
      </w:r>
      <w:r w:rsidR="00C313B8" w:rsidRPr="0009256D">
        <w:t xml:space="preserve">subrule 1.2.1(1) of the </w:t>
      </w:r>
      <w:r w:rsidR="00C313B8" w:rsidRPr="0009256D">
        <w:rPr>
          <w:i/>
          <w:iCs/>
        </w:rPr>
        <w:t>ASIC Market Integrity Rules (</w:t>
      </w:r>
      <w:r w:rsidR="00C313B8">
        <w:rPr>
          <w:i/>
          <w:iCs/>
        </w:rPr>
        <w:t>ASX 24 Market) 2010</w:t>
      </w:r>
      <w:r w:rsidR="00C313B8" w:rsidRPr="0009256D">
        <w:rPr>
          <w:b/>
        </w:rPr>
        <w:t xml:space="preserve"> (</w:t>
      </w:r>
      <w:r w:rsidR="00C313B8" w:rsidRPr="0009256D">
        <w:t>the</w:t>
      </w:r>
      <w:r w:rsidR="00C313B8" w:rsidRPr="0009256D">
        <w:rPr>
          <w:b/>
        </w:rPr>
        <w:t xml:space="preserve"> </w:t>
      </w:r>
      <w:r w:rsidR="00C313B8">
        <w:rPr>
          <w:b/>
          <w:bCs/>
          <w:iCs/>
        </w:rPr>
        <w:t>ASX 24</w:t>
      </w:r>
      <w:r w:rsidR="00C313B8" w:rsidRPr="0009256D">
        <w:rPr>
          <w:b/>
          <w:bCs/>
          <w:iCs/>
        </w:rPr>
        <w:t xml:space="preserve"> Rules</w:t>
      </w:r>
      <w:r w:rsidR="00C313B8" w:rsidRPr="0009256D">
        <w:t>).</w:t>
      </w:r>
    </w:p>
    <w:p w:rsidR="00C313B8" w:rsidRDefault="00C313B8" w:rsidP="005B0E3A">
      <w:pPr>
        <w:pStyle w:val="BodyText"/>
        <w:spacing w:line="261" w:lineRule="auto"/>
        <w:rPr>
          <w:color w:val="000000"/>
          <w:spacing w:val="-1"/>
        </w:rPr>
      </w:pPr>
      <w:r w:rsidRPr="0009673C">
        <w:rPr>
          <w:color w:val="000000"/>
          <w:spacing w:val="-1"/>
        </w:rPr>
        <w:t xml:space="preserve">Under subrule 1.2.1(1), ASIC may relieve any person or class of persons from the obligation to comply with a provision of the ASX 24 Rules.  </w:t>
      </w:r>
      <w:r w:rsidR="005B0E3A">
        <w:rPr>
          <w:color w:val="000000"/>
          <w:spacing w:val="-1"/>
        </w:rPr>
        <w:t xml:space="preserve"> </w:t>
      </w:r>
    </w:p>
    <w:p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ASX 24 Rules.</w:t>
      </w:r>
    </w:p>
    <w:p w:rsidR="00C313B8" w:rsidRDefault="00C313B8" w:rsidP="005B0E3A">
      <w:pPr>
        <w:pStyle w:val="BodyText"/>
        <w:spacing w:line="261" w:lineRule="auto"/>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5B0E3A" w:rsidRDefault="005A7D3E" w:rsidP="005B0E3A">
      <w:pPr>
        <w:pStyle w:val="BodyText"/>
        <w:spacing w:before="199"/>
      </w:pPr>
      <w:r>
        <w:t>R</w:t>
      </w:r>
      <w:r w:rsidR="00C313B8">
        <w:t xml:space="preserve">ules 7.2.2(4), 7.2.5, 7.2.6 and 7.2.8 (the </w:t>
      </w:r>
      <w:r w:rsidR="00C313B8" w:rsidRPr="00C67B23">
        <w:rPr>
          <w:b/>
        </w:rPr>
        <w:t>Relevant Rules</w:t>
      </w:r>
      <w:r w:rsidR="00C313B8">
        <w:t xml:space="preserve">) of the ASX 24 Rules </w:t>
      </w:r>
      <w:r w:rsidR="00C313B8" w:rsidRPr="00905972">
        <w:t xml:space="preserve">impose various obligations on </w:t>
      </w:r>
      <w:r w:rsidR="00C313B8">
        <w:t>Trading P</w:t>
      </w:r>
      <w:r w:rsidR="00C67B23">
        <w:t>articipants to C</w:t>
      </w:r>
      <w:r w:rsidR="00C313B8">
        <w:t>all Margins from their C</w:t>
      </w:r>
      <w:r w:rsidR="00C313B8" w:rsidRPr="00905972">
        <w:t>lients. Margin</w:t>
      </w:r>
      <w:r w:rsidR="00C67B23">
        <w:t xml:space="preserve"> C</w:t>
      </w:r>
      <w:r w:rsidR="00C313B8">
        <w:t>alls can be satisfied by the Trading P</w:t>
      </w:r>
      <w:r w:rsidR="00C313B8" w:rsidRPr="00905972">
        <w:t>a</w:t>
      </w:r>
      <w:r w:rsidR="00CD5D0C">
        <w:t xml:space="preserve">rticipant accepting either cash or </w:t>
      </w:r>
      <w:r w:rsidR="00C313B8" w:rsidRPr="00905972">
        <w:t>Approved Securities</w:t>
      </w:r>
      <w:r w:rsidR="00C67B23">
        <w:t xml:space="preserve"> from their Clients</w:t>
      </w:r>
      <w:r w:rsidR="00CD5D0C">
        <w:t>. ‘Approved Securities’</w:t>
      </w:r>
      <w:r w:rsidR="00C313B8">
        <w:t xml:space="preserve"> is defined under Rule 7.1.1 of the ASX 24 Rules with a prescribed list</w:t>
      </w:r>
      <w:r w:rsidR="0009673C">
        <w:t>.</w:t>
      </w:r>
    </w:p>
    <w:p w:rsidR="00C313B8" w:rsidRDefault="00C313B8" w:rsidP="00C313B8">
      <w:pPr>
        <w:pStyle w:val="BodyText"/>
        <w:spacing w:before="199"/>
      </w:pPr>
      <w:r>
        <w:t xml:space="preserve">The purpose of </w:t>
      </w:r>
      <w:r w:rsidR="00E57B99">
        <w:t xml:space="preserve">a </w:t>
      </w:r>
      <w:r>
        <w:t>Ma</w:t>
      </w:r>
      <w:r w:rsidR="00C67B23">
        <w:t>rgin C</w:t>
      </w:r>
      <w:r>
        <w:t xml:space="preserve">all is to mitigate counterparty credit risk i.e. the risk that a party to a </w:t>
      </w:r>
      <w:r w:rsidR="00193C69">
        <w:t xml:space="preserve">Trade in a </w:t>
      </w:r>
      <w:r w:rsidR="005A7D3E">
        <w:t xml:space="preserve">Futures Contract </w:t>
      </w:r>
      <w:r>
        <w:t>will default on their ob</w:t>
      </w:r>
      <w:r w:rsidR="005A7D3E">
        <w:t>ligations under that Trade</w:t>
      </w:r>
      <w:r>
        <w:t xml:space="preserve">. Mitigating counterparty credit risk promotes investor confidence and market orderliness. </w:t>
      </w:r>
    </w:p>
    <w:p w:rsidR="00C313B8" w:rsidRDefault="00C313B8" w:rsidP="005B0E3A">
      <w:pPr>
        <w:pStyle w:val="BodyText"/>
        <w:spacing w:before="199"/>
      </w:pPr>
      <w:r>
        <w:t xml:space="preserve">Trading Participants that are Clearing Participants also have an obligation under the Operating Rules </w:t>
      </w:r>
      <w:r w:rsidR="00193C69">
        <w:t xml:space="preserve">of ASX Clear </w:t>
      </w:r>
      <w:r>
        <w:t xml:space="preserve">to post Margins. </w:t>
      </w:r>
    </w:p>
    <w:p w:rsidR="00C67B23" w:rsidRDefault="00C313B8" w:rsidP="00C67B23">
      <w:pPr>
        <w:pStyle w:val="BodyText"/>
        <w:spacing w:before="199"/>
      </w:pPr>
      <w:r w:rsidRPr="00905972">
        <w:t>The role of ASX Clear</w:t>
      </w:r>
      <w:r w:rsidR="00CD5D0C">
        <w:t xml:space="preserve"> </w:t>
      </w:r>
      <w:r>
        <w:t xml:space="preserve">is to mitigate </w:t>
      </w:r>
      <w:r w:rsidRPr="00905972">
        <w:t>counterparty</w:t>
      </w:r>
      <w:r>
        <w:t xml:space="preserve"> credit</w:t>
      </w:r>
      <w:r w:rsidRPr="00905972">
        <w:t xml:space="preserve"> ris</w:t>
      </w:r>
      <w:r w:rsidR="00CD5D0C">
        <w:t>k, and it does this by calling Margins from Clearing P</w:t>
      </w:r>
      <w:r w:rsidRPr="00905972">
        <w:t xml:space="preserve">articipants. ASX Clear determines </w:t>
      </w:r>
      <w:r>
        <w:t>what it considers to be acceptable</w:t>
      </w:r>
      <w:r w:rsidRPr="00905972">
        <w:t xml:space="preserve"> </w:t>
      </w:r>
      <w:r w:rsidR="00CD5D0C">
        <w:t>collateral for the purposes of Clearing P</w:t>
      </w:r>
      <w:r w:rsidRPr="00905972">
        <w:t xml:space="preserve">articipants </w:t>
      </w:r>
      <w:r w:rsidR="00CD5D0C">
        <w:t>satisfying M</w:t>
      </w:r>
      <w:r w:rsidR="00193C69">
        <w:t>argin C</w:t>
      </w:r>
      <w:r>
        <w:t>alls.</w:t>
      </w:r>
      <w:r w:rsidR="00CD5D0C">
        <w:t xml:space="preserve"> </w:t>
      </w:r>
      <w:r>
        <w:t>ASX Clear publishes a list of securities, collateral and other property that it will accept as Margin, which is amended by ASX Clear as required.</w:t>
      </w:r>
    </w:p>
    <w:p w:rsidR="00701EC5" w:rsidRDefault="00CD5D0C" w:rsidP="00C67B23">
      <w:pPr>
        <w:pStyle w:val="BodyText"/>
        <w:spacing w:before="199"/>
      </w:pPr>
      <w:r>
        <w:lastRenderedPageBreak/>
        <w:t>There are some inconsistencies between ASX Clear’s current list and the definition</w:t>
      </w:r>
      <w:r w:rsidR="006D32DB">
        <w:t xml:space="preserve"> of ‘Approved Securities’</w:t>
      </w:r>
      <w:r>
        <w:t xml:space="preserve"> in Rule 7.1.1 of the ASX 24 Rules. </w:t>
      </w:r>
      <w:r w:rsidR="00701EC5">
        <w:t>This causes confusion and complexity for Trading Participants that are also Clearing Participants.</w:t>
      </w:r>
    </w:p>
    <w:p w:rsidR="00C67B23" w:rsidRDefault="00CD5D0C" w:rsidP="00C67B23">
      <w:pPr>
        <w:pStyle w:val="BodyText"/>
        <w:spacing w:before="199"/>
      </w:pPr>
      <w:r>
        <w:t>For example, the list published by ASX Clear includes US Treasury Bills.</w:t>
      </w:r>
      <w:r w:rsidR="00C67B23">
        <w:t xml:space="preserve"> The definition of ‘Approved Securities’ </w:t>
      </w:r>
      <w:r w:rsidR="006D32DB">
        <w:t>in Rule 7.1.1 of the ASX 24 Rules</w:t>
      </w:r>
      <w:r w:rsidR="00C67B23">
        <w:t xml:space="preserve"> is </w:t>
      </w:r>
      <w:r w:rsidR="00C67B23" w:rsidRPr="00905972">
        <w:t>based on the definition of ‘Approved Secur</w:t>
      </w:r>
      <w:r w:rsidR="00C67B23">
        <w:t xml:space="preserve">ities’ that existed in the Operating Rules of the Sydney Futures Exchange </w:t>
      </w:r>
      <w:r w:rsidR="00193C69">
        <w:t>(</w:t>
      </w:r>
      <w:r w:rsidR="00193C69" w:rsidRPr="00193C69">
        <w:rPr>
          <w:b/>
        </w:rPr>
        <w:t>SFE</w:t>
      </w:r>
      <w:r w:rsidR="00193C69">
        <w:t xml:space="preserve">) </w:t>
      </w:r>
      <w:r w:rsidR="00C67B23">
        <w:t xml:space="preserve">prior to the transfer of market </w:t>
      </w:r>
      <w:r w:rsidR="00C67B23" w:rsidRPr="00905972">
        <w:t>supervision</w:t>
      </w:r>
      <w:r w:rsidR="00C67B23">
        <w:t xml:space="preserve"> to ASIC</w:t>
      </w:r>
      <w:r w:rsidR="00193C69">
        <w:t xml:space="preserve"> on 1 August 2010</w:t>
      </w:r>
      <w:r w:rsidR="00C67B23" w:rsidRPr="00905972">
        <w:t xml:space="preserve">. </w:t>
      </w:r>
      <w:r w:rsidR="00AD3ABD">
        <w:t xml:space="preserve">We understand that </w:t>
      </w:r>
      <w:r w:rsidR="00C67B23" w:rsidRPr="00905972">
        <w:t>US Treasury</w:t>
      </w:r>
      <w:r w:rsidR="00C67B23">
        <w:t xml:space="preserve"> Bills were not included in SFE’s </w:t>
      </w:r>
      <w:r w:rsidR="00C67B23" w:rsidRPr="00905972">
        <w:t>prescribed list</w:t>
      </w:r>
      <w:r w:rsidR="00C67B23">
        <w:t xml:space="preserve"> because</w:t>
      </w:r>
      <w:r w:rsidR="00C67B23" w:rsidRPr="00905972">
        <w:t xml:space="preserve"> there wasn’t a demand for them at that time. </w:t>
      </w:r>
    </w:p>
    <w:p w:rsidR="005B0E3A" w:rsidRDefault="005B0E3A" w:rsidP="005B0E3A">
      <w:pPr>
        <w:spacing w:line="240" w:lineRule="exact"/>
        <w:rPr>
          <w:sz w:val="24"/>
          <w:szCs w:val="24"/>
        </w:rPr>
      </w:pPr>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EE7C19">
        <w:rPr>
          <w:rFonts w:ascii="Arial"/>
          <w:b/>
          <w:spacing w:val="-1"/>
          <w:sz w:val="24"/>
        </w:rPr>
        <w:t>Purpose of the instrument</w:t>
      </w:r>
    </w:p>
    <w:p w:rsidR="00EC2742" w:rsidRDefault="00EC2742" w:rsidP="00EC2742">
      <w:pPr>
        <w:pStyle w:val="BodyText"/>
        <w:spacing w:before="199"/>
      </w:pPr>
      <w:r>
        <w:t>ASIC received an individual application from a Trading Participant for relief from the definition of ‘Approved Securities’ und</w:t>
      </w:r>
      <w:r w:rsidR="006D32DB">
        <w:t>er Rule 7.1.1 of the ASX 24 Rules</w:t>
      </w:r>
      <w:r>
        <w:t xml:space="preserve">. The Trading Participant requested that they instead be permitted to use the list published by ASX Clear. </w:t>
      </w:r>
    </w:p>
    <w:p w:rsidR="00EC2742" w:rsidRDefault="00EC2742" w:rsidP="00193C69">
      <w:pPr>
        <w:pStyle w:val="BodyText"/>
        <w:spacing w:before="199"/>
      </w:pPr>
      <w:r>
        <w:t>In reviewing this application, ASIC considered that other Trading Participants may also be impacted by the inconsistency be</w:t>
      </w:r>
      <w:r w:rsidR="006D32DB">
        <w:t>tween Rule 7.1.1 of the ASX 24 Rules</w:t>
      </w:r>
      <w:r>
        <w:t xml:space="preserve"> and ASX Clear’s list of accepted collateral. </w:t>
      </w:r>
    </w:p>
    <w:p w:rsidR="003C03B9" w:rsidRDefault="001A7D87" w:rsidP="00193C69">
      <w:pPr>
        <w:pStyle w:val="BodyText"/>
        <w:spacing w:before="199"/>
      </w:pPr>
      <w:r>
        <w:t xml:space="preserve">The </w:t>
      </w:r>
      <w:r w:rsidR="006D32DB">
        <w:t xml:space="preserve">instrument </w:t>
      </w:r>
      <w:r w:rsidR="00193C69" w:rsidRPr="00193C69">
        <w:t>provides relief from the Relevant Rules to the extent that those rules apply the definition of ‘Approved Securities’. It</w:t>
      </w:r>
      <w:r w:rsidR="00193C69" w:rsidRPr="00C52CFC">
        <w:t xml:space="preserve"> introduces a new term ‘Approved Collateral’ which refers to securities, collateral and other property</w:t>
      </w:r>
      <w:r w:rsidR="00193C69">
        <w:t xml:space="preserve"> accepted by</w:t>
      </w:r>
      <w:r w:rsidR="00193C69" w:rsidRPr="00C52CFC">
        <w:t xml:space="preserve"> </w:t>
      </w:r>
      <w:r w:rsidR="00193C69">
        <w:t>ASX Clear.</w:t>
      </w:r>
      <w:r w:rsidR="0054543F">
        <w:t xml:space="preserve"> </w:t>
      </w:r>
    </w:p>
    <w:p w:rsidR="00193C69" w:rsidRDefault="00193C69" w:rsidP="00193C69">
      <w:pPr>
        <w:pStyle w:val="BodyText"/>
        <w:spacing w:before="199"/>
      </w:pPr>
      <w:r>
        <w:t xml:space="preserve">The effect of </w:t>
      </w:r>
      <w:r w:rsidR="001A7D87">
        <w:t xml:space="preserve">the </w:t>
      </w:r>
      <w:r w:rsidR="006D32DB">
        <w:t xml:space="preserve">instrument </w:t>
      </w:r>
      <w:r>
        <w:t>is to allow Trading Participants to rely on the list of accepted collateral published by ASX Clear to meet</w:t>
      </w:r>
      <w:r w:rsidR="001A7D87">
        <w:t xml:space="preserve"> their obligations under the </w:t>
      </w:r>
      <w:r>
        <w:t xml:space="preserve">Relevant Rules. </w:t>
      </w:r>
    </w:p>
    <w:p w:rsidR="00A24BA4" w:rsidRDefault="001A7D87" w:rsidP="00193C69">
      <w:pPr>
        <w:pStyle w:val="BodyText"/>
        <w:spacing w:before="199"/>
      </w:pPr>
      <w:r>
        <w:t xml:space="preserve">The </w:t>
      </w:r>
      <w:r w:rsidR="006D32DB">
        <w:t xml:space="preserve">instrument </w:t>
      </w:r>
      <w:r w:rsidR="00193C69">
        <w:t>ensures that the Relevant Rules continue to effectively mitigate counterparty credit risk in the context of Trading Participants an</w:t>
      </w:r>
      <w:r w:rsidR="00701EC5">
        <w:t xml:space="preserve">d their Clients. It reduces </w:t>
      </w:r>
      <w:r w:rsidR="00193C69">
        <w:t xml:space="preserve">uncertainty and complexity </w:t>
      </w:r>
      <w:r w:rsidR="0054543F">
        <w:t>for Trading Participants that are also Clearing Participants</w:t>
      </w:r>
      <w:r w:rsidR="006D32DB">
        <w:t xml:space="preserve">, and provides </w:t>
      </w:r>
      <w:r w:rsidR="00193C69">
        <w:t>flexibility in the Relevant Rules to respond to market changes. This is because ASX Clear can update their list if required (e.g. due to changes in the liquidity of certain securities) by publishing a new list.</w:t>
      </w:r>
    </w:p>
    <w:p w:rsidR="005B0E3A" w:rsidRDefault="005B0E3A" w:rsidP="005B0E3A">
      <w:pPr>
        <w:spacing w:line="240" w:lineRule="exact"/>
        <w:rPr>
          <w:sz w:val="24"/>
          <w:szCs w:val="24"/>
        </w:rPr>
      </w:pPr>
      <w:bookmarkStart w:id="3" w:name="Insert_a_level_3_heading_"/>
      <w:bookmarkEnd w:id="3"/>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EE7C19">
        <w:rPr>
          <w:rFonts w:ascii="Arial"/>
          <w:b/>
          <w:spacing w:val="-1"/>
          <w:sz w:val="24"/>
        </w:rPr>
        <w:t>Operation of the instrument</w:t>
      </w:r>
    </w:p>
    <w:p w:rsidR="001A7D87" w:rsidRPr="006D32DB" w:rsidRDefault="003C03B9" w:rsidP="006D32DB">
      <w:pPr>
        <w:pStyle w:val="BodyText"/>
        <w:spacing w:before="199"/>
        <w:rPr>
          <w:b/>
        </w:rPr>
      </w:pPr>
      <w:r w:rsidRPr="006D32DB">
        <w:rPr>
          <w:b/>
        </w:rPr>
        <w:t>Definitions</w:t>
      </w:r>
    </w:p>
    <w:p w:rsidR="001A7D87" w:rsidRPr="003C03B9" w:rsidRDefault="00701EC5" w:rsidP="003C03B9">
      <w:pPr>
        <w:pStyle w:val="BodyText"/>
        <w:spacing w:before="199"/>
      </w:pPr>
      <w:r>
        <w:t xml:space="preserve">Paragraph </w:t>
      </w:r>
      <w:r w:rsidR="001A7D87" w:rsidRPr="003C03B9">
        <w:t>4</w:t>
      </w:r>
      <w:r>
        <w:t>(1)</w:t>
      </w:r>
      <w:r w:rsidR="001A7D87" w:rsidRPr="003C03B9">
        <w:t xml:space="preserve"> of the </w:t>
      </w:r>
      <w:r w:rsidR="006D32DB">
        <w:t>instrument</w:t>
      </w:r>
      <w:r>
        <w:t xml:space="preserve"> provides that</w:t>
      </w:r>
      <w:r w:rsidR="003C03B9" w:rsidRPr="003C03B9">
        <w:t>:</w:t>
      </w:r>
    </w:p>
    <w:p w:rsidR="003C03B9" w:rsidRPr="003C03B9" w:rsidRDefault="003C03B9" w:rsidP="00432430">
      <w:pPr>
        <w:pStyle w:val="BodyText"/>
        <w:numPr>
          <w:ilvl w:val="0"/>
          <w:numId w:val="16"/>
        </w:numPr>
        <w:tabs>
          <w:tab w:val="clear" w:pos="567"/>
          <w:tab w:val="clear" w:pos="680"/>
        </w:tabs>
        <w:spacing w:before="199"/>
      </w:pPr>
      <w:r w:rsidRPr="003C03B9">
        <w:t>‘</w:t>
      </w:r>
      <w:r w:rsidR="001F76E9">
        <w:t xml:space="preserve">Approved Collateral’ means </w:t>
      </w:r>
      <w:r w:rsidRPr="003C03B9">
        <w:t>securities or other collateral or property accepted by ASX Clear under the Clearing Rules;</w:t>
      </w:r>
    </w:p>
    <w:p w:rsidR="003C03B9" w:rsidRDefault="003C03B9" w:rsidP="00432430">
      <w:pPr>
        <w:pStyle w:val="BodyText"/>
        <w:numPr>
          <w:ilvl w:val="0"/>
          <w:numId w:val="16"/>
        </w:numPr>
        <w:tabs>
          <w:tab w:val="clear" w:pos="567"/>
          <w:tab w:val="clear" w:pos="680"/>
        </w:tabs>
        <w:spacing w:before="199"/>
      </w:pPr>
      <w:r w:rsidRPr="003C03B9">
        <w:lastRenderedPageBreak/>
        <w:t xml:space="preserve">‘Cover’ means cash and/or Approved Collateral held by a Market Participant against a Client’s liability from time to time. </w:t>
      </w:r>
    </w:p>
    <w:p w:rsidR="006D32DB" w:rsidRDefault="006D32DB" w:rsidP="00CE5A32">
      <w:pPr>
        <w:pStyle w:val="BodyText"/>
        <w:spacing w:before="199"/>
        <w:rPr>
          <w:b/>
        </w:rPr>
      </w:pPr>
    </w:p>
    <w:p w:rsidR="00CE5A32" w:rsidRPr="00EE7C19" w:rsidRDefault="00CE5A32" w:rsidP="00CE5A32">
      <w:pPr>
        <w:pStyle w:val="BodyText"/>
        <w:spacing w:before="199"/>
        <w:rPr>
          <w:b/>
        </w:rPr>
      </w:pPr>
      <w:r w:rsidRPr="00EE7C19">
        <w:rPr>
          <w:b/>
        </w:rPr>
        <w:t>Callin</w:t>
      </w:r>
      <w:r w:rsidR="00EE7C19" w:rsidRPr="00EE7C19">
        <w:rPr>
          <w:b/>
        </w:rPr>
        <w:t>g</w:t>
      </w:r>
      <w:r w:rsidRPr="00EE7C19">
        <w:rPr>
          <w:b/>
        </w:rPr>
        <w:t xml:space="preserve"> Initial Margin</w:t>
      </w:r>
    </w:p>
    <w:p w:rsidR="00CE5A32" w:rsidRDefault="00701EC5" w:rsidP="00CE5A32">
      <w:pPr>
        <w:pStyle w:val="BodyText"/>
        <w:spacing w:before="199"/>
      </w:pPr>
      <w:r>
        <w:t xml:space="preserve">Paragraph </w:t>
      </w:r>
      <w:r w:rsidR="00CE5A32">
        <w:t>5</w:t>
      </w:r>
      <w:r w:rsidR="002B0AC4">
        <w:t>(1)</w:t>
      </w:r>
      <w:r w:rsidR="00CE5A32">
        <w:t xml:space="preserve"> of the </w:t>
      </w:r>
      <w:r w:rsidR="006D32DB">
        <w:t xml:space="preserve">instrument </w:t>
      </w:r>
      <w:r w:rsidR="00CE5A32">
        <w:t>relieves a Trading Participant which has agreed to accept and has received Cove</w:t>
      </w:r>
      <w:r w:rsidR="00EE7C19">
        <w:t>r by way of Approved Collateral</w:t>
      </w:r>
      <w:r w:rsidR="00CE5A32">
        <w:t xml:space="preserve"> from the obligation to comply with subrule 7.2.2(4)</w:t>
      </w:r>
      <w:r w:rsidR="006D32DB">
        <w:t xml:space="preserve"> of the ASX 24 Rules</w:t>
      </w:r>
      <w:r w:rsidR="00CE5A32">
        <w:t xml:space="preserve">. </w:t>
      </w:r>
    </w:p>
    <w:p w:rsidR="006D32DB" w:rsidRDefault="006D32DB" w:rsidP="00CE5A32">
      <w:pPr>
        <w:pStyle w:val="BodyText"/>
        <w:spacing w:before="199"/>
        <w:rPr>
          <w:b/>
        </w:rPr>
      </w:pPr>
    </w:p>
    <w:p w:rsidR="00CE5A32" w:rsidRPr="00EE7C19" w:rsidRDefault="00CE5A32" w:rsidP="00CE5A32">
      <w:pPr>
        <w:pStyle w:val="BodyText"/>
        <w:spacing w:before="199"/>
        <w:rPr>
          <w:b/>
        </w:rPr>
      </w:pPr>
      <w:r w:rsidRPr="00EE7C19">
        <w:rPr>
          <w:b/>
        </w:rPr>
        <w:t>Satisfaction of Calls for Margin</w:t>
      </w:r>
    </w:p>
    <w:p w:rsidR="00EE7C19" w:rsidRPr="00EE7C19" w:rsidRDefault="00EE7C19" w:rsidP="00EE7C19">
      <w:pPr>
        <w:pStyle w:val="BodyText"/>
        <w:spacing w:before="199"/>
        <w:rPr>
          <w:i/>
        </w:rPr>
      </w:pPr>
      <w:r w:rsidRPr="00EE7C19">
        <w:rPr>
          <w:i/>
        </w:rPr>
        <w:t>Rule 7.2.5(1)</w:t>
      </w:r>
    </w:p>
    <w:p w:rsidR="00EE7C19" w:rsidRDefault="00701EC5" w:rsidP="00EE7C19">
      <w:pPr>
        <w:pStyle w:val="BodyText"/>
        <w:spacing w:before="199"/>
      </w:pPr>
      <w:r>
        <w:t xml:space="preserve">Paragraph </w:t>
      </w:r>
      <w:r w:rsidR="00CE5A32">
        <w:t>6(1)</w:t>
      </w:r>
      <w:r w:rsidR="00EE7C19">
        <w:t>(a)</w:t>
      </w:r>
      <w:r w:rsidR="00CE5A32">
        <w:t xml:space="preserve"> of the </w:t>
      </w:r>
      <w:r w:rsidR="006D32DB">
        <w:t xml:space="preserve">instrument </w:t>
      </w:r>
      <w:r w:rsidR="00CE5A32">
        <w:t>relieves a Trading Participant</w:t>
      </w:r>
      <w:r w:rsidR="00EE7C19">
        <w:t xml:space="preserve"> which has agreed to accept Cover by way of Approved Collateral from the obligation to comply with subrule 7.2.5(1)</w:t>
      </w:r>
      <w:r w:rsidR="002B0AC4">
        <w:t xml:space="preserve"> of the ASX 24 Rules</w:t>
      </w:r>
      <w:r w:rsidR="00EE7C19">
        <w:t xml:space="preserve">. </w:t>
      </w:r>
    </w:p>
    <w:p w:rsidR="00EE7C19" w:rsidRDefault="00EE7C19" w:rsidP="00EE7C19">
      <w:pPr>
        <w:pStyle w:val="BodyText"/>
        <w:spacing w:before="199"/>
      </w:pPr>
      <w:r>
        <w:t>This waiver is subject to the condition</w:t>
      </w:r>
      <w:r w:rsidR="00701EC5">
        <w:t xml:space="preserve"> in paragraph</w:t>
      </w:r>
      <w:r w:rsidR="002B0AC4">
        <w:t xml:space="preserve"> 9(1) of the </w:t>
      </w:r>
      <w:r w:rsidR="006D32DB">
        <w:t xml:space="preserve">instrument </w:t>
      </w:r>
      <w:r>
        <w:t>that the Trading Participant’s Client agreement must provide that Calls for Initial Margin and Variation Margin must be satisfied by payment unless the Trading Participant agrees to accept, in lieu of payment, Approved Collateral.</w:t>
      </w:r>
    </w:p>
    <w:p w:rsidR="00EE7C19" w:rsidRDefault="00EE7C19" w:rsidP="00EE7C19">
      <w:pPr>
        <w:pStyle w:val="BodyText"/>
        <w:spacing w:before="199"/>
        <w:rPr>
          <w:i/>
        </w:rPr>
      </w:pPr>
    </w:p>
    <w:p w:rsidR="00EE7C19" w:rsidRPr="00EE7C19" w:rsidRDefault="00EE7C19" w:rsidP="00EE7C19">
      <w:pPr>
        <w:pStyle w:val="BodyText"/>
        <w:spacing w:before="199"/>
        <w:rPr>
          <w:i/>
        </w:rPr>
      </w:pPr>
      <w:r w:rsidRPr="00EE7C19">
        <w:rPr>
          <w:i/>
        </w:rPr>
        <w:t>Rule 7.2.5(2)</w:t>
      </w:r>
    </w:p>
    <w:p w:rsidR="00EE7C19" w:rsidRDefault="00701EC5" w:rsidP="00EE7C19">
      <w:pPr>
        <w:pStyle w:val="BodyText"/>
        <w:spacing w:before="199"/>
      </w:pPr>
      <w:r>
        <w:t>Paragraph</w:t>
      </w:r>
      <w:r w:rsidR="00EE7C19">
        <w:t xml:space="preserve"> 6(1)(b) of the </w:t>
      </w:r>
      <w:r w:rsidR="006D32DB">
        <w:t xml:space="preserve">instrument </w:t>
      </w:r>
      <w:r w:rsidR="00EE7C19">
        <w:t>relieves a Trading Participant which has agreed to accept Cover by way of Approved Collateral from the obligation to comply with subrule 7.2.5(2)</w:t>
      </w:r>
      <w:r w:rsidR="002B0AC4">
        <w:t xml:space="preserve"> of the ASX 24 Rules</w:t>
      </w:r>
      <w:r w:rsidR="00EE7C19">
        <w:t xml:space="preserve">. </w:t>
      </w:r>
    </w:p>
    <w:p w:rsidR="00EE7C19" w:rsidRDefault="00EE7C19" w:rsidP="00EE7C19">
      <w:pPr>
        <w:pStyle w:val="BodyText"/>
        <w:spacing w:before="199"/>
      </w:pPr>
      <w:r>
        <w:t xml:space="preserve">This waiver is subject to the condition </w:t>
      </w:r>
      <w:r w:rsidR="00701EC5">
        <w:t>in paragraph</w:t>
      </w:r>
      <w:r w:rsidR="0092751D">
        <w:t xml:space="preserve"> 9(2) </w:t>
      </w:r>
      <w:r w:rsidR="002B0AC4">
        <w:t xml:space="preserve">of the </w:t>
      </w:r>
      <w:r w:rsidR="006D32DB">
        <w:t xml:space="preserve">instrument </w:t>
      </w:r>
      <w:r>
        <w:t>that the Trading Participant’s Client agreement must provide that:</w:t>
      </w:r>
    </w:p>
    <w:p w:rsidR="00EE7C19" w:rsidRDefault="00EE7C19" w:rsidP="00432430">
      <w:pPr>
        <w:pStyle w:val="BodyText"/>
        <w:numPr>
          <w:ilvl w:val="0"/>
          <w:numId w:val="17"/>
        </w:numPr>
        <w:tabs>
          <w:tab w:val="clear" w:pos="567"/>
          <w:tab w:val="clear" w:pos="680"/>
        </w:tabs>
        <w:spacing w:before="199"/>
      </w:pPr>
      <w:r>
        <w:t xml:space="preserve">Approved Collateral received as Cover shall be retained by the Trading Participant until such time as the liability of the Client is extinguished either by the relevant contracts being Closed Out or payment being made by a Buyer or delivery in accordance with the </w:t>
      </w:r>
      <w:r w:rsidR="002B0AC4">
        <w:t xml:space="preserve">ASX 24 </w:t>
      </w:r>
      <w:r>
        <w:t>Rules being effected by a Seller; and</w:t>
      </w:r>
    </w:p>
    <w:p w:rsidR="00EE7C19" w:rsidRDefault="00EE7C19" w:rsidP="00432430">
      <w:pPr>
        <w:pStyle w:val="BodyText"/>
        <w:numPr>
          <w:ilvl w:val="0"/>
          <w:numId w:val="17"/>
        </w:numPr>
        <w:tabs>
          <w:tab w:val="clear" w:pos="567"/>
          <w:tab w:val="clear" w:pos="680"/>
        </w:tabs>
        <w:spacing w:before="199"/>
      </w:pPr>
      <w:r>
        <w:t xml:space="preserve">if the liability of the Client is not extinguished, as set out in paragraph (a), then the Approved Collateral may be realised by the Trading Participant and the proceeds applied against the liability. </w:t>
      </w:r>
    </w:p>
    <w:p w:rsidR="006D32DB" w:rsidRDefault="006D32DB" w:rsidP="00EE7C19">
      <w:pPr>
        <w:pStyle w:val="BodyText"/>
        <w:spacing w:before="199"/>
        <w:rPr>
          <w:i/>
        </w:rPr>
      </w:pPr>
    </w:p>
    <w:p w:rsidR="006D32DB" w:rsidRDefault="006D32DB" w:rsidP="00EE7C19">
      <w:pPr>
        <w:pStyle w:val="BodyText"/>
        <w:spacing w:before="199"/>
        <w:rPr>
          <w:i/>
        </w:rPr>
      </w:pPr>
    </w:p>
    <w:p w:rsidR="006D32DB" w:rsidRDefault="006D32DB" w:rsidP="00EE7C19">
      <w:pPr>
        <w:pStyle w:val="BodyText"/>
        <w:spacing w:before="199"/>
        <w:rPr>
          <w:i/>
        </w:rPr>
      </w:pPr>
    </w:p>
    <w:p w:rsidR="00EE7C19" w:rsidRPr="00EE7C19" w:rsidRDefault="00EE7C19" w:rsidP="00EE7C19">
      <w:pPr>
        <w:pStyle w:val="BodyText"/>
        <w:spacing w:before="199"/>
        <w:rPr>
          <w:i/>
        </w:rPr>
      </w:pPr>
      <w:r w:rsidRPr="00EE7C19">
        <w:rPr>
          <w:i/>
        </w:rPr>
        <w:lastRenderedPageBreak/>
        <w:t>Rule 7.2.5(3)</w:t>
      </w:r>
    </w:p>
    <w:p w:rsidR="00EE7C19" w:rsidRDefault="00701EC5" w:rsidP="00EE7C19">
      <w:pPr>
        <w:pStyle w:val="BodyText"/>
        <w:spacing w:before="199"/>
      </w:pPr>
      <w:r>
        <w:t>Paragraph</w:t>
      </w:r>
      <w:r w:rsidR="00EE7C19">
        <w:t xml:space="preserve"> 6(1)(c) of the </w:t>
      </w:r>
      <w:r w:rsidR="006D32DB">
        <w:t xml:space="preserve">instrument </w:t>
      </w:r>
      <w:r w:rsidR="00EE7C19">
        <w:t>relieves a Trading Participant which has agreed to accept Cover by way of Approved Collateral from the obligation to comply with subrule 7.2.5(3)</w:t>
      </w:r>
      <w:r w:rsidR="002B0AC4">
        <w:t xml:space="preserve"> of the ASX 24 Rules</w:t>
      </w:r>
      <w:r w:rsidR="00EE7C19">
        <w:t>.</w:t>
      </w:r>
    </w:p>
    <w:p w:rsidR="00EE7C19" w:rsidRDefault="00EE7C19" w:rsidP="00EE7C19">
      <w:pPr>
        <w:pStyle w:val="BodyText"/>
        <w:spacing w:before="199"/>
      </w:pPr>
      <w:r>
        <w:t>This waiver is subject to the condition</w:t>
      </w:r>
      <w:r w:rsidR="00701EC5">
        <w:t xml:space="preserve"> in paragraph</w:t>
      </w:r>
      <w:r w:rsidR="002B0AC4">
        <w:t xml:space="preserve"> 9(3) of the </w:t>
      </w:r>
      <w:r w:rsidR="006D32DB">
        <w:t xml:space="preserve">instrument </w:t>
      </w:r>
      <w:r>
        <w:t xml:space="preserve">that the Trading Participant must ensure liability of a Client for Initial Margin is Covered at all times. </w:t>
      </w:r>
    </w:p>
    <w:p w:rsidR="00EE7C19" w:rsidRDefault="00EE7C19" w:rsidP="00EE7C19">
      <w:pPr>
        <w:pStyle w:val="BodyText"/>
        <w:spacing w:before="199"/>
      </w:pPr>
    </w:p>
    <w:p w:rsidR="00EE7C19" w:rsidRPr="002B0AC4" w:rsidRDefault="00EE7C19" w:rsidP="00EE7C19">
      <w:pPr>
        <w:pStyle w:val="BodyText"/>
        <w:spacing w:before="199"/>
        <w:rPr>
          <w:b/>
        </w:rPr>
      </w:pPr>
      <w:r w:rsidRPr="002B0AC4">
        <w:rPr>
          <w:b/>
        </w:rPr>
        <w:t>Time for payment of Margins</w:t>
      </w:r>
    </w:p>
    <w:p w:rsidR="00EE7C19" w:rsidRDefault="00701EC5" w:rsidP="00EE7C19">
      <w:pPr>
        <w:pStyle w:val="BodyText"/>
        <w:spacing w:before="199"/>
      </w:pPr>
      <w:r>
        <w:t>Paragraph</w:t>
      </w:r>
      <w:r w:rsidR="00EE7C19">
        <w:t xml:space="preserve"> 7</w:t>
      </w:r>
      <w:r w:rsidR="002B0AC4">
        <w:t>(1)</w:t>
      </w:r>
      <w:r w:rsidR="00EE7C19">
        <w:t xml:space="preserve"> </w:t>
      </w:r>
      <w:r w:rsidR="002B0AC4">
        <w:t xml:space="preserve">of the </w:t>
      </w:r>
      <w:r w:rsidR="006D32DB">
        <w:t xml:space="preserve">instrument </w:t>
      </w:r>
      <w:r w:rsidR="002B0AC4">
        <w:t>relieves a Trading Participant which has agreed to accept Cover by way of Approved Collateral from the obligation to comply with Rule 7.2.6 of the ASX 24 Rules.</w:t>
      </w:r>
    </w:p>
    <w:p w:rsidR="002B0AC4" w:rsidRDefault="002B0AC4" w:rsidP="00EE7C19">
      <w:pPr>
        <w:pStyle w:val="BodyText"/>
        <w:spacing w:before="199"/>
      </w:pPr>
      <w:r>
        <w:t>This waiver is su</w:t>
      </w:r>
      <w:r w:rsidR="00701EC5">
        <w:t>bject to the condition in paragraph</w:t>
      </w:r>
      <w:r w:rsidR="0092751D">
        <w:t xml:space="preserve"> 9(4) </w:t>
      </w:r>
      <w:r>
        <w:t xml:space="preserve">of the </w:t>
      </w:r>
      <w:r w:rsidR="006D32DB">
        <w:t xml:space="preserve">instrument </w:t>
      </w:r>
      <w:r>
        <w:t>that:</w:t>
      </w:r>
    </w:p>
    <w:p w:rsidR="002B0AC4" w:rsidRPr="005D3D41" w:rsidRDefault="002B0AC4" w:rsidP="00432430">
      <w:pPr>
        <w:pStyle w:val="BodyText"/>
        <w:numPr>
          <w:ilvl w:val="0"/>
          <w:numId w:val="18"/>
        </w:numPr>
        <w:tabs>
          <w:tab w:val="clear" w:pos="567"/>
          <w:tab w:val="clear" w:pos="680"/>
        </w:tabs>
        <w:spacing w:before="199"/>
      </w:pPr>
      <w:r>
        <w:t>where a Call is made for Initial or Variation Margin, the Trading Participant must stipulate the time for payment or lodgement of Approved Collateral, which must not be greater than</w:t>
      </w:r>
      <w:r w:rsidRPr="005D3D41">
        <w:t>:</w:t>
      </w:r>
    </w:p>
    <w:p w:rsidR="002B0AC4" w:rsidRPr="005D3D41" w:rsidRDefault="002B0AC4" w:rsidP="002B0AC4">
      <w:pPr>
        <w:pStyle w:val="LI-BodyTextSubsubparaA"/>
        <w:ind w:left="2127" w:hanging="426"/>
      </w:pPr>
      <w:r>
        <w:t>(i)</w:t>
      </w:r>
      <w:r>
        <w:tab/>
        <w:t>24 hours if the Client’s address is within Australia; or</w:t>
      </w:r>
    </w:p>
    <w:p w:rsidR="002B0AC4" w:rsidRDefault="002B0AC4" w:rsidP="002B0AC4">
      <w:pPr>
        <w:pStyle w:val="LI-BodyTextSubsubparaA"/>
        <w:ind w:left="2127" w:hanging="426"/>
      </w:pPr>
      <w:r>
        <w:t>(ii)</w:t>
      </w:r>
      <w:r>
        <w:tab/>
        <w:t>48 hours if the Client’s address is outside Australia;</w:t>
      </w:r>
    </w:p>
    <w:p w:rsidR="002B0AC4" w:rsidRDefault="002B0AC4" w:rsidP="00432430">
      <w:pPr>
        <w:pStyle w:val="BodyText"/>
        <w:numPr>
          <w:ilvl w:val="0"/>
          <w:numId w:val="18"/>
        </w:numPr>
        <w:tabs>
          <w:tab w:val="clear" w:pos="567"/>
          <w:tab w:val="clear" w:pos="680"/>
        </w:tabs>
        <w:spacing w:before="199"/>
      </w:pPr>
      <w:r>
        <w:t>the Trading Participant must not provide credit for a Client beyond the periods specified in paragraphs (a)</w:t>
      </w:r>
      <w:r w:rsidR="00701EC5">
        <w:t xml:space="preserve">(i) and (ii) </w:t>
      </w:r>
      <w:r>
        <w:t>unless:</w:t>
      </w:r>
    </w:p>
    <w:p w:rsidR="002B0AC4" w:rsidRDefault="002B0AC4" w:rsidP="00432430">
      <w:pPr>
        <w:pStyle w:val="LI-BodyTextParaa"/>
        <w:ind w:left="2127" w:hanging="426"/>
      </w:pPr>
      <w:r>
        <w:t>(i)</w:t>
      </w:r>
      <w:r>
        <w:tab/>
        <w:t>permitted by Rule 7.2.10 of the ASX 24 Rules; or</w:t>
      </w:r>
    </w:p>
    <w:p w:rsidR="002B0AC4" w:rsidRDefault="002B0AC4" w:rsidP="002B0AC4">
      <w:pPr>
        <w:pStyle w:val="LI-BodyTextParaa"/>
        <w:ind w:left="2127" w:hanging="426"/>
      </w:pPr>
      <w:r>
        <w:t>(ii)</w:t>
      </w:r>
      <w:r>
        <w:tab/>
        <w:t>the Trading Participant exercises a reasonable discretion not to Close Out</w:t>
      </w:r>
      <w:r w:rsidRPr="00CA2230">
        <w:t xml:space="preserve"> </w:t>
      </w:r>
      <w:r>
        <w:t>having regard to:</w:t>
      </w:r>
    </w:p>
    <w:p w:rsidR="002B0AC4" w:rsidRDefault="002B0AC4" w:rsidP="002B0AC4">
      <w:pPr>
        <w:pStyle w:val="LI-BodyTextSubsubparaA"/>
      </w:pPr>
      <w:r>
        <w:t>(A)</w:t>
      </w:r>
      <w:r>
        <w:tab/>
        <w:t>the expertise and financial status of the Client;</w:t>
      </w:r>
    </w:p>
    <w:p w:rsidR="002B0AC4" w:rsidRDefault="002B0AC4" w:rsidP="002B0AC4">
      <w:pPr>
        <w:pStyle w:val="LI-BodyTextSubsubparaA"/>
      </w:pPr>
      <w:r>
        <w:t>(B)</w:t>
      </w:r>
      <w:r>
        <w:tab/>
        <w:t>any genuine attempts by the Client to meet the Call within the time prescribed; and</w:t>
      </w:r>
    </w:p>
    <w:p w:rsidR="002B0AC4" w:rsidRDefault="002B0AC4" w:rsidP="002B0AC4">
      <w:pPr>
        <w:pStyle w:val="LI-BodyTextSubsubparaA"/>
      </w:pPr>
      <w:r>
        <w:t>(C)</w:t>
      </w:r>
      <w:r>
        <w:tab/>
        <w:t xml:space="preserve">whether relevant actions or omissions of third parties resulted in the Client failing to pay the Call; and </w:t>
      </w:r>
    </w:p>
    <w:p w:rsidR="002B0AC4" w:rsidRDefault="002B0AC4" w:rsidP="00432430">
      <w:pPr>
        <w:pStyle w:val="BodyText"/>
        <w:numPr>
          <w:ilvl w:val="0"/>
          <w:numId w:val="18"/>
        </w:numPr>
        <w:tabs>
          <w:tab w:val="clear" w:pos="567"/>
          <w:tab w:val="clear" w:pos="680"/>
        </w:tabs>
        <w:spacing w:before="199"/>
      </w:pPr>
      <w:r>
        <w:t xml:space="preserve">the Trading Participant’s Client agreement must provide that time shall be of the essence in respect of payment or lodgement under Part 7.2 of the ASX 24 </w:t>
      </w:r>
      <w:r w:rsidRPr="000B5E6D">
        <w:t>Rules</w:t>
      </w:r>
      <w:r>
        <w:t>.</w:t>
      </w:r>
    </w:p>
    <w:p w:rsidR="006D32DB" w:rsidRDefault="006D32DB" w:rsidP="006D32DB">
      <w:pPr>
        <w:pStyle w:val="BodyText"/>
        <w:spacing w:before="199"/>
        <w:ind w:left="360"/>
      </w:pPr>
    </w:p>
    <w:p w:rsidR="006D32DB" w:rsidRDefault="006D32DB" w:rsidP="006D32DB">
      <w:pPr>
        <w:pStyle w:val="BodyText"/>
        <w:spacing w:before="199"/>
        <w:ind w:left="360"/>
      </w:pPr>
    </w:p>
    <w:p w:rsidR="002B0AC4" w:rsidRDefault="002B0AC4" w:rsidP="002B0AC4">
      <w:pPr>
        <w:pStyle w:val="BodyText"/>
        <w:spacing w:before="199"/>
        <w:rPr>
          <w:b/>
        </w:rPr>
      </w:pPr>
      <w:r w:rsidRPr="002B0AC4">
        <w:rPr>
          <w:b/>
        </w:rPr>
        <w:lastRenderedPageBreak/>
        <w:t>Obligation to Close Out</w:t>
      </w:r>
    </w:p>
    <w:p w:rsidR="002B0AC4" w:rsidRDefault="00701EC5" w:rsidP="002B0AC4">
      <w:pPr>
        <w:pStyle w:val="BodyText"/>
        <w:spacing w:before="199"/>
      </w:pPr>
      <w:r>
        <w:t>Paragraph</w:t>
      </w:r>
      <w:r w:rsidR="002B0AC4">
        <w:t xml:space="preserve"> 8(1) of the </w:t>
      </w:r>
      <w:r w:rsidR="006D32DB">
        <w:t xml:space="preserve">instrument </w:t>
      </w:r>
      <w:r w:rsidR="002B0AC4">
        <w:t>relieves a Trading Participant which has agreed to accept Cover by way of Approved Collateral from the obligation to comply with Rule 7.2.8 of the ASX 24 Rules.</w:t>
      </w:r>
    </w:p>
    <w:p w:rsidR="002B0AC4" w:rsidRDefault="002B0AC4" w:rsidP="002B0AC4">
      <w:pPr>
        <w:pStyle w:val="BodyText"/>
        <w:spacing w:before="199"/>
      </w:pPr>
      <w:r>
        <w:t>This waiver is su</w:t>
      </w:r>
      <w:r w:rsidR="00701EC5">
        <w:t>bject to the condition in paragraph</w:t>
      </w:r>
      <w:r>
        <w:t xml:space="preserve"> 9(5) of the </w:t>
      </w:r>
      <w:r w:rsidR="006D32DB">
        <w:t xml:space="preserve">instrument </w:t>
      </w:r>
      <w:r>
        <w:t>that:</w:t>
      </w:r>
    </w:p>
    <w:p w:rsidR="002B0AC4" w:rsidRDefault="002B0AC4" w:rsidP="00432430">
      <w:pPr>
        <w:pStyle w:val="BodyText"/>
        <w:numPr>
          <w:ilvl w:val="0"/>
          <w:numId w:val="19"/>
        </w:numPr>
        <w:tabs>
          <w:tab w:val="clear" w:pos="567"/>
          <w:tab w:val="clear" w:pos="680"/>
        </w:tabs>
        <w:spacing w:before="199"/>
      </w:pPr>
      <w:r>
        <w:t xml:space="preserve">where a Client is in default by failing to pay a Call (or lodge Approved Collateral) within the time stipulated by the Trading Participant, the Trading Participant </w:t>
      </w:r>
      <w:r w:rsidRPr="00A34E8A">
        <w:t>must</w:t>
      </w:r>
      <w:r>
        <w:t xml:space="preserve">, immediately upon expiry of that time period, Close Out to the extent necessary to counter the Call, </w:t>
      </w:r>
      <w:r w:rsidRPr="00A34E8A">
        <w:t>all or any</w:t>
      </w:r>
      <w:r>
        <w:t xml:space="preserve"> existing Open Positions in any Market held by the Trading Participant on account of the Client unless the Trading Participant exercises a reasonable discretion to not Close Out having regard to:</w:t>
      </w:r>
    </w:p>
    <w:p w:rsidR="002B0AC4" w:rsidRDefault="002B0AC4" w:rsidP="002B0AC4">
      <w:pPr>
        <w:pStyle w:val="LI-BodyTextSubsubparaA"/>
      </w:pPr>
      <w:r>
        <w:t>(i)</w:t>
      </w:r>
      <w:r>
        <w:tab/>
        <w:t>the expertise and financial status of the Client;</w:t>
      </w:r>
    </w:p>
    <w:p w:rsidR="002B0AC4" w:rsidRDefault="002B0AC4" w:rsidP="002B0AC4">
      <w:pPr>
        <w:pStyle w:val="LI-BodyTextSubsubparaA"/>
      </w:pPr>
      <w:r>
        <w:t>(ii)</w:t>
      </w:r>
      <w:r>
        <w:tab/>
        <w:t>any genuine attempts by the Client to meet the Call within the time prescribed; and</w:t>
      </w:r>
    </w:p>
    <w:p w:rsidR="002B0AC4" w:rsidRDefault="002B0AC4" w:rsidP="002B0AC4">
      <w:pPr>
        <w:pStyle w:val="LI-BodyTextParaa"/>
        <w:ind w:left="2835" w:hanging="675"/>
      </w:pPr>
      <w:r>
        <w:t>(iii)</w:t>
      </w:r>
      <w:r>
        <w:tab/>
        <w:t xml:space="preserve">whether relevant actions or omissions of third parties resulted in the Client failing to pay the Call; and </w:t>
      </w:r>
    </w:p>
    <w:p w:rsidR="002B0AC4" w:rsidRDefault="002B0AC4" w:rsidP="00432430">
      <w:pPr>
        <w:pStyle w:val="BodyText"/>
        <w:numPr>
          <w:ilvl w:val="0"/>
          <w:numId w:val="19"/>
        </w:numPr>
        <w:tabs>
          <w:tab w:val="clear" w:pos="567"/>
          <w:tab w:val="clear" w:pos="680"/>
        </w:tabs>
        <w:spacing w:before="199"/>
      </w:pPr>
      <w:r>
        <w:t xml:space="preserve"> the Trading Participant’s Client agreement must provide that the Trading Participant shall not be liable to the Client for any loss sustained by the Client as a res</w:t>
      </w:r>
      <w:r w:rsidR="00701EC5">
        <w:t>ult of the Trading Participant C</w:t>
      </w:r>
      <w:r>
        <w:t>losing Out in accordance with paragraph (a).</w:t>
      </w:r>
    </w:p>
    <w:p w:rsidR="002B0AC4" w:rsidRPr="00C57CD8" w:rsidRDefault="002B0AC4" w:rsidP="00C57CD8">
      <w:pPr>
        <w:widowControl w:val="0"/>
        <w:tabs>
          <w:tab w:val="left" w:pos="1592"/>
        </w:tabs>
        <w:spacing w:before="145" w:after="0"/>
        <w:rPr>
          <w:rFonts w:ascii="Arial"/>
          <w:b/>
          <w:spacing w:val="-1"/>
          <w:sz w:val="24"/>
        </w:rPr>
      </w:pPr>
    </w:p>
    <w:p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5" w:name="5._Consultation"/>
      <w:bookmarkEnd w:id="5"/>
      <w:r w:rsidRPr="00C57CD8">
        <w:rPr>
          <w:rFonts w:ascii="Arial"/>
          <w:b/>
          <w:spacing w:val="-1"/>
          <w:sz w:val="24"/>
        </w:rPr>
        <w:t>Consultation</w:t>
      </w:r>
    </w:p>
    <w:p w:rsidR="005B0E3A" w:rsidRDefault="00C57CD8" w:rsidP="00C57CD8">
      <w:pPr>
        <w:pStyle w:val="BodyText"/>
        <w:spacing w:before="199"/>
      </w:pPr>
      <w:r>
        <w:t>ASIC consulted with the Australian Financial Markets Association (AFMA) and its members in relation to the</w:t>
      </w:r>
      <w:r w:rsidR="006D32DB">
        <w:t xml:space="preserve"> instrument</w:t>
      </w:r>
      <w:r>
        <w:t xml:space="preserve">. </w:t>
      </w:r>
      <w:r w:rsidR="00305D15">
        <w:t>In addition to the Tr</w:t>
      </w:r>
      <w:r w:rsidR="006D32DB">
        <w:t xml:space="preserve">ading Participant that initially </w:t>
      </w:r>
      <w:r w:rsidR="00305D15">
        <w:t xml:space="preserve">sought relief, </w:t>
      </w:r>
      <w:r>
        <w:t xml:space="preserve">AFMA noted that of the five responses received, two Trading Participants submitted that they would rely on the relief in the </w:t>
      </w:r>
      <w:r w:rsidR="006D32DB">
        <w:t xml:space="preserve">instrument </w:t>
      </w:r>
      <w:r>
        <w:t>and one Trading Participant was likely to do so in future</w:t>
      </w:r>
      <w:r w:rsidR="00701EC5">
        <w:t>.</w:t>
      </w:r>
    </w:p>
    <w:p w:rsidR="006D32DB" w:rsidRDefault="00305D15" w:rsidP="006334BF">
      <w:pPr>
        <w:pStyle w:val="BodyText"/>
        <w:spacing w:before="199"/>
      </w:pPr>
      <w:r>
        <w:t>All r</w:t>
      </w:r>
      <w:r w:rsidR="00C57CD8">
        <w:t>espondents were supportive of the</w:t>
      </w:r>
      <w:r w:rsidR="006D32DB">
        <w:t xml:space="preserve"> relief</w:t>
      </w:r>
      <w:r w:rsidR="00C57CD8">
        <w:t>, noting the benefits of increased flexibility and optionality in collateral management, and the reduction in opportunity costs for Cl</w:t>
      </w:r>
      <w:r w:rsidR="00EA4D7B">
        <w:t>ients and Clearing Participants.</w:t>
      </w:r>
    </w:p>
    <w:p w:rsidR="006D32DB" w:rsidRDefault="006D32DB">
      <w:pPr>
        <w:spacing w:after="0"/>
        <w:rPr>
          <w:sz w:val="24"/>
          <w:lang w:eastAsia="en-US"/>
        </w:rPr>
      </w:pPr>
      <w:r>
        <w:br w:type="page"/>
      </w:r>
    </w:p>
    <w:p w:rsidR="006D32DB" w:rsidRPr="00834797" w:rsidRDefault="006D32DB" w:rsidP="006D32DB">
      <w:pPr>
        <w:spacing w:before="360" w:after="120"/>
        <w:jc w:val="center"/>
        <w:rPr>
          <w:b/>
        </w:rPr>
      </w:pPr>
      <w:r w:rsidRPr="00834797">
        <w:rPr>
          <w:b/>
        </w:rPr>
        <w:lastRenderedPageBreak/>
        <w:t>Statement of Compatibility with Human Rights</w:t>
      </w:r>
    </w:p>
    <w:p w:rsidR="006D32DB" w:rsidRPr="00247F54" w:rsidRDefault="006D32DB" w:rsidP="006D32DB">
      <w:pPr>
        <w:spacing w:before="120" w:after="120"/>
        <w:jc w:val="center"/>
      </w:pPr>
      <w:r w:rsidRPr="00247F54">
        <w:rPr>
          <w:i/>
        </w:rPr>
        <w:t>Prepared in accordance with Part 3 of the Human Rights (Parliamentary Scrutiny) Act 2011</w:t>
      </w:r>
    </w:p>
    <w:p w:rsidR="006D32DB" w:rsidRPr="00247F54" w:rsidRDefault="006D32DB" w:rsidP="006D32DB">
      <w:pPr>
        <w:spacing w:before="120" w:after="120"/>
        <w:jc w:val="center"/>
      </w:pPr>
    </w:p>
    <w:p w:rsidR="006D32DB" w:rsidRPr="006334BF" w:rsidRDefault="006D32DB" w:rsidP="006D32DB">
      <w:pPr>
        <w:spacing w:before="120" w:after="120"/>
        <w:jc w:val="center"/>
        <w:rPr>
          <w:b/>
        </w:rPr>
      </w:pPr>
      <w:r w:rsidRPr="006334BF">
        <w:rPr>
          <w:b/>
        </w:rPr>
        <w:t>AS</w:t>
      </w:r>
      <w:r w:rsidR="00C17789">
        <w:rPr>
          <w:b/>
        </w:rPr>
        <w:t>IC CLASS RULE WAIVER [CW 17/740</w:t>
      </w:r>
      <w:r w:rsidRPr="006334BF">
        <w:rPr>
          <w:b/>
        </w:rPr>
        <w:t>]</w:t>
      </w:r>
    </w:p>
    <w:p w:rsidR="006D32DB" w:rsidRPr="00247F54" w:rsidRDefault="006D32DB" w:rsidP="006D32DB">
      <w:pPr>
        <w:spacing w:before="120" w:after="120"/>
        <w:jc w:val="center"/>
      </w:pPr>
    </w:p>
    <w:p w:rsidR="006D32DB" w:rsidRPr="00247F54" w:rsidRDefault="00C17789" w:rsidP="006D32DB">
      <w:pPr>
        <w:spacing w:before="120" w:after="120"/>
      </w:pPr>
      <w:r>
        <w:t xml:space="preserve">ASIC Class Rule Waiver </w:t>
      </w:r>
      <w:r w:rsidR="001A6AE2">
        <w:t xml:space="preserve">[CW </w:t>
      </w:r>
      <w:r>
        <w:t>17/740</w:t>
      </w:r>
      <w:r w:rsidR="001A6AE2">
        <w:t>]</w:t>
      </w:r>
      <w:r w:rsidR="006D32DB">
        <w:t xml:space="preserve"> </w:t>
      </w:r>
      <w:r w:rsidR="006D32DB" w:rsidRPr="00247F54">
        <w:t xml:space="preserve">is compatible with the human rights and freedoms recognised or declared in the international instruments listed in section 3 of the </w:t>
      </w:r>
      <w:r w:rsidR="006D32DB" w:rsidRPr="00247F54">
        <w:rPr>
          <w:i/>
        </w:rPr>
        <w:t>Human Rights (Parliamentary Scrutiny) Act 2011</w:t>
      </w:r>
      <w:r w:rsidR="006D32DB" w:rsidRPr="00247F54">
        <w:t>.</w:t>
      </w:r>
    </w:p>
    <w:p w:rsidR="006D32DB" w:rsidRPr="00247F54" w:rsidRDefault="006D32DB" w:rsidP="006D32DB">
      <w:pPr>
        <w:spacing w:before="120" w:after="120"/>
        <w:jc w:val="center"/>
      </w:pPr>
    </w:p>
    <w:p w:rsidR="006D32DB" w:rsidRDefault="006D32DB" w:rsidP="006D32DB">
      <w:pPr>
        <w:spacing w:before="120" w:after="120"/>
        <w:jc w:val="both"/>
        <w:rPr>
          <w:b/>
        </w:rPr>
      </w:pPr>
      <w:r w:rsidRPr="00247F54">
        <w:rPr>
          <w:b/>
        </w:rPr>
        <w:t>Overview</w:t>
      </w:r>
    </w:p>
    <w:p w:rsidR="006D32DB" w:rsidRPr="006334BF" w:rsidRDefault="006D32DB" w:rsidP="006D32DB">
      <w:pPr>
        <w:pStyle w:val="BodyText"/>
        <w:spacing w:before="199"/>
        <w:rPr>
          <w:sz w:val="22"/>
          <w:szCs w:val="22"/>
        </w:rPr>
      </w:pPr>
      <w:r w:rsidRPr="006334BF">
        <w:rPr>
          <w:sz w:val="22"/>
          <w:szCs w:val="22"/>
        </w:rPr>
        <w:t xml:space="preserve">Rules 7.2.2(4), 7.2.5, 7.2.6 and 7.2.8 (the </w:t>
      </w:r>
      <w:r w:rsidRPr="006334BF">
        <w:rPr>
          <w:b/>
          <w:sz w:val="22"/>
          <w:szCs w:val="22"/>
        </w:rPr>
        <w:t>Relevant Rules</w:t>
      </w:r>
      <w:r>
        <w:rPr>
          <w:sz w:val="22"/>
          <w:szCs w:val="22"/>
        </w:rPr>
        <w:t>) of the ASIC Market Integrity Rules (ASX 24 Market) 2010 (</w:t>
      </w:r>
      <w:r w:rsidRPr="006334BF">
        <w:rPr>
          <w:b/>
          <w:sz w:val="22"/>
          <w:szCs w:val="22"/>
        </w:rPr>
        <w:t>ASX 24 Rules</w:t>
      </w:r>
      <w:r>
        <w:rPr>
          <w:sz w:val="22"/>
          <w:szCs w:val="22"/>
        </w:rPr>
        <w:t>)</w:t>
      </w:r>
      <w:r w:rsidRPr="006334BF">
        <w:rPr>
          <w:sz w:val="22"/>
          <w:szCs w:val="22"/>
        </w:rPr>
        <w:t xml:space="preserve"> impose various obligations on </w:t>
      </w:r>
      <w:r>
        <w:rPr>
          <w:sz w:val="22"/>
          <w:szCs w:val="22"/>
        </w:rPr>
        <w:t>trading participants to call margins from their c</w:t>
      </w:r>
      <w:r w:rsidRPr="006334BF">
        <w:rPr>
          <w:sz w:val="22"/>
          <w:szCs w:val="22"/>
        </w:rPr>
        <w:t>lients. Margin</w:t>
      </w:r>
      <w:r>
        <w:rPr>
          <w:sz w:val="22"/>
          <w:szCs w:val="22"/>
        </w:rPr>
        <w:t xml:space="preserve"> calls can be satisfied by the trading p</w:t>
      </w:r>
      <w:r w:rsidRPr="006334BF">
        <w:rPr>
          <w:sz w:val="22"/>
          <w:szCs w:val="22"/>
        </w:rPr>
        <w:t xml:space="preserve">articipant accepting either cash or </w:t>
      </w:r>
      <w:r>
        <w:rPr>
          <w:sz w:val="22"/>
          <w:szCs w:val="22"/>
        </w:rPr>
        <w:t>‘</w:t>
      </w:r>
      <w:r w:rsidRPr="006334BF">
        <w:rPr>
          <w:sz w:val="22"/>
          <w:szCs w:val="22"/>
        </w:rPr>
        <w:t>Approved Securities</w:t>
      </w:r>
      <w:r>
        <w:rPr>
          <w:sz w:val="22"/>
          <w:szCs w:val="22"/>
        </w:rPr>
        <w:t>’ from their c</w:t>
      </w:r>
      <w:r w:rsidRPr="006334BF">
        <w:rPr>
          <w:sz w:val="22"/>
          <w:szCs w:val="22"/>
        </w:rPr>
        <w:t xml:space="preserve">lients. ‘Approved Securities’ is defined under Rule 7.1.1 of the ASX 24 Rules with a prescribed list. </w:t>
      </w:r>
    </w:p>
    <w:p w:rsidR="006D32DB" w:rsidRPr="006334BF" w:rsidRDefault="00701EC5" w:rsidP="006D32DB">
      <w:pPr>
        <w:pStyle w:val="BodyText"/>
        <w:spacing w:before="199"/>
        <w:rPr>
          <w:sz w:val="22"/>
          <w:szCs w:val="22"/>
        </w:rPr>
      </w:pPr>
      <w:r>
        <w:rPr>
          <w:sz w:val="22"/>
          <w:szCs w:val="22"/>
        </w:rPr>
        <w:t>The purpose of m</w:t>
      </w:r>
      <w:r w:rsidR="006D32DB" w:rsidRPr="006334BF">
        <w:rPr>
          <w:sz w:val="22"/>
          <w:szCs w:val="22"/>
        </w:rPr>
        <w:t xml:space="preserve">argin </w:t>
      </w:r>
      <w:r>
        <w:rPr>
          <w:sz w:val="22"/>
          <w:szCs w:val="22"/>
        </w:rPr>
        <w:t>c</w:t>
      </w:r>
      <w:r w:rsidR="006D32DB" w:rsidRPr="006334BF">
        <w:rPr>
          <w:sz w:val="22"/>
          <w:szCs w:val="22"/>
        </w:rPr>
        <w:t>alls is to mitigate counterparty credit risk</w:t>
      </w:r>
      <w:r w:rsidR="0029670D">
        <w:rPr>
          <w:sz w:val="22"/>
          <w:szCs w:val="22"/>
        </w:rPr>
        <w:t>,</w:t>
      </w:r>
      <w:r w:rsidR="006D32DB" w:rsidRPr="006334BF">
        <w:rPr>
          <w:sz w:val="22"/>
          <w:szCs w:val="22"/>
        </w:rPr>
        <w:t xml:space="preserve"> i.e. the risk that a party to a </w:t>
      </w:r>
      <w:r w:rsidR="006D32DB">
        <w:rPr>
          <w:sz w:val="22"/>
          <w:szCs w:val="22"/>
        </w:rPr>
        <w:t>t</w:t>
      </w:r>
      <w:r w:rsidR="006D32DB" w:rsidRPr="006334BF">
        <w:rPr>
          <w:sz w:val="22"/>
          <w:szCs w:val="22"/>
        </w:rPr>
        <w:t xml:space="preserve">rade in a </w:t>
      </w:r>
      <w:r w:rsidR="006D32DB">
        <w:rPr>
          <w:sz w:val="22"/>
          <w:szCs w:val="22"/>
        </w:rPr>
        <w:t>futures c</w:t>
      </w:r>
      <w:r w:rsidR="006D32DB" w:rsidRPr="006334BF">
        <w:rPr>
          <w:sz w:val="22"/>
          <w:szCs w:val="22"/>
        </w:rPr>
        <w:t>ontract will default on their ob</w:t>
      </w:r>
      <w:r w:rsidR="006D32DB">
        <w:rPr>
          <w:sz w:val="22"/>
          <w:szCs w:val="22"/>
        </w:rPr>
        <w:t>ligations under that t</w:t>
      </w:r>
      <w:r w:rsidR="006D32DB" w:rsidRPr="006334BF">
        <w:rPr>
          <w:sz w:val="22"/>
          <w:szCs w:val="22"/>
        </w:rPr>
        <w:t xml:space="preserve">rade. Mitigating counterparty credit risk promotes investor confidence and market orderliness. </w:t>
      </w:r>
    </w:p>
    <w:p w:rsidR="006D32DB" w:rsidRPr="006334BF" w:rsidRDefault="006D32DB" w:rsidP="006D32DB">
      <w:pPr>
        <w:pStyle w:val="BodyText"/>
        <w:spacing w:before="199"/>
        <w:rPr>
          <w:sz w:val="22"/>
          <w:szCs w:val="22"/>
        </w:rPr>
      </w:pPr>
      <w:r>
        <w:rPr>
          <w:sz w:val="22"/>
          <w:szCs w:val="22"/>
        </w:rPr>
        <w:t>Trading participants that are clearing p</w:t>
      </w:r>
      <w:r w:rsidRPr="006334BF">
        <w:rPr>
          <w:sz w:val="22"/>
          <w:szCs w:val="22"/>
        </w:rPr>
        <w:t>articipants als</w:t>
      </w:r>
      <w:r>
        <w:rPr>
          <w:sz w:val="22"/>
          <w:szCs w:val="22"/>
        </w:rPr>
        <w:t>o have an obligation under the operating r</w:t>
      </w:r>
      <w:r w:rsidRPr="006334BF">
        <w:rPr>
          <w:sz w:val="22"/>
          <w:szCs w:val="22"/>
        </w:rPr>
        <w:t xml:space="preserve">ules of ASX Clear </w:t>
      </w:r>
      <w:r>
        <w:rPr>
          <w:sz w:val="22"/>
          <w:szCs w:val="22"/>
        </w:rPr>
        <w:t>(Futures) Pty Limited (</w:t>
      </w:r>
      <w:r w:rsidRPr="001348F6">
        <w:rPr>
          <w:b/>
          <w:sz w:val="22"/>
          <w:szCs w:val="22"/>
        </w:rPr>
        <w:t>ASX Clear</w:t>
      </w:r>
      <w:r>
        <w:rPr>
          <w:sz w:val="22"/>
          <w:szCs w:val="22"/>
        </w:rPr>
        <w:t>) to post m</w:t>
      </w:r>
      <w:r w:rsidRPr="006334BF">
        <w:rPr>
          <w:sz w:val="22"/>
          <w:szCs w:val="22"/>
        </w:rPr>
        <w:t>argins</w:t>
      </w:r>
      <w:r>
        <w:rPr>
          <w:sz w:val="22"/>
          <w:szCs w:val="22"/>
        </w:rPr>
        <w:t xml:space="preserve"> to ASX Clear</w:t>
      </w:r>
      <w:r w:rsidRPr="006334BF">
        <w:rPr>
          <w:sz w:val="22"/>
          <w:szCs w:val="22"/>
        </w:rPr>
        <w:t xml:space="preserve">. </w:t>
      </w:r>
    </w:p>
    <w:p w:rsidR="006D32DB" w:rsidRPr="006334BF" w:rsidRDefault="006D32DB" w:rsidP="006D32DB">
      <w:pPr>
        <w:pStyle w:val="BodyText"/>
        <w:spacing w:before="199"/>
        <w:rPr>
          <w:sz w:val="22"/>
          <w:szCs w:val="22"/>
        </w:rPr>
      </w:pPr>
      <w:r w:rsidRPr="006334BF">
        <w:rPr>
          <w:sz w:val="22"/>
          <w:szCs w:val="22"/>
        </w:rPr>
        <w:t>The role of ASX Clear is to mitigate counterparty credit ris</w:t>
      </w:r>
      <w:r>
        <w:rPr>
          <w:sz w:val="22"/>
          <w:szCs w:val="22"/>
        </w:rPr>
        <w:t>k, and it does this by calling margins from clearing p</w:t>
      </w:r>
      <w:r w:rsidRPr="006334BF">
        <w:rPr>
          <w:sz w:val="22"/>
          <w:szCs w:val="22"/>
        </w:rPr>
        <w:t xml:space="preserve">articipants. ASX Clear determines what it considers to be acceptable </w:t>
      </w:r>
      <w:r>
        <w:rPr>
          <w:sz w:val="22"/>
          <w:szCs w:val="22"/>
        </w:rPr>
        <w:t>collateral for the purposes of clearing p</w:t>
      </w:r>
      <w:r w:rsidRPr="006334BF">
        <w:rPr>
          <w:sz w:val="22"/>
          <w:szCs w:val="22"/>
        </w:rPr>
        <w:t xml:space="preserve">articipants </w:t>
      </w:r>
      <w:r>
        <w:rPr>
          <w:sz w:val="22"/>
          <w:szCs w:val="22"/>
        </w:rPr>
        <w:t>satisfying margin c</w:t>
      </w:r>
      <w:r w:rsidRPr="006334BF">
        <w:rPr>
          <w:sz w:val="22"/>
          <w:szCs w:val="22"/>
        </w:rPr>
        <w:t>alls. ASX Clear publishes a list of securities, collateral and other p</w:t>
      </w:r>
      <w:r>
        <w:rPr>
          <w:sz w:val="22"/>
          <w:szCs w:val="22"/>
        </w:rPr>
        <w:t>roperty that it will accept as m</w:t>
      </w:r>
      <w:r w:rsidRPr="006334BF">
        <w:rPr>
          <w:sz w:val="22"/>
          <w:szCs w:val="22"/>
        </w:rPr>
        <w:t>argin, which is amended by ASX Clear as required.</w:t>
      </w:r>
    </w:p>
    <w:p w:rsidR="006D32DB" w:rsidRDefault="006D32DB" w:rsidP="006D32DB">
      <w:pPr>
        <w:pStyle w:val="BodyText"/>
        <w:spacing w:before="199"/>
      </w:pPr>
      <w:r w:rsidRPr="006334BF">
        <w:rPr>
          <w:sz w:val="22"/>
          <w:szCs w:val="22"/>
        </w:rPr>
        <w:t xml:space="preserve">There are some inconsistencies between ASX Clear’s current list and the definition </w:t>
      </w:r>
      <w:r w:rsidR="00701EC5">
        <w:rPr>
          <w:sz w:val="22"/>
          <w:szCs w:val="22"/>
        </w:rPr>
        <w:t xml:space="preserve">of ‘Approved Securities’ </w:t>
      </w:r>
      <w:r w:rsidRPr="006334BF">
        <w:rPr>
          <w:sz w:val="22"/>
          <w:szCs w:val="22"/>
        </w:rPr>
        <w:t xml:space="preserve">in Rule 7.1.1 of the ASX 24 Rules. </w:t>
      </w:r>
      <w:r w:rsidR="00701EC5">
        <w:rPr>
          <w:sz w:val="22"/>
          <w:szCs w:val="22"/>
        </w:rPr>
        <w:t xml:space="preserve">This </w:t>
      </w:r>
      <w:r w:rsidRPr="006334BF">
        <w:rPr>
          <w:sz w:val="22"/>
          <w:szCs w:val="22"/>
        </w:rPr>
        <w:t>cause</w:t>
      </w:r>
      <w:r w:rsidR="00701EC5">
        <w:rPr>
          <w:sz w:val="22"/>
          <w:szCs w:val="22"/>
        </w:rPr>
        <w:t>s</w:t>
      </w:r>
      <w:r>
        <w:rPr>
          <w:sz w:val="22"/>
          <w:szCs w:val="22"/>
        </w:rPr>
        <w:t xml:space="preserve"> confusion and complexity for trading p</w:t>
      </w:r>
      <w:r w:rsidRPr="006334BF">
        <w:rPr>
          <w:sz w:val="22"/>
          <w:szCs w:val="22"/>
        </w:rPr>
        <w:t>articipants</w:t>
      </w:r>
      <w:r>
        <w:t xml:space="preserve"> that are also clearing participants.  </w:t>
      </w:r>
    </w:p>
    <w:p w:rsidR="006D32DB" w:rsidRPr="003A396B" w:rsidRDefault="006D32DB" w:rsidP="006D32DB">
      <w:pPr>
        <w:pStyle w:val="BodyText"/>
        <w:spacing w:before="199"/>
        <w:rPr>
          <w:sz w:val="22"/>
          <w:szCs w:val="22"/>
        </w:rPr>
      </w:pPr>
      <w:r>
        <w:rPr>
          <w:sz w:val="22"/>
          <w:szCs w:val="22"/>
        </w:rPr>
        <w:t xml:space="preserve">This legislative instrument </w:t>
      </w:r>
      <w:r w:rsidRPr="003A396B">
        <w:rPr>
          <w:sz w:val="22"/>
          <w:szCs w:val="22"/>
        </w:rPr>
        <w:t xml:space="preserve">provides relief from the Relevant Rules to the extent that those rules apply the definition of ‘Approved Securities’ in Rule 7.1.1. It introduces a new term ‘Approved Collateral’ which refers to securities, collateral and other property accepted by ASX Clear. </w:t>
      </w:r>
    </w:p>
    <w:p w:rsidR="006D32DB" w:rsidRPr="003A396B" w:rsidRDefault="006D32DB" w:rsidP="006D32DB">
      <w:pPr>
        <w:pStyle w:val="BodyText"/>
        <w:spacing w:before="199"/>
        <w:rPr>
          <w:sz w:val="22"/>
          <w:szCs w:val="22"/>
        </w:rPr>
      </w:pPr>
      <w:r w:rsidRPr="003A396B">
        <w:rPr>
          <w:sz w:val="22"/>
          <w:szCs w:val="22"/>
        </w:rPr>
        <w:t xml:space="preserve">The effect of the </w:t>
      </w:r>
      <w:r>
        <w:rPr>
          <w:sz w:val="22"/>
          <w:szCs w:val="22"/>
        </w:rPr>
        <w:t>legislative instrument is to allow trading p</w:t>
      </w:r>
      <w:r w:rsidRPr="003A396B">
        <w:rPr>
          <w:sz w:val="22"/>
          <w:szCs w:val="22"/>
        </w:rPr>
        <w:t xml:space="preserve">articipants to rely on the list of accepted collateral published by ASX Clear, to meet their obligations under the Relevant Rules. </w:t>
      </w:r>
    </w:p>
    <w:p w:rsidR="006D32DB" w:rsidRDefault="006D32DB" w:rsidP="006D32DB">
      <w:pPr>
        <w:pStyle w:val="BodyText"/>
        <w:spacing w:before="199"/>
        <w:rPr>
          <w:sz w:val="22"/>
          <w:szCs w:val="22"/>
        </w:rPr>
      </w:pPr>
      <w:r w:rsidRPr="003A396B">
        <w:rPr>
          <w:sz w:val="22"/>
          <w:szCs w:val="22"/>
        </w:rPr>
        <w:t xml:space="preserve">The </w:t>
      </w:r>
      <w:r>
        <w:rPr>
          <w:sz w:val="22"/>
          <w:szCs w:val="22"/>
        </w:rPr>
        <w:t xml:space="preserve">legislative instrument </w:t>
      </w:r>
      <w:r w:rsidRPr="003A396B">
        <w:rPr>
          <w:sz w:val="22"/>
          <w:szCs w:val="22"/>
        </w:rPr>
        <w:t>ensures that the Relevant Rules continue to effectively mitigate counterparty</w:t>
      </w:r>
      <w:r>
        <w:rPr>
          <w:sz w:val="22"/>
          <w:szCs w:val="22"/>
        </w:rPr>
        <w:t xml:space="preserve"> credit risk in the context of trading p</w:t>
      </w:r>
      <w:r w:rsidRPr="003A396B">
        <w:rPr>
          <w:sz w:val="22"/>
          <w:szCs w:val="22"/>
        </w:rPr>
        <w:t>articipants and their</w:t>
      </w:r>
      <w:r>
        <w:rPr>
          <w:sz w:val="22"/>
          <w:szCs w:val="22"/>
        </w:rPr>
        <w:t xml:space="preserve"> c</w:t>
      </w:r>
      <w:r w:rsidR="00701EC5">
        <w:rPr>
          <w:sz w:val="22"/>
          <w:szCs w:val="22"/>
        </w:rPr>
        <w:t xml:space="preserve">lients. It reduces </w:t>
      </w:r>
      <w:r w:rsidRPr="003A396B">
        <w:rPr>
          <w:sz w:val="22"/>
          <w:szCs w:val="22"/>
        </w:rPr>
        <w:t xml:space="preserve">uncertainty and complexity </w:t>
      </w:r>
      <w:r>
        <w:rPr>
          <w:sz w:val="22"/>
          <w:szCs w:val="22"/>
        </w:rPr>
        <w:t>for trading participants that are also clearing p</w:t>
      </w:r>
      <w:r w:rsidR="00701EC5">
        <w:rPr>
          <w:sz w:val="22"/>
          <w:szCs w:val="22"/>
        </w:rPr>
        <w:t>articipants and</w:t>
      </w:r>
      <w:r w:rsidRPr="003A396B">
        <w:rPr>
          <w:sz w:val="22"/>
          <w:szCs w:val="22"/>
        </w:rPr>
        <w:t xml:space="preserve"> provides flexibility in the Relevant Rules to respond to market changes. This is because ASX </w:t>
      </w:r>
      <w:r w:rsidRPr="003A396B">
        <w:rPr>
          <w:sz w:val="22"/>
          <w:szCs w:val="22"/>
        </w:rPr>
        <w:lastRenderedPageBreak/>
        <w:t>Clear can update their list if required (e.g. due to changes in the liquidity of certain securities) by publishing a new list.</w:t>
      </w:r>
    </w:p>
    <w:p w:rsidR="006D32DB" w:rsidRDefault="006D32DB" w:rsidP="006D32DB">
      <w:pPr>
        <w:spacing w:before="120" w:after="120"/>
        <w:rPr>
          <w:b/>
        </w:rPr>
      </w:pPr>
    </w:p>
    <w:p w:rsidR="006D32DB" w:rsidRPr="00247F54" w:rsidRDefault="006D32DB" w:rsidP="006D32DB">
      <w:pPr>
        <w:spacing w:before="120" w:after="120"/>
        <w:rPr>
          <w:b/>
        </w:rPr>
      </w:pPr>
      <w:r w:rsidRPr="00247F54">
        <w:rPr>
          <w:b/>
        </w:rPr>
        <w:t>Human rights implications</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does not engage any of the applicable rights or freedoms.</w:t>
      </w:r>
    </w:p>
    <w:p w:rsidR="006D32DB" w:rsidRDefault="006D32DB" w:rsidP="006D32DB">
      <w:pPr>
        <w:spacing w:before="120" w:after="120"/>
        <w:rPr>
          <w:b/>
        </w:rPr>
      </w:pPr>
    </w:p>
    <w:p w:rsidR="006D32DB" w:rsidRPr="00247F54" w:rsidRDefault="006D32DB" w:rsidP="006D32DB">
      <w:pPr>
        <w:spacing w:before="120" w:after="120"/>
        <w:rPr>
          <w:b/>
        </w:rPr>
      </w:pPr>
      <w:r w:rsidRPr="00247F54">
        <w:rPr>
          <w:b/>
        </w:rPr>
        <w:t>Conclusion</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6D32DB" w:rsidRPr="00E4135E" w:rsidRDefault="006D32DB" w:rsidP="006D32DB">
      <w:pPr>
        <w:spacing w:before="120" w:after="120"/>
        <w:jc w:val="center"/>
      </w:pPr>
    </w:p>
    <w:p w:rsidR="00701EC5" w:rsidRDefault="00EC7780" w:rsidP="006D32DB">
      <w:pPr>
        <w:spacing w:before="120" w:after="120"/>
        <w:jc w:val="center"/>
        <w:rPr>
          <w:b/>
        </w:rPr>
      </w:pPr>
      <w:r>
        <w:rPr>
          <w:b/>
        </w:rPr>
        <w:t>Australian Securities and Investments Commission</w:t>
      </w:r>
    </w:p>
    <w:p w:rsidR="006D32DB" w:rsidRDefault="006D32DB" w:rsidP="006D32DB"/>
    <w:p w:rsidR="000076D6" w:rsidRDefault="000076D6" w:rsidP="006334BF">
      <w:pPr>
        <w:pStyle w:val="BodyText"/>
        <w:spacing w:before="199"/>
      </w:pPr>
    </w:p>
    <w:sectPr w:rsidR="000076D6">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1A" w:rsidRDefault="002F401A">
      <w:pPr>
        <w:spacing w:after="0"/>
      </w:pPr>
      <w:r>
        <w:separator/>
      </w:r>
    </w:p>
  </w:endnote>
  <w:endnote w:type="continuationSeparator" w:id="0">
    <w:p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2F401A">
    <w:pPr>
      <w:pStyle w:val="Footer"/>
      <w:ind w:right="360"/>
    </w:pPr>
  </w:p>
  <w:p w:rsidR="00C27A4B" w:rsidRDefault="002F401A"/>
  <w:p w:rsidR="00C27A4B" w:rsidRDefault="002F401A"/>
  <w:p w:rsidR="00C27A4B" w:rsidRDefault="002F401A"/>
  <w:p w:rsidR="00C27A4B" w:rsidRDefault="002F401A"/>
  <w:p w:rsidR="00C27A4B" w:rsidRDefault="002F40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EA1E1EE" wp14:editId="53654DD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F401A">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F401A">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1A" w:rsidRDefault="002F401A">
      <w:pPr>
        <w:spacing w:after="0"/>
      </w:pPr>
      <w:r>
        <w:separator/>
      </w:r>
    </w:p>
  </w:footnote>
  <w:footnote w:type="continuationSeparator" w:id="0">
    <w:p w:rsidR="002F401A" w:rsidRDefault="002F40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2F401A"/>
  <w:p w:rsidR="00C27A4B" w:rsidRDefault="002F40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301AA" w:rsidP="00F301AA">
    <w:pPr>
      <w:pStyle w:val="Footer"/>
      <w:pBdr>
        <w:bottom w:val="single" w:sz="4" w:space="1" w:color="117DC7"/>
      </w:pBdr>
      <w:rPr>
        <w:color w:val="117DC7"/>
      </w:rPr>
    </w:pPr>
    <w:r>
      <w:t xml:space="preserve">EXPLANATORY STATEMENT for ASIC Class Rule Waiver </w:t>
    </w:r>
    <w:r w:rsidR="009026D4">
      <w:t>[CW 17/740</w:t>
    </w:r>
    <w:r w:rsidR="00AC46C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1"/>
  </w:num>
  <w:num w:numId="4">
    <w:abstractNumId w:val="16"/>
  </w:num>
  <w:num w:numId="5">
    <w:abstractNumId w:val="6"/>
  </w:num>
  <w:num w:numId="6">
    <w:abstractNumId w:val="5"/>
  </w:num>
  <w:num w:numId="7">
    <w:abstractNumId w:val="10"/>
  </w:num>
  <w:num w:numId="8">
    <w:abstractNumId w:val="3"/>
  </w:num>
  <w:num w:numId="9">
    <w:abstractNumId w:val="1"/>
  </w:num>
  <w:num w:numId="10">
    <w:abstractNumId w:val="0"/>
  </w:num>
  <w:num w:numId="11">
    <w:abstractNumId w:val="8"/>
  </w:num>
  <w:num w:numId="12">
    <w:abstractNumId w:val="15"/>
  </w:num>
  <w:num w:numId="13">
    <w:abstractNumId w:val="13"/>
  </w:num>
  <w:num w:numId="14">
    <w:abstractNumId w:val="7"/>
  </w:num>
  <w:num w:numId="15">
    <w:abstractNumId w:val="12"/>
  </w:num>
  <w:num w:numId="16">
    <w:abstractNumId w:val="14"/>
  </w:num>
  <w:num w:numId="17">
    <w:abstractNumId w:val="17"/>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inkAnnotation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1A"/>
    <w:rsid w:val="000076D6"/>
    <w:rsid w:val="00010C73"/>
    <w:rsid w:val="0009673C"/>
    <w:rsid w:val="001362EC"/>
    <w:rsid w:val="00193C69"/>
    <w:rsid w:val="001A6AE2"/>
    <w:rsid w:val="001A7D87"/>
    <w:rsid w:val="001C4755"/>
    <w:rsid w:val="001F76E9"/>
    <w:rsid w:val="00211A17"/>
    <w:rsid w:val="0029670D"/>
    <w:rsid w:val="002B0AC4"/>
    <w:rsid w:val="002F401A"/>
    <w:rsid w:val="00305D15"/>
    <w:rsid w:val="003C03B9"/>
    <w:rsid w:val="003D3EC7"/>
    <w:rsid w:val="00432430"/>
    <w:rsid w:val="0054543F"/>
    <w:rsid w:val="005A7D3E"/>
    <w:rsid w:val="005B0E3A"/>
    <w:rsid w:val="006334BF"/>
    <w:rsid w:val="006D32DB"/>
    <w:rsid w:val="00701EC5"/>
    <w:rsid w:val="008936EF"/>
    <w:rsid w:val="009026D4"/>
    <w:rsid w:val="0092751D"/>
    <w:rsid w:val="00981228"/>
    <w:rsid w:val="00A24BA4"/>
    <w:rsid w:val="00A34E8A"/>
    <w:rsid w:val="00AC02C2"/>
    <w:rsid w:val="00AC46C5"/>
    <w:rsid w:val="00AD3ABD"/>
    <w:rsid w:val="00AF1DE2"/>
    <w:rsid w:val="00BA45D2"/>
    <w:rsid w:val="00C17789"/>
    <w:rsid w:val="00C313B8"/>
    <w:rsid w:val="00C57CD8"/>
    <w:rsid w:val="00C67B23"/>
    <w:rsid w:val="00CD5D0C"/>
    <w:rsid w:val="00CE5A32"/>
    <w:rsid w:val="00D22AD6"/>
    <w:rsid w:val="00D33963"/>
    <w:rsid w:val="00E57B99"/>
    <w:rsid w:val="00EA4C97"/>
    <w:rsid w:val="00EA4D7B"/>
    <w:rsid w:val="00EB7FCB"/>
    <w:rsid w:val="00EC2742"/>
    <w:rsid w:val="00EC7780"/>
    <w:rsid w:val="00EE7C19"/>
    <w:rsid w:val="00F118B8"/>
    <w:rsid w:val="00F301AA"/>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R20170000507229</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3.xml><?xml version="1.0" encoding="utf-8"?>
<ds:datastoreItem xmlns:ds="http://schemas.openxmlformats.org/officeDocument/2006/customXml" ds:itemID="{FF7ACA34-DAC6-4F1D-8C61-3155C67B8C5C}">
  <ds:schemaRef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17f478ab-373e-4295-9ff0-9b833ad01319"/>
    <ds:schemaRef ds:uri="http://purl.org/dc/dcmitype/"/>
    <ds:schemaRef ds:uri="http://schemas.openxmlformats.org/package/2006/metadata/core-properties"/>
    <ds:schemaRef ds:uri="http://schemas.microsoft.com/sharepoint/v4"/>
    <ds:schemaRef ds:uri="e3c121ce-93ad-4322-8dbe-6959e0a586ce"/>
    <ds:schemaRef ds:uri="da7a9ac0-bc47-4684-84e6-3a8e9ac80c12"/>
  </ds:schemaRefs>
</ds:datastoreItem>
</file>

<file path=customXml/itemProps4.xml><?xml version="1.0" encoding="utf-8"?>
<ds:datastoreItem xmlns:ds="http://schemas.openxmlformats.org/officeDocument/2006/customXml" ds:itemID="{0BD434AD-2C0F-4C49-8906-5C624DD7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1</TotalTime>
  <Pages>7</Pages>
  <Words>2023</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ruki.weerasinghe</dc:creator>
  <cp:lastModifiedBy>ruki.weerasinghe</cp:lastModifiedBy>
  <cp:revision>1</cp:revision>
  <cp:lastPrinted>2017-08-10T23:07:00Z</cp:lastPrinted>
  <dcterms:created xsi:type="dcterms:W3CDTF">2017-10-03T02:50:00Z</dcterms:created>
  <dcterms:modified xsi:type="dcterms:W3CDTF">2017-10-03T02:51:00Z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{3ba833b3-2711-45ad-b5b0-9a14c459ac60}</vt:lpwstr>
  </property>
  <property fmtid="{D5CDD505-2E9C-101B-9397-08002B2CF9AE}" pid="29" name="RecordPoint_RecordNumberSubmitted">
    <vt:lpwstr>R20170000507229</vt:lpwstr>
  </property>
  <property fmtid="{D5CDD505-2E9C-101B-9397-08002B2CF9AE}" pid="30" name="RecordPoint_SubmissionCompleted">
    <vt:lpwstr>2017-10-03T10:50:31.6065262+11:00</vt:lpwstr>
  </property>
</Properties>
</file>