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408FE" w14:textId="77777777" w:rsidR="002D0A47" w:rsidRPr="002D0A47" w:rsidRDefault="002D0A47" w:rsidP="002D0A47">
      <w:pPr>
        <w:spacing w:after="0" w:line="240" w:lineRule="auto"/>
        <w:rPr>
          <w:rFonts w:ascii="Times New Roman" w:eastAsia="Times New Roman" w:hAnsi="Times New Roman"/>
          <w:sz w:val="24"/>
          <w:szCs w:val="20"/>
          <w:lang w:eastAsia="en-AU"/>
        </w:rPr>
      </w:pPr>
      <w:r>
        <w:rPr>
          <w:rFonts w:ascii="Times New Roman" w:eastAsia="Times New Roman" w:hAnsi="Times New Roman"/>
          <w:noProof/>
          <w:sz w:val="24"/>
          <w:szCs w:val="20"/>
          <w:lang w:eastAsia="en-AU"/>
        </w:rPr>
        <w:drawing>
          <wp:inline distT="0" distB="0" distL="0" distR="0" wp14:anchorId="7F340958" wp14:editId="7F340959">
            <wp:extent cx="1424940" cy="1104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4940" cy="1104900"/>
                    </a:xfrm>
                    <a:prstGeom prst="rect">
                      <a:avLst/>
                    </a:prstGeom>
                    <a:noFill/>
                    <a:ln>
                      <a:noFill/>
                    </a:ln>
                  </pic:spPr>
                </pic:pic>
              </a:graphicData>
            </a:graphic>
          </wp:inline>
        </w:drawing>
      </w:r>
    </w:p>
    <w:p w14:paraId="7F3408FF" w14:textId="77777777" w:rsidR="002D0A47" w:rsidRPr="002D0A47" w:rsidRDefault="002D0A47" w:rsidP="002D0A47">
      <w:pPr>
        <w:spacing w:before="480" w:after="0" w:line="240" w:lineRule="auto"/>
        <w:rPr>
          <w:rFonts w:ascii="Arial" w:eastAsia="Times New Roman" w:hAnsi="Arial" w:cs="Arial"/>
          <w:b/>
          <w:bCs/>
          <w:sz w:val="40"/>
          <w:szCs w:val="40"/>
        </w:rPr>
      </w:pPr>
      <w:bookmarkStart w:id="0" w:name="bkDocumentTitle"/>
      <w:bookmarkStart w:id="1" w:name="_GoBack"/>
      <w:bookmarkEnd w:id="0"/>
      <w:r w:rsidRPr="002D0A47">
        <w:rPr>
          <w:rFonts w:ascii="Arial" w:eastAsia="Times New Roman" w:hAnsi="Arial" w:cs="Arial"/>
          <w:b/>
          <w:bCs/>
          <w:sz w:val="40"/>
          <w:szCs w:val="40"/>
        </w:rPr>
        <w:t>Financial Sector (Business Transfer and Group Restruct</w:t>
      </w:r>
      <w:r w:rsidR="002817DC">
        <w:rPr>
          <w:rFonts w:ascii="Arial" w:eastAsia="Times New Roman" w:hAnsi="Arial" w:cs="Arial"/>
          <w:b/>
          <w:bCs/>
          <w:sz w:val="40"/>
          <w:szCs w:val="40"/>
        </w:rPr>
        <w:t>ure) determination No. 1 of 2017</w:t>
      </w:r>
      <w:bookmarkEnd w:id="1"/>
    </w:p>
    <w:p w14:paraId="7F340900" w14:textId="77777777" w:rsidR="002D0A47" w:rsidRPr="002D0A47" w:rsidRDefault="002D0A47" w:rsidP="002D0A47">
      <w:pPr>
        <w:pBdr>
          <w:bottom w:val="single" w:sz="4" w:space="3" w:color="auto"/>
        </w:pBdr>
        <w:spacing w:before="480" w:after="240" w:line="240" w:lineRule="auto"/>
        <w:rPr>
          <w:rFonts w:ascii="Arial" w:eastAsia="Times New Roman" w:hAnsi="Arial"/>
          <w:i/>
          <w:iCs/>
          <w:sz w:val="28"/>
          <w:szCs w:val="20"/>
          <w:lang w:eastAsia="en-AU"/>
        </w:rPr>
      </w:pPr>
      <w:bookmarkStart w:id="2" w:name="bkActName"/>
      <w:bookmarkEnd w:id="2"/>
      <w:r w:rsidRPr="002D0A47">
        <w:rPr>
          <w:rFonts w:ascii="Arial" w:eastAsia="Times New Roman" w:hAnsi="Arial"/>
          <w:i/>
          <w:iCs/>
          <w:sz w:val="28"/>
          <w:szCs w:val="20"/>
          <w:lang w:eastAsia="en-AU"/>
        </w:rPr>
        <w:t>Financial Sector (Business Transfer and Group Restructure) Act 1999</w:t>
      </w:r>
    </w:p>
    <w:p w14:paraId="7F340901" w14:textId="77777777" w:rsidR="002D0A47" w:rsidRPr="002D0A47" w:rsidRDefault="002D0A47" w:rsidP="002D0A47">
      <w:pPr>
        <w:spacing w:after="0" w:line="240" w:lineRule="auto"/>
        <w:ind w:left="720" w:hanging="720"/>
        <w:rPr>
          <w:rFonts w:ascii="Times New Roman" w:eastAsia="Times New Roman" w:hAnsi="Times New Roman"/>
          <w:sz w:val="24"/>
          <w:szCs w:val="20"/>
        </w:rPr>
      </w:pPr>
      <w:bookmarkStart w:id="3" w:name="bkAddressee"/>
      <w:bookmarkEnd w:id="3"/>
    </w:p>
    <w:p w14:paraId="7F340902" w14:textId="77777777" w:rsidR="002D0A47" w:rsidRPr="002D0A47" w:rsidRDefault="002D0A47" w:rsidP="002D0A47">
      <w:pPr>
        <w:spacing w:after="0" w:line="240" w:lineRule="auto"/>
        <w:ind w:left="720" w:hanging="720"/>
        <w:rPr>
          <w:rFonts w:ascii="Times New Roman" w:eastAsia="Times New Roman" w:hAnsi="Times New Roman"/>
          <w:sz w:val="24"/>
          <w:szCs w:val="20"/>
        </w:rPr>
      </w:pPr>
    </w:p>
    <w:p w14:paraId="7F340903" w14:textId="4845286F" w:rsidR="00897E20" w:rsidRDefault="002D0A47" w:rsidP="002D0A47">
      <w:pPr>
        <w:spacing w:after="0" w:line="240" w:lineRule="auto"/>
        <w:rPr>
          <w:rFonts w:ascii="Times New Roman" w:eastAsia="Times New Roman" w:hAnsi="Times New Roman"/>
          <w:iCs/>
          <w:sz w:val="24"/>
          <w:szCs w:val="20"/>
        </w:rPr>
      </w:pPr>
      <w:bookmarkStart w:id="4" w:name="bkStart"/>
      <w:bookmarkStart w:id="5" w:name="bkLetterBody"/>
      <w:bookmarkEnd w:id="4"/>
      <w:bookmarkEnd w:id="5"/>
      <w:r w:rsidRPr="002D0A47">
        <w:rPr>
          <w:rFonts w:ascii="Times New Roman" w:eastAsia="Times New Roman" w:hAnsi="Times New Roman"/>
          <w:sz w:val="24"/>
          <w:szCs w:val="20"/>
        </w:rPr>
        <w:t xml:space="preserve"> I, Wayne Byres, Chair of APRA, under section 46 of the </w:t>
      </w:r>
      <w:r w:rsidRPr="002D0A47">
        <w:rPr>
          <w:rFonts w:ascii="Times New Roman" w:eastAsia="Times New Roman" w:hAnsi="Times New Roman"/>
          <w:i/>
          <w:sz w:val="24"/>
          <w:szCs w:val="20"/>
        </w:rPr>
        <w:t>Financial Sector (Business Transfer and Group Restructure) Act 1999</w:t>
      </w:r>
      <w:r w:rsidRPr="002D0A47">
        <w:rPr>
          <w:rFonts w:ascii="Times New Roman" w:eastAsia="Times New Roman" w:hAnsi="Times New Roman"/>
          <w:sz w:val="24"/>
          <w:szCs w:val="20"/>
        </w:rPr>
        <w:t xml:space="preserve"> (the Act) </w:t>
      </w:r>
      <w:r w:rsidR="00897E20" w:rsidRPr="00897E20">
        <w:rPr>
          <w:rFonts w:ascii="Times New Roman" w:eastAsia="Times New Roman" w:hAnsi="Times New Roman"/>
          <w:sz w:val="24"/>
          <w:szCs w:val="20"/>
        </w:rPr>
        <w:t xml:space="preserve">and subsection 33(3) of the </w:t>
      </w:r>
      <w:r w:rsidR="00897E20" w:rsidRPr="00897E20">
        <w:rPr>
          <w:rFonts w:ascii="Times New Roman" w:eastAsia="Times New Roman" w:hAnsi="Times New Roman"/>
          <w:i/>
          <w:iCs/>
          <w:sz w:val="24"/>
          <w:szCs w:val="20"/>
        </w:rPr>
        <w:t xml:space="preserve">Acts Interpretation Act </w:t>
      </w:r>
      <w:r w:rsidR="00897E20" w:rsidRPr="009202E4">
        <w:rPr>
          <w:rFonts w:ascii="Times New Roman" w:eastAsia="Times New Roman" w:hAnsi="Times New Roman"/>
          <w:i/>
          <w:iCs/>
          <w:sz w:val="24"/>
          <w:szCs w:val="20"/>
        </w:rPr>
        <w:t>1901</w:t>
      </w:r>
      <w:r w:rsidR="00897E20">
        <w:rPr>
          <w:rFonts w:ascii="Times New Roman" w:eastAsia="Times New Roman" w:hAnsi="Times New Roman"/>
          <w:iCs/>
          <w:sz w:val="24"/>
          <w:szCs w:val="20"/>
        </w:rPr>
        <w:t>:</w:t>
      </w:r>
    </w:p>
    <w:p w14:paraId="7F340904" w14:textId="77777777" w:rsidR="00897E20" w:rsidRDefault="00897E20" w:rsidP="002D0A47">
      <w:pPr>
        <w:spacing w:after="0" w:line="240" w:lineRule="auto"/>
        <w:rPr>
          <w:rFonts w:ascii="Times New Roman" w:eastAsia="Times New Roman" w:hAnsi="Times New Roman"/>
          <w:iCs/>
          <w:sz w:val="24"/>
          <w:szCs w:val="20"/>
        </w:rPr>
      </w:pPr>
    </w:p>
    <w:p w14:paraId="7F340905" w14:textId="77777777" w:rsidR="00897E20" w:rsidRPr="001B716C" w:rsidRDefault="00897E20" w:rsidP="005D4D7D">
      <w:pPr>
        <w:pStyle w:val="ListParagraph"/>
        <w:numPr>
          <w:ilvl w:val="0"/>
          <w:numId w:val="10"/>
        </w:numPr>
        <w:spacing w:after="0" w:line="240" w:lineRule="auto"/>
        <w:rPr>
          <w:rFonts w:ascii="Times New Roman" w:eastAsia="Times New Roman" w:hAnsi="Times New Roman"/>
          <w:sz w:val="24"/>
          <w:szCs w:val="20"/>
        </w:rPr>
      </w:pPr>
      <w:r w:rsidRPr="001B716C">
        <w:rPr>
          <w:rFonts w:ascii="Times New Roman" w:eastAsia="Times New Roman" w:hAnsi="Times New Roman"/>
          <w:sz w:val="24"/>
          <w:szCs w:val="20"/>
        </w:rPr>
        <w:t xml:space="preserve">REVOKE </w:t>
      </w:r>
      <w:r w:rsidR="00B924FB">
        <w:rPr>
          <w:rFonts w:ascii="Times New Roman" w:eastAsia="Times New Roman" w:hAnsi="Times New Roman"/>
          <w:sz w:val="24"/>
          <w:szCs w:val="20"/>
        </w:rPr>
        <w:t>Financial Sector (Business Transfer and Group Restruc</w:t>
      </w:r>
      <w:r w:rsidR="005320B4">
        <w:rPr>
          <w:rFonts w:ascii="Times New Roman" w:eastAsia="Times New Roman" w:hAnsi="Times New Roman"/>
          <w:sz w:val="24"/>
          <w:szCs w:val="20"/>
        </w:rPr>
        <w:t>ture) determination No. 1 of 200</w:t>
      </w:r>
      <w:r w:rsidR="00B924FB">
        <w:rPr>
          <w:rFonts w:ascii="Times New Roman" w:eastAsia="Times New Roman" w:hAnsi="Times New Roman"/>
          <w:sz w:val="24"/>
          <w:szCs w:val="20"/>
        </w:rPr>
        <w:t xml:space="preserve">7, including </w:t>
      </w:r>
      <w:r w:rsidRPr="001B716C">
        <w:rPr>
          <w:rFonts w:ascii="Times New Roman" w:eastAsia="Times New Roman" w:hAnsi="Times New Roman"/>
          <w:sz w:val="24"/>
          <w:szCs w:val="20"/>
        </w:rPr>
        <w:t xml:space="preserve">Transfer Rules No. </w:t>
      </w:r>
      <w:r w:rsidR="006339F0" w:rsidRPr="001B716C">
        <w:rPr>
          <w:rFonts w:ascii="Times New Roman" w:eastAsia="Times New Roman" w:hAnsi="Times New Roman"/>
          <w:sz w:val="24"/>
          <w:szCs w:val="20"/>
        </w:rPr>
        <w:t xml:space="preserve">1 </w:t>
      </w:r>
      <w:r w:rsidR="002817DC">
        <w:rPr>
          <w:rFonts w:ascii="Times New Roman" w:eastAsia="Times New Roman" w:hAnsi="Times New Roman"/>
          <w:sz w:val="24"/>
          <w:szCs w:val="20"/>
        </w:rPr>
        <w:t>of 2007</w:t>
      </w:r>
      <w:r w:rsidR="00B924FB">
        <w:rPr>
          <w:rFonts w:ascii="Times New Roman" w:eastAsia="Times New Roman" w:hAnsi="Times New Roman"/>
          <w:sz w:val="24"/>
          <w:szCs w:val="20"/>
        </w:rPr>
        <w:t xml:space="preserve"> made under that Determination</w:t>
      </w:r>
      <w:r w:rsidRPr="001B716C">
        <w:rPr>
          <w:rFonts w:ascii="Times New Roman" w:eastAsia="Times New Roman" w:hAnsi="Times New Roman"/>
          <w:sz w:val="24"/>
          <w:szCs w:val="20"/>
        </w:rPr>
        <w:t>; and</w:t>
      </w:r>
    </w:p>
    <w:p w14:paraId="7F340906" w14:textId="77777777" w:rsidR="00897E20" w:rsidRPr="00897E20" w:rsidRDefault="00897E20" w:rsidP="00897E20">
      <w:pPr>
        <w:spacing w:after="0" w:line="240" w:lineRule="auto"/>
        <w:ind w:left="360"/>
        <w:rPr>
          <w:rFonts w:ascii="Times New Roman" w:eastAsia="Times New Roman" w:hAnsi="Times New Roman"/>
          <w:sz w:val="24"/>
          <w:szCs w:val="20"/>
        </w:rPr>
      </w:pPr>
    </w:p>
    <w:p w14:paraId="7F340907" w14:textId="202CF3AE" w:rsidR="002D0A47" w:rsidRPr="00897E20" w:rsidRDefault="002D0A47" w:rsidP="005D4D7D">
      <w:pPr>
        <w:pStyle w:val="ListParagraph"/>
        <w:numPr>
          <w:ilvl w:val="0"/>
          <w:numId w:val="10"/>
        </w:numPr>
        <w:spacing w:after="0" w:line="240" w:lineRule="auto"/>
        <w:rPr>
          <w:rFonts w:ascii="Times New Roman" w:eastAsia="Times New Roman" w:hAnsi="Times New Roman"/>
          <w:sz w:val="24"/>
          <w:szCs w:val="20"/>
        </w:rPr>
      </w:pPr>
      <w:r w:rsidRPr="00897E20">
        <w:rPr>
          <w:rFonts w:ascii="Times New Roman" w:eastAsia="Times New Roman" w:hAnsi="Times New Roman"/>
          <w:sz w:val="24"/>
          <w:szCs w:val="20"/>
        </w:rPr>
        <w:t>M</w:t>
      </w:r>
      <w:r w:rsidR="002817DC">
        <w:rPr>
          <w:rFonts w:ascii="Times New Roman" w:eastAsia="Times New Roman" w:hAnsi="Times New Roman"/>
          <w:sz w:val="24"/>
          <w:szCs w:val="20"/>
        </w:rPr>
        <w:t>AKE Transfer Rules 2017</w:t>
      </w:r>
      <w:r w:rsidR="005058BD">
        <w:rPr>
          <w:rFonts w:ascii="Times New Roman" w:eastAsia="Times New Roman" w:hAnsi="Times New Roman"/>
          <w:sz w:val="24"/>
          <w:szCs w:val="20"/>
        </w:rPr>
        <w:t xml:space="preserve"> - Restructures</w:t>
      </w:r>
      <w:r w:rsidRPr="00897E20">
        <w:rPr>
          <w:rFonts w:ascii="Times New Roman" w:eastAsia="Times New Roman" w:hAnsi="Times New Roman"/>
          <w:sz w:val="24"/>
          <w:szCs w:val="20"/>
        </w:rPr>
        <w:t xml:space="preserve">, </w:t>
      </w:r>
      <w:r w:rsidR="00B87DF7" w:rsidRPr="00897E20">
        <w:rPr>
          <w:rFonts w:ascii="Times New Roman" w:eastAsia="Times New Roman" w:hAnsi="Times New Roman"/>
          <w:sz w:val="24"/>
          <w:szCs w:val="20"/>
        </w:rPr>
        <w:t>in the form</w:t>
      </w:r>
      <w:r w:rsidRPr="00897E20">
        <w:rPr>
          <w:rFonts w:ascii="Times New Roman" w:eastAsia="Times New Roman" w:hAnsi="Times New Roman"/>
          <w:sz w:val="24"/>
          <w:szCs w:val="20"/>
        </w:rPr>
        <w:t xml:space="preserve"> set out in the Schedule,</w:t>
      </w:r>
      <w:r w:rsidR="005B1AC3">
        <w:rPr>
          <w:rFonts w:ascii="Times New Roman" w:eastAsia="Times New Roman" w:hAnsi="Times New Roman"/>
          <w:sz w:val="24"/>
          <w:szCs w:val="20"/>
        </w:rPr>
        <w:t xml:space="preserve"> for the purposes of subsections </w:t>
      </w:r>
      <w:proofErr w:type="gramStart"/>
      <w:r w:rsidR="005B1AC3">
        <w:rPr>
          <w:rFonts w:ascii="Times New Roman" w:eastAsia="Times New Roman" w:hAnsi="Times New Roman"/>
          <w:sz w:val="24"/>
          <w:szCs w:val="20"/>
        </w:rPr>
        <w:t>36B(</w:t>
      </w:r>
      <w:proofErr w:type="gramEnd"/>
      <w:r w:rsidR="005B1AC3">
        <w:rPr>
          <w:rFonts w:ascii="Times New Roman" w:eastAsia="Times New Roman" w:hAnsi="Times New Roman"/>
          <w:sz w:val="24"/>
          <w:szCs w:val="20"/>
        </w:rPr>
        <w:t xml:space="preserve">3) and 36P(4) of the Act. </w:t>
      </w:r>
      <w:r w:rsidRPr="00897E20">
        <w:rPr>
          <w:rFonts w:ascii="Times New Roman" w:eastAsia="Times New Roman" w:hAnsi="Times New Roman"/>
          <w:sz w:val="24"/>
          <w:szCs w:val="20"/>
        </w:rPr>
        <w:t xml:space="preserve"> </w:t>
      </w:r>
    </w:p>
    <w:p w14:paraId="7F340908" w14:textId="77777777" w:rsidR="002D0A47" w:rsidRPr="002D0A47" w:rsidRDefault="002D0A47" w:rsidP="002D0A47">
      <w:pPr>
        <w:spacing w:after="0" w:line="240" w:lineRule="auto"/>
        <w:ind w:left="720" w:hanging="720"/>
        <w:rPr>
          <w:rFonts w:ascii="Times New Roman" w:eastAsia="Times New Roman" w:hAnsi="Times New Roman"/>
          <w:sz w:val="24"/>
          <w:szCs w:val="20"/>
        </w:rPr>
      </w:pPr>
    </w:p>
    <w:p w14:paraId="7F340909" w14:textId="778D2D61" w:rsidR="002D0A47" w:rsidRPr="002D0A47" w:rsidRDefault="00B87DF7" w:rsidP="002D0A47">
      <w:pPr>
        <w:spacing w:after="0" w:line="240" w:lineRule="auto"/>
        <w:rPr>
          <w:rFonts w:ascii="Times New Roman" w:eastAsia="Times New Roman" w:hAnsi="Times New Roman"/>
          <w:sz w:val="24"/>
          <w:szCs w:val="20"/>
        </w:rPr>
      </w:pPr>
      <w:r>
        <w:rPr>
          <w:rFonts w:ascii="Times New Roman" w:eastAsia="Times New Roman" w:hAnsi="Times New Roman"/>
          <w:sz w:val="24"/>
          <w:szCs w:val="20"/>
        </w:rPr>
        <w:t>This instrument</w:t>
      </w:r>
      <w:r w:rsidR="002D0A47" w:rsidRPr="002D0A47">
        <w:rPr>
          <w:rFonts w:ascii="Times New Roman" w:eastAsia="Times New Roman" w:hAnsi="Times New Roman"/>
          <w:sz w:val="24"/>
          <w:szCs w:val="20"/>
        </w:rPr>
        <w:t xml:space="preserve"> commence</w:t>
      </w:r>
      <w:r>
        <w:rPr>
          <w:rFonts w:ascii="Times New Roman" w:eastAsia="Times New Roman" w:hAnsi="Times New Roman"/>
          <w:sz w:val="24"/>
          <w:szCs w:val="20"/>
        </w:rPr>
        <w:t>s</w:t>
      </w:r>
      <w:r w:rsidR="002D0A47" w:rsidRPr="002D0A47">
        <w:rPr>
          <w:rFonts w:ascii="Times New Roman" w:eastAsia="Times New Roman" w:hAnsi="Times New Roman"/>
          <w:sz w:val="24"/>
          <w:szCs w:val="20"/>
        </w:rPr>
        <w:t xml:space="preserve"> on the day </w:t>
      </w:r>
      <w:r>
        <w:rPr>
          <w:rFonts w:ascii="Times New Roman" w:eastAsia="Times New Roman" w:hAnsi="Times New Roman"/>
          <w:sz w:val="24"/>
          <w:szCs w:val="20"/>
        </w:rPr>
        <w:t>it</w:t>
      </w:r>
      <w:r w:rsidR="002D0A47" w:rsidRPr="002D0A47">
        <w:rPr>
          <w:rFonts w:ascii="Times New Roman" w:eastAsia="Times New Roman" w:hAnsi="Times New Roman"/>
          <w:sz w:val="24"/>
          <w:szCs w:val="20"/>
        </w:rPr>
        <w:t xml:space="preserve"> is registered on the Federal Register of Legislati</w:t>
      </w:r>
      <w:r w:rsidR="00245AF2">
        <w:rPr>
          <w:rFonts w:ascii="Times New Roman" w:eastAsia="Times New Roman" w:hAnsi="Times New Roman"/>
          <w:sz w:val="24"/>
          <w:szCs w:val="20"/>
        </w:rPr>
        <w:t>on</w:t>
      </w:r>
      <w:r w:rsidR="002D0A47" w:rsidRPr="002D0A47">
        <w:rPr>
          <w:rFonts w:ascii="Times New Roman" w:eastAsia="Times New Roman" w:hAnsi="Times New Roman"/>
          <w:sz w:val="24"/>
          <w:szCs w:val="20"/>
        </w:rPr>
        <w:t>.</w:t>
      </w:r>
    </w:p>
    <w:p w14:paraId="7F34090A" w14:textId="6C4E8BF7" w:rsidR="002D0A47" w:rsidRPr="002D0A47" w:rsidRDefault="00CF663D" w:rsidP="002D0A47">
      <w:pPr>
        <w:tabs>
          <w:tab w:val="left" w:pos="0"/>
        </w:tabs>
        <w:spacing w:before="240"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Dated: </w:t>
      </w:r>
      <w:r w:rsidR="005058BD">
        <w:rPr>
          <w:rFonts w:ascii="Times New Roman" w:eastAsia="Times New Roman" w:hAnsi="Times New Roman"/>
          <w:sz w:val="24"/>
          <w:szCs w:val="24"/>
          <w:lang w:eastAsia="en-AU"/>
        </w:rPr>
        <w:t xml:space="preserve"> </w:t>
      </w:r>
      <w:r w:rsidR="003F170F">
        <w:rPr>
          <w:rFonts w:ascii="Times New Roman" w:eastAsia="Times New Roman" w:hAnsi="Times New Roman"/>
          <w:sz w:val="24"/>
          <w:szCs w:val="24"/>
          <w:lang w:eastAsia="en-AU"/>
        </w:rPr>
        <w:t>2</w:t>
      </w:r>
      <w:r w:rsidR="00F53740">
        <w:rPr>
          <w:rFonts w:ascii="Times New Roman" w:eastAsia="Times New Roman" w:hAnsi="Times New Roman"/>
          <w:sz w:val="24"/>
          <w:szCs w:val="24"/>
          <w:lang w:eastAsia="en-AU"/>
        </w:rPr>
        <w:t>2</w:t>
      </w:r>
      <w:r w:rsidR="003F170F">
        <w:rPr>
          <w:rFonts w:ascii="Times New Roman" w:eastAsia="Times New Roman" w:hAnsi="Times New Roman"/>
          <w:sz w:val="24"/>
          <w:szCs w:val="24"/>
          <w:lang w:eastAsia="en-AU"/>
        </w:rPr>
        <w:t xml:space="preserve"> September</w:t>
      </w:r>
      <w:r w:rsidR="009202E4">
        <w:rPr>
          <w:rFonts w:ascii="Times New Roman" w:eastAsia="Times New Roman" w:hAnsi="Times New Roman"/>
          <w:sz w:val="24"/>
          <w:szCs w:val="24"/>
          <w:lang w:eastAsia="en-AU"/>
        </w:rPr>
        <w:t xml:space="preserve"> 2017</w:t>
      </w:r>
    </w:p>
    <w:p w14:paraId="7F34090B" w14:textId="77777777" w:rsidR="002D0A47" w:rsidRPr="002D0A47" w:rsidRDefault="002D0A47" w:rsidP="002D0A47">
      <w:pPr>
        <w:spacing w:after="0" w:line="240" w:lineRule="auto"/>
        <w:rPr>
          <w:rFonts w:ascii="Times New Roman" w:eastAsia="Times New Roman" w:hAnsi="Times New Roman"/>
          <w:sz w:val="24"/>
          <w:szCs w:val="20"/>
          <w:lang w:eastAsia="en-AU"/>
        </w:rPr>
      </w:pPr>
    </w:p>
    <w:p w14:paraId="7F34090D" w14:textId="6FE45FE8" w:rsidR="002817DC" w:rsidRPr="002D0A47" w:rsidRDefault="00E656B4" w:rsidP="002D0A47">
      <w:pPr>
        <w:spacing w:after="0" w:line="240" w:lineRule="auto"/>
        <w:rPr>
          <w:rFonts w:ascii="Times New Roman" w:eastAsia="Times New Roman" w:hAnsi="Times New Roman"/>
          <w:sz w:val="24"/>
          <w:szCs w:val="20"/>
          <w:lang w:eastAsia="en-AU"/>
        </w:rPr>
      </w:pPr>
      <w:r>
        <w:rPr>
          <w:rFonts w:ascii="Times New Roman" w:eastAsia="Times New Roman" w:hAnsi="Times New Roman"/>
          <w:noProof/>
          <w:sz w:val="24"/>
          <w:szCs w:val="20"/>
          <w:lang w:eastAsia="en-AU"/>
        </w:rPr>
        <w:t>[Signed]</w:t>
      </w:r>
    </w:p>
    <w:p w14:paraId="7F34090E" w14:textId="77777777" w:rsidR="002D0A47" w:rsidRPr="002D0A47" w:rsidRDefault="002D0A47" w:rsidP="002D0A47">
      <w:pPr>
        <w:spacing w:after="0" w:line="240" w:lineRule="auto"/>
        <w:rPr>
          <w:rFonts w:ascii="Times New Roman" w:eastAsia="Times New Roman" w:hAnsi="Times New Roman"/>
          <w:sz w:val="24"/>
          <w:szCs w:val="20"/>
          <w:lang w:eastAsia="en-AU"/>
        </w:rPr>
      </w:pPr>
      <w:r w:rsidRPr="002D0A47">
        <w:rPr>
          <w:rFonts w:ascii="Times New Roman" w:eastAsia="Times New Roman" w:hAnsi="Times New Roman"/>
          <w:sz w:val="24"/>
          <w:szCs w:val="20"/>
          <w:lang w:eastAsia="en-AU"/>
        </w:rPr>
        <w:t>………………………</w:t>
      </w:r>
    </w:p>
    <w:p w14:paraId="7F34090F" w14:textId="77777777" w:rsidR="002D0A47" w:rsidRPr="002D0A47" w:rsidRDefault="00B87DF7" w:rsidP="002D0A47">
      <w:pPr>
        <w:spacing w:after="0" w:line="240" w:lineRule="auto"/>
        <w:rPr>
          <w:rFonts w:ascii="Times New Roman" w:eastAsia="Times New Roman" w:hAnsi="Times New Roman"/>
          <w:sz w:val="24"/>
          <w:szCs w:val="20"/>
          <w:lang w:eastAsia="en-AU"/>
        </w:rPr>
      </w:pPr>
      <w:bookmarkStart w:id="6" w:name="bkDelegateName"/>
      <w:bookmarkEnd w:id="6"/>
      <w:r>
        <w:rPr>
          <w:rFonts w:ascii="Times New Roman" w:eastAsia="Times New Roman" w:hAnsi="Times New Roman"/>
          <w:sz w:val="24"/>
          <w:szCs w:val="20"/>
          <w:lang w:eastAsia="en-AU"/>
        </w:rPr>
        <w:t>Wayne Byres</w:t>
      </w:r>
    </w:p>
    <w:p w14:paraId="7F340910" w14:textId="77777777" w:rsidR="002D0A47" w:rsidRPr="002D0A47" w:rsidRDefault="002D0A47" w:rsidP="002D0A47">
      <w:pPr>
        <w:spacing w:after="0" w:line="240" w:lineRule="auto"/>
        <w:rPr>
          <w:rFonts w:ascii="Times New Roman" w:eastAsia="Times New Roman" w:hAnsi="Times New Roman"/>
          <w:sz w:val="24"/>
          <w:szCs w:val="20"/>
          <w:lang w:eastAsia="en-AU"/>
        </w:rPr>
      </w:pPr>
      <w:bookmarkStart w:id="7" w:name="bkDelegateTitle"/>
      <w:bookmarkEnd w:id="7"/>
      <w:r w:rsidRPr="002D0A47">
        <w:rPr>
          <w:rFonts w:ascii="Times New Roman" w:eastAsia="Times New Roman" w:hAnsi="Times New Roman"/>
          <w:sz w:val="24"/>
          <w:szCs w:val="20"/>
          <w:lang w:eastAsia="en-AU"/>
        </w:rPr>
        <w:t>Chair</w:t>
      </w:r>
    </w:p>
    <w:p w14:paraId="7F340911" w14:textId="77777777" w:rsidR="002D0A47" w:rsidRPr="002D0A47" w:rsidRDefault="002D0A47" w:rsidP="002D0A47">
      <w:pPr>
        <w:spacing w:after="0" w:line="240" w:lineRule="auto"/>
        <w:rPr>
          <w:rFonts w:ascii="Times New Roman" w:eastAsia="Times New Roman" w:hAnsi="Times New Roman"/>
          <w:sz w:val="24"/>
          <w:szCs w:val="20"/>
          <w:lang w:eastAsia="en-AU"/>
        </w:rPr>
      </w:pPr>
      <w:r w:rsidRPr="002D0A47">
        <w:rPr>
          <w:rFonts w:ascii="Times New Roman" w:eastAsia="Times New Roman" w:hAnsi="Times New Roman"/>
          <w:sz w:val="24"/>
          <w:szCs w:val="20"/>
          <w:lang w:eastAsia="en-AU"/>
        </w:rPr>
        <w:t>A</w:t>
      </w:r>
      <w:r w:rsidR="0047528E">
        <w:rPr>
          <w:rFonts w:ascii="Times New Roman" w:eastAsia="Times New Roman" w:hAnsi="Times New Roman"/>
          <w:sz w:val="24"/>
          <w:szCs w:val="20"/>
          <w:lang w:eastAsia="en-AU"/>
        </w:rPr>
        <w:t>PRA</w:t>
      </w:r>
    </w:p>
    <w:p w14:paraId="7F340912" w14:textId="77777777" w:rsidR="002D0A47" w:rsidRDefault="002D0A47" w:rsidP="002D0A47">
      <w:pPr>
        <w:tabs>
          <w:tab w:val="left" w:pos="0"/>
        </w:tabs>
        <w:spacing w:after="0" w:line="240" w:lineRule="auto"/>
        <w:rPr>
          <w:rFonts w:ascii="Times New Roman" w:eastAsia="Times New Roman" w:hAnsi="Times New Roman"/>
          <w:b/>
          <w:sz w:val="24"/>
          <w:szCs w:val="24"/>
          <w:lang w:eastAsia="en-AU"/>
        </w:rPr>
      </w:pPr>
      <w:bookmarkStart w:id="8" w:name="bkHideNotes"/>
      <w:bookmarkStart w:id="9" w:name="bkNotes"/>
      <w:bookmarkEnd w:id="8"/>
      <w:bookmarkEnd w:id="9"/>
    </w:p>
    <w:p w14:paraId="7F340914" w14:textId="77777777" w:rsidR="0047528E" w:rsidRPr="00A84D9F" w:rsidRDefault="0047528E" w:rsidP="0047528E">
      <w:pPr>
        <w:rPr>
          <w:rFonts w:ascii="Times New Roman" w:hAnsi="Times New Roman"/>
          <w:b/>
          <w:sz w:val="24"/>
          <w:szCs w:val="24"/>
          <w:lang w:val="en-US"/>
        </w:rPr>
      </w:pPr>
      <w:r w:rsidRPr="00A84D9F">
        <w:rPr>
          <w:rFonts w:ascii="Times New Roman" w:hAnsi="Times New Roman"/>
          <w:b/>
          <w:sz w:val="24"/>
          <w:szCs w:val="24"/>
        </w:rPr>
        <w:lastRenderedPageBreak/>
        <w:t>Interpretation</w:t>
      </w:r>
    </w:p>
    <w:p w14:paraId="7F340915" w14:textId="335833E3" w:rsidR="0047528E" w:rsidRPr="0047528E" w:rsidRDefault="0047528E" w:rsidP="0047528E">
      <w:pPr>
        <w:rPr>
          <w:rFonts w:ascii="Times New Roman" w:hAnsi="Times New Roman"/>
          <w:sz w:val="24"/>
          <w:szCs w:val="24"/>
          <w:lang w:val="en-US"/>
        </w:rPr>
      </w:pPr>
      <w:r w:rsidRPr="0047528E">
        <w:rPr>
          <w:rFonts w:ascii="Times New Roman" w:hAnsi="Times New Roman"/>
          <w:sz w:val="24"/>
          <w:szCs w:val="24"/>
        </w:rPr>
        <w:t xml:space="preserve">In this </w:t>
      </w:r>
      <w:r w:rsidR="00245AF2">
        <w:rPr>
          <w:rFonts w:ascii="Times New Roman" w:hAnsi="Times New Roman"/>
          <w:sz w:val="24"/>
          <w:szCs w:val="24"/>
        </w:rPr>
        <w:t>Determination:</w:t>
      </w:r>
    </w:p>
    <w:p w14:paraId="7F340916" w14:textId="77777777" w:rsidR="00617B10" w:rsidRDefault="0047528E" w:rsidP="0047528E">
      <w:pPr>
        <w:rPr>
          <w:rFonts w:ascii="Times New Roman" w:hAnsi="Times New Roman"/>
          <w:sz w:val="24"/>
          <w:szCs w:val="24"/>
        </w:rPr>
      </w:pPr>
      <w:r w:rsidRPr="0047528E">
        <w:rPr>
          <w:rFonts w:ascii="Times New Roman" w:hAnsi="Times New Roman"/>
          <w:b/>
          <w:bCs/>
          <w:i/>
          <w:iCs/>
          <w:sz w:val="24"/>
          <w:szCs w:val="24"/>
        </w:rPr>
        <w:t xml:space="preserve">APRA </w:t>
      </w:r>
      <w:r w:rsidRPr="0047528E">
        <w:rPr>
          <w:rFonts w:ascii="Times New Roman" w:hAnsi="Times New Roman"/>
          <w:sz w:val="24"/>
          <w:szCs w:val="24"/>
        </w:rPr>
        <w:t>means the Australian Prudential Regulation Authority.</w:t>
      </w:r>
    </w:p>
    <w:p w14:paraId="7F340918" w14:textId="77777777" w:rsidR="00617B10" w:rsidRDefault="00617B10" w:rsidP="00617B10">
      <w:pPr>
        <w:keepNext/>
        <w:spacing w:before="480" w:after="0" w:line="240" w:lineRule="auto"/>
        <w:rPr>
          <w:rFonts w:ascii="Arial" w:eastAsia="Times New Roman" w:hAnsi="Arial"/>
          <w:b/>
          <w:sz w:val="32"/>
          <w:szCs w:val="32"/>
        </w:rPr>
      </w:pPr>
      <w:r w:rsidRPr="00617B10">
        <w:rPr>
          <w:rFonts w:ascii="Arial" w:eastAsia="Times New Roman" w:hAnsi="Arial"/>
          <w:b/>
          <w:sz w:val="32"/>
          <w:szCs w:val="32"/>
        </w:rPr>
        <w:t>Schedule</w:t>
      </w:r>
    </w:p>
    <w:p w14:paraId="7DCECDC3" w14:textId="2962E388" w:rsidR="00EF2B78" w:rsidRPr="00A84D9F" w:rsidRDefault="00EF2B78" w:rsidP="00617B10">
      <w:pPr>
        <w:keepNext/>
        <w:spacing w:before="480" w:after="0" w:line="240" w:lineRule="auto"/>
        <w:rPr>
          <w:rFonts w:ascii="Times New Roman" w:eastAsia="Times New Roman" w:hAnsi="Times New Roman"/>
          <w:b/>
          <w:sz w:val="24"/>
          <w:szCs w:val="24"/>
        </w:rPr>
      </w:pPr>
      <w:r w:rsidRPr="00A84D9F">
        <w:rPr>
          <w:rFonts w:ascii="Times New Roman" w:hAnsi="Times New Roman"/>
          <w:i/>
          <w:color w:val="000000"/>
          <w:sz w:val="24"/>
          <w:szCs w:val="24"/>
        </w:rPr>
        <w:t xml:space="preserve">Transfer Rules 2017 - Restructures </w:t>
      </w:r>
      <w:r w:rsidRPr="00A84D9F">
        <w:rPr>
          <w:rFonts w:ascii="Times New Roman" w:hAnsi="Times New Roman"/>
          <w:bCs/>
          <w:sz w:val="24"/>
          <w:szCs w:val="24"/>
        </w:rPr>
        <w:t xml:space="preserve">comprises the </w:t>
      </w:r>
      <w:r w:rsidR="00F9338C" w:rsidRPr="00A84D9F">
        <w:rPr>
          <w:rFonts w:ascii="Times New Roman" w:hAnsi="Times New Roman"/>
          <w:bCs/>
          <w:sz w:val="24"/>
          <w:szCs w:val="24"/>
        </w:rPr>
        <w:t>4</w:t>
      </w:r>
      <w:r w:rsidRPr="00A84D9F">
        <w:rPr>
          <w:rFonts w:ascii="Times New Roman" w:hAnsi="Times New Roman"/>
          <w:bCs/>
          <w:sz w:val="24"/>
          <w:szCs w:val="24"/>
        </w:rPr>
        <w:t xml:space="preserve"> pages commencing on the following page.</w:t>
      </w:r>
    </w:p>
    <w:p w14:paraId="371B7CE5" w14:textId="77777777" w:rsidR="00245AF2" w:rsidRPr="00A84D9F" w:rsidRDefault="00245AF2">
      <w:pPr>
        <w:rPr>
          <w:rFonts w:ascii="Times New Roman" w:eastAsia="Times New Roman" w:hAnsi="Times New Roman"/>
          <w:b/>
          <w:sz w:val="24"/>
          <w:szCs w:val="24"/>
          <w:lang w:eastAsia="en-AU"/>
        </w:rPr>
      </w:pPr>
      <w:r w:rsidRPr="00A84D9F">
        <w:rPr>
          <w:rFonts w:ascii="Times New Roman" w:eastAsia="Times New Roman" w:hAnsi="Times New Roman"/>
          <w:b/>
          <w:sz w:val="24"/>
          <w:szCs w:val="24"/>
          <w:lang w:eastAsia="en-AU"/>
        </w:rPr>
        <w:br w:type="page"/>
      </w:r>
    </w:p>
    <w:p w14:paraId="7F340919" w14:textId="59CB65C1" w:rsidR="00617B10" w:rsidRPr="00617B10" w:rsidRDefault="00617B10" w:rsidP="00617B10">
      <w:pPr>
        <w:keepNext/>
        <w:spacing w:before="480" w:after="0" w:line="240" w:lineRule="auto"/>
        <w:rPr>
          <w:rFonts w:ascii="Arial" w:eastAsia="Times New Roman" w:hAnsi="Arial" w:cs="Arial"/>
          <w:b/>
          <w:sz w:val="28"/>
          <w:szCs w:val="28"/>
          <w:lang w:eastAsia="en-AU"/>
        </w:rPr>
      </w:pPr>
      <w:r w:rsidRPr="00617B10">
        <w:rPr>
          <w:rFonts w:ascii="Arial" w:eastAsia="Times New Roman" w:hAnsi="Arial" w:cs="Arial"/>
          <w:b/>
          <w:sz w:val="28"/>
          <w:szCs w:val="28"/>
          <w:lang w:eastAsia="en-AU"/>
        </w:rPr>
        <w:lastRenderedPageBreak/>
        <w:t xml:space="preserve">Transfer Rules </w:t>
      </w:r>
      <w:r w:rsidR="002817DC">
        <w:rPr>
          <w:rFonts w:ascii="Arial" w:eastAsia="Times New Roman" w:hAnsi="Arial" w:cs="Arial"/>
          <w:b/>
          <w:sz w:val="28"/>
          <w:szCs w:val="28"/>
          <w:lang w:eastAsia="en-AU"/>
        </w:rPr>
        <w:t>2017</w:t>
      </w:r>
      <w:r w:rsidR="00EF2B78">
        <w:rPr>
          <w:rFonts w:ascii="Arial" w:eastAsia="Times New Roman" w:hAnsi="Arial" w:cs="Arial"/>
          <w:b/>
          <w:sz w:val="28"/>
          <w:szCs w:val="28"/>
          <w:lang w:eastAsia="en-AU"/>
        </w:rPr>
        <w:t xml:space="preserve"> - Restructures</w:t>
      </w:r>
    </w:p>
    <w:p w14:paraId="7F34091A" w14:textId="77777777" w:rsidR="00617B10" w:rsidRPr="00617B10" w:rsidRDefault="00617B10" w:rsidP="00617B10">
      <w:pPr>
        <w:spacing w:after="0" w:line="240" w:lineRule="auto"/>
        <w:jc w:val="center"/>
        <w:rPr>
          <w:rFonts w:ascii="Arial" w:eastAsia="Times New Roman" w:hAnsi="Arial" w:cs="Arial"/>
          <w:b/>
          <w:sz w:val="24"/>
          <w:szCs w:val="20"/>
          <w:lang w:eastAsia="en-AU"/>
        </w:rPr>
      </w:pPr>
    </w:p>
    <w:p w14:paraId="7F34091B" w14:textId="77777777" w:rsidR="00617B10" w:rsidRPr="00617B10" w:rsidRDefault="00617B10" w:rsidP="00617B10">
      <w:pPr>
        <w:spacing w:after="0" w:line="240" w:lineRule="auto"/>
        <w:rPr>
          <w:rFonts w:ascii="Arial" w:eastAsia="Times New Roman" w:hAnsi="Arial" w:cs="Arial"/>
          <w:b/>
          <w:i/>
          <w:sz w:val="24"/>
          <w:szCs w:val="20"/>
          <w:lang w:eastAsia="en-AU"/>
        </w:rPr>
      </w:pPr>
      <w:r w:rsidRPr="00617B10">
        <w:rPr>
          <w:rFonts w:ascii="Arial" w:eastAsia="Times New Roman" w:hAnsi="Arial" w:cs="Arial"/>
          <w:b/>
          <w:i/>
          <w:sz w:val="24"/>
          <w:szCs w:val="20"/>
          <w:lang w:eastAsia="en-AU"/>
        </w:rPr>
        <w:t>Financial Sector (Business Transfer and Group Restructure) Act 1999</w:t>
      </w:r>
    </w:p>
    <w:p w14:paraId="7F34091C" w14:textId="77777777" w:rsidR="00617B10" w:rsidRPr="00617B10" w:rsidRDefault="00617B10" w:rsidP="00617B10">
      <w:pPr>
        <w:spacing w:after="0" w:line="240" w:lineRule="auto"/>
        <w:jc w:val="both"/>
        <w:rPr>
          <w:rFonts w:ascii="Arial" w:eastAsia="Times New Roman" w:hAnsi="Arial" w:cs="Arial"/>
          <w:b/>
          <w:i/>
          <w:sz w:val="24"/>
          <w:szCs w:val="20"/>
          <w:lang w:eastAsia="en-AU"/>
        </w:rPr>
      </w:pPr>
    </w:p>
    <w:p w14:paraId="7F34091D" w14:textId="77777777" w:rsidR="002817DC" w:rsidRPr="001508C1" w:rsidRDefault="002817DC" w:rsidP="002817DC">
      <w:pPr>
        <w:autoSpaceDE w:val="0"/>
        <w:autoSpaceDN w:val="0"/>
        <w:adjustRightInd w:val="0"/>
        <w:jc w:val="both"/>
        <w:rPr>
          <w:rFonts w:ascii="Arial" w:hAnsi="Arial" w:cs="Arial"/>
          <w:b/>
          <w:bCs/>
          <w:sz w:val="24"/>
          <w:szCs w:val="24"/>
        </w:rPr>
      </w:pPr>
      <w:r w:rsidRPr="001508C1">
        <w:rPr>
          <w:rFonts w:ascii="Arial" w:hAnsi="Arial" w:cs="Arial"/>
          <w:b/>
          <w:bCs/>
          <w:sz w:val="24"/>
          <w:szCs w:val="24"/>
        </w:rPr>
        <w:t>Introduction</w:t>
      </w:r>
    </w:p>
    <w:p w14:paraId="7F34091E" w14:textId="312A2876"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These Rules are made under section 46 of the </w:t>
      </w:r>
      <w:r w:rsidRPr="002817DC">
        <w:rPr>
          <w:rFonts w:ascii="Times New Roman" w:hAnsi="Times New Roman"/>
          <w:i/>
          <w:iCs/>
          <w:sz w:val="24"/>
          <w:szCs w:val="24"/>
        </w:rPr>
        <w:t xml:space="preserve">Financial Sector (Business Transfer and Group Restructure) Act 1999 </w:t>
      </w:r>
      <w:r w:rsidRPr="002817DC">
        <w:rPr>
          <w:rFonts w:ascii="Times New Roman" w:hAnsi="Times New Roman"/>
          <w:sz w:val="24"/>
          <w:szCs w:val="24"/>
        </w:rPr>
        <w:t xml:space="preserve">(the Act). They apply to: </w:t>
      </w:r>
    </w:p>
    <w:p w14:paraId="7F34091F"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an application made by an operating body under subsection 36B(2) of the Act for a restructure approval; and</w:t>
      </w:r>
    </w:p>
    <w:p w14:paraId="7F340920"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proofErr w:type="gramStart"/>
      <w:r w:rsidRPr="002817DC">
        <w:rPr>
          <w:rFonts w:ascii="Times New Roman" w:hAnsi="Times New Roman"/>
          <w:sz w:val="24"/>
          <w:szCs w:val="24"/>
        </w:rPr>
        <w:t>an</w:t>
      </w:r>
      <w:proofErr w:type="gramEnd"/>
      <w:r w:rsidRPr="002817DC">
        <w:rPr>
          <w:rFonts w:ascii="Times New Roman" w:hAnsi="Times New Roman"/>
          <w:sz w:val="24"/>
          <w:szCs w:val="24"/>
        </w:rPr>
        <w:t xml:space="preserve"> application made by an operating body under subsection 36P(2) of the Act for an amendment to an internal transfer certificate.</w:t>
      </w:r>
    </w:p>
    <w:p w14:paraId="7F340921" w14:textId="77777777" w:rsidR="002817DC" w:rsidRPr="001508C1" w:rsidRDefault="002817DC" w:rsidP="002817DC">
      <w:pPr>
        <w:autoSpaceDE w:val="0"/>
        <w:autoSpaceDN w:val="0"/>
        <w:adjustRightInd w:val="0"/>
        <w:spacing w:before="120" w:after="240"/>
        <w:jc w:val="both"/>
        <w:rPr>
          <w:rFonts w:ascii="Arial" w:hAnsi="Arial" w:cs="Arial"/>
          <w:b/>
          <w:bCs/>
          <w:sz w:val="24"/>
          <w:szCs w:val="24"/>
        </w:rPr>
      </w:pPr>
      <w:r w:rsidRPr="001508C1">
        <w:rPr>
          <w:rFonts w:ascii="Arial" w:hAnsi="Arial" w:cs="Arial"/>
          <w:b/>
          <w:bCs/>
          <w:sz w:val="24"/>
          <w:szCs w:val="24"/>
        </w:rPr>
        <w:t>Form and content of application for a restructure approval</w:t>
      </w:r>
    </w:p>
    <w:p w14:paraId="7F340922"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For the purposes of subsection 36B(3) of the Act, an application for a restructure approval must be in the form prescribed, and contain the information required, by paragraph 3, subject to paragraph 4. </w:t>
      </w:r>
    </w:p>
    <w:p w14:paraId="7F340923" w14:textId="77777777" w:rsidR="002817DC" w:rsidRPr="00917EFE" w:rsidRDefault="002817DC" w:rsidP="002817DC">
      <w:pPr>
        <w:autoSpaceDE w:val="0"/>
        <w:autoSpaceDN w:val="0"/>
        <w:adjustRightInd w:val="0"/>
        <w:spacing w:after="240"/>
        <w:ind w:left="567"/>
        <w:jc w:val="both"/>
        <w:rPr>
          <w:rFonts w:ascii="Times New Roman" w:hAnsi="Times New Roman"/>
          <w:i/>
          <w:sz w:val="20"/>
          <w:szCs w:val="20"/>
        </w:rPr>
      </w:pPr>
      <w:r w:rsidRPr="00917EFE">
        <w:rPr>
          <w:rFonts w:ascii="Times New Roman" w:hAnsi="Times New Roman"/>
          <w:i/>
          <w:sz w:val="20"/>
          <w:szCs w:val="20"/>
        </w:rPr>
        <w:lastRenderedPageBreak/>
        <w:t>Note:</w:t>
      </w:r>
      <w:r w:rsidRPr="00917EFE">
        <w:rPr>
          <w:rFonts w:ascii="Times New Roman" w:hAnsi="Times New Roman"/>
          <w:i/>
          <w:sz w:val="20"/>
          <w:szCs w:val="20"/>
        </w:rPr>
        <w:tab/>
      </w:r>
      <w:r w:rsidRPr="00917EFE">
        <w:rPr>
          <w:rFonts w:ascii="Times New Roman" w:hAnsi="Times New Roman"/>
          <w:sz w:val="20"/>
          <w:szCs w:val="20"/>
        </w:rPr>
        <w:t xml:space="preserve">A copy of the application must be provided to APRA in addition to the Minister (subsection </w:t>
      </w:r>
      <w:proofErr w:type="gramStart"/>
      <w:r w:rsidRPr="00917EFE">
        <w:rPr>
          <w:rFonts w:ascii="Times New Roman" w:hAnsi="Times New Roman"/>
          <w:sz w:val="20"/>
          <w:szCs w:val="20"/>
        </w:rPr>
        <w:t>36B(</w:t>
      </w:r>
      <w:proofErr w:type="gramEnd"/>
      <w:r w:rsidRPr="00917EFE">
        <w:rPr>
          <w:rFonts w:ascii="Times New Roman" w:hAnsi="Times New Roman"/>
          <w:sz w:val="20"/>
          <w:szCs w:val="20"/>
        </w:rPr>
        <w:t>4) of the Act).</w:t>
      </w:r>
    </w:p>
    <w:p w14:paraId="7F340924"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bookmarkStart w:id="10" w:name="_Ref171746115"/>
      <w:bookmarkStart w:id="11" w:name="_Ref172368729"/>
      <w:r w:rsidRPr="002817DC">
        <w:rPr>
          <w:rFonts w:ascii="Times New Roman" w:hAnsi="Times New Roman"/>
          <w:sz w:val="24"/>
          <w:szCs w:val="24"/>
        </w:rPr>
        <w:t>An application by an operating body for a restructure approval must be in writing, signed by the CEO of the operating body, and contain or attach the following information, except where already provided to APRA in connection with a NOHC authorisation application:</w:t>
      </w:r>
      <w:bookmarkEnd w:id="10"/>
      <w:bookmarkEnd w:id="11"/>
    </w:p>
    <w:p w14:paraId="7F340925"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reasons for the proposed restructure; and</w:t>
      </w:r>
    </w:p>
    <w:p w14:paraId="7F340926"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name and ACN or ARBN of the operating body and the proposed name and ACN or ARBN (where known) of the NOHC to be established; and</w:t>
      </w:r>
    </w:p>
    <w:p w14:paraId="7F340927"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 chart of the group of companies and ownership chain of companies headed:</w:t>
      </w:r>
    </w:p>
    <w:p w14:paraId="7F340928" w14:textId="77777777" w:rsidR="002817DC" w:rsidRPr="002817DC" w:rsidRDefault="002817DC" w:rsidP="005D4D7D">
      <w:pPr>
        <w:numPr>
          <w:ilvl w:val="0"/>
          <w:numId w:val="12"/>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at the time of application, by the operating body; and </w:t>
      </w:r>
    </w:p>
    <w:p w14:paraId="7F340929" w14:textId="77777777" w:rsidR="002817DC" w:rsidRPr="002817DC" w:rsidRDefault="002817DC" w:rsidP="005D4D7D">
      <w:pPr>
        <w:numPr>
          <w:ilvl w:val="0"/>
          <w:numId w:val="12"/>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post restructure, by the proposed NOHC; and</w:t>
      </w:r>
    </w:p>
    <w:p w14:paraId="7F34092A"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where it is proposed that particular assets and liabilities will be, or are likely to be, transferred by way of internal transfer certificate, a schedule describing the relevant </w:t>
      </w:r>
      <w:r w:rsidRPr="002817DC">
        <w:rPr>
          <w:rFonts w:ascii="Times New Roman" w:hAnsi="Times New Roman"/>
          <w:sz w:val="24"/>
          <w:szCs w:val="24"/>
        </w:rPr>
        <w:lastRenderedPageBreak/>
        <w:t xml:space="preserve">transferring and receiving bodies (to the extent known); and  </w:t>
      </w:r>
    </w:p>
    <w:p w14:paraId="7F34092B"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where it is proposed that particular assets and liabilities will be, or are likely to be, transferred other than by way of internal transfer certificate, a description of the manner by which such transfers are to be effected, together with a schedule describing the relevant bodies (to the extent known); and</w:t>
      </w:r>
    </w:p>
    <w:p w14:paraId="7F34092C"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 statement as to how the proposed restructure arrangement will:</w:t>
      </w:r>
    </w:p>
    <w:p w14:paraId="7F34092D" w14:textId="77777777" w:rsidR="002817DC" w:rsidRPr="002817DC" w:rsidRDefault="002817DC" w:rsidP="005D4D7D">
      <w:pPr>
        <w:numPr>
          <w:ilvl w:val="0"/>
          <w:numId w:val="13"/>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improve the operating body’s ability to meet its prudential requirements; and</w:t>
      </w:r>
    </w:p>
    <w:p w14:paraId="7F34092E" w14:textId="77777777" w:rsidR="002817DC" w:rsidRPr="002817DC" w:rsidRDefault="002817DC" w:rsidP="005D4D7D">
      <w:pPr>
        <w:numPr>
          <w:ilvl w:val="0"/>
          <w:numId w:val="13"/>
        </w:numPr>
        <w:autoSpaceDE w:val="0"/>
        <w:autoSpaceDN w:val="0"/>
        <w:adjustRightInd w:val="0"/>
        <w:spacing w:after="240" w:line="240" w:lineRule="auto"/>
        <w:jc w:val="both"/>
        <w:rPr>
          <w:rFonts w:ascii="Times New Roman" w:hAnsi="Times New Roman"/>
          <w:sz w:val="24"/>
          <w:szCs w:val="24"/>
        </w:rPr>
      </w:pPr>
      <w:proofErr w:type="gramStart"/>
      <w:r w:rsidRPr="002817DC">
        <w:rPr>
          <w:rFonts w:ascii="Times New Roman" w:hAnsi="Times New Roman"/>
          <w:sz w:val="24"/>
          <w:szCs w:val="24"/>
        </w:rPr>
        <w:t>affect</w:t>
      </w:r>
      <w:proofErr w:type="gramEnd"/>
      <w:r w:rsidRPr="002817DC">
        <w:rPr>
          <w:rFonts w:ascii="Times New Roman" w:hAnsi="Times New Roman"/>
          <w:sz w:val="24"/>
          <w:szCs w:val="24"/>
        </w:rPr>
        <w:t xml:space="preserve"> the interests of depositors or policy owners of the operating body, including any matters which may add to or detract from the safety and soundness of these interests. This must include:</w:t>
      </w:r>
    </w:p>
    <w:p w14:paraId="7F34092F" w14:textId="77777777" w:rsidR="002817DC" w:rsidRPr="002817DC" w:rsidRDefault="002817DC" w:rsidP="005D4D7D">
      <w:pPr>
        <w:numPr>
          <w:ilvl w:val="2"/>
          <w:numId w:val="13"/>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details of any proposed transfer of deposits or policies from the operating body or any other regulated member of the group headed by the NOHC; and</w:t>
      </w:r>
    </w:p>
    <w:p w14:paraId="7F340930" w14:textId="77777777" w:rsidR="002817DC" w:rsidRPr="002817DC" w:rsidRDefault="002817DC" w:rsidP="005D4D7D">
      <w:pPr>
        <w:numPr>
          <w:ilvl w:val="2"/>
          <w:numId w:val="13"/>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lastRenderedPageBreak/>
        <w:t>to the extent known, particulars of the financial position of the operating body, both currently and projected upon completion of the restructure, including details of capital measures; and</w:t>
      </w:r>
    </w:p>
    <w:p w14:paraId="7F340931" w14:textId="77777777" w:rsidR="002817DC" w:rsidRPr="002817DC" w:rsidRDefault="002817DC" w:rsidP="005D4D7D">
      <w:pPr>
        <w:numPr>
          <w:ilvl w:val="2"/>
          <w:numId w:val="13"/>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to the extent known, particulars of the projected financial position of the NOHC, and its consolidated group, upon completion of the restructure, including details of capital measures; and</w:t>
      </w:r>
    </w:p>
    <w:p w14:paraId="7F340932" w14:textId="77777777" w:rsidR="002817DC" w:rsidRPr="002817DC" w:rsidRDefault="002817DC" w:rsidP="005D4D7D">
      <w:pPr>
        <w:numPr>
          <w:ilvl w:val="0"/>
          <w:numId w:val="13"/>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affect the ability of APRA to supervise the operating body and to address risks to the operating body and other regulated members of the group headed by the NOHC; and</w:t>
      </w:r>
    </w:p>
    <w:p w14:paraId="7F340933" w14:textId="77777777" w:rsidR="002817DC" w:rsidRPr="002817DC" w:rsidRDefault="002817DC" w:rsidP="005D4D7D">
      <w:pPr>
        <w:numPr>
          <w:ilvl w:val="0"/>
          <w:numId w:val="13"/>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affect the interests of the financial sector as a whole (to the extent known); and</w:t>
      </w:r>
    </w:p>
    <w:p w14:paraId="7F340934"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 description of the proposed restructure process, including, to the extent known:</w:t>
      </w:r>
    </w:p>
    <w:p w14:paraId="7F340935" w14:textId="77777777" w:rsidR="002817DC" w:rsidRPr="002817DC" w:rsidRDefault="002817DC" w:rsidP="005D4D7D">
      <w:pPr>
        <w:numPr>
          <w:ilvl w:val="0"/>
          <w:numId w:val="14"/>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 list of required regulatory and court approvals, including the proposed timeframe for seeking such approvals and contingency plans should approvals not be obtained in timeframe proposed; and</w:t>
      </w:r>
    </w:p>
    <w:p w14:paraId="7F340936" w14:textId="77777777" w:rsidR="002817DC" w:rsidRPr="002817DC" w:rsidRDefault="002817DC" w:rsidP="005D4D7D">
      <w:pPr>
        <w:numPr>
          <w:ilvl w:val="0"/>
          <w:numId w:val="14"/>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lastRenderedPageBreak/>
        <w:t xml:space="preserve">the proposed timetable for establishing any new receiving entities within the group, including the NOHC; and </w:t>
      </w:r>
    </w:p>
    <w:p w14:paraId="7F340937"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details, to the extent known, of the composition of the board and senior management of: </w:t>
      </w:r>
    </w:p>
    <w:p w14:paraId="7F340938" w14:textId="77777777" w:rsidR="002817DC" w:rsidRPr="002817DC" w:rsidRDefault="002817DC" w:rsidP="005D4D7D">
      <w:pPr>
        <w:numPr>
          <w:ilvl w:val="0"/>
          <w:numId w:val="15"/>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operating body, currently, and upon completion of, the restructure; and</w:t>
      </w:r>
    </w:p>
    <w:p w14:paraId="7F340939" w14:textId="77777777" w:rsidR="002817DC" w:rsidRPr="002817DC" w:rsidRDefault="002817DC" w:rsidP="005D4D7D">
      <w:pPr>
        <w:numPr>
          <w:ilvl w:val="0"/>
          <w:numId w:val="15"/>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NOHC; and</w:t>
      </w:r>
    </w:p>
    <w:p w14:paraId="7F34093A" w14:textId="77777777" w:rsidR="002817DC" w:rsidRPr="002817DC" w:rsidRDefault="002817DC" w:rsidP="005D4D7D">
      <w:pPr>
        <w:numPr>
          <w:ilvl w:val="0"/>
          <w:numId w:val="15"/>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any other prudentially regulated subsidiaries of the NOHC, both currently, and upon completion of the restructure; and</w:t>
      </w:r>
    </w:p>
    <w:p w14:paraId="7F34093B"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where the operating body, and proposed NOHC, are foreign owned, written advice from the home supervisor as to whether it consents to the establishment of the NOHC and the transfer of business proposed to be undertaken; and </w:t>
      </w:r>
    </w:p>
    <w:p w14:paraId="7F34093C"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if relief is to be sought in a restructure instrument under section 36G of the Act:</w:t>
      </w:r>
    </w:p>
    <w:p w14:paraId="7F34093D" w14:textId="77777777" w:rsidR="002817DC" w:rsidRPr="002817DC" w:rsidRDefault="002817DC" w:rsidP="005D4D7D">
      <w:pPr>
        <w:numPr>
          <w:ilvl w:val="0"/>
          <w:numId w:val="16"/>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lastRenderedPageBreak/>
        <w:t>the names of the entities to be covered by the restructure instrument; and</w:t>
      </w:r>
    </w:p>
    <w:p w14:paraId="7F34093E" w14:textId="77777777" w:rsidR="002817DC" w:rsidRPr="002817DC" w:rsidRDefault="002817DC" w:rsidP="005D4D7D">
      <w:pPr>
        <w:numPr>
          <w:ilvl w:val="0"/>
          <w:numId w:val="16"/>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nature of the relief sought; and</w:t>
      </w:r>
    </w:p>
    <w:p w14:paraId="7F34093F" w14:textId="77777777" w:rsidR="002817DC" w:rsidRPr="002817DC" w:rsidRDefault="002817DC" w:rsidP="005D4D7D">
      <w:pPr>
        <w:numPr>
          <w:ilvl w:val="0"/>
          <w:numId w:val="16"/>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reasons for seeking it; and</w:t>
      </w:r>
    </w:p>
    <w:p w14:paraId="7F340940"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proofErr w:type="gramStart"/>
      <w:r w:rsidRPr="002817DC">
        <w:rPr>
          <w:rFonts w:ascii="Times New Roman" w:hAnsi="Times New Roman"/>
          <w:sz w:val="24"/>
          <w:szCs w:val="24"/>
        </w:rPr>
        <w:t>any</w:t>
      </w:r>
      <w:proofErr w:type="gramEnd"/>
      <w:r w:rsidRPr="002817DC">
        <w:rPr>
          <w:rFonts w:ascii="Times New Roman" w:hAnsi="Times New Roman"/>
          <w:sz w:val="24"/>
          <w:szCs w:val="24"/>
        </w:rPr>
        <w:t xml:space="preserve"> other information that the Minister, in writing, specifies must be included in the application.</w:t>
      </w:r>
    </w:p>
    <w:p w14:paraId="7F340941"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Minister may:</w:t>
      </w:r>
    </w:p>
    <w:p w14:paraId="7F340942"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waive a requirement for an operating body to provide particular information required by paragraph 3 where the Minister considers that the information is not necessary having regard to other information provided or the nature of the proposal; and</w:t>
      </w:r>
    </w:p>
    <w:p w14:paraId="7F340943" w14:textId="1696DA92"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proofErr w:type="gramStart"/>
      <w:r w:rsidRPr="002817DC">
        <w:rPr>
          <w:rFonts w:ascii="Times New Roman" w:hAnsi="Times New Roman"/>
          <w:sz w:val="24"/>
          <w:szCs w:val="24"/>
        </w:rPr>
        <w:t>allow</w:t>
      </w:r>
      <w:proofErr w:type="gramEnd"/>
      <w:r w:rsidRPr="002817DC">
        <w:rPr>
          <w:rFonts w:ascii="Times New Roman" w:hAnsi="Times New Roman"/>
          <w:sz w:val="24"/>
          <w:szCs w:val="24"/>
        </w:rPr>
        <w:t xml:space="preserve"> an operating body to supplement or vary information provided.</w:t>
      </w:r>
    </w:p>
    <w:p w14:paraId="7F340944" w14:textId="395F076A" w:rsidR="002817DC" w:rsidRPr="001508C1" w:rsidRDefault="002817DC" w:rsidP="002817DC">
      <w:pPr>
        <w:autoSpaceDE w:val="0"/>
        <w:autoSpaceDN w:val="0"/>
        <w:adjustRightInd w:val="0"/>
        <w:spacing w:before="120" w:after="240"/>
        <w:jc w:val="both"/>
        <w:rPr>
          <w:rFonts w:ascii="Arial" w:hAnsi="Arial" w:cs="Arial"/>
          <w:b/>
          <w:bCs/>
          <w:sz w:val="24"/>
          <w:szCs w:val="24"/>
        </w:rPr>
      </w:pPr>
      <w:r w:rsidRPr="001508C1">
        <w:rPr>
          <w:rFonts w:ascii="Arial" w:hAnsi="Arial" w:cs="Arial"/>
          <w:b/>
          <w:bCs/>
          <w:sz w:val="24"/>
          <w:szCs w:val="24"/>
        </w:rPr>
        <w:t>Form and content of application for amendment of an internal transfer certificate</w:t>
      </w:r>
    </w:p>
    <w:p w14:paraId="7F340945"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 xml:space="preserve">For the purposes of subsection 36P(4) of the Act, an application for amendment of an internal transfer certificate must </w:t>
      </w:r>
      <w:r w:rsidRPr="002817DC">
        <w:rPr>
          <w:rFonts w:ascii="Times New Roman" w:hAnsi="Times New Roman"/>
          <w:sz w:val="24"/>
          <w:szCs w:val="24"/>
        </w:rPr>
        <w:lastRenderedPageBreak/>
        <w:t xml:space="preserve">be in the form prescribed, and contain the information required, by paragraph 6, subject to paragraph 7. </w:t>
      </w:r>
    </w:p>
    <w:p w14:paraId="7F340946"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An application by an operating body for the amendment of an internal transfer certificate must be in writing, signed by the CEO of the operating body, and specify:</w:t>
      </w:r>
    </w:p>
    <w:p w14:paraId="7F340947"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requested change to be made to the internal transfer certificate; and</w:t>
      </w:r>
    </w:p>
    <w:p w14:paraId="7F340948"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names of all transferring and receiving bodies party to the amended certificate; and</w:t>
      </w:r>
    </w:p>
    <w:p w14:paraId="7F340949"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proposed date on which the transfers covered by the certificate are intended to take effect under the certificate as amended; and</w:t>
      </w:r>
    </w:p>
    <w:p w14:paraId="7F34094A"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impact, if any, of any delay on the nature and amount of assets or liabilities covered by the internal transfer certificate; and</w:t>
      </w:r>
    </w:p>
    <w:p w14:paraId="7F34094B"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the reasons for the change; and</w:t>
      </w:r>
    </w:p>
    <w:p w14:paraId="7F34094C"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proofErr w:type="gramStart"/>
      <w:r w:rsidRPr="002817DC">
        <w:rPr>
          <w:rFonts w:ascii="Times New Roman" w:hAnsi="Times New Roman"/>
          <w:sz w:val="24"/>
          <w:szCs w:val="24"/>
        </w:rPr>
        <w:t>any</w:t>
      </w:r>
      <w:proofErr w:type="gramEnd"/>
      <w:r w:rsidRPr="002817DC">
        <w:rPr>
          <w:rFonts w:ascii="Times New Roman" w:hAnsi="Times New Roman"/>
          <w:sz w:val="24"/>
          <w:szCs w:val="24"/>
        </w:rPr>
        <w:t xml:space="preserve"> other information that APRA, in writing, specifies must be included in the application.</w:t>
      </w:r>
    </w:p>
    <w:p w14:paraId="7F34094D"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lastRenderedPageBreak/>
        <w:t>APRA may, in writing:</w:t>
      </w:r>
    </w:p>
    <w:p w14:paraId="7F34094E"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waive a requirement for an operating body to provide particular information required under paragraph 6 where APRA considers that the information is not necessary having regard to other information provided or the nature of the proposal; and</w:t>
      </w:r>
    </w:p>
    <w:p w14:paraId="7F34094F" w14:textId="77777777" w:rsidR="002817DC" w:rsidRPr="002817DC" w:rsidRDefault="002817DC" w:rsidP="005D4D7D">
      <w:pPr>
        <w:numPr>
          <w:ilvl w:val="1"/>
          <w:numId w:val="11"/>
        </w:numPr>
        <w:autoSpaceDE w:val="0"/>
        <w:autoSpaceDN w:val="0"/>
        <w:adjustRightInd w:val="0"/>
        <w:spacing w:after="240" w:line="240" w:lineRule="auto"/>
        <w:jc w:val="both"/>
        <w:rPr>
          <w:rFonts w:ascii="Times New Roman" w:hAnsi="Times New Roman"/>
          <w:sz w:val="24"/>
          <w:szCs w:val="24"/>
        </w:rPr>
      </w:pPr>
      <w:proofErr w:type="gramStart"/>
      <w:r w:rsidRPr="002817DC">
        <w:rPr>
          <w:rFonts w:ascii="Times New Roman" w:hAnsi="Times New Roman"/>
          <w:sz w:val="24"/>
          <w:szCs w:val="24"/>
        </w:rPr>
        <w:t>allow</w:t>
      </w:r>
      <w:proofErr w:type="gramEnd"/>
      <w:r w:rsidRPr="002817DC">
        <w:rPr>
          <w:rFonts w:ascii="Times New Roman" w:hAnsi="Times New Roman"/>
          <w:sz w:val="24"/>
          <w:szCs w:val="24"/>
        </w:rPr>
        <w:t xml:space="preserve"> an operating body to supplement or vary information provided.</w:t>
      </w:r>
    </w:p>
    <w:p w14:paraId="7F340950" w14:textId="77777777" w:rsidR="002817DC" w:rsidRPr="001508C1" w:rsidRDefault="002817DC" w:rsidP="002817DC">
      <w:pPr>
        <w:autoSpaceDE w:val="0"/>
        <w:autoSpaceDN w:val="0"/>
        <w:adjustRightInd w:val="0"/>
        <w:spacing w:after="240"/>
        <w:jc w:val="both"/>
        <w:rPr>
          <w:rFonts w:ascii="Arial" w:hAnsi="Arial" w:cs="Arial"/>
          <w:b/>
          <w:bCs/>
          <w:sz w:val="24"/>
          <w:szCs w:val="24"/>
        </w:rPr>
      </w:pPr>
      <w:r w:rsidRPr="001508C1">
        <w:rPr>
          <w:rFonts w:ascii="Arial" w:hAnsi="Arial" w:cs="Arial"/>
          <w:b/>
          <w:bCs/>
          <w:sz w:val="24"/>
          <w:szCs w:val="24"/>
        </w:rPr>
        <w:t>Interpretation</w:t>
      </w:r>
    </w:p>
    <w:p w14:paraId="7F340951" w14:textId="77777777" w:rsidR="002817DC" w:rsidRPr="002817DC" w:rsidRDefault="002817DC" w:rsidP="005D4D7D">
      <w:pPr>
        <w:numPr>
          <w:ilvl w:val="0"/>
          <w:numId w:val="11"/>
        </w:numPr>
        <w:autoSpaceDE w:val="0"/>
        <w:autoSpaceDN w:val="0"/>
        <w:adjustRightInd w:val="0"/>
        <w:spacing w:after="240" w:line="240" w:lineRule="auto"/>
        <w:jc w:val="both"/>
        <w:rPr>
          <w:rFonts w:ascii="Times New Roman" w:hAnsi="Times New Roman"/>
          <w:sz w:val="24"/>
          <w:szCs w:val="24"/>
        </w:rPr>
      </w:pPr>
      <w:r w:rsidRPr="002817DC">
        <w:rPr>
          <w:rFonts w:ascii="Times New Roman" w:hAnsi="Times New Roman"/>
          <w:sz w:val="24"/>
          <w:szCs w:val="24"/>
        </w:rPr>
        <w:t>In these Transfer Rules:</w:t>
      </w:r>
    </w:p>
    <w:p w14:paraId="7F340952" w14:textId="77777777" w:rsidR="002817DC" w:rsidRPr="002817DC" w:rsidRDefault="002817DC" w:rsidP="002817DC">
      <w:pPr>
        <w:autoSpaceDE w:val="0"/>
        <w:autoSpaceDN w:val="0"/>
        <w:adjustRightInd w:val="0"/>
        <w:spacing w:after="240"/>
        <w:ind w:left="567"/>
        <w:jc w:val="both"/>
        <w:rPr>
          <w:rFonts w:ascii="Times New Roman" w:hAnsi="Times New Roman"/>
          <w:i/>
          <w:iCs/>
          <w:sz w:val="24"/>
          <w:szCs w:val="24"/>
        </w:rPr>
      </w:pPr>
      <w:r w:rsidRPr="002817DC">
        <w:rPr>
          <w:rFonts w:ascii="Times New Roman" w:hAnsi="Times New Roman"/>
          <w:b/>
          <w:bCs/>
          <w:i/>
          <w:iCs/>
          <w:sz w:val="24"/>
          <w:szCs w:val="24"/>
        </w:rPr>
        <w:t xml:space="preserve">ACN </w:t>
      </w:r>
      <w:r w:rsidRPr="002817DC">
        <w:rPr>
          <w:rFonts w:ascii="Times New Roman" w:hAnsi="Times New Roman"/>
          <w:sz w:val="24"/>
          <w:szCs w:val="24"/>
        </w:rPr>
        <w:t xml:space="preserve">has the meaning in section 9 of the </w:t>
      </w:r>
      <w:r w:rsidRPr="002817DC">
        <w:rPr>
          <w:rFonts w:ascii="Times New Roman" w:hAnsi="Times New Roman"/>
          <w:i/>
          <w:iCs/>
          <w:sz w:val="24"/>
          <w:szCs w:val="24"/>
        </w:rPr>
        <w:t>Corporations Act 2001.</w:t>
      </w:r>
    </w:p>
    <w:p w14:paraId="7F340953" w14:textId="77777777" w:rsidR="002817DC" w:rsidRPr="002817DC" w:rsidRDefault="002817DC" w:rsidP="002817DC">
      <w:pPr>
        <w:autoSpaceDE w:val="0"/>
        <w:autoSpaceDN w:val="0"/>
        <w:adjustRightInd w:val="0"/>
        <w:spacing w:after="240"/>
        <w:ind w:left="567"/>
        <w:jc w:val="both"/>
        <w:rPr>
          <w:rFonts w:ascii="Times New Roman" w:hAnsi="Times New Roman"/>
          <w:i/>
          <w:iCs/>
          <w:sz w:val="24"/>
          <w:szCs w:val="24"/>
        </w:rPr>
      </w:pPr>
      <w:r w:rsidRPr="002817DC">
        <w:rPr>
          <w:rFonts w:ascii="Times New Roman" w:hAnsi="Times New Roman"/>
          <w:b/>
          <w:bCs/>
          <w:i/>
          <w:iCs/>
          <w:sz w:val="24"/>
          <w:szCs w:val="24"/>
        </w:rPr>
        <w:t xml:space="preserve">ARBN </w:t>
      </w:r>
      <w:r w:rsidRPr="002817DC">
        <w:rPr>
          <w:rFonts w:ascii="Times New Roman" w:hAnsi="Times New Roman"/>
          <w:sz w:val="24"/>
          <w:szCs w:val="24"/>
        </w:rPr>
        <w:t xml:space="preserve">has the meaning in section 9 of the </w:t>
      </w:r>
      <w:r w:rsidRPr="002817DC">
        <w:rPr>
          <w:rFonts w:ascii="Times New Roman" w:hAnsi="Times New Roman"/>
          <w:i/>
          <w:iCs/>
          <w:sz w:val="24"/>
          <w:szCs w:val="24"/>
        </w:rPr>
        <w:t>Corporations Act 2001.</w:t>
      </w:r>
    </w:p>
    <w:p w14:paraId="7F340954" w14:textId="77777777" w:rsidR="002817DC" w:rsidRPr="002817DC" w:rsidRDefault="002817DC" w:rsidP="002817DC">
      <w:pPr>
        <w:autoSpaceDE w:val="0"/>
        <w:autoSpaceDN w:val="0"/>
        <w:adjustRightInd w:val="0"/>
        <w:spacing w:after="240"/>
        <w:ind w:left="567"/>
        <w:jc w:val="both"/>
        <w:rPr>
          <w:rFonts w:ascii="Times New Roman" w:hAnsi="Times New Roman"/>
          <w:sz w:val="24"/>
          <w:szCs w:val="24"/>
        </w:rPr>
      </w:pPr>
      <w:r w:rsidRPr="002817DC">
        <w:rPr>
          <w:rFonts w:ascii="Times New Roman" w:hAnsi="Times New Roman"/>
          <w:b/>
          <w:bCs/>
          <w:i/>
          <w:iCs/>
          <w:sz w:val="24"/>
          <w:szCs w:val="24"/>
        </w:rPr>
        <w:t xml:space="preserve">CEO </w:t>
      </w:r>
      <w:r w:rsidRPr="002817DC">
        <w:rPr>
          <w:rFonts w:ascii="Times New Roman" w:hAnsi="Times New Roman"/>
          <w:sz w:val="24"/>
          <w:szCs w:val="24"/>
        </w:rPr>
        <w:t xml:space="preserve">means the Chief Executive Officer of the operating body and, if the body does not have a person with the title of </w:t>
      </w:r>
      <w:r w:rsidRPr="002817DC">
        <w:rPr>
          <w:rFonts w:ascii="Times New Roman" w:hAnsi="Times New Roman"/>
          <w:sz w:val="24"/>
          <w:szCs w:val="24"/>
        </w:rPr>
        <w:lastRenderedPageBreak/>
        <w:t>CEO or Chief Executive Officer, means the most senior executive officer of the body for the time being, irrespective of his or her title, and whether or not he or she is a member of the governing body of the body.</w:t>
      </w:r>
    </w:p>
    <w:p w14:paraId="61F981D3" w14:textId="0DAC5177" w:rsidR="00422BFC" w:rsidRDefault="002817DC" w:rsidP="00A84D9F">
      <w:pPr>
        <w:tabs>
          <w:tab w:val="left" w:pos="1134"/>
          <w:tab w:val="left" w:pos="1418"/>
        </w:tabs>
        <w:autoSpaceDE w:val="0"/>
        <w:autoSpaceDN w:val="0"/>
        <w:adjustRightInd w:val="0"/>
        <w:spacing w:after="0"/>
        <w:ind w:left="567"/>
        <w:jc w:val="both"/>
        <w:rPr>
          <w:rFonts w:ascii="Times New Roman" w:hAnsi="Times New Roman"/>
          <w:sz w:val="24"/>
          <w:szCs w:val="24"/>
        </w:rPr>
      </w:pPr>
      <w:r w:rsidRPr="002817DC">
        <w:rPr>
          <w:rFonts w:ascii="Times New Roman" w:hAnsi="Times New Roman"/>
          <w:b/>
          <w:i/>
          <w:sz w:val="24"/>
          <w:szCs w:val="24"/>
        </w:rPr>
        <w:t>NOHC authorisation application</w:t>
      </w:r>
      <w:r w:rsidRPr="002817DC">
        <w:rPr>
          <w:rFonts w:ascii="Times New Roman" w:hAnsi="Times New Roman"/>
          <w:b/>
          <w:sz w:val="24"/>
          <w:szCs w:val="24"/>
        </w:rPr>
        <w:t xml:space="preserve"> </w:t>
      </w:r>
      <w:r w:rsidRPr="002817DC">
        <w:rPr>
          <w:rFonts w:ascii="Times New Roman" w:hAnsi="Times New Roman"/>
          <w:sz w:val="24"/>
          <w:szCs w:val="24"/>
        </w:rPr>
        <w:t>means an application by a body corporate to be</w:t>
      </w:r>
      <w:r w:rsidR="00D82CA9">
        <w:rPr>
          <w:rFonts w:ascii="Times New Roman" w:hAnsi="Times New Roman"/>
          <w:sz w:val="24"/>
          <w:szCs w:val="24"/>
        </w:rPr>
        <w:t>:</w:t>
      </w:r>
    </w:p>
    <w:p w14:paraId="157AA9D9" w14:textId="77777777" w:rsidR="00422BFC" w:rsidRDefault="00422BFC" w:rsidP="00A84D9F">
      <w:pPr>
        <w:pStyle w:val="ListParagraph"/>
        <w:numPr>
          <w:ilvl w:val="0"/>
          <w:numId w:val="17"/>
        </w:numPr>
        <w:autoSpaceDE w:val="0"/>
        <w:autoSpaceDN w:val="0"/>
        <w:adjustRightInd w:val="0"/>
        <w:spacing w:after="240"/>
        <w:ind w:left="1418" w:hanging="567"/>
        <w:jc w:val="both"/>
        <w:rPr>
          <w:rFonts w:ascii="Times New Roman" w:hAnsi="Times New Roman"/>
          <w:sz w:val="24"/>
          <w:szCs w:val="24"/>
        </w:rPr>
      </w:pPr>
      <w:r w:rsidRPr="00A84D9F">
        <w:rPr>
          <w:rFonts w:ascii="Times New Roman" w:hAnsi="Times New Roman"/>
          <w:sz w:val="24"/>
          <w:szCs w:val="24"/>
        </w:rPr>
        <w:t xml:space="preserve">an authorised NOHC within the meaning of the </w:t>
      </w:r>
      <w:r w:rsidRPr="00A84D9F">
        <w:rPr>
          <w:rFonts w:ascii="Times New Roman" w:hAnsi="Times New Roman"/>
          <w:i/>
          <w:sz w:val="24"/>
          <w:szCs w:val="24"/>
        </w:rPr>
        <w:t>Banking Act 1959</w:t>
      </w:r>
      <w:r>
        <w:rPr>
          <w:rFonts w:ascii="Times New Roman" w:hAnsi="Times New Roman"/>
          <w:sz w:val="24"/>
          <w:szCs w:val="24"/>
        </w:rPr>
        <w:t>;</w:t>
      </w:r>
    </w:p>
    <w:p w14:paraId="30685747" w14:textId="77777777" w:rsidR="000401CE" w:rsidRDefault="000401CE" w:rsidP="00A84D9F">
      <w:pPr>
        <w:pStyle w:val="ListParagraph"/>
        <w:numPr>
          <w:ilvl w:val="0"/>
          <w:numId w:val="17"/>
        </w:numPr>
        <w:autoSpaceDE w:val="0"/>
        <w:autoSpaceDN w:val="0"/>
        <w:adjustRightInd w:val="0"/>
        <w:spacing w:after="240"/>
        <w:ind w:left="1418" w:hanging="567"/>
        <w:jc w:val="both"/>
        <w:rPr>
          <w:rFonts w:ascii="Times New Roman" w:hAnsi="Times New Roman"/>
          <w:sz w:val="24"/>
          <w:szCs w:val="24"/>
        </w:rPr>
      </w:pPr>
      <w:r>
        <w:rPr>
          <w:rFonts w:ascii="Times New Roman" w:hAnsi="Times New Roman"/>
          <w:sz w:val="24"/>
          <w:szCs w:val="24"/>
        </w:rPr>
        <w:t xml:space="preserve">an authorised NOHC within the meaning of the </w:t>
      </w:r>
      <w:r w:rsidRPr="00A84D9F">
        <w:rPr>
          <w:rFonts w:ascii="Times New Roman" w:hAnsi="Times New Roman"/>
          <w:i/>
          <w:sz w:val="24"/>
          <w:szCs w:val="24"/>
        </w:rPr>
        <w:t>Insurance Act 1973</w:t>
      </w:r>
      <w:r>
        <w:rPr>
          <w:rFonts w:ascii="Times New Roman" w:hAnsi="Times New Roman"/>
          <w:sz w:val="24"/>
          <w:szCs w:val="24"/>
        </w:rPr>
        <w:t>; or</w:t>
      </w:r>
    </w:p>
    <w:p w14:paraId="4067A91F" w14:textId="624E1DFE" w:rsidR="0043290B" w:rsidRPr="00A84D9F" w:rsidRDefault="000401CE" w:rsidP="00A84D9F">
      <w:pPr>
        <w:pStyle w:val="ListParagraph"/>
        <w:numPr>
          <w:ilvl w:val="0"/>
          <w:numId w:val="17"/>
        </w:numPr>
        <w:autoSpaceDE w:val="0"/>
        <w:autoSpaceDN w:val="0"/>
        <w:adjustRightInd w:val="0"/>
        <w:spacing w:after="240"/>
        <w:ind w:left="1418" w:hanging="567"/>
        <w:jc w:val="both"/>
        <w:rPr>
          <w:rFonts w:ascii="Times New Roman" w:hAnsi="Times New Roman"/>
          <w:sz w:val="24"/>
          <w:szCs w:val="24"/>
        </w:rPr>
      </w:pPr>
      <w:proofErr w:type="gramStart"/>
      <w:r>
        <w:rPr>
          <w:rFonts w:ascii="Times New Roman" w:hAnsi="Times New Roman"/>
          <w:sz w:val="24"/>
          <w:szCs w:val="24"/>
        </w:rPr>
        <w:t>a</w:t>
      </w:r>
      <w:proofErr w:type="gramEnd"/>
      <w:r>
        <w:rPr>
          <w:rFonts w:ascii="Times New Roman" w:hAnsi="Times New Roman"/>
          <w:sz w:val="24"/>
          <w:szCs w:val="24"/>
        </w:rPr>
        <w:t xml:space="preserve"> registered NOHC within the meaning of the </w:t>
      </w:r>
      <w:r w:rsidRPr="00A84D9F">
        <w:rPr>
          <w:rFonts w:ascii="Times New Roman" w:hAnsi="Times New Roman"/>
          <w:i/>
          <w:sz w:val="24"/>
          <w:szCs w:val="24"/>
        </w:rPr>
        <w:t>Life Insurance Act 1995</w:t>
      </w:r>
      <w:r>
        <w:rPr>
          <w:rFonts w:ascii="Times New Roman" w:hAnsi="Times New Roman"/>
          <w:sz w:val="24"/>
          <w:szCs w:val="24"/>
        </w:rPr>
        <w:t>.</w:t>
      </w:r>
    </w:p>
    <w:p w14:paraId="7F340956" w14:textId="4FAAA6C5" w:rsidR="002817DC" w:rsidRPr="002817DC" w:rsidRDefault="002817DC" w:rsidP="002817DC">
      <w:pPr>
        <w:autoSpaceDE w:val="0"/>
        <w:autoSpaceDN w:val="0"/>
        <w:adjustRightInd w:val="0"/>
        <w:spacing w:after="240"/>
        <w:ind w:left="567"/>
        <w:jc w:val="both"/>
        <w:rPr>
          <w:rFonts w:ascii="Times New Roman" w:hAnsi="Times New Roman"/>
          <w:i/>
          <w:iCs/>
          <w:sz w:val="24"/>
          <w:szCs w:val="24"/>
        </w:rPr>
      </w:pPr>
    </w:p>
    <w:p w14:paraId="7F340957" w14:textId="77777777" w:rsidR="00EF5EE9" w:rsidRPr="002817DC" w:rsidRDefault="00EF5EE9" w:rsidP="00DC7EF3">
      <w:pPr>
        <w:rPr>
          <w:rFonts w:ascii="Times New Roman" w:hAnsi="Times New Roman"/>
          <w:sz w:val="24"/>
          <w:szCs w:val="24"/>
        </w:rPr>
      </w:pPr>
    </w:p>
    <w:sectPr w:rsidR="00EF5EE9" w:rsidRPr="002817DC" w:rsidSect="002817DC">
      <w:headerReference w:type="default" r:id="rId15"/>
      <w:footerReference w:type="default" r:id="rId16"/>
      <w:headerReference w:type="first" r:id="rId17"/>
      <w:pgSz w:w="11906" w:h="16838" w:code="9"/>
      <w:pgMar w:top="1440" w:right="1800" w:bottom="1440" w:left="180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4095E" w14:textId="77777777" w:rsidR="009F0027" w:rsidRDefault="009F0027" w:rsidP="007A463E">
      <w:pPr>
        <w:spacing w:after="0" w:line="240" w:lineRule="auto"/>
      </w:pPr>
      <w:r>
        <w:separator/>
      </w:r>
    </w:p>
    <w:p w14:paraId="7F34095F" w14:textId="77777777" w:rsidR="009F0027" w:rsidRDefault="009F0027"/>
  </w:endnote>
  <w:endnote w:type="continuationSeparator" w:id="0">
    <w:p w14:paraId="7F340960" w14:textId="77777777" w:rsidR="009F0027" w:rsidRDefault="009F0027" w:rsidP="007A463E">
      <w:pPr>
        <w:spacing w:after="0" w:line="240" w:lineRule="auto"/>
      </w:pPr>
      <w:r>
        <w:continuationSeparator/>
      </w:r>
    </w:p>
    <w:p w14:paraId="7F340961" w14:textId="77777777" w:rsidR="009F0027" w:rsidRDefault="009F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0964" w14:textId="77777777" w:rsidR="00665727" w:rsidRDefault="00665727">
    <w:pPr>
      <w:pStyle w:val="Footer"/>
    </w:pPr>
    <w:r w:rsidRPr="003C6CBE">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4095A" w14:textId="77777777" w:rsidR="009F0027" w:rsidRDefault="009F0027" w:rsidP="007A463E">
      <w:pPr>
        <w:spacing w:after="0" w:line="240" w:lineRule="auto"/>
      </w:pPr>
      <w:r>
        <w:separator/>
      </w:r>
    </w:p>
    <w:p w14:paraId="7F34095B" w14:textId="77777777" w:rsidR="009F0027" w:rsidRDefault="009F0027"/>
  </w:footnote>
  <w:footnote w:type="continuationSeparator" w:id="0">
    <w:p w14:paraId="7F34095C" w14:textId="77777777" w:rsidR="009F0027" w:rsidRDefault="009F0027" w:rsidP="007A463E">
      <w:pPr>
        <w:spacing w:after="0" w:line="240" w:lineRule="auto"/>
      </w:pPr>
      <w:r>
        <w:continuationSeparator/>
      </w:r>
    </w:p>
    <w:p w14:paraId="7F34095D" w14:textId="77777777" w:rsidR="009F0027" w:rsidRDefault="009F00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0963" w14:textId="77777777" w:rsidR="00665727" w:rsidRPr="00560FF9" w:rsidRDefault="00665727" w:rsidP="00560FF9">
    <w:pPr>
      <w:pStyle w:val="Header"/>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0965" w14:textId="77777777" w:rsidR="000F20CF" w:rsidRDefault="000F20CF" w:rsidP="000F20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1E1409B1"/>
    <w:multiLevelType w:val="multilevel"/>
    <w:tmpl w:val="0C09001F"/>
    <w:numStyleLink w:val="111111"/>
  </w:abstractNum>
  <w:abstractNum w:abstractNumId="6" w15:restartNumberingAfterBreak="0">
    <w:nsid w:val="23680FFB"/>
    <w:multiLevelType w:val="hybridMultilevel"/>
    <w:tmpl w:val="914EE0DE"/>
    <w:lvl w:ilvl="0" w:tplc="B468660C">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11FF8"/>
    <w:multiLevelType w:val="hybridMultilevel"/>
    <w:tmpl w:val="8A626B02"/>
    <w:lvl w:ilvl="0" w:tplc="B468660C">
      <w:start w:val="1"/>
      <w:numFmt w:val="lowerRoman"/>
      <w:lvlText w:val="(%1)"/>
      <w:lvlJc w:val="left"/>
      <w:pPr>
        <w:tabs>
          <w:tab w:val="num" w:pos="1701"/>
        </w:tabs>
        <w:ind w:left="1701" w:hanging="567"/>
      </w:pPr>
      <w:rPr>
        <w:rFonts w:hint="default"/>
      </w:rPr>
    </w:lvl>
    <w:lvl w:ilvl="1" w:tplc="A288D3C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5B05AA"/>
    <w:multiLevelType w:val="hybridMultilevel"/>
    <w:tmpl w:val="EEEA44F4"/>
    <w:lvl w:ilvl="0" w:tplc="B468660C">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46E7339"/>
    <w:multiLevelType w:val="hybridMultilevel"/>
    <w:tmpl w:val="02605B1A"/>
    <w:lvl w:ilvl="0" w:tplc="0E8EC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FB4E8F"/>
    <w:multiLevelType w:val="hybridMultilevel"/>
    <w:tmpl w:val="6EF061DE"/>
    <w:lvl w:ilvl="0" w:tplc="B02AB326">
      <w:start w:val="1"/>
      <w:numFmt w:val="decimal"/>
      <w:lvlText w:val="%1."/>
      <w:lvlJc w:val="left"/>
      <w:pPr>
        <w:tabs>
          <w:tab w:val="num" w:pos="567"/>
        </w:tabs>
        <w:ind w:left="567" w:hanging="567"/>
      </w:pPr>
      <w:rPr>
        <w:rFonts w:hint="default"/>
      </w:rPr>
    </w:lvl>
    <w:lvl w:ilvl="1" w:tplc="B0EE2CB2">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E210E48"/>
    <w:multiLevelType w:val="hybridMultilevel"/>
    <w:tmpl w:val="580C29B2"/>
    <w:lvl w:ilvl="0" w:tplc="B468660C">
      <w:start w:val="1"/>
      <w:numFmt w:val="lowerRoman"/>
      <w:lvlText w:val="(%1)"/>
      <w:lvlJc w:val="left"/>
      <w:pPr>
        <w:tabs>
          <w:tab w:val="num" w:pos="1701"/>
        </w:tabs>
        <w:ind w:left="1701" w:hanging="567"/>
      </w:pPr>
      <w:rPr>
        <w:rFonts w:hint="default"/>
      </w:rPr>
    </w:lvl>
    <w:lvl w:ilvl="1" w:tplc="0C090019">
      <w:start w:val="1"/>
      <w:numFmt w:val="lowerLetter"/>
      <w:lvlText w:val="%2."/>
      <w:lvlJc w:val="left"/>
      <w:pPr>
        <w:tabs>
          <w:tab w:val="num" w:pos="1440"/>
        </w:tabs>
        <w:ind w:left="1440" w:hanging="360"/>
      </w:pPr>
    </w:lvl>
    <w:lvl w:ilvl="2" w:tplc="86468A6A">
      <w:start w:val="1"/>
      <w:numFmt w:val="upperLetter"/>
      <w:lvlText w:val="(%3)"/>
      <w:lvlJc w:val="left"/>
      <w:pPr>
        <w:tabs>
          <w:tab w:val="num" w:pos="2268"/>
        </w:tabs>
        <w:ind w:left="2268"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3315454"/>
    <w:multiLevelType w:val="hybridMultilevel"/>
    <w:tmpl w:val="80F01858"/>
    <w:lvl w:ilvl="0" w:tplc="B7667914">
      <w:start w:val="1"/>
      <w:numFmt w:val="lowerRoman"/>
      <w:lvlText w:val="(%1)"/>
      <w:lvlJc w:val="left"/>
      <w:pPr>
        <w:ind w:left="1857" w:hanging="72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5"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5AE6F21"/>
    <w:multiLevelType w:val="hybridMultilevel"/>
    <w:tmpl w:val="3B06CA7C"/>
    <w:lvl w:ilvl="0" w:tplc="B468660C">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3"/>
  </w:num>
  <w:num w:numId="4">
    <w:abstractNumId w:val="2"/>
  </w:num>
  <w:num w:numId="5">
    <w:abstractNumId w:val="1"/>
  </w:num>
  <w:num w:numId="6">
    <w:abstractNumId w:val="0"/>
  </w:num>
  <w:num w:numId="7">
    <w:abstractNumId w:val="7"/>
  </w:num>
  <w:num w:numId="8">
    <w:abstractNumId w:val="5"/>
  </w:num>
  <w:num w:numId="9">
    <w:abstractNumId w:val="9"/>
  </w:num>
  <w:num w:numId="10">
    <w:abstractNumId w:val="11"/>
  </w:num>
  <w:num w:numId="11">
    <w:abstractNumId w:val="12"/>
  </w:num>
  <w:num w:numId="12">
    <w:abstractNumId w:val="10"/>
  </w:num>
  <w:num w:numId="13">
    <w:abstractNumId w:val="13"/>
  </w:num>
  <w:num w:numId="14">
    <w:abstractNumId w:val="16"/>
  </w:num>
  <w:num w:numId="15">
    <w:abstractNumId w:val="6"/>
  </w:num>
  <w:num w:numId="16">
    <w:abstractNumId w:val="8"/>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A47"/>
    <w:rsid w:val="0000042F"/>
    <w:rsid w:val="00003065"/>
    <w:rsid w:val="00010C10"/>
    <w:rsid w:val="00011B0A"/>
    <w:rsid w:val="000268AC"/>
    <w:rsid w:val="000401CE"/>
    <w:rsid w:val="00043BD6"/>
    <w:rsid w:val="00051114"/>
    <w:rsid w:val="00053F0B"/>
    <w:rsid w:val="00063BDC"/>
    <w:rsid w:val="000935B3"/>
    <w:rsid w:val="000A1A18"/>
    <w:rsid w:val="000C170D"/>
    <w:rsid w:val="000D2D92"/>
    <w:rsid w:val="000F20CF"/>
    <w:rsid w:val="001033F1"/>
    <w:rsid w:val="00127C87"/>
    <w:rsid w:val="001502F1"/>
    <w:rsid w:val="001508C1"/>
    <w:rsid w:val="001609E9"/>
    <w:rsid w:val="001A23FF"/>
    <w:rsid w:val="001B716C"/>
    <w:rsid w:val="001D3046"/>
    <w:rsid w:val="001D4A16"/>
    <w:rsid w:val="001D505A"/>
    <w:rsid w:val="001E00D2"/>
    <w:rsid w:val="001E39F3"/>
    <w:rsid w:val="0021143E"/>
    <w:rsid w:val="002403C8"/>
    <w:rsid w:val="00245AF2"/>
    <w:rsid w:val="00257E33"/>
    <w:rsid w:val="0026542C"/>
    <w:rsid w:val="00267EBC"/>
    <w:rsid w:val="002767C9"/>
    <w:rsid w:val="002817DC"/>
    <w:rsid w:val="002B0B89"/>
    <w:rsid w:val="002B6F5E"/>
    <w:rsid w:val="002D0A47"/>
    <w:rsid w:val="002F5035"/>
    <w:rsid w:val="00344244"/>
    <w:rsid w:val="00353DE2"/>
    <w:rsid w:val="00367A5D"/>
    <w:rsid w:val="003707EE"/>
    <w:rsid w:val="00373B0D"/>
    <w:rsid w:val="003C6CBE"/>
    <w:rsid w:val="003D6738"/>
    <w:rsid w:val="003D685C"/>
    <w:rsid w:val="003F170F"/>
    <w:rsid w:val="00422BFC"/>
    <w:rsid w:val="0043290B"/>
    <w:rsid w:val="0043440F"/>
    <w:rsid w:val="00444BF0"/>
    <w:rsid w:val="00452DA7"/>
    <w:rsid w:val="0047528E"/>
    <w:rsid w:val="004A5B6C"/>
    <w:rsid w:val="004C2EC4"/>
    <w:rsid w:val="004D7117"/>
    <w:rsid w:val="005058BD"/>
    <w:rsid w:val="005320B4"/>
    <w:rsid w:val="00546FDF"/>
    <w:rsid w:val="00547263"/>
    <w:rsid w:val="00560FF9"/>
    <w:rsid w:val="00565353"/>
    <w:rsid w:val="00597E59"/>
    <w:rsid w:val="005B1AC3"/>
    <w:rsid w:val="005C370E"/>
    <w:rsid w:val="005D4D7D"/>
    <w:rsid w:val="00600521"/>
    <w:rsid w:val="00606F5A"/>
    <w:rsid w:val="0060742D"/>
    <w:rsid w:val="006128BA"/>
    <w:rsid w:val="00617B10"/>
    <w:rsid w:val="006339F0"/>
    <w:rsid w:val="006352A2"/>
    <w:rsid w:val="00643A21"/>
    <w:rsid w:val="00646C7A"/>
    <w:rsid w:val="00665727"/>
    <w:rsid w:val="00665ADF"/>
    <w:rsid w:val="00676372"/>
    <w:rsid w:val="00677A36"/>
    <w:rsid w:val="006A5169"/>
    <w:rsid w:val="006C1429"/>
    <w:rsid w:val="006E4003"/>
    <w:rsid w:val="007236E2"/>
    <w:rsid w:val="007253A2"/>
    <w:rsid w:val="00731F7E"/>
    <w:rsid w:val="007403DD"/>
    <w:rsid w:val="0074761E"/>
    <w:rsid w:val="00757B35"/>
    <w:rsid w:val="00781FF4"/>
    <w:rsid w:val="00786B63"/>
    <w:rsid w:val="007A463E"/>
    <w:rsid w:val="00816255"/>
    <w:rsid w:val="008204C0"/>
    <w:rsid w:val="00847942"/>
    <w:rsid w:val="00847D13"/>
    <w:rsid w:val="00857706"/>
    <w:rsid w:val="008602F8"/>
    <w:rsid w:val="00870FFC"/>
    <w:rsid w:val="00872E1D"/>
    <w:rsid w:val="00876926"/>
    <w:rsid w:val="00897E20"/>
    <w:rsid w:val="008E04FF"/>
    <w:rsid w:val="00917EFE"/>
    <w:rsid w:val="009202E4"/>
    <w:rsid w:val="00921341"/>
    <w:rsid w:val="0092635A"/>
    <w:rsid w:val="00967A88"/>
    <w:rsid w:val="00970A4C"/>
    <w:rsid w:val="0098213D"/>
    <w:rsid w:val="00983285"/>
    <w:rsid w:val="009B0F0C"/>
    <w:rsid w:val="009B7656"/>
    <w:rsid w:val="009F0027"/>
    <w:rsid w:val="009F1036"/>
    <w:rsid w:val="00A00652"/>
    <w:rsid w:val="00A06EE8"/>
    <w:rsid w:val="00A17687"/>
    <w:rsid w:val="00A21640"/>
    <w:rsid w:val="00A30827"/>
    <w:rsid w:val="00A37017"/>
    <w:rsid w:val="00A83071"/>
    <w:rsid w:val="00A84D9F"/>
    <w:rsid w:val="00AA304C"/>
    <w:rsid w:val="00B21A37"/>
    <w:rsid w:val="00B75B3E"/>
    <w:rsid w:val="00B83290"/>
    <w:rsid w:val="00B86EF7"/>
    <w:rsid w:val="00B87DF7"/>
    <w:rsid w:val="00B924FB"/>
    <w:rsid w:val="00BC3EA2"/>
    <w:rsid w:val="00C26E52"/>
    <w:rsid w:val="00C56BCD"/>
    <w:rsid w:val="00C614C0"/>
    <w:rsid w:val="00C922D4"/>
    <w:rsid w:val="00CC05EA"/>
    <w:rsid w:val="00CF1FC4"/>
    <w:rsid w:val="00CF5DA5"/>
    <w:rsid w:val="00CF663D"/>
    <w:rsid w:val="00D02242"/>
    <w:rsid w:val="00D14049"/>
    <w:rsid w:val="00D82CA9"/>
    <w:rsid w:val="00D95999"/>
    <w:rsid w:val="00DC044A"/>
    <w:rsid w:val="00DC7EF3"/>
    <w:rsid w:val="00E1430F"/>
    <w:rsid w:val="00E145E8"/>
    <w:rsid w:val="00E32CE9"/>
    <w:rsid w:val="00E36C9E"/>
    <w:rsid w:val="00E55A7E"/>
    <w:rsid w:val="00E63012"/>
    <w:rsid w:val="00E656B4"/>
    <w:rsid w:val="00E6791A"/>
    <w:rsid w:val="00E83D82"/>
    <w:rsid w:val="00E96618"/>
    <w:rsid w:val="00ED3926"/>
    <w:rsid w:val="00EF2B78"/>
    <w:rsid w:val="00EF496F"/>
    <w:rsid w:val="00EF5EE9"/>
    <w:rsid w:val="00F53740"/>
    <w:rsid w:val="00F77F5D"/>
    <w:rsid w:val="00F865EB"/>
    <w:rsid w:val="00F9338C"/>
    <w:rsid w:val="00FA1307"/>
    <w:rsid w:val="00FA2F99"/>
    <w:rsid w:val="00FE308F"/>
    <w:rsid w:val="00FE7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3408FE"/>
  <w15:docId w15:val="{9B8E05BE-87C8-4B7B-9166-FA731502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EF3"/>
  </w:style>
  <w:style w:type="paragraph" w:styleId="Heading1">
    <w:name w:val="heading 1"/>
    <w:next w:val="Normal"/>
    <w:link w:val="Heading1Char"/>
    <w:uiPriority w:val="9"/>
    <w:qFormat/>
    <w:rsid w:val="00DC7EF3"/>
    <w:pPr>
      <w:keepNext/>
      <w:keepLines/>
      <w:spacing w:before="480" w:after="600" w:line="360" w:lineRule="auto"/>
      <w:contextualSpacing/>
      <w:outlineLvl w:val="0"/>
    </w:pPr>
    <w:rPr>
      <w:rFonts w:eastAsiaTheme="majorEastAsia" w:cstheme="majorBidi"/>
      <w:b/>
      <w:bCs/>
      <w:kern w:val="28"/>
      <w:sz w:val="56"/>
      <w:szCs w:val="32"/>
    </w:rPr>
  </w:style>
  <w:style w:type="paragraph" w:styleId="Heading2">
    <w:name w:val="heading 2"/>
    <w:basedOn w:val="Heading1"/>
    <w:next w:val="Normal"/>
    <w:link w:val="Heading2Char"/>
    <w:uiPriority w:val="9"/>
    <w:unhideWhenUsed/>
    <w:qFormat/>
    <w:rsid w:val="00444BF0"/>
    <w:pPr>
      <w:spacing w:before="240" w:after="360"/>
      <w:outlineLvl w:val="1"/>
    </w:pPr>
    <w:rPr>
      <w:bCs w:val="0"/>
      <w:sz w:val="36"/>
      <w:szCs w:val="26"/>
    </w:rPr>
  </w:style>
  <w:style w:type="paragraph" w:styleId="Heading3">
    <w:name w:val="heading 3"/>
    <w:basedOn w:val="Heading2"/>
    <w:next w:val="Normal"/>
    <w:link w:val="Heading3Char"/>
    <w:uiPriority w:val="9"/>
    <w:unhideWhenUsed/>
    <w:qFormat/>
    <w:rsid w:val="00444BF0"/>
    <w:pPr>
      <w:spacing w:after="240"/>
      <w:outlineLvl w:val="2"/>
    </w:pPr>
    <w:rPr>
      <w:bCs/>
      <w:sz w:val="32"/>
    </w:rPr>
  </w:style>
  <w:style w:type="paragraph" w:styleId="Heading4">
    <w:name w:val="heading 4"/>
    <w:basedOn w:val="Heading3"/>
    <w:next w:val="Normal"/>
    <w:link w:val="Heading4Char"/>
    <w:uiPriority w:val="9"/>
    <w:unhideWhenUsed/>
    <w:qFormat/>
    <w:rsid w:val="00444BF0"/>
    <w:pPr>
      <w:spacing w:before="200" w:after="200"/>
      <w:outlineLvl w:val="3"/>
    </w:pPr>
    <w:rPr>
      <w:bCs w:val="0"/>
      <w:iCs/>
      <w:sz w:val="28"/>
    </w:rPr>
  </w:style>
  <w:style w:type="paragraph" w:styleId="Heading5">
    <w:name w:val="heading 5"/>
    <w:basedOn w:val="Heading4"/>
    <w:next w:val="Normal"/>
    <w:link w:val="Heading5Char"/>
    <w:uiPriority w:val="9"/>
    <w:unhideWhenUsed/>
    <w:qFormat/>
    <w:rsid w:val="00444BF0"/>
    <w:pPr>
      <w:spacing w:before="120"/>
      <w:outlineLvl w:val="4"/>
    </w:pPr>
    <w:rPr>
      <w:sz w:val="24"/>
    </w:rPr>
  </w:style>
  <w:style w:type="paragraph" w:styleId="Heading6">
    <w:name w:val="heading 6"/>
    <w:basedOn w:val="Heading5"/>
    <w:next w:val="Normal"/>
    <w:link w:val="Heading6Char"/>
    <w:uiPriority w:val="9"/>
    <w:unhideWhenUsed/>
    <w:qFormat/>
    <w:rsid w:val="00677A36"/>
    <w:pPr>
      <w:outlineLvl w:val="5"/>
    </w:pPr>
    <w:rPr>
      <w:b w:val="0"/>
      <w:i/>
    </w:rPr>
  </w:style>
  <w:style w:type="paragraph" w:styleId="Heading7">
    <w:name w:val="heading 7"/>
    <w:basedOn w:val="Heading6"/>
    <w:next w:val="Normal"/>
    <w:link w:val="Heading7Char"/>
    <w:uiPriority w:val="9"/>
    <w:semiHidden/>
    <w:unhideWhenUsed/>
    <w:rsid w:val="00444BF0"/>
    <w:pPr>
      <w:spacing w:before="200" w:after="120" w:line="288" w:lineRule="auto"/>
      <w:contextualSpacing w:val="0"/>
      <w:outlineLvl w:val="6"/>
    </w:pPr>
    <w:rPr>
      <w:b/>
      <w:i w:val="0"/>
      <w:color w:val="404040"/>
      <w:kern w:val="0"/>
      <w:sz w:val="22"/>
      <w:szCs w:val="22"/>
    </w:rPr>
  </w:style>
  <w:style w:type="paragraph" w:styleId="Heading8">
    <w:name w:val="heading 8"/>
    <w:basedOn w:val="Normal"/>
    <w:next w:val="Normal"/>
    <w:link w:val="Heading8Char"/>
    <w:uiPriority w:val="9"/>
    <w:semiHidden/>
    <w:unhideWhenUsed/>
    <w:qFormat/>
    <w:rsid w:val="00677A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7A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A36"/>
    <w:pPr>
      <w:spacing w:line="240" w:lineRule="auto"/>
    </w:pPr>
  </w:style>
  <w:style w:type="character" w:customStyle="1" w:styleId="Heading1Char">
    <w:name w:val="Heading 1 Char"/>
    <w:link w:val="Heading1"/>
    <w:uiPriority w:val="9"/>
    <w:rsid w:val="00DC7EF3"/>
    <w:rPr>
      <w:rFonts w:eastAsiaTheme="majorEastAsia" w:cstheme="majorBidi"/>
      <w:b/>
      <w:bCs/>
      <w:kern w:val="28"/>
      <w:sz w:val="56"/>
      <w:szCs w:val="32"/>
    </w:rPr>
  </w:style>
  <w:style w:type="character" w:customStyle="1" w:styleId="Heading2Char">
    <w:name w:val="Heading 2 Char"/>
    <w:link w:val="Heading2"/>
    <w:uiPriority w:val="9"/>
    <w:rsid w:val="00444BF0"/>
    <w:rPr>
      <w:rFonts w:eastAsiaTheme="majorEastAsia" w:cstheme="majorBidi"/>
      <w:b/>
      <w:kern w:val="28"/>
      <w:sz w:val="36"/>
      <w:szCs w:val="26"/>
    </w:rPr>
  </w:style>
  <w:style w:type="character" w:customStyle="1" w:styleId="Heading4Char">
    <w:name w:val="Heading 4 Char"/>
    <w:link w:val="Heading4"/>
    <w:uiPriority w:val="9"/>
    <w:rsid w:val="00444BF0"/>
    <w:rPr>
      <w:rFonts w:eastAsiaTheme="majorEastAsia" w:cstheme="majorBidi"/>
      <w:iCs/>
      <w:kern w:val="28"/>
      <w:sz w:val="28"/>
      <w:szCs w:val="26"/>
    </w:rPr>
  </w:style>
  <w:style w:type="paragraph" w:customStyle="1" w:styleId="Bullet">
    <w:name w:val="Bullet"/>
    <w:basedOn w:val="Normal"/>
    <w:link w:val="BulletChar"/>
    <w:rsid w:val="006E4003"/>
    <w:pPr>
      <w:numPr>
        <w:numId w:val="1"/>
      </w:numPr>
      <w:tabs>
        <w:tab w:val="left" w:pos="1935"/>
      </w:tabs>
      <w:spacing w:before="120" w:line="240" w:lineRule="auto"/>
    </w:pPr>
    <w:rPr>
      <w:sz w:val="24"/>
    </w:rPr>
  </w:style>
  <w:style w:type="character" w:customStyle="1" w:styleId="BulletChar">
    <w:name w:val="Bullet Char"/>
    <w:link w:val="Bullet"/>
    <w:rsid w:val="006E4003"/>
    <w:rPr>
      <w:sz w:val="24"/>
    </w:rPr>
  </w:style>
  <w:style w:type="paragraph" w:customStyle="1" w:styleId="Nonchapterheading">
    <w:name w:val="Non chapter heading"/>
    <w:basedOn w:val="Heading5"/>
    <w:link w:val="NonchapterheadingChar"/>
    <w:rsid w:val="006E4003"/>
    <w:pPr>
      <w:spacing w:after="120" w:line="288" w:lineRule="auto"/>
      <w:ind w:left="360" w:hanging="360"/>
    </w:pPr>
    <w:rPr>
      <w:rFonts w:eastAsia="Times New Roman" w:cs="Times New Roman"/>
      <w:iCs w:val="0"/>
      <w:kern w:val="0"/>
      <w:szCs w:val="22"/>
    </w:rPr>
  </w:style>
  <w:style w:type="character" w:customStyle="1" w:styleId="NonchapterheadingChar">
    <w:name w:val="Non chapter heading Char"/>
    <w:basedOn w:val="Heading5Char"/>
    <w:link w:val="Nonchapterheading"/>
    <w:rsid w:val="006E4003"/>
    <w:rPr>
      <w:rFonts w:eastAsia="Times New Roman" w:cs="Times New Roman"/>
      <w:b/>
      <w:iCs/>
      <w:kern w:val="28"/>
      <w:sz w:val="24"/>
      <w:szCs w:val="26"/>
    </w:rPr>
  </w:style>
  <w:style w:type="character" w:customStyle="1" w:styleId="Heading5Char">
    <w:name w:val="Heading 5 Char"/>
    <w:link w:val="Heading5"/>
    <w:uiPriority w:val="9"/>
    <w:rsid w:val="00444BF0"/>
    <w:rPr>
      <w:rFonts w:eastAsiaTheme="majorEastAsia" w:cstheme="majorBidi"/>
      <w:b/>
      <w:iCs/>
      <w:kern w:val="28"/>
      <w:sz w:val="24"/>
      <w:szCs w:val="26"/>
    </w:rPr>
  </w:style>
  <w:style w:type="paragraph" w:customStyle="1" w:styleId="Non-numberedchapterheading">
    <w:name w:val="Non-numbered chapter heading"/>
    <w:basedOn w:val="Heading5"/>
    <w:link w:val="Non-numberedchapterheadingChar"/>
    <w:rsid w:val="006E4003"/>
    <w:pPr>
      <w:spacing w:after="120" w:line="288" w:lineRule="auto"/>
      <w:ind w:left="360" w:hanging="360"/>
    </w:pPr>
    <w:rPr>
      <w:rFonts w:eastAsia="Times New Roman" w:cs="Times New Roman"/>
      <w:iCs w:val="0"/>
      <w:kern w:val="0"/>
      <w:szCs w:val="22"/>
    </w:rPr>
  </w:style>
  <w:style w:type="character" w:customStyle="1" w:styleId="Non-numberedchapterheadingChar">
    <w:name w:val="Non-numbered chapter heading Char"/>
    <w:basedOn w:val="Heading5Char"/>
    <w:link w:val="Non-numberedchapterheading"/>
    <w:rsid w:val="006E4003"/>
    <w:rPr>
      <w:rFonts w:eastAsia="Times New Roman" w:cs="Times New Roman"/>
      <w:b/>
      <w:iCs/>
      <w:kern w:val="28"/>
      <w:sz w:val="24"/>
      <w:szCs w:val="26"/>
    </w:rPr>
  </w:style>
  <w:style w:type="character" w:customStyle="1" w:styleId="Heading3Char">
    <w:name w:val="Heading 3 Char"/>
    <w:link w:val="Heading3"/>
    <w:uiPriority w:val="9"/>
    <w:rsid w:val="00444BF0"/>
    <w:rPr>
      <w:rFonts w:eastAsiaTheme="majorEastAsia" w:cstheme="majorBidi"/>
      <w:bCs/>
      <w:kern w:val="28"/>
      <w:sz w:val="32"/>
      <w:szCs w:val="26"/>
    </w:rPr>
  </w:style>
  <w:style w:type="character" w:customStyle="1" w:styleId="Heading6Char">
    <w:name w:val="Heading 6 Char"/>
    <w:link w:val="Heading6"/>
    <w:uiPriority w:val="9"/>
    <w:rsid w:val="003D6738"/>
    <w:rPr>
      <w:rFonts w:eastAsiaTheme="majorEastAsia" w:cstheme="majorBidi"/>
      <w:i/>
      <w:iCs/>
      <w:kern w:val="28"/>
      <w:sz w:val="24"/>
      <w:szCs w:val="26"/>
    </w:rPr>
  </w:style>
  <w:style w:type="character" w:customStyle="1" w:styleId="Heading7Char">
    <w:name w:val="Heading 7 Char"/>
    <w:link w:val="Heading7"/>
    <w:uiPriority w:val="9"/>
    <w:semiHidden/>
    <w:rsid w:val="00444BF0"/>
    <w:rPr>
      <w:rFonts w:eastAsiaTheme="majorEastAsia" w:cstheme="majorBidi"/>
      <w:b/>
      <w:iCs/>
      <w:color w:val="404040"/>
    </w:rPr>
  </w:style>
  <w:style w:type="paragraph" w:styleId="TOC1">
    <w:name w:val="toc 1"/>
    <w:basedOn w:val="Normal"/>
    <w:next w:val="Normal"/>
    <w:autoRedefine/>
    <w:uiPriority w:val="39"/>
    <w:unhideWhenUsed/>
    <w:rsid w:val="006E4003"/>
    <w:pPr>
      <w:tabs>
        <w:tab w:val="right" w:leader="dot" w:pos="9016"/>
      </w:tabs>
    </w:pPr>
    <w:rPr>
      <w:b/>
      <w:noProof/>
    </w:rPr>
  </w:style>
  <w:style w:type="paragraph" w:styleId="TOC2">
    <w:name w:val="toc 2"/>
    <w:basedOn w:val="Normal"/>
    <w:next w:val="Normal"/>
    <w:autoRedefine/>
    <w:uiPriority w:val="39"/>
    <w:unhideWhenUsed/>
    <w:rsid w:val="002F5035"/>
    <w:pPr>
      <w:ind w:left="220"/>
    </w:pPr>
    <w:rPr>
      <w:b/>
    </w:rPr>
  </w:style>
  <w:style w:type="paragraph" w:styleId="TOC3">
    <w:name w:val="toc 3"/>
    <w:basedOn w:val="Normal"/>
    <w:next w:val="Normal"/>
    <w:autoRedefine/>
    <w:uiPriority w:val="39"/>
    <w:unhideWhenUsed/>
    <w:rsid w:val="006E4003"/>
    <w:pPr>
      <w:ind w:left="440"/>
    </w:pPr>
  </w:style>
  <w:style w:type="paragraph" w:styleId="TOC4">
    <w:name w:val="toc 4"/>
    <w:basedOn w:val="Normal"/>
    <w:next w:val="Normal"/>
    <w:autoRedefine/>
    <w:uiPriority w:val="39"/>
    <w:unhideWhenUsed/>
    <w:rsid w:val="006E4003"/>
    <w:pPr>
      <w:ind w:left="660"/>
    </w:pPr>
  </w:style>
  <w:style w:type="paragraph" w:styleId="FootnoteText">
    <w:name w:val="footnote text"/>
    <w:basedOn w:val="Normal"/>
    <w:link w:val="FootnoteTextChar"/>
    <w:uiPriority w:val="99"/>
    <w:unhideWhenUsed/>
    <w:rsid w:val="006E4003"/>
    <w:pPr>
      <w:spacing w:line="240" w:lineRule="auto"/>
    </w:pPr>
    <w:rPr>
      <w:sz w:val="18"/>
    </w:rPr>
  </w:style>
  <w:style w:type="character" w:customStyle="1" w:styleId="FootnoteTextChar">
    <w:name w:val="Footnote Text Char"/>
    <w:link w:val="FootnoteText"/>
    <w:uiPriority w:val="99"/>
    <w:rsid w:val="006E4003"/>
    <w:rPr>
      <w:rFonts w:ascii="Trebuchet MS" w:eastAsia="Times New Roman" w:hAnsi="Trebuchet MS" w:cs="Times New Roman"/>
      <w:sz w:val="18"/>
      <w:lang w:eastAsia="en-AU"/>
    </w:rPr>
  </w:style>
  <w:style w:type="paragraph" w:styleId="Header">
    <w:name w:val="header"/>
    <w:basedOn w:val="Normal"/>
    <w:link w:val="HeaderChar"/>
    <w:unhideWhenUsed/>
    <w:rsid w:val="006E4003"/>
    <w:pPr>
      <w:tabs>
        <w:tab w:val="center" w:pos="4513"/>
        <w:tab w:val="right" w:pos="9026"/>
      </w:tabs>
    </w:pPr>
  </w:style>
  <w:style w:type="character" w:customStyle="1" w:styleId="HeaderChar">
    <w:name w:val="Header Char"/>
    <w:link w:val="Header"/>
    <w:rsid w:val="006E4003"/>
    <w:rPr>
      <w:rFonts w:ascii="Trebuchet MS" w:eastAsia="Times New Roman" w:hAnsi="Trebuchet MS" w:cs="Times New Roman"/>
      <w:lang w:eastAsia="en-AU"/>
    </w:rPr>
  </w:style>
  <w:style w:type="paragraph" w:styleId="Footer">
    <w:name w:val="footer"/>
    <w:basedOn w:val="Normal"/>
    <w:link w:val="FooterChar"/>
    <w:uiPriority w:val="99"/>
    <w:unhideWhenUsed/>
    <w:rsid w:val="0021143E"/>
    <w:pPr>
      <w:tabs>
        <w:tab w:val="center" w:pos="4513"/>
        <w:tab w:val="right" w:pos="9026"/>
      </w:tabs>
      <w:spacing w:before="120" w:line="240" w:lineRule="auto"/>
      <w:jc w:val="right"/>
    </w:pPr>
    <w:rPr>
      <w:sz w:val="18"/>
    </w:rPr>
  </w:style>
  <w:style w:type="character" w:customStyle="1" w:styleId="FooterChar">
    <w:name w:val="Footer Char"/>
    <w:link w:val="Footer"/>
    <w:uiPriority w:val="99"/>
    <w:rsid w:val="0021143E"/>
    <w:rPr>
      <w:rFonts w:asciiTheme="minorHAnsi" w:hAnsiTheme="minorHAnsi"/>
      <w:sz w:val="18"/>
    </w:rPr>
  </w:style>
  <w:style w:type="character" w:styleId="FootnoteReference">
    <w:name w:val="footnote reference"/>
    <w:uiPriority w:val="99"/>
    <w:unhideWhenUsed/>
    <w:rsid w:val="006E4003"/>
    <w:rPr>
      <w:rFonts w:ascii="Trebuchet MS" w:hAnsi="Trebuchet MS"/>
      <w:i w:val="0"/>
      <w:color w:val="595959" w:themeColor="text1" w:themeTint="A6"/>
      <w:sz w:val="18"/>
      <w:vertAlign w:val="superscript"/>
    </w:rPr>
  </w:style>
  <w:style w:type="paragraph" w:styleId="Subtitle">
    <w:name w:val="Subtitle"/>
    <w:basedOn w:val="Normal"/>
    <w:next w:val="Normal"/>
    <w:link w:val="SubtitleChar"/>
    <w:uiPriority w:val="11"/>
    <w:qFormat/>
    <w:rsid w:val="00677A36"/>
    <w:pPr>
      <w:numPr>
        <w:ilvl w:val="1"/>
      </w:numPr>
    </w:pPr>
    <w:rPr>
      <w:rFonts w:eastAsiaTheme="majorEastAsia" w:cstheme="majorBidi"/>
      <w:i/>
      <w:iCs/>
      <w:spacing w:val="15"/>
      <w:szCs w:val="24"/>
    </w:rPr>
  </w:style>
  <w:style w:type="character" w:customStyle="1" w:styleId="SubtitleChar">
    <w:name w:val="Subtitle Char"/>
    <w:link w:val="Subtitle"/>
    <w:uiPriority w:val="11"/>
    <w:rsid w:val="00677A36"/>
    <w:rPr>
      <w:rFonts w:eastAsiaTheme="majorEastAsia" w:cstheme="majorBidi"/>
      <w:i/>
      <w:iCs/>
      <w:spacing w:val="15"/>
      <w:szCs w:val="24"/>
    </w:rPr>
  </w:style>
  <w:style w:type="character" w:styleId="Hyperlink">
    <w:name w:val="Hyperlink"/>
    <w:uiPriority w:val="99"/>
    <w:rsid w:val="006E4003"/>
    <w:rPr>
      <w:rFonts w:ascii="Trebuchet MS" w:hAnsi="Trebuchet MS"/>
      <w:color w:val="0000FF"/>
      <w:sz w:val="22"/>
      <w:u w:val="single"/>
    </w:rPr>
  </w:style>
  <w:style w:type="character" w:styleId="Strong">
    <w:name w:val="Strong"/>
    <w:uiPriority w:val="22"/>
    <w:qFormat/>
    <w:rsid w:val="00677A36"/>
    <w:rPr>
      <w:rFonts w:ascii="Trebuchet MS" w:hAnsi="Trebuchet MS"/>
      <w:b/>
      <w:bCs/>
      <w:sz w:val="22"/>
    </w:rPr>
  </w:style>
  <w:style w:type="character" w:styleId="Emphasis">
    <w:name w:val="Emphasis"/>
    <w:uiPriority w:val="20"/>
    <w:qFormat/>
    <w:rsid w:val="00677A36"/>
    <w:rPr>
      <w:rFonts w:ascii="Trebuchet MS" w:hAnsi="Trebuchet MS"/>
      <w:i/>
      <w:iCs/>
      <w:sz w:val="22"/>
    </w:rPr>
  </w:style>
  <w:style w:type="table" w:styleId="TableGrid">
    <w:name w:val="Table Grid"/>
    <w:basedOn w:val="TableNormal"/>
    <w:uiPriority w:val="59"/>
    <w:rsid w:val="006E4003"/>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373B0D"/>
    <w:pPr>
      <w:numPr>
        <w:numId w:val="8"/>
      </w:numPr>
    </w:pPr>
  </w:style>
  <w:style w:type="paragraph" w:styleId="ListParagraph">
    <w:name w:val="List Paragraph"/>
    <w:basedOn w:val="Normal"/>
    <w:uiPriority w:val="34"/>
    <w:qFormat/>
    <w:rsid w:val="00677A36"/>
    <w:pPr>
      <w:ind w:left="720"/>
      <w:contextualSpacing/>
    </w:pPr>
  </w:style>
  <w:style w:type="paragraph" w:styleId="Quote">
    <w:name w:val="Quote"/>
    <w:basedOn w:val="Normal"/>
    <w:next w:val="Normal"/>
    <w:link w:val="QuoteChar"/>
    <w:uiPriority w:val="29"/>
    <w:qFormat/>
    <w:rsid w:val="00677A36"/>
    <w:rPr>
      <w:i/>
      <w:iCs/>
      <w:color w:val="000000"/>
    </w:rPr>
  </w:style>
  <w:style w:type="character" w:customStyle="1" w:styleId="QuoteChar">
    <w:name w:val="Quote Char"/>
    <w:link w:val="Quote"/>
    <w:uiPriority w:val="29"/>
    <w:rsid w:val="00677A36"/>
    <w:rPr>
      <w:i/>
      <w:iCs/>
      <w:color w:val="000000"/>
    </w:rPr>
  </w:style>
  <w:style w:type="paragraph" w:styleId="TOAHeading">
    <w:name w:val="toa heading"/>
    <w:basedOn w:val="Normal"/>
    <w:next w:val="Normal"/>
    <w:uiPriority w:val="99"/>
    <w:semiHidden/>
    <w:unhideWhenUsed/>
    <w:rsid w:val="002F5035"/>
    <w:pPr>
      <w:spacing w:before="120"/>
    </w:pPr>
    <w:rPr>
      <w:rFonts w:eastAsiaTheme="majorEastAsia" w:cstheme="majorBidi"/>
      <w:b/>
      <w:bCs/>
      <w:sz w:val="28"/>
      <w:szCs w:val="24"/>
    </w:rPr>
  </w:style>
  <w:style w:type="character" w:styleId="IntenseEmphasis">
    <w:name w:val="Intense Emphasis"/>
    <w:uiPriority w:val="21"/>
    <w:qFormat/>
    <w:rsid w:val="00677A36"/>
    <w:rPr>
      <w:rFonts w:ascii="Trebuchet MS" w:hAnsi="Trebuchet MS"/>
      <w:b/>
      <w:bCs/>
      <w:i/>
      <w:iCs/>
      <w:color w:val="000000" w:themeColor="text1"/>
      <w:sz w:val="22"/>
    </w:rPr>
  </w:style>
  <w:style w:type="paragraph" w:styleId="ListBullet">
    <w:name w:val="List Bullet"/>
    <w:basedOn w:val="List"/>
    <w:uiPriority w:val="99"/>
    <w:unhideWhenUsed/>
    <w:qFormat/>
    <w:rsid w:val="00677A36"/>
    <w:pPr>
      <w:numPr>
        <w:numId w:val="9"/>
      </w:numPr>
      <w:contextualSpacing w:val="0"/>
    </w:pPr>
  </w:style>
  <w:style w:type="paragraph" w:styleId="ListNumber2">
    <w:name w:val="List Number 2"/>
    <w:basedOn w:val="Normal"/>
    <w:uiPriority w:val="99"/>
    <w:unhideWhenUsed/>
    <w:rsid w:val="0026542C"/>
    <w:pPr>
      <w:numPr>
        <w:numId w:val="3"/>
      </w:numPr>
      <w:contextualSpacing/>
    </w:pPr>
  </w:style>
  <w:style w:type="paragraph" w:styleId="ListNumber3">
    <w:name w:val="List Number 3"/>
    <w:basedOn w:val="Normal"/>
    <w:link w:val="ListNumber3Char"/>
    <w:uiPriority w:val="99"/>
    <w:unhideWhenUsed/>
    <w:rsid w:val="0026542C"/>
    <w:pPr>
      <w:numPr>
        <w:numId w:val="4"/>
      </w:numPr>
      <w:contextualSpacing/>
    </w:pPr>
  </w:style>
  <w:style w:type="paragraph" w:styleId="ListNumber4">
    <w:name w:val="List Number 4"/>
    <w:basedOn w:val="Normal"/>
    <w:uiPriority w:val="99"/>
    <w:semiHidden/>
    <w:unhideWhenUsed/>
    <w:rsid w:val="0026542C"/>
    <w:pPr>
      <w:numPr>
        <w:numId w:val="5"/>
      </w:numPr>
      <w:contextualSpacing/>
    </w:pPr>
  </w:style>
  <w:style w:type="paragraph" w:styleId="ListNumber5">
    <w:name w:val="List Number 5"/>
    <w:basedOn w:val="Normal"/>
    <w:uiPriority w:val="99"/>
    <w:semiHidden/>
    <w:unhideWhenUsed/>
    <w:rsid w:val="0026542C"/>
    <w:pPr>
      <w:numPr>
        <w:numId w:val="6"/>
      </w:numPr>
      <w:contextualSpacing/>
    </w:pPr>
  </w:style>
  <w:style w:type="paragraph" w:styleId="ListNumber">
    <w:name w:val="List Number"/>
    <w:basedOn w:val="Normal"/>
    <w:uiPriority w:val="99"/>
    <w:unhideWhenUsed/>
    <w:rsid w:val="0026542C"/>
    <w:pPr>
      <w:numPr>
        <w:numId w:val="2"/>
      </w:numPr>
      <w:contextualSpacing/>
    </w:pPr>
  </w:style>
  <w:style w:type="paragraph" w:styleId="List">
    <w:name w:val="List"/>
    <w:basedOn w:val="Normal"/>
    <w:uiPriority w:val="99"/>
    <w:unhideWhenUsed/>
    <w:rsid w:val="006C1429"/>
    <w:pPr>
      <w:ind w:left="283" w:hanging="283"/>
      <w:contextualSpacing/>
    </w:pPr>
  </w:style>
  <w:style w:type="paragraph" w:styleId="List2">
    <w:name w:val="List 2"/>
    <w:basedOn w:val="Normal"/>
    <w:uiPriority w:val="99"/>
    <w:unhideWhenUsed/>
    <w:rsid w:val="006C1429"/>
    <w:pPr>
      <w:ind w:left="566" w:hanging="283"/>
      <w:contextualSpacing/>
    </w:pPr>
  </w:style>
  <w:style w:type="paragraph" w:styleId="List3">
    <w:name w:val="List 3"/>
    <w:basedOn w:val="Normal"/>
    <w:uiPriority w:val="99"/>
    <w:unhideWhenUsed/>
    <w:rsid w:val="006C1429"/>
    <w:pPr>
      <w:ind w:left="849" w:hanging="283"/>
      <w:contextualSpacing/>
    </w:pPr>
  </w:style>
  <w:style w:type="paragraph" w:styleId="List4">
    <w:name w:val="List 4"/>
    <w:basedOn w:val="Normal"/>
    <w:uiPriority w:val="99"/>
    <w:unhideWhenUsed/>
    <w:rsid w:val="006C1429"/>
    <w:pPr>
      <w:ind w:left="1132" w:hanging="283"/>
      <w:contextualSpacing/>
    </w:pPr>
  </w:style>
  <w:style w:type="numbering" w:styleId="111111">
    <w:name w:val="Outline List 2"/>
    <w:basedOn w:val="NoList"/>
    <w:uiPriority w:val="99"/>
    <w:semiHidden/>
    <w:unhideWhenUsed/>
    <w:rsid w:val="006A5169"/>
    <w:pPr>
      <w:numPr>
        <w:numId w:val="7"/>
      </w:numPr>
    </w:pPr>
  </w:style>
  <w:style w:type="character" w:customStyle="1" w:styleId="ListNumber3Char">
    <w:name w:val="List Number 3 Char"/>
    <w:basedOn w:val="DefaultParagraphFont"/>
    <w:link w:val="ListNumber3"/>
    <w:uiPriority w:val="99"/>
    <w:rsid w:val="00373B0D"/>
  </w:style>
  <w:style w:type="character" w:customStyle="1" w:styleId="NumberedListChar">
    <w:name w:val="Numbered List Char"/>
    <w:basedOn w:val="ListNumber3Char"/>
    <w:link w:val="NumberedList"/>
    <w:rsid w:val="00373B0D"/>
  </w:style>
  <w:style w:type="paragraph" w:styleId="BodyText">
    <w:name w:val="Body Text"/>
    <w:basedOn w:val="Normal"/>
    <w:link w:val="BodyTextChar"/>
    <w:uiPriority w:val="99"/>
    <w:semiHidden/>
    <w:unhideWhenUsed/>
    <w:rsid w:val="002F5035"/>
  </w:style>
  <w:style w:type="character" w:customStyle="1" w:styleId="BodyTextChar">
    <w:name w:val="Body Text Char"/>
    <w:basedOn w:val="DefaultParagraphFont"/>
    <w:link w:val="BodyText"/>
    <w:uiPriority w:val="99"/>
    <w:semiHidden/>
    <w:rsid w:val="002F5035"/>
  </w:style>
  <w:style w:type="character" w:customStyle="1" w:styleId="Heading8Char">
    <w:name w:val="Heading 8 Char"/>
    <w:basedOn w:val="DefaultParagraphFont"/>
    <w:link w:val="Heading8"/>
    <w:uiPriority w:val="9"/>
    <w:semiHidden/>
    <w:rsid w:val="00677A3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7A3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677A36"/>
    <w:pPr>
      <w:spacing w:after="0"/>
      <w:outlineLvl w:val="9"/>
    </w:pPr>
    <w:rPr>
      <w:rFonts w:asciiTheme="majorHAnsi" w:hAnsiTheme="majorHAnsi"/>
      <w:kern w:val="0"/>
      <w:sz w:val="36"/>
      <w:szCs w:val="28"/>
    </w:rPr>
  </w:style>
  <w:style w:type="paragraph" w:customStyle="1" w:styleId="TableColumnHeading">
    <w:name w:val="Table Column Heading"/>
    <w:basedOn w:val="Normal"/>
    <w:rsid w:val="00677A36"/>
    <w:pPr>
      <w:widowControl w:val="0"/>
      <w:spacing w:before="120" w:line="240" w:lineRule="auto"/>
    </w:pPr>
    <w:rPr>
      <w:rFonts w:eastAsia="Times" w:cstheme="majorBidi"/>
      <w:b/>
      <w:iCs/>
      <w:color w:val="000000" w:themeColor="text1"/>
      <w:szCs w:val="20"/>
    </w:rPr>
  </w:style>
  <w:style w:type="paragraph" w:customStyle="1" w:styleId="TableColumnSub-Heading">
    <w:name w:val="Table Column Sub-Heading"/>
    <w:basedOn w:val="Normal"/>
    <w:rsid w:val="00677A36"/>
    <w:pPr>
      <w:keepNext/>
      <w:widowControl w:val="0"/>
      <w:spacing w:before="60" w:after="60" w:line="240" w:lineRule="auto"/>
    </w:pPr>
    <w:rPr>
      <w:rFonts w:cstheme="minorBidi"/>
      <w:b/>
      <w:sz w:val="20"/>
    </w:rPr>
  </w:style>
  <w:style w:type="paragraph" w:customStyle="1" w:styleId="TableRowHeading">
    <w:name w:val="Table Row Heading"/>
    <w:basedOn w:val="Normal"/>
    <w:rsid w:val="00677A36"/>
    <w:pPr>
      <w:keepNext/>
      <w:widowControl w:val="0"/>
      <w:spacing w:before="120" w:line="240" w:lineRule="auto"/>
    </w:pPr>
    <w:rPr>
      <w:b/>
      <w:i/>
      <w:sz w:val="20"/>
      <w:lang w:eastAsia="en-AU"/>
    </w:rPr>
  </w:style>
  <w:style w:type="table" w:customStyle="1" w:styleId="APRAWorkingPaperTable">
    <w:name w:val="APRA Working Paper Table"/>
    <w:basedOn w:val="TableNormal"/>
    <w:uiPriority w:val="99"/>
    <w:rsid w:val="00677A36"/>
    <w:pPr>
      <w:spacing w:after="0" w:line="240" w:lineRule="auto"/>
    </w:pPr>
    <w:rPr>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0F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0CF"/>
    <w:rPr>
      <w:rFonts w:ascii="Tahoma" w:hAnsi="Tahoma" w:cs="Tahoma"/>
      <w:sz w:val="16"/>
      <w:szCs w:val="16"/>
    </w:rPr>
  </w:style>
  <w:style w:type="character" w:styleId="FollowedHyperlink">
    <w:name w:val="FollowedHyperlink"/>
    <w:basedOn w:val="DefaultParagraphFont"/>
    <w:uiPriority w:val="99"/>
    <w:semiHidden/>
    <w:unhideWhenUsed/>
    <w:rsid w:val="000C170D"/>
    <w:rPr>
      <w:color w:val="800080" w:themeColor="followedHyperlink"/>
      <w:u w:val="single"/>
    </w:rPr>
  </w:style>
  <w:style w:type="paragraph" w:styleId="Title">
    <w:name w:val="Title"/>
    <w:basedOn w:val="Normal"/>
    <w:next w:val="Normal"/>
    <w:link w:val="TitleChar"/>
    <w:uiPriority w:val="10"/>
    <w:qFormat/>
    <w:rsid w:val="00DC7EF3"/>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7EF3"/>
    <w:rPr>
      <w:rFonts w:eastAsiaTheme="majorEastAsia" w:cstheme="majorBidi"/>
      <w:color w:val="17365D" w:themeColor="text2" w:themeShade="BF"/>
      <w:spacing w:val="5"/>
      <w:kern w:val="28"/>
      <w:sz w:val="52"/>
      <w:szCs w:val="52"/>
    </w:rPr>
  </w:style>
  <w:style w:type="character" w:styleId="SubtleEmphasis">
    <w:name w:val="Subtle Emphasis"/>
    <w:basedOn w:val="DefaultParagraphFont"/>
    <w:uiPriority w:val="19"/>
    <w:qFormat/>
    <w:rsid w:val="00DC7EF3"/>
    <w:rPr>
      <w:i/>
      <w:iCs/>
      <w:color w:val="808080" w:themeColor="text1" w:themeTint="7F"/>
    </w:rPr>
  </w:style>
  <w:style w:type="character" w:styleId="PlaceholderText">
    <w:name w:val="Placeholder Text"/>
    <w:basedOn w:val="DefaultParagraphFont"/>
    <w:uiPriority w:val="99"/>
    <w:semiHidden/>
    <w:rsid w:val="0043440F"/>
    <w:rPr>
      <w:color w:val="808080"/>
    </w:rPr>
  </w:style>
  <w:style w:type="character" w:styleId="PageNumber">
    <w:name w:val="page number"/>
    <w:basedOn w:val="DefaultParagraphFont"/>
    <w:rsid w:val="0056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6638">
      <w:bodyDiv w:val="1"/>
      <w:marLeft w:val="0"/>
      <w:marRight w:val="0"/>
      <w:marTop w:val="0"/>
      <w:marBottom w:val="0"/>
      <w:divBdr>
        <w:top w:val="none" w:sz="0" w:space="0" w:color="auto"/>
        <w:left w:val="none" w:sz="0" w:space="0" w:color="auto"/>
        <w:bottom w:val="none" w:sz="0" w:space="0" w:color="auto"/>
        <w:right w:val="none" w:sz="0" w:space="0" w:color="auto"/>
      </w:divBdr>
      <w:divsChild>
        <w:div w:id="1775442248">
          <w:marLeft w:val="0"/>
          <w:marRight w:val="0"/>
          <w:marTop w:val="0"/>
          <w:marBottom w:val="0"/>
          <w:divBdr>
            <w:top w:val="none" w:sz="0" w:space="0" w:color="auto"/>
            <w:left w:val="none" w:sz="0" w:space="0" w:color="auto"/>
            <w:bottom w:val="none" w:sz="0" w:space="0" w:color="auto"/>
            <w:right w:val="none" w:sz="0" w:space="0" w:color="auto"/>
          </w:divBdr>
          <w:divsChild>
            <w:div w:id="568032057">
              <w:marLeft w:val="0"/>
              <w:marRight w:val="0"/>
              <w:marTop w:val="0"/>
              <w:marBottom w:val="0"/>
              <w:divBdr>
                <w:top w:val="none" w:sz="0" w:space="0" w:color="auto"/>
                <w:left w:val="none" w:sz="0" w:space="0" w:color="auto"/>
                <w:bottom w:val="none" w:sz="0" w:space="0" w:color="auto"/>
                <w:right w:val="none" w:sz="0" w:space="0" w:color="auto"/>
              </w:divBdr>
              <w:divsChild>
                <w:div w:id="1015812398">
                  <w:marLeft w:val="0"/>
                  <w:marRight w:val="0"/>
                  <w:marTop w:val="0"/>
                  <w:marBottom w:val="0"/>
                  <w:divBdr>
                    <w:top w:val="none" w:sz="0" w:space="0" w:color="auto"/>
                    <w:left w:val="none" w:sz="0" w:space="0" w:color="auto"/>
                    <w:bottom w:val="none" w:sz="0" w:space="0" w:color="auto"/>
                    <w:right w:val="none" w:sz="0" w:space="0" w:color="auto"/>
                  </w:divBdr>
                  <w:divsChild>
                    <w:div w:id="1887714056">
                      <w:marLeft w:val="0"/>
                      <w:marRight w:val="0"/>
                      <w:marTop w:val="0"/>
                      <w:marBottom w:val="0"/>
                      <w:divBdr>
                        <w:top w:val="none" w:sz="0" w:space="0" w:color="auto"/>
                        <w:left w:val="none" w:sz="0" w:space="0" w:color="auto"/>
                        <w:bottom w:val="none" w:sz="0" w:space="0" w:color="auto"/>
                        <w:right w:val="none" w:sz="0" w:space="0" w:color="auto"/>
                      </w:divBdr>
                      <w:divsChild>
                        <w:div w:id="1044256886">
                          <w:marLeft w:val="0"/>
                          <w:marRight w:val="0"/>
                          <w:marTop w:val="0"/>
                          <w:marBottom w:val="0"/>
                          <w:divBdr>
                            <w:top w:val="none" w:sz="0" w:space="0" w:color="auto"/>
                            <w:left w:val="none" w:sz="0" w:space="0" w:color="auto"/>
                            <w:bottom w:val="none" w:sz="0" w:space="0" w:color="auto"/>
                            <w:right w:val="none" w:sz="0" w:space="0" w:color="auto"/>
                          </w:divBdr>
                          <w:divsChild>
                            <w:div w:id="1677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4736">
      <w:bodyDiv w:val="1"/>
      <w:marLeft w:val="0"/>
      <w:marRight w:val="0"/>
      <w:marTop w:val="0"/>
      <w:marBottom w:val="0"/>
      <w:divBdr>
        <w:top w:val="none" w:sz="0" w:space="0" w:color="auto"/>
        <w:left w:val="none" w:sz="0" w:space="0" w:color="auto"/>
        <w:bottom w:val="none" w:sz="0" w:space="0" w:color="auto"/>
        <w:right w:val="none" w:sz="0" w:space="0" w:color="auto"/>
      </w:divBdr>
    </w:div>
    <w:div w:id="454980215">
      <w:bodyDiv w:val="1"/>
      <w:marLeft w:val="0"/>
      <w:marRight w:val="0"/>
      <w:marTop w:val="0"/>
      <w:marBottom w:val="0"/>
      <w:divBdr>
        <w:top w:val="none" w:sz="0" w:space="0" w:color="auto"/>
        <w:left w:val="none" w:sz="0" w:space="0" w:color="auto"/>
        <w:bottom w:val="none" w:sz="0" w:space="0" w:color="auto"/>
        <w:right w:val="none" w:sz="0" w:space="0" w:color="auto"/>
      </w:divBdr>
    </w:div>
    <w:div w:id="566185254">
      <w:bodyDiv w:val="1"/>
      <w:marLeft w:val="0"/>
      <w:marRight w:val="0"/>
      <w:marTop w:val="0"/>
      <w:marBottom w:val="0"/>
      <w:divBdr>
        <w:top w:val="none" w:sz="0" w:space="0" w:color="auto"/>
        <w:left w:val="none" w:sz="0" w:space="0" w:color="auto"/>
        <w:bottom w:val="none" w:sz="0" w:space="0" w:color="auto"/>
        <w:right w:val="none" w:sz="0" w:space="0" w:color="auto"/>
      </w:divBdr>
      <w:divsChild>
        <w:div w:id="298876120">
          <w:marLeft w:val="0"/>
          <w:marRight w:val="0"/>
          <w:marTop w:val="0"/>
          <w:marBottom w:val="0"/>
          <w:divBdr>
            <w:top w:val="none" w:sz="0" w:space="0" w:color="auto"/>
            <w:left w:val="none" w:sz="0" w:space="0" w:color="auto"/>
            <w:bottom w:val="none" w:sz="0" w:space="0" w:color="auto"/>
            <w:right w:val="none" w:sz="0" w:space="0" w:color="auto"/>
          </w:divBdr>
          <w:divsChild>
            <w:div w:id="964118126">
              <w:marLeft w:val="0"/>
              <w:marRight w:val="0"/>
              <w:marTop w:val="0"/>
              <w:marBottom w:val="0"/>
              <w:divBdr>
                <w:top w:val="none" w:sz="0" w:space="0" w:color="auto"/>
                <w:left w:val="none" w:sz="0" w:space="0" w:color="auto"/>
                <w:bottom w:val="none" w:sz="0" w:space="0" w:color="auto"/>
                <w:right w:val="none" w:sz="0" w:space="0" w:color="auto"/>
              </w:divBdr>
              <w:divsChild>
                <w:div w:id="960572841">
                  <w:marLeft w:val="0"/>
                  <w:marRight w:val="0"/>
                  <w:marTop w:val="0"/>
                  <w:marBottom w:val="0"/>
                  <w:divBdr>
                    <w:top w:val="none" w:sz="0" w:space="0" w:color="auto"/>
                    <w:left w:val="none" w:sz="0" w:space="0" w:color="auto"/>
                    <w:bottom w:val="none" w:sz="0" w:space="0" w:color="auto"/>
                    <w:right w:val="none" w:sz="0" w:space="0" w:color="auto"/>
                  </w:divBdr>
                  <w:divsChild>
                    <w:div w:id="1006784729">
                      <w:marLeft w:val="0"/>
                      <w:marRight w:val="0"/>
                      <w:marTop w:val="0"/>
                      <w:marBottom w:val="0"/>
                      <w:divBdr>
                        <w:top w:val="none" w:sz="0" w:space="0" w:color="auto"/>
                        <w:left w:val="none" w:sz="0" w:space="0" w:color="auto"/>
                        <w:bottom w:val="none" w:sz="0" w:space="0" w:color="auto"/>
                        <w:right w:val="none" w:sz="0" w:space="0" w:color="auto"/>
                      </w:divBdr>
                      <w:divsChild>
                        <w:div w:id="1608852000">
                          <w:marLeft w:val="0"/>
                          <w:marRight w:val="0"/>
                          <w:marTop w:val="0"/>
                          <w:marBottom w:val="0"/>
                          <w:divBdr>
                            <w:top w:val="single" w:sz="6" w:space="0" w:color="828282"/>
                            <w:left w:val="single" w:sz="6" w:space="0" w:color="828282"/>
                            <w:bottom w:val="single" w:sz="6" w:space="0" w:color="828282"/>
                            <w:right w:val="single" w:sz="6" w:space="0" w:color="828282"/>
                          </w:divBdr>
                          <w:divsChild>
                            <w:div w:id="1954902610">
                              <w:marLeft w:val="0"/>
                              <w:marRight w:val="0"/>
                              <w:marTop w:val="0"/>
                              <w:marBottom w:val="0"/>
                              <w:divBdr>
                                <w:top w:val="none" w:sz="0" w:space="0" w:color="auto"/>
                                <w:left w:val="none" w:sz="0" w:space="0" w:color="auto"/>
                                <w:bottom w:val="none" w:sz="0" w:space="0" w:color="auto"/>
                                <w:right w:val="none" w:sz="0" w:space="0" w:color="auto"/>
                              </w:divBdr>
                              <w:divsChild>
                                <w:div w:id="146822540">
                                  <w:marLeft w:val="0"/>
                                  <w:marRight w:val="0"/>
                                  <w:marTop w:val="0"/>
                                  <w:marBottom w:val="0"/>
                                  <w:divBdr>
                                    <w:top w:val="none" w:sz="0" w:space="0" w:color="auto"/>
                                    <w:left w:val="none" w:sz="0" w:space="0" w:color="auto"/>
                                    <w:bottom w:val="none" w:sz="0" w:space="0" w:color="auto"/>
                                    <w:right w:val="none" w:sz="0" w:space="0" w:color="auto"/>
                                  </w:divBdr>
                                  <w:divsChild>
                                    <w:div w:id="912005927">
                                      <w:marLeft w:val="0"/>
                                      <w:marRight w:val="0"/>
                                      <w:marTop w:val="0"/>
                                      <w:marBottom w:val="0"/>
                                      <w:divBdr>
                                        <w:top w:val="none" w:sz="0" w:space="0" w:color="auto"/>
                                        <w:left w:val="none" w:sz="0" w:space="0" w:color="auto"/>
                                        <w:bottom w:val="none" w:sz="0" w:space="0" w:color="auto"/>
                                        <w:right w:val="none" w:sz="0" w:space="0" w:color="auto"/>
                                      </w:divBdr>
                                      <w:divsChild>
                                        <w:div w:id="1095589469">
                                          <w:marLeft w:val="0"/>
                                          <w:marRight w:val="0"/>
                                          <w:marTop w:val="0"/>
                                          <w:marBottom w:val="0"/>
                                          <w:divBdr>
                                            <w:top w:val="none" w:sz="0" w:space="0" w:color="auto"/>
                                            <w:left w:val="none" w:sz="0" w:space="0" w:color="auto"/>
                                            <w:bottom w:val="none" w:sz="0" w:space="0" w:color="auto"/>
                                            <w:right w:val="none" w:sz="0" w:space="0" w:color="auto"/>
                                          </w:divBdr>
                                          <w:divsChild>
                                            <w:div w:id="263539559">
                                              <w:marLeft w:val="0"/>
                                              <w:marRight w:val="0"/>
                                              <w:marTop w:val="0"/>
                                              <w:marBottom w:val="0"/>
                                              <w:divBdr>
                                                <w:top w:val="none" w:sz="0" w:space="0" w:color="auto"/>
                                                <w:left w:val="none" w:sz="0" w:space="0" w:color="auto"/>
                                                <w:bottom w:val="none" w:sz="0" w:space="0" w:color="auto"/>
                                                <w:right w:val="none" w:sz="0" w:space="0" w:color="auto"/>
                                              </w:divBdr>
                                              <w:divsChild>
                                                <w:div w:id="5741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a36a5a650d54f768f171f4d17b8b238 xmlns="814d62cb-2db6-4c25-ab62-b9075facbc11">
      <Terms xmlns="http://schemas.microsoft.com/office/infopath/2007/PartnerControls"/>
    </aa36a5a650d54f768f171f4d17b8b238>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Corporate and Resolution</TermName>
          <TermId xmlns="http://schemas.microsoft.com/office/infopath/2007/PartnerControls">696624b1-19f4-47b2-a07b-57868a922a96</TermId>
        </TermInfo>
      </Terms>
    </p10c80fc2da942ae8f2ea9b33b6ea0ba>
    <_dlc_DocId xmlns="814d62cb-2db6-4c25-ab62-b9075facbc11">5JENXJJSCC7A-445999044-3525</_dlc_DocId>
    <TaxCatchAll xmlns="814d62cb-2db6-4c25-ab62-b9075facbc11">
      <Value>24</Value>
      <Value>83</Value>
      <Value>134</Value>
      <Value>26</Value>
      <Value>10</Value>
      <Value>109</Value>
      <Value>58</Value>
      <Value>158</Value>
      <Value>4</Value>
      <Value>19</Value>
    </TaxCatchAll>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i08e72d8ce2b4ffa9361f9f4e0a63abc>
    <_dlc_DocIdUrl xmlns="814d62cb-2db6-4c25-ab62-b9075facbc11">
      <Url>https://im/teams/LEGAL/_layouts/15/DocIdRedir.aspx?ID=5JENXJJSCC7A-445999044-3525</Url>
      <Description>5JENXJJSCC7A-445999044-3525</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2017-09-21T14:00:00+00:00</APRADate>
    <pa005173035e41c3986b37b8e650f3ef xmlns="814d62cb-2db6-4c25-ab62-b9075facbc11">
      <Terms xmlns="http://schemas.microsoft.com/office/infopath/2007/PartnerControls"/>
    </pa005173035e41c3986b37b8e650f3ef>
    <APRADescription xmlns="814d62cb-2db6-4c25-ab62-b9075facbc11">Makes Transfer Rules 2017 – Restructures, which prescribe the form and content of an application by an authorised deposit-taking institution, life insurance company or general insurer to enter an arrangement whereby the entity will become a subsidiary of a NOHC, and prescribe an application by an operating body for an amendment to an internal transfer certificate under Part 4A Division 2 of the Act.</APRADescription>
    <APRAActivityID xmlns="814d62cb-2db6-4c25-ab62-b9075facbc11" xsi:nil="true"/>
    <APRADocScanCheck xmlns="814d62cb-2db6-4c25-ab62-b9075facbc11">false</APRADocScanCheck>
  </documentManagement>
</p:properti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37" ma:contentTypeDescription="Create a new document." ma:contentTypeScope="" ma:versionID="b9ef5bc26372778073757b630008b228">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6F0E-7F04-46BF-83F4-A8913D47CF48}">
  <ds:schemaRefs>
    <ds:schemaRef ds:uri="http://schemas.microsoft.com/sharepoint/events"/>
  </ds:schemaRefs>
</ds:datastoreItem>
</file>

<file path=customXml/itemProps2.xml><?xml version="1.0" encoding="utf-8"?>
<ds:datastoreItem xmlns:ds="http://schemas.openxmlformats.org/officeDocument/2006/customXml" ds:itemID="{789FC86B-E01B-4CBF-A9E7-08CA1FC9A499}">
  <ds:schemaRefs>
    <ds:schemaRef ds:uri="http://schemas.microsoft.com/sharepoint/v3/contenttype/forms"/>
  </ds:schemaRefs>
</ds:datastoreItem>
</file>

<file path=customXml/itemProps3.xml><?xml version="1.0" encoding="utf-8"?>
<ds:datastoreItem xmlns:ds="http://schemas.openxmlformats.org/officeDocument/2006/customXml" ds:itemID="{691150FA-1C94-40E1-827D-A1438BF551DF}">
  <ds:schemaRefs>
    <ds:schemaRef ds:uri="http://schemas.microsoft.com/office/2006/metadata/properties"/>
    <ds:schemaRef ds:uri="814d62cb-2db6-4c25-ab62-b9075facbc11"/>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D871AF71-2EA0-45EA-9D3C-9F9180A637B6}">
  <ds:schemaRefs>
    <ds:schemaRef ds:uri="Microsoft.SharePoint.Taxonomy.ContentTypeSync"/>
  </ds:schemaRefs>
</ds:datastoreItem>
</file>

<file path=customXml/itemProps6.xml><?xml version="1.0" encoding="utf-8"?>
<ds:datastoreItem xmlns:ds="http://schemas.openxmlformats.org/officeDocument/2006/customXml" ds:itemID="{CCC74584-C51C-430F-B983-7D02C76C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0148E7-06BB-458F-B2DB-5A2B8F18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1325</Words>
  <Characters>6757</Characters>
  <Application>Microsoft Office Word</Application>
  <DocSecurity>0</DocSecurity>
  <Lines>165</Lines>
  <Paragraphs>79</Paragraphs>
  <ScaleCrop>false</ScaleCrop>
  <HeadingPairs>
    <vt:vector size="2" baseType="variant">
      <vt:variant>
        <vt:lpstr>Title</vt:lpstr>
      </vt:variant>
      <vt:variant>
        <vt:i4>1</vt:i4>
      </vt:variant>
    </vt:vector>
  </HeadingPairs>
  <TitlesOfParts>
    <vt:vector size="1" baseType="lpstr">
      <vt:lpstr>Transfer Rules 2017 - Restructures</vt:lpstr>
    </vt:vector>
  </TitlesOfParts>
  <Company>APRA</Company>
  <LinksUpToDate>false</LinksUpToDate>
  <CharactersWithSpaces>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(Business Transfer and Group Restructure) determination No. 1 of 2017</dc:title>
  <dc:creator>Sullivan, David</dc:creator>
  <cp:keywords>[SEC=UNCLASSIFIED]</cp:keywords>
  <cp:lastModifiedBy>Toni Michalis</cp:lastModifiedBy>
  <cp:revision>2</cp:revision>
  <cp:lastPrinted>2017-09-22T04:41:00Z</cp:lastPrinted>
  <dcterms:created xsi:type="dcterms:W3CDTF">2017-09-25T23:31:00Z</dcterms:created>
  <dcterms:modified xsi:type="dcterms:W3CDTF">2017-09-25T23:31:00Z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PM_ProtectiveMarkingValue_Footer">
    <vt:lpwstr>UNCLASSIFIED</vt:lpwstr>
  </property>
  <property fmtid="{D5CDD505-2E9C-101B-9397-08002B2CF9AE}" pid="4" name="PM_Caveats_Count">
    <vt:lpwstr>0</vt:lpwstr>
  </property>
  <property fmtid="{D5CDD505-2E9C-101B-9397-08002B2CF9AE}" pid="5" name="PM_Originator_Hash_SHA1">
    <vt:lpwstr>C3AD57350F36D8E1BD75F8F67CB06D435C9C43CA</vt:lpwstr>
  </property>
  <property fmtid="{D5CDD505-2E9C-101B-9397-08002B2CF9AE}" pid="6" name="PM_SecurityClassification">
    <vt:lpwstr>UNCLASSIFIED</vt:lpwstr>
  </property>
  <property fmtid="{D5CDD505-2E9C-101B-9397-08002B2CF9AE}" pid="7" name="PM_DisplayValueSecClassificationWithQualifier">
    <vt:lpwstr>UNCLASSIFIED</vt:lpwstr>
  </property>
  <property fmtid="{D5CDD505-2E9C-101B-9397-08002B2CF9AE}" pid="8" name="PM_Qualifier">
    <vt:lpwstr/>
  </property>
  <property fmtid="{D5CDD505-2E9C-101B-9397-08002B2CF9AE}" pid="9" name="PM_InsertionValue">
    <vt:lpwstr>UNCLASSIFIED</vt:lpwstr>
  </property>
  <property fmtid="{D5CDD505-2E9C-101B-9397-08002B2CF9AE}" pid="10" name="PM_ProtectiveMarkingValue_Header">
    <vt:lpwstr>UNCLASSIFIED</vt:lpwstr>
  </property>
  <property fmtid="{D5CDD505-2E9C-101B-9397-08002B2CF9AE}" pid="11" name="PM_Hash_SHA1">
    <vt:lpwstr>85869AB882EA0BBC1F5CB7FC4FE609560FB43046</vt:lpwstr>
  </property>
  <property fmtid="{D5CDD505-2E9C-101B-9397-08002B2CF9AE}" pid="12" name="PM_ProtectiveMarkingImage_Header">
    <vt:lpwstr>C:\Program Files (x86)\Common Files\janusNET Shared\janusSEAL\Images\DocumentSlashBlue.png</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2012.3</vt:lpwstr>
  </property>
  <property fmtid="{D5CDD505-2E9C-101B-9397-08002B2CF9AE}" pid="16" name="PM_Originating_FileId">
    <vt:lpwstr>7046B855BF044505B2F0DA3EDEB04534</vt:lpwstr>
  </property>
  <property fmtid="{D5CDD505-2E9C-101B-9397-08002B2CF9AE}" pid="17" name="PM_OriginationTimeStamp">
    <vt:lpwstr>2017-09-25T23:31:14Z</vt:lpwstr>
  </property>
  <property fmtid="{D5CDD505-2E9C-101B-9397-08002B2CF9AE}" pid="18" name="PM_Hash_Version">
    <vt:lpwstr>2016.1</vt:lpwstr>
  </property>
  <property fmtid="{D5CDD505-2E9C-101B-9397-08002B2CF9AE}" pid="19" name="PM_Hash_Salt_Prev">
    <vt:lpwstr>1BCA65171CB797AE0D7B4AA88B2BB35C</vt:lpwstr>
  </property>
  <property fmtid="{D5CDD505-2E9C-101B-9397-08002B2CF9AE}" pid="20" name="PM_Hash_Salt">
    <vt:lpwstr>D0DC0FB5076E2C6074777062AF26EB36</vt:lpwstr>
  </property>
  <property fmtid="{D5CDD505-2E9C-101B-9397-08002B2CF9AE}" pid="21" name="PM_SecurityClassification_Prev">
    <vt:lpwstr>UNCLASSIFIED</vt:lpwstr>
  </property>
  <property fmtid="{D5CDD505-2E9C-101B-9397-08002B2CF9AE}" pid="22" name="PM_Qualifier_Prev">
    <vt:lpwstr/>
  </property>
  <property fmtid="{D5CDD505-2E9C-101B-9397-08002B2CF9AE}" pid="23" name="IsLocked">
    <vt:lpwstr>False</vt:lpwstr>
  </property>
  <property fmtid="{D5CDD505-2E9C-101B-9397-08002B2CF9AE}" pid="24" name="APRAPeriod">
    <vt:lpwstr/>
  </property>
  <property fmtid="{D5CDD505-2E9C-101B-9397-08002B2CF9AE}" pid="25" name="APRACostCentre">
    <vt:lpwstr>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vt:lpwstr>
  </property>
  <property fmtid="{D5CDD505-2E9C-101B-9397-08002B2CF9AE}" pid="26" name="ContentTypeId">
    <vt:lpwstr>0x0101008CA7A4F8331B45C7B0D3158B4994D0CA0200577EC0F5A1FBFC498F9A8436B963F8A6</vt:lpwstr>
  </property>
  <property fmtid="{D5CDD505-2E9C-101B-9397-08002B2CF9AE}" pid="27" name="_dlc_DocIdItemGuid">
    <vt:lpwstr>89e4fa7c-1b83-43af-8068-e2f910978be1</vt:lpwstr>
  </property>
  <property fmtid="{D5CDD505-2E9C-101B-9397-08002B2CF9AE}" pid="28" name="APRAPRSG">
    <vt:lpwstr/>
  </property>
  <property fmtid="{D5CDD505-2E9C-101B-9397-08002B2CF9AE}" pid="29" name="APRAStatus">
    <vt:lpwstr>19;#Final|84d6b2d0-8498-4d62-bf46-bab38babbe9e</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IT system type">
    <vt:lpwstr/>
  </property>
  <property fmtid="{D5CDD505-2E9C-101B-9397-08002B2CF9AE}" pid="34" name="APRACategory">
    <vt:lpwstr/>
  </property>
  <property fmtid="{D5CDD505-2E9C-101B-9397-08002B2CF9AE}" pid="35" name="APRADocumentType">
    <vt:lpwstr>58;#Legal instrument|71fd6ed3-d6d6-4975-ba99-bfe45802e734</vt:lpwstr>
  </property>
  <property fmtid="{D5CDD505-2E9C-101B-9397-08002B2CF9AE}" pid="36" name="APRAActivity">
    <vt:lpwstr>10;#Registration|390476ce-d76d-4e8d-905f-28e32d2df127;#109;#Statutory instrument|fe68928c-5a9c-4caf-bc8c-6c18cedcb17f</vt:lpwstr>
  </property>
  <property fmtid="{D5CDD505-2E9C-101B-9397-08002B2CF9AE}" pid="37" name="APRAEntityAdviceSupport">
    <vt:lpwstr/>
  </property>
  <property fmtid="{D5CDD505-2E9C-101B-9397-08002B2CF9AE}" pid="38" name="APRAExternalOrganisation">
    <vt:lpwstr/>
  </property>
  <property fmtid="{D5CDD505-2E9C-101B-9397-08002B2CF9AE}" pid="39" name="APRAIRTR">
    <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{89e4fa7c-1b83-43af-8068-e2f910978be1}</vt:lpwstr>
  </property>
  <property fmtid="{D5CDD505-2E9C-101B-9397-08002B2CF9AE}" pid="44" name="RecordPoint_ActiveItemWebId">
    <vt:lpwstr>{75a71c27-8d66-4282-ae60-1bfc22a83be1}</vt:lpwstr>
  </property>
  <property fmtid="{D5CDD505-2E9C-101B-9397-08002B2CF9AE}" pid="45" name="RecordPoint_RecordNumberSubmitted">
    <vt:lpwstr>R0000193832</vt:lpwstr>
  </property>
  <property fmtid="{D5CDD505-2E9C-101B-9397-08002B2CF9AE}" pid="46" name="RecordPoint_SubmissionCompleted">
    <vt:lpwstr>2017-09-26T10:27:55.6986618+10:00</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