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283502" w:rsidP="00674B00">
      <w:r>
        <w:rPr>
          <w:noProof/>
        </w:rPr>
        <w:drawing>
          <wp:inline distT="0" distB="0" distL="0" distR="0">
            <wp:extent cx="14224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8F4" w:rsidRPr="00197331" w:rsidRDefault="00D758F4" w:rsidP="00D758F4">
      <w:pPr>
        <w:pStyle w:val="Title"/>
        <w:rPr>
          <w:sz w:val="28"/>
          <w:szCs w:val="28"/>
        </w:rPr>
      </w:pPr>
      <w:r>
        <w:rPr>
          <w:sz w:val="28"/>
          <w:szCs w:val="28"/>
        </w:rPr>
        <w:t>PB 81</w:t>
      </w:r>
      <w:r w:rsidRPr="007807C7">
        <w:rPr>
          <w:sz w:val="28"/>
          <w:szCs w:val="28"/>
        </w:rPr>
        <w:t> o</w:t>
      </w:r>
      <w:r>
        <w:rPr>
          <w:sz w:val="28"/>
          <w:szCs w:val="28"/>
        </w:rPr>
        <w:t>f 2017</w:t>
      </w:r>
    </w:p>
    <w:p w:rsidR="00D758F4" w:rsidRDefault="00D758F4" w:rsidP="00D758F4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40"/>
        </w:rPr>
      </w:pPr>
      <w:bookmarkStart w:id="0" w:name="_GoBack"/>
      <w:r w:rsidRPr="004D79E0">
        <w:rPr>
          <w:rFonts w:ascii="Arial" w:hAnsi="Arial" w:cs="Arial"/>
          <w:b/>
          <w:sz w:val="40"/>
        </w:rPr>
        <w:t xml:space="preserve">National Health </w:t>
      </w:r>
      <w:r>
        <w:rPr>
          <w:rFonts w:ascii="Arial" w:hAnsi="Arial" w:cs="Arial"/>
          <w:b/>
          <w:sz w:val="40"/>
        </w:rPr>
        <w:t>(Pharmaceutical Benefits Scheme</w:t>
      </w:r>
      <w:r w:rsidRPr="004D79E0">
        <w:rPr>
          <w:rFonts w:ascii="Arial" w:hAnsi="Arial" w:cs="Arial"/>
          <w:b/>
          <w:sz w:val="40"/>
        </w:rPr>
        <w:t xml:space="preserve">- </w:t>
      </w:r>
      <w:r>
        <w:rPr>
          <w:rFonts w:ascii="Arial" w:hAnsi="Arial" w:cs="Arial"/>
          <w:b/>
          <w:sz w:val="40"/>
        </w:rPr>
        <w:t>Exempt items - S</w:t>
      </w:r>
      <w:r w:rsidRPr="004D79E0">
        <w:rPr>
          <w:rFonts w:ascii="Arial" w:hAnsi="Arial" w:cs="Arial"/>
          <w:b/>
          <w:sz w:val="40"/>
        </w:rPr>
        <w:t>ection 84AH</w:t>
      </w:r>
      <w:r>
        <w:rPr>
          <w:rFonts w:ascii="Arial" w:hAnsi="Arial" w:cs="Arial"/>
          <w:b/>
          <w:sz w:val="40"/>
        </w:rPr>
        <w:t>) Determination 2017</w:t>
      </w:r>
    </w:p>
    <w:bookmarkEnd w:id="0"/>
    <w:p w:rsidR="00D758F4" w:rsidRDefault="00D758F4" w:rsidP="00D758F4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National Health Act</w:t>
      </w:r>
      <w:r>
        <w:t> </w:t>
      </w:r>
      <w:r>
        <w:rPr>
          <w:rFonts w:ascii="Arial" w:hAnsi="Arial" w:cs="Arial"/>
          <w:i/>
          <w:sz w:val="28"/>
          <w:szCs w:val="28"/>
          <w:lang w:val="en-US"/>
        </w:rPr>
        <w:t>1953</w:t>
      </w:r>
    </w:p>
    <w:p w:rsidR="00A02C4B" w:rsidRPr="00A02C4B" w:rsidRDefault="005C0C68">
      <w:pPr>
        <w:spacing w:before="360"/>
        <w:jc w:val="both"/>
      </w:pPr>
      <w:r>
        <w:t xml:space="preserve">I, </w:t>
      </w:r>
      <w:r w:rsidR="00B15CE0">
        <w:t>LISA LA RANCE</w:t>
      </w:r>
      <w:r w:rsidR="00AF721B">
        <w:t xml:space="preserve">, </w:t>
      </w:r>
      <w:r w:rsidR="00C268CB">
        <w:t>Assistant Secretary</w:t>
      </w:r>
      <w:r w:rsidR="00A02C4B">
        <w:t>,</w:t>
      </w:r>
      <w:r w:rsidR="00427CAC">
        <w:t xml:space="preserve"> </w:t>
      </w:r>
      <w:r w:rsidR="00056380">
        <w:t>Pricing</w:t>
      </w:r>
      <w:r w:rsidR="00EC53C5">
        <w:t xml:space="preserve"> and Policy</w:t>
      </w:r>
      <w:r w:rsidR="00056380">
        <w:t xml:space="preserve"> </w:t>
      </w:r>
      <w:r w:rsidR="00F24A65">
        <w:t xml:space="preserve">Branch, </w:t>
      </w:r>
      <w:r w:rsidR="00056380">
        <w:t>Technology Assessment and Access</w:t>
      </w:r>
      <w:r w:rsidR="00C268CB">
        <w:t xml:space="preserve"> Division,</w:t>
      </w:r>
      <w:r w:rsidR="00427CAC">
        <w:t xml:space="preserve"> Department of Health</w:t>
      </w:r>
      <w:r w:rsidR="00C268CB">
        <w:t>, delegate of the Minister for Health,</w:t>
      </w:r>
      <w:r w:rsidR="0043580A">
        <w:t xml:space="preserve"> </w:t>
      </w:r>
      <w:r w:rsidR="009B4268">
        <w:t xml:space="preserve">make </w:t>
      </w:r>
      <w:r w:rsidR="00056380">
        <w:t xml:space="preserve">this Determination </w:t>
      </w:r>
      <w:r w:rsidR="00427CAC">
        <w:t xml:space="preserve">under </w:t>
      </w:r>
      <w:r w:rsidR="00D758F4">
        <w:t>section 84AH</w:t>
      </w:r>
      <w:r w:rsidR="00F923B4">
        <w:t xml:space="preserve"> </w:t>
      </w:r>
      <w:r w:rsidR="009B4268" w:rsidRPr="002943DE">
        <w:t xml:space="preserve">of the </w:t>
      </w:r>
      <w:r w:rsidR="00C919D8" w:rsidRPr="002943DE">
        <w:rPr>
          <w:i/>
        </w:rPr>
        <w:t>National Health</w:t>
      </w:r>
      <w:r w:rsidR="002943DE" w:rsidRPr="002943DE">
        <w:rPr>
          <w:i/>
        </w:rPr>
        <w:t xml:space="preserve"> Act</w:t>
      </w:r>
      <w:r w:rsidR="00D87EDE">
        <w:rPr>
          <w:i/>
        </w:rPr>
        <w:t> </w:t>
      </w:r>
      <w:r w:rsidR="00C919D8" w:rsidRPr="002943DE">
        <w:rPr>
          <w:i/>
        </w:rPr>
        <w:t>19</w:t>
      </w:r>
      <w:r w:rsidR="002943DE" w:rsidRPr="002943DE">
        <w:rPr>
          <w:i/>
        </w:rPr>
        <w:t>53</w:t>
      </w:r>
      <w:r w:rsidR="0035271C" w:rsidRPr="002943DE">
        <w:t>.</w:t>
      </w:r>
      <w:r w:rsidR="009D7B04" w:rsidRPr="009D7B04">
        <w:t xml:space="preserve"> </w:t>
      </w:r>
    </w:p>
    <w:p w:rsidR="00A02C4B" w:rsidRDefault="00BB7F6C">
      <w:pPr>
        <w:tabs>
          <w:tab w:val="right" w:pos="3686"/>
        </w:tabs>
        <w:spacing w:before="300" w:after="600" w:line="300" w:lineRule="exact"/>
      </w:pPr>
      <w:r>
        <w:t>Dated</w:t>
      </w:r>
      <w:r w:rsidR="00AF721B">
        <w:t xml:space="preserve"> </w:t>
      </w:r>
      <w:r w:rsidR="005E1031">
        <w:t>19</w:t>
      </w:r>
      <w:r w:rsidR="0022683A">
        <w:t xml:space="preserve"> </w:t>
      </w:r>
      <w:r w:rsidR="00D758F4">
        <w:t>September 2017</w:t>
      </w:r>
    </w:p>
    <w:p w:rsidR="00C268CB" w:rsidRDefault="00C268CB">
      <w:pPr>
        <w:tabs>
          <w:tab w:val="right" w:pos="3686"/>
        </w:tabs>
        <w:spacing w:before="300" w:after="600" w:line="300" w:lineRule="exact"/>
      </w:pPr>
    </w:p>
    <w:p w:rsidR="00393D99" w:rsidRDefault="00393D99">
      <w:pPr>
        <w:tabs>
          <w:tab w:val="right" w:pos="3686"/>
        </w:tabs>
        <w:spacing w:before="300" w:after="600" w:line="300" w:lineRule="exact"/>
      </w:pPr>
    </w:p>
    <w:p w:rsidR="00C268CB" w:rsidRDefault="00B15CE0" w:rsidP="00C268CB">
      <w:pPr>
        <w:pBdr>
          <w:bottom w:val="single" w:sz="4" w:space="12" w:color="auto"/>
        </w:pBdr>
        <w:spacing w:line="240" w:lineRule="exact"/>
        <w:rPr>
          <w:b/>
        </w:rPr>
      </w:pPr>
      <w:r w:rsidRPr="00B15CE0">
        <w:rPr>
          <w:b/>
        </w:rPr>
        <w:t>LISA LA RANCE</w:t>
      </w:r>
    </w:p>
    <w:p w:rsidR="003B557C" w:rsidRPr="00B15CE0" w:rsidRDefault="003B557C" w:rsidP="00C268CB">
      <w:pPr>
        <w:pBdr>
          <w:bottom w:val="single" w:sz="4" w:space="12" w:color="auto"/>
        </w:pBdr>
        <w:spacing w:line="240" w:lineRule="exact"/>
        <w:rPr>
          <w:b/>
        </w:rPr>
      </w:pPr>
    </w:p>
    <w:p w:rsidR="00C268CB" w:rsidRDefault="00C268CB" w:rsidP="00C268CB">
      <w:pPr>
        <w:pBdr>
          <w:bottom w:val="single" w:sz="4" w:space="12" w:color="auto"/>
        </w:pBdr>
        <w:spacing w:line="240" w:lineRule="exact"/>
      </w:pPr>
      <w:r>
        <w:t>Assistant Secretary</w:t>
      </w:r>
    </w:p>
    <w:p w:rsidR="00056380" w:rsidRDefault="00056380" w:rsidP="00CB0B6D">
      <w:pPr>
        <w:pBdr>
          <w:bottom w:val="single" w:sz="4" w:space="12" w:color="auto"/>
        </w:pBdr>
        <w:spacing w:line="240" w:lineRule="exact"/>
      </w:pPr>
      <w:r>
        <w:t>Pricing</w:t>
      </w:r>
      <w:r w:rsidR="00EC53C5">
        <w:t xml:space="preserve"> and Policy</w:t>
      </w:r>
      <w:r>
        <w:t xml:space="preserve"> Branch</w:t>
      </w:r>
    </w:p>
    <w:p w:rsidR="00056380" w:rsidRDefault="00056380" w:rsidP="00CB0B6D">
      <w:pPr>
        <w:pBdr>
          <w:bottom w:val="single" w:sz="4" w:space="12" w:color="auto"/>
        </w:pBdr>
        <w:spacing w:line="240" w:lineRule="exact"/>
      </w:pPr>
      <w:r>
        <w:t>Technology Assessment and Access Division</w:t>
      </w:r>
    </w:p>
    <w:p w:rsidR="00CB0B6D" w:rsidRDefault="00C268CB" w:rsidP="00CB0B6D">
      <w:pPr>
        <w:pBdr>
          <w:bottom w:val="single" w:sz="4" w:space="12" w:color="auto"/>
        </w:pBdr>
        <w:spacing w:line="240" w:lineRule="exact"/>
        <w:sectPr w:rsidR="00CB0B6D" w:rsidSect="00036C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t>Department of Health</w:t>
      </w:r>
      <w:r w:rsidR="00427CAC">
        <w:t xml:space="preserve"> </w:t>
      </w:r>
    </w:p>
    <w:p w:rsidR="00CB0B6D" w:rsidRDefault="00CB0B6D" w:rsidP="00CB0B6D">
      <w:pPr>
        <w:spacing w:line="240" w:lineRule="exact"/>
      </w:pPr>
    </w:p>
    <w:p w:rsidR="00A02C4B" w:rsidRDefault="00A02C4B" w:rsidP="00196805">
      <w:pPr>
        <w:pStyle w:val="A1"/>
        <w:spacing w:before="120" w:line="240" w:lineRule="auto"/>
      </w:pPr>
      <w:r>
        <w:t>1</w:t>
      </w:r>
      <w:r>
        <w:tab/>
        <w:t xml:space="preserve">Name of </w:t>
      </w:r>
      <w:r w:rsidR="0035271C">
        <w:t>Instrument</w:t>
      </w:r>
    </w:p>
    <w:p w:rsidR="00D758F4" w:rsidRDefault="00D758F4" w:rsidP="00D758F4">
      <w:pPr>
        <w:pStyle w:val="A2"/>
        <w:numPr>
          <w:ilvl w:val="0"/>
          <w:numId w:val="4"/>
        </w:numPr>
        <w:spacing w:line="240" w:lineRule="auto"/>
        <w:ind w:left="1418" w:hanging="426"/>
      </w:pPr>
      <w:r>
        <w:t xml:space="preserve">This instrument is the </w:t>
      </w:r>
      <w:r>
        <w:rPr>
          <w:i/>
        </w:rPr>
        <w:t>National Health (Pharmaceutical Benefits Scheme-Exempt items - Section 84AH) Determination 2017</w:t>
      </w:r>
      <w:r>
        <w:t>.</w:t>
      </w:r>
    </w:p>
    <w:p w:rsidR="00D758F4" w:rsidRDefault="00D758F4" w:rsidP="00D758F4">
      <w:pPr>
        <w:numPr>
          <w:ilvl w:val="0"/>
          <w:numId w:val="4"/>
        </w:numPr>
        <w:spacing w:before="120"/>
        <w:ind w:left="1417" w:hanging="425"/>
      </w:pPr>
      <w:r>
        <w:t xml:space="preserve">This instrument may also be cited as </w:t>
      </w:r>
      <w:r w:rsidRPr="00D62B47">
        <w:t>PB</w:t>
      </w:r>
      <w:r>
        <w:t xml:space="preserve"> 81</w:t>
      </w:r>
      <w:r w:rsidRPr="00D62B47">
        <w:t> of</w:t>
      </w:r>
      <w:r>
        <w:t> 2017.</w:t>
      </w:r>
    </w:p>
    <w:p w:rsidR="00A02C4B" w:rsidRDefault="00A02C4B" w:rsidP="00A02C4B">
      <w:pPr>
        <w:pStyle w:val="A1"/>
      </w:pPr>
      <w:r>
        <w:t>2</w:t>
      </w:r>
      <w:r>
        <w:tab/>
        <w:t>Commencement</w:t>
      </w:r>
      <w:r w:rsidR="0008263B">
        <w:t xml:space="preserve"> </w:t>
      </w:r>
    </w:p>
    <w:p w:rsidR="00A02C4B" w:rsidRDefault="00A02C4B" w:rsidP="00B15CE0">
      <w:pPr>
        <w:pStyle w:val="A2"/>
        <w:spacing w:line="240" w:lineRule="auto"/>
      </w:pPr>
      <w:r>
        <w:tab/>
      </w:r>
      <w:r w:rsidR="00B15CE0">
        <w:tab/>
      </w:r>
      <w:r>
        <w:t>Th</w:t>
      </w:r>
      <w:r w:rsidR="0035271C">
        <w:t>is instrument</w:t>
      </w:r>
      <w:r>
        <w:t xml:space="preserve"> commence</w:t>
      </w:r>
      <w:r w:rsidR="0035271C">
        <w:t>s</w:t>
      </w:r>
      <w:r>
        <w:t xml:space="preserve"> on</w:t>
      </w:r>
      <w:r w:rsidR="00515062">
        <w:t xml:space="preserve"> </w:t>
      </w:r>
      <w:r w:rsidR="00531C1E">
        <w:t>the date of registration on the Federal Register of Legislation</w:t>
      </w:r>
      <w:r w:rsidR="00C268CB">
        <w:t>.</w:t>
      </w:r>
    </w:p>
    <w:p w:rsidR="00D758F4" w:rsidRDefault="00D758F4" w:rsidP="00D758F4">
      <w:pPr>
        <w:pStyle w:val="A1"/>
      </w:pPr>
      <w:r>
        <w:t>3</w:t>
      </w:r>
      <w:r>
        <w:tab/>
        <w:t xml:space="preserve">Revocation </w:t>
      </w:r>
    </w:p>
    <w:p w:rsidR="00B15CE0" w:rsidRPr="00B15CE0" w:rsidRDefault="00D758F4" w:rsidP="00D758F4">
      <w:pPr>
        <w:ind w:left="993"/>
      </w:pPr>
      <w:r>
        <w:t xml:space="preserve">The </w:t>
      </w:r>
      <w:r>
        <w:rPr>
          <w:i/>
        </w:rPr>
        <w:t xml:space="preserve">National Health Act 1953 – Determination under section 84AH- Exempt items </w:t>
      </w:r>
      <w:r w:rsidR="00B15CE0" w:rsidRPr="00F81829">
        <w:t>(PB 5</w:t>
      </w:r>
      <w:r>
        <w:t>8</w:t>
      </w:r>
      <w:r w:rsidR="00B15CE0" w:rsidRPr="00F81829">
        <w:t xml:space="preserve"> of 2007)</w:t>
      </w:r>
      <w:r w:rsidR="00B15CE0">
        <w:t xml:space="preserve"> is revoked. </w:t>
      </w:r>
    </w:p>
    <w:p w:rsidR="00BE06E8" w:rsidRDefault="00B15CE0" w:rsidP="00566280">
      <w:pPr>
        <w:pStyle w:val="A1"/>
      </w:pPr>
      <w:r>
        <w:t>4</w:t>
      </w:r>
      <w:r>
        <w:tab/>
      </w:r>
      <w:r w:rsidR="00BE06E8">
        <w:t>Authority</w:t>
      </w:r>
    </w:p>
    <w:p w:rsidR="00BE06E8" w:rsidRDefault="00531C1E" w:rsidP="00531C1E">
      <w:pPr>
        <w:pStyle w:val="A2"/>
        <w:spacing w:line="240" w:lineRule="auto"/>
        <w:rPr>
          <w:i/>
        </w:rPr>
      </w:pPr>
      <w:r>
        <w:tab/>
      </w:r>
      <w:r>
        <w:tab/>
      </w:r>
      <w:r w:rsidR="00BE06E8">
        <w:t xml:space="preserve">This </w:t>
      </w:r>
      <w:r w:rsidR="00CA726B">
        <w:t xml:space="preserve">Determination </w:t>
      </w:r>
      <w:r w:rsidR="00BE06E8">
        <w:t xml:space="preserve">is made under </w:t>
      </w:r>
      <w:r w:rsidR="00D758F4">
        <w:t xml:space="preserve">section 84AH </w:t>
      </w:r>
      <w:r w:rsidR="00BE06E8">
        <w:t xml:space="preserve">of the </w:t>
      </w:r>
      <w:r w:rsidR="003F2334">
        <w:rPr>
          <w:i/>
        </w:rPr>
        <w:t xml:space="preserve">National Health </w:t>
      </w:r>
      <w:r w:rsidR="003F2334" w:rsidRPr="003F2334">
        <w:rPr>
          <w:i/>
        </w:rPr>
        <w:t>Act 1953</w:t>
      </w:r>
      <w:r w:rsidR="003F2334">
        <w:rPr>
          <w:i/>
        </w:rPr>
        <w:t xml:space="preserve"> </w:t>
      </w:r>
      <w:r w:rsidR="003F2334">
        <w:t>(the Act).</w:t>
      </w:r>
    </w:p>
    <w:p w:rsidR="00324B05" w:rsidRPr="00DC58BB" w:rsidRDefault="00B15CE0" w:rsidP="00324B05">
      <w:pPr>
        <w:pStyle w:val="A1"/>
        <w:rPr>
          <w:b w:val="0"/>
        </w:rPr>
      </w:pPr>
      <w:r>
        <w:t>5</w:t>
      </w:r>
      <w:r w:rsidR="00500478">
        <w:tab/>
      </w:r>
      <w:r w:rsidR="00324B05" w:rsidRPr="00DC58BB">
        <w:t>Definitions</w:t>
      </w:r>
    </w:p>
    <w:p w:rsidR="00324B05" w:rsidRDefault="00324B05" w:rsidP="00324B05"/>
    <w:p w:rsidR="00324B05" w:rsidRDefault="00324B05" w:rsidP="00AF721B">
      <w:pPr>
        <w:ind w:left="993"/>
      </w:pPr>
      <w:r>
        <w:t>In th</w:t>
      </w:r>
      <w:r w:rsidR="00893EC9">
        <w:t>i</w:t>
      </w:r>
      <w:r>
        <w:t xml:space="preserve">s </w:t>
      </w:r>
      <w:r w:rsidR="00724BD1">
        <w:t>Determination</w:t>
      </w:r>
      <w:r>
        <w:t>:</w:t>
      </w:r>
    </w:p>
    <w:p w:rsidR="00324B05" w:rsidRDefault="00324B05" w:rsidP="00566280">
      <w:pPr>
        <w:ind w:left="992"/>
      </w:pPr>
    </w:p>
    <w:p w:rsidR="00724BD1" w:rsidRDefault="003F2334" w:rsidP="00566280">
      <w:pPr>
        <w:pStyle w:val="A2"/>
        <w:spacing w:before="0"/>
        <w:ind w:left="992" w:firstLine="0"/>
      </w:pPr>
      <w:proofErr w:type="gramStart"/>
      <w:r>
        <w:rPr>
          <w:b/>
          <w:i/>
        </w:rPr>
        <w:t>p</w:t>
      </w:r>
      <w:r w:rsidR="009B658A">
        <w:rPr>
          <w:b/>
          <w:i/>
        </w:rPr>
        <w:t>harmaceutical</w:t>
      </w:r>
      <w:proofErr w:type="gramEnd"/>
      <w:r w:rsidR="009B658A">
        <w:rPr>
          <w:b/>
          <w:i/>
        </w:rPr>
        <w:t xml:space="preserve"> item </w:t>
      </w:r>
      <w:r w:rsidR="009B658A">
        <w:t xml:space="preserve">has the meaning given by section 84AB </w:t>
      </w:r>
      <w:r w:rsidR="00724BD1">
        <w:t xml:space="preserve">of </w:t>
      </w:r>
      <w:r w:rsidR="00724BD1" w:rsidRPr="009E45AF">
        <w:t>the</w:t>
      </w:r>
      <w:r w:rsidRPr="009E45AF">
        <w:t xml:space="preserve"> Act</w:t>
      </w:r>
      <w:r w:rsidR="00EB3A4A" w:rsidRPr="009E45AF">
        <w:t>.</w:t>
      </w:r>
      <w:r w:rsidR="00EB3A4A">
        <w:t xml:space="preserve"> </w:t>
      </w:r>
    </w:p>
    <w:p w:rsidR="00724BD1" w:rsidRDefault="00724BD1" w:rsidP="00566280">
      <w:pPr>
        <w:pStyle w:val="A2"/>
        <w:spacing w:before="0"/>
        <w:ind w:left="992" w:firstLine="0"/>
        <w:rPr>
          <w:b/>
          <w:i/>
        </w:rPr>
      </w:pPr>
    </w:p>
    <w:p w:rsidR="00324B05" w:rsidRPr="0091422B" w:rsidRDefault="00B15CE0" w:rsidP="00B15CE0">
      <w:pPr>
        <w:tabs>
          <w:tab w:val="left" w:pos="993"/>
        </w:tabs>
        <w:ind w:left="992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="00324B05" w:rsidRPr="0091422B">
        <w:rPr>
          <w:i/>
          <w:sz w:val="20"/>
          <w:szCs w:val="20"/>
        </w:rPr>
        <w:t>Note:</w:t>
      </w:r>
      <w:r w:rsidR="00324B05" w:rsidRPr="0091422B">
        <w:rPr>
          <w:sz w:val="20"/>
          <w:szCs w:val="20"/>
        </w:rPr>
        <w:t xml:space="preserve"> Terms used in this </w:t>
      </w:r>
      <w:r w:rsidR="00724BD1">
        <w:rPr>
          <w:sz w:val="20"/>
          <w:szCs w:val="20"/>
        </w:rPr>
        <w:t>Determination</w:t>
      </w:r>
      <w:r w:rsidR="00324B05" w:rsidRPr="0091422B">
        <w:rPr>
          <w:sz w:val="20"/>
          <w:szCs w:val="20"/>
        </w:rPr>
        <w:t xml:space="preserve"> have the same mean</w:t>
      </w:r>
      <w:r w:rsidR="003F2334">
        <w:rPr>
          <w:sz w:val="20"/>
          <w:szCs w:val="20"/>
        </w:rPr>
        <w:t>ing as in the Act – see section </w:t>
      </w:r>
      <w:r w:rsidR="00324B05" w:rsidRPr="0091422B">
        <w:rPr>
          <w:sz w:val="20"/>
          <w:szCs w:val="20"/>
        </w:rPr>
        <w:t xml:space="preserve">13 of the </w:t>
      </w:r>
      <w:r w:rsidR="00324B05" w:rsidRPr="0091422B">
        <w:rPr>
          <w:i/>
          <w:sz w:val="20"/>
          <w:szCs w:val="20"/>
        </w:rPr>
        <w:t>Legislati</w:t>
      </w:r>
      <w:r w:rsidR="00CA4310" w:rsidRPr="0091422B">
        <w:rPr>
          <w:i/>
          <w:sz w:val="20"/>
          <w:szCs w:val="20"/>
        </w:rPr>
        <w:t xml:space="preserve">on </w:t>
      </w:r>
      <w:r w:rsidR="00324B05" w:rsidRPr="0091422B">
        <w:rPr>
          <w:i/>
          <w:sz w:val="20"/>
          <w:szCs w:val="20"/>
        </w:rPr>
        <w:t>Act 2003</w:t>
      </w:r>
      <w:r w:rsidR="00324B05" w:rsidRPr="0091422B">
        <w:rPr>
          <w:sz w:val="20"/>
          <w:szCs w:val="20"/>
        </w:rPr>
        <w:t>. These terms include:</w:t>
      </w:r>
    </w:p>
    <w:p w:rsidR="00324B05" w:rsidRDefault="00EB3A4A" w:rsidP="00724BD1">
      <w:pPr>
        <w:numPr>
          <w:ilvl w:val="0"/>
          <w:numId w:val="23"/>
        </w:num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 xml:space="preserve">listed </w:t>
      </w:r>
      <w:r w:rsidR="00724BD1" w:rsidRPr="00724BD1">
        <w:rPr>
          <w:sz w:val="20"/>
          <w:szCs w:val="20"/>
        </w:rPr>
        <w:t>drug</w:t>
      </w:r>
    </w:p>
    <w:p w:rsidR="009B658A" w:rsidRPr="00724BD1" w:rsidRDefault="009B658A" w:rsidP="00724BD1">
      <w:pPr>
        <w:numPr>
          <w:ilvl w:val="0"/>
          <w:numId w:val="23"/>
        </w:num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form</w:t>
      </w:r>
    </w:p>
    <w:p w:rsidR="00724BD1" w:rsidRPr="00724BD1" w:rsidRDefault="00724BD1" w:rsidP="00724BD1">
      <w:pPr>
        <w:numPr>
          <w:ilvl w:val="0"/>
          <w:numId w:val="23"/>
        </w:numPr>
        <w:tabs>
          <w:tab w:val="left" w:pos="993"/>
        </w:tabs>
        <w:rPr>
          <w:sz w:val="20"/>
          <w:szCs w:val="20"/>
        </w:rPr>
      </w:pPr>
      <w:r w:rsidRPr="00724BD1">
        <w:rPr>
          <w:sz w:val="20"/>
          <w:szCs w:val="20"/>
        </w:rPr>
        <w:t>manner of administration</w:t>
      </w:r>
    </w:p>
    <w:p w:rsidR="00324B05" w:rsidRPr="00B15CE0" w:rsidRDefault="00204540" w:rsidP="00B15CE0">
      <w:pPr>
        <w:pStyle w:val="A1"/>
      </w:pPr>
      <w:r w:rsidRPr="00B15CE0">
        <w:t>6</w:t>
      </w:r>
      <w:r w:rsidR="00BF728B" w:rsidRPr="00B15CE0">
        <w:tab/>
      </w:r>
      <w:r w:rsidR="00D758F4">
        <w:t>Exempt items</w:t>
      </w:r>
    </w:p>
    <w:p w:rsidR="00BF728B" w:rsidRDefault="00BF728B" w:rsidP="00D757F4">
      <w:pPr>
        <w:ind w:left="993"/>
      </w:pPr>
    </w:p>
    <w:p w:rsidR="00724BD1" w:rsidRPr="003252C5" w:rsidRDefault="00EB3A4A" w:rsidP="00D757F4">
      <w:pPr>
        <w:ind w:left="993"/>
      </w:pPr>
      <w:r>
        <w:t>The pharmaceutical items identi</w:t>
      </w:r>
      <w:r w:rsidR="00D758F4">
        <w:t xml:space="preserve">fied in the Schedule are exempt </w:t>
      </w:r>
      <w:r w:rsidR="0022683A">
        <w:t>from statutory price reductions and price disclos</w:t>
      </w:r>
      <w:r w:rsidR="009E45AF">
        <w:t xml:space="preserve">ure requirements under Division 3A and 3B of Part VII of the Act. </w:t>
      </w:r>
    </w:p>
    <w:p w:rsidR="00724BD1" w:rsidRPr="002A7745" w:rsidRDefault="00724BD1" w:rsidP="00724BD1">
      <w:pPr>
        <w:ind w:left="1482" w:hanging="348"/>
      </w:pPr>
    </w:p>
    <w:p w:rsidR="00724BD1" w:rsidRDefault="00724BD1" w:rsidP="00724BD1">
      <w:pPr>
        <w:ind w:left="1134" w:hanging="708"/>
        <w:rPr>
          <w:rFonts w:ascii="Arial Bold" w:hAnsi="Arial Bold"/>
        </w:rPr>
      </w:pPr>
      <w:r>
        <w:rPr>
          <w:rFonts w:ascii="Arial Bold" w:hAnsi="Arial Bold"/>
        </w:rPr>
        <w:tab/>
      </w:r>
    </w:p>
    <w:p w:rsidR="00724BD1" w:rsidRPr="009E45AF" w:rsidRDefault="00724BD1" w:rsidP="009E45AF">
      <w:pPr>
        <w:rPr>
          <w:rFonts w:ascii="Arial" w:hAnsi="Arial" w:cs="Arial"/>
          <w:b/>
          <w:sz w:val="28"/>
          <w:szCs w:val="28"/>
        </w:rPr>
      </w:pPr>
      <w:r>
        <w:rPr>
          <w:rFonts w:ascii="Arial Bold" w:hAnsi="Arial Bold"/>
        </w:rPr>
        <w:br w:type="page"/>
      </w:r>
      <w:r w:rsidRPr="009E45AF">
        <w:rPr>
          <w:rFonts w:ascii="Arial" w:hAnsi="Arial" w:cs="Arial"/>
          <w:b/>
          <w:sz w:val="28"/>
          <w:szCs w:val="28"/>
        </w:rPr>
        <w:t>Schedule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64"/>
        <w:gridCol w:w="5007"/>
        <w:gridCol w:w="1658"/>
      </w:tblGrid>
      <w:tr w:rsidR="00D758F4" w:rsidRPr="009E45AF" w:rsidTr="0091621B">
        <w:trPr>
          <w:trHeight w:val="284"/>
          <w:tblHeader/>
        </w:trPr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:rsidR="00D758F4" w:rsidRPr="009E45AF" w:rsidRDefault="00D758F4" w:rsidP="0091621B">
            <w:pPr>
              <w:pStyle w:val="ActHead1"/>
              <w:jc w:val="center"/>
              <w:rPr>
                <w:rStyle w:val="CharChapNo"/>
                <w:sz w:val="24"/>
                <w:szCs w:val="24"/>
              </w:rPr>
            </w:pPr>
          </w:p>
        </w:tc>
      </w:tr>
      <w:tr w:rsidR="00D758F4" w:rsidRPr="009E45AF" w:rsidTr="0091621B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val="241"/>
          <w:tblHeader/>
        </w:trPr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758F4" w:rsidRPr="009E45AF" w:rsidRDefault="00D758F4" w:rsidP="0091621B">
            <w:pPr>
              <w:pStyle w:val="tableheader"/>
              <w:spacing w:before="0" w:after="0"/>
              <w:rPr>
                <w:rFonts w:ascii="Times New Roman" w:hAnsi="Times New Roman"/>
                <w:sz w:val="20"/>
              </w:rPr>
            </w:pPr>
            <w:r w:rsidRPr="009E45AF">
              <w:rPr>
                <w:rFonts w:ascii="Times New Roman" w:hAnsi="Times New Roman"/>
                <w:sz w:val="20"/>
              </w:rPr>
              <w:t>Listed Drug</w:t>
            </w:r>
          </w:p>
        </w:tc>
        <w:tc>
          <w:tcPr>
            <w:tcW w:w="293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758F4" w:rsidRPr="009E45AF" w:rsidRDefault="00D758F4" w:rsidP="0091621B">
            <w:pPr>
              <w:pStyle w:val="tableheader"/>
              <w:spacing w:before="0" w:after="0"/>
              <w:rPr>
                <w:rFonts w:ascii="Times New Roman" w:hAnsi="Times New Roman"/>
                <w:sz w:val="20"/>
              </w:rPr>
            </w:pPr>
            <w:r w:rsidRPr="009E45AF">
              <w:rPr>
                <w:rFonts w:ascii="Times New Roman" w:hAnsi="Times New Roman"/>
                <w:sz w:val="20"/>
              </w:rPr>
              <w:t>Form (strength, type, size, etc.)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D758F4" w:rsidRPr="009E45AF" w:rsidRDefault="00D758F4" w:rsidP="0091621B">
            <w:pPr>
              <w:pStyle w:val="tableheader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9E45AF">
              <w:rPr>
                <w:rFonts w:ascii="Times New Roman" w:hAnsi="Times New Roman"/>
                <w:sz w:val="20"/>
              </w:rPr>
              <w:t>Manner of administration</w:t>
            </w:r>
          </w:p>
        </w:tc>
      </w:tr>
      <w:tr w:rsidR="00D758F4" w:rsidRPr="009E45AF" w:rsidTr="0091621B">
        <w:trPr>
          <w:trHeight w:val="88"/>
          <w:tblHeader/>
        </w:trPr>
        <w:tc>
          <w:tcPr>
            <w:tcW w:w="1093" w:type="pct"/>
            <w:tcBorders>
              <w:top w:val="single" w:sz="12" w:space="0" w:color="auto"/>
            </w:tcBorders>
          </w:tcPr>
          <w:p w:rsidR="00D758F4" w:rsidRPr="009E45AF" w:rsidRDefault="00D758F4" w:rsidP="0091621B">
            <w:pPr>
              <w:spacing w:line="40" w:lineRule="atLeast"/>
              <w:rPr>
                <w:sz w:val="20"/>
                <w:szCs w:val="20"/>
              </w:rPr>
            </w:pPr>
          </w:p>
        </w:tc>
        <w:tc>
          <w:tcPr>
            <w:tcW w:w="2935" w:type="pct"/>
            <w:tcBorders>
              <w:top w:val="single" w:sz="12" w:space="0" w:color="auto"/>
            </w:tcBorders>
          </w:tcPr>
          <w:p w:rsidR="00D758F4" w:rsidRPr="009E45AF" w:rsidRDefault="00D758F4" w:rsidP="0091621B">
            <w:pPr>
              <w:spacing w:line="40" w:lineRule="atLeast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12" w:space="0" w:color="auto"/>
            </w:tcBorders>
          </w:tcPr>
          <w:p w:rsidR="00D758F4" w:rsidRPr="009E45AF" w:rsidRDefault="00D758F4" w:rsidP="0091621B">
            <w:pPr>
              <w:spacing w:line="40" w:lineRule="atLeast"/>
              <w:rPr>
                <w:sz w:val="20"/>
                <w:szCs w:val="20"/>
              </w:rPr>
            </w:pP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100 mg per mL, 60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Amoxycillin</w:t>
            </w:r>
            <w:proofErr w:type="spellEnd"/>
            <w:r w:rsidRPr="009E45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Powder for paediatric oral drops  100 mg (as </w:t>
            </w:r>
            <w:proofErr w:type="spellStart"/>
            <w:r w:rsidRPr="009E45AF">
              <w:rPr>
                <w:sz w:val="20"/>
                <w:szCs w:val="20"/>
              </w:rPr>
              <w:t>trihydrate</w:t>
            </w:r>
            <w:proofErr w:type="spellEnd"/>
            <w:r w:rsidRPr="009E45AF">
              <w:rPr>
                <w:sz w:val="20"/>
                <w:szCs w:val="20"/>
              </w:rPr>
              <w:t xml:space="preserve">) per mL, 20 mL 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45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Artemether</w:t>
            </w:r>
            <w:proofErr w:type="spellEnd"/>
            <w:r w:rsidRPr="009E45AF">
              <w:rPr>
                <w:sz w:val="20"/>
                <w:szCs w:val="20"/>
              </w:rPr>
              <w:t xml:space="preserve"> with </w:t>
            </w:r>
            <w:proofErr w:type="spellStart"/>
            <w:r w:rsidRPr="009E45AF">
              <w:rPr>
                <w:sz w:val="20"/>
                <w:szCs w:val="20"/>
              </w:rPr>
              <w:t>Lumefantrine</w:t>
            </w:r>
            <w:proofErr w:type="spellEnd"/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Tablet (dispersible) 20 mg</w:t>
            </w:r>
            <w:r w:rsidRPr="009E45AF">
              <w:rPr>
                <w:sz w:val="20"/>
                <w:szCs w:val="20"/>
              </w:rPr>
              <w:noBreakHyphen/>
              <w:t>120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Azithromycin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Powder for oral suspension 200 mg (as </w:t>
            </w:r>
            <w:proofErr w:type="spellStart"/>
            <w:r w:rsidRPr="009E45AF">
              <w:rPr>
                <w:sz w:val="20"/>
                <w:szCs w:val="20"/>
              </w:rPr>
              <w:t>dihydrate</w:t>
            </w:r>
            <w:proofErr w:type="spellEnd"/>
            <w:r w:rsidRPr="009E45AF">
              <w:rPr>
                <w:sz w:val="20"/>
                <w:szCs w:val="20"/>
              </w:rPr>
              <w:t xml:space="preserve">) per 5 mL, 15mL 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77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Atenolol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50 mg in 10 mL, 300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Captopril 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5 mg per mL,  95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Carbamazepine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suspension 100 mg per 5 mL,  300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Ciprofloxacin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Ear drops 3 mg (as hydrochloride) per mL, 5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Application to the ear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Clarithromycin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Powder for oral liquid 250 mg per 5 mL, 50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Clonazepam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2.5 mg per mL, 10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C66A05" w:rsidTr="0091621B">
        <w:trPr>
          <w:trHeight w:val="454"/>
        </w:trPr>
        <w:tc>
          <w:tcPr>
            <w:tcW w:w="1093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Clonazepam</w:t>
            </w:r>
          </w:p>
        </w:tc>
        <w:tc>
          <w:tcPr>
            <w:tcW w:w="2935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 1 mg in 2 mL (set containing solution 1 mg in 1 mL and 1 mL diluent)</w:t>
            </w:r>
          </w:p>
        </w:tc>
        <w:tc>
          <w:tcPr>
            <w:tcW w:w="972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Clozapine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50 mg per mL, 100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Cefuroxime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Powder for oral suspension 125 mg (as </w:t>
            </w:r>
            <w:proofErr w:type="spellStart"/>
            <w:r w:rsidRPr="009E45AF">
              <w:rPr>
                <w:sz w:val="20"/>
                <w:szCs w:val="20"/>
              </w:rPr>
              <w:t>axetil</w:t>
            </w:r>
            <w:proofErr w:type="spellEnd"/>
            <w:r w:rsidRPr="009E45AF">
              <w:rPr>
                <w:sz w:val="20"/>
                <w:szCs w:val="20"/>
              </w:rPr>
              <w:t>) per 5 mL, 70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Cyclosporin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100 mg per mL, 50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Cyclosporin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Capsule 10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C66A05" w:rsidTr="0091621B">
        <w:trPr>
          <w:trHeight w:val="284"/>
        </w:trPr>
        <w:tc>
          <w:tcPr>
            <w:tcW w:w="1093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Cyclosporin</w:t>
            </w:r>
            <w:proofErr w:type="spellEnd"/>
          </w:p>
        </w:tc>
        <w:tc>
          <w:tcPr>
            <w:tcW w:w="2935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Solution concentrate for I.V. infusion 50 mg in 1 mL</w:t>
            </w:r>
          </w:p>
        </w:tc>
        <w:tc>
          <w:tcPr>
            <w:tcW w:w="972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Diazepam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 10 mg in 2mL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Diazepam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1 mg in 1 mL, 100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Diclofenac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Suppository containing diclofenac sodium 100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Rectal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Digoxin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Paediatric oral solution 50 micrograms per mL,  60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Efavirenz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30 mg per mL, 180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C66A05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Escitalopram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20 mg (as oxalate) per mL, 15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Fluconazole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Powder for oral suspension 50 mg in 5 mL, 35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Frusemide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Oral solution 10 mg per mL, 30 mL   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C66A05" w:rsidTr="0091621B">
        <w:trPr>
          <w:trHeight w:val="284"/>
        </w:trPr>
        <w:tc>
          <w:tcPr>
            <w:tcW w:w="1093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Glyceryl Trinitrate</w:t>
            </w:r>
          </w:p>
        </w:tc>
        <w:tc>
          <w:tcPr>
            <w:tcW w:w="2935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Sublingual spray (pump pack) 400 micrograms per dose, 200 doses</w:t>
            </w:r>
          </w:p>
        </w:tc>
        <w:tc>
          <w:tcPr>
            <w:tcW w:w="972" w:type="pct"/>
          </w:tcPr>
          <w:p w:rsidR="00D758F4" w:rsidRPr="009E45AF" w:rsidDel="00C66A05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Sublingual</w:t>
            </w:r>
          </w:p>
        </w:tc>
      </w:tr>
      <w:tr w:rsidR="00D758F4" w:rsidRPr="009E45AF" w:rsidDel="00C66A05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Hydrocortisone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Tablet 4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C66A05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Hydromorphone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containing hydromorphone hydrochloride 1 mg per mL, 473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Indomethacin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Suppository 100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Rectal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Levodopa with Carbidopa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Tablet 200 mg</w:t>
            </w:r>
            <w:r w:rsidRPr="009E45AF">
              <w:rPr>
                <w:sz w:val="20"/>
                <w:szCs w:val="20"/>
              </w:rPr>
              <w:noBreakHyphen/>
              <w:t xml:space="preserve">50 mg (anhydrous) (modified release)  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Mercaptopurine</w:t>
            </w:r>
            <w:proofErr w:type="spellEnd"/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suspension 20 mg per mL, 100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Methadone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containing methadone hydrochloride 25 mg per 5mL, 200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Methadone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 containing methadone hydrochloride 10 mg in 1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</w:t>
            </w:r>
          </w:p>
        </w:tc>
      </w:tr>
      <w:tr w:rsidR="00D758F4" w:rsidRPr="009E45AF" w:rsidDel="00275DA6" w:rsidTr="0091621B">
        <w:trPr>
          <w:trHeight w:val="284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Metronidazole</w:t>
            </w:r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Suppositories 500 mg, 10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Rectal</w:t>
            </w:r>
          </w:p>
        </w:tc>
      </w:tr>
      <w:tr w:rsidR="00D758F4" w:rsidRPr="009E45AF" w:rsidDel="00275DA6" w:rsidTr="0091621B">
        <w:trPr>
          <w:trHeight w:val="331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Metronidazole</w:t>
            </w:r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suspension containing metronidazole benzoate 320 mg per 5 mL, 100 mL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275DA6" w:rsidTr="0091621B">
        <w:trPr>
          <w:trHeight w:val="45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Mycophenolic Acid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Powder for oral suspension containing mycophenolate </w:t>
            </w:r>
            <w:proofErr w:type="spellStart"/>
            <w:r w:rsidRPr="009E45AF">
              <w:rPr>
                <w:sz w:val="20"/>
                <w:szCs w:val="20"/>
              </w:rPr>
              <w:t>mofetil</w:t>
            </w:r>
            <w:proofErr w:type="spellEnd"/>
            <w:r w:rsidRPr="009E45AF">
              <w:rPr>
                <w:sz w:val="20"/>
                <w:szCs w:val="20"/>
              </w:rPr>
              <w:t xml:space="preserve"> 1 g per 5 mL, 165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Naproxen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suspension 125 mg per 5mL, 474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275DA6" w:rsidTr="0091621B">
        <w:trPr>
          <w:trHeight w:val="284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Nevirapine</w:t>
            </w:r>
            <w:proofErr w:type="spellEnd"/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suspension 50 mg (as hemihydrate) per 5 mL, 240 mL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4437E3" w:rsidTr="0091621B">
        <w:trPr>
          <w:trHeight w:val="284"/>
        </w:trPr>
        <w:tc>
          <w:tcPr>
            <w:tcW w:w="1093" w:type="pct"/>
          </w:tcPr>
          <w:p w:rsidR="00D758F4" w:rsidRPr="009E45AF" w:rsidDel="004437E3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Ondansetron</w:t>
            </w:r>
          </w:p>
        </w:tc>
        <w:tc>
          <w:tcPr>
            <w:tcW w:w="2935" w:type="pct"/>
          </w:tcPr>
          <w:p w:rsidR="00D758F4" w:rsidRPr="009E45AF" w:rsidDel="004437E3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Syrup, 4 mg (as hydrochloride </w:t>
            </w:r>
            <w:proofErr w:type="spellStart"/>
            <w:r w:rsidRPr="009E45AF">
              <w:rPr>
                <w:sz w:val="20"/>
                <w:szCs w:val="20"/>
              </w:rPr>
              <w:t>dihydrate</w:t>
            </w:r>
            <w:proofErr w:type="spellEnd"/>
            <w:r w:rsidRPr="009E45AF">
              <w:rPr>
                <w:sz w:val="20"/>
                <w:szCs w:val="20"/>
              </w:rPr>
              <w:t>) per 5 mL, 50mL</w:t>
            </w:r>
          </w:p>
        </w:tc>
        <w:tc>
          <w:tcPr>
            <w:tcW w:w="972" w:type="pct"/>
          </w:tcPr>
          <w:p w:rsidR="00D758F4" w:rsidRPr="009E45AF" w:rsidDel="004437E3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4437E3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Oxycodone</w:t>
            </w:r>
          </w:p>
        </w:tc>
        <w:tc>
          <w:tcPr>
            <w:tcW w:w="2935" w:type="pct"/>
          </w:tcPr>
          <w:p w:rsidR="00D758F4" w:rsidRPr="009E45AF" w:rsidRDefault="00D758F4" w:rsidP="005071E2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containing oxycodone hydrochloride</w:t>
            </w:r>
            <w:r w:rsidR="005071E2">
              <w:rPr>
                <w:sz w:val="20"/>
                <w:szCs w:val="20"/>
              </w:rPr>
              <w:t xml:space="preserve"> 1 mg per</w:t>
            </w:r>
            <w:r w:rsidRPr="009E45AF">
              <w:rPr>
                <w:sz w:val="20"/>
                <w:szCs w:val="20"/>
              </w:rPr>
              <w:t xml:space="preserve"> mL, 250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4437E3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Pantoprazole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Sachet containing granules 40 mg (as sodium </w:t>
            </w:r>
            <w:proofErr w:type="spellStart"/>
            <w:r w:rsidRPr="009E45AF">
              <w:rPr>
                <w:sz w:val="20"/>
                <w:szCs w:val="20"/>
              </w:rPr>
              <w:t>sesquihydrate</w:t>
            </w:r>
            <w:proofErr w:type="spellEnd"/>
            <w:r w:rsidRPr="009E45AF">
              <w:rPr>
                <w:sz w:val="20"/>
                <w:szCs w:val="20"/>
              </w:rPr>
              <w:t>)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keepNext/>
              <w:keepLines/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Paracetamol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120 mg per 5 mL, 100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Paracetamol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240 mg per 5 mL, 200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275DA6" w:rsidTr="0091621B">
        <w:trPr>
          <w:trHeight w:val="284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Paracetamol</w:t>
            </w:r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Suppositories 500 mg, 24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Rectal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Prochlorperazine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Injection containing </w:t>
            </w:r>
            <w:proofErr w:type="spellStart"/>
            <w:r w:rsidRPr="009E45AF">
              <w:rPr>
                <w:sz w:val="20"/>
                <w:szCs w:val="20"/>
              </w:rPr>
              <w:t>prochlorperazine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  <w:proofErr w:type="spellStart"/>
            <w:r w:rsidRPr="009E45AF">
              <w:rPr>
                <w:sz w:val="20"/>
                <w:szCs w:val="20"/>
              </w:rPr>
              <w:t>mesylate</w:t>
            </w:r>
            <w:proofErr w:type="spellEnd"/>
            <w:r w:rsidRPr="009E45AF">
              <w:rPr>
                <w:sz w:val="20"/>
                <w:szCs w:val="20"/>
              </w:rPr>
              <w:t xml:space="preserve"> 12.5 mg in 1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Injection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Ranitidine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Syrup 150 mg (as hydrochloride) per 10 mL, 300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Risperidone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1mg per mL, 100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Roxithromycin</w:t>
            </w:r>
            <w:proofErr w:type="spellEnd"/>
            <w:r w:rsidRPr="009E4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Tablet for oral suspension 50 mg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Salbutamol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Oral solution 2 mg (as </w:t>
            </w:r>
            <w:proofErr w:type="spellStart"/>
            <w:r w:rsidRPr="009E45AF">
              <w:rPr>
                <w:sz w:val="20"/>
                <w:szCs w:val="20"/>
              </w:rPr>
              <w:t>sulfate</w:t>
            </w:r>
            <w:proofErr w:type="spellEnd"/>
            <w:r w:rsidRPr="009E45AF">
              <w:rPr>
                <w:sz w:val="20"/>
                <w:szCs w:val="20"/>
              </w:rPr>
              <w:t>) per 5 mL, 150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45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Salbutamol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Pressurised inhalation in breath actuated device 100 micrograms (as </w:t>
            </w:r>
            <w:proofErr w:type="spellStart"/>
            <w:r w:rsidRPr="009E45AF">
              <w:rPr>
                <w:sz w:val="20"/>
                <w:szCs w:val="20"/>
              </w:rPr>
              <w:t>sulfate</w:t>
            </w:r>
            <w:proofErr w:type="spellEnd"/>
            <w:r w:rsidRPr="009E45AF">
              <w:rPr>
                <w:sz w:val="20"/>
                <w:szCs w:val="20"/>
              </w:rPr>
              <w:t>) per dose, 200 doses (CFC</w:t>
            </w:r>
            <w:r w:rsidRPr="009E45AF">
              <w:rPr>
                <w:sz w:val="20"/>
                <w:szCs w:val="20"/>
              </w:rPr>
              <w:noBreakHyphen/>
              <w:t>free formulation)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Inhalation by mouth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Terbinafine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Cream containing terbinafine hydrochloride 10 mg per g, 15 g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Application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i/>
                <w:iCs/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 xml:space="preserve">Tramadol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drops containing tramadol hydrochloride 100 mg per mL, 10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275DA6" w:rsidTr="0091621B">
        <w:trPr>
          <w:trHeight w:val="284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Valganciclovir</w:t>
            </w:r>
            <w:proofErr w:type="spellEnd"/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Powder for oral solution 50 mg (as hydrochloride) per mL, 100 mL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275DA6" w:rsidTr="0091621B">
        <w:trPr>
          <w:trHeight w:val="284"/>
        </w:trPr>
        <w:tc>
          <w:tcPr>
            <w:tcW w:w="1093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Valproic</w:t>
            </w:r>
            <w:proofErr w:type="spellEnd"/>
            <w:r w:rsidRPr="009E45AF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2935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Tablet, crushable, containing sodium valproate 100 mg</w:t>
            </w:r>
          </w:p>
        </w:tc>
        <w:tc>
          <w:tcPr>
            <w:tcW w:w="972" w:type="pct"/>
          </w:tcPr>
          <w:p w:rsidR="00D758F4" w:rsidRPr="009E45AF" w:rsidDel="00275DA6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Tr="0091621B">
        <w:trPr>
          <w:trHeight w:val="284"/>
        </w:trPr>
        <w:tc>
          <w:tcPr>
            <w:tcW w:w="1093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Valproic</w:t>
            </w:r>
            <w:proofErr w:type="spellEnd"/>
            <w:r w:rsidRPr="009E45AF">
              <w:rPr>
                <w:sz w:val="20"/>
                <w:szCs w:val="20"/>
              </w:rPr>
              <w:t xml:space="preserve"> Acid </w:t>
            </w:r>
          </w:p>
        </w:tc>
        <w:tc>
          <w:tcPr>
            <w:tcW w:w="2935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liquid containing sodium valproate 200 mg per 5mL, 300 mL</w:t>
            </w:r>
          </w:p>
        </w:tc>
        <w:tc>
          <w:tcPr>
            <w:tcW w:w="972" w:type="pct"/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E96A5B" w:rsidTr="0091621B">
        <w:trPr>
          <w:trHeight w:val="284"/>
        </w:trPr>
        <w:tc>
          <w:tcPr>
            <w:tcW w:w="1093" w:type="pct"/>
          </w:tcPr>
          <w:p w:rsidR="00D758F4" w:rsidRPr="009E45AF" w:rsidDel="00E96A5B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Valproic</w:t>
            </w:r>
            <w:proofErr w:type="spellEnd"/>
            <w:r w:rsidRPr="009E45AF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2935" w:type="pct"/>
          </w:tcPr>
          <w:p w:rsidR="00D758F4" w:rsidRPr="009E45AF" w:rsidDel="00E96A5B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 solution containing sodium valproate 200 mg per 5mL, 300 mL</w:t>
            </w:r>
          </w:p>
        </w:tc>
        <w:tc>
          <w:tcPr>
            <w:tcW w:w="972" w:type="pct"/>
          </w:tcPr>
          <w:p w:rsidR="00D758F4" w:rsidRPr="009E45AF" w:rsidDel="00E96A5B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  <w:tr w:rsidR="00D758F4" w:rsidRPr="009E45AF" w:rsidDel="00E96A5B" w:rsidTr="0091621B">
        <w:trPr>
          <w:trHeight w:val="284"/>
        </w:trPr>
        <w:tc>
          <w:tcPr>
            <w:tcW w:w="1093" w:type="pct"/>
            <w:tcBorders>
              <w:bottom w:val="single" w:sz="12" w:space="0" w:color="auto"/>
            </w:tcBorders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proofErr w:type="spellStart"/>
            <w:r w:rsidRPr="009E45AF">
              <w:rPr>
                <w:sz w:val="20"/>
                <w:szCs w:val="20"/>
              </w:rPr>
              <w:t>Voriconazole</w:t>
            </w:r>
            <w:proofErr w:type="spellEnd"/>
          </w:p>
        </w:tc>
        <w:tc>
          <w:tcPr>
            <w:tcW w:w="2935" w:type="pct"/>
            <w:tcBorders>
              <w:bottom w:val="single" w:sz="12" w:space="0" w:color="auto"/>
            </w:tcBorders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Powder for oral suspension 40 mg per mL, 70 mL</w:t>
            </w:r>
          </w:p>
        </w:tc>
        <w:tc>
          <w:tcPr>
            <w:tcW w:w="972" w:type="pct"/>
            <w:tcBorders>
              <w:bottom w:val="single" w:sz="12" w:space="0" w:color="auto"/>
            </w:tcBorders>
          </w:tcPr>
          <w:p w:rsidR="00D758F4" w:rsidRPr="009E45AF" w:rsidRDefault="00D758F4" w:rsidP="0091621B">
            <w:pPr>
              <w:rPr>
                <w:sz w:val="20"/>
                <w:szCs w:val="20"/>
              </w:rPr>
            </w:pPr>
            <w:r w:rsidRPr="009E45AF">
              <w:rPr>
                <w:sz w:val="20"/>
                <w:szCs w:val="20"/>
              </w:rPr>
              <w:t>Oral</w:t>
            </w:r>
          </w:p>
        </w:tc>
      </w:tr>
    </w:tbl>
    <w:p w:rsidR="00D758F4" w:rsidRPr="009E45AF" w:rsidRDefault="00D758F4" w:rsidP="00D758F4">
      <w:pPr>
        <w:rPr>
          <w:sz w:val="20"/>
          <w:szCs w:val="20"/>
        </w:rPr>
      </w:pPr>
    </w:p>
    <w:sectPr w:rsidR="00D758F4" w:rsidRPr="009E45AF" w:rsidSect="00652B5A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75" w:rsidRDefault="00DC3E75">
      <w:r>
        <w:separator/>
      </w:r>
    </w:p>
  </w:endnote>
  <w:endnote w:type="continuationSeparator" w:id="0">
    <w:p w:rsidR="00DC3E75" w:rsidRDefault="00DC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9" w:rsidRDefault="00BD40D0" w:rsidP="00197331">
    <w:pPr>
      <w:pStyle w:val="Footer"/>
    </w:pPr>
    <w:r>
      <w:t>National Health (</w:t>
    </w:r>
    <w:r w:rsidR="00E81720" w:rsidRPr="00E81720">
      <w:t>Highly specialised drugs program for hospitals)</w:t>
    </w:r>
    <w:r w:rsidRPr="00E81720">
      <w:t xml:space="preserve"> </w:t>
    </w:r>
    <w:r w:rsidR="00985449" w:rsidRPr="00E81720">
      <w:t>Special</w:t>
    </w:r>
    <w:r w:rsidR="00985449">
      <w:t xml:space="preserve"> Arrangement </w:t>
    </w:r>
    <w:r>
      <w:t xml:space="preserve">Amendment Instrument </w:t>
    </w:r>
    <w:proofErr w:type="gramStart"/>
    <w:r>
      <w:t>2015  (</w:t>
    </w:r>
    <w:proofErr w:type="gramEnd"/>
    <w:r>
      <w:t xml:space="preserve">PB </w:t>
    </w:r>
    <w:r w:rsidRPr="00FC61F2">
      <w:rPr>
        <w:color w:val="FF0000"/>
      </w:rPr>
      <w:t>??</w:t>
    </w:r>
    <w:r>
      <w:t xml:space="preserve"> of 2015)                    </w:t>
    </w:r>
  </w:p>
  <w:p w:rsidR="00BD40D0" w:rsidRDefault="00BD40D0" w:rsidP="0019733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010BB">
      <w:rPr>
        <w:noProof/>
      </w:rPr>
      <w:t>3</w:t>
    </w:r>
    <w:r>
      <w:rPr>
        <w:noProof/>
      </w:rPr>
      <w:fldChar w:fldCharType="end"/>
    </w:r>
  </w:p>
  <w:p w:rsidR="00BD40D0" w:rsidRDefault="00BD40D0" w:rsidP="00C268CB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036C2A" w:rsidRPr="00036C2A" w:rsidTr="00E547A3">
      <w:tc>
        <w:tcPr>
          <w:tcW w:w="1134" w:type="dxa"/>
          <w:shd w:val="clear" w:color="auto" w:fill="auto"/>
        </w:tcPr>
        <w:p w:rsidR="00036C2A" w:rsidRPr="00036C2A" w:rsidRDefault="00036C2A" w:rsidP="00036C2A">
          <w:pPr>
            <w:pStyle w:val="Footer"/>
          </w:pPr>
        </w:p>
      </w:tc>
      <w:tc>
        <w:tcPr>
          <w:tcW w:w="6414" w:type="dxa"/>
          <w:shd w:val="clear" w:color="auto" w:fill="auto"/>
        </w:tcPr>
        <w:p w:rsidR="00036C2A" w:rsidRPr="00036C2A" w:rsidRDefault="00036C2A" w:rsidP="00036C2A">
          <w:pPr>
            <w:pStyle w:val="Footer"/>
          </w:pPr>
        </w:p>
      </w:tc>
      <w:tc>
        <w:tcPr>
          <w:tcW w:w="1134" w:type="dxa"/>
          <w:shd w:val="clear" w:color="auto" w:fill="auto"/>
        </w:tcPr>
        <w:p w:rsidR="00036C2A" w:rsidRPr="00036C2A" w:rsidRDefault="00036C2A" w:rsidP="00036C2A">
          <w:pPr>
            <w:pStyle w:val="Footer"/>
          </w:pPr>
        </w:p>
      </w:tc>
    </w:tr>
  </w:tbl>
  <w:p w:rsidR="00BD40D0" w:rsidRPr="00036C2A" w:rsidRDefault="00BD40D0" w:rsidP="00036C2A">
    <w:pPr>
      <w:pStyle w:val="Footer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5814"/>
      <w:gridCol w:w="600"/>
      <w:gridCol w:w="1080"/>
      <w:gridCol w:w="54"/>
      <w:gridCol w:w="186"/>
    </w:tblGrid>
    <w:tr w:rsidR="00CB0B6D" w:rsidTr="00E00D8D">
      <w:trPr>
        <w:gridAfter w:val="1"/>
        <w:wAfter w:w="186" w:type="dxa"/>
      </w:trPr>
      <w:tc>
        <w:tcPr>
          <w:tcW w:w="1134" w:type="dxa"/>
          <w:tcBorders>
            <w:top w:val="nil"/>
          </w:tcBorders>
          <w:shd w:val="clear" w:color="auto" w:fill="auto"/>
        </w:tcPr>
        <w:p w:rsidR="00CB0B6D" w:rsidRDefault="00CB0B6D" w:rsidP="00577214">
          <w:pPr>
            <w:spacing w:line="240" w:lineRule="exact"/>
          </w:pPr>
        </w:p>
      </w:tc>
      <w:tc>
        <w:tcPr>
          <w:tcW w:w="6414" w:type="dxa"/>
          <w:gridSpan w:val="2"/>
          <w:tcBorders>
            <w:top w:val="nil"/>
          </w:tcBorders>
          <w:shd w:val="clear" w:color="auto" w:fill="auto"/>
        </w:tcPr>
        <w:p w:rsidR="00CB0B6D" w:rsidRPr="004F5D6D" w:rsidRDefault="00CB0B6D" w:rsidP="00CB0B6D">
          <w:pPr>
            <w:pStyle w:val="FooterCitation"/>
          </w:pPr>
        </w:p>
      </w:tc>
      <w:tc>
        <w:tcPr>
          <w:tcW w:w="1134" w:type="dxa"/>
          <w:gridSpan w:val="2"/>
          <w:tcBorders>
            <w:top w:val="nil"/>
          </w:tcBorders>
          <w:shd w:val="clear" w:color="auto" w:fill="auto"/>
        </w:tcPr>
        <w:p w:rsidR="00CB0B6D" w:rsidRPr="00FE1BEE" w:rsidRDefault="00CB0B6D" w:rsidP="00577214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CB0B6D" w:rsidRPr="00E71EB1" w:rsidTr="00577214">
      <w:trPr>
        <w:trHeight w:val="70"/>
      </w:trPr>
      <w:tc>
        <w:tcPr>
          <w:tcW w:w="6948" w:type="dxa"/>
          <w:gridSpan w:val="2"/>
          <w:shd w:val="clear" w:color="auto" w:fill="auto"/>
        </w:tcPr>
        <w:p w:rsidR="00CB0B6D" w:rsidRPr="00E71EB1" w:rsidRDefault="00CB0B6D" w:rsidP="0057721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1680" w:type="dxa"/>
          <w:gridSpan w:val="2"/>
          <w:shd w:val="clear" w:color="auto" w:fill="auto"/>
        </w:tcPr>
        <w:p w:rsidR="00CB0B6D" w:rsidRPr="00E71EB1" w:rsidRDefault="00CB0B6D" w:rsidP="00577214">
          <w:pPr>
            <w:pStyle w:val="FooterCitation"/>
            <w:rPr>
              <w:sz w:val="20"/>
              <w:szCs w:val="20"/>
            </w:rPr>
          </w:pPr>
        </w:p>
      </w:tc>
      <w:tc>
        <w:tcPr>
          <w:tcW w:w="240" w:type="dxa"/>
          <w:gridSpan w:val="2"/>
          <w:shd w:val="clear" w:color="auto" w:fill="auto"/>
        </w:tcPr>
        <w:p w:rsidR="00CB0B6D" w:rsidRPr="00E71EB1" w:rsidRDefault="00CB0B6D" w:rsidP="00577214">
          <w:pPr>
            <w:spacing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CB0B6D" w:rsidRPr="00CB0B6D" w:rsidRDefault="00CB0B6D" w:rsidP="00CB0B6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652B5A" w:rsidRPr="00036C2A" w:rsidTr="00652B5A">
      <w:tc>
        <w:tcPr>
          <w:tcW w:w="1159" w:type="dxa"/>
          <w:shd w:val="clear" w:color="auto" w:fill="auto"/>
        </w:tcPr>
        <w:p w:rsidR="00652B5A" w:rsidRPr="00036C2A" w:rsidRDefault="00652B5A" w:rsidP="00036C2A">
          <w:pPr>
            <w:pStyle w:val="Footer"/>
          </w:pPr>
        </w:p>
      </w:tc>
      <w:tc>
        <w:tcPr>
          <w:tcW w:w="6551" w:type="dxa"/>
          <w:shd w:val="clear" w:color="auto" w:fill="auto"/>
        </w:tcPr>
        <w:p w:rsidR="00652B5A" w:rsidRPr="00036C2A" w:rsidRDefault="00652B5A" w:rsidP="00036C2A">
          <w:pPr>
            <w:pStyle w:val="Footer"/>
          </w:pPr>
        </w:p>
      </w:tc>
      <w:tc>
        <w:tcPr>
          <w:tcW w:w="1158" w:type="dxa"/>
          <w:shd w:val="clear" w:color="auto" w:fill="auto"/>
        </w:tcPr>
        <w:p w:rsidR="00652B5A" w:rsidRPr="00036C2A" w:rsidRDefault="00652B5A" w:rsidP="00036C2A">
          <w:pPr>
            <w:pStyle w:val="Footer"/>
          </w:pPr>
        </w:p>
      </w:tc>
    </w:tr>
    <w:tr w:rsidR="00652B5A" w:rsidTr="00CA5E23">
      <w:trPr>
        <w:trHeight w:val="207"/>
      </w:trPr>
      <w:tc>
        <w:tcPr>
          <w:tcW w:w="1159" w:type="dxa"/>
          <w:shd w:val="clear" w:color="auto" w:fill="auto"/>
        </w:tcPr>
        <w:p w:rsidR="00652B5A" w:rsidRDefault="00652B5A" w:rsidP="00652B5A">
          <w:pPr>
            <w:pStyle w:val="Footer"/>
          </w:pPr>
        </w:p>
      </w:tc>
      <w:tc>
        <w:tcPr>
          <w:tcW w:w="6551" w:type="dxa"/>
          <w:shd w:val="clear" w:color="auto" w:fill="auto"/>
        </w:tcPr>
        <w:p w:rsidR="00B653F1" w:rsidRDefault="00BF728B" w:rsidP="0022683A">
          <w:pPr>
            <w:pStyle w:val="Footer"/>
          </w:pPr>
          <w:r w:rsidRPr="00BF728B">
            <w:t>National Health (Pharmaceutical Benefits Scheme</w:t>
          </w:r>
          <w:r w:rsidR="00EB3A4A">
            <w:t>-</w:t>
          </w:r>
          <w:r w:rsidRPr="00BF728B">
            <w:t xml:space="preserve"> </w:t>
          </w:r>
          <w:r w:rsidR="0022683A">
            <w:t>Exempt items</w:t>
          </w:r>
          <w:r w:rsidRPr="00BF728B">
            <w:t xml:space="preserve"> – </w:t>
          </w:r>
        </w:p>
        <w:p w:rsidR="00652B5A" w:rsidRPr="00BF728B" w:rsidRDefault="00BF728B" w:rsidP="0022683A">
          <w:pPr>
            <w:pStyle w:val="Footer"/>
          </w:pPr>
          <w:r w:rsidRPr="00BF728B">
            <w:t>section</w:t>
          </w:r>
          <w:r w:rsidR="0022683A">
            <w:t xml:space="preserve"> 84AH</w:t>
          </w:r>
          <w:r w:rsidRPr="00BF728B">
            <w:t>) Determination 2017(PB</w:t>
          </w:r>
          <w:r w:rsidR="0022683A">
            <w:t xml:space="preserve"> 81</w:t>
          </w:r>
          <w:r w:rsidRPr="00BF728B">
            <w:t> of 2017)</w:t>
          </w:r>
        </w:p>
      </w:tc>
      <w:tc>
        <w:tcPr>
          <w:tcW w:w="1158" w:type="dxa"/>
          <w:shd w:val="clear" w:color="auto" w:fill="auto"/>
        </w:tcPr>
        <w:p w:rsidR="00652B5A" w:rsidRPr="00DA275B" w:rsidRDefault="00652B5A" w:rsidP="00652B5A">
          <w:pPr>
            <w:pStyle w:val="Footer"/>
          </w:pPr>
        </w:p>
        <w:p w:rsidR="00652B5A" w:rsidRPr="00652B5A" w:rsidRDefault="00652B5A" w:rsidP="00652B5A">
          <w:pPr>
            <w:pStyle w:val="Footer"/>
          </w:pPr>
          <w:r w:rsidRPr="00652B5A">
            <w:fldChar w:fldCharType="begin"/>
          </w:r>
          <w:r w:rsidRPr="00652B5A">
            <w:instrText xml:space="preserve"> PAGE   \* MERGEFORMAT </w:instrText>
          </w:r>
          <w:r w:rsidRPr="00652B5A">
            <w:fldChar w:fldCharType="separate"/>
          </w:r>
          <w:r w:rsidR="00010424">
            <w:rPr>
              <w:noProof/>
            </w:rPr>
            <w:t>3</w:t>
          </w:r>
          <w:r w:rsidRPr="00652B5A">
            <w:fldChar w:fldCharType="end"/>
          </w:r>
        </w:p>
      </w:tc>
    </w:tr>
  </w:tbl>
  <w:p w:rsidR="00652B5A" w:rsidRPr="00036C2A" w:rsidRDefault="00652B5A" w:rsidP="00BC3F68">
    <w:pPr>
      <w:pStyle w:val="Footer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25"/>
      <w:gridCol w:w="5789"/>
      <w:gridCol w:w="762"/>
      <w:gridCol w:w="918"/>
      <w:gridCol w:w="240"/>
    </w:tblGrid>
    <w:tr w:rsidR="0091422B" w:rsidRPr="00036C2A" w:rsidTr="00276C63">
      <w:tc>
        <w:tcPr>
          <w:tcW w:w="1159" w:type="dxa"/>
          <w:gridSpan w:val="2"/>
          <w:shd w:val="clear" w:color="auto" w:fill="auto"/>
        </w:tcPr>
        <w:p w:rsidR="0091422B" w:rsidRPr="00036C2A" w:rsidRDefault="0091422B" w:rsidP="00276C63">
          <w:pPr>
            <w:pStyle w:val="Footer"/>
          </w:pPr>
        </w:p>
      </w:tc>
      <w:tc>
        <w:tcPr>
          <w:tcW w:w="6551" w:type="dxa"/>
          <w:gridSpan w:val="2"/>
          <w:shd w:val="clear" w:color="auto" w:fill="auto"/>
        </w:tcPr>
        <w:p w:rsidR="0091422B" w:rsidRPr="00036C2A" w:rsidRDefault="0091422B" w:rsidP="00276C63">
          <w:pPr>
            <w:pStyle w:val="Footer"/>
          </w:pPr>
        </w:p>
      </w:tc>
      <w:tc>
        <w:tcPr>
          <w:tcW w:w="1158" w:type="dxa"/>
          <w:gridSpan w:val="2"/>
          <w:shd w:val="clear" w:color="auto" w:fill="auto"/>
        </w:tcPr>
        <w:p w:rsidR="0091422B" w:rsidRPr="00036C2A" w:rsidRDefault="0091422B" w:rsidP="00276C63">
          <w:pPr>
            <w:pStyle w:val="Footer"/>
          </w:pPr>
        </w:p>
      </w:tc>
    </w:tr>
    <w:tr w:rsidR="0091422B" w:rsidTr="00276C63">
      <w:tc>
        <w:tcPr>
          <w:tcW w:w="1159" w:type="dxa"/>
          <w:gridSpan w:val="2"/>
          <w:shd w:val="clear" w:color="auto" w:fill="auto"/>
        </w:tcPr>
        <w:p w:rsidR="0091422B" w:rsidRDefault="0091422B" w:rsidP="00276C63">
          <w:pPr>
            <w:pStyle w:val="Footer"/>
          </w:pPr>
        </w:p>
      </w:tc>
      <w:tc>
        <w:tcPr>
          <w:tcW w:w="6551" w:type="dxa"/>
          <w:gridSpan w:val="2"/>
          <w:shd w:val="clear" w:color="auto" w:fill="auto"/>
        </w:tcPr>
        <w:p w:rsidR="0091422B" w:rsidRPr="00BF728B" w:rsidRDefault="00CA5E23" w:rsidP="00724BD1">
          <w:pPr>
            <w:pStyle w:val="Footer"/>
          </w:pPr>
          <w:r w:rsidRPr="00BF728B">
            <w:t>National Health (Pharmaceutical Benefits Scheme</w:t>
          </w:r>
          <w:r>
            <w:t>-</w:t>
          </w:r>
          <w:r w:rsidRPr="00BF728B">
            <w:t xml:space="preserve"> </w:t>
          </w:r>
          <w:r>
            <w:t>Exempt items</w:t>
          </w:r>
          <w:r w:rsidRPr="00BF728B">
            <w:t xml:space="preserve"> – section</w:t>
          </w:r>
          <w:r>
            <w:t xml:space="preserve"> 84AH</w:t>
          </w:r>
          <w:r w:rsidRPr="00BF728B">
            <w:t>) Determination 2017(PB</w:t>
          </w:r>
          <w:r>
            <w:t xml:space="preserve"> 81</w:t>
          </w:r>
          <w:r w:rsidRPr="00BF728B">
            <w:t> of 2017)</w:t>
          </w:r>
        </w:p>
      </w:tc>
      <w:tc>
        <w:tcPr>
          <w:tcW w:w="1158" w:type="dxa"/>
          <w:gridSpan w:val="2"/>
          <w:shd w:val="clear" w:color="auto" w:fill="auto"/>
        </w:tcPr>
        <w:p w:rsidR="0091422B" w:rsidRPr="00DA275B" w:rsidRDefault="0091422B" w:rsidP="00276C63">
          <w:pPr>
            <w:pStyle w:val="Footer"/>
          </w:pPr>
        </w:p>
        <w:p w:rsidR="0091422B" w:rsidRPr="00652B5A" w:rsidRDefault="0091422B" w:rsidP="00276C63">
          <w:pPr>
            <w:pStyle w:val="Footer"/>
          </w:pPr>
          <w:r w:rsidRPr="00652B5A">
            <w:fldChar w:fldCharType="begin"/>
          </w:r>
          <w:r w:rsidRPr="00652B5A">
            <w:instrText xml:space="preserve"> PAGE   \* MERGEFORMAT </w:instrText>
          </w:r>
          <w:r w:rsidRPr="00652B5A">
            <w:fldChar w:fldCharType="separate"/>
          </w:r>
          <w:r w:rsidR="00010424">
            <w:rPr>
              <w:noProof/>
            </w:rPr>
            <w:t>2</w:t>
          </w:r>
          <w:r w:rsidRPr="00652B5A">
            <w:fldChar w:fldCharType="end"/>
          </w:r>
        </w:p>
      </w:tc>
    </w:tr>
    <w:tr w:rsidR="0012207A" w:rsidTr="00577214">
      <w:trPr>
        <w:gridAfter w:val="5"/>
        <w:wAfter w:w="7734" w:type="dxa"/>
      </w:trPr>
      <w:tc>
        <w:tcPr>
          <w:tcW w:w="1134" w:type="dxa"/>
          <w:shd w:val="clear" w:color="auto" w:fill="auto"/>
        </w:tcPr>
        <w:p w:rsidR="0012207A" w:rsidRDefault="0012207A" w:rsidP="00577214">
          <w:pPr>
            <w:spacing w:line="240" w:lineRule="exact"/>
          </w:pPr>
        </w:p>
      </w:tc>
    </w:tr>
    <w:tr w:rsidR="00036C2A" w:rsidRPr="00E71EB1" w:rsidTr="00577214">
      <w:trPr>
        <w:trHeight w:val="70"/>
      </w:trPr>
      <w:tc>
        <w:tcPr>
          <w:tcW w:w="6948" w:type="dxa"/>
          <w:gridSpan w:val="3"/>
          <w:shd w:val="clear" w:color="auto" w:fill="auto"/>
        </w:tcPr>
        <w:p w:rsidR="00036C2A" w:rsidRPr="00E71EB1" w:rsidRDefault="00036C2A" w:rsidP="0057721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1680" w:type="dxa"/>
          <w:gridSpan w:val="2"/>
          <w:shd w:val="clear" w:color="auto" w:fill="auto"/>
        </w:tcPr>
        <w:p w:rsidR="00036C2A" w:rsidRPr="00E71EB1" w:rsidRDefault="00036C2A" w:rsidP="00577214">
          <w:pPr>
            <w:pStyle w:val="FooterCitation"/>
            <w:rPr>
              <w:sz w:val="20"/>
              <w:szCs w:val="20"/>
            </w:rPr>
          </w:pPr>
        </w:p>
      </w:tc>
      <w:tc>
        <w:tcPr>
          <w:tcW w:w="240" w:type="dxa"/>
          <w:shd w:val="clear" w:color="auto" w:fill="auto"/>
        </w:tcPr>
        <w:p w:rsidR="00036C2A" w:rsidRPr="00E71EB1" w:rsidRDefault="00036C2A" w:rsidP="00577214">
          <w:pPr>
            <w:spacing w:line="240" w:lineRule="exact"/>
            <w:jc w:val="right"/>
            <w:rPr>
              <w:rStyle w:val="PageNumber"/>
              <w:rFonts w:cs="Arial"/>
              <w:sz w:val="20"/>
              <w:szCs w:val="20"/>
            </w:rPr>
          </w:pPr>
        </w:p>
      </w:tc>
    </w:tr>
  </w:tbl>
  <w:p w:rsidR="00036C2A" w:rsidRPr="00CB0B6D" w:rsidRDefault="00036C2A" w:rsidP="00CB0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75" w:rsidRDefault="00DC3E75">
      <w:r>
        <w:separator/>
      </w:r>
    </w:p>
  </w:footnote>
  <w:footnote w:type="continuationSeparator" w:id="0">
    <w:p w:rsidR="00DC3E75" w:rsidRDefault="00DC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D40D0">
      <w:tc>
        <w:tcPr>
          <w:tcW w:w="1494" w:type="dxa"/>
        </w:tcPr>
        <w:p w:rsidR="00BD40D0" w:rsidRDefault="00BD40D0" w:rsidP="00BD545A">
          <w:pPr>
            <w:pStyle w:val="HeaderLiteEven"/>
          </w:pPr>
        </w:p>
      </w:tc>
      <w:tc>
        <w:tcPr>
          <w:tcW w:w="6891" w:type="dxa"/>
        </w:tcPr>
        <w:p w:rsidR="00BD40D0" w:rsidRDefault="00BD40D0" w:rsidP="00BD545A">
          <w:pPr>
            <w:pStyle w:val="HeaderLiteEven"/>
          </w:pPr>
        </w:p>
      </w:tc>
    </w:tr>
    <w:tr w:rsidR="00BD40D0">
      <w:tc>
        <w:tcPr>
          <w:tcW w:w="1494" w:type="dxa"/>
        </w:tcPr>
        <w:p w:rsidR="00BD40D0" w:rsidRDefault="00BD40D0" w:rsidP="00BD545A">
          <w:pPr>
            <w:pStyle w:val="HeaderLiteEven"/>
          </w:pPr>
        </w:p>
      </w:tc>
      <w:tc>
        <w:tcPr>
          <w:tcW w:w="6891" w:type="dxa"/>
        </w:tcPr>
        <w:p w:rsidR="00BD40D0" w:rsidRDefault="00BD40D0" w:rsidP="00BD545A">
          <w:pPr>
            <w:pStyle w:val="HeaderLiteEven"/>
          </w:pPr>
        </w:p>
      </w:tc>
    </w:tr>
    <w:tr w:rsidR="00BD40D0">
      <w:tc>
        <w:tcPr>
          <w:tcW w:w="8385" w:type="dxa"/>
          <w:gridSpan w:val="2"/>
          <w:tcBorders>
            <w:bottom w:val="single" w:sz="4" w:space="0" w:color="auto"/>
          </w:tcBorders>
        </w:tcPr>
        <w:p w:rsidR="00BD40D0" w:rsidRDefault="00BD40D0" w:rsidP="00BD545A">
          <w:pPr>
            <w:pStyle w:val="HeaderBoldEven"/>
          </w:pPr>
        </w:p>
      </w:tc>
    </w:tr>
  </w:tbl>
  <w:p w:rsidR="00BD40D0" w:rsidRDefault="00BD40D0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D40D0">
      <w:tc>
        <w:tcPr>
          <w:tcW w:w="6914" w:type="dxa"/>
        </w:tcPr>
        <w:p w:rsidR="00BD40D0" w:rsidRDefault="00BD40D0" w:rsidP="00BD545A">
          <w:pPr>
            <w:pStyle w:val="HeaderLiteOdd"/>
          </w:pPr>
        </w:p>
      </w:tc>
      <w:tc>
        <w:tcPr>
          <w:tcW w:w="1471" w:type="dxa"/>
        </w:tcPr>
        <w:p w:rsidR="00BD40D0" w:rsidRDefault="00BD40D0" w:rsidP="00BD545A">
          <w:pPr>
            <w:pStyle w:val="HeaderLiteOdd"/>
          </w:pPr>
        </w:p>
      </w:tc>
    </w:tr>
    <w:tr w:rsidR="00BD40D0">
      <w:tc>
        <w:tcPr>
          <w:tcW w:w="6914" w:type="dxa"/>
        </w:tcPr>
        <w:p w:rsidR="00BD40D0" w:rsidRDefault="00BD40D0" w:rsidP="00BD545A">
          <w:pPr>
            <w:pStyle w:val="HeaderLiteOdd"/>
          </w:pPr>
        </w:p>
      </w:tc>
      <w:tc>
        <w:tcPr>
          <w:tcW w:w="1471" w:type="dxa"/>
        </w:tcPr>
        <w:p w:rsidR="00BD40D0" w:rsidRDefault="00BD40D0" w:rsidP="00BD545A">
          <w:pPr>
            <w:pStyle w:val="HeaderLiteOdd"/>
          </w:pPr>
        </w:p>
      </w:tc>
    </w:tr>
    <w:tr w:rsidR="00BD40D0">
      <w:tc>
        <w:tcPr>
          <w:tcW w:w="8385" w:type="dxa"/>
          <w:gridSpan w:val="2"/>
          <w:tcBorders>
            <w:bottom w:val="single" w:sz="4" w:space="0" w:color="auto"/>
          </w:tcBorders>
        </w:tcPr>
        <w:p w:rsidR="00BD40D0" w:rsidRDefault="00BD40D0" w:rsidP="00BD545A">
          <w:pPr>
            <w:pStyle w:val="HeaderBoldOdd"/>
          </w:pPr>
        </w:p>
      </w:tc>
    </w:tr>
  </w:tbl>
  <w:p w:rsidR="00BD40D0" w:rsidRDefault="00BD40D0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CB0B6D" w:rsidRPr="00FF7AF0" w:rsidTr="00577214">
      <w:trPr>
        <w:gridAfter w:val="1"/>
        <w:wAfter w:w="6798" w:type="dxa"/>
      </w:trPr>
      <w:tc>
        <w:tcPr>
          <w:tcW w:w="1548" w:type="dxa"/>
        </w:tcPr>
        <w:p w:rsidR="00CB0B6D" w:rsidRPr="00FF7AF0" w:rsidRDefault="00CB0B6D" w:rsidP="00CB0B6D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CB0B6D" w:rsidRPr="00FF7AF0" w:rsidTr="00577214">
      <w:trPr>
        <w:gridAfter w:val="1"/>
        <w:wAfter w:w="6798" w:type="dxa"/>
      </w:trPr>
      <w:tc>
        <w:tcPr>
          <w:tcW w:w="1548" w:type="dxa"/>
        </w:tcPr>
        <w:p w:rsidR="00CB0B6D" w:rsidRPr="00FF7AF0" w:rsidRDefault="00CB0B6D" w:rsidP="00CB0B6D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CB0B6D" w:rsidRPr="00FF7AF0" w:rsidTr="00FF7AF0">
      <w:tc>
        <w:tcPr>
          <w:tcW w:w="8346" w:type="dxa"/>
          <w:gridSpan w:val="2"/>
          <w:shd w:val="clear" w:color="auto" w:fill="auto"/>
        </w:tcPr>
        <w:p w:rsidR="00CB0B6D" w:rsidRPr="00FF7AF0" w:rsidRDefault="00CB0B6D" w:rsidP="00CB0B6D">
          <w:pPr>
            <w:spacing w:before="120" w:after="60"/>
            <w:jc w:val="right"/>
            <w:rPr>
              <w:rFonts w:ascii="Arial" w:hAnsi="Arial"/>
              <w:b/>
              <w:sz w:val="20"/>
            </w:rPr>
          </w:pPr>
        </w:p>
      </w:tc>
    </w:tr>
  </w:tbl>
  <w:p w:rsidR="00BD40D0" w:rsidRDefault="00BD40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44543E">
      <w:tc>
        <w:tcPr>
          <w:tcW w:w="6914" w:type="dxa"/>
        </w:tcPr>
        <w:p w:rsidR="0044543E" w:rsidRDefault="0044543E" w:rsidP="00BD545A">
          <w:pPr>
            <w:pStyle w:val="HeaderLiteOdd"/>
          </w:pPr>
        </w:p>
      </w:tc>
      <w:tc>
        <w:tcPr>
          <w:tcW w:w="1471" w:type="dxa"/>
        </w:tcPr>
        <w:p w:rsidR="0044543E" w:rsidRDefault="0044543E" w:rsidP="00BD545A">
          <w:pPr>
            <w:pStyle w:val="HeaderLiteOdd"/>
          </w:pPr>
        </w:p>
      </w:tc>
    </w:tr>
    <w:tr w:rsidR="0044543E">
      <w:tc>
        <w:tcPr>
          <w:tcW w:w="6914" w:type="dxa"/>
        </w:tcPr>
        <w:p w:rsidR="0044543E" w:rsidRDefault="0044543E" w:rsidP="00BD545A">
          <w:pPr>
            <w:pStyle w:val="HeaderLiteOdd"/>
          </w:pPr>
        </w:p>
      </w:tc>
      <w:tc>
        <w:tcPr>
          <w:tcW w:w="1471" w:type="dxa"/>
        </w:tcPr>
        <w:p w:rsidR="0044543E" w:rsidRDefault="0044543E" w:rsidP="00BD545A">
          <w:pPr>
            <w:pStyle w:val="HeaderLiteOdd"/>
          </w:pPr>
        </w:p>
      </w:tc>
    </w:tr>
    <w:tr w:rsidR="0044543E">
      <w:tc>
        <w:tcPr>
          <w:tcW w:w="8385" w:type="dxa"/>
          <w:gridSpan w:val="2"/>
          <w:tcBorders>
            <w:bottom w:val="single" w:sz="4" w:space="0" w:color="auto"/>
          </w:tcBorders>
        </w:tcPr>
        <w:p w:rsidR="0044543E" w:rsidRDefault="0044543E" w:rsidP="00BD545A">
          <w:pPr>
            <w:pStyle w:val="HeaderBoldOdd"/>
          </w:pPr>
        </w:p>
      </w:tc>
    </w:tr>
  </w:tbl>
  <w:p w:rsidR="0044543E" w:rsidRDefault="0044543E" w:rsidP="00BD545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CB0B6D" w:rsidRPr="00CB0B6D" w:rsidTr="00577214">
      <w:trPr>
        <w:gridAfter w:val="1"/>
        <w:wAfter w:w="6798" w:type="dxa"/>
      </w:trPr>
      <w:tc>
        <w:tcPr>
          <w:tcW w:w="1548" w:type="dxa"/>
        </w:tcPr>
        <w:p w:rsidR="00CB0B6D" w:rsidRPr="00CB0B6D" w:rsidRDefault="00CB0B6D" w:rsidP="00CB0B6D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CB0B6D" w:rsidRPr="00CB0B6D" w:rsidTr="00577214">
      <w:trPr>
        <w:gridAfter w:val="1"/>
        <w:wAfter w:w="6798" w:type="dxa"/>
      </w:trPr>
      <w:tc>
        <w:tcPr>
          <w:tcW w:w="1548" w:type="dxa"/>
        </w:tcPr>
        <w:p w:rsidR="00CB0B6D" w:rsidRPr="00CB0B6D" w:rsidRDefault="00CB0B6D" w:rsidP="00CB0B6D">
          <w:pPr>
            <w:tabs>
              <w:tab w:val="center" w:pos="3969"/>
              <w:tab w:val="right" w:pos="8505"/>
            </w:tabs>
            <w:spacing w:before="60"/>
            <w:jc w:val="right"/>
            <w:rPr>
              <w:rFonts w:ascii="Arial" w:hAnsi="Arial"/>
              <w:sz w:val="18"/>
            </w:rPr>
          </w:pPr>
        </w:p>
      </w:tc>
    </w:tr>
    <w:tr w:rsidR="00CB0B6D" w:rsidRPr="00CB0B6D" w:rsidTr="00577214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B0B6D" w:rsidRPr="00CB0B6D" w:rsidRDefault="00CB0B6D" w:rsidP="00CB0B6D">
          <w:pPr>
            <w:spacing w:before="120" w:after="60"/>
            <w:jc w:val="right"/>
            <w:rPr>
              <w:rFonts w:ascii="Arial" w:hAnsi="Arial"/>
              <w:b/>
              <w:sz w:val="20"/>
            </w:rPr>
          </w:pPr>
        </w:p>
      </w:tc>
    </w:tr>
  </w:tbl>
  <w:p w:rsidR="00CB0B6D" w:rsidRDefault="00CB0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389"/>
    <w:multiLevelType w:val="hybridMultilevel"/>
    <w:tmpl w:val="21A8AD5A"/>
    <w:lvl w:ilvl="0" w:tplc="26A4BC58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6B151AD"/>
    <w:multiLevelType w:val="hybridMultilevel"/>
    <w:tmpl w:val="930CBCBC"/>
    <w:lvl w:ilvl="0" w:tplc="269800E4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817130C"/>
    <w:multiLevelType w:val="hybridMultilevel"/>
    <w:tmpl w:val="3CAE4D10"/>
    <w:lvl w:ilvl="0" w:tplc="A45C09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A1573A6"/>
    <w:multiLevelType w:val="hybridMultilevel"/>
    <w:tmpl w:val="1D8602FE"/>
    <w:lvl w:ilvl="0" w:tplc="7A7A126C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117D2E46"/>
    <w:multiLevelType w:val="hybridMultilevel"/>
    <w:tmpl w:val="D5D01EDC"/>
    <w:lvl w:ilvl="0" w:tplc="ED9E786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8C233B"/>
    <w:multiLevelType w:val="hybridMultilevel"/>
    <w:tmpl w:val="B058990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FB5A59"/>
    <w:multiLevelType w:val="hybridMultilevel"/>
    <w:tmpl w:val="24D41E9C"/>
    <w:lvl w:ilvl="0" w:tplc="1704449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CDA394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2343520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3" w:tplc="CD388B66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FFF4046"/>
    <w:multiLevelType w:val="hybridMultilevel"/>
    <w:tmpl w:val="E9F8762E"/>
    <w:lvl w:ilvl="0" w:tplc="52341A80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233D09D5"/>
    <w:multiLevelType w:val="hybridMultilevel"/>
    <w:tmpl w:val="F45E57D2"/>
    <w:lvl w:ilvl="0" w:tplc="B0AC6242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CB26DD"/>
    <w:multiLevelType w:val="hybridMultilevel"/>
    <w:tmpl w:val="B3985684"/>
    <w:lvl w:ilvl="0" w:tplc="847603C4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7077084"/>
    <w:multiLevelType w:val="hybridMultilevel"/>
    <w:tmpl w:val="791216C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6004F1F"/>
    <w:multiLevelType w:val="hybridMultilevel"/>
    <w:tmpl w:val="F93E8AAC"/>
    <w:lvl w:ilvl="0" w:tplc="8C646E4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9AA79FF"/>
    <w:multiLevelType w:val="hybridMultilevel"/>
    <w:tmpl w:val="1AA47992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3B40579F"/>
    <w:multiLevelType w:val="hybridMultilevel"/>
    <w:tmpl w:val="5560D57C"/>
    <w:lvl w:ilvl="0" w:tplc="101C75B0">
      <w:start w:val="2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CF36A26"/>
    <w:multiLevelType w:val="hybridMultilevel"/>
    <w:tmpl w:val="FCF62566"/>
    <w:lvl w:ilvl="0" w:tplc="48AEB2CA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840" w:hanging="360"/>
      </w:pPr>
    </w:lvl>
    <w:lvl w:ilvl="2" w:tplc="0C09001B" w:tentative="1">
      <w:start w:val="1"/>
      <w:numFmt w:val="lowerRoman"/>
      <w:lvlText w:val="%3."/>
      <w:lvlJc w:val="right"/>
      <w:pPr>
        <w:ind w:left="1560" w:hanging="180"/>
      </w:pPr>
    </w:lvl>
    <w:lvl w:ilvl="3" w:tplc="0C09000F" w:tentative="1">
      <w:start w:val="1"/>
      <w:numFmt w:val="decimal"/>
      <w:lvlText w:val="%4."/>
      <w:lvlJc w:val="left"/>
      <w:pPr>
        <w:ind w:left="2280" w:hanging="360"/>
      </w:pPr>
    </w:lvl>
    <w:lvl w:ilvl="4" w:tplc="0C090019" w:tentative="1">
      <w:start w:val="1"/>
      <w:numFmt w:val="lowerLetter"/>
      <w:lvlText w:val="%5."/>
      <w:lvlJc w:val="left"/>
      <w:pPr>
        <w:ind w:left="3000" w:hanging="360"/>
      </w:pPr>
    </w:lvl>
    <w:lvl w:ilvl="5" w:tplc="0C09001B" w:tentative="1">
      <w:start w:val="1"/>
      <w:numFmt w:val="lowerRoman"/>
      <w:lvlText w:val="%6."/>
      <w:lvlJc w:val="right"/>
      <w:pPr>
        <w:ind w:left="3720" w:hanging="180"/>
      </w:pPr>
    </w:lvl>
    <w:lvl w:ilvl="6" w:tplc="0C09000F" w:tentative="1">
      <w:start w:val="1"/>
      <w:numFmt w:val="decimal"/>
      <w:lvlText w:val="%7."/>
      <w:lvlJc w:val="left"/>
      <w:pPr>
        <w:ind w:left="4440" w:hanging="360"/>
      </w:pPr>
    </w:lvl>
    <w:lvl w:ilvl="7" w:tplc="0C090019" w:tentative="1">
      <w:start w:val="1"/>
      <w:numFmt w:val="lowerLetter"/>
      <w:lvlText w:val="%8."/>
      <w:lvlJc w:val="left"/>
      <w:pPr>
        <w:ind w:left="5160" w:hanging="360"/>
      </w:pPr>
    </w:lvl>
    <w:lvl w:ilvl="8" w:tplc="0C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8">
    <w:nsid w:val="443A150F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48BF7BC8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>
    <w:nsid w:val="4F344CFC"/>
    <w:multiLevelType w:val="hybridMultilevel"/>
    <w:tmpl w:val="13BA1864"/>
    <w:lvl w:ilvl="0" w:tplc="502E57C8">
      <w:start w:val="1"/>
      <w:numFmt w:val="decimal"/>
      <w:lvlText w:val="(%1)"/>
      <w:lvlJc w:val="left"/>
      <w:pPr>
        <w:ind w:left="16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>
    <w:nsid w:val="509533ED"/>
    <w:multiLevelType w:val="hybridMultilevel"/>
    <w:tmpl w:val="F77041CC"/>
    <w:lvl w:ilvl="0" w:tplc="FD9E652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6816D61"/>
    <w:multiLevelType w:val="hybridMultilevel"/>
    <w:tmpl w:val="F77041CC"/>
    <w:lvl w:ilvl="0" w:tplc="FD9E652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D69576B"/>
    <w:multiLevelType w:val="hybridMultilevel"/>
    <w:tmpl w:val="D700B79E"/>
    <w:lvl w:ilvl="0" w:tplc="D46A8272">
      <w:start w:val="3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B6486"/>
    <w:multiLevelType w:val="hybridMultilevel"/>
    <w:tmpl w:val="11683514"/>
    <w:lvl w:ilvl="0" w:tplc="4F18DF6E">
      <w:start w:val="7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15084"/>
    <w:multiLevelType w:val="hybridMultilevel"/>
    <w:tmpl w:val="D2E2AC06"/>
    <w:lvl w:ilvl="0" w:tplc="9FF64948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73710F48"/>
    <w:multiLevelType w:val="hybridMultilevel"/>
    <w:tmpl w:val="F25E9EAE"/>
    <w:lvl w:ilvl="0" w:tplc="45ECBA98">
      <w:start w:val="2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B5C1B"/>
    <w:multiLevelType w:val="hybridMultilevel"/>
    <w:tmpl w:val="D1B4712C"/>
    <w:lvl w:ilvl="0" w:tplc="980EC2FC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8"/>
  </w:num>
  <w:num w:numId="5">
    <w:abstractNumId w:val="22"/>
  </w:num>
  <w:num w:numId="6">
    <w:abstractNumId w:val="21"/>
  </w:num>
  <w:num w:numId="7">
    <w:abstractNumId w:val="11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23"/>
  </w:num>
  <w:num w:numId="14">
    <w:abstractNumId w:val="26"/>
  </w:num>
  <w:num w:numId="15">
    <w:abstractNumId w:val="0"/>
  </w:num>
  <w:num w:numId="16">
    <w:abstractNumId w:val="19"/>
  </w:num>
  <w:num w:numId="17">
    <w:abstractNumId w:val="15"/>
  </w:num>
  <w:num w:numId="18">
    <w:abstractNumId w:val="17"/>
  </w:num>
  <w:num w:numId="19">
    <w:abstractNumId w:val="6"/>
  </w:num>
  <w:num w:numId="20">
    <w:abstractNumId w:val="7"/>
  </w:num>
  <w:num w:numId="21">
    <w:abstractNumId w:val="2"/>
  </w:num>
  <w:num w:numId="22">
    <w:abstractNumId w:val="27"/>
  </w:num>
  <w:num w:numId="23">
    <w:abstractNumId w:val="14"/>
  </w:num>
  <w:num w:numId="24">
    <w:abstractNumId w:val="1"/>
  </w:num>
  <w:num w:numId="25">
    <w:abstractNumId w:val="24"/>
  </w:num>
  <w:num w:numId="26">
    <w:abstractNumId w:val="1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3016"/>
    <w:rsid w:val="000038A0"/>
    <w:rsid w:val="00005DA1"/>
    <w:rsid w:val="0000705E"/>
    <w:rsid w:val="00010424"/>
    <w:rsid w:val="00010B17"/>
    <w:rsid w:val="00012F8A"/>
    <w:rsid w:val="000146B3"/>
    <w:rsid w:val="0001662A"/>
    <w:rsid w:val="00017949"/>
    <w:rsid w:val="00020108"/>
    <w:rsid w:val="000244BC"/>
    <w:rsid w:val="00032F2C"/>
    <w:rsid w:val="00036C2A"/>
    <w:rsid w:val="00040090"/>
    <w:rsid w:val="000403D5"/>
    <w:rsid w:val="000427E4"/>
    <w:rsid w:val="00045BA4"/>
    <w:rsid w:val="00045F1B"/>
    <w:rsid w:val="000512D4"/>
    <w:rsid w:val="00051726"/>
    <w:rsid w:val="000518DE"/>
    <w:rsid w:val="000521B7"/>
    <w:rsid w:val="0005339D"/>
    <w:rsid w:val="00056380"/>
    <w:rsid w:val="00060076"/>
    <w:rsid w:val="000646EC"/>
    <w:rsid w:val="00065118"/>
    <w:rsid w:val="00065296"/>
    <w:rsid w:val="000715D1"/>
    <w:rsid w:val="00077AE6"/>
    <w:rsid w:val="00077B2B"/>
    <w:rsid w:val="0008263B"/>
    <w:rsid w:val="00082916"/>
    <w:rsid w:val="00083189"/>
    <w:rsid w:val="000831A1"/>
    <w:rsid w:val="0008560A"/>
    <w:rsid w:val="00091146"/>
    <w:rsid w:val="000925CD"/>
    <w:rsid w:val="00095849"/>
    <w:rsid w:val="000975D1"/>
    <w:rsid w:val="000A0788"/>
    <w:rsid w:val="000A0CCA"/>
    <w:rsid w:val="000A171F"/>
    <w:rsid w:val="000A1742"/>
    <w:rsid w:val="000A620C"/>
    <w:rsid w:val="000A7869"/>
    <w:rsid w:val="000B04A5"/>
    <w:rsid w:val="000B4121"/>
    <w:rsid w:val="000B51B3"/>
    <w:rsid w:val="000B5511"/>
    <w:rsid w:val="000B6FCE"/>
    <w:rsid w:val="000C52B0"/>
    <w:rsid w:val="000D1916"/>
    <w:rsid w:val="000D1E71"/>
    <w:rsid w:val="000E16EC"/>
    <w:rsid w:val="000E27E3"/>
    <w:rsid w:val="000E3F2F"/>
    <w:rsid w:val="000E48BD"/>
    <w:rsid w:val="000E7494"/>
    <w:rsid w:val="000F19B7"/>
    <w:rsid w:val="000F43AD"/>
    <w:rsid w:val="000F72ED"/>
    <w:rsid w:val="000F78BC"/>
    <w:rsid w:val="00105BB8"/>
    <w:rsid w:val="00106C72"/>
    <w:rsid w:val="00111D90"/>
    <w:rsid w:val="00112A63"/>
    <w:rsid w:val="00116989"/>
    <w:rsid w:val="00117022"/>
    <w:rsid w:val="0012207A"/>
    <w:rsid w:val="00125657"/>
    <w:rsid w:val="00127413"/>
    <w:rsid w:val="001312D8"/>
    <w:rsid w:val="001328CE"/>
    <w:rsid w:val="00134DDC"/>
    <w:rsid w:val="0013733A"/>
    <w:rsid w:val="00140090"/>
    <w:rsid w:val="001409F1"/>
    <w:rsid w:val="0014186A"/>
    <w:rsid w:val="00141CBA"/>
    <w:rsid w:val="00144DE3"/>
    <w:rsid w:val="00150673"/>
    <w:rsid w:val="00153195"/>
    <w:rsid w:val="0015363E"/>
    <w:rsid w:val="00156A73"/>
    <w:rsid w:val="00162609"/>
    <w:rsid w:val="00162840"/>
    <w:rsid w:val="00163302"/>
    <w:rsid w:val="00164935"/>
    <w:rsid w:val="00165D61"/>
    <w:rsid w:val="00170574"/>
    <w:rsid w:val="00175576"/>
    <w:rsid w:val="0017685B"/>
    <w:rsid w:val="00183D39"/>
    <w:rsid w:val="00185F83"/>
    <w:rsid w:val="00186360"/>
    <w:rsid w:val="00186E8D"/>
    <w:rsid w:val="00187D63"/>
    <w:rsid w:val="00191FA5"/>
    <w:rsid w:val="00192C10"/>
    <w:rsid w:val="00193F32"/>
    <w:rsid w:val="00196805"/>
    <w:rsid w:val="00197331"/>
    <w:rsid w:val="001A2C5D"/>
    <w:rsid w:val="001A4DD7"/>
    <w:rsid w:val="001A6C59"/>
    <w:rsid w:val="001A6D1A"/>
    <w:rsid w:val="001B0AC1"/>
    <w:rsid w:val="001B368A"/>
    <w:rsid w:val="001C0B71"/>
    <w:rsid w:val="001C22F5"/>
    <w:rsid w:val="001C25FE"/>
    <w:rsid w:val="001D1135"/>
    <w:rsid w:val="001D3FD2"/>
    <w:rsid w:val="001D52A6"/>
    <w:rsid w:val="001D6D71"/>
    <w:rsid w:val="001D70B6"/>
    <w:rsid w:val="001E05EE"/>
    <w:rsid w:val="001E092D"/>
    <w:rsid w:val="001E1175"/>
    <w:rsid w:val="001E1749"/>
    <w:rsid w:val="001E399F"/>
    <w:rsid w:val="001F108C"/>
    <w:rsid w:val="001F14C8"/>
    <w:rsid w:val="001F41C5"/>
    <w:rsid w:val="001F50DE"/>
    <w:rsid w:val="001F6FE3"/>
    <w:rsid w:val="001F70E2"/>
    <w:rsid w:val="002015B2"/>
    <w:rsid w:val="0020250C"/>
    <w:rsid w:val="00203232"/>
    <w:rsid w:val="00203B38"/>
    <w:rsid w:val="00204540"/>
    <w:rsid w:val="00210652"/>
    <w:rsid w:val="00214C3B"/>
    <w:rsid w:val="002157F2"/>
    <w:rsid w:val="00222FD0"/>
    <w:rsid w:val="00224962"/>
    <w:rsid w:val="002252C7"/>
    <w:rsid w:val="0022683A"/>
    <w:rsid w:val="0022734F"/>
    <w:rsid w:val="00233C57"/>
    <w:rsid w:val="0023489C"/>
    <w:rsid w:val="00241074"/>
    <w:rsid w:val="0024222C"/>
    <w:rsid w:val="00243601"/>
    <w:rsid w:val="00244C01"/>
    <w:rsid w:val="00246042"/>
    <w:rsid w:val="00252F17"/>
    <w:rsid w:val="00253DDD"/>
    <w:rsid w:val="00260912"/>
    <w:rsid w:val="00261235"/>
    <w:rsid w:val="002614A7"/>
    <w:rsid w:val="002634D1"/>
    <w:rsid w:val="00266597"/>
    <w:rsid w:val="0027053C"/>
    <w:rsid w:val="00275245"/>
    <w:rsid w:val="00276C63"/>
    <w:rsid w:val="00281E63"/>
    <w:rsid w:val="002823E7"/>
    <w:rsid w:val="00283502"/>
    <w:rsid w:val="00284550"/>
    <w:rsid w:val="0028609E"/>
    <w:rsid w:val="00286CEA"/>
    <w:rsid w:val="00293BC3"/>
    <w:rsid w:val="002943DE"/>
    <w:rsid w:val="0029443D"/>
    <w:rsid w:val="002A0984"/>
    <w:rsid w:val="002A19B0"/>
    <w:rsid w:val="002A37DA"/>
    <w:rsid w:val="002A3AE1"/>
    <w:rsid w:val="002A5AC7"/>
    <w:rsid w:val="002B0081"/>
    <w:rsid w:val="002B1EBA"/>
    <w:rsid w:val="002B265A"/>
    <w:rsid w:val="002B3196"/>
    <w:rsid w:val="002B32C5"/>
    <w:rsid w:val="002B519A"/>
    <w:rsid w:val="002B7DCF"/>
    <w:rsid w:val="002D3A93"/>
    <w:rsid w:val="002D4558"/>
    <w:rsid w:val="002D53CF"/>
    <w:rsid w:val="002D71AC"/>
    <w:rsid w:val="002D7932"/>
    <w:rsid w:val="002E5543"/>
    <w:rsid w:val="002E5749"/>
    <w:rsid w:val="002E78FE"/>
    <w:rsid w:val="002F2214"/>
    <w:rsid w:val="002F226D"/>
    <w:rsid w:val="002F78D5"/>
    <w:rsid w:val="002F7CB0"/>
    <w:rsid w:val="003030F9"/>
    <w:rsid w:val="003041ED"/>
    <w:rsid w:val="00304464"/>
    <w:rsid w:val="00306194"/>
    <w:rsid w:val="00310811"/>
    <w:rsid w:val="0031083C"/>
    <w:rsid w:val="00313EE9"/>
    <w:rsid w:val="003231FF"/>
    <w:rsid w:val="00324B05"/>
    <w:rsid w:val="00325E7F"/>
    <w:rsid w:val="0032651C"/>
    <w:rsid w:val="0033573E"/>
    <w:rsid w:val="00336724"/>
    <w:rsid w:val="00336AD3"/>
    <w:rsid w:val="00340B0E"/>
    <w:rsid w:val="00343B24"/>
    <w:rsid w:val="00344DF9"/>
    <w:rsid w:val="003458D2"/>
    <w:rsid w:val="003469E3"/>
    <w:rsid w:val="0035001E"/>
    <w:rsid w:val="0035271C"/>
    <w:rsid w:val="00353F3B"/>
    <w:rsid w:val="00354E7E"/>
    <w:rsid w:val="00355EE0"/>
    <w:rsid w:val="00357657"/>
    <w:rsid w:val="00367E3F"/>
    <w:rsid w:val="00370DD7"/>
    <w:rsid w:val="0037255F"/>
    <w:rsid w:val="00375997"/>
    <w:rsid w:val="003771B0"/>
    <w:rsid w:val="0038199B"/>
    <w:rsid w:val="00383115"/>
    <w:rsid w:val="003869C6"/>
    <w:rsid w:val="00387B23"/>
    <w:rsid w:val="00387F34"/>
    <w:rsid w:val="00392557"/>
    <w:rsid w:val="00393268"/>
    <w:rsid w:val="0039396B"/>
    <w:rsid w:val="00393D99"/>
    <w:rsid w:val="00394029"/>
    <w:rsid w:val="003A5AF1"/>
    <w:rsid w:val="003A77F7"/>
    <w:rsid w:val="003A78DF"/>
    <w:rsid w:val="003B0422"/>
    <w:rsid w:val="003B0D29"/>
    <w:rsid w:val="003B0FC6"/>
    <w:rsid w:val="003B557C"/>
    <w:rsid w:val="003B7E2B"/>
    <w:rsid w:val="003C1D25"/>
    <w:rsid w:val="003C3D3D"/>
    <w:rsid w:val="003D0BD5"/>
    <w:rsid w:val="003D1079"/>
    <w:rsid w:val="003D1FD3"/>
    <w:rsid w:val="003D24FA"/>
    <w:rsid w:val="003D5FC8"/>
    <w:rsid w:val="003D659C"/>
    <w:rsid w:val="003D6F03"/>
    <w:rsid w:val="003E22A7"/>
    <w:rsid w:val="003E6D06"/>
    <w:rsid w:val="003F2334"/>
    <w:rsid w:val="003F6833"/>
    <w:rsid w:val="004005D4"/>
    <w:rsid w:val="00403F78"/>
    <w:rsid w:val="0040480D"/>
    <w:rsid w:val="00410CDA"/>
    <w:rsid w:val="00421964"/>
    <w:rsid w:val="00422522"/>
    <w:rsid w:val="004255DD"/>
    <w:rsid w:val="00427CAC"/>
    <w:rsid w:val="00433B06"/>
    <w:rsid w:val="00434C2F"/>
    <w:rsid w:val="0043580A"/>
    <w:rsid w:val="004361A5"/>
    <w:rsid w:val="00437A8C"/>
    <w:rsid w:val="00440B24"/>
    <w:rsid w:val="00442AA3"/>
    <w:rsid w:val="00443890"/>
    <w:rsid w:val="0044430D"/>
    <w:rsid w:val="00444F77"/>
    <w:rsid w:val="0044543E"/>
    <w:rsid w:val="0044549F"/>
    <w:rsid w:val="004459DE"/>
    <w:rsid w:val="00447907"/>
    <w:rsid w:val="00450DE1"/>
    <w:rsid w:val="004533FC"/>
    <w:rsid w:val="00456A38"/>
    <w:rsid w:val="00457FCC"/>
    <w:rsid w:val="00464092"/>
    <w:rsid w:val="004640EA"/>
    <w:rsid w:val="00466DBA"/>
    <w:rsid w:val="00473625"/>
    <w:rsid w:val="00473F89"/>
    <w:rsid w:val="00474D26"/>
    <w:rsid w:val="00476A39"/>
    <w:rsid w:val="00484C1F"/>
    <w:rsid w:val="004879CB"/>
    <w:rsid w:val="0049172E"/>
    <w:rsid w:val="00493BD5"/>
    <w:rsid w:val="00493D21"/>
    <w:rsid w:val="004A071D"/>
    <w:rsid w:val="004A10F5"/>
    <w:rsid w:val="004A1674"/>
    <w:rsid w:val="004A20E2"/>
    <w:rsid w:val="004A2822"/>
    <w:rsid w:val="004A7713"/>
    <w:rsid w:val="004A7AA7"/>
    <w:rsid w:val="004B0550"/>
    <w:rsid w:val="004B068F"/>
    <w:rsid w:val="004B1AC1"/>
    <w:rsid w:val="004B6C4F"/>
    <w:rsid w:val="004C3987"/>
    <w:rsid w:val="004D32C2"/>
    <w:rsid w:val="004D5EAB"/>
    <w:rsid w:val="004D6045"/>
    <w:rsid w:val="004E0619"/>
    <w:rsid w:val="004E0783"/>
    <w:rsid w:val="004E1C75"/>
    <w:rsid w:val="004E2FEB"/>
    <w:rsid w:val="004E538C"/>
    <w:rsid w:val="004E7590"/>
    <w:rsid w:val="004F24D0"/>
    <w:rsid w:val="004F596D"/>
    <w:rsid w:val="004F5B0D"/>
    <w:rsid w:val="004F5D6D"/>
    <w:rsid w:val="00500478"/>
    <w:rsid w:val="00501E0C"/>
    <w:rsid w:val="00504DFA"/>
    <w:rsid w:val="005056C8"/>
    <w:rsid w:val="005071E2"/>
    <w:rsid w:val="00507468"/>
    <w:rsid w:val="0051137B"/>
    <w:rsid w:val="00511776"/>
    <w:rsid w:val="00511924"/>
    <w:rsid w:val="00511A17"/>
    <w:rsid w:val="00512974"/>
    <w:rsid w:val="00515062"/>
    <w:rsid w:val="0051511D"/>
    <w:rsid w:val="00520335"/>
    <w:rsid w:val="0052220C"/>
    <w:rsid w:val="005234C7"/>
    <w:rsid w:val="005238E0"/>
    <w:rsid w:val="00525BB5"/>
    <w:rsid w:val="0052680E"/>
    <w:rsid w:val="005277E8"/>
    <w:rsid w:val="00531C1E"/>
    <w:rsid w:val="00536D26"/>
    <w:rsid w:val="00542E0D"/>
    <w:rsid w:val="0054351E"/>
    <w:rsid w:val="005449EF"/>
    <w:rsid w:val="00545C56"/>
    <w:rsid w:val="0054690F"/>
    <w:rsid w:val="00550431"/>
    <w:rsid w:val="00550444"/>
    <w:rsid w:val="005516CA"/>
    <w:rsid w:val="005531BA"/>
    <w:rsid w:val="00561D6A"/>
    <w:rsid w:val="005633B5"/>
    <w:rsid w:val="0056500F"/>
    <w:rsid w:val="00565471"/>
    <w:rsid w:val="00566280"/>
    <w:rsid w:val="005672DE"/>
    <w:rsid w:val="00572F51"/>
    <w:rsid w:val="005749F6"/>
    <w:rsid w:val="00575CFE"/>
    <w:rsid w:val="00576569"/>
    <w:rsid w:val="00577214"/>
    <w:rsid w:val="00580301"/>
    <w:rsid w:val="00580B21"/>
    <w:rsid w:val="005859FB"/>
    <w:rsid w:val="005924C4"/>
    <w:rsid w:val="005943B6"/>
    <w:rsid w:val="005971AB"/>
    <w:rsid w:val="005A4031"/>
    <w:rsid w:val="005B5730"/>
    <w:rsid w:val="005B5BAF"/>
    <w:rsid w:val="005B7B02"/>
    <w:rsid w:val="005C0C68"/>
    <w:rsid w:val="005C4A85"/>
    <w:rsid w:val="005C677B"/>
    <w:rsid w:val="005C7B7C"/>
    <w:rsid w:val="005D0D26"/>
    <w:rsid w:val="005D0D39"/>
    <w:rsid w:val="005D2F97"/>
    <w:rsid w:val="005D323E"/>
    <w:rsid w:val="005D5FFF"/>
    <w:rsid w:val="005D692B"/>
    <w:rsid w:val="005D713B"/>
    <w:rsid w:val="005E1031"/>
    <w:rsid w:val="005E2438"/>
    <w:rsid w:val="005E2C7C"/>
    <w:rsid w:val="005E43E5"/>
    <w:rsid w:val="005E563D"/>
    <w:rsid w:val="005E6FCE"/>
    <w:rsid w:val="005F0DDB"/>
    <w:rsid w:val="005F47D8"/>
    <w:rsid w:val="005F4FE9"/>
    <w:rsid w:val="005F52A1"/>
    <w:rsid w:val="005F543B"/>
    <w:rsid w:val="005F6854"/>
    <w:rsid w:val="00602748"/>
    <w:rsid w:val="00602DB0"/>
    <w:rsid w:val="00603764"/>
    <w:rsid w:val="006047C5"/>
    <w:rsid w:val="00611CC0"/>
    <w:rsid w:val="00612E0D"/>
    <w:rsid w:val="00616017"/>
    <w:rsid w:val="00621915"/>
    <w:rsid w:val="006227B2"/>
    <w:rsid w:val="00624074"/>
    <w:rsid w:val="0062769F"/>
    <w:rsid w:val="006302FB"/>
    <w:rsid w:val="00633D8E"/>
    <w:rsid w:val="00635C7F"/>
    <w:rsid w:val="00641664"/>
    <w:rsid w:val="0065001E"/>
    <w:rsid w:val="00652615"/>
    <w:rsid w:val="00652B5A"/>
    <w:rsid w:val="006533B7"/>
    <w:rsid w:val="00663166"/>
    <w:rsid w:val="006644D3"/>
    <w:rsid w:val="006703BD"/>
    <w:rsid w:val="00674B00"/>
    <w:rsid w:val="00675A81"/>
    <w:rsid w:val="006840BB"/>
    <w:rsid w:val="0069667F"/>
    <w:rsid w:val="006B4C81"/>
    <w:rsid w:val="006B739B"/>
    <w:rsid w:val="006C2616"/>
    <w:rsid w:val="006C5742"/>
    <w:rsid w:val="006C7F7A"/>
    <w:rsid w:val="006D018E"/>
    <w:rsid w:val="006D1E1C"/>
    <w:rsid w:val="006D26D8"/>
    <w:rsid w:val="006D3078"/>
    <w:rsid w:val="006D4034"/>
    <w:rsid w:val="006E03F4"/>
    <w:rsid w:val="006E2530"/>
    <w:rsid w:val="006E548F"/>
    <w:rsid w:val="006E7E7A"/>
    <w:rsid w:val="006E7EF3"/>
    <w:rsid w:val="006F0BD8"/>
    <w:rsid w:val="006F6FEC"/>
    <w:rsid w:val="006F73F0"/>
    <w:rsid w:val="00702998"/>
    <w:rsid w:val="00702E5A"/>
    <w:rsid w:val="0071055A"/>
    <w:rsid w:val="0071414A"/>
    <w:rsid w:val="0071514F"/>
    <w:rsid w:val="00716F1E"/>
    <w:rsid w:val="00724BD1"/>
    <w:rsid w:val="0072767E"/>
    <w:rsid w:val="00727685"/>
    <w:rsid w:val="00730AF8"/>
    <w:rsid w:val="00735D7F"/>
    <w:rsid w:val="00736A56"/>
    <w:rsid w:val="007375F7"/>
    <w:rsid w:val="00740322"/>
    <w:rsid w:val="007408B1"/>
    <w:rsid w:val="00740916"/>
    <w:rsid w:val="007431FF"/>
    <w:rsid w:val="00744669"/>
    <w:rsid w:val="00753DCA"/>
    <w:rsid w:val="0075539A"/>
    <w:rsid w:val="00756F9E"/>
    <w:rsid w:val="007642D0"/>
    <w:rsid w:val="00764F8A"/>
    <w:rsid w:val="00772313"/>
    <w:rsid w:val="00772ADE"/>
    <w:rsid w:val="00773D29"/>
    <w:rsid w:val="00774FFF"/>
    <w:rsid w:val="00777F7B"/>
    <w:rsid w:val="007807C7"/>
    <w:rsid w:val="00780B40"/>
    <w:rsid w:val="0078300B"/>
    <w:rsid w:val="007833A9"/>
    <w:rsid w:val="00784905"/>
    <w:rsid w:val="007851E9"/>
    <w:rsid w:val="007910D2"/>
    <w:rsid w:val="007937E2"/>
    <w:rsid w:val="00794754"/>
    <w:rsid w:val="00795249"/>
    <w:rsid w:val="007A3064"/>
    <w:rsid w:val="007C07DC"/>
    <w:rsid w:val="007C7959"/>
    <w:rsid w:val="007D042A"/>
    <w:rsid w:val="007D0C71"/>
    <w:rsid w:val="007D18E4"/>
    <w:rsid w:val="007D1A1E"/>
    <w:rsid w:val="007D7080"/>
    <w:rsid w:val="007E231D"/>
    <w:rsid w:val="007E3AA5"/>
    <w:rsid w:val="007E424F"/>
    <w:rsid w:val="007E61F6"/>
    <w:rsid w:val="007E6681"/>
    <w:rsid w:val="007E6B69"/>
    <w:rsid w:val="007E774C"/>
    <w:rsid w:val="007F3E5A"/>
    <w:rsid w:val="007F44D3"/>
    <w:rsid w:val="007F50EB"/>
    <w:rsid w:val="007F6583"/>
    <w:rsid w:val="007F75DF"/>
    <w:rsid w:val="008002E8"/>
    <w:rsid w:val="008006D5"/>
    <w:rsid w:val="008010BB"/>
    <w:rsid w:val="00814934"/>
    <w:rsid w:val="008149B7"/>
    <w:rsid w:val="00820280"/>
    <w:rsid w:val="00825250"/>
    <w:rsid w:val="008278A8"/>
    <w:rsid w:val="00831515"/>
    <w:rsid w:val="008322B6"/>
    <w:rsid w:val="008349F1"/>
    <w:rsid w:val="00836024"/>
    <w:rsid w:val="00836392"/>
    <w:rsid w:val="008416EA"/>
    <w:rsid w:val="00844132"/>
    <w:rsid w:val="00844A29"/>
    <w:rsid w:val="00847850"/>
    <w:rsid w:val="008546A9"/>
    <w:rsid w:val="00854857"/>
    <w:rsid w:val="00856EB5"/>
    <w:rsid w:val="00863597"/>
    <w:rsid w:val="00864813"/>
    <w:rsid w:val="0086648B"/>
    <w:rsid w:val="008673F2"/>
    <w:rsid w:val="00867E7D"/>
    <w:rsid w:val="008731F9"/>
    <w:rsid w:val="00873699"/>
    <w:rsid w:val="00873E3C"/>
    <w:rsid w:val="008750E2"/>
    <w:rsid w:val="00876486"/>
    <w:rsid w:val="008804C0"/>
    <w:rsid w:val="00882367"/>
    <w:rsid w:val="00886003"/>
    <w:rsid w:val="008866E8"/>
    <w:rsid w:val="0088671C"/>
    <w:rsid w:val="00886C7C"/>
    <w:rsid w:val="00891675"/>
    <w:rsid w:val="00893EC9"/>
    <w:rsid w:val="0089514E"/>
    <w:rsid w:val="008A06FD"/>
    <w:rsid w:val="008A3448"/>
    <w:rsid w:val="008A4808"/>
    <w:rsid w:val="008A6DFE"/>
    <w:rsid w:val="008B0EFE"/>
    <w:rsid w:val="008B16AC"/>
    <w:rsid w:val="008B183C"/>
    <w:rsid w:val="008B1E93"/>
    <w:rsid w:val="008B4591"/>
    <w:rsid w:val="008B5981"/>
    <w:rsid w:val="008B6689"/>
    <w:rsid w:val="008B6C52"/>
    <w:rsid w:val="008C2089"/>
    <w:rsid w:val="008C3068"/>
    <w:rsid w:val="008C3140"/>
    <w:rsid w:val="008C43C2"/>
    <w:rsid w:val="008C48D9"/>
    <w:rsid w:val="008D2880"/>
    <w:rsid w:val="008D4A38"/>
    <w:rsid w:val="008D5B3D"/>
    <w:rsid w:val="008D71E3"/>
    <w:rsid w:val="008E2235"/>
    <w:rsid w:val="008E3423"/>
    <w:rsid w:val="008E3790"/>
    <w:rsid w:val="008E61EA"/>
    <w:rsid w:val="008E63C4"/>
    <w:rsid w:val="008F16BC"/>
    <w:rsid w:val="008F1CB2"/>
    <w:rsid w:val="008F1DAB"/>
    <w:rsid w:val="008F3C01"/>
    <w:rsid w:val="009007F1"/>
    <w:rsid w:val="00901384"/>
    <w:rsid w:val="009078CC"/>
    <w:rsid w:val="009100A8"/>
    <w:rsid w:val="00911F7B"/>
    <w:rsid w:val="00913281"/>
    <w:rsid w:val="00913EA5"/>
    <w:rsid w:val="0091422B"/>
    <w:rsid w:val="009146C1"/>
    <w:rsid w:val="00915D96"/>
    <w:rsid w:val="00926A2D"/>
    <w:rsid w:val="00927849"/>
    <w:rsid w:val="00930919"/>
    <w:rsid w:val="009314C4"/>
    <w:rsid w:val="009318B7"/>
    <w:rsid w:val="00943CEA"/>
    <w:rsid w:val="00945A5E"/>
    <w:rsid w:val="00951FBC"/>
    <w:rsid w:val="00953625"/>
    <w:rsid w:val="009612A7"/>
    <w:rsid w:val="00962D05"/>
    <w:rsid w:val="00963ADB"/>
    <w:rsid w:val="0096715B"/>
    <w:rsid w:val="00967444"/>
    <w:rsid w:val="00972423"/>
    <w:rsid w:val="009726D8"/>
    <w:rsid w:val="00973862"/>
    <w:rsid w:val="00976374"/>
    <w:rsid w:val="00983871"/>
    <w:rsid w:val="009838BD"/>
    <w:rsid w:val="00983A1F"/>
    <w:rsid w:val="00985449"/>
    <w:rsid w:val="009864DE"/>
    <w:rsid w:val="00987485"/>
    <w:rsid w:val="0099167B"/>
    <w:rsid w:val="0099776F"/>
    <w:rsid w:val="009A0CC8"/>
    <w:rsid w:val="009A207B"/>
    <w:rsid w:val="009A5A0D"/>
    <w:rsid w:val="009A679E"/>
    <w:rsid w:val="009A6D1B"/>
    <w:rsid w:val="009B303B"/>
    <w:rsid w:val="009B3BDA"/>
    <w:rsid w:val="009B4268"/>
    <w:rsid w:val="009B658A"/>
    <w:rsid w:val="009B76D8"/>
    <w:rsid w:val="009B785F"/>
    <w:rsid w:val="009B7901"/>
    <w:rsid w:val="009C01D6"/>
    <w:rsid w:val="009C0398"/>
    <w:rsid w:val="009D5AB6"/>
    <w:rsid w:val="009D6B2A"/>
    <w:rsid w:val="009D7B04"/>
    <w:rsid w:val="009D7BDF"/>
    <w:rsid w:val="009E17F6"/>
    <w:rsid w:val="009E1C06"/>
    <w:rsid w:val="009E28DB"/>
    <w:rsid w:val="009E2D2F"/>
    <w:rsid w:val="009E45AF"/>
    <w:rsid w:val="009E4BCA"/>
    <w:rsid w:val="009E4E6B"/>
    <w:rsid w:val="009F339E"/>
    <w:rsid w:val="009F3F7B"/>
    <w:rsid w:val="00A00C88"/>
    <w:rsid w:val="00A02C4B"/>
    <w:rsid w:val="00A046F7"/>
    <w:rsid w:val="00A114A0"/>
    <w:rsid w:val="00A13F63"/>
    <w:rsid w:val="00A15735"/>
    <w:rsid w:val="00A17017"/>
    <w:rsid w:val="00A21D2D"/>
    <w:rsid w:val="00A21E2A"/>
    <w:rsid w:val="00A223AA"/>
    <w:rsid w:val="00A236D6"/>
    <w:rsid w:val="00A236D7"/>
    <w:rsid w:val="00A24F06"/>
    <w:rsid w:val="00A266F5"/>
    <w:rsid w:val="00A27BA1"/>
    <w:rsid w:val="00A307A7"/>
    <w:rsid w:val="00A30ABA"/>
    <w:rsid w:val="00A314B9"/>
    <w:rsid w:val="00A33D5D"/>
    <w:rsid w:val="00A41885"/>
    <w:rsid w:val="00A41B45"/>
    <w:rsid w:val="00A4357F"/>
    <w:rsid w:val="00A46217"/>
    <w:rsid w:val="00A52515"/>
    <w:rsid w:val="00A52DE1"/>
    <w:rsid w:val="00A54B37"/>
    <w:rsid w:val="00A609DD"/>
    <w:rsid w:val="00A60B57"/>
    <w:rsid w:val="00A61815"/>
    <w:rsid w:val="00A644DE"/>
    <w:rsid w:val="00A6740F"/>
    <w:rsid w:val="00A67BA8"/>
    <w:rsid w:val="00A703E5"/>
    <w:rsid w:val="00A77780"/>
    <w:rsid w:val="00A80528"/>
    <w:rsid w:val="00A808BA"/>
    <w:rsid w:val="00A8176E"/>
    <w:rsid w:val="00A843F7"/>
    <w:rsid w:val="00A87D7C"/>
    <w:rsid w:val="00A95A88"/>
    <w:rsid w:val="00A960AC"/>
    <w:rsid w:val="00A9703C"/>
    <w:rsid w:val="00AA1B16"/>
    <w:rsid w:val="00AA1B63"/>
    <w:rsid w:val="00AA3188"/>
    <w:rsid w:val="00AA420D"/>
    <w:rsid w:val="00AB2C8C"/>
    <w:rsid w:val="00AB444A"/>
    <w:rsid w:val="00AC405E"/>
    <w:rsid w:val="00AD5FF5"/>
    <w:rsid w:val="00AE732F"/>
    <w:rsid w:val="00AF074C"/>
    <w:rsid w:val="00AF0B99"/>
    <w:rsid w:val="00AF3C09"/>
    <w:rsid w:val="00AF716F"/>
    <w:rsid w:val="00AF721B"/>
    <w:rsid w:val="00B03AF0"/>
    <w:rsid w:val="00B051BF"/>
    <w:rsid w:val="00B05373"/>
    <w:rsid w:val="00B067E6"/>
    <w:rsid w:val="00B11A88"/>
    <w:rsid w:val="00B12260"/>
    <w:rsid w:val="00B13B6D"/>
    <w:rsid w:val="00B13F00"/>
    <w:rsid w:val="00B156E1"/>
    <w:rsid w:val="00B15CE0"/>
    <w:rsid w:val="00B167FE"/>
    <w:rsid w:val="00B2147F"/>
    <w:rsid w:val="00B25433"/>
    <w:rsid w:val="00B2626C"/>
    <w:rsid w:val="00B26C15"/>
    <w:rsid w:val="00B3728B"/>
    <w:rsid w:val="00B408B6"/>
    <w:rsid w:val="00B50D0F"/>
    <w:rsid w:val="00B531ED"/>
    <w:rsid w:val="00B53574"/>
    <w:rsid w:val="00B53F50"/>
    <w:rsid w:val="00B60027"/>
    <w:rsid w:val="00B63AE9"/>
    <w:rsid w:val="00B653F1"/>
    <w:rsid w:val="00B670FF"/>
    <w:rsid w:val="00B746D4"/>
    <w:rsid w:val="00B76BE0"/>
    <w:rsid w:val="00B8004E"/>
    <w:rsid w:val="00B80913"/>
    <w:rsid w:val="00B84A6E"/>
    <w:rsid w:val="00B91A8D"/>
    <w:rsid w:val="00B94B51"/>
    <w:rsid w:val="00BA34AD"/>
    <w:rsid w:val="00BA375C"/>
    <w:rsid w:val="00BA4B2A"/>
    <w:rsid w:val="00BA516A"/>
    <w:rsid w:val="00BB1CA4"/>
    <w:rsid w:val="00BB69FF"/>
    <w:rsid w:val="00BB7F6C"/>
    <w:rsid w:val="00BC0010"/>
    <w:rsid w:val="00BC3F68"/>
    <w:rsid w:val="00BD2135"/>
    <w:rsid w:val="00BD376C"/>
    <w:rsid w:val="00BD40D0"/>
    <w:rsid w:val="00BD545A"/>
    <w:rsid w:val="00BE06E8"/>
    <w:rsid w:val="00BE461B"/>
    <w:rsid w:val="00BE6A53"/>
    <w:rsid w:val="00BF133B"/>
    <w:rsid w:val="00BF1C2D"/>
    <w:rsid w:val="00BF2735"/>
    <w:rsid w:val="00BF728B"/>
    <w:rsid w:val="00BF738E"/>
    <w:rsid w:val="00C03927"/>
    <w:rsid w:val="00C0402F"/>
    <w:rsid w:val="00C0488A"/>
    <w:rsid w:val="00C14CE5"/>
    <w:rsid w:val="00C24D41"/>
    <w:rsid w:val="00C268CB"/>
    <w:rsid w:val="00C277AE"/>
    <w:rsid w:val="00C329A2"/>
    <w:rsid w:val="00C33418"/>
    <w:rsid w:val="00C34E2C"/>
    <w:rsid w:val="00C35EC8"/>
    <w:rsid w:val="00C4065A"/>
    <w:rsid w:val="00C4089C"/>
    <w:rsid w:val="00C412B4"/>
    <w:rsid w:val="00C42FF3"/>
    <w:rsid w:val="00C447FD"/>
    <w:rsid w:val="00C44BA2"/>
    <w:rsid w:val="00C464FB"/>
    <w:rsid w:val="00C465B9"/>
    <w:rsid w:val="00C4753A"/>
    <w:rsid w:val="00C47790"/>
    <w:rsid w:val="00C479EC"/>
    <w:rsid w:val="00C5024F"/>
    <w:rsid w:val="00C5043B"/>
    <w:rsid w:val="00C51630"/>
    <w:rsid w:val="00C51A78"/>
    <w:rsid w:val="00C51BBF"/>
    <w:rsid w:val="00C52F4B"/>
    <w:rsid w:val="00C53754"/>
    <w:rsid w:val="00C574B7"/>
    <w:rsid w:val="00C6035E"/>
    <w:rsid w:val="00C6091C"/>
    <w:rsid w:val="00C639B5"/>
    <w:rsid w:val="00C651A6"/>
    <w:rsid w:val="00C7088D"/>
    <w:rsid w:val="00C72C99"/>
    <w:rsid w:val="00C76AE4"/>
    <w:rsid w:val="00C822F8"/>
    <w:rsid w:val="00C8251B"/>
    <w:rsid w:val="00C83482"/>
    <w:rsid w:val="00C83A6F"/>
    <w:rsid w:val="00C87A5F"/>
    <w:rsid w:val="00C919D8"/>
    <w:rsid w:val="00C92D6F"/>
    <w:rsid w:val="00C93DEA"/>
    <w:rsid w:val="00C94A16"/>
    <w:rsid w:val="00C95F91"/>
    <w:rsid w:val="00C97351"/>
    <w:rsid w:val="00C9769A"/>
    <w:rsid w:val="00C97D8E"/>
    <w:rsid w:val="00CA2A23"/>
    <w:rsid w:val="00CA4310"/>
    <w:rsid w:val="00CA4340"/>
    <w:rsid w:val="00CA5E23"/>
    <w:rsid w:val="00CA726B"/>
    <w:rsid w:val="00CA752C"/>
    <w:rsid w:val="00CB009F"/>
    <w:rsid w:val="00CB0B6D"/>
    <w:rsid w:val="00CB221F"/>
    <w:rsid w:val="00CB2655"/>
    <w:rsid w:val="00CC04BE"/>
    <w:rsid w:val="00CC3524"/>
    <w:rsid w:val="00CC3A95"/>
    <w:rsid w:val="00CC655B"/>
    <w:rsid w:val="00CC6FE5"/>
    <w:rsid w:val="00CD0B1F"/>
    <w:rsid w:val="00CD3C04"/>
    <w:rsid w:val="00CD3C3C"/>
    <w:rsid w:val="00CE3A8D"/>
    <w:rsid w:val="00CE444A"/>
    <w:rsid w:val="00CE662A"/>
    <w:rsid w:val="00CF20EF"/>
    <w:rsid w:val="00CF73A6"/>
    <w:rsid w:val="00CF7AF5"/>
    <w:rsid w:val="00D01354"/>
    <w:rsid w:val="00D05575"/>
    <w:rsid w:val="00D10778"/>
    <w:rsid w:val="00D118BD"/>
    <w:rsid w:val="00D122F3"/>
    <w:rsid w:val="00D126B7"/>
    <w:rsid w:val="00D13C76"/>
    <w:rsid w:val="00D152A0"/>
    <w:rsid w:val="00D15738"/>
    <w:rsid w:val="00D16884"/>
    <w:rsid w:val="00D2157E"/>
    <w:rsid w:val="00D22AE7"/>
    <w:rsid w:val="00D2550B"/>
    <w:rsid w:val="00D2631F"/>
    <w:rsid w:val="00D271FF"/>
    <w:rsid w:val="00D3024B"/>
    <w:rsid w:val="00D3367E"/>
    <w:rsid w:val="00D3374F"/>
    <w:rsid w:val="00D33956"/>
    <w:rsid w:val="00D34F1B"/>
    <w:rsid w:val="00D35B51"/>
    <w:rsid w:val="00D36C6E"/>
    <w:rsid w:val="00D41229"/>
    <w:rsid w:val="00D4367A"/>
    <w:rsid w:val="00D50A45"/>
    <w:rsid w:val="00D521CA"/>
    <w:rsid w:val="00D57D13"/>
    <w:rsid w:val="00D6243F"/>
    <w:rsid w:val="00D62B47"/>
    <w:rsid w:val="00D6403A"/>
    <w:rsid w:val="00D757F4"/>
    <w:rsid w:val="00D758F4"/>
    <w:rsid w:val="00D774C6"/>
    <w:rsid w:val="00D80163"/>
    <w:rsid w:val="00D84CCB"/>
    <w:rsid w:val="00D84E18"/>
    <w:rsid w:val="00D87EDE"/>
    <w:rsid w:val="00D94629"/>
    <w:rsid w:val="00D95125"/>
    <w:rsid w:val="00DA08C9"/>
    <w:rsid w:val="00DA159A"/>
    <w:rsid w:val="00DA3EDA"/>
    <w:rsid w:val="00DB121E"/>
    <w:rsid w:val="00DB2470"/>
    <w:rsid w:val="00DC3E75"/>
    <w:rsid w:val="00DC5D07"/>
    <w:rsid w:val="00DC7FB4"/>
    <w:rsid w:val="00DD6CC8"/>
    <w:rsid w:val="00DD7562"/>
    <w:rsid w:val="00DE5043"/>
    <w:rsid w:val="00DF01EB"/>
    <w:rsid w:val="00DF413E"/>
    <w:rsid w:val="00DF44BE"/>
    <w:rsid w:val="00DF64FD"/>
    <w:rsid w:val="00E00D8D"/>
    <w:rsid w:val="00E05AF6"/>
    <w:rsid w:val="00E1031D"/>
    <w:rsid w:val="00E10958"/>
    <w:rsid w:val="00E127AC"/>
    <w:rsid w:val="00E14318"/>
    <w:rsid w:val="00E154B0"/>
    <w:rsid w:val="00E24EF9"/>
    <w:rsid w:val="00E24FB9"/>
    <w:rsid w:val="00E25661"/>
    <w:rsid w:val="00E26CD1"/>
    <w:rsid w:val="00E26F82"/>
    <w:rsid w:val="00E33FF6"/>
    <w:rsid w:val="00E35189"/>
    <w:rsid w:val="00E44149"/>
    <w:rsid w:val="00E44D80"/>
    <w:rsid w:val="00E44ECA"/>
    <w:rsid w:val="00E459C3"/>
    <w:rsid w:val="00E45FE3"/>
    <w:rsid w:val="00E47076"/>
    <w:rsid w:val="00E53A61"/>
    <w:rsid w:val="00E547A3"/>
    <w:rsid w:val="00E57384"/>
    <w:rsid w:val="00E5755C"/>
    <w:rsid w:val="00E6143C"/>
    <w:rsid w:val="00E61DAD"/>
    <w:rsid w:val="00E6578A"/>
    <w:rsid w:val="00E671FF"/>
    <w:rsid w:val="00E678BB"/>
    <w:rsid w:val="00E7293B"/>
    <w:rsid w:val="00E74109"/>
    <w:rsid w:val="00E750F1"/>
    <w:rsid w:val="00E77C4F"/>
    <w:rsid w:val="00E803E6"/>
    <w:rsid w:val="00E814E3"/>
    <w:rsid w:val="00E81720"/>
    <w:rsid w:val="00E83542"/>
    <w:rsid w:val="00E84F31"/>
    <w:rsid w:val="00E869D3"/>
    <w:rsid w:val="00E90875"/>
    <w:rsid w:val="00E9158C"/>
    <w:rsid w:val="00E928EA"/>
    <w:rsid w:val="00E942D8"/>
    <w:rsid w:val="00E94F6C"/>
    <w:rsid w:val="00E96B3D"/>
    <w:rsid w:val="00EA0DE3"/>
    <w:rsid w:val="00EA0E4D"/>
    <w:rsid w:val="00EA36E5"/>
    <w:rsid w:val="00EA75EC"/>
    <w:rsid w:val="00EB1E0E"/>
    <w:rsid w:val="00EB3A4A"/>
    <w:rsid w:val="00EB428B"/>
    <w:rsid w:val="00EB77D8"/>
    <w:rsid w:val="00EB7CEA"/>
    <w:rsid w:val="00EC100A"/>
    <w:rsid w:val="00EC25F6"/>
    <w:rsid w:val="00EC2759"/>
    <w:rsid w:val="00EC53C5"/>
    <w:rsid w:val="00EC53F9"/>
    <w:rsid w:val="00EC7B6C"/>
    <w:rsid w:val="00ED1C66"/>
    <w:rsid w:val="00ED3A4E"/>
    <w:rsid w:val="00ED40AF"/>
    <w:rsid w:val="00ED7FC3"/>
    <w:rsid w:val="00EE3A32"/>
    <w:rsid w:val="00EE4BF8"/>
    <w:rsid w:val="00EE739D"/>
    <w:rsid w:val="00EF0D09"/>
    <w:rsid w:val="00EF15F7"/>
    <w:rsid w:val="00EF1EE8"/>
    <w:rsid w:val="00EF63BE"/>
    <w:rsid w:val="00EF69B2"/>
    <w:rsid w:val="00F02711"/>
    <w:rsid w:val="00F02993"/>
    <w:rsid w:val="00F03C29"/>
    <w:rsid w:val="00F04E25"/>
    <w:rsid w:val="00F069AD"/>
    <w:rsid w:val="00F10F95"/>
    <w:rsid w:val="00F11A57"/>
    <w:rsid w:val="00F172D2"/>
    <w:rsid w:val="00F242C4"/>
    <w:rsid w:val="00F24A65"/>
    <w:rsid w:val="00F30BC5"/>
    <w:rsid w:val="00F30DB3"/>
    <w:rsid w:val="00F316D0"/>
    <w:rsid w:val="00F336D9"/>
    <w:rsid w:val="00F33AE3"/>
    <w:rsid w:val="00F35530"/>
    <w:rsid w:val="00F37E63"/>
    <w:rsid w:val="00F41342"/>
    <w:rsid w:val="00F41F12"/>
    <w:rsid w:val="00F511C0"/>
    <w:rsid w:val="00F5791A"/>
    <w:rsid w:val="00F60818"/>
    <w:rsid w:val="00F675BA"/>
    <w:rsid w:val="00F6768B"/>
    <w:rsid w:val="00F70751"/>
    <w:rsid w:val="00F719EC"/>
    <w:rsid w:val="00F7591B"/>
    <w:rsid w:val="00F76ECD"/>
    <w:rsid w:val="00F80972"/>
    <w:rsid w:val="00F81829"/>
    <w:rsid w:val="00F859CF"/>
    <w:rsid w:val="00F86BD5"/>
    <w:rsid w:val="00F923B4"/>
    <w:rsid w:val="00F92D2D"/>
    <w:rsid w:val="00F9606B"/>
    <w:rsid w:val="00F96711"/>
    <w:rsid w:val="00FA0D99"/>
    <w:rsid w:val="00FB1906"/>
    <w:rsid w:val="00FC61F2"/>
    <w:rsid w:val="00FD119D"/>
    <w:rsid w:val="00FD3EFC"/>
    <w:rsid w:val="00FD5EA8"/>
    <w:rsid w:val="00FD6632"/>
    <w:rsid w:val="00FD6D80"/>
    <w:rsid w:val="00FE262A"/>
    <w:rsid w:val="00FE36CF"/>
    <w:rsid w:val="00FE3A0D"/>
    <w:rsid w:val="00FF3AA5"/>
    <w:rsid w:val="00FF4830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Summary box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qFormat/>
    <w:rsid w:val="00E814E3"/>
  </w:style>
  <w:style w:type="character" w:customStyle="1" w:styleId="CharAmSchText">
    <w:name w:val="CharAmSchText"/>
    <w:basedOn w:val="DefaultParagraphFont"/>
    <w:qFormat/>
    <w:rsid w:val="00E814E3"/>
  </w:style>
  <w:style w:type="character" w:customStyle="1" w:styleId="CharChapNo">
    <w:name w:val="CharChapNo"/>
    <w:basedOn w:val="DefaultParagraphFont"/>
    <w:qFormat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qFormat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Item">
    <w:name w:val="Item"/>
    <w:aliases w:val="i"/>
    <w:basedOn w:val="Normal"/>
    <w:next w:val="ItemHead"/>
    <w:rsid w:val="008804C0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8804C0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">
    <w:name w:val="paragraph"/>
    <w:aliases w:val="a"/>
    <w:basedOn w:val="Normal"/>
    <w:link w:val="paragraphChar"/>
    <w:rsid w:val="008804C0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Char">
    <w:name w:val="Char"/>
    <w:basedOn w:val="Normal"/>
    <w:rsid w:val="00C268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5971AB"/>
    <w:rPr>
      <w:rFonts w:ascii="Arial" w:hAnsi="Arial"/>
      <w:i/>
      <w:sz w:val="18"/>
      <w:szCs w:val="18"/>
    </w:rPr>
  </w:style>
  <w:style w:type="paragraph" w:customStyle="1" w:styleId="ActHead7">
    <w:name w:val="ActHead 7"/>
    <w:aliases w:val="ap"/>
    <w:basedOn w:val="Normal"/>
    <w:next w:val="ItemHead"/>
    <w:qFormat/>
    <w:rsid w:val="001E05EE"/>
    <w:pPr>
      <w:keepNext/>
      <w:keepLines/>
      <w:spacing w:before="280"/>
      <w:ind w:left="1134" w:hanging="1134"/>
      <w:outlineLvl w:val="6"/>
    </w:pPr>
    <w:rPr>
      <w:rFonts w:ascii="Arial" w:hAnsi="Arial"/>
      <w:b/>
      <w:kern w:val="28"/>
      <w:sz w:val="28"/>
      <w:szCs w:val="20"/>
    </w:rPr>
  </w:style>
  <w:style w:type="paragraph" w:customStyle="1" w:styleId="ActHead6">
    <w:name w:val="ActHead 6"/>
    <w:aliases w:val="as"/>
    <w:basedOn w:val="Normal"/>
    <w:next w:val="ActHead7"/>
    <w:qFormat/>
    <w:rsid w:val="001E05EE"/>
    <w:pPr>
      <w:keepNext/>
      <w:keepLines/>
      <w:ind w:left="1134" w:hanging="1134"/>
      <w:outlineLvl w:val="5"/>
    </w:pPr>
    <w:rPr>
      <w:rFonts w:ascii="Arial" w:hAnsi="Arial"/>
      <w:b/>
      <w:kern w:val="28"/>
      <w:sz w:val="32"/>
      <w:szCs w:val="20"/>
    </w:rPr>
  </w:style>
  <w:style w:type="paragraph" w:customStyle="1" w:styleId="ActHead9">
    <w:name w:val="ActHead 9"/>
    <w:aliases w:val="aat"/>
    <w:basedOn w:val="Normal"/>
    <w:next w:val="ItemHead"/>
    <w:qFormat/>
    <w:rsid w:val="001E05EE"/>
    <w:pPr>
      <w:keepNext/>
      <w:keepLines/>
      <w:spacing w:before="280"/>
      <w:ind w:left="1134" w:hanging="1134"/>
      <w:outlineLvl w:val="8"/>
    </w:pPr>
    <w:rPr>
      <w:b/>
      <w:i/>
      <w:kern w:val="28"/>
      <w:sz w:val="28"/>
      <w:szCs w:val="20"/>
    </w:rPr>
  </w:style>
  <w:style w:type="paragraph" w:customStyle="1" w:styleId="Definition0">
    <w:name w:val="Definition"/>
    <w:aliases w:val="dd"/>
    <w:basedOn w:val="Normal"/>
    <w:rsid w:val="001E05EE"/>
    <w:pPr>
      <w:spacing w:before="180"/>
      <w:ind w:left="1134"/>
    </w:pPr>
    <w:rPr>
      <w:sz w:val="22"/>
      <w:szCs w:val="20"/>
    </w:rPr>
  </w:style>
  <w:style w:type="character" w:customStyle="1" w:styleId="CharAmPartNo">
    <w:name w:val="CharAmPartNo"/>
    <w:qFormat/>
    <w:rsid w:val="001E05EE"/>
  </w:style>
  <w:style w:type="character" w:customStyle="1" w:styleId="CharAmPartText">
    <w:name w:val="CharAmPartText"/>
    <w:qFormat/>
    <w:rsid w:val="001E05EE"/>
  </w:style>
  <w:style w:type="paragraph" w:customStyle="1" w:styleId="subsection">
    <w:name w:val="subsection"/>
    <w:aliases w:val="ss"/>
    <w:basedOn w:val="Normal"/>
    <w:rsid w:val="0013733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paragraphsub">
    <w:name w:val="paragraph(sub)"/>
    <w:aliases w:val="aa"/>
    <w:basedOn w:val="Normal"/>
    <w:rsid w:val="0013733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character" w:customStyle="1" w:styleId="CommentTextChar">
    <w:name w:val="Comment Text Char"/>
    <w:link w:val="CommentText"/>
    <w:rsid w:val="00504DFA"/>
  </w:style>
  <w:style w:type="paragraph" w:customStyle="1" w:styleId="notetext">
    <w:name w:val="note(text)"/>
    <w:aliases w:val="n"/>
    <w:basedOn w:val="Normal"/>
    <w:rsid w:val="007D18E4"/>
    <w:pPr>
      <w:spacing w:before="122"/>
      <w:ind w:left="1985" w:hanging="851"/>
    </w:pPr>
    <w:rPr>
      <w:sz w:val="18"/>
      <w:szCs w:val="20"/>
    </w:rPr>
  </w:style>
  <w:style w:type="paragraph" w:customStyle="1" w:styleId="notepara0">
    <w:name w:val="note(para)"/>
    <w:aliases w:val="na"/>
    <w:basedOn w:val="Normal"/>
    <w:rsid w:val="007D18E4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paragraphChar">
    <w:name w:val="paragraph Char"/>
    <w:aliases w:val="a Char"/>
    <w:link w:val="paragraph"/>
    <w:rsid w:val="00575CFE"/>
    <w:rPr>
      <w:sz w:val="22"/>
    </w:rPr>
  </w:style>
  <w:style w:type="paragraph" w:customStyle="1" w:styleId="ActHead5">
    <w:name w:val="ActHead 5"/>
    <w:aliases w:val="s"/>
    <w:basedOn w:val="Normal"/>
    <w:next w:val="subsection"/>
    <w:qFormat/>
    <w:rsid w:val="00602DB0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styleId="Revision">
    <w:name w:val="Revision"/>
    <w:hidden/>
    <w:uiPriority w:val="99"/>
    <w:semiHidden/>
    <w:rsid w:val="00D87ED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24B05"/>
    <w:rPr>
      <w:rFonts w:ascii="Arial" w:hAnsi="Arial"/>
      <w:sz w:val="16"/>
      <w:szCs w:val="24"/>
    </w:rPr>
  </w:style>
  <w:style w:type="paragraph" w:customStyle="1" w:styleId="CharCharCharCharCharChar">
    <w:name w:val="Char Char Char Char Char Char"/>
    <w:basedOn w:val="Normal"/>
    <w:rsid w:val="00106C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E6FCE"/>
    <w:pPr>
      <w:ind w:left="720"/>
    </w:pPr>
  </w:style>
  <w:style w:type="character" w:customStyle="1" w:styleId="xbe">
    <w:name w:val="_xbe"/>
    <w:rsid w:val="00FD5EA8"/>
  </w:style>
  <w:style w:type="paragraph" w:customStyle="1" w:styleId="ActHead1">
    <w:name w:val="ActHead 1"/>
    <w:aliases w:val="c"/>
    <w:basedOn w:val="Normal"/>
    <w:next w:val="Normal"/>
    <w:qFormat/>
    <w:rsid w:val="00D758F4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header">
    <w:name w:val="table header"/>
    <w:basedOn w:val="Normal"/>
    <w:rsid w:val="00D758F4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Summary box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qFormat/>
    <w:rsid w:val="00E814E3"/>
  </w:style>
  <w:style w:type="character" w:customStyle="1" w:styleId="CharAmSchText">
    <w:name w:val="CharAmSchText"/>
    <w:basedOn w:val="DefaultParagraphFont"/>
    <w:qFormat/>
    <w:rsid w:val="00E814E3"/>
  </w:style>
  <w:style w:type="character" w:customStyle="1" w:styleId="CharChapNo">
    <w:name w:val="CharChapNo"/>
    <w:basedOn w:val="DefaultParagraphFont"/>
    <w:qFormat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qFormat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Item">
    <w:name w:val="Item"/>
    <w:aliases w:val="i"/>
    <w:basedOn w:val="Normal"/>
    <w:next w:val="ItemHead"/>
    <w:rsid w:val="008804C0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8804C0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">
    <w:name w:val="paragraph"/>
    <w:aliases w:val="a"/>
    <w:basedOn w:val="Normal"/>
    <w:link w:val="paragraphChar"/>
    <w:rsid w:val="008804C0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Char">
    <w:name w:val="Char"/>
    <w:basedOn w:val="Normal"/>
    <w:rsid w:val="00C268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5971AB"/>
    <w:rPr>
      <w:rFonts w:ascii="Arial" w:hAnsi="Arial"/>
      <w:i/>
      <w:sz w:val="18"/>
      <w:szCs w:val="18"/>
    </w:rPr>
  </w:style>
  <w:style w:type="paragraph" w:customStyle="1" w:styleId="ActHead7">
    <w:name w:val="ActHead 7"/>
    <w:aliases w:val="ap"/>
    <w:basedOn w:val="Normal"/>
    <w:next w:val="ItemHead"/>
    <w:qFormat/>
    <w:rsid w:val="001E05EE"/>
    <w:pPr>
      <w:keepNext/>
      <w:keepLines/>
      <w:spacing w:before="280"/>
      <w:ind w:left="1134" w:hanging="1134"/>
      <w:outlineLvl w:val="6"/>
    </w:pPr>
    <w:rPr>
      <w:rFonts w:ascii="Arial" w:hAnsi="Arial"/>
      <w:b/>
      <w:kern w:val="28"/>
      <w:sz w:val="28"/>
      <w:szCs w:val="20"/>
    </w:rPr>
  </w:style>
  <w:style w:type="paragraph" w:customStyle="1" w:styleId="ActHead6">
    <w:name w:val="ActHead 6"/>
    <w:aliases w:val="as"/>
    <w:basedOn w:val="Normal"/>
    <w:next w:val="ActHead7"/>
    <w:qFormat/>
    <w:rsid w:val="001E05EE"/>
    <w:pPr>
      <w:keepNext/>
      <w:keepLines/>
      <w:ind w:left="1134" w:hanging="1134"/>
      <w:outlineLvl w:val="5"/>
    </w:pPr>
    <w:rPr>
      <w:rFonts w:ascii="Arial" w:hAnsi="Arial"/>
      <w:b/>
      <w:kern w:val="28"/>
      <w:sz w:val="32"/>
      <w:szCs w:val="20"/>
    </w:rPr>
  </w:style>
  <w:style w:type="paragraph" w:customStyle="1" w:styleId="ActHead9">
    <w:name w:val="ActHead 9"/>
    <w:aliases w:val="aat"/>
    <w:basedOn w:val="Normal"/>
    <w:next w:val="ItemHead"/>
    <w:qFormat/>
    <w:rsid w:val="001E05EE"/>
    <w:pPr>
      <w:keepNext/>
      <w:keepLines/>
      <w:spacing w:before="280"/>
      <w:ind w:left="1134" w:hanging="1134"/>
      <w:outlineLvl w:val="8"/>
    </w:pPr>
    <w:rPr>
      <w:b/>
      <w:i/>
      <w:kern w:val="28"/>
      <w:sz w:val="28"/>
      <w:szCs w:val="20"/>
    </w:rPr>
  </w:style>
  <w:style w:type="paragraph" w:customStyle="1" w:styleId="Definition0">
    <w:name w:val="Definition"/>
    <w:aliases w:val="dd"/>
    <w:basedOn w:val="Normal"/>
    <w:rsid w:val="001E05EE"/>
    <w:pPr>
      <w:spacing w:before="180"/>
      <w:ind w:left="1134"/>
    </w:pPr>
    <w:rPr>
      <w:sz w:val="22"/>
      <w:szCs w:val="20"/>
    </w:rPr>
  </w:style>
  <w:style w:type="character" w:customStyle="1" w:styleId="CharAmPartNo">
    <w:name w:val="CharAmPartNo"/>
    <w:qFormat/>
    <w:rsid w:val="001E05EE"/>
  </w:style>
  <w:style w:type="character" w:customStyle="1" w:styleId="CharAmPartText">
    <w:name w:val="CharAmPartText"/>
    <w:qFormat/>
    <w:rsid w:val="001E05EE"/>
  </w:style>
  <w:style w:type="paragraph" w:customStyle="1" w:styleId="subsection">
    <w:name w:val="subsection"/>
    <w:aliases w:val="ss"/>
    <w:basedOn w:val="Normal"/>
    <w:rsid w:val="0013733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paragraphsub">
    <w:name w:val="paragraph(sub)"/>
    <w:aliases w:val="aa"/>
    <w:basedOn w:val="Normal"/>
    <w:rsid w:val="0013733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character" w:customStyle="1" w:styleId="CommentTextChar">
    <w:name w:val="Comment Text Char"/>
    <w:link w:val="CommentText"/>
    <w:rsid w:val="00504DFA"/>
  </w:style>
  <w:style w:type="paragraph" w:customStyle="1" w:styleId="notetext">
    <w:name w:val="note(text)"/>
    <w:aliases w:val="n"/>
    <w:basedOn w:val="Normal"/>
    <w:rsid w:val="007D18E4"/>
    <w:pPr>
      <w:spacing w:before="122"/>
      <w:ind w:left="1985" w:hanging="851"/>
    </w:pPr>
    <w:rPr>
      <w:sz w:val="18"/>
      <w:szCs w:val="20"/>
    </w:rPr>
  </w:style>
  <w:style w:type="paragraph" w:customStyle="1" w:styleId="notepara0">
    <w:name w:val="note(para)"/>
    <w:aliases w:val="na"/>
    <w:basedOn w:val="Normal"/>
    <w:rsid w:val="007D18E4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paragraphChar">
    <w:name w:val="paragraph Char"/>
    <w:aliases w:val="a Char"/>
    <w:link w:val="paragraph"/>
    <w:rsid w:val="00575CFE"/>
    <w:rPr>
      <w:sz w:val="22"/>
    </w:rPr>
  </w:style>
  <w:style w:type="paragraph" w:customStyle="1" w:styleId="ActHead5">
    <w:name w:val="ActHead 5"/>
    <w:aliases w:val="s"/>
    <w:basedOn w:val="Normal"/>
    <w:next w:val="subsection"/>
    <w:qFormat/>
    <w:rsid w:val="00602DB0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styleId="Revision">
    <w:name w:val="Revision"/>
    <w:hidden/>
    <w:uiPriority w:val="99"/>
    <w:semiHidden/>
    <w:rsid w:val="00D87ED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24B05"/>
    <w:rPr>
      <w:rFonts w:ascii="Arial" w:hAnsi="Arial"/>
      <w:sz w:val="16"/>
      <w:szCs w:val="24"/>
    </w:rPr>
  </w:style>
  <w:style w:type="paragraph" w:customStyle="1" w:styleId="CharCharCharCharCharChar">
    <w:name w:val="Char Char Char Char Char Char"/>
    <w:basedOn w:val="Normal"/>
    <w:rsid w:val="00106C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E6FCE"/>
    <w:pPr>
      <w:ind w:left="720"/>
    </w:pPr>
  </w:style>
  <w:style w:type="character" w:customStyle="1" w:styleId="xbe">
    <w:name w:val="_xbe"/>
    <w:rsid w:val="00FD5EA8"/>
  </w:style>
  <w:style w:type="paragraph" w:customStyle="1" w:styleId="ActHead1">
    <w:name w:val="ActHead 1"/>
    <w:aliases w:val="c"/>
    <w:basedOn w:val="Normal"/>
    <w:next w:val="Normal"/>
    <w:qFormat/>
    <w:rsid w:val="00D758F4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header">
    <w:name w:val="table header"/>
    <w:basedOn w:val="Normal"/>
    <w:rsid w:val="00D758F4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551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2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0113-4F70-4A87-9DDE-A7367CF0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889</Words>
  <Characters>4663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LSB draft NH(Listing of PB) Amendment Instrument 2015</vt:lpstr>
    </vt:vector>
  </TitlesOfParts>
  <Company>Office of Legislative Drafting and Publishing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LSB draft NH(Listing of PB) Amendment Instrument 2015</dc:title>
  <dc:creator>Tara Munro-Mobbs</dc:creator>
  <cp:lastModifiedBy>KWONG, Jady</cp:lastModifiedBy>
  <cp:revision>2</cp:revision>
  <cp:lastPrinted>2017-05-22T07:23:00Z</cp:lastPrinted>
  <dcterms:created xsi:type="dcterms:W3CDTF">2017-09-22T02:02:00Z</dcterms:created>
  <dcterms:modified xsi:type="dcterms:W3CDTF">2017-09-22T02:02:00Z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