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80887" w14:textId="77777777" w:rsidR="00AC02C2" w:rsidRDefault="00AC02C2">
      <w:pPr>
        <w:pStyle w:val="Title"/>
      </w:pPr>
    </w:p>
    <w:p w14:paraId="2CABF0AC" w14:textId="77777777" w:rsidR="00AC02C2" w:rsidRDefault="00AC02C2">
      <w:pPr>
        <w:pStyle w:val="Title"/>
      </w:pPr>
    </w:p>
    <w:p w14:paraId="5B3CB0DA" w14:textId="3F5A823D" w:rsidR="005B0E3A" w:rsidRDefault="005B0E3A" w:rsidP="005B0E3A">
      <w:pPr>
        <w:spacing w:before="63" w:line="479" w:lineRule="auto"/>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0622C2">
        <w:rPr>
          <w:b/>
          <w:color w:val="000000"/>
          <w:spacing w:val="-1"/>
          <w:sz w:val="28"/>
        </w:rPr>
        <w:t>ASIC Corporations (Financial Counselling Agencies) Instrument 2017/</w:t>
      </w:r>
      <w:r w:rsidR="00821288">
        <w:rPr>
          <w:b/>
          <w:color w:val="000000"/>
          <w:spacing w:val="-1"/>
          <w:sz w:val="28"/>
        </w:rPr>
        <w:t>792</w:t>
      </w:r>
      <w:r w:rsidR="000622C2">
        <w:rPr>
          <w:b/>
          <w:color w:val="000000"/>
          <w:spacing w:val="-1"/>
          <w:sz w:val="28"/>
        </w:rPr>
        <w:t xml:space="preserve"> </w:t>
      </w:r>
    </w:p>
    <w:p w14:paraId="42598824" w14:textId="77777777" w:rsidR="005B0E3A" w:rsidRDefault="005B0E3A" w:rsidP="005B0E3A">
      <w:pPr>
        <w:pStyle w:val="BodyText"/>
        <w:jc w:val="center"/>
      </w:pPr>
      <w:r>
        <w:t>Prepared by the Australian Securities and Investments Commission</w:t>
      </w:r>
    </w:p>
    <w:p w14:paraId="7FC8AAF6" w14:textId="77777777" w:rsidR="005B0E3A" w:rsidRDefault="005B0E3A" w:rsidP="005B0E3A">
      <w:pPr>
        <w:spacing w:before="4" w:line="220" w:lineRule="exact"/>
        <w:jc w:val="center"/>
      </w:pPr>
    </w:p>
    <w:p w14:paraId="5053900F" w14:textId="77777777" w:rsidR="005B0E3A" w:rsidRDefault="005B0E3A" w:rsidP="005B0E3A">
      <w:pPr>
        <w:jc w:val="center"/>
        <w:rPr>
          <w:sz w:val="24"/>
          <w:szCs w:val="24"/>
        </w:rPr>
      </w:pPr>
      <w:r>
        <w:rPr>
          <w:i/>
          <w:sz w:val="24"/>
        </w:rPr>
        <w:t>Corporations Act 2001</w:t>
      </w:r>
    </w:p>
    <w:p w14:paraId="30CA707C" w14:textId="77777777" w:rsidR="005B0E3A" w:rsidRDefault="005B0E3A" w:rsidP="0034712C">
      <w:pPr>
        <w:pStyle w:val="BodyText"/>
      </w:pPr>
    </w:p>
    <w:p w14:paraId="7DDB87B1" w14:textId="682AA895" w:rsidR="002F6F10" w:rsidRDefault="005B0E3A" w:rsidP="0034712C">
      <w:pPr>
        <w:pStyle w:val="BodyText"/>
      </w:pPr>
      <w:r w:rsidRPr="00D01BF3">
        <w:t>The Australian Securities and Investments Commission (</w:t>
      </w:r>
      <w:r w:rsidRPr="000763A9">
        <w:rPr>
          <w:b/>
        </w:rPr>
        <w:t>ASIC</w:t>
      </w:r>
      <w:r w:rsidRPr="00D01BF3">
        <w:t>) makes</w:t>
      </w:r>
      <w:r w:rsidR="006C6827" w:rsidRPr="00D01BF3">
        <w:t xml:space="preserve"> </w:t>
      </w:r>
      <w:r w:rsidR="006C6827" w:rsidRPr="00166993">
        <w:rPr>
          <w:i/>
        </w:rPr>
        <w:t>ASIC Corporations (Financial Counselling Agencies) Instrument 2017/</w:t>
      </w:r>
      <w:r w:rsidR="00534FFF">
        <w:rPr>
          <w:i/>
        </w:rPr>
        <w:t>792</w:t>
      </w:r>
      <w:r w:rsidR="00F96C74" w:rsidRPr="00D01BF3">
        <w:t xml:space="preserve"> (</w:t>
      </w:r>
      <w:r w:rsidR="00F96C74" w:rsidRPr="000763A9">
        <w:rPr>
          <w:b/>
        </w:rPr>
        <w:t xml:space="preserve">the </w:t>
      </w:r>
      <w:r w:rsidR="005F5BF2">
        <w:rPr>
          <w:b/>
        </w:rPr>
        <w:t xml:space="preserve">New </w:t>
      </w:r>
      <w:r w:rsidR="00F96C74" w:rsidRPr="000763A9">
        <w:rPr>
          <w:b/>
        </w:rPr>
        <w:t>Instrument</w:t>
      </w:r>
      <w:r w:rsidR="00F96C74" w:rsidRPr="00D01BF3">
        <w:t>)</w:t>
      </w:r>
      <w:r w:rsidRPr="00D01BF3">
        <w:t xml:space="preserve"> under</w:t>
      </w:r>
      <w:r w:rsidR="006C6827" w:rsidRPr="00D01BF3">
        <w:t xml:space="preserve"> paragraph 926A(2)(a) of the </w:t>
      </w:r>
      <w:r w:rsidR="006C6827" w:rsidRPr="00697246">
        <w:rPr>
          <w:i/>
        </w:rPr>
        <w:t>Corporations Act 2001</w:t>
      </w:r>
      <w:r w:rsidR="006C6827" w:rsidRPr="00D01BF3">
        <w:t xml:space="preserve"> (</w:t>
      </w:r>
      <w:r w:rsidR="009F5E64" w:rsidRPr="000763A9">
        <w:rPr>
          <w:b/>
        </w:rPr>
        <w:t xml:space="preserve">Corporations </w:t>
      </w:r>
      <w:r w:rsidR="006C6827" w:rsidRPr="000763A9">
        <w:rPr>
          <w:b/>
        </w:rPr>
        <w:t>Act</w:t>
      </w:r>
      <w:r w:rsidR="006C6827" w:rsidRPr="00D01BF3">
        <w:t xml:space="preserve">). </w:t>
      </w:r>
    </w:p>
    <w:p w14:paraId="65761C15" w14:textId="77777777" w:rsidR="00235564" w:rsidRDefault="006C6827" w:rsidP="0034712C">
      <w:pPr>
        <w:pStyle w:val="BodyText"/>
      </w:pPr>
      <w:r w:rsidRPr="00D01BF3">
        <w:t xml:space="preserve">Paragraph </w:t>
      </w:r>
      <w:proofErr w:type="gramStart"/>
      <w:r w:rsidRPr="00D01BF3">
        <w:t>926A(</w:t>
      </w:r>
      <w:proofErr w:type="gramEnd"/>
      <w:r w:rsidRPr="00D01BF3">
        <w:t xml:space="preserve">2)(a) provides that ASIC may exempt a person or class of persons from </w:t>
      </w:r>
      <w:r w:rsidR="00934361">
        <w:t>Part 7.6 of the Corporations Act (other than Divisions 4 and 8 of that Part).</w:t>
      </w:r>
    </w:p>
    <w:p w14:paraId="6F1A8F7A" w14:textId="1033831A" w:rsidR="005B0E3A" w:rsidRPr="00D01BF3" w:rsidRDefault="005B0E3A" w:rsidP="0034712C">
      <w:pPr>
        <w:pStyle w:val="BodyText"/>
      </w:pPr>
    </w:p>
    <w:p w14:paraId="2EB6DD88" w14:textId="77777777"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0" w:name="1._Background"/>
      <w:bookmarkEnd w:id="0"/>
      <w:r>
        <w:rPr>
          <w:rFonts w:ascii="Arial"/>
          <w:b/>
          <w:spacing w:val="-1"/>
          <w:sz w:val="24"/>
        </w:rPr>
        <w:t>Background</w:t>
      </w:r>
    </w:p>
    <w:p w14:paraId="385D7F4D" w14:textId="77777777" w:rsidR="005B0E3A" w:rsidRDefault="005B0E3A" w:rsidP="005B0E3A">
      <w:pPr>
        <w:spacing w:before="4" w:line="220" w:lineRule="exact"/>
      </w:pPr>
    </w:p>
    <w:p w14:paraId="5E9BB683" w14:textId="736BF1C9" w:rsidR="00DF6F89" w:rsidRPr="00D01BF3" w:rsidRDefault="00DF6F89" w:rsidP="0034712C">
      <w:pPr>
        <w:pStyle w:val="BodyText"/>
      </w:pPr>
      <w:r w:rsidRPr="00D01BF3">
        <w:t>Financial counselling agencies provide free and independent services t</w:t>
      </w:r>
      <w:r w:rsidR="00C863D4" w:rsidRPr="00D01BF3">
        <w:t>o people in financial difficulty</w:t>
      </w:r>
      <w:r w:rsidRPr="00D01BF3">
        <w:t>. In providing this assistance, a financial counsellor and their client may discuss matters relating to particular financial products.</w:t>
      </w:r>
    </w:p>
    <w:p w14:paraId="16B5A26C" w14:textId="323052AB" w:rsidR="00DF6F89" w:rsidRPr="00D01BF3" w:rsidRDefault="00DF6F89" w:rsidP="0034712C">
      <w:pPr>
        <w:pStyle w:val="BodyText"/>
      </w:pPr>
      <w:r w:rsidRPr="00D01BF3">
        <w:t xml:space="preserve">When discussing particular financial products with their clients, financial counsellors may provide financial product advice if the client receives recommendations or statements of opinion that are (or could reasonably be regarded as being) intended to influence the client in making a decision about a financial product or class of financial product: see s766B of </w:t>
      </w:r>
      <w:r w:rsidR="009F5E64" w:rsidRPr="00D01BF3">
        <w:t>the Corporations Act</w:t>
      </w:r>
      <w:r w:rsidRPr="00D01BF3">
        <w:t xml:space="preserve">. The advice may be personal advice in some circumstances: see </w:t>
      </w:r>
      <w:proofErr w:type="gramStart"/>
      <w:r w:rsidRPr="00D01BF3">
        <w:t>s766B(</w:t>
      </w:r>
      <w:proofErr w:type="gramEnd"/>
      <w:r w:rsidRPr="00D01BF3">
        <w:t>3).</w:t>
      </w:r>
    </w:p>
    <w:p w14:paraId="5124D31D" w14:textId="7838B4C0" w:rsidR="00DF6F89" w:rsidRPr="00D01BF3" w:rsidRDefault="00040E3A" w:rsidP="0034712C">
      <w:pPr>
        <w:pStyle w:val="BodyText"/>
      </w:pPr>
      <w:r w:rsidRPr="00D01BF3">
        <w:t xml:space="preserve">In 2003, ASIC issued ASIC Class Order </w:t>
      </w:r>
      <w:r w:rsidR="00DF6F89" w:rsidRPr="00D01BF3">
        <w:t xml:space="preserve">[CO 03/1063] </w:t>
      </w:r>
      <w:r w:rsidRPr="00D01BF3">
        <w:t>to provide relief for</w:t>
      </w:r>
      <w:r w:rsidR="00DF6F89" w:rsidRPr="00D01BF3">
        <w:t xml:space="preserve"> financial counselling agencies from the requirement to hold an Australian financial services (AFS) licence when providing financial product advice as part of their financial counselling service. The exemption is available where advice relates to deposit, non-cash payments, insurance, retirement savings account product or superannuation products (or where the advice is to dispose of a security, an interest in a managed investment scheme or a government-issued debenture, stock or bond).</w:t>
      </w:r>
    </w:p>
    <w:p w14:paraId="0CC3DD20" w14:textId="77777777" w:rsidR="00DF6F89" w:rsidRPr="00D01BF3" w:rsidRDefault="00DF6F89" w:rsidP="0034712C">
      <w:pPr>
        <w:pStyle w:val="BodyText"/>
      </w:pPr>
      <w:r w:rsidRPr="00D01BF3">
        <w:t xml:space="preserve">Without the relief in [CO 03/1063] a financial counsellor who provides clients with financial product advice will be subject to the AFS licensing, conduct and disclosure obligations in </w:t>
      </w:r>
      <w:proofErr w:type="spellStart"/>
      <w:r w:rsidRPr="00D01BF3">
        <w:t>Ch</w:t>
      </w:r>
      <w:proofErr w:type="spellEnd"/>
      <w:r w:rsidRPr="00D01BF3">
        <w:t xml:space="preserve"> </w:t>
      </w:r>
      <w:proofErr w:type="gramStart"/>
      <w:r w:rsidRPr="00D01BF3">
        <w:lastRenderedPageBreak/>
        <w:t>7 of the Corporations Act.</w:t>
      </w:r>
      <w:proofErr w:type="gramEnd"/>
      <w:r w:rsidRPr="00D01BF3">
        <w:t xml:space="preserve"> Depending on the nature of the advice, this could include the personal advice requirements in </w:t>
      </w:r>
      <w:proofErr w:type="spellStart"/>
      <w:r w:rsidRPr="00D01BF3">
        <w:t>Div</w:t>
      </w:r>
      <w:proofErr w:type="spellEnd"/>
      <w:r w:rsidRPr="00D01BF3">
        <w:t xml:space="preserve"> 3 of Pt 7.7 of the Corporations Act.</w:t>
      </w:r>
    </w:p>
    <w:p w14:paraId="2B2F8428" w14:textId="00BDA949" w:rsidR="00DF6F89" w:rsidRPr="00D01BF3" w:rsidRDefault="00DF6F89" w:rsidP="0034712C">
      <w:pPr>
        <w:pStyle w:val="BodyText"/>
      </w:pPr>
      <w:r w:rsidRPr="00D01BF3">
        <w:t xml:space="preserve">[CO 03/1063] was made because it was considered that full compliance with </w:t>
      </w:r>
      <w:proofErr w:type="spellStart"/>
      <w:r w:rsidRPr="00D01BF3">
        <w:t>Ch</w:t>
      </w:r>
      <w:proofErr w:type="spellEnd"/>
      <w:r w:rsidRPr="00D01BF3">
        <w:t xml:space="preserve"> 7 of the Corporations Act in relation to certain kinds of advice may be unduly burdensome and could affect the ongoing viability of some financial counselling agencies. </w:t>
      </w:r>
      <w:r w:rsidR="002F6F10">
        <w:t xml:space="preserve">The </w:t>
      </w:r>
      <w:r w:rsidR="002F6F10" w:rsidRPr="000D713E">
        <w:t>conditions associated</w:t>
      </w:r>
      <w:r w:rsidR="002F6F10">
        <w:t xml:space="preserve"> with [CO 03/1063] are intended to minimise the </w:t>
      </w:r>
      <w:r w:rsidR="002F6F10" w:rsidRPr="00D01BF3">
        <w:t>risk of consumer detriment</w:t>
      </w:r>
      <w:r w:rsidR="002F6F10">
        <w:t xml:space="preserve"> and ensure that advice provided under the exemption is free and independent.</w:t>
      </w:r>
    </w:p>
    <w:p w14:paraId="6C8CFA03" w14:textId="1A49FE67" w:rsidR="00AB064F" w:rsidRDefault="002F6F10" w:rsidP="0034712C">
      <w:pPr>
        <w:pStyle w:val="BodyText"/>
      </w:pPr>
      <w:r>
        <w:t>T</w:t>
      </w:r>
      <w:r w:rsidR="005C0D23">
        <w:t>h</w:t>
      </w:r>
      <w:r w:rsidR="00AB064F" w:rsidRPr="00D01BF3">
        <w:t>ere have been changes in the industry since [CO 03/1063] was made. These include Standards for agencies employing financial counsellors and National standards for membership and accreditation.</w:t>
      </w:r>
      <w:r w:rsidR="00A863FE">
        <w:t xml:space="preserve"> These standards include continuing professional development and supervision requirements</w:t>
      </w:r>
      <w:r w:rsidR="00B04B93">
        <w:t>.</w:t>
      </w:r>
      <w:r w:rsidR="00AB064F" w:rsidRPr="00D01BF3">
        <w:t xml:space="preserve"> </w:t>
      </w:r>
    </w:p>
    <w:p w14:paraId="54D4C6DC" w14:textId="2ED371F1" w:rsidR="002F6F10" w:rsidRPr="002F6F10" w:rsidRDefault="002F6F10" w:rsidP="0034712C">
      <w:pPr>
        <w:pStyle w:val="BodyText"/>
      </w:pPr>
      <w:r>
        <w:t xml:space="preserve">Under the </w:t>
      </w:r>
      <w:r>
        <w:rPr>
          <w:i/>
        </w:rPr>
        <w:t>Legislation Act 2003</w:t>
      </w:r>
      <w:r>
        <w:t>, instrument such as [CO 03/1063] automatically cease to have effect, or ‘sunset’ after 10 years. [CO 03/1063] was due to sunset on 1 October 2017.</w:t>
      </w:r>
    </w:p>
    <w:p w14:paraId="19925B87" w14:textId="77777777" w:rsidR="005B0E3A" w:rsidRPr="009F5E64" w:rsidRDefault="005B0E3A" w:rsidP="009F5E64">
      <w:pPr>
        <w:pStyle w:val="BodyText"/>
        <w:rPr>
          <w:sz w:val="22"/>
          <w:szCs w:val="22"/>
        </w:rPr>
      </w:pPr>
    </w:p>
    <w:p w14:paraId="5EC8D165" w14:textId="52760404" w:rsidR="005B0E3A" w:rsidRPr="00F71B75" w:rsidRDefault="005B0E3A" w:rsidP="00F71B75">
      <w:pPr>
        <w:widowControl w:val="0"/>
        <w:numPr>
          <w:ilvl w:val="0"/>
          <w:numId w:val="7"/>
        </w:numPr>
        <w:tabs>
          <w:tab w:val="left" w:pos="1592"/>
        </w:tabs>
        <w:spacing w:before="145" w:after="0"/>
        <w:ind w:left="0" w:firstLine="0"/>
        <w:rPr>
          <w:rFonts w:ascii="Arial"/>
          <w:b/>
          <w:spacing w:val="-1"/>
          <w:sz w:val="24"/>
        </w:rPr>
      </w:pPr>
      <w:bookmarkStart w:id="1" w:name="2._Purpose_of_the_class_order_"/>
      <w:bookmarkEnd w:id="1"/>
      <w:r w:rsidRPr="00F71B75">
        <w:rPr>
          <w:rFonts w:ascii="Arial"/>
          <w:b/>
          <w:spacing w:val="-1"/>
          <w:sz w:val="24"/>
        </w:rPr>
        <w:t>Purpose of the instrument</w:t>
      </w:r>
      <w:r w:rsidR="005F5BF2">
        <w:rPr>
          <w:rFonts w:ascii="Arial"/>
          <w:b/>
          <w:spacing w:val="-1"/>
          <w:sz w:val="24"/>
        </w:rPr>
        <w:t>s</w:t>
      </w:r>
    </w:p>
    <w:p w14:paraId="5915E868" w14:textId="77777777" w:rsidR="005B0E3A" w:rsidRDefault="005B0E3A" w:rsidP="005B0E3A">
      <w:pPr>
        <w:spacing w:before="4" w:line="220" w:lineRule="exact"/>
      </w:pPr>
    </w:p>
    <w:p w14:paraId="2329BAF5" w14:textId="1837ED8B" w:rsidR="00EE0B24" w:rsidRPr="00D01BF3" w:rsidRDefault="00EE0B24" w:rsidP="005B0E3A">
      <w:pPr>
        <w:spacing w:before="4" w:line="220" w:lineRule="exact"/>
        <w:rPr>
          <w:sz w:val="24"/>
          <w:lang w:eastAsia="en-US"/>
        </w:rPr>
      </w:pPr>
      <w:r w:rsidRPr="00D01BF3">
        <w:rPr>
          <w:sz w:val="24"/>
          <w:lang w:eastAsia="en-US"/>
        </w:rPr>
        <w:t>The purpose of the</w:t>
      </w:r>
      <w:r w:rsidR="008B3567">
        <w:rPr>
          <w:sz w:val="24"/>
          <w:lang w:eastAsia="en-US"/>
        </w:rPr>
        <w:t xml:space="preserve"> New</w:t>
      </w:r>
      <w:r w:rsidRPr="00D01BF3">
        <w:rPr>
          <w:sz w:val="24"/>
          <w:lang w:eastAsia="en-US"/>
        </w:rPr>
        <w:t xml:space="preserve"> Instrument is to continue the relief </w:t>
      </w:r>
      <w:r w:rsidR="00DC6FEA">
        <w:rPr>
          <w:sz w:val="24"/>
          <w:lang w:eastAsia="en-US"/>
        </w:rPr>
        <w:t xml:space="preserve">given </w:t>
      </w:r>
      <w:r w:rsidRPr="00D01BF3">
        <w:rPr>
          <w:sz w:val="24"/>
          <w:lang w:eastAsia="en-US"/>
        </w:rPr>
        <w:t>in [CO 03/1063] beyond its sunset date of 1 October 2017</w:t>
      </w:r>
      <w:r w:rsidR="009F17EC" w:rsidRPr="00D01BF3">
        <w:rPr>
          <w:sz w:val="24"/>
          <w:lang w:eastAsia="en-US"/>
        </w:rPr>
        <w:t xml:space="preserve"> </w:t>
      </w:r>
      <w:r w:rsidR="00C13821">
        <w:rPr>
          <w:sz w:val="24"/>
          <w:lang w:eastAsia="en-US"/>
        </w:rPr>
        <w:t xml:space="preserve">with </w:t>
      </w:r>
      <w:r w:rsidR="00F77B78">
        <w:rPr>
          <w:sz w:val="24"/>
          <w:lang w:eastAsia="en-US"/>
        </w:rPr>
        <w:t>current drafting practice</w:t>
      </w:r>
      <w:r w:rsidR="00C13821">
        <w:rPr>
          <w:sz w:val="24"/>
          <w:lang w:eastAsia="en-US"/>
        </w:rPr>
        <w:t xml:space="preserve"> and</w:t>
      </w:r>
      <w:r w:rsidR="00F77B78">
        <w:rPr>
          <w:sz w:val="24"/>
          <w:lang w:eastAsia="en-US"/>
        </w:rPr>
        <w:t xml:space="preserve"> </w:t>
      </w:r>
      <w:r w:rsidR="009F17EC" w:rsidRPr="00D01BF3">
        <w:rPr>
          <w:sz w:val="24"/>
          <w:lang w:eastAsia="en-US"/>
        </w:rPr>
        <w:t>without any significant changes</w:t>
      </w:r>
      <w:r w:rsidR="00F96C74" w:rsidRPr="00D01BF3">
        <w:rPr>
          <w:sz w:val="24"/>
          <w:lang w:eastAsia="en-US"/>
        </w:rPr>
        <w:t xml:space="preserve">. </w:t>
      </w:r>
    </w:p>
    <w:p w14:paraId="69B99406" w14:textId="77777777" w:rsidR="00934A0D" w:rsidRPr="00D01BF3" w:rsidRDefault="008A2CAD" w:rsidP="00C7634F">
      <w:pPr>
        <w:pStyle w:val="BodyText"/>
      </w:pPr>
      <w:r w:rsidRPr="00D01BF3">
        <w:t>In continuing the relief, financial</w:t>
      </w:r>
      <w:r w:rsidR="00C7634F" w:rsidRPr="00D01BF3">
        <w:t xml:space="preserve"> counselling associations will remain</w:t>
      </w:r>
      <w:r w:rsidRPr="00D01BF3">
        <w:t xml:space="preserve"> exempt from the requirement to hold an AFS licence</w:t>
      </w:r>
      <w:r w:rsidR="00934A0D" w:rsidRPr="00D01BF3">
        <w:t xml:space="preserve"> when</w:t>
      </w:r>
      <w:r w:rsidR="00C863D4" w:rsidRPr="00D01BF3">
        <w:t xml:space="preserve"> provid</w:t>
      </w:r>
      <w:r w:rsidR="00934A0D" w:rsidRPr="00D01BF3">
        <w:t>ing</w:t>
      </w:r>
      <w:r w:rsidR="00C863D4" w:rsidRPr="00D01BF3">
        <w:t xml:space="preserve"> advice on particular financial products.</w:t>
      </w:r>
      <w:r w:rsidR="00934A0D" w:rsidRPr="00D01BF3">
        <w:t xml:space="preserve"> </w:t>
      </w:r>
    </w:p>
    <w:p w14:paraId="025D7AF4" w14:textId="719CEF97" w:rsidR="003B06DD" w:rsidRDefault="00934A0D" w:rsidP="00C7634F">
      <w:pPr>
        <w:pStyle w:val="BodyText"/>
      </w:pPr>
      <w:r w:rsidRPr="00D01BF3">
        <w:t>T</w:t>
      </w:r>
      <w:r w:rsidR="00C863D4" w:rsidRPr="00D01BF3">
        <w:t xml:space="preserve">he </w:t>
      </w:r>
      <w:r w:rsidR="002B02CB">
        <w:t xml:space="preserve">limited circumstances in which the exemption applies </w:t>
      </w:r>
      <w:r w:rsidR="00C863D4" w:rsidRPr="00D01BF3">
        <w:t>ensure</w:t>
      </w:r>
      <w:r w:rsidRPr="00D01BF3">
        <w:t>s</w:t>
      </w:r>
      <w:r w:rsidR="00C863D4" w:rsidRPr="00D01BF3">
        <w:t xml:space="preserve"> clients can have a high degree of confidence that when their financial counsellors provide them with advice, they do so free from any conflicts of interest, and with an acceptable level of skills, knowledge and professionalism. </w:t>
      </w:r>
    </w:p>
    <w:p w14:paraId="1AFD35C1" w14:textId="77777777" w:rsidR="005B0E3A" w:rsidRDefault="005B0E3A" w:rsidP="005B0E3A">
      <w:pPr>
        <w:spacing w:line="240" w:lineRule="exact"/>
        <w:rPr>
          <w:sz w:val="24"/>
          <w:szCs w:val="24"/>
        </w:rPr>
      </w:pPr>
    </w:p>
    <w:p w14:paraId="7F03DB0A" w14:textId="1484DE3B" w:rsidR="005B0E3A" w:rsidRPr="00F71B75" w:rsidRDefault="005B0E3A" w:rsidP="00F71B75">
      <w:pPr>
        <w:widowControl w:val="0"/>
        <w:numPr>
          <w:ilvl w:val="0"/>
          <w:numId w:val="7"/>
        </w:numPr>
        <w:tabs>
          <w:tab w:val="left" w:pos="1592"/>
        </w:tabs>
        <w:spacing w:before="145" w:after="0"/>
        <w:ind w:left="0" w:firstLine="0"/>
        <w:rPr>
          <w:rFonts w:ascii="Arial"/>
          <w:b/>
          <w:spacing w:val="-1"/>
          <w:sz w:val="24"/>
        </w:rPr>
      </w:pPr>
      <w:bookmarkStart w:id="2" w:name="3._Operation_of_the_class_order_"/>
      <w:bookmarkEnd w:id="2"/>
      <w:r w:rsidRPr="00F71B75">
        <w:rPr>
          <w:rFonts w:ascii="Arial"/>
          <w:b/>
          <w:spacing w:val="-1"/>
          <w:sz w:val="24"/>
        </w:rPr>
        <w:t>Operation of the instrument</w:t>
      </w:r>
      <w:r w:rsidR="005F5BF2">
        <w:rPr>
          <w:rFonts w:ascii="Arial"/>
          <w:b/>
          <w:spacing w:val="-1"/>
          <w:sz w:val="24"/>
        </w:rPr>
        <w:t>s</w:t>
      </w:r>
    </w:p>
    <w:p w14:paraId="5FF06E8A" w14:textId="3B41684C" w:rsidR="002F6F10" w:rsidRPr="00B05DD7" w:rsidRDefault="006D2483" w:rsidP="008B4D47">
      <w:pPr>
        <w:pStyle w:val="BodyText"/>
      </w:pPr>
      <w:r w:rsidRPr="008B4D47">
        <w:rPr>
          <w:szCs w:val="24"/>
          <w:lang w:eastAsia="en-AU"/>
        </w:rPr>
        <w:t xml:space="preserve">Subsection 5(1) provides that </w:t>
      </w:r>
      <w:r w:rsidR="00DF440F" w:rsidRPr="008B4D47">
        <w:rPr>
          <w:szCs w:val="24"/>
          <w:lang w:eastAsia="en-AU"/>
        </w:rPr>
        <w:t>f</w:t>
      </w:r>
      <w:r w:rsidRPr="008B4D47">
        <w:rPr>
          <w:szCs w:val="24"/>
          <w:lang w:eastAsia="en-AU"/>
        </w:rPr>
        <w:t>inancial</w:t>
      </w:r>
      <w:r w:rsidR="00DF440F" w:rsidRPr="008B4D47">
        <w:rPr>
          <w:szCs w:val="24"/>
          <w:lang w:eastAsia="en-AU"/>
        </w:rPr>
        <w:t xml:space="preserve"> counselling a</w:t>
      </w:r>
      <w:r w:rsidRPr="008B4D47">
        <w:rPr>
          <w:szCs w:val="24"/>
          <w:lang w:eastAsia="en-AU"/>
        </w:rPr>
        <w:t xml:space="preserve">gencies are exempt from the requirement </w:t>
      </w:r>
      <w:r w:rsidR="002F6F10" w:rsidRPr="008B4D47">
        <w:rPr>
          <w:szCs w:val="24"/>
          <w:lang w:eastAsia="en-AU"/>
        </w:rPr>
        <w:t xml:space="preserve">to hold an AFS licence </w:t>
      </w:r>
      <w:r w:rsidR="00B05DD7" w:rsidRPr="008B4D47">
        <w:rPr>
          <w:szCs w:val="24"/>
          <w:lang w:eastAsia="en-AU"/>
        </w:rPr>
        <w:t>covering the provision of</w:t>
      </w:r>
      <w:r w:rsidR="002F6F10" w:rsidRPr="008B4D47">
        <w:rPr>
          <w:szCs w:val="24"/>
          <w:lang w:eastAsia="en-AU"/>
        </w:rPr>
        <w:t xml:space="preserve"> financial product advice:</w:t>
      </w:r>
      <w:r w:rsidR="002F6F10">
        <w:br/>
      </w:r>
    </w:p>
    <w:p w14:paraId="6B685BC8" w14:textId="008C3986" w:rsidR="002F6F10" w:rsidRDefault="002F6F10" w:rsidP="008E3328">
      <w:pPr>
        <w:pStyle w:val="ListParagraph"/>
        <w:numPr>
          <w:ilvl w:val="0"/>
          <w:numId w:val="25"/>
        </w:numPr>
        <w:rPr>
          <w:sz w:val="24"/>
          <w:szCs w:val="24"/>
        </w:rPr>
      </w:pPr>
      <w:r>
        <w:rPr>
          <w:sz w:val="24"/>
          <w:szCs w:val="24"/>
        </w:rPr>
        <w:t>i</w:t>
      </w:r>
      <w:r w:rsidRPr="008B4D47">
        <w:rPr>
          <w:sz w:val="24"/>
          <w:szCs w:val="24"/>
        </w:rPr>
        <w:t xml:space="preserve">n relation to  </w:t>
      </w:r>
      <w:r w:rsidR="003E1C24" w:rsidRPr="00B05DD7">
        <w:rPr>
          <w:spacing w:val="-1"/>
          <w:sz w:val="24"/>
          <w:szCs w:val="24"/>
        </w:rPr>
        <w:t>deposit products</w:t>
      </w:r>
      <w:r w:rsidRPr="008E3328">
        <w:rPr>
          <w:spacing w:val="-1"/>
          <w:sz w:val="24"/>
          <w:szCs w:val="24"/>
        </w:rPr>
        <w:t xml:space="preserve">, </w:t>
      </w:r>
      <w:r w:rsidR="003E1C24" w:rsidRPr="008E3328">
        <w:rPr>
          <w:sz w:val="24"/>
          <w:szCs w:val="24"/>
        </w:rPr>
        <w:t>facilities for making non-cash payments</w:t>
      </w:r>
      <w:r w:rsidRPr="008E3328">
        <w:rPr>
          <w:sz w:val="24"/>
          <w:szCs w:val="24"/>
        </w:rPr>
        <w:t xml:space="preserve">, </w:t>
      </w:r>
      <w:r w:rsidR="003E1C24" w:rsidRPr="008E3328">
        <w:rPr>
          <w:sz w:val="24"/>
          <w:szCs w:val="24"/>
        </w:rPr>
        <w:t>insurance products</w:t>
      </w:r>
      <w:r w:rsidRPr="008E3328">
        <w:rPr>
          <w:sz w:val="24"/>
          <w:szCs w:val="24"/>
        </w:rPr>
        <w:t xml:space="preserve">, </w:t>
      </w:r>
      <w:r w:rsidR="003E1C24" w:rsidRPr="008E3328">
        <w:rPr>
          <w:sz w:val="24"/>
          <w:szCs w:val="24"/>
        </w:rPr>
        <w:t>Retirement Savings Account products</w:t>
      </w:r>
      <w:r w:rsidRPr="008E3328">
        <w:rPr>
          <w:sz w:val="24"/>
          <w:szCs w:val="24"/>
        </w:rPr>
        <w:t xml:space="preserve"> and </w:t>
      </w:r>
      <w:r w:rsidR="006D2483" w:rsidRPr="008E3328">
        <w:rPr>
          <w:sz w:val="24"/>
          <w:szCs w:val="24"/>
        </w:rPr>
        <w:t>superannuation products</w:t>
      </w:r>
      <w:r>
        <w:rPr>
          <w:sz w:val="24"/>
          <w:szCs w:val="24"/>
        </w:rPr>
        <w:t>; and</w:t>
      </w:r>
    </w:p>
    <w:p w14:paraId="7E747E5F" w14:textId="77777777" w:rsidR="002F6F10" w:rsidRPr="008E3328" w:rsidRDefault="002F6F10" w:rsidP="008E3328">
      <w:pPr>
        <w:pStyle w:val="ListParagraph"/>
        <w:rPr>
          <w:sz w:val="24"/>
          <w:szCs w:val="24"/>
        </w:rPr>
      </w:pPr>
    </w:p>
    <w:p w14:paraId="11744737" w14:textId="20981932" w:rsidR="00550B50" w:rsidRPr="009D2BE5" w:rsidRDefault="002F6F10" w:rsidP="008E3328">
      <w:pPr>
        <w:pStyle w:val="ListParagraph"/>
        <w:numPr>
          <w:ilvl w:val="0"/>
          <w:numId w:val="25"/>
        </w:numPr>
        <w:rPr>
          <w:sz w:val="24"/>
          <w:szCs w:val="24"/>
        </w:rPr>
      </w:pPr>
      <w:proofErr w:type="gramStart"/>
      <w:r w:rsidRPr="008E3328">
        <w:rPr>
          <w:sz w:val="24"/>
          <w:szCs w:val="24"/>
        </w:rPr>
        <w:t>that</w:t>
      </w:r>
      <w:proofErr w:type="gramEnd"/>
      <w:r w:rsidRPr="008E3328">
        <w:rPr>
          <w:sz w:val="24"/>
          <w:szCs w:val="24"/>
        </w:rPr>
        <w:t xml:space="preserve"> a client should or may dispose of a security, a financial product relating to </w:t>
      </w:r>
      <w:r w:rsidRPr="009D2BE5">
        <w:rPr>
          <w:sz w:val="24"/>
          <w:szCs w:val="24"/>
        </w:rPr>
        <w:t>managed</w:t>
      </w:r>
      <w:r w:rsidRPr="008E3328">
        <w:rPr>
          <w:sz w:val="24"/>
          <w:szCs w:val="24"/>
        </w:rPr>
        <w:t xml:space="preserve"> investment schemes or </w:t>
      </w:r>
      <w:r w:rsidR="00550B50" w:rsidRPr="008E3328">
        <w:rPr>
          <w:sz w:val="24"/>
          <w:szCs w:val="24"/>
        </w:rPr>
        <w:t xml:space="preserve">a </w:t>
      </w:r>
      <w:r w:rsidR="00550B50" w:rsidRPr="009D2BE5">
        <w:rPr>
          <w:sz w:val="24"/>
          <w:szCs w:val="24"/>
        </w:rPr>
        <w:t>debenture, stock or bond issue</w:t>
      </w:r>
      <w:r>
        <w:rPr>
          <w:sz w:val="24"/>
          <w:szCs w:val="24"/>
        </w:rPr>
        <w:t>d</w:t>
      </w:r>
      <w:r w:rsidR="00550B50" w:rsidRPr="009D2BE5">
        <w:rPr>
          <w:sz w:val="24"/>
          <w:szCs w:val="24"/>
        </w:rPr>
        <w:t xml:space="preserve"> by a government.</w:t>
      </w:r>
    </w:p>
    <w:p w14:paraId="574AFC02" w14:textId="44638D18" w:rsidR="00B05DD7" w:rsidRDefault="00B05DD7" w:rsidP="003E1C24">
      <w:pPr>
        <w:pStyle w:val="BodyText"/>
        <w:spacing w:before="199"/>
      </w:pPr>
      <w:r>
        <w:t>Subsection 5(2) sets out when the exemption is available. In order for the exemption to apply:</w:t>
      </w:r>
      <w:r>
        <w:br/>
      </w:r>
    </w:p>
    <w:p w14:paraId="72B2AEBE" w14:textId="3A289B00" w:rsidR="00B05DD7" w:rsidRPr="008B4D47" w:rsidRDefault="00B05DD7" w:rsidP="009D2BE5">
      <w:pPr>
        <w:pStyle w:val="ListParagraph"/>
        <w:numPr>
          <w:ilvl w:val="0"/>
          <w:numId w:val="25"/>
        </w:numPr>
        <w:rPr>
          <w:szCs w:val="24"/>
        </w:rPr>
      </w:pPr>
      <w:r w:rsidRPr="009D2BE5">
        <w:rPr>
          <w:sz w:val="24"/>
          <w:szCs w:val="24"/>
        </w:rPr>
        <w:t>the advice must be provided as part of a financial counselling service;</w:t>
      </w:r>
      <w:r>
        <w:rPr>
          <w:sz w:val="24"/>
          <w:szCs w:val="24"/>
        </w:rPr>
        <w:br/>
      </w:r>
    </w:p>
    <w:p w14:paraId="4D8ECD61" w14:textId="1B3B2B68" w:rsidR="00B05DD7" w:rsidRPr="009D2BE5" w:rsidRDefault="00B05DD7" w:rsidP="008B4D47">
      <w:pPr>
        <w:pStyle w:val="ListParagraph"/>
        <w:numPr>
          <w:ilvl w:val="0"/>
          <w:numId w:val="25"/>
        </w:numPr>
        <w:rPr>
          <w:szCs w:val="24"/>
        </w:rPr>
      </w:pPr>
      <w:r w:rsidRPr="008B4D47">
        <w:rPr>
          <w:sz w:val="24"/>
          <w:szCs w:val="24"/>
        </w:rPr>
        <w:lastRenderedPageBreak/>
        <w:t>no fees or charges may be payable by or on behalf of the client in relation to any aspect of the financial counselling service (other than any fees or charges payable by the Commonwealth, a State or a Territory)</w:t>
      </w:r>
      <w:r w:rsidR="008B4D47">
        <w:rPr>
          <w:sz w:val="24"/>
          <w:szCs w:val="24"/>
        </w:rPr>
        <w:t>;</w:t>
      </w:r>
      <w:r w:rsidRPr="008B4D47">
        <w:rPr>
          <w:sz w:val="24"/>
          <w:szCs w:val="24"/>
        </w:rPr>
        <w:t xml:space="preserve"> and</w:t>
      </w:r>
    </w:p>
    <w:p w14:paraId="060B4718" w14:textId="77777777" w:rsidR="009D2BE5" w:rsidRPr="008B4D47" w:rsidRDefault="009D2BE5" w:rsidP="009D2BE5">
      <w:pPr>
        <w:pStyle w:val="ListParagraph"/>
        <w:rPr>
          <w:szCs w:val="24"/>
        </w:rPr>
      </w:pPr>
    </w:p>
    <w:p w14:paraId="3E37B8A3" w14:textId="4A362661" w:rsidR="00B05DD7" w:rsidRDefault="00B05DD7" w:rsidP="008B4D47">
      <w:pPr>
        <w:pStyle w:val="ListParagraph"/>
        <w:numPr>
          <w:ilvl w:val="0"/>
          <w:numId w:val="25"/>
        </w:numPr>
        <w:rPr>
          <w:szCs w:val="24"/>
        </w:rPr>
      </w:pPr>
      <w:proofErr w:type="gramStart"/>
      <w:r w:rsidRPr="008B4D47">
        <w:rPr>
          <w:sz w:val="24"/>
          <w:szCs w:val="24"/>
        </w:rPr>
        <w:t>no</w:t>
      </w:r>
      <w:proofErr w:type="gramEnd"/>
      <w:r w:rsidRPr="008B4D47">
        <w:rPr>
          <w:sz w:val="24"/>
          <w:szCs w:val="24"/>
        </w:rPr>
        <w:t xml:space="preserve"> remuneration is payable to, or for the benefit of, the financial counselling agency, its representatives or associates by  any person in relation to any action by or on behalf of the client</w:t>
      </w:r>
      <w:r>
        <w:rPr>
          <w:sz w:val="24"/>
          <w:szCs w:val="24"/>
        </w:rPr>
        <w:t>.</w:t>
      </w:r>
    </w:p>
    <w:p w14:paraId="2FA2C283" w14:textId="77777777" w:rsidR="00B05DD7" w:rsidRDefault="00B05DD7" w:rsidP="008B4D47">
      <w:r>
        <w:rPr>
          <w:sz w:val="24"/>
          <w:szCs w:val="24"/>
        </w:rPr>
        <w:t xml:space="preserve">In order for the exemption to apply, the relevant financial counselling agency must take reasonable steps to ensure that </w:t>
      </w:r>
      <w:r w:rsidRPr="008B4D47">
        <w:rPr>
          <w:sz w:val="24"/>
          <w:szCs w:val="24"/>
        </w:rPr>
        <w:t>persons providing financial services on their behalf:</w:t>
      </w:r>
    </w:p>
    <w:p w14:paraId="14AC4018" w14:textId="2D7D950D" w:rsidR="00B05DD7" w:rsidRPr="008B4D47" w:rsidRDefault="00B05DD7" w:rsidP="008B4D47">
      <w:pPr>
        <w:pStyle w:val="ListParagraph"/>
        <w:numPr>
          <w:ilvl w:val="0"/>
          <w:numId w:val="25"/>
        </w:numPr>
        <w:rPr>
          <w:szCs w:val="24"/>
        </w:rPr>
      </w:pPr>
      <w:r w:rsidRPr="008B4D47">
        <w:rPr>
          <w:sz w:val="24"/>
          <w:szCs w:val="24"/>
        </w:rPr>
        <w:t xml:space="preserve">are eligible to be a member of a financial counselling association listed in the Instrument; and </w:t>
      </w:r>
      <w:r>
        <w:rPr>
          <w:sz w:val="24"/>
          <w:szCs w:val="24"/>
        </w:rPr>
        <w:br/>
      </w:r>
    </w:p>
    <w:p w14:paraId="6EB67D67" w14:textId="147910D0" w:rsidR="00B05DD7" w:rsidRPr="008B4D47" w:rsidRDefault="00B05DD7" w:rsidP="008B4D47">
      <w:pPr>
        <w:pStyle w:val="ListParagraph"/>
        <w:numPr>
          <w:ilvl w:val="0"/>
          <w:numId w:val="25"/>
        </w:numPr>
        <w:rPr>
          <w:szCs w:val="24"/>
        </w:rPr>
      </w:pPr>
      <w:proofErr w:type="gramStart"/>
      <w:r w:rsidRPr="008B4D47">
        <w:rPr>
          <w:sz w:val="24"/>
          <w:szCs w:val="24"/>
        </w:rPr>
        <w:t>have</w:t>
      </w:r>
      <w:proofErr w:type="gramEnd"/>
      <w:r w:rsidRPr="008B4D47">
        <w:rPr>
          <w:sz w:val="24"/>
          <w:szCs w:val="24"/>
        </w:rPr>
        <w:t xml:space="preserve"> undertaken appropriate training to ensure they have adequate skills and knowledge to satisfactorily provide the financial services and the broader financial counselling services. </w:t>
      </w:r>
    </w:p>
    <w:p w14:paraId="0386BFE7" w14:textId="43DEF46B" w:rsidR="00B05DD7" w:rsidRPr="008B4D47" w:rsidRDefault="00B05DD7" w:rsidP="008B4D47">
      <w:pPr>
        <w:rPr>
          <w:szCs w:val="24"/>
        </w:rPr>
      </w:pPr>
      <w:r w:rsidRPr="008B4D47">
        <w:rPr>
          <w:sz w:val="24"/>
          <w:szCs w:val="24"/>
        </w:rPr>
        <w:t>Additionally, the financial counselling agency and its representatives must not otherwise provide financial services (other than those covered by the exemption).</w:t>
      </w:r>
    </w:p>
    <w:p w14:paraId="619E0CB2" w14:textId="77777777" w:rsidR="005B0E3A" w:rsidRDefault="005B0E3A" w:rsidP="005B0E3A">
      <w:pPr>
        <w:spacing w:line="240" w:lineRule="exact"/>
        <w:rPr>
          <w:sz w:val="24"/>
          <w:szCs w:val="24"/>
        </w:rPr>
      </w:pPr>
      <w:bookmarkStart w:id="3" w:name="4._Documents_incorporated_by_reference"/>
      <w:bookmarkEnd w:id="3"/>
    </w:p>
    <w:p w14:paraId="0759F371" w14:textId="77777777" w:rsidR="005B0E3A" w:rsidRPr="00F71B75" w:rsidRDefault="005B0E3A" w:rsidP="00F71B75">
      <w:pPr>
        <w:widowControl w:val="0"/>
        <w:numPr>
          <w:ilvl w:val="0"/>
          <w:numId w:val="7"/>
        </w:numPr>
        <w:tabs>
          <w:tab w:val="left" w:pos="1592"/>
        </w:tabs>
        <w:spacing w:before="145" w:after="0"/>
        <w:ind w:left="0" w:firstLine="0"/>
        <w:rPr>
          <w:rFonts w:ascii="Arial"/>
          <w:b/>
          <w:spacing w:val="-1"/>
          <w:sz w:val="24"/>
        </w:rPr>
      </w:pPr>
      <w:bookmarkStart w:id="4" w:name="5._Consultation"/>
      <w:bookmarkEnd w:id="4"/>
      <w:r w:rsidRPr="00F71B75">
        <w:rPr>
          <w:rFonts w:ascii="Arial"/>
          <w:b/>
          <w:spacing w:val="-1"/>
          <w:sz w:val="24"/>
        </w:rPr>
        <w:t>Consultation</w:t>
      </w:r>
    </w:p>
    <w:p w14:paraId="20DCE34F" w14:textId="77777777" w:rsidR="005B0E3A" w:rsidRDefault="005B0E3A" w:rsidP="005B0E3A">
      <w:pPr>
        <w:spacing w:before="4" w:line="220" w:lineRule="exact"/>
      </w:pPr>
    </w:p>
    <w:p w14:paraId="4CDE7349" w14:textId="3AF73647" w:rsidR="005B0E3A" w:rsidRPr="005A0FFF" w:rsidRDefault="005A0FFF" w:rsidP="005B0E3A">
      <w:pPr>
        <w:pStyle w:val="Bodytextplain"/>
        <w:ind w:left="0"/>
        <w:rPr>
          <w:sz w:val="24"/>
          <w:szCs w:val="24"/>
        </w:rPr>
      </w:pPr>
      <w:r w:rsidRPr="005A0FFF">
        <w:rPr>
          <w:sz w:val="24"/>
          <w:szCs w:val="24"/>
        </w:rPr>
        <w:t xml:space="preserve">ASIC consulted publicly on its proposal to remake the exemption in [CO 03/1063] via </w:t>
      </w:r>
      <w:hyperlink r:id="rId12" w:history="1">
        <w:r w:rsidRPr="00B05DD7">
          <w:rPr>
            <w:rStyle w:val="Hyperlink"/>
            <w:sz w:val="24"/>
            <w:szCs w:val="24"/>
          </w:rPr>
          <w:t xml:space="preserve">Consultation Paper 282 </w:t>
        </w:r>
        <w:r w:rsidRPr="00B05DD7">
          <w:rPr>
            <w:rStyle w:val="Hyperlink"/>
            <w:i/>
            <w:sz w:val="24"/>
            <w:szCs w:val="24"/>
          </w:rPr>
          <w:t>Remaking ASIC class orders on financial counselling licensing relief</w:t>
        </w:r>
      </w:hyperlink>
      <w:r w:rsidR="003A40F9">
        <w:rPr>
          <w:sz w:val="24"/>
          <w:szCs w:val="24"/>
        </w:rPr>
        <w:t>. ASIC received 10</w:t>
      </w:r>
      <w:r w:rsidRPr="005A0FFF">
        <w:rPr>
          <w:sz w:val="24"/>
          <w:szCs w:val="24"/>
        </w:rPr>
        <w:t xml:space="preserve"> responses</w:t>
      </w:r>
      <w:r w:rsidR="002F6F10">
        <w:rPr>
          <w:sz w:val="24"/>
          <w:szCs w:val="24"/>
        </w:rPr>
        <w:t xml:space="preserve"> that supported our proposal to remake the exemption.</w:t>
      </w:r>
    </w:p>
    <w:p w14:paraId="0CF999C1" w14:textId="77777777" w:rsidR="005B0E3A" w:rsidRDefault="005B0E3A" w:rsidP="005B0E3A">
      <w:pPr>
        <w:pStyle w:val="Bodytextplain"/>
        <w:sectPr w:rsidR="005B0E3A" w:rsidSect="000622C2">
          <w:headerReference w:type="even" r:id="rId13"/>
          <w:headerReference w:type="default" r:id="rId14"/>
          <w:footerReference w:type="even" r:id="rId15"/>
          <w:footerReference w:type="default" r:id="rId16"/>
          <w:headerReference w:type="first" r:id="rId17"/>
          <w:footerReference w:type="first" r:id="rId18"/>
          <w:pgSz w:w="11906" w:h="16838" w:code="9"/>
          <w:pgMar w:top="1644" w:right="1418" w:bottom="1418" w:left="1418" w:header="567" w:footer="567" w:gutter="0"/>
          <w:cols w:space="720"/>
          <w:docGrid w:linePitch="299"/>
        </w:sectPr>
      </w:pPr>
    </w:p>
    <w:p w14:paraId="448AEDDD" w14:textId="77777777" w:rsidR="000076D6" w:rsidRDefault="000076D6">
      <w:r>
        <w:rPr>
          <w:noProof/>
        </w:rPr>
        <w:lastRenderedPageBreak/>
        <mc:AlternateContent>
          <mc:Choice Requires="wps">
            <w:drawing>
              <wp:anchor distT="0" distB="0" distL="114300" distR="114300" simplePos="0" relativeHeight="251659264" behindDoc="0" locked="0" layoutInCell="1" allowOverlap="1" wp14:anchorId="20D4091C" wp14:editId="016E3824">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14:paraId="35D12771" w14:textId="77777777" w:rsidR="00294284" w:rsidRPr="00834797" w:rsidRDefault="00294284" w:rsidP="000076D6">
                            <w:pPr>
                              <w:spacing w:before="360" w:after="120"/>
                              <w:jc w:val="center"/>
                              <w:rPr>
                                <w:b/>
                              </w:rPr>
                            </w:pPr>
                            <w:r w:rsidRPr="00834797">
                              <w:rPr>
                                <w:b/>
                              </w:rPr>
                              <w:t>Statement of Compatibility with Human Rights</w:t>
                            </w:r>
                          </w:p>
                          <w:p w14:paraId="33E2E967" w14:textId="77777777" w:rsidR="00294284" w:rsidRPr="00247F54" w:rsidRDefault="00294284" w:rsidP="000076D6">
                            <w:pPr>
                              <w:spacing w:before="120" w:after="120"/>
                              <w:jc w:val="center"/>
                            </w:pPr>
                            <w:r w:rsidRPr="00247F54">
                              <w:rPr>
                                <w:i/>
                              </w:rPr>
                              <w:t>Prepared in accordance with Part 3 of the Human Rights (Parliamentary Scrutiny) Act 2011</w:t>
                            </w:r>
                          </w:p>
                          <w:p w14:paraId="28ACD5D9" w14:textId="77777777" w:rsidR="00886B59" w:rsidRDefault="00886B59" w:rsidP="000076D6">
                            <w:pPr>
                              <w:spacing w:before="120" w:after="120"/>
                              <w:jc w:val="center"/>
                              <w:rPr>
                                <w:b/>
                                <w:color w:val="000000"/>
                                <w:spacing w:val="-1"/>
                                <w:szCs w:val="22"/>
                              </w:rPr>
                            </w:pPr>
                          </w:p>
                          <w:p w14:paraId="3DAF7632" w14:textId="1DCB47DE" w:rsidR="00294284" w:rsidRDefault="00294284" w:rsidP="000076D6">
                            <w:pPr>
                              <w:spacing w:before="120" w:after="120"/>
                              <w:jc w:val="center"/>
                              <w:rPr>
                                <w:b/>
                                <w:szCs w:val="22"/>
                              </w:rPr>
                            </w:pPr>
                            <w:r w:rsidRPr="00294284">
                              <w:rPr>
                                <w:b/>
                                <w:color w:val="000000"/>
                                <w:spacing w:val="-1"/>
                                <w:szCs w:val="22"/>
                              </w:rPr>
                              <w:t>ASIC Corporations (Financial Counselling Agencies) Instrument 2017/</w:t>
                            </w:r>
                            <w:r w:rsidR="00BE206A">
                              <w:rPr>
                                <w:b/>
                                <w:color w:val="000000"/>
                                <w:spacing w:val="-1"/>
                                <w:szCs w:val="22"/>
                              </w:rPr>
                              <w:t>792</w:t>
                            </w:r>
                            <w:r w:rsidRPr="00294284">
                              <w:rPr>
                                <w:b/>
                                <w:szCs w:val="22"/>
                              </w:rPr>
                              <w:t xml:space="preserve"> </w:t>
                            </w:r>
                          </w:p>
                          <w:p w14:paraId="72A741D5" w14:textId="77777777" w:rsidR="00886B59" w:rsidRPr="00294284" w:rsidRDefault="00886B59" w:rsidP="000076D6">
                            <w:pPr>
                              <w:spacing w:before="120" w:after="120"/>
                              <w:jc w:val="center"/>
                              <w:rPr>
                                <w:b/>
                                <w:szCs w:val="22"/>
                              </w:rPr>
                            </w:pPr>
                          </w:p>
                          <w:p w14:paraId="7B48602D" w14:textId="3A3E641E" w:rsidR="00294284" w:rsidRPr="00247F54" w:rsidRDefault="00294284" w:rsidP="000076D6">
                            <w:pPr>
                              <w:spacing w:before="120" w:after="120"/>
                              <w:jc w:val="center"/>
                            </w:pPr>
                            <w:r w:rsidRPr="00294284">
                              <w:rPr>
                                <w:i/>
                              </w:rPr>
                              <w:t>ASIC Corporations (Financial Counselling Agencies) Instrument 2017/</w:t>
                            </w:r>
                            <w:r w:rsidR="00BD3A4E">
                              <w:rPr>
                                <w:i/>
                              </w:rPr>
                              <w:t>792</w:t>
                            </w:r>
                            <w:r w:rsidRPr="00247F54">
                              <w:t xml:space="preserve"> </w:t>
                            </w:r>
                            <w:r w:rsidR="00947DEC">
                              <w:t xml:space="preserve">is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14:paraId="0E3EF9E1" w14:textId="77777777" w:rsidR="00294284" w:rsidRPr="00247F54" w:rsidRDefault="00294284" w:rsidP="000076D6">
                            <w:pPr>
                              <w:spacing w:before="120" w:after="120"/>
                              <w:jc w:val="both"/>
                              <w:rPr>
                                <w:b/>
                              </w:rPr>
                            </w:pPr>
                            <w:r w:rsidRPr="00247F54">
                              <w:rPr>
                                <w:b/>
                              </w:rPr>
                              <w:t>Overview</w:t>
                            </w:r>
                          </w:p>
                          <w:p w14:paraId="5256F872" w14:textId="06939810" w:rsidR="00294284" w:rsidRDefault="0087529C" w:rsidP="000076D6">
                            <w:pPr>
                              <w:spacing w:before="120" w:after="120"/>
                            </w:pPr>
                            <w:r w:rsidRPr="00294284">
                              <w:rPr>
                                <w:i/>
                              </w:rPr>
                              <w:t>ASIC Corporations (Financial Counselling Agencies) Instrument 2017/</w:t>
                            </w:r>
                            <w:r w:rsidR="00BE206A">
                              <w:rPr>
                                <w:i/>
                              </w:rPr>
                              <w:t>792</w:t>
                            </w:r>
                            <w:r w:rsidR="0063540E">
                              <w:t xml:space="preserve"> </w:t>
                            </w:r>
                            <w:r w:rsidRPr="0063540E">
                              <w:t>provides</w:t>
                            </w:r>
                            <w:r>
                              <w:t xml:space="preserve"> </w:t>
                            </w:r>
                            <w:r w:rsidR="00B05DD7">
                              <w:t xml:space="preserve">that, in some circumstances, financial counselling agencies do not require an Australian financial services licence to provide certain types of advice in the context of financial counselling services. </w:t>
                            </w:r>
                          </w:p>
                          <w:p w14:paraId="084BEF7F" w14:textId="77777777" w:rsidR="00442FCB" w:rsidRDefault="00442FCB" w:rsidP="000076D6">
                            <w:pPr>
                              <w:spacing w:before="120" w:after="120"/>
                            </w:pPr>
                          </w:p>
                          <w:p w14:paraId="6D86127D" w14:textId="77777777" w:rsidR="00294284" w:rsidRPr="00247F54" w:rsidRDefault="00294284" w:rsidP="000076D6">
                            <w:pPr>
                              <w:spacing w:before="120" w:after="120"/>
                              <w:rPr>
                                <w:b/>
                              </w:rPr>
                            </w:pPr>
                            <w:r w:rsidRPr="00247F54">
                              <w:rPr>
                                <w:b/>
                              </w:rPr>
                              <w:t>Human rights implications</w:t>
                            </w:r>
                          </w:p>
                          <w:p w14:paraId="4B8046E3" w14:textId="2CFAFCE0" w:rsidR="00294284" w:rsidRPr="00247F54" w:rsidRDefault="00294284" w:rsidP="000076D6">
                            <w:pPr>
                              <w:spacing w:before="120" w:after="120"/>
                            </w:pPr>
                            <w:r w:rsidRPr="00247F54">
                              <w:t>Th</w:t>
                            </w:r>
                            <w:r w:rsidR="00947DEC">
                              <w:t>is</w:t>
                            </w:r>
                            <w:r w:rsidRPr="00247F54">
                              <w:t xml:space="preserve"> </w:t>
                            </w:r>
                            <w:r>
                              <w:t>l</w:t>
                            </w:r>
                            <w:r w:rsidRPr="00247F54">
                              <w:t xml:space="preserve">egislative </w:t>
                            </w:r>
                            <w:r w:rsidR="005C6847">
                              <w:t>i</w:t>
                            </w:r>
                            <w:r w:rsidR="005C6847" w:rsidRPr="00247F54">
                              <w:t>nstrument do</w:t>
                            </w:r>
                            <w:r w:rsidR="00947DEC">
                              <w:t>es</w:t>
                            </w:r>
                            <w:r w:rsidRPr="00247F54">
                              <w:t xml:space="preserve"> not engage any of the applicable rights or freedoms.</w:t>
                            </w:r>
                          </w:p>
                          <w:p w14:paraId="24C02649" w14:textId="77777777" w:rsidR="00294284" w:rsidRPr="00247F54" w:rsidRDefault="00294284" w:rsidP="000076D6">
                            <w:pPr>
                              <w:spacing w:before="120" w:after="120"/>
                            </w:pPr>
                          </w:p>
                          <w:p w14:paraId="7A89931C" w14:textId="77777777" w:rsidR="00294284" w:rsidRPr="00247F54" w:rsidRDefault="00294284" w:rsidP="000076D6">
                            <w:pPr>
                              <w:spacing w:before="120" w:after="120"/>
                              <w:rPr>
                                <w:b/>
                              </w:rPr>
                            </w:pPr>
                            <w:r w:rsidRPr="00247F54">
                              <w:rPr>
                                <w:b/>
                              </w:rPr>
                              <w:t>Conclusion</w:t>
                            </w:r>
                          </w:p>
                          <w:p w14:paraId="0ADD9C26" w14:textId="0FC77C66" w:rsidR="00294284" w:rsidRDefault="00294284" w:rsidP="000076D6">
                            <w:pPr>
                              <w:spacing w:before="120" w:after="120"/>
                            </w:pPr>
                            <w:r w:rsidRPr="00247F54">
                              <w:t>Th</w:t>
                            </w:r>
                            <w:r w:rsidR="00947DEC">
                              <w:t>is</w:t>
                            </w:r>
                            <w:r w:rsidRPr="00247F54">
                              <w:t xml:space="preserve"> </w:t>
                            </w:r>
                            <w:r>
                              <w:t>l</w:t>
                            </w:r>
                            <w:r w:rsidRPr="00247F54">
                              <w:t xml:space="preserve">egislative </w:t>
                            </w:r>
                            <w:r w:rsidR="005C6847">
                              <w:t>i</w:t>
                            </w:r>
                            <w:r w:rsidR="005C6847" w:rsidRPr="00247F54">
                              <w:t>nstrument</w:t>
                            </w:r>
                            <w:r w:rsidR="00886B59">
                              <w:t xml:space="preserve"> is</w:t>
                            </w:r>
                            <w:r w:rsidRPr="00247F54">
                              <w:t xml:space="preserve"> compatible with human rights as </w:t>
                            </w:r>
                            <w:r w:rsidR="00886B59">
                              <w:t xml:space="preserve">it </w:t>
                            </w:r>
                            <w:r w:rsidRPr="00247F54">
                              <w:t>do</w:t>
                            </w:r>
                            <w:r w:rsidR="00886B59">
                              <w:t>es</w:t>
                            </w:r>
                            <w:r w:rsidRPr="00247F54">
                              <w:t xml:space="preserve"> not raise any human rights issues.</w:t>
                            </w:r>
                          </w:p>
                          <w:p w14:paraId="5FF6D0A1" w14:textId="77777777" w:rsidR="0087529C" w:rsidRPr="00247F54" w:rsidRDefault="0087529C" w:rsidP="000076D6">
                            <w:pPr>
                              <w:spacing w:before="120" w:after="120"/>
                            </w:pPr>
                          </w:p>
                          <w:p w14:paraId="72BC24C2" w14:textId="2BB87F42" w:rsidR="00294284" w:rsidRPr="0087529C" w:rsidRDefault="0087529C" w:rsidP="000076D6">
                            <w:pPr>
                              <w:spacing w:before="120" w:after="120"/>
                              <w:jc w:val="center"/>
                              <w:rPr>
                                <w:b/>
                              </w:rPr>
                            </w:pPr>
                            <w:r w:rsidRPr="0087529C">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14:paraId="35D12771" w14:textId="77777777" w:rsidR="00294284" w:rsidRPr="00834797" w:rsidRDefault="00294284" w:rsidP="000076D6">
                      <w:pPr>
                        <w:spacing w:before="360" w:after="120"/>
                        <w:jc w:val="center"/>
                        <w:rPr>
                          <w:b/>
                        </w:rPr>
                      </w:pPr>
                      <w:r w:rsidRPr="00834797">
                        <w:rPr>
                          <w:b/>
                        </w:rPr>
                        <w:t>Statement of Compatibility with Human Rights</w:t>
                      </w:r>
                    </w:p>
                    <w:p w14:paraId="33E2E967" w14:textId="77777777" w:rsidR="00294284" w:rsidRPr="00247F54" w:rsidRDefault="00294284" w:rsidP="000076D6">
                      <w:pPr>
                        <w:spacing w:before="120" w:after="120"/>
                        <w:jc w:val="center"/>
                      </w:pPr>
                      <w:r w:rsidRPr="00247F54">
                        <w:rPr>
                          <w:i/>
                        </w:rPr>
                        <w:t>Prepared in accordance with Part 3 of the Human Rights (Parliamentary Scrutiny) Act 2011</w:t>
                      </w:r>
                    </w:p>
                    <w:p w14:paraId="28ACD5D9" w14:textId="77777777" w:rsidR="00886B59" w:rsidRDefault="00886B59" w:rsidP="000076D6">
                      <w:pPr>
                        <w:spacing w:before="120" w:after="120"/>
                        <w:jc w:val="center"/>
                        <w:rPr>
                          <w:b/>
                          <w:color w:val="000000"/>
                          <w:spacing w:val="-1"/>
                          <w:szCs w:val="22"/>
                        </w:rPr>
                      </w:pPr>
                    </w:p>
                    <w:p w14:paraId="3DAF7632" w14:textId="1DCB47DE" w:rsidR="00294284" w:rsidRDefault="00294284" w:rsidP="000076D6">
                      <w:pPr>
                        <w:spacing w:before="120" w:after="120"/>
                        <w:jc w:val="center"/>
                        <w:rPr>
                          <w:b/>
                          <w:szCs w:val="22"/>
                        </w:rPr>
                      </w:pPr>
                      <w:r w:rsidRPr="00294284">
                        <w:rPr>
                          <w:b/>
                          <w:color w:val="000000"/>
                          <w:spacing w:val="-1"/>
                          <w:szCs w:val="22"/>
                        </w:rPr>
                        <w:t>ASIC Corporations (Financial Counselling Agencies) Instrument 2017/</w:t>
                      </w:r>
                      <w:r w:rsidR="00BE206A">
                        <w:rPr>
                          <w:b/>
                          <w:color w:val="000000"/>
                          <w:spacing w:val="-1"/>
                          <w:szCs w:val="22"/>
                        </w:rPr>
                        <w:t>792</w:t>
                      </w:r>
                      <w:r w:rsidRPr="00294284">
                        <w:rPr>
                          <w:b/>
                          <w:szCs w:val="22"/>
                        </w:rPr>
                        <w:t xml:space="preserve"> </w:t>
                      </w:r>
                    </w:p>
                    <w:p w14:paraId="72A741D5" w14:textId="77777777" w:rsidR="00886B59" w:rsidRPr="00294284" w:rsidRDefault="00886B59" w:rsidP="000076D6">
                      <w:pPr>
                        <w:spacing w:before="120" w:after="120"/>
                        <w:jc w:val="center"/>
                        <w:rPr>
                          <w:b/>
                          <w:szCs w:val="22"/>
                        </w:rPr>
                      </w:pPr>
                    </w:p>
                    <w:p w14:paraId="7B48602D" w14:textId="3A3E641E" w:rsidR="00294284" w:rsidRPr="00247F54" w:rsidRDefault="00294284" w:rsidP="000076D6">
                      <w:pPr>
                        <w:spacing w:before="120" w:after="120"/>
                        <w:jc w:val="center"/>
                      </w:pPr>
                      <w:r w:rsidRPr="00294284">
                        <w:rPr>
                          <w:i/>
                        </w:rPr>
                        <w:t>ASIC Corporations (Financial Counselling Agencies) Instrument 2017/</w:t>
                      </w:r>
                      <w:r w:rsidR="00BD3A4E">
                        <w:rPr>
                          <w:i/>
                        </w:rPr>
                        <w:t>792</w:t>
                      </w:r>
                      <w:r w:rsidRPr="00247F54">
                        <w:t xml:space="preserve"> </w:t>
                      </w:r>
                      <w:r w:rsidR="00947DEC">
                        <w:t xml:space="preserve">is </w:t>
                      </w:r>
                      <w:r w:rsidRPr="00247F54">
                        <w:t xml:space="preserve">compatible with the human rights and freedoms recognised or declared in the international instruments listed in section 3 of the </w:t>
                      </w:r>
                      <w:r w:rsidRPr="00247F54">
                        <w:rPr>
                          <w:i/>
                        </w:rPr>
                        <w:t>Human Rights (Parliamentary Scrutiny) Act 2011</w:t>
                      </w:r>
                      <w:r w:rsidRPr="00247F54">
                        <w:t>.</w:t>
                      </w:r>
                    </w:p>
                    <w:p w14:paraId="0E3EF9E1" w14:textId="77777777" w:rsidR="00294284" w:rsidRPr="00247F54" w:rsidRDefault="00294284" w:rsidP="000076D6">
                      <w:pPr>
                        <w:spacing w:before="120" w:after="120"/>
                        <w:jc w:val="both"/>
                        <w:rPr>
                          <w:b/>
                        </w:rPr>
                      </w:pPr>
                      <w:r w:rsidRPr="00247F54">
                        <w:rPr>
                          <w:b/>
                        </w:rPr>
                        <w:t>Overview</w:t>
                      </w:r>
                    </w:p>
                    <w:p w14:paraId="5256F872" w14:textId="06939810" w:rsidR="00294284" w:rsidRDefault="0087529C" w:rsidP="000076D6">
                      <w:pPr>
                        <w:spacing w:before="120" w:after="120"/>
                      </w:pPr>
                      <w:r w:rsidRPr="00294284">
                        <w:rPr>
                          <w:i/>
                        </w:rPr>
                        <w:t>ASIC Corporations (Financial Counselling Agencies) Instrument 2017/</w:t>
                      </w:r>
                      <w:r w:rsidR="00BE206A">
                        <w:rPr>
                          <w:i/>
                        </w:rPr>
                        <w:t>792</w:t>
                      </w:r>
                      <w:r w:rsidR="0063540E">
                        <w:t xml:space="preserve"> </w:t>
                      </w:r>
                      <w:r w:rsidRPr="0063540E">
                        <w:t>provides</w:t>
                      </w:r>
                      <w:r>
                        <w:t xml:space="preserve"> </w:t>
                      </w:r>
                      <w:r w:rsidR="00B05DD7">
                        <w:t xml:space="preserve">that, in some circumstances, financial counselling agencies do not require an Australian financial services licence to provide certain types of advice in the context of financial counselling services. </w:t>
                      </w:r>
                    </w:p>
                    <w:p w14:paraId="084BEF7F" w14:textId="77777777" w:rsidR="00442FCB" w:rsidRDefault="00442FCB" w:rsidP="000076D6">
                      <w:pPr>
                        <w:spacing w:before="120" w:after="120"/>
                      </w:pPr>
                    </w:p>
                    <w:p w14:paraId="6D86127D" w14:textId="77777777" w:rsidR="00294284" w:rsidRPr="00247F54" w:rsidRDefault="00294284" w:rsidP="000076D6">
                      <w:pPr>
                        <w:spacing w:before="120" w:after="120"/>
                        <w:rPr>
                          <w:b/>
                        </w:rPr>
                      </w:pPr>
                      <w:r w:rsidRPr="00247F54">
                        <w:rPr>
                          <w:b/>
                        </w:rPr>
                        <w:t>Human rights implications</w:t>
                      </w:r>
                    </w:p>
                    <w:p w14:paraId="4B8046E3" w14:textId="2CFAFCE0" w:rsidR="00294284" w:rsidRPr="00247F54" w:rsidRDefault="00294284" w:rsidP="000076D6">
                      <w:pPr>
                        <w:spacing w:before="120" w:after="120"/>
                      </w:pPr>
                      <w:r w:rsidRPr="00247F54">
                        <w:t>Th</w:t>
                      </w:r>
                      <w:r w:rsidR="00947DEC">
                        <w:t>is</w:t>
                      </w:r>
                      <w:r w:rsidRPr="00247F54">
                        <w:t xml:space="preserve"> </w:t>
                      </w:r>
                      <w:r>
                        <w:t>l</w:t>
                      </w:r>
                      <w:r w:rsidRPr="00247F54">
                        <w:t xml:space="preserve">egislative </w:t>
                      </w:r>
                      <w:r w:rsidR="005C6847">
                        <w:t>i</w:t>
                      </w:r>
                      <w:r w:rsidR="005C6847" w:rsidRPr="00247F54">
                        <w:t>nstrument do</w:t>
                      </w:r>
                      <w:r w:rsidR="00947DEC">
                        <w:t>es</w:t>
                      </w:r>
                      <w:r w:rsidRPr="00247F54">
                        <w:t xml:space="preserve"> not engage a</w:t>
                      </w:r>
                      <w:bookmarkStart w:id="6" w:name="_GoBack"/>
                      <w:bookmarkEnd w:id="6"/>
                      <w:r w:rsidRPr="00247F54">
                        <w:t>ny of the applicable rights or freedoms.</w:t>
                      </w:r>
                    </w:p>
                    <w:p w14:paraId="24C02649" w14:textId="77777777" w:rsidR="00294284" w:rsidRPr="00247F54" w:rsidRDefault="00294284" w:rsidP="000076D6">
                      <w:pPr>
                        <w:spacing w:before="120" w:after="120"/>
                      </w:pPr>
                    </w:p>
                    <w:p w14:paraId="7A89931C" w14:textId="77777777" w:rsidR="00294284" w:rsidRPr="00247F54" w:rsidRDefault="00294284" w:rsidP="000076D6">
                      <w:pPr>
                        <w:spacing w:before="120" w:after="120"/>
                        <w:rPr>
                          <w:b/>
                        </w:rPr>
                      </w:pPr>
                      <w:r w:rsidRPr="00247F54">
                        <w:rPr>
                          <w:b/>
                        </w:rPr>
                        <w:t>Conclusion</w:t>
                      </w:r>
                    </w:p>
                    <w:p w14:paraId="0ADD9C26" w14:textId="0FC77C66" w:rsidR="00294284" w:rsidRDefault="00294284" w:rsidP="000076D6">
                      <w:pPr>
                        <w:spacing w:before="120" w:after="120"/>
                      </w:pPr>
                      <w:r w:rsidRPr="00247F54">
                        <w:t>Th</w:t>
                      </w:r>
                      <w:r w:rsidR="00947DEC">
                        <w:t>is</w:t>
                      </w:r>
                      <w:r w:rsidRPr="00247F54">
                        <w:t xml:space="preserve"> </w:t>
                      </w:r>
                      <w:r>
                        <w:t>l</w:t>
                      </w:r>
                      <w:r w:rsidRPr="00247F54">
                        <w:t xml:space="preserve">egislative </w:t>
                      </w:r>
                      <w:r w:rsidR="005C6847">
                        <w:t>i</w:t>
                      </w:r>
                      <w:r w:rsidR="005C6847" w:rsidRPr="00247F54">
                        <w:t>nstrument</w:t>
                      </w:r>
                      <w:r w:rsidR="00886B59">
                        <w:t xml:space="preserve"> is</w:t>
                      </w:r>
                      <w:r w:rsidRPr="00247F54">
                        <w:t xml:space="preserve"> compatible with human rights as </w:t>
                      </w:r>
                      <w:r w:rsidR="00886B59">
                        <w:t xml:space="preserve">it </w:t>
                      </w:r>
                      <w:r w:rsidRPr="00247F54">
                        <w:t>do</w:t>
                      </w:r>
                      <w:r w:rsidR="00886B59">
                        <w:t>es</w:t>
                      </w:r>
                      <w:r w:rsidRPr="00247F54">
                        <w:t xml:space="preserve"> not raise any human rights issues.</w:t>
                      </w:r>
                    </w:p>
                    <w:p w14:paraId="5FF6D0A1" w14:textId="77777777" w:rsidR="0087529C" w:rsidRPr="00247F54" w:rsidRDefault="0087529C" w:rsidP="000076D6">
                      <w:pPr>
                        <w:spacing w:before="120" w:after="120"/>
                      </w:pPr>
                    </w:p>
                    <w:p w14:paraId="72BC24C2" w14:textId="2BB87F42" w:rsidR="00294284" w:rsidRPr="0087529C" w:rsidRDefault="0087529C" w:rsidP="000076D6">
                      <w:pPr>
                        <w:spacing w:before="120" w:after="120"/>
                        <w:jc w:val="center"/>
                        <w:rPr>
                          <w:b/>
                        </w:rPr>
                      </w:pPr>
                      <w:r w:rsidRPr="0087529C">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BAD1E" w14:textId="77777777" w:rsidR="00294284" w:rsidRDefault="00294284">
      <w:pPr>
        <w:spacing w:after="0"/>
      </w:pPr>
      <w:r>
        <w:separator/>
      </w:r>
    </w:p>
  </w:endnote>
  <w:endnote w:type="continuationSeparator" w:id="0">
    <w:p w14:paraId="1D494024" w14:textId="77777777" w:rsidR="00294284" w:rsidRDefault="002942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D689A" w14:textId="77777777" w:rsidR="00294284" w:rsidRDefault="00294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8D2BB8D" w14:textId="77777777" w:rsidR="00294284" w:rsidRDefault="00294284">
    <w:pPr>
      <w:pStyle w:val="Footer"/>
      <w:ind w:right="360"/>
    </w:pPr>
  </w:p>
  <w:p w14:paraId="477207BC" w14:textId="77777777" w:rsidR="00294284" w:rsidRDefault="00294284"/>
  <w:p w14:paraId="7C9F8658" w14:textId="77777777" w:rsidR="00294284" w:rsidRDefault="00294284"/>
  <w:p w14:paraId="0EF1D003" w14:textId="77777777" w:rsidR="00294284" w:rsidRDefault="00294284"/>
  <w:p w14:paraId="6DC5C819" w14:textId="77777777" w:rsidR="00294284" w:rsidRDefault="00294284"/>
  <w:p w14:paraId="579A4C16" w14:textId="77777777" w:rsidR="00294284" w:rsidRDefault="002942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63E1" w14:textId="17A035C3" w:rsidR="00294284" w:rsidRDefault="00294284">
    <w:pPr>
      <w:pStyle w:val="Footer"/>
      <w:pBdr>
        <w:top w:val="single" w:sz="4" w:space="1" w:color="117DC7"/>
      </w:pBdr>
      <w:rPr>
        <w:b/>
        <w:color w:val="117DC7"/>
      </w:rPr>
    </w:pPr>
    <w:bookmarkStart w:id="5" w:name="_GoBack"/>
    <w:bookmarkEnd w:id="5"/>
    <w:r>
      <w:rPr>
        <w:noProof/>
        <w:color w:val="117DC7"/>
        <w:sz w:val="20"/>
      </w:rPr>
      <mc:AlternateContent>
        <mc:Choice Requires="wps">
          <w:drawing>
            <wp:anchor distT="0" distB="0" distL="114300" distR="114300" simplePos="0" relativeHeight="251657216" behindDoc="0" locked="1" layoutInCell="1" allowOverlap="1" wp14:anchorId="15BFFA4F" wp14:editId="00F278CD">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D1E6B" w14:textId="77777777" w:rsidR="00294284" w:rsidRPr="008F541E" w:rsidRDefault="00294284" w:rsidP="000622C2">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CE0EAB">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3F2D1E6B" w14:textId="77777777" w:rsidR="00294284" w:rsidRPr="008F541E" w:rsidRDefault="00294284" w:rsidP="000622C2">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CE0EAB">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FA8EB" w14:textId="77777777" w:rsidR="00CE0EAB" w:rsidRDefault="00CE0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C5CB2" w14:textId="77777777" w:rsidR="00294284" w:rsidRDefault="00294284">
      <w:pPr>
        <w:spacing w:after="0"/>
      </w:pPr>
      <w:r>
        <w:separator/>
      </w:r>
    </w:p>
  </w:footnote>
  <w:footnote w:type="continuationSeparator" w:id="0">
    <w:p w14:paraId="2F2030CE" w14:textId="77777777" w:rsidR="00294284" w:rsidRDefault="002942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A4316" w14:textId="77777777" w:rsidR="00294284" w:rsidRDefault="00294284"/>
  <w:p w14:paraId="5FBC9555" w14:textId="77777777" w:rsidR="00294284" w:rsidRDefault="002942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8135C" w14:textId="21FC2502" w:rsidR="00294284" w:rsidRDefault="00294284">
    <w:pPr>
      <w:pStyle w:val="Footer"/>
      <w:pBdr>
        <w:bottom w:val="single" w:sz="4" w:space="1" w:color="117DC7"/>
      </w:pBdr>
      <w:jc w:val="right"/>
      <w:rPr>
        <w:color w:val="117DC7"/>
      </w:rPr>
    </w:pPr>
    <w:r>
      <w:tab/>
    </w:r>
  </w:p>
  <w:p w14:paraId="0C6B8612" w14:textId="77777777" w:rsidR="00294284" w:rsidRDefault="0029428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F9D5A" w14:textId="77777777" w:rsidR="00294284" w:rsidRDefault="00294284">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147"/>
    <w:multiLevelType w:val="hybridMultilevel"/>
    <w:tmpl w:val="16285788"/>
    <w:lvl w:ilvl="0" w:tplc="90F0BF78">
      <w:start w:val="1"/>
      <w:numFmt w:val="lowerRoman"/>
      <w:lvlText w:val="(%1)"/>
      <w:lvlJc w:val="left"/>
      <w:pPr>
        <w:ind w:left="1440" w:hanging="720"/>
      </w:pPr>
      <w:rPr>
        <w:rFonts w:ascii="Times New Roman" w:eastAsia="Times New Roman"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6369D2"/>
    <w:multiLevelType w:val="hybridMultilevel"/>
    <w:tmpl w:val="32148926"/>
    <w:lvl w:ilvl="0" w:tplc="DFCE88B2">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53580"/>
    <w:multiLevelType w:val="hybridMultilevel"/>
    <w:tmpl w:val="6F36FAF8"/>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8607A6"/>
    <w:multiLevelType w:val="hybridMultilevel"/>
    <w:tmpl w:val="D1B6AAD6"/>
    <w:lvl w:ilvl="0" w:tplc="50D8FC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5CD5C0B"/>
    <w:multiLevelType w:val="hybridMultilevel"/>
    <w:tmpl w:val="6FB61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1">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F91A3D"/>
    <w:multiLevelType w:val="hybridMultilevel"/>
    <w:tmpl w:val="9E12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6F016B"/>
    <w:multiLevelType w:val="hybridMultilevel"/>
    <w:tmpl w:val="8C0ACBD6"/>
    <w:lvl w:ilvl="0" w:tplc="7E4EF52E">
      <w:start w:val="1"/>
      <w:numFmt w:val="lowerRoman"/>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5">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3E2B94"/>
    <w:multiLevelType w:val="hybridMultilevel"/>
    <w:tmpl w:val="00E6D6A6"/>
    <w:lvl w:ilvl="0" w:tplc="936AB8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F7E40DB"/>
    <w:multiLevelType w:val="hybridMultilevel"/>
    <w:tmpl w:val="267E3E02"/>
    <w:lvl w:ilvl="0" w:tplc="25860E8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662436BB"/>
    <w:multiLevelType w:val="hybridMultilevel"/>
    <w:tmpl w:val="47E8E9F2"/>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2">
    <w:nsid w:val="74581439"/>
    <w:multiLevelType w:val="hybridMultilevel"/>
    <w:tmpl w:val="11229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FF52A21"/>
    <w:multiLevelType w:val="hybridMultilevel"/>
    <w:tmpl w:val="CFA6A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15"/>
  </w:num>
  <w:num w:numId="4">
    <w:abstractNumId w:val="21"/>
  </w:num>
  <w:num w:numId="5">
    <w:abstractNumId w:val="8"/>
  </w:num>
  <w:num w:numId="6">
    <w:abstractNumId w:val="7"/>
  </w:num>
  <w:num w:numId="7">
    <w:abstractNumId w:val="14"/>
  </w:num>
  <w:num w:numId="8">
    <w:abstractNumId w:val="4"/>
  </w:num>
  <w:num w:numId="9">
    <w:abstractNumId w:val="2"/>
  </w:num>
  <w:num w:numId="10">
    <w:abstractNumId w:val="1"/>
  </w:num>
  <w:num w:numId="11">
    <w:abstractNumId w:val="11"/>
  </w:num>
  <w:num w:numId="12">
    <w:abstractNumId w:val="20"/>
  </w:num>
  <w:num w:numId="13">
    <w:abstractNumId w:val="16"/>
  </w:num>
  <w:num w:numId="14">
    <w:abstractNumId w:val="10"/>
  </w:num>
  <w:num w:numId="15">
    <w:abstractNumId w:val="13"/>
  </w:num>
  <w:num w:numId="16">
    <w:abstractNumId w:val="3"/>
  </w:num>
  <w:num w:numId="17">
    <w:abstractNumId w:val="17"/>
  </w:num>
  <w:num w:numId="18">
    <w:abstractNumId w:val="6"/>
  </w:num>
  <w:num w:numId="19">
    <w:abstractNumId w:val="18"/>
  </w:num>
  <w:num w:numId="20">
    <w:abstractNumId w:val="0"/>
  </w:num>
  <w:num w:numId="21">
    <w:abstractNumId w:val="12"/>
  </w:num>
  <w:num w:numId="22">
    <w:abstractNumId w:val="19"/>
  </w:num>
  <w:num w:numId="23">
    <w:abstractNumId w:val="24"/>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76D6"/>
    <w:rsid w:val="00040E3A"/>
    <w:rsid w:val="000622C2"/>
    <w:rsid w:val="000763A9"/>
    <w:rsid w:val="00080876"/>
    <w:rsid w:val="00081C25"/>
    <w:rsid w:val="000B1BFA"/>
    <w:rsid w:val="000D3DB6"/>
    <w:rsid w:val="000D713E"/>
    <w:rsid w:val="00117F77"/>
    <w:rsid w:val="00166993"/>
    <w:rsid w:val="00166E36"/>
    <w:rsid w:val="001E4034"/>
    <w:rsid w:val="001E5E98"/>
    <w:rsid w:val="00230A74"/>
    <w:rsid w:val="00235564"/>
    <w:rsid w:val="002432C6"/>
    <w:rsid w:val="00247031"/>
    <w:rsid w:val="0026475F"/>
    <w:rsid w:val="00270689"/>
    <w:rsid w:val="00294284"/>
    <w:rsid w:val="00295395"/>
    <w:rsid w:val="002B02CB"/>
    <w:rsid w:val="002C01DF"/>
    <w:rsid w:val="002E37D1"/>
    <w:rsid w:val="002F6F10"/>
    <w:rsid w:val="00311A1C"/>
    <w:rsid w:val="00345F9F"/>
    <w:rsid w:val="0034712C"/>
    <w:rsid w:val="00350856"/>
    <w:rsid w:val="00371293"/>
    <w:rsid w:val="003A40F9"/>
    <w:rsid w:val="003B06DD"/>
    <w:rsid w:val="003E1C24"/>
    <w:rsid w:val="00442FCB"/>
    <w:rsid w:val="00450302"/>
    <w:rsid w:val="004570D3"/>
    <w:rsid w:val="00481D55"/>
    <w:rsid w:val="004A00FB"/>
    <w:rsid w:val="004E3A2E"/>
    <w:rsid w:val="00533A9C"/>
    <w:rsid w:val="00534FFF"/>
    <w:rsid w:val="00550B50"/>
    <w:rsid w:val="005829F1"/>
    <w:rsid w:val="005A0FFF"/>
    <w:rsid w:val="005B0E3A"/>
    <w:rsid w:val="005C0D23"/>
    <w:rsid w:val="005C6847"/>
    <w:rsid w:val="005C7A75"/>
    <w:rsid w:val="005F5BF2"/>
    <w:rsid w:val="006009E4"/>
    <w:rsid w:val="006164D6"/>
    <w:rsid w:val="00633290"/>
    <w:rsid w:val="0063540E"/>
    <w:rsid w:val="006829BD"/>
    <w:rsid w:val="006852B4"/>
    <w:rsid w:val="00697246"/>
    <w:rsid w:val="006C6012"/>
    <w:rsid w:val="006C6827"/>
    <w:rsid w:val="006C68E7"/>
    <w:rsid w:val="006D2483"/>
    <w:rsid w:val="006F52DD"/>
    <w:rsid w:val="006F7702"/>
    <w:rsid w:val="00722C0B"/>
    <w:rsid w:val="00732495"/>
    <w:rsid w:val="0073292C"/>
    <w:rsid w:val="00821288"/>
    <w:rsid w:val="00865496"/>
    <w:rsid w:val="0087529C"/>
    <w:rsid w:val="00886B59"/>
    <w:rsid w:val="008A2CAD"/>
    <w:rsid w:val="008B15A6"/>
    <w:rsid w:val="008B3567"/>
    <w:rsid w:val="008B4D47"/>
    <w:rsid w:val="008E3328"/>
    <w:rsid w:val="0093109E"/>
    <w:rsid w:val="00934361"/>
    <w:rsid w:val="00934A0D"/>
    <w:rsid w:val="0093641D"/>
    <w:rsid w:val="00947DEC"/>
    <w:rsid w:val="00965B31"/>
    <w:rsid w:val="009C2936"/>
    <w:rsid w:val="009C688E"/>
    <w:rsid w:val="009D2BE5"/>
    <w:rsid w:val="009F17EC"/>
    <w:rsid w:val="009F5E64"/>
    <w:rsid w:val="00A02E4F"/>
    <w:rsid w:val="00A26AAD"/>
    <w:rsid w:val="00A863FE"/>
    <w:rsid w:val="00A97C3E"/>
    <w:rsid w:val="00AA1FDA"/>
    <w:rsid w:val="00AB064F"/>
    <w:rsid w:val="00AC02C2"/>
    <w:rsid w:val="00B04B93"/>
    <w:rsid w:val="00B05DD7"/>
    <w:rsid w:val="00B70B8E"/>
    <w:rsid w:val="00BD3A4E"/>
    <w:rsid w:val="00BD41D5"/>
    <w:rsid w:val="00BE206A"/>
    <w:rsid w:val="00C13821"/>
    <w:rsid w:val="00C32E37"/>
    <w:rsid w:val="00C373D1"/>
    <w:rsid w:val="00C37BA7"/>
    <w:rsid w:val="00C7634F"/>
    <w:rsid w:val="00C863D4"/>
    <w:rsid w:val="00CE0EAB"/>
    <w:rsid w:val="00D01BF3"/>
    <w:rsid w:val="00D86EF3"/>
    <w:rsid w:val="00D93084"/>
    <w:rsid w:val="00DC6FEA"/>
    <w:rsid w:val="00DF440F"/>
    <w:rsid w:val="00DF6F89"/>
    <w:rsid w:val="00EA7FA6"/>
    <w:rsid w:val="00EB690F"/>
    <w:rsid w:val="00EE0B24"/>
    <w:rsid w:val="00F2051E"/>
    <w:rsid w:val="00F429A4"/>
    <w:rsid w:val="00F516FE"/>
    <w:rsid w:val="00F71B75"/>
    <w:rsid w:val="00F73C72"/>
    <w:rsid w:val="00F77B78"/>
    <w:rsid w:val="00F834D3"/>
    <w:rsid w:val="00F860F5"/>
    <w:rsid w:val="00F96C74"/>
    <w:rsid w:val="00FA5EF6"/>
    <w:rsid w:val="00FC71F4"/>
    <w:rsid w:val="00FE076E"/>
    <w:rsid w:val="00FE1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94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uiPriority w:val="99"/>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DF6F89"/>
    <w:pPr>
      <w:autoSpaceDE w:val="0"/>
      <w:autoSpaceDN w:val="0"/>
      <w:adjustRightInd w:val="0"/>
    </w:pPr>
    <w:rPr>
      <w:color w:val="000000"/>
      <w:sz w:val="24"/>
      <w:szCs w:val="24"/>
    </w:rPr>
  </w:style>
  <w:style w:type="character" w:styleId="CommentReference">
    <w:name w:val="annotation reference"/>
    <w:uiPriority w:val="99"/>
    <w:semiHidden/>
    <w:unhideWhenUsed/>
    <w:rsid w:val="003E1C24"/>
    <w:rPr>
      <w:sz w:val="16"/>
      <w:szCs w:val="16"/>
    </w:rPr>
  </w:style>
  <w:style w:type="character" w:customStyle="1" w:styleId="CommentTextChar">
    <w:name w:val="Comment Text Char"/>
    <w:link w:val="CommentText"/>
    <w:uiPriority w:val="99"/>
    <w:semiHidden/>
    <w:rsid w:val="003E1C24"/>
  </w:style>
  <w:style w:type="paragraph" w:styleId="BalloonText">
    <w:name w:val="Balloon Text"/>
    <w:basedOn w:val="Normal"/>
    <w:link w:val="BalloonTextChar"/>
    <w:uiPriority w:val="99"/>
    <w:semiHidden/>
    <w:unhideWhenUsed/>
    <w:rsid w:val="003E1C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2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B15A6"/>
    <w:rPr>
      <w:b/>
      <w:bCs/>
    </w:rPr>
  </w:style>
  <w:style w:type="character" w:customStyle="1" w:styleId="CommentSubjectChar">
    <w:name w:val="Comment Subject Char"/>
    <w:basedOn w:val="CommentTextChar"/>
    <w:link w:val="CommentSubject"/>
    <w:uiPriority w:val="99"/>
    <w:semiHidden/>
    <w:rsid w:val="008B15A6"/>
    <w:rPr>
      <w:b/>
      <w:bCs/>
    </w:rPr>
  </w:style>
  <w:style w:type="character" w:styleId="Hyperlink">
    <w:name w:val="Hyperlink"/>
    <w:basedOn w:val="DefaultParagraphFont"/>
    <w:uiPriority w:val="99"/>
    <w:unhideWhenUsed/>
    <w:rsid w:val="00B05DD7"/>
    <w:rPr>
      <w:color w:val="0000FF" w:themeColor="hyperlink"/>
      <w:u w:val="single"/>
    </w:rPr>
  </w:style>
  <w:style w:type="character" w:styleId="FollowedHyperlink">
    <w:name w:val="FollowedHyperlink"/>
    <w:basedOn w:val="DefaultParagraphFont"/>
    <w:uiPriority w:val="99"/>
    <w:semiHidden/>
    <w:unhideWhenUsed/>
    <w:rsid w:val="006852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uiPriority w:val="99"/>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customStyle="1" w:styleId="Default">
    <w:name w:val="Default"/>
    <w:rsid w:val="00DF6F89"/>
    <w:pPr>
      <w:autoSpaceDE w:val="0"/>
      <w:autoSpaceDN w:val="0"/>
      <w:adjustRightInd w:val="0"/>
    </w:pPr>
    <w:rPr>
      <w:color w:val="000000"/>
      <w:sz w:val="24"/>
      <w:szCs w:val="24"/>
    </w:rPr>
  </w:style>
  <w:style w:type="character" w:styleId="CommentReference">
    <w:name w:val="annotation reference"/>
    <w:uiPriority w:val="99"/>
    <w:semiHidden/>
    <w:unhideWhenUsed/>
    <w:rsid w:val="003E1C24"/>
    <w:rPr>
      <w:sz w:val="16"/>
      <w:szCs w:val="16"/>
    </w:rPr>
  </w:style>
  <w:style w:type="character" w:customStyle="1" w:styleId="CommentTextChar">
    <w:name w:val="Comment Text Char"/>
    <w:link w:val="CommentText"/>
    <w:uiPriority w:val="99"/>
    <w:semiHidden/>
    <w:rsid w:val="003E1C24"/>
  </w:style>
  <w:style w:type="paragraph" w:styleId="BalloonText">
    <w:name w:val="Balloon Text"/>
    <w:basedOn w:val="Normal"/>
    <w:link w:val="BalloonTextChar"/>
    <w:uiPriority w:val="99"/>
    <w:semiHidden/>
    <w:unhideWhenUsed/>
    <w:rsid w:val="003E1C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2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B15A6"/>
    <w:rPr>
      <w:b/>
      <w:bCs/>
    </w:rPr>
  </w:style>
  <w:style w:type="character" w:customStyle="1" w:styleId="CommentSubjectChar">
    <w:name w:val="Comment Subject Char"/>
    <w:basedOn w:val="CommentTextChar"/>
    <w:link w:val="CommentSubject"/>
    <w:uiPriority w:val="99"/>
    <w:semiHidden/>
    <w:rsid w:val="008B15A6"/>
    <w:rPr>
      <w:b/>
      <w:bCs/>
    </w:rPr>
  </w:style>
  <w:style w:type="character" w:styleId="Hyperlink">
    <w:name w:val="Hyperlink"/>
    <w:basedOn w:val="DefaultParagraphFont"/>
    <w:uiPriority w:val="99"/>
    <w:unhideWhenUsed/>
    <w:rsid w:val="00B05DD7"/>
    <w:rPr>
      <w:color w:val="0000FF" w:themeColor="hyperlink"/>
      <w:u w:val="single"/>
    </w:rPr>
  </w:style>
  <w:style w:type="character" w:styleId="FollowedHyperlink">
    <w:name w:val="FollowedHyperlink"/>
    <w:basedOn w:val="DefaultParagraphFont"/>
    <w:uiPriority w:val="99"/>
    <w:semiHidden/>
    <w:unhideWhenUsed/>
    <w:rsid w:val="006852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asic.gov.au/regulatory-resources/find-a-document/consultation-papers/cp-282-remaking-asic-class-orders-on-financial-counselling-licensing-relie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R20170000547781</RecordNumber>
    <ObjectiveID xmlns="da7a9ac0-bc47-4684-84e6-3a8e9ac80c12" xsi:nil="true"/>
    <o6c472fb96af40019494a22da83eaa42 xmlns="dcdb0191-ebbe-44a0-a909-39249128ad69">
      <Terms xmlns="http://schemas.microsoft.com/office/infopath/2007/PartnerControls"/>
    </o6c472fb96af40019494a22da83eaa42>
    <IconOverlay xmlns="http://schemas.microsoft.com/sharepoint/v4" xsi:nil="true"/>
    <db642941e64e41ccb6eff3ea0f6b03cd xmlns="da7a9ac0-bc47-4684-84e6-3a8e9ac80c12" xsi:nil="true"/>
    <TaxCatchAll xmlns="dcdb0191-ebbe-44a0-a909-39249128ad69">
      <Value>6</Value>
    </TaxCatchAll>
    <SignificantFlag xmlns="da7a9ac0-bc47-4684-84e6-3a8e9ac80c12">false</SignificantFlag>
    <a60570851ad04f0eb2fbdabf0a7347d1 xmlns="dcdb0191-ebbe-44a0-a909-39249128ad69">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0fdd1a11-afcd-482b-8e90-e57051455132</TermId>
        </TermInfo>
      </Terms>
    </a60570851ad04f0eb2fbdabf0a7347d1>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Development Document" ma:contentTypeID="0x010100B5F685A1365F544391EF8C813B164F3A2C00570C11209F52444DBED51CD81C735B9C" ma:contentTypeVersion="30" ma:contentTypeDescription="" ma:contentTypeScope="" ma:versionID="c1a541d893dcd4efb7bddc9f87ab05af">
  <xsd:schema xmlns:xsd="http://www.w3.org/2001/XMLSchema" xmlns:xs="http://www.w3.org/2001/XMLSchema" xmlns:p="http://schemas.microsoft.com/office/2006/metadata/properties" xmlns:ns2="da7a9ac0-bc47-4684-84e6-3a8e9ac80c12" xmlns:ns3="dcdb0191-ebbe-44a0-a909-39249128ad69" xmlns:ns5="http://schemas.microsoft.com/sharepoint/v4" xmlns:ns6="17f478ab-373e-4295-9ff0-9b833ad01319" targetNamespace="http://schemas.microsoft.com/office/2006/metadata/properties" ma:root="true" ma:fieldsID="abe753c95652bb0c6977ed3735941895" ns2:_="" ns3:_="" ns5:_="" ns6:_="">
    <xsd:import namespace="da7a9ac0-bc47-4684-84e6-3a8e9ac80c12"/>
    <xsd:import namespace="dcdb0191-ebbe-44a0-a909-39249128ad69"/>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db642941e64e41ccb6eff3ea0f6b03cd" minOccurs="0"/>
                <xsd:element ref="ns3:o6c472fb96af40019494a22da83eaa42" minOccurs="0"/>
                <xsd:element ref="ns3:a60570851ad04f0eb2fbdabf0a7347d1"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db642941e64e41ccb6eff3ea0f6b03cd" ma:index="18" nillable="true" ma:displayName="DCIPolicyDevelopmentType_0" ma:hidden="true" ma:internalName="db642941e64e41ccb6eff3ea0f6b03cd" ma:readOnly="false">
      <xsd:simpleType>
        <xsd:restriction base="dms:Note"/>
      </xsd:simpleType>
    </xsd:element>
    <xsd:element name="NotesLinks" ma:index="23"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b0191-ebbe-44a0-a909-39249128ad6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20c768e-cc51-4d13-9a48-89cdea7db4d1}" ma:internalName="TaxCatchAll" ma:showField="CatchAllData" ma:web="dcdb0191-ebbe-44a0-a909-39249128ad6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420c768e-cc51-4d13-9a48-89cdea7db4d1}" ma:internalName="TaxCatchAllLabel" ma:readOnly="true" ma:showField="CatchAllDataLabel" ma:web="dcdb0191-ebbe-44a0-a909-39249128ad69">
      <xsd:complexType>
        <xsd:complexContent>
          <xsd:extension base="dms:MultiChoiceLookup">
            <xsd:sequence>
              <xsd:element name="Value" type="dms:Lookup" maxOccurs="unbounded" minOccurs="0" nillable="true"/>
            </xsd:sequence>
          </xsd:extension>
        </xsd:complexContent>
      </xsd:complexType>
    </xsd:element>
    <xsd:element name="o6c472fb96af40019494a22da83eaa42" ma:index="19" nillable="true" ma:taxonomy="true" ma:internalName="o6c472fb96af40019494a22da83eaa42" ma:taxonomyFieldName="DCIPolicyDevelopmentType" ma:displayName="Policy Development Type" ma:fieldId="{86c472fb-96af-4001-9494-a22da83eaa42}" ma:sspId="b38671ba-7d76-46f8-b8a5-5fc3a7d6229d" ma:termSetId="af7c7971-6e65-4399-ab23-9d672681811f" ma:anchorId="00000000-0000-0000-0000-000000000000" ma:open="false" ma:isKeyword="false">
      <xsd:complexType>
        <xsd:sequence>
          <xsd:element ref="pc:Terms" minOccurs="0" maxOccurs="1"/>
        </xsd:sequence>
      </xsd:complexType>
    </xsd:element>
    <xsd:element name="a60570851ad04f0eb2fbdabf0a7347d1" ma:index="20" ma:taxonomy="true" ma:internalName="a60570851ad04f0eb2fbdabf0a7347d1" ma:taxonomyFieldName="SecurityClassification" ma:displayName="Security Classification" ma:default="6;#Protected|0fdd1a11-afcd-482b-8e90-e57051455132" ma:fieldId="{a6057085-1ad0-4f0e-b2fb-dabf0a7347d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4"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5"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90774-E7A9-4615-BCA9-FF239DDD2D81}"/>
</file>

<file path=customXml/itemProps2.xml><?xml version="1.0" encoding="utf-8"?>
<ds:datastoreItem xmlns:ds="http://schemas.openxmlformats.org/officeDocument/2006/customXml" ds:itemID="{8A9E738A-8054-4E6B-9EE5-FC0C2EA887D8}"/>
</file>

<file path=customXml/itemProps3.xml><?xml version="1.0" encoding="utf-8"?>
<ds:datastoreItem xmlns:ds="http://schemas.openxmlformats.org/officeDocument/2006/customXml" ds:itemID="{19AF0C42-0127-494F-B480-B11985FE8ECB}"/>
</file>

<file path=customXml/itemProps4.xml><?xml version="1.0" encoding="utf-8"?>
<ds:datastoreItem xmlns:ds="http://schemas.openxmlformats.org/officeDocument/2006/customXml" ds:itemID="{49B72A47-87C4-4B09-9258-EF48BFC283E8}"/>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tegan.lemm</cp:lastModifiedBy>
  <cp:revision>3</cp:revision>
  <dcterms:created xsi:type="dcterms:W3CDTF">2017-09-20T00:02:00Z</dcterms:created>
  <dcterms:modified xsi:type="dcterms:W3CDTF">2017-09-20T00:02:00Z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0x010100B5F685A1365F544391EF8C813B164F3A2C00570C11209F52444DBED51CD81C735B9C</vt:lpwstr>
  </property>
  <property fmtid="{D5CDD505-2E9C-101B-9397-08002B2CF9AE}" pid="23" name="SecurityClassification">
    <vt:lpwstr>6;#Protected|0fdd1a11-afcd-482b-8e90-e57051455132</vt:lpwstr>
  </property>
  <property fmtid="{D5CDD505-2E9C-101B-9397-08002B2CF9AE}" pid="24" name="RecordPoint_WorkflowType">
    <vt:lpwstr>ActiveSubmitStub</vt:lpwstr>
  </property>
  <property fmtid="{D5CDD505-2E9C-101B-9397-08002B2CF9AE}" pid="25" name="DCIPolicyDevelopmentType">
    <vt:lpwstr/>
  </property>
  <property fmtid="{D5CDD505-2E9C-101B-9397-08002B2CF9AE}" pid="26" name="RecordPoint_ActiveItemUniqueId">
    <vt:lpwstr>{19b4b487-ee6c-43d3-8c9c-ca017f80441d}</vt:lpwstr>
  </property>
  <property fmtid="{D5CDD505-2E9C-101B-9397-08002B2CF9AE}" pid="27" name="RecordPoint_SubmissionCompleted">
    <vt:lpwstr/>
  </property>
  <property fmtid="{D5CDD505-2E9C-101B-9397-08002B2CF9AE}" pid="28" name="RecordPoint_ActiveItemWebId">
    <vt:lpwstr>{dcdb0191-ebbe-44a0-a909-39249128ad69}</vt:lpwstr>
  </property>
  <property fmtid="{D5CDD505-2E9C-101B-9397-08002B2CF9AE}" pid="29" name="RecordPoint_ActiveItemSiteId">
    <vt:lpwstr>{82e14f4f-d8d2-447f-8d6d-ed81dfc09535}</vt:lpwstr>
  </property>
  <property fmtid="{D5CDD505-2E9C-101B-9397-08002B2CF9AE}" pid="30" name="RecordPoint_ActiveItemListId">
    <vt:lpwstr>{85f5a8d7-32a8-46db-b240-7f5f8500a298}</vt:lpwstr>
  </property>
  <property fmtid="{D5CDD505-2E9C-101B-9397-08002B2CF9AE}" pid="31" name="RecordPoint_RecordNumberSubmitted">
    <vt:lpwstr/>
  </property>
  <property fmtid="{D5CDD505-2E9C-101B-9397-08002B2CF9AE}" pid="32" name="RecordPoint_SubmissionDate">
    <vt:lpwstr/>
  </property>
  <property fmtid="{D5CDD505-2E9C-101B-9397-08002B2CF9AE}" pid="33" name="RecordPoint_RecordFormat">
    <vt:lpwstr/>
  </property>
  <property fmtid="{D5CDD505-2E9C-101B-9397-08002B2CF9AE}" pid="34" name="RecordPoint_ActiveItemMoved">
    <vt:lpwstr/>
  </property>
</Properties>
</file>