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80887" w14:textId="77777777" w:rsidR="00AC02C2" w:rsidRDefault="00AC02C2">
      <w:pPr>
        <w:pStyle w:val="Title"/>
      </w:pPr>
    </w:p>
    <w:p w14:paraId="2CABF0AC" w14:textId="77777777" w:rsidR="00AC02C2" w:rsidRDefault="00AC02C2">
      <w:pPr>
        <w:pStyle w:val="Title"/>
      </w:pPr>
    </w:p>
    <w:p w14:paraId="5B3CB0DA" w14:textId="08F69B24" w:rsidR="005B0E3A" w:rsidRPr="00F46C96" w:rsidRDefault="005B0E3A" w:rsidP="005B0E3A">
      <w:pPr>
        <w:spacing w:before="63" w:line="479" w:lineRule="auto"/>
        <w:jc w:val="center"/>
        <w:rPr>
          <w:b/>
          <w:color w:val="000000"/>
          <w:spacing w:val="-1"/>
          <w:sz w:val="28"/>
        </w:rPr>
      </w:pPr>
      <w:r>
        <w:rPr>
          <w:b/>
          <w:color w:val="000000"/>
          <w:sz w:val="28"/>
        </w:rPr>
        <w:t>EXPLANATORY</w:t>
      </w:r>
      <w:r>
        <w:rPr>
          <w:b/>
          <w:color w:val="000000"/>
          <w:spacing w:val="-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 xml:space="preserve">STATEMENT for </w:t>
      </w:r>
      <w:r>
        <w:rPr>
          <w:b/>
          <w:color w:val="000000"/>
          <w:spacing w:val="-1"/>
          <w:sz w:val="28"/>
        </w:rPr>
        <w:br/>
      </w:r>
      <w:r w:rsidR="00CC512B">
        <w:rPr>
          <w:b/>
          <w:color w:val="000000"/>
          <w:spacing w:val="-1"/>
          <w:sz w:val="28"/>
        </w:rPr>
        <w:t xml:space="preserve">ASIC </w:t>
      </w:r>
      <w:r w:rsidR="00CC512B" w:rsidRPr="00F46C96">
        <w:rPr>
          <w:b/>
          <w:color w:val="000000"/>
          <w:spacing w:val="-1"/>
          <w:sz w:val="28"/>
        </w:rPr>
        <w:t>Credit</w:t>
      </w:r>
      <w:r w:rsidR="000622C2" w:rsidRPr="00F46C96">
        <w:rPr>
          <w:b/>
          <w:color w:val="000000"/>
          <w:spacing w:val="-1"/>
          <w:sz w:val="28"/>
        </w:rPr>
        <w:t xml:space="preserve"> (Financial Counselling Agencies) Instrument 2017/</w:t>
      </w:r>
      <w:r w:rsidR="00A6383A">
        <w:rPr>
          <w:b/>
          <w:color w:val="000000"/>
          <w:spacing w:val="-1"/>
          <w:sz w:val="28"/>
        </w:rPr>
        <w:t>793</w:t>
      </w:r>
      <w:r w:rsidR="000622C2" w:rsidRPr="00F46C96">
        <w:rPr>
          <w:b/>
          <w:color w:val="000000"/>
          <w:spacing w:val="-1"/>
          <w:sz w:val="28"/>
        </w:rPr>
        <w:t xml:space="preserve"> </w:t>
      </w:r>
    </w:p>
    <w:p w14:paraId="42598824" w14:textId="77777777" w:rsidR="005B0E3A" w:rsidRDefault="005B0E3A" w:rsidP="005B0E3A">
      <w:pPr>
        <w:pStyle w:val="BodyText"/>
        <w:jc w:val="center"/>
      </w:pPr>
      <w:r>
        <w:t>Prepared by the Australian Securities and Investments Commission</w:t>
      </w:r>
    </w:p>
    <w:p w14:paraId="7FC8AAF6" w14:textId="77777777" w:rsidR="005B0E3A" w:rsidRDefault="005B0E3A" w:rsidP="005B0E3A">
      <w:pPr>
        <w:spacing w:before="4" w:line="220" w:lineRule="exact"/>
        <w:jc w:val="center"/>
      </w:pPr>
    </w:p>
    <w:p w14:paraId="5053900F" w14:textId="4C075A28" w:rsidR="005B0E3A" w:rsidRDefault="00CC512B" w:rsidP="005B0E3A">
      <w:pPr>
        <w:jc w:val="center"/>
        <w:rPr>
          <w:sz w:val="24"/>
          <w:szCs w:val="24"/>
        </w:rPr>
      </w:pPr>
      <w:r>
        <w:rPr>
          <w:i/>
          <w:sz w:val="24"/>
        </w:rPr>
        <w:t>National Consumer Credit Protection Act 2009</w:t>
      </w:r>
    </w:p>
    <w:p w14:paraId="30CA707C" w14:textId="77777777" w:rsidR="005B0E3A" w:rsidRDefault="005B0E3A" w:rsidP="0034712C">
      <w:pPr>
        <w:pStyle w:val="BodyText"/>
      </w:pPr>
    </w:p>
    <w:p w14:paraId="1937E919" w14:textId="0161E139" w:rsidR="0019743D" w:rsidRDefault="005B0E3A" w:rsidP="0034712C">
      <w:pPr>
        <w:pStyle w:val="BodyText"/>
      </w:pPr>
      <w:r w:rsidRPr="00D01BF3">
        <w:t>The Australian Securities and Investments Commission (</w:t>
      </w:r>
      <w:r w:rsidRPr="00F97557">
        <w:rPr>
          <w:b/>
        </w:rPr>
        <w:t>ASIC</w:t>
      </w:r>
      <w:r w:rsidRPr="00D01BF3">
        <w:t>) makes</w:t>
      </w:r>
      <w:r w:rsidR="006C6827" w:rsidRPr="00D01BF3">
        <w:t xml:space="preserve"> </w:t>
      </w:r>
      <w:r w:rsidR="006C6827" w:rsidRPr="00166993">
        <w:rPr>
          <w:i/>
        </w:rPr>
        <w:t xml:space="preserve">ASIC </w:t>
      </w:r>
      <w:r w:rsidR="00CC512B">
        <w:rPr>
          <w:i/>
        </w:rPr>
        <w:t xml:space="preserve">Credit </w:t>
      </w:r>
      <w:r w:rsidR="006C6827" w:rsidRPr="00166993">
        <w:rPr>
          <w:i/>
        </w:rPr>
        <w:t>(Financial Counselling Agencies) Instrument 2017/</w:t>
      </w:r>
      <w:r w:rsidR="00C24FC6">
        <w:rPr>
          <w:i/>
        </w:rPr>
        <w:t>793</w:t>
      </w:r>
      <w:r w:rsidR="00F96C74" w:rsidRPr="00D01BF3">
        <w:t xml:space="preserve"> (</w:t>
      </w:r>
      <w:r w:rsidR="00F96C74" w:rsidRPr="00F97557">
        <w:rPr>
          <w:b/>
        </w:rPr>
        <w:t xml:space="preserve">the </w:t>
      </w:r>
      <w:r w:rsidR="009607E6">
        <w:rPr>
          <w:b/>
        </w:rPr>
        <w:t xml:space="preserve">New </w:t>
      </w:r>
      <w:r w:rsidR="00F96C74" w:rsidRPr="00F97557">
        <w:rPr>
          <w:b/>
        </w:rPr>
        <w:t>Instrument</w:t>
      </w:r>
      <w:r w:rsidR="00F96C74" w:rsidRPr="00D01BF3">
        <w:t>)</w:t>
      </w:r>
      <w:r w:rsidRPr="00D01BF3">
        <w:t xml:space="preserve"> under</w:t>
      </w:r>
      <w:r w:rsidR="006C6827" w:rsidRPr="00D01BF3">
        <w:t xml:space="preserve"> paragraph</w:t>
      </w:r>
      <w:r w:rsidR="00CC512B">
        <w:t xml:space="preserve">s 109(3)(a) and 109(3)(d) of the </w:t>
      </w:r>
      <w:r w:rsidR="00CC512B" w:rsidRPr="00CC512B">
        <w:rPr>
          <w:i/>
        </w:rPr>
        <w:t>National Consumer Credit Protection Act 2009</w:t>
      </w:r>
      <w:r w:rsidR="00CC512B">
        <w:t xml:space="preserve"> (</w:t>
      </w:r>
      <w:r w:rsidR="00CC512B" w:rsidRPr="00F97557">
        <w:rPr>
          <w:b/>
        </w:rPr>
        <w:t>National Credit Act</w:t>
      </w:r>
      <w:r w:rsidR="00CC512B">
        <w:t xml:space="preserve">). </w:t>
      </w:r>
    </w:p>
    <w:p w14:paraId="4E6AFE2B" w14:textId="77777777" w:rsidR="0019743D" w:rsidRDefault="00CC512B" w:rsidP="0034712C">
      <w:pPr>
        <w:pStyle w:val="BodyText"/>
      </w:pPr>
      <w:r>
        <w:t>Paragraph 109(3)(a) p</w:t>
      </w:r>
      <w:r w:rsidR="006C6827" w:rsidRPr="00D01BF3">
        <w:t xml:space="preserve">rovides that ASIC may exempt a person or class of persons from all or specified </w:t>
      </w:r>
      <w:r>
        <w:t>provisions to which Part 2–6 of the National Credit Act</w:t>
      </w:r>
      <w:r w:rsidR="006C6827" w:rsidRPr="00D01BF3">
        <w:t xml:space="preserve"> applies.</w:t>
      </w:r>
    </w:p>
    <w:p w14:paraId="6F1A8F7A" w14:textId="722ECDF2" w:rsidR="005B0E3A" w:rsidRPr="00D01BF3" w:rsidRDefault="00CC512B" w:rsidP="0034712C">
      <w:pPr>
        <w:pStyle w:val="BodyText"/>
      </w:pPr>
      <w:r>
        <w:t>Paragraph 109(3)(d) provides that ASIC may declare that provisions to which Part 2–6 of the National Credit Act</w:t>
      </w:r>
      <w:r w:rsidRPr="00D01BF3">
        <w:t xml:space="preserve"> </w:t>
      </w:r>
      <w:r>
        <w:t>applies apply in relation to a class of person as if specified provision were omitted, modified or varied as specified in the declaration</w:t>
      </w:r>
    </w:p>
    <w:p w14:paraId="1250CE99" w14:textId="77777777" w:rsidR="00AC32D3" w:rsidRPr="00D01BF3" w:rsidRDefault="00AC32D3" w:rsidP="0034712C">
      <w:pPr>
        <w:pStyle w:val="BodyText"/>
      </w:pPr>
    </w:p>
    <w:p w14:paraId="2EB6DD88" w14:textId="77777777" w:rsidR="005B0E3A" w:rsidRDefault="005B0E3A" w:rsidP="005B0E3A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 w:eastAsia="Arial" w:hAnsi="Arial" w:cs="Arial"/>
          <w:sz w:val="24"/>
          <w:szCs w:val="24"/>
        </w:rPr>
      </w:pPr>
      <w:bookmarkStart w:id="0" w:name="1._Background"/>
      <w:bookmarkEnd w:id="0"/>
      <w:r>
        <w:rPr>
          <w:rFonts w:ascii="Arial"/>
          <w:b/>
          <w:spacing w:val="-1"/>
          <w:sz w:val="24"/>
        </w:rPr>
        <w:t>Background</w:t>
      </w:r>
    </w:p>
    <w:p w14:paraId="5C6CCDB1" w14:textId="77777777" w:rsidR="00013C88" w:rsidRDefault="00013C88" w:rsidP="00013C88">
      <w:pPr>
        <w:pStyle w:val="Default"/>
      </w:pPr>
    </w:p>
    <w:p w14:paraId="02D88E83" w14:textId="7DA6B6E1" w:rsidR="004E5DB6" w:rsidRDefault="00EC64B8" w:rsidP="00A472B1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C64B8">
        <w:rPr>
          <w:sz w:val="24"/>
          <w:szCs w:val="24"/>
        </w:rPr>
        <w:t xml:space="preserve">In 2003, ASIC provided financial counselling agencies </w:t>
      </w:r>
      <w:r w:rsidR="00DA3EDE">
        <w:rPr>
          <w:sz w:val="24"/>
          <w:szCs w:val="24"/>
        </w:rPr>
        <w:t>with a</w:t>
      </w:r>
      <w:r w:rsidR="00A472B1">
        <w:rPr>
          <w:sz w:val="24"/>
          <w:szCs w:val="24"/>
        </w:rPr>
        <w:t xml:space="preserve"> conditional</w:t>
      </w:r>
      <w:r w:rsidR="00DA3EDE">
        <w:rPr>
          <w:sz w:val="24"/>
          <w:szCs w:val="24"/>
        </w:rPr>
        <w:t xml:space="preserve"> exemption </w:t>
      </w:r>
      <w:r w:rsidRPr="00EC64B8">
        <w:rPr>
          <w:sz w:val="24"/>
          <w:szCs w:val="24"/>
        </w:rPr>
        <w:t xml:space="preserve">from the requirement to hold an Australian financial services licence under the </w:t>
      </w:r>
      <w:r w:rsidRPr="00EC64B8">
        <w:rPr>
          <w:i/>
          <w:iCs/>
          <w:sz w:val="24"/>
          <w:szCs w:val="24"/>
        </w:rPr>
        <w:t>Corporations Act</w:t>
      </w:r>
      <w:r w:rsidRPr="00EC64B8">
        <w:rPr>
          <w:sz w:val="24"/>
          <w:szCs w:val="24"/>
        </w:rPr>
        <w:t xml:space="preserve"> </w:t>
      </w:r>
      <w:r w:rsidRPr="00EC64B8">
        <w:rPr>
          <w:i/>
          <w:iCs/>
          <w:sz w:val="24"/>
          <w:szCs w:val="24"/>
        </w:rPr>
        <w:t>2001</w:t>
      </w:r>
      <w:r w:rsidRPr="00EC64B8">
        <w:rPr>
          <w:sz w:val="24"/>
          <w:szCs w:val="24"/>
        </w:rPr>
        <w:t xml:space="preserve"> to enable them to provide</w:t>
      </w:r>
      <w:r w:rsidR="00A472B1">
        <w:rPr>
          <w:sz w:val="24"/>
          <w:szCs w:val="24"/>
        </w:rPr>
        <w:t xml:space="preserve"> certain types of</w:t>
      </w:r>
      <w:r w:rsidRPr="00EC64B8">
        <w:rPr>
          <w:sz w:val="24"/>
          <w:szCs w:val="24"/>
        </w:rPr>
        <w:t xml:space="preserve"> financial product advice </w:t>
      </w:r>
      <w:r w:rsidR="00A472B1">
        <w:rPr>
          <w:sz w:val="24"/>
          <w:szCs w:val="24"/>
        </w:rPr>
        <w:t>during a</w:t>
      </w:r>
      <w:r w:rsidRPr="00EC64B8">
        <w:rPr>
          <w:sz w:val="24"/>
          <w:szCs w:val="24"/>
        </w:rPr>
        <w:t xml:space="preserve"> financial counselling serv</w:t>
      </w:r>
      <w:r w:rsidRPr="009F5D21">
        <w:rPr>
          <w:sz w:val="24"/>
          <w:szCs w:val="24"/>
        </w:rPr>
        <w:t>ice. The exemption was set out in [CO 03/1063]. [CO 03/1063]</w:t>
      </w:r>
      <w:r w:rsidR="00694A50" w:rsidRPr="009F5D21">
        <w:rPr>
          <w:sz w:val="24"/>
          <w:szCs w:val="24"/>
        </w:rPr>
        <w:t xml:space="preserve"> is being remade in a new legislative instrument </w:t>
      </w:r>
      <w:r w:rsidR="00694A50" w:rsidRPr="009F5D21">
        <w:rPr>
          <w:i/>
          <w:spacing w:val="-1"/>
          <w:sz w:val="24"/>
          <w:szCs w:val="24"/>
        </w:rPr>
        <w:t>ASIC Corporations (</w:t>
      </w:r>
      <w:r w:rsidR="00694A50" w:rsidRPr="009F5D21">
        <w:rPr>
          <w:i/>
          <w:sz w:val="24"/>
          <w:szCs w:val="24"/>
        </w:rPr>
        <w:t>Financial Counselling Agencies) Instrument 2017</w:t>
      </w:r>
      <w:r w:rsidR="00A33C6B">
        <w:rPr>
          <w:spacing w:val="-1"/>
          <w:sz w:val="24"/>
          <w:szCs w:val="24"/>
        </w:rPr>
        <w:t>/</w:t>
      </w:r>
      <w:r w:rsidR="00757D65">
        <w:rPr>
          <w:spacing w:val="-1"/>
          <w:sz w:val="24"/>
          <w:szCs w:val="24"/>
        </w:rPr>
        <w:t>792</w:t>
      </w:r>
      <w:r w:rsidR="00A33C6B">
        <w:rPr>
          <w:spacing w:val="-1"/>
          <w:sz w:val="24"/>
          <w:szCs w:val="24"/>
        </w:rPr>
        <w:t xml:space="preserve"> </w:t>
      </w:r>
      <w:r w:rsidR="00694A50" w:rsidRPr="009F5D21">
        <w:rPr>
          <w:sz w:val="24"/>
          <w:szCs w:val="24"/>
        </w:rPr>
        <w:t>to continue the exemption beyond it</w:t>
      </w:r>
      <w:r w:rsidR="00A3168B">
        <w:rPr>
          <w:sz w:val="24"/>
          <w:szCs w:val="24"/>
        </w:rPr>
        <w:t>s</w:t>
      </w:r>
      <w:r w:rsidR="00694A50" w:rsidRPr="009F5D21">
        <w:rPr>
          <w:sz w:val="24"/>
          <w:szCs w:val="24"/>
        </w:rPr>
        <w:t xml:space="preserve"> sunset date of 1 October 2017.</w:t>
      </w:r>
      <w:r w:rsidR="00694A50">
        <w:rPr>
          <w:sz w:val="24"/>
          <w:szCs w:val="24"/>
        </w:rPr>
        <w:t xml:space="preserve"> </w:t>
      </w:r>
    </w:p>
    <w:p w14:paraId="6D1FE844" w14:textId="08FC5A28" w:rsidR="003032AE" w:rsidRDefault="00F97557" w:rsidP="004E5DB6">
      <w:pPr>
        <w:shd w:val="clear" w:color="auto" w:fill="FFFFFF"/>
        <w:spacing w:before="100" w:beforeAutospacing="1" w:after="100" w:afterAutospacing="1"/>
      </w:pPr>
      <w:r w:rsidRPr="00F97557">
        <w:rPr>
          <w:sz w:val="24"/>
          <w:szCs w:val="24"/>
        </w:rPr>
        <w:t xml:space="preserve">In </w:t>
      </w:r>
      <w:r w:rsidR="00A472B1">
        <w:rPr>
          <w:sz w:val="24"/>
          <w:szCs w:val="24"/>
        </w:rPr>
        <w:t>addition to providing</w:t>
      </w:r>
      <w:r w:rsidR="00C956B6">
        <w:rPr>
          <w:sz w:val="24"/>
          <w:szCs w:val="24"/>
        </w:rPr>
        <w:t xml:space="preserve"> </w:t>
      </w:r>
      <w:r w:rsidR="00A472B1">
        <w:rPr>
          <w:sz w:val="24"/>
          <w:szCs w:val="24"/>
        </w:rPr>
        <w:t>advice</w:t>
      </w:r>
      <w:r w:rsidRPr="00F97557">
        <w:rPr>
          <w:sz w:val="24"/>
          <w:szCs w:val="24"/>
        </w:rPr>
        <w:t xml:space="preserve">, a financial counsellor may be engaging in </w:t>
      </w:r>
      <w:r w:rsidR="00A472B1">
        <w:rPr>
          <w:sz w:val="24"/>
          <w:szCs w:val="24"/>
        </w:rPr>
        <w:t xml:space="preserve">regulated </w:t>
      </w:r>
      <w:r w:rsidRPr="00F97557">
        <w:rPr>
          <w:sz w:val="24"/>
          <w:szCs w:val="24"/>
        </w:rPr>
        <w:t xml:space="preserve">credit activities by, for example, providing credit assistance if they: </w:t>
      </w:r>
    </w:p>
    <w:p w14:paraId="0004680A" w14:textId="7C1E66E2" w:rsidR="00F97557" w:rsidRPr="00F97557" w:rsidRDefault="00F97557" w:rsidP="003032AE">
      <w:pPr>
        <w:pStyle w:val="Default"/>
        <w:spacing w:after="78"/>
        <w:ind w:left="720"/>
      </w:pPr>
      <w:r w:rsidRPr="00F97557">
        <w:t xml:space="preserve">(a) suggest the consumer apply for, apply for an increase in, or remain in a particular credit contract; or </w:t>
      </w:r>
    </w:p>
    <w:p w14:paraId="285995F0" w14:textId="5310E298" w:rsidR="007A4190" w:rsidRDefault="00F97557" w:rsidP="00F47C0E">
      <w:pPr>
        <w:pStyle w:val="Default"/>
        <w:ind w:left="720"/>
      </w:pPr>
      <w:r w:rsidRPr="00F97557">
        <w:t>(b) assist the consumer to apply for, or apply for an increase in</w:t>
      </w:r>
      <w:r w:rsidR="00CA411D">
        <w:t>, a particular credit contract</w:t>
      </w:r>
      <w:r w:rsidRPr="00F97557">
        <w:t xml:space="preserve">. </w:t>
      </w:r>
    </w:p>
    <w:p w14:paraId="1E76ECF1" w14:textId="60E5803A" w:rsidR="00A472B1" w:rsidRDefault="00A472B1" w:rsidP="00C956B6">
      <w:pPr>
        <w:shd w:val="clear" w:color="auto" w:fill="FFFFFF"/>
        <w:spacing w:before="100" w:beforeAutospacing="1" w:after="100" w:afterAutospacing="1"/>
      </w:pPr>
      <w:r w:rsidRPr="00F47C0E">
        <w:rPr>
          <w:sz w:val="24"/>
          <w:szCs w:val="24"/>
        </w:rPr>
        <w:lastRenderedPageBreak/>
        <w:t>To that end, the AFS licensing exemption in [CO 03/1063] was substantially replicated in in subregulation 20(5) of the National Credit Regulations. Subregulation 20(5) exempts financial counselling agencies from the requirement to</w:t>
      </w:r>
      <w:r w:rsidRPr="00F97557">
        <w:rPr>
          <w:sz w:val="24"/>
          <w:szCs w:val="24"/>
        </w:rPr>
        <w:t xml:space="preserve"> hold a</w:t>
      </w:r>
      <w:r>
        <w:rPr>
          <w:sz w:val="24"/>
          <w:szCs w:val="24"/>
        </w:rPr>
        <w:t>n Australian Credit licence (</w:t>
      </w:r>
      <w:r w:rsidRPr="00F97557">
        <w:rPr>
          <w:sz w:val="24"/>
          <w:szCs w:val="24"/>
        </w:rPr>
        <w:t>credit licence</w:t>
      </w:r>
      <w:r>
        <w:rPr>
          <w:sz w:val="24"/>
          <w:szCs w:val="24"/>
        </w:rPr>
        <w:t>)</w:t>
      </w:r>
      <w:r w:rsidRPr="00F97557">
        <w:rPr>
          <w:sz w:val="24"/>
          <w:szCs w:val="24"/>
        </w:rPr>
        <w:t xml:space="preserve"> when engaging in a credit activity as part of the financial counselling service. </w:t>
      </w:r>
    </w:p>
    <w:p w14:paraId="0FD9D4F5" w14:textId="2ADEA457" w:rsidR="007A4190" w:rsidRPr="00F97557" w:rsidRDefault="007A4190" w:rsidP="007A4190">
      <w:pPr>
        <w:pStyle w:val="Default"/>
      </w:pPr>
      <w:r>
        <w:t>Subregulation 20(5) provides particular circumstances that provide for free and independent financial counselling services to minimise the risk of consumer detriment.</w:t>
      </w:r>
    </w:p>
    <w:p w14:paraId="33031251" w14:textId="0BB96256" w:rsidR="00853C33" w:rsidRPr="00EC64B8" w:rsidRDefault="00853C33" w:rsidP="00EC64B8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  <w:r w:rsidRPr="00853C33">
        <w:rPr>
          <w:b/>
          <w:sz w:val="24"/>
          <w:szCs w:val="24"/>
        </w:rPr>
        <w:t>Rural financial counselling service providers</w:t>
      </w:r>
    </w:p>
    <w:p w14:paraId="1249E1A9" w14:textId="6C50BE4E" w:rsidR="00013C88" w:rsidRDefault="00CD1979" w:rsidP="0034712C">
      <w:pPr>
        <w:pStyle w:val="BodyText"/>
      </w:pPr>
      <w:r>
        <w:t xml:space="preserve">There was </w:t>
      </w:r>
      <w:r w:rsidR="004E5DB6">
        <w:t xml:space="preserve">some </w:t>
      </w:r>
      <w:r w:rsidR="00013C88">
        <w:t>uncertain</w:t>
      </w:r>
      <w:r>
        <w:t>ty as to</w:t>
      </w:r>
      <w:r w:rsidR="00013C88">
        <w:t xml:space="preserve"> whether </w:t>
      </w:r>
      <w:r w:rsidR="00A472B1">
        <w:t xml:space="preserve">subregulation 20(5) </w:t>
      </w:r>
      <w:r w:rsidR="00013C88">
        <w:t xml:space="preserve">extended to rural financial counselling services. Rural financial counselling services differ from other financial counselling services in that: </w:t>
      </w:r>
    </w:p>
    <w:p w14:paraId="352ED329" w14:textId="77777777" w:rsidR="00013C88" w:rsidRDefault="00013C88" w:rsidP="00013C88">
      <w:pPr>
        <w:pStyle w:val="Default"/>
      </w:pPr>
    </w:p>
    <w:p w14:paraId="60678CA2" w14:textId="093660DC" w:rsidR="00013C88" w:rsidRPr="00013C88" w:rsidRDefault="00013C88" w:rsidP="00013C88">
      <w:pPr>
        <w:pStyle w:val="Default"/>
        <w:spacing w:after="80"/>
        <w:ind w:left="720"/>
      </w:pPr>
      <w:r>
        <w:rPr>
          <w:sz w:val="22"/>
          <w:szCs w:val="22"/>
        </w:rPr>
        <w:t>(a</w:t>
      </w:r>
      <w:r w:rsidRPr="00013C88">
        <w:t xml:space="preserve">) their target group is primary producers and rural small businesses; and </w:t>
      </w:r>
    </w:p>
    <w:p w14:paraId="4627A8FC" w14:textId="2900E083" w:rsidR="00013C88" w:rsidRDefault="00013C88" w:rsidP="0008761D">
      <w:pPr>
        <w:pStyle w:val="Default"/>
        <w:ind w:left="720"/>
      </w:pPr>
      <w:r w:rsidRPr="00013C88">
        <w:t xml:space="preserve">(b) they principally focus on the viability of small rural businesses, including assisting them to analyse their financial position, apply for government grants and liaise with creditors. </w:t>
      </w:r>
    </w:p>
    <w:p w14:paraId="7A8AAC93" w14:textId="70A1A788" w:rsidR="00013C88" w:rsidRPr="00013C88" w:rsidRDefault="0008761D" w:rsidP="00013C88">
      <w:pPr>
        <w:pStyle w:val="BodyText"/>
      </w:pPr>
      <w:r>
        <w:t xml:space="preserve">In 2011, ASIC </w:t>
      </w:r>
      <w:r w:rsidR="00A472B1">
        <w:t xml:space="preserve">made </w:t>
      </w:r>
      <w:r>
        <w:t xml:space="preserve">ASIC Class Order </w:t>
      </w:r>
      <w:r w:rsidR="00013C88" w:rsidRPr="00013C88">
        <w:t>[CO 11/926] to resolve this uncertainty. [CO 11/926] provides t</w:t>
      </w:r>
      <w:r w:rsidR="00013C88">
        <w:t>hat a rural financial counselling service provider</w:t>
      </w:r>
      <w:r w:rsidR="00013C88" w:rsidRPr="00013C88">
        <w:t xml:space="preserve"> does not need to hold a credit licence to provide credit assistance in the context of a rural financial counselling service. </w:t>
      </w:r>
    </w:p>
    <w:p w14:paraId="350B8C39" w14:textId="4AD4E1A9" w:rsidR="00013C88" w:rsidRPr="00013C88" w:rsidRDefault="00013C88" w:rsidP="00013C88">
      <w:pPr>
        <w:pStyle w:val="BodyText"/>
      </w:pPr>
      <w:r w:rsidRPr="00013C88">
        <w:t>This exemption ensure</w:t>
      </w:r>
      <w:r w:rsidR="004E5DB6">
        <w:t>s</w:t>
      </w:r>
      <w:r w:rsidRPr="00013C88">
        <w:t xml:space="preserve"> that services can continue to be provided to primary producers and rural small busine</w:t>
      </w:r>
      <w:r w:rsidR="004E5DB6">
        <w:t>sses in financial difficulty.</w:t>
      </w:r>
      <w:r w:rsidRPr="00013C88">
        <w:t xml:space="preserve"> </w:t>
      </w:r>
      <w:r w:rsidR="00D97F84">
        <w:t xml:space="preserve">The credit assistance must be provided in particular circumstances that provide for free and independent rural financial counselling services to minimise the risk of consumer detriment. </w:t>
      </w:r>
    </w:p>
    <w:p w14:paraId="19925B87" w14:textId="77489C2B" w:rsidR="005B0E3A" w:rsidRDefault="00853C33" w:rsidP="009F5E64">
      <w:pPr>
        <w:pStyle w:val="BodyText"/>
        <w:rPr>
          <w:b/>
          <w:szCs w:val="24"/>
        </w:rPr>
      </w:pPr>
      <w:r w:rsidRPr="00853C33">
        <w:rPr>
          <w:b/>
          <w:szCs w:val="24"/>
        </w:rPr>
        <w:t>Financial counselling agencies</w:t>
      </w:r>
    </w:p>
    <w:p w14:paraId="588D47F4" w14:textId="2FEE9BCB" w:rsidR="003F7085" w:rsidRDefault="003F7085" w:rsidP="003F7085">
      <w:pPr>
        <w:pStyle w:val="BodyText"/>
      </w:pPr>
      <w:r>
        <w:rPr>
          <w:szCs w:val="24"/>
        </w:rPr>
        <w:t xml:space="preserve">Subregulation 20(5) was amended in 2015 </w:t>
      </w:r>
      <w:r w:rsidRPr="00D01BF3">
        <w:t xml:space="preserve">due to the Business Services Wage Assessment Tool (BSWAT) Payment Scheme: see </w:t>
      </w:r>
      <w:r w:rsidRPr="00166993">
        <w:rPr>
          <w:i/>
        </w:rPr>
        <w:t>ASIC C</w:t>
      </w:r>
      <w:r w:rsidR="00DF14CA">
        <w:rPr>
          <w:i/>
        </w:rPr>
        <w:t>redit</w:t>
      </w:r>
      <w:r w:rsidRPr="00166993">
        <w:rPr>
          <w:i/>
        </w:rPr>
        <w:t xml:space="preserve"> (</w:t>
      </w:r>
      <w:r w:rsidR="00DF14CA">
        <w:rPr>
          <w:i/>
        </w:rPr>
        <w:t>Financial Counselling Agencies</w:t>
      </w:r>
      <w:r w:rsidRPr="00166993">
        <w:rPr>
          <w:i/>
        </w:rPr>
        <w:t>) Instrument 2015/99</w:t>
      </w:r>
      <w:r>
        <w:rPr>
          <w:i/>
        </w:rPr>
        <w:t>2</w:t>
      </w:r>
      <w:r w:rsidRPr="00166993">
        <w:rPr>
          <w:i/>
        </w:rPr>
        <w:t>.</w:t>
      </w:r>
      <w:r w:rsidRPr="00D01BF3">
        <w:t xml:space="preserve"> The changes enabled government funding for financial counselling services to specific client groups while maintaining</w:t>
      </w:r>
      <w:r w:rsidR="00A472B1">
        <w:t xml:space="preserve"> the conditions intended to ensure</w:t>
      </w:r>
      <w:r w:rsidRPr="00D01BF3">
        <w:t xml:space="preserve"> independent and non-conflicted services.  Allowing for a service fee that is payable by the Commonwealth or a State or Territory, and that is not dependent on the client’s decisions, is unlikely to result in financial counsellors and agencies being subject to a conflict of interest.</w:t>
      </w:r>
    </w:p>
    <w:p w14:paraId="34C13128" w14:textId="274F61C2" w:rsidR="008879CD" w:rsidRPr="0018608F" w:rsidRDefault="008879CD" w:rsidP="008879CD">
      <w:pPr>
        <w:pStyle w:val="BodyText"/>
        <w:rPr>
          <w:szCs w:val="24"/>
        </w:rPr>
      </w:pPr>
      <w:r>
        <w:rPr>
          <w:szCs w:val="24"/>
        </w:rPr>
        <w:t xml:space="preserve">It is noted there have been changes in the industry since [CO 11/926] and subregulation 20(5) were made. </w:t>
      </w:r>
      <w:r w:rsidRPr="00D01BF3">
        <w:t>These include Standards for agencies employing financial counsellors and National standards for membership and accreditation.</w:t>
      </w:r>
      <w:r w:rsidR="00E95913">
        <w:t xml:space="preserve"> These standards </w:t>
      </w:r>
      <w:r w:rsidR="00216DD0">
        <w:t xml:space="preserve">include </w:t>
      </w:r>
      <w:r w:rsidR="00E95913">
        <w:t xml:space="preserve">continuing professional development and supervision requirements. </w:t>
      </w:r>
    </w:p>
    <w:p w14:paraId="33D6066C" w14:textId="2178183C" w:rsidR="008879CD" w:rsidRPr="0044054D" w:rsidRDefault="00125800" w:rsidP="009F5E64">
      <w:pPr>
        <w:pStyle w:val="BodyText"/>
      </w:pPr>
      <w:r>
        <w:t xml:space="preserve">Under the </w:t>
      </w:r>
      <w:r>
        <w:rPr>
          <w:i/>
        </w:rPr>
        <w:t>Legislation Act 2003</w:t>
      </w:r>
      <w:r>
        <w:t xml:space="preserve">, instruments such as [CO 11/926] and </w:t>
      </w:r>
      <w:r w:rsidR="0044054D" w:rsidRPr="00D01BF3">
        <w:t xml:space="preserve">see </w:t>
      </w:r>
      <w:r w:rsidR="0044054D" w:rsidRPr="00166993">
        <w:rPr>
          <w:i/>
        </w:rPr>
        <w:t>ASIC C</w:t>
      </w:r>
      <w:r w:rsidR="0044054D">
        <w:rPr>
          <w:i/>
        </w:rPr>
        <w:t>redit</w:t>
      </w:r>
      <w:r w:rsidR="0044054D" w:rsidRPr="00166993">
        <w:rPr>
          <w:i/>
        </w:rPr>
        <w:t xml:space="preserve"> (</w:t>
      </w:r>
      <w:r w:rsidR="0044054D">
        <w:rPr>
          <w:i/>
        </w:rPr>
        <w:t>Financial Counselling Agencies</w:t>
      </w:r>
      <w:r w:rsidR="0044054D" w:rsidRPr="00166993">
        <w:rPr>
          <w:i/>
        </w:rPr>
        <w:t>) Instrument 2015/99</w:t>
      </w:r>
      <w:r w:rsidR="0044054D">
        <w:rPr>
          <w:i/>
        </w:rPr>
        <w:t xml:space="preserve">2 </w:t>
      </w:r>
      <w:r w:rsidR="0044054D">
        <w:t>automatically cease to have effect, or ‘sunset’ after 10 years and were due to sunset on 1 April 2022 and 1 April 2026 respectively.</w:t>
      </w:r>
    </w:p>
    <w:p w14:paraId="38FA5272" w14:textId="77777777" w:rsidR="00125800" w:rsidRPr="008879CD" w:rsidRDefault="00125800" w:rsidP="009F5E64">
      <w:pPr>
        <w:pStyle w:val="BodyText"/>
        <w:rPr>
          <w:szCs w:val="24"/>
        </w:rPr>
      </w:pPr>
    </w:p>
    <w:p w14:paraId="5EC8D165" w14:textId="7FC2E06D" w:rsidR="005B0E3A" w:rsidRPr="00F71B75" w:rsidRDefault="005B0E3A" w:rsidP="00F71B75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/>
          <w:b/>
          <w:spacing w:val="-1"/>
          <w:sz w:val="24"/>
        </w:rPr>
      </w:pPr>
      <w:bookmarkStart w:id="1" w:name="2._Purpose_of_the_class_order_"/>
      <w:bookmarkEnd w:id="1"/>
      <w:r w:rsidRPr="00F71B75">
        <w:rPr>
          <w:rFonts w:ascii="Arial"/>
          <w:b/>
          <w:spacing w:val="-1"/>
          <w:sz w:val="24"/>
        </w:rPr>
        <w:lastRenderedPageBreak/>
        <w:t xml:space="preserve">Purpose of the </w:t>
      </w:r>
      <w:r w:rsidR="00F61792">
        <w:rPr>
          <w:rFonts w:ascii="Arial"/>
          <w:b/>
          <w:spacing w:val="-1"/>
          <w:sz w:val="24"/>
        </w:rPr>
        <w:t>i</w:t>
      </w:r>
      <w:r w:rsidRPr="00F71B75">
        <w:rPr>
          <w:rFonts w:ascii="Arial"/>
          <w:b/>
          <w:spacing w:val="-1"/>
          <w:sz w:val="24"/>
        </w:rPr>
        <w:t>nstrument</w:t>
      </w:r>
    </w:p>
    <w:p w14:paraId="680A6A70" w14:textId="77777777" w:rsidR="00C63E8D" w:rsidRDefault="00C63E8D" w:rsidP="005B0E3A">
      <w:pPr>
        <w:spacing w:before="4" w:line="220" w:lineRule="exact"/>
        <w:rPr>
          <w:sz w:val="24"/>
          <w:lang w:eastAsia="en-US"/>
        </w:rPr>
      </w:pPr>
    </w:p>
    <w:p w14:paraId="623EA64C" w14:textId="6439F9CB" w:rsidR="00633045" w:rsidRDefault="00EE0B24" w:rsidP="00F87828">
      <w:pPr>
        <w:pStyle w:val="BodyText"/>
      </w:pPr>
      <w:r w:rsidRPr="00D01BF3">
        <w:t>The purpose of the</w:t>
      </w:r>
      <w:r w:rsidR="0026626E">
        <w:t xml:space="preserve"> New</w:t>
      </w:r>
      <w:r w:rsidRPr="00D01BF3">
        <w:t xml:space="preserve"> Instrument is</w:t>
      </w:r>
      <w:r w:rsidR="00633045">
        <w:t xml:space="preserve"> to continue the relief given in [CO 11/926] and </w:t>
      </w:r>
      <w:r w:rsidR="00633045" w:rsidRPr="00897DB4">
        <w:rPr>
          <w:i/>
        </w:rPr>
        <w:t>ASIC Credit (Financial Counselling Agencies) Instrument 2015/992</w:t>
      </w:r>
      <w:r w:rsidR="00C63E8D">
        <w:t>, with</w:t>
      </w:r>
      <w:r w:rsidR="003C7CED">
        <w:t xml:space="preserve"> current drafting practice</w:t>
      </w:r>
      <w:r w:rsidR="00C63E8D">
        <w:t xml:space="preserve"> and</w:t>
      </w:r>
      <w:r w:rsidR="003C7CED">
        <w:t xml:space="preserve"> without significant changes</w:t>
      </w:r>
      <w:r w:rsidR="00633045">
        <w:t>.</w:t>
      </w:r>
    </w:p>
    <w:p w14:paraId="69B99406" w14:textId="3221312B" w:rsidR="00934A0D" w:rsidRPr="00D01BF3" w:rsidRDefault="008A2CAD" w:rsidP="00C7634F">
      <w:pPr>
        <w:pStyle w:val="BodyText"/>
      </w:pPr>
      <w:r w:rsidRPr="00D01BF3">
        <w:t xml:space="preserve">In continuing the relief, </w:t>
      </w:r>
      <w:r w:rsidR="00056A8B">
        <w:t xml:space="preserve">rural financial counselling services providers and </w:t>
      </w:r>
      <w:r w:rsidRPr="00D01BF3">
        <w:t>financial</w:t>
      </w:r>
      <w:r w:rsidR="00C7634F" w:rsidRPr="00D01BF3">
        <w:t xml:space="preserve"> counselling associations will remain</w:t>
      </w:r>
      <w:r w:rsidRPr="00D01BF3">
        <w:t xml:space="preserve"> exempt from the</w:t>
      </w:r>
      <w:r w:rsidR="002E5208">
        <w:t xml:space="preserve"> requirement to hold a credit licence </w:t>
      </w:r>
      <w:r w:rsidR="00934A0D" w:rsidRPr="00D01BF3">
        <w:t>when</w:t>
      </w:r>
      <w:r w:rsidR="00C863D4" w:rsidRPr="00D01BF3">
        <w:t xml:space="preserve"> provid</w:t>
      </w:r>
      <w:r w:rsidR="00934A0D" w:rsidRPr="00D01BF3">
        <w:t>ing</w:t>
      </w:r>
      <w:r w:rsidR="00C863D4" w:rsidRPr="00D01BF3">
        <w:t xml:space="preserve"> </w:t>
      </w:r>
      <w:r w:rsidR="002E5208">
        <w:t xml:space="preserve">credit assistance in certain circumstances. </w:t>
      </w:r>
    </w:p>
    <w:p w14:paraId="025D7AF4" w14:textId="76319338" w:rsidR="003B06DD" w:rsidRPr="00D01BF3" w:rsidRDefault="00934A0D" w:rsidP="00C7634F">
      <w:pPr>
        <w:pStyle w:val="BodyText"/>
      </w:pPr>
      <w:r w:rsidRPr="00D01BF3">
        <w:t>T</w:t>
      </w:r>
      <w:r w:rsidR="00C863D4" w:rsidRPr="00D01BF3">
        <w:t xml:space="preserve">he </w:t>
      </w:r>
      <w:r w:rsidR="002B02CB">
        <w:t>limited circumstanc</w:t>
      </w:r>
      <w:r w:rsidR="00056A8B">
        <w:t>es in which the exemption apply</w:t>
      </w:r>
      <w:r w:rsidR="002B02CB">
        <w:t xml:space="preserve"> </w:t>
      </w:r>
      <w:r w:rsidR="00C863D4" w:rsidRPr="00D01BF3">
        <w:t>ensure</w:t>
      </w:r>
      <w:r w:rsidRPr="00D01BF3">
        <w:t>s</w:t>
      </w:r>
      <w:r w:rsidR="00C863D4" w:rsidRPr="00D01BF3">
        <w:t xml:space="preserve"> clients can have a high degree of confidence that when their </w:t>
      </w:r>
      <w:r w:rsidR="00056A8B">
        <w:t xml:space="preserve">rural </w:t>
      </w:r>
      <w:r w:rsidR="00C863D4" w:rsidRPr="00D01BF3">
        <w:t>financial counsellors</w:t>
      </w:r>
      <w:r w:rsidR="00C3670F">
        <w:t xml:space="preserve"> or financial counsellors, </w:t>
      </w:r>
      <w:r w:rsidR="00C863D4" w:rsidRPr="00D01BF3">
        <w:t xml:space="preserve"> provide them with </w:t>
      </w:r>
      <w:r w:rsidR="00C3670F">
        <w:t>credit assistance</w:t>
      </w:r>
      <w:r w:rsidR="00056A8B">
        <w:t xml:space="preserve"> or advice</w:t>
      </w:r>
      <w:r w:rsidR="00C863D4" w:rsidRPr="00D01BF3">
        <w:t xml:space="preserve">, they do so free from any conflicts of interest, and with an acceptable level of skills, knowledge and professionalism. </w:t>
      </w:r>
    </w:p>
    <w:p w14:paraId="541E8D69" w14:textId="77777777" w:rsidR="00E11781" w:rsidRPr="00080DDA" w:rsidRDefault="00E11781" w:rsidP="00080DDA">
      <w:pPr>
        <w:widowControl w:val="0"/>
        <w:tabs>
          <w:tab w:val="left" w:pos="1592"/>
        </w:tabs>
        <w:spacing w:before="145" w:after="0"/>
        <w:rPr>
          <w:rFonts w:ascii="Arial"/>
          <w:b/>
          <w:spacing w:val="-1"/>
          <w:sz w:val="24"/>
        </w:rPr>
      </w:pPr>
    </w:p>
    <w:p w14:paraId="7F03DB0A" w14:textId="7C073A11" w:rsidR="005B0E3A" w:rsidRPr="00F71B75" w:rsidRDefault="005B0E3A" w:rsidP="00F71B75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/>
          <w:b/>
          <w:spacing w:val="-1"/>
          <w:sz w:val="24"/>
        </w:rPr>
      </w:pPr>
      <w:bookmarkStart w:id="2" w:name="3._Operation_of_the_class_order_"/>
      <w:bookmarkEnd w:id="2"/>
      <w:r w:rsidRPr="00F71B75">
        <w:rPr>
          <w:rFonts w:ascii="Arial"/>
          <w:b/>
          <w:spacing w:val="-1"/>
          <w:sz w:val="24"/>
        </w:rPr>
        <w:t xml:space="preserve">Operation of the </w:t>
      </w:r>
      <w:r w:rsidR="00F61792">
        <w:rPr>
          <w:rFonts w:ascii="Arial"/>
          <w:b/>
          <w:spacing w:val="-1"/>
          <w:sz w:val="24"/>
        </w:rPr>
        <w:t>i</w:t>
      </w:r>
      <w:r w:rsidRPr="00F71B75">
        <w:rPr>
          <w:rFonts w:ascii="Arial"/>
          <w:b/>
          <w:spacing w:val="-1"/>
          <w:sz w:val="24"/>
        </w:rPr>
        <w:t>nstrument</w:t>
      </w:r>
    </w:p>
    <w:p w14:paraId="0BFD44BB" w14:textId="77777777" w:rsidR="000F2897" w:rsidRPr="00F860F5" w:rsidRDefault="000F2897" w:rsidP="000F2897">
      <w:pPr>
        <w:pStyle w:val="BodyText"/>
        <w:spacing w:before="199"/>
        <w:rPr>
          <w:b/>
        </w:rPr>
      </w:pPr>
      <w:r>
        <w:rPr>
          <w:b/>
          <w:szCs w:val="24"/>
        </w:rPr>
        <w:t xml:space="preserve">Part 2 — Exemption </w:t>
      </w:r>
    </w:p>
    <w:p w14:paraId="00F61F3D" w14:textId="25D02082" w:rsidR="00E84F85" w:rsidRDefault="00E84F85" w:rsidP="00E84F85">
      <w:pPr>
        <w:pStyle w:val="BodyText"/>
        <w:spacing w:before="199"/>
      </w:pPr>
      <w:r>
        <w:t xml:space="preserve">Subsection 5(1) provides that rural financial counselling service providers are exempt from the </w:t>
      </w:r>
      <w:r w:rsidR="00C27758">
        <w:t xml:space="preserve">requirement to hold a credit licence </w:t>
      </w:r>
      <w:r w:rsidR="0061758A">
        <w:t xml:space="preserve">to </w:t>
      </w:r>
      <w:r>
        <w:t>provi</w:t>
      </w:r>
      <w:r w:rsidR="0061758A">
        <w:t>de</w:t>
      </w:r>
      <w:r>
        <w:t xml:space="preserve"> of credit assistance. </w:t>
      </w:r>
    </w:p>
    <w:p w14:paraId="1D63D0D5" w14:textId="76917DA7" w:rsidR="006A2AE7" w:rsidRDefault="005242EF" w:rsidP="004E5DB6">
      <w:pPr>
        <w:pStyle w:val="BodyText"/>
      </w:pPr>
      <w:r>
        <w:t xml:space="preserve">Subsection 5(2) </w:t>
      </w:r>
      <w:r w:rsidR="006A2AE7">
        <w:t xml:space="preserve">set out when the exemption is available. In order for the exemption apply: </w:t>
      </w:r>
    </w:p>
    <w:p w14:paraId="57A66FF8" w14:textId="57E356B8" w:rsidR="004E5DB6" w:rsidRPr="00013C88" w:rsidRDefault="004E5DB6" w:rsidP="006A2AE7">
      <w:pPr>
        <w:pStyle w:val="BodyText"/>
        <w:numPr>
          <w:ilvl w:val="0"/>
          <w:numId w:val="22"/>
        </w:numPr>
      </w:pPr>
      <w:r w:rsidRPr="00013C88">
        <w:t xml:space="preserve">the credit assistance </w:t>
      </w:r>
      <w:r w:rsidR="006A2AE7">
        <w:t xml:space="preserve">must be </w:t>
      </w:r>
      <w:r w:rsidRPr="00013C88">
        <w:t xml:space="preserve">provided as part of the rural financial counselling service; </w:t>
      </w:r>
    </w:p>
    <w:p w14:paraId="27226B64" w14:textId="227C6CD1" w:rsidR="004E5DB6" w:rsidRDefault="004E5DB6" w:rsidP="006A2AE7">
      <w:pPr>
        <w:pStyle w:val="BodyText"/>
        <w:numPr>
          <w:ilvl w:val="0"/>
          <w:numId w:val="22"/>
        </w:numPr>
      </w:pPr>
      <w:r w:rsidRPr="00013C88">
        <w:t>no fees or charges are payable by</w:t>
      </w:r>
      <w:r>
        <w:t xml:space="preserve"> or on behalf of</w:t>
      </w:r>
      <w:r w:rsidRPr="00013C88">
        <w:t xml:space="preserve"> the consumer for any aspect of the rural fin</w:t>
      </w:r>
      <w:r w:rsidR="00842411">
        <w:t xml:space="preserve">ancial counselling service; </w:t>
      </w:r>
    </w:p>
    <w:p w14:paraId="6BB81785" w14:textId="232E7852" w:rsidR="00842411" w:rsidRDefault="00842411" w:rsidP="006A2AE7">
      <w:pPr>
        <w:pStyle w:val="BodyText"/>
        <w:numPr>
          <w:ilvl w:val="0"/>
          <w:numId w:val="22"/>
        </w:numPr>
      </w:pPr>
      <w:r>
        <w:t>no remuneration is payable to, or for the benefit of, the rural financial counselling service provider, by any person in relation to any action by or on behalf of the consumer</w:t>
      </w:r>
      <w:r w:rsidR="006A2AE7">
        <w:t>.</w:t>
      </w:r>
    </w:p>
    <w:p w14:paraId="6E7E9D30" w14:textId="42C712F5" w:rsidR="004E5DB6" w:rsidRDefault="006A2AE7" w:rsidP="00C956B6">
      <w:pPr>
        <w:pStyle w:val="BodyText"/>
      </w:pPr>
      <w:r>
        <w:t xml:space="preserve">In order for the exemption to apply, </w:t>
      </w:r>
      <w:r w:rsidR="0069162E">
        <w:t>the</w:t>
      </w:r>
      <w:r>
        <w:t xml:space="preserve"> relevant</w:t>
      </w:r>
      <w:r w:rsidR="0069162E">
        <w:t xml:space="preserve"> rural financial counselling service provider </w:t>
      </w:r>
      <w:r>
        <w:t xml:space="preserve">must take </w:t>
      </w:r>
      <w:r w:rsidR="0069162E">
        <w:t xml:space="preserve">reasonable steps to ensure that representatives </w:t>
      </w:r>
      <w:r>
        <w:t>providing</w:t>
      </w:r>
      <w:r w:rsidR="00712E3E">
        <w:t xml:space="preserve"> the credit assistance on their</w:t>
      </w:r>
      <w:r w:rsidR="0069162E">
        <w:t xml:space="preserve"> behalf ha</w:t>
      </w:r>
      <w:r w:rsidR="009D5316">
        <w:t>ve</w:t>
      </w:r>
      <w:r w:rsidR="0069162E">
        <w:t xml:space="preserve"> undertaken appropriate training to ensure they have adequate skills, </w:t>
      </w:r>
      <w:r w:rsidR="004E5DB6" w:rsidRPr="00013C88">
        <w:t xml:space="preserve">knowledge and experience to satisfactorily provide the credit assistance and </w:t>
      </w:r>
      <w:r w:rsidR="00712E3E">
        <w:t>the broader r</w:t>
      </w:r>
      <w:r w:rsidR="004E5DB6" w:rsidRPr="00013C88">
        <w:t xml:space="preserve">ural financial counselling service. </w:t>
      </w:r>
    </w:p>
    <w:p w14:paraId="1255BBC6" w14:textId="0E34D7B7" w:rsidR="00712E3E" w:rsidRDefault="00712E3E" w:rsidP="00C956B6">
      <w:pPr>
        <w:pStyle w:val="BodyText"/>
      </w:pPr>
      <w:r>
        <w:t>Additionally, the</w:t>
      </w:r>
      <w:r w:rsidR="0069162E">
        <w:t xml:space="preserve"> rural financial counselling service provider</w:t>
      </w:r>
      <w:r>
        <w:t xml:space="preserve"> and its representatives must not otherwise engage in credit activity (other than those covered by the exemption).</w:t>
      </w:r>
    </w:p>
    <w:p w14:paraId="2305DB5F" w14:textId="05F56F44" w:rsidR="00865496" w:rsidRPr="00865496" w:rsidRDefault="00CB430C" w:rsidP="003E1C24">
      <w:pPr>
        <w:pStyle w:val="BodyText"/>
        <w:spacing w:before="199"/>
        <w:rPr>
          <w:b/>
        </w:rPr>
      </w:pPr>
      <w:r>
        <w:rPr>
          <w:b/>
        </w:rPr>
        <w:t>Part 3</w:t>
      </w:r>
      <w:r w:rsidR="00865496" w:rsidRPr="00865496">
        <w:rPr>
          <w:b/>
        </w:rPr>
        <w:t xml:space="preserve"> </w:t>
      </w:r>
      <w:r w:rsidR="00F860F5">
        <w:rPr>
          <w:b/>
        </w:rPr>
        <w:t>—</w:t>
      </w:r>
      <w:r w:rsidR="00865496" w:rsidRPr="00865496">
        <w:rPr>
          <w:b/>
        </w:rPr>
        <w:t xml:space="preserve"> </w:t>
      </w:r>
      <w:r>
        <w:rPr>
          <w:b/>
        </w:rPr>
        <w:t>Declaration</w:t>
      </w:r>
      <w:r w:rsidR="00865496" w:rsidRPr="00865496">
        <w:rPr>
          <w:b/>
        </w:rPr>
        <w:t xml:space="preserve"> </w:t>
      </w:r>
    </w:p>
    <w:p w14:paraId="60D3A7ED" w14:textId="7EFAD8FA" w:rsidR="003E1C24" w:rsidRDefault="00CB430C" w:rsidP="005C4E32">
      <w:pPr>
        <w:pStyle w:val="BodyText"/>
        <w:spacing w:before="199"/>
      </w:pPr>
      <w:r>
        <w:t>Section 6</w:t>
      </w:r>
      <w:r w:rsidR="006D2483">
        <w:t xml:space="preserve"> provides</w:t>
      </w:r>
      <w:r w:rsidR="005C4E32">
        <w:t xml:space="preserve"> that Part 2-6 of the Credit Act applies as if the National Credit Regulations were modified or varied </w:t>
      </w:r>
      <w:r w:rsidR="006C67BF">
        <w:t>to</w:t>
      </w:r>
      <w:r w:rsidR="00500CF4">
        <w:t>:</w:t>
      </w:r>
    </w:p>
    <w:p w14:paraId="1E408588" w14:textId="77777777" w:rsidR="00555BB8" w:rsidRDefault="00555BB8" w:rsidP="005C4E32">
      <w:pPr>
        <w:pStyle w:val="BodyText"/>
        <w:spacing w:before="199"/>
      </w:pPr>
    </w:p>
    <w:p w14:paraId="039C5D1B" w14:textId="071BDBB7" w:rsidR="00EF5494" w:rsidRDefault="00EF5494" w:rsidP="00EF5494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reflect the new legislative instrument to replace Class Order [CO 03/1063] in regulation 3;  </w:t>
      </w:r>
    </w:p>
    <w:p w14:paraId="167E3AA4" w14:textId="77777777" w:rsidR="00EF5494" w:rsidRDefault="00EF5494" w:rsidP="000F071B">
      <w:pPr>
        <w:pStyle w:val="Default"/>
        <w:ind w:left="1440"/>
        <w:rPr>
          <w:sz w:val="23"/>
          <w:szCs w:val="23"/>
        </w:rPr>
      </w:pPr>
    </w:p>
    <w:p w14:paraId="52297EA1" w14:textId="52C8B9E5" w:rsidR="00555BB8" w:rsidRDefault="006C67BF" w:rsidP="005A2267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>clarify the intended limitations on remuneration</w:t>
      </w:r>
      <w:r w:rsidR="00EF5494">
        <w:rPr>
          <w:sz w:val="23"/>
          <w:szCs w:val="23"/>
        </w:rPr>
        <w:t xml:space="preserve"> in regulation 20(5);</w:t>
      </w:r>
      <w:r>
        <w:rPr>
          <w:sz w:val="23"/>
          <w:szCs w:val="23"/>
        </w:rPr>
        <w:t xml:space="preserve"> </w:t>
      </w:r>
      <w:r w:rsidR="00555BB8">
        <w:rPr>
          <w:sz w:val="23"/>
          <w:szCs w:val="23"/>
        </w:rPr>
        <w:t xml:space="preserve">and </w:t>
      </w:r>
    </w:p>
    <w:p w14:paraId="103166C2" w14:textId="79906BCA" w:rsidR="00500CF4" w:rsidRDefault="006C67BF" w:rsidP="005A2267">
      <w:pPr>
        <w:pStyle w:val="BodyText"/>
        <w:numPr>
          <w:ilvl w:val="0"/>
          <w:numId w:val="26"/>
        </w:numPr>
        <w:spacing w:before="199"/>
        <w:rPr>
          <w:sz w:val="23"/>
          <w:szCs w:val="23"/>
        </w:rPr>
      </w:pPr>
      <w:r>
        <w:rPr>
          <w:sz w:val="23"/>
          <w:szCs w:val="23"/>
        </w:rPr>
        <w:t>facilitate Government schemes such as BSWAT</w:t>
      </w:r>
      <w:r w:rsidR="00EF5494">
        <w:rPr>
          <w:sz w:val="23"/>
          <w:szCs w:val="23"/>
        </w:rPr>
        <w:t xml:space="preserve"> in regulation 20(5)</w:t>
      </w:r>
      <w:r w:rsidR="00555BB8">
        <w:rPr>
          <w:sz w:val="23"/>
          <w:szCs w:val="23"/>
        </w:rPr>
        <w:t>.</w:t>
      </w:r>
    </w:p>
    <w:p w14:paraId="6FDB897E" w14:textId="77777777" w:rsidR="00A472B1" w:rsidRDefault="00A472B1" w:rsidP="005A2267">
      <w:pPr>
        <w:pStyle w:val="BodyText"/>
        <w:spacing w:before="199"/>
      </w:pPr>
    </w:p>
    <w:p w14:paraId="6D3717B6" w14:textId="77777777" w:rsidR="00590291" w:rsidRDefault="00590291" w:rsidP="005B0E3A">
      <w:pPr>
        <w:spacing w:before="1" w:line="120" w:lineRule="exact"/>
        <w:rPr>
          <w:sz w:val="12"/>
          <w:szCs w:val="12"/>
        </w:rPr>
      </w:pPr>
    </w:p>
    <w:p w14:paraId="0759F371" w14:textId="77777777" w:rsidR="005B0E3A" w:rsidRPr="00F71B75" w:rsidRDefault="005B0E3A" w:rsidP="00F71B75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/>
          <w:b/>
          <w:spacing w:val="-1"/>
          <w:sz w:val="24"/>
        </w:rPr>
      </w:pPr>
      <w:bookmarkStart w:id="3" w:name="4._Documents_incorporated_by_reference"/>
      <w:bookmarkStart w:id="4" w:name="5._Consultation"/>
      <w:bookmarkEnd w:id="3"/>
      <w:bookmarkEnd w:id="4"/>
      <w:r w:rsidRPr="00F71B75">
        <w:rPr>
          <w:rFonts w:ascii="Arial"/>
          <w:b/>
          <w:spacing w:val="-1"/>
          <w:sz w:val="24"/>
        </w:rPr>
        <w:t>Consultation</w:t>
      </w:r>
    </w:p>
    <w:p w14:paraId="20DCE34F" w14:textId="77777777" w:rsidR="005B0E3A" w:rsidRDefault="005B0E3A" w:rsidP="005B0E3A">
      <w:pPr>
        <w:spacing w:before="4" w:line="220" w:lineRule="exact"/>
      </w:pPr>
    </w:p>
    <w:p w14:paraId="4CDE7349" w14:textId="0489D1B0" w:rsidR="005B0E3A" w:rsidRPr="00EC563E" w:rsidRDefault="005A0FFF" w:rsidP="00EC563E">
      <w:pPr>
        <w:pStyle w:val="BodyText"/>
        <w:rPr>
          <w:i/>
          <w:iCs/>
          <w:sz w:val="23"/>
          <w:szCs w:val="23"/>
        </w:rPr>
      </w:pPr>
      <w:r w:rsidRPr="005A0FFF">
        <w:rPr>
          <w:szCs w:val="24"/>
        </w:rPr>
        <w:t>ASIC consulted publicly on its prop</w:t>
      </w:r>
      <w:r w:rsidR="00EC563E">
        <w:rPr>
          <w:szCs w:val="24"/>
        </w:rPr>
        <w:t xml:space="preserve">osal to remake the exemptions in [CO 11/926] and </w:t>
      </w:r>
      <w:r w:rsidR="00B113B6" w:rsidRPr="00166993">
        <w:rPr>
          <w:i/>
        </w:rPr>
        <w:t>ASIC C</w:t>
      </w:r>
      <w:r w:rsidR="00B113B6">
        <w:rPr>
          <w:i/>
        </w:rPr>
        <w:t>redit</w:t>
      </w:r>
      <w:r w:rsidR="00B113B6" w:rsidRPr="00166993">
        <w:rPr>
          <w:i/>
        </w:rPr>
        <w:t xml:space="preserve"> (</w:t>
      </w:r>
      <w:r w:rsidR="00B113B6">
        <w:rPr>
          <w:i/>
        </w:rPr>
        <w:t>Financial Counselling Agencies</w:t>
      </w:r>
      <w:r w:rsidR="00B113B6" w:rsidRPr="00166993">
        <w:rPr>
          <w:i/>
        </w:rPr>
        <w:t>) Instrument 2015/99</w:t>
      </w:r>
      <w:r w:rsidR="00B113B6">
        <w:rPr>
          <w:i/>
        </w:rPr>
        <w:t xml:space="preserve">2 </w:t>
      </w:r>
      <w:r w:rsidRPr="005A0FFF">
        <w:rPr>
          <w:szCs w:val="24"/>
        </w:rPr>
        <w:t xml:space="preserve">via </w:t>
      </w:r>
      <w:hyperlink r:id="rId12" w:history="1">
        <w:r w:rsidRPr="009D5316">
          <w:rPr>
            <w:rStyle w:val="Hyperlink"/>
            <w:szCs w:val="24"/>
          </w:rPr>
          <w:t xml:space="preserve">Consultation Paper 282 </w:t>
        </w:r>
        <w:r w:rsidRPr="009D5316">
          <w:rPr>
            <w:rStyle w:val="Hyperlink"/>
            <w:i/>
            <w:szCs w:val="24"/>
          </w:rPr>
          <w:t>Remaking ASIC class orders on financial counselling licensing relief</w:t>
        </w:r>
        <w:r w:rsidR="006C68E7" w:rsidRPr="009D5316">
          <w:rPr>
            <w:rStyle w:val="Hyperlink"/>
            <w:szCs w:val="24"/>
          </w:rPr>
          <w:t>.</w:t>
        </w:r>
      </w:hyperlink>
      <w:r w:rsidR="006C68E7">
        <w:rPr>
          <w:szCs w:val="24"/>
        </w:rPr>
        <w:t xml:space="preserve"> ASIC received </w:t>
      </w:r>
      <w:r w:rsidR="00EA0632">
        <w:rPr>
          <w:szCs w:val="24"/>
        </w:rPr>
        <w:t>10</w:t>
      </w:r>
      <w:r w:rsidRPr="005A0FFF">
        <w:rPr>
          <w:szCs w:val="24"/>
        </w:rPr>
        <w:t xml:space="preserve"> responses</w:t>
      </w:r>
      <w:r w:rsidR="006C25E7">
        <w:rPr>
          <w:szCs w:val="24"/>
        </w:rPr>
        <w:t xml:space="preserve"> which supported the proposal.</w:t>
      </w:r>
    </w:p>
    <w:p w14:paraId="0CF999C1" w14:textId="77777777" w:rsidR="005B0E3A" w:rsidRDefault="005B0E3A" w:rsidP="005B0E3A">
      <w:pPr>
        <w:pStyle w:val="Bodytextplain"/>
        <w:sectPr w:rsidR="005B0E3A" w:rsidSect="000622C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</w:p>
    <w:p w14:paraId="448AEDDD" w14:textId="77777777" w:rsidR="000076D6" w:rsidRDefault="000076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4091C" wp14:editId="016E3824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12771" w14:textId="77777777" w:rsidR="005D766D" w:rsidRPr="00834797" w:rsidRDefault="005D766D" w:rsidP="000076D6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33E2E967" w14:textId="77777777" w:rsidR="005D766D" w:rsidRPr="00247F54" w:rsidRDefault="005D766D" w:rsidP="000076D6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2320D59C" w14:textId="77777777" w:rsidR="005D766D" w:rsidRPr="00247F54" w:rsidRDefault="005D766D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3DAF7632" w14:textId="32EE16CF" w:rsidR="005D766D" w:rsidRPr="00EA0632" w:rsidRDefault="005D766D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EA0632">
                              <w:rPr>
                                <w:b/>
                                <w:iCs/>
                                <w:szCs w:val="22"/>
                              </w:rPr>
                              <w:t>ASIC Credit (Financial Counselling Agencies) Instrument 2017/</w:t>
                            </w:r>
                            <w:r w:rsidR="008B01A8">
                              <w:rPr>
                                <w:b/>
                                <w:iCs/>
                                <w:szCs w:val="22"/>
                              </w:rPr>
                              <w:t>793</w:t>
                            </w:r>
                            <w:r w:rsidRPr="00EA0632">
                              <w:rPr>
                                <w:b/>
                                <w:iCs/>
                                <w:szCs w:val="22"/>
                              </w:rPr>
                              <w:t xml:space="preserve"> </w:t>
                            </w:r>
                            <w:r w:rsidRPr="00EA0632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</w:p>
                          <w:p w14:paraId="0F5642AB" w14:textId="77777777" w:rsidR="005D766D" w:rsidRPr="00247F54" w:rsidRDefault="005D766D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7B48602D" w14:textId="69FFC0EB" w:rsidR="005D766D" w:rsidRPr="00247F54" w:rsidRDefault="005D766D" w:rsidP="000076D6">
                            <w:pPr>
                              <w:spacing w:before="120" w:after="120"/>
                              <w:jc w:val="center"/>
                            </w:pPr>
                            <w:r w:rsidRPr="00830572">
                              <w:rPr>
                                <w:i/>
                                <w:iCs/>
                                <w:szCs w:val="22"/>
                              </w:rPr>
                              <w:t>ASIC Credit (Financial Counselling Agencies) Instrument 2017/</w:t>
                            </w:r>
                            <w:r w:rsidR="008B01A8">
                              <w:rPr>
                                <w:i/>
                                <w:iCs/>
                                <w:szCs w:val="22"/>
                              </w:rPr>
                              <w:t>793</w:t>
                            </w:r>
                            <w:r w:rsidR="00F41AB6">
                              <w:rPr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r w:rsidR="008B01A8">
                              <w:rPr>
                                <w:szCs w:val="22"/>
                              </w:rPr>
                              <w:t xml:space="preserve">is </w:t>
                            </w:r>
                            <w:r w:rsidRPr="00830572">
                              <w:rPr>
                                <w:szCs w:val="22"/>
                              </w:rPr>
                              <w:t>compatible</w:t>
                            </w:r>
                            <w:r w:rsidRPr="00247F54">
                              <w:t xml:space="preserve"> with the human rights and freedoms recognised or declared in the international instruments listed in section 3 of the </w:t>
                            </w:r>
                            <w:r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Pr="00247F54">
                              <w:t>.</w:t>
                            </w:r>
                          </w:p>
                          <w:p w14:paraId="394103E3" w14:textId="77777777" w:rsidR="005D766D" w:rsidRPr="00247F54" w:rsidRDefault="005D766D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0E3EF9E1" w14:textId="77777777" w:rsidR="005D766D" w:rsidRPr="00247F54" w:rsidRDefault="005D766D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14:paraId="5256F872" w14:textId="45593542" w:rsidR="005D766D" w:rsidRDefault="005D766D" w:rsidP="000076D6">
                            <w:pPr>
                              <w:spacing w:before="120" w:after="120"/>
                            </w:pPr>
                            <w:r w:rsidRPr="00830572">
                              <w:rPr>
                                <w:i/>
                                <w:iCs/>
                                <w:szCs w:val="22"/>
                              </w:rPr>
                              <w:t>ASIC Credit (Financial Counselling Agencies) Instrument 2017/</w:t>
                            </w:r>
                            <w:r w:rsidR="00981FF2">
                              <w:rPr>
                                <w:i/>
                                <w:iCs/>
                                <w:szCs w:val="22"/>
                              </w:rPr>
                              <w:t>793</w:t>
                            </w:r>
                            <w:r w:rsidRPr="00830572">
                              <w:rPr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r w:rsidRPr="0063540E">
                              <w:t>provides</w:t>
                            </w:r>
                            <w:r>
                              <w:t xml:space="preserve"> for rural financial </w:t>
                            </w:r>
                            <w:r>
                              <w:t xml:space="preserve">counselling service providers and financial counselling agencies, in certain circumstances, </w:t>
                            </w:r>
                            <w:r w:rsidR="00705056">
                              <w:t>from the requirement to hold a credit licence</w:t>
                            </w:r>
                            <w:r>
                              <w:t xml:space="preserve"> when engaging in particular credit activities.</w:t>
                            </w:r>
                          </w:p>
                          <w:p w14:paraId="15CC7CA1" w14:textId="77777777" w:rsidR="005D766D" w:rsidRPr="0087529C" w:rsidRDefault="005D766D" w:rsidP="000076D6">
                            <w:pPr>
                              <w:spacing w:before="120" w:after="120"/>
                            </w:pPr>
                            <w:bookmarkStart w:id="5" w:name="_GoBack"/>
                            <w:bookmarkEnd w:id="5"/>
                          </w:p>
                          <w:p w14:paraId="6D86127D" w14:textId="77777777" w:rsidR="005D766D" w:rsidRPr="00247F54" w:rsidRDefault="005D766D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4B8046E3" w14:textId="4CA98A59" w:rsidR="005D766D" w:rsidRPr="00247F54" w:rsidRDefault="005D766D" w:rsidP="000076D6">
                            <w:pPr>
                              <w:spacing w:before="120" w:after="120"/>
                            </w:pPr>
                            <w:r w:rsidRPr="00247F54">
                              <w:t>Th</w:t>
                            </w:r>
                            <w:r w:rsidR="00981FF2">
                              <w:t>is</w:t>
                            </w:r>
                            <w:r w:rsidRPr="00247F54">
                              <w:t xml:space="preserve">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do</w:t>
                            </w:r>
                            <w:r w:rsidR="00981FF2">
                              <w:t>es</w:t>
                            </w:r>
                            <w:r w:rsidRPr="00247F54">
                              <w:t xml:space="preserve"> not engage any of the applicable rights or freedoms.</w:t>
                            </w:r>
                          </w:p>
                          <w:p w14:paraId="24C02649" w14:textId="77777777" w:rsidR="005D766D" w:rsidRPr="00247F54" w:rsidRDefault="005D766D" w:rsidP="000076D6">
                            <w:pPr>
                              <w:spacing w:before="120" w:after="120"/>
                            </w:pPr>
                          </w:p>
                          <w:p w14:paraId="7A89931C" w14:textId="77777777" w:rsidR="005D766D" w:rsidRPr="00247F54" w:rsidRDefault="005D766D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0ADD9C26" w14:textId="7B11CC4D" w:rsidR="005D766D" w:rsidRDefault="005D766D" w:rsidP="000076D6">
                            <w:pPr>
                              <w:spacing w:before="120" w:after="120"/>
                            </w:pPr>
                            <w:r w:rsidRPr="00247F54">
                              <w:t>Th</w:t>
                            </w:r>
                            <w:r w:rsidR="00981FF2">
                              <w:t>is</w:t>
                            </w:r>
                            <w:r w:rsidRPr="00247F54">
                              <w:t xml:space="preserve">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 xml:space="preserve">nstrument </w:t>
                            </w:r>
                            <w:r w:rsidR="00981FF2">
                              <w:t>is</w:t>
                            </w:r>
                            <w:r w:rsidRPr="00247F54">
                              <w:t xml:space="preserve"> compatible with human rights as </w:t>
                            </w:r>
                            <w:r w:rsidR="00981FF2">
                              <w:t>it</w:t>
                            </w:r>
                            <w:r w:rsidRPr="00247F54">
                              <w:t xml:space="preserve"> do</w:t>
                            </w:r>
                            <w:r w:rsidR="00981FF2">
                              <w:t>es</w:t>
                            </w:r>
                            <w:r w:rsidRPr="00247F54">
                              <w:t xml:space="preserve"> not raise any human rights issues.</w:t>
                            </w:r>
                          </w:p>
                          <w:p w14:paraId="5FF6D0A1" w14:textId="77777777" w:rsidR="005D766D" w:rsidRPr="00247F54" w:rsidRDefault="005D766D" w:rsidP="000076D6">
                            <w:pPr>
                              <w:spacing w:before="120" w:after="120"/>
                            </w:pPr>
                          </w:p>
                          <w:p w14:paraId="72BC24C2" w14:textId="2BB87F42" w:rsidR="005D766D" w:rsidRPr="0087529C" w:rsidRDefault="005D766D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 w:rsidRPr="0087529C">
                              <w:rPr>
                                <w:b/>
                              </w:rPr>
                              <w:t>Australian Securities and Investments Commission</w:t>
                            </w: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14:paraId="35D12771" w14:textId="77777777" w:rsidR="005D766D" w:rsidRPr="00834797" w:rsidRDefault="005D766D" w:rsidP="000076D6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14:paraId="33E2E967" w14:textId="77777777" w:rsidR="005D766D" w:rsidRPr="00247F54" w:rsidRDefault="005D766D" w:rsidP="000076D6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2320D59C" w14:textId="77777777" w:rsidR="005D766D" w:rsidRPr="00247F54" w:rsidRDefault="005D766D" w:rsidP="000076D6">
                      <w:pPr>
                        <w:spacing w:before="120" w:after="120"/>
                        <w:jc w:val="center"/>
                      </w:pPr>
                    </w:p>
                    <w:p w14:paraId="3DAF7632" w14:textId="32EE16CF" w:rsidR="005D766D" w:rsidRPr="00EA0632" w:rsidRDefault="005D766D" w:rsidP="000076D6">
                      <w:pPr>
                        <w:spacing w:before="120" w:after="120"/>
                        <w:jc w:val="center"/>
                        <w:rPr>
                          <w:b/>
                          <w:szCs w:val="22"/>
                        </w:rPr>
                      </w:pPr>
                      <w:r w:rsidRPr="00EA0632">
                        <w:rPr>
                          <w:b/>
                          <w:iCs/>
                          <w:szCs w:val="22"/>
                        </w:rPr>
                        <w:t>ASIC Credit (Financial Counselling Agencies) Instrument 2017/</w:t>
                      </w:r>
                      <w:r w:rsidR="008B01A8">
                        <w:rPr>
                          <w:b/>
                          <w:iCs/>
                          <w:szCs w:val="22"/>
                        </w:rPr>
                        <w:t>793</w:t>
                      </w:r>
                      <w:r w:rsidRPr="00EA0632">
                        <w:rPr>
                          <w:b/>
                          <w:iCs/>
                          <w:szCs w:val="22"/>
                        </w:rPr>
                        <w:t xml:space="preserve"> </w:t>
                      </w:r>
                      <w:r w:rsidRPr="00EA0632">
                        <w:rPr>
                          <w:b/>
                          <w:szCs w:val="22"/>
                        </w:rPr>
                        <w:t xml:space="preserve"> </w:t>
                      </w:r>
                    </w:p>
                    <w:p w14:paraId="0F5642AB" w14:textId="77777777" w:rsidR="005D766D" w:rsidRPr="00247F54" w:rsidRDefault="005D766D" w:rsidP="000076D6">
                      <w:pPr>
                        <w:spacing w:before="120" w:after="120"/>
                        <w:jc w:val="center"/>
                      </w:pPr>
                    </w:p>
                    <w:p w14:paraId="7B48602D" w14:textId="69FFC0EB" w:rsidR="005D766D" w:rsidRPr="00247F54" w:rsidRDefault="005D766D" w:rsidP="000076D6">
                      <w:pPr>
                        <w:spacing w:before="120" w:after="120"/>
                        <w:jc w:val="center"/>
                      </w:pPr>
                      <w:r w:rsidRPr="00830572">
                        <w:rPr>
                          <w:i/>
                          <w:iCs/>
                          <w:szCs w:val="22"/>
                        </w:rPr>
                        <w:t>ASIC Credit (Financial Counselling Agencies) Instrument 2017/</w:t>
                      </w:r>
                      <w:r w:rsidR="008B01A8">
                        <w:rPr>
                          <w:i/>
                          <w:iCs/>
                          <w:szCs w:val="22"/>
                        </w:rPr>
                        <w:t>793</w:t>
                      </w:r>
                      <w:r w:rsidR="00F41AB6">
                        <w:rPr>
                          <w:i/>
                          <w:iCs/>
                          <w:szCs w:val="22"/>
                        </w:rPr>
                        <w:t xml:space="preserve"> </w:t>
                      </w:r>
                      <w:r w:rsidR="008B01A8">
                        <w:rPr>
                          <w:szCs w:val="22"/>
                        </w:rPr>
                        <w:t xml:space="preserve">is </w:t>
                      </w:r>
                      <w:r w:rsidRPr="00830572">
                        <w:rPr>
                          <w:szCs w:val="22"/>
                        </w:rPr>
                        <w:t>compatible</w:t>
                      </w:r>
                      <w:r w:rsidRPr="00247F54">
                        <w:t xml:space="preserve"> with the human rights and freedoms recognised or declared in the international instruments listed in section 3 of the </w:t>
                      </w:r>
                      <w:r w:rsidRPr="00247F54">
                        <w:rPr>
                          <w:i/>
                        </w:rPr>
                        <w:t>Human Rights (Parliamentary Scrutiny) Act 2011</w:t>
                      </w:r>
                      <w:r w:rsidRPr="00247F54">
                        <w:t>.</w:t>
                      </w:r>
                    </w:p>
                    <w:p w14:paraId="394103E3" w14:textId="77777777" w:rsidR="005D766D" w:rsidRPr="00247F54" w:rsidRDefault="005D766D" w:rsidP="000076D6">
                      <w:pPr>
                        <w:spacing w:before="120" w:after="120"/>
                        <w:jc w:val="center"/>
                      </w:pPr>
                    </w:p>
                    <w:p w14:paraId="0E3EF9E1" w14:textId="77777777" w:rsidR="005D766D" w:rsidRPr="00247F54" w:rsidRDefault="005D766D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14:paraId="5256F872" w14:textId="45593542" w:rsidR="005D766D" w:rsidRDefault="005D766D" w:rsidP="000076D6">
                      <w:pPr>
                        <w:spacing w:before="120" w:after="120"/>
                      </w:pPr>
                      <w:r w:rsidRPr="00830572">
                        <w:rPr>
                          <w:i/>
                          <w:iCs/>
                          <w:szCs w:val="22"/>
                        </w:rPr>
                        <w:t>ASIC Credit (Financial Counselling Agencies) Instrument 2017/</w:t>
                      </w:r>
                      <w:r w:rsidR="00981FF2">
                        <w:rPr>
                          <w:i/>
                          <w:iCs/>
                          <w:szCs w:val="22"/>
                        </w:rPr>
                        <w:t>793</w:t>
                      </w:r>
                      <w:r w:rsidRPr="00830572">
                        <w:rPr>
                          <w:i/>
                          <w:iCs/>
                          <w:szCs w:val="22"/>
                        </w:rPr>
                        <w:t xml:space="preserve"> </w:t>
                      </w:r>
                      <w:r w:rsidRPr="0063540E">
                        <w:t>provides</w:t>
                      </w:r>
                      <w:r>
                        <w:t xml:space="preserve"> for rural financial </w:t>
                      </w:r>
                      <w:r>
                        <w:t xml:space="preserve">counselling service providers and financial counselling agencies, in certain circumstances, </w:t>
                      </w:r>
                      <w:r w:rsidR="00705056">
                        <w:t>from the requirement to hold a credit licence</w:t>
                      </w:r>
                      <w:r>
                        <w:t xml:space="preserve"> when engaging in particular credit activities.</w:t>
                      </w:r>
                    </w:p>
                    <w:p w14:paraId="15CC7CA1" w14:textId="77777777" w:rsidR="005D766D" w:rsidRPr="0087529C" w:rsidRDefault="005D766D" w:rsidP="000076D6">
                      <w:pPr>
                        <w:spacing w:before="120" w:after="120"/>
                      </w:pPr>
                      <w:bookmarkStart w:id="6" w:name="_GoBack"/>
                      <w:bookmarkEnd w:id="6"/>
                    </w:p>
                    <w:p w14:paraId="6D86127D" w14:textId="77777777" w:rsidR="005D766D" w:rsidRPr="00247F54" w:rsidRDefault="005D766D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14:paraId="4B8046E3" w14:textId="4CA98A59" w:rsidR="005D766D" w:rsidRPr="00247F54" w:rsidRDefault="005D766D" w:rsidP="000076D6">
                      <w:pPr>
                        <w:spacing w:before="120" w:after="120"/>
                      </w:pPr>
                      <w:r w:rsidRPr="00247F54">
                        <w:t>Th</w:t>
                      </w:r>
                      <w:r w:rsidR="00981FF2">
                        <w:t>is</w:t>
                      </w:r>
                      <w:r w:rsidRPr="00247F54">
                        <w:t xml:space="preserve">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do</w:t>
                      </w:r>
                      <w:r w:rsidR="00981FF2">
                        <w:t>es</w:t>
                      </w:r>
                      <w:r w:rsidRPr="00247F54">
                        <w:t xml:space="preserve"> not engage any of the applicable rights or freedoms.</w:t>
                      </w:r>
                    </w:p>
                    <w:p w14:paraId="24C02649" w14:textId="77777777" w:rsidR="005D766D" w:rsidRPr="00247F54" w:rsidRDefault="005D766D" w:rsidP="000076D6">
                      <w:pPr>
                        <w:spacing w:before="120" w:after="120"/>
                      </w:pPr>
                    </w:p>
                    <w:p w14:paraId="7A89931C" w14:textId="77777777" w:rsidR="005D766D" w:rsidRPr="00247F54" w:rsidRDefault="005D766D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14:paraId="0ADD9C26" w14:textId="7B11CC4D" w:rsidR="005D766D" w:rsidRDefault="005D766D" w:rsidP="000076D6">
                      <w:pPr>
                        <w:spacing w:before="120" w:after="120"/>
                      </w:pPr>
                      <w:r w:rsidRPr="00247F54">
                        <w:t>Th</w:t>
                      </w:r>
                      <w:r w:rsidR="00981FF2">
                        <w:t>is</w:t>
                      </w:r>
                      <w:r w:rsidRPr="00247F54">
                        <w:t xml:space="preserve">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 xml:space="preserve">nstrument </w:t>
                      </w:r>
                      <w:r w:rsidR="00981FF2">
                        <w:t>is</w:t>
                      </w:r>
                      <w:r w:rsidRPr="00247F54">
                        <w:t xml:space="preserve"> compatible with human rights as </w:t>
                      </w:r>
                      <w:r w:rsidR="00981FF2">
                        <w:t>it</w:t>
                      </w:r>
                      <w:r w:rsidRPr="00247F54">
                        <w:t xml:space="preserve"> do</w:t>
                      </w:r>
                      <w:r w:rsidR="00981FF2">
                        <w:t>es</w:t>
                      </w:r>
                      <w:r w:rsidRPr="00247F54">
                        <w:t xml:space="preserve"> not raise any human rights issues.</w:t>
                      </w:r>
                    </w:p>
                    <w:p w14:paraId="5FF6D0A1" w14:textId="77777777" w:rsidR="005D766D" w:rsidRPr="00247F54" w:rsidRDefault="005D766D" w:rsidP="000076D6">
                      <w:pPr>
                        <w:spacing w:before="120" w:after="120"/>
                      </w:pPr>
                    </w:p>
                    <w:p w14:paraId="72BC24C2" w14:textId="2BB87F42" w:rsidR="005D766D" w:rsidRPr="0087529C" w:rsidRDefault="005D766D" w:rsidP="000076D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 w:rsidRPr="0087529C">
                        <w:rPr>
                          <w:b/>
                        </w:rPr>
                        <w:t>Australian Securities and Investments Commission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0076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BAD1E" w14:textId="77777777" w:rsidR="005D766D" w:rsidRDefault="005D766D">
      <w:pPr>
        <w:spacing w:after="0"/>
      </w:pPr>
      <w:r>
        <w:separator/>
      </w:r>
    </w:p>
  </w:endnote>
  <w:endnote w:type="continuationSeparator" w:id="0">
    <w:p w14:paraId="1D494024" w14:textId="77777777" w:rsidR="005D766D" w:rsidRDefault="005D7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D689A" w14:textId="77777777" w:rsidR="005D766D" w:rsidRDefault="005D76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78D2BB8D" w14:textId="77777777" w:rsidR="005D766D" w:rsidRDefault="005D766D">
    <w:pPr>
      <w:pStyle w:val="Footer"/>
      <w:ind w:right="360"/>
    </w:pPr>
  </w:p>
  <w:p w14:paraId="477207BC" w14:textId="77777777" w:rsidR="005D766D" w:rsidRDefault="005D766D"/>
  <w:p w14:paraId="7C9F8658" w14:textId="77777777" w:rsidR="005D766D" w:rsidRDefault="005D766D"/>
  <w:p w14:paraId="0EF1D003" w14:textId="77777777" w:rsidR="005D766D" w:rsidRDefault="005D766D"/>
  <w:p w14:paraId="6DC5C819" w14:textId="77777777" w:rsidR="005D766D" w:rsidRDefault="005D766D"/>
  <w:p w14:paraId="579A4C16" w14:textId="77777777" w:rsidR="005D766D" w:rsidRDefault="005D76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63E1" w14:textId="059FF542" w:rsidR="005D766D" w:rsidRDefault="005D766D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BFFA4F" wp14:editId="00F278CD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D1E6B" w14:textId="77777777" w:rsidR="005D766D" w:rsidRPr="008F541E" w:rsidRDefault="005D766D" w:rsidP="000622C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7522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1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14:paraId="3F2D1E6B" w14:textId="77777777" w:rsidR="005D766D" w:rsidRPr="008F541E" w:rsidRDefault="005D766D" w:rsidP="000622C2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337522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1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C5CB2" w14:textId="77777777" w:rsidR="005D766D" w:rsidRDefault="005D766D">
      <w:pPr>
        <w:spacing w:after="0"/>
      </w:pPr>
      <w:r>
        <w:separator/>
      </w:r>
    </w:p>
  </w:footnote>
  <w:footnote w:type="continuationSeparator" w:id="0">
    <w:p w14:paraId="2F2030CE" w14:textId="77777777" w:rsidR="005D766D" w:rsidRDefault="005D7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A4316" w14:textId="77777777" w:rsidR="005D766D" w:rsidRDefault="005D766D"/>
  <w:p w14:paraId="5FBC9555" w14:textId="77777777" w:rsidR="005D766D" w:rsidRDefault="005D76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135C" w14:textId="21FC2502" w:rsidR="005D766D" w:rsidRDefault="005D766D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</w:p>
  <w:p w14:paraId="0C6B8612" w14:textId="77777777" w:rsidR="005D766D" w:rsidRDefault="005D76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F9D5A" w14:textId="77777777" w:rsidR="005D766D" w:rsidRDefault="005D766D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147"/>
    <w:multiLevelType w:val="hybridMultilevel"/>
    <w:tmpl w:val="16285788"/>
    <w:lvl w:ilvl="0" w:tplc="90F0BF78">
      <w:start w:val="1"/>
      <w:numFmt w:val="lowerRoman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369D2"/>
    <w:multiLevelType w:val="hybridMultilevel"/>
    <w:tmpl w:val="32148926"/>
    <w:lvl w:ilvl="0" w:tplc="DFCE88B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87578"/>
    <w:multiLevelType w:val="hybridMultilevel"/>
    <w:tmpl w:val="BD26DF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8607A6"/>
    <w:multiLevelType w:val="hybridMultilevel"/>
    <w:tmpl w:val="D1B6AAD6"/>
    <w:lvl w:ilvl="0" w:tplc="50D8F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81233"/>
    <w:multiLevelType w:val="hybridMultilevel"/>
    <w:tmpl w:val="60E2431A"/>
    <w:lvl w:ilvl="0" w:tplc="1AAE0F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F016B"/>
    <w:multiLevelType w:val="hybridMultilevel"/>
    <w:tmpl w:val="8C0ACBD6"/>
    <w:lvl w:ilvl="0" w:tplc="7E4EF52E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66F97"/>
    <w:multiLevelType w:val="hybridMultilevel"/>
    <w:tmpl w:val="915276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16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E2B94"/>
    <w:multiLevelType w:val="hybridMultilevel"/>
    <w:tmpl w:val="00E6D6A6"/>
    <w:lvl w:ilvl="0" w:tplc="936AB8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40DB"/>
    <w:multiLevelType w:val="hybridMultilevel"/>
    <w:tmpl w:val="267E3E02"/>
    <w:lvl w:ilvl="0" w:tplc="25860E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439F7"/>
    <w:multiLevelType w:val="hybridMultilevel"/>
    <w:tmpl w:val="CE9A8500"/>
    <w:lvl w:ilvl="0" w:tplc="4DA420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23">
    <w:nsid w:val="71B90CAD"/>
    <w:multiLevelType w:val="hybridMultilevel"/>
    <w:tmpl w:val="4150112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2D6A57"/>
    <w:multiLevelType w:val="hybridMultilevel"/>
    <w:tmpl w:val="C34E1404"/>
    <w:lvl w:ilvl="0" w:tplc="0C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6"/>
  </w:num>
  <w:num w:numId="4">
    <w:abstractNumId w:val="22"/>
  </w:num>
  <w:num w:numId="5">
    <w:abstractNumId w:val="10"/>
  </w:num>
  <w:num w:numId="6">
    <w:abstractNumId w:val="9"/>
  </w:num>
  <w:num w:numId="7">
    <w:abstractNumId w:val="15"/>
  </w:num>
  <w:num w:numId="8">
    <w:abstractNumId w:val="5"/>
  </w:num>
  <w:num w:numId="9">
    <w:abstractNumId w:val="2"/>
  </w:num>
  <w:num w:numId="10">
    <w:abstractNumId w:val="1"/>
  </w:num>
  <w:num w:numId="11">
    <w:abstractNumId w:val="12"/>
  </w:num>
  <w:num w:numId="12">
    <w:abstractNumId w:val="20"/>
  </w:num>
  <w:num w:numId="13">
    <w:abstractNumId w:val="17"/>
  </w:num>
  <w:num w:numId="14">
    <w:abstractNumId w:val="11"/>
  </w:num>
  <w:num w:numId="15">
    <w:abstractNumId w:val="13"/>
  </w:num>
  <w:num w:numId="16">
    <w:abstractNumId w:val="3"/>
  </w:num>
  <w:num w:numId="17">
    <w:abstractNumId w:val="18"/>
  </w:num>
  <w:num w:numId="18">
    <w:abstractNumId w:val="7"/>
  </w:num>
  <w:num w:numId="19">
    <w:abstractNumId w:val="19"/>
  </w:num>
  <w:num w:numId="20">
    <w:abstractNumId w:val="0"/>
  </w:num>
  <w:num w:numId="21">
    <w:abstractNumId w:val="8"/>
  </w:num>
  <w:num w:numId="22">
    <w:abstractNumId w:val="23"/>
  </w:num>
  <w:num w:numId="23">
    <w:abstractNumId w:val="24"/>
  </w:num>
  <w:num w:numId="24">
    <w:abstractNumId w:val="14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3A"/>
    <w:rsid w:val="000076D6"/>
    <w:rsid w:val="00013C88"/>
    <w:rsid w:val="0001702A"/>
    <w:rsid w:val="00026D44"/>
    <w:rsid w:val="00040E3A"/>
    <w:rsid w:val="00041763"/>
    <w:rsid w:val="00051721"/>
    <w:rsid w:val="00056A8B"/>
    <w:rsid w:val="00057781"/>
    <w:rsid w:val="000622C2"/>
    <w:rsid w:val="00080DDA"/>
    <w:rsid w:val="00081C25"/>
    <w:rsid w:val="00086ABD"/>
    <w:rsid w:val="0008761D"/>
    <w:rsid w:val="000B1BFA"/>
    <w:rsid w:val="000E6BAB"/>
    <w:rsid w:val="000F071B"/>
    <w:rsid w:val="000F2897"/>
    <w:rsid w:val="000F62A7"/>
    <w:rsid w:val="00117F77"/>
    <w:rsid w:val="00125800"/>
    <w:rsid w:val="001561BF"/>
    <w:rsid w:val="00166993"/>
    <w:rsid w:val="00167B15"/>
    <w:rsid w:val="0018608F"/>
    <w:rsid w:val="0019606E"/>
    <w:rsid w:val="0019743D"/>
    <w:rsid w:val="001C298A"/>
    <w:rsid w:val="001E4034"/>
    <w:rsid w:val="001E5E98"/>
    <w:rsid w:val="001F6715"/>
    <w:rsid w:val="00213AF0"/>
    <w:rsid w:val="00216DD0"/>
    <w:rsid w:val="00223B7D"/>
    <w:rsid w:val="00232B08"/>
    <w:rsid w:val="002368CA"/>
    <w:rsid w:val="0026475F"/>
    <w:rsid w:val="0026626E"/>
    <w:rsid w:val="0027239F"/>
    <w:rsid w:val="00294284"/>
    <w:rsid w:val="002B02CB"/>
    <w:rsid w:val="002C01DF"/>
    <w:rsid w:val="002E37D1"/>
    <w:rsid w:val="002E5208"/>
    <w:rsid w:val="003032AE"/>
    <w:rsid w:val="00311A1C"/>
    <w:rsid w:val="00332884"/>
    <w:rsid w:val="00337522"/>
    <w:rsid w:val="003433D7"/>
    <w:rsid w:val="00345F9F"/>
    <w:rsid w:val="0034712C"/>
    <w:rsid w:val="00350856"/>
    <w:rsid w:val="00371293"/>
    <w:rsid w:val="00383EF6"/>
    <w:rsid w:val="00397A7E"/>
    <w:rsid w:val="003B06DD"/>
    <w:rsid w:val="003C7CED"/>
    <w:rsid w:val="003E1C24"/>
    <w:rsid w:val="003E4867"/>
    <w:rsid w:val="003E497F"/>
    <w:rsid w:val="003F4067"/>
    <w:rsid w:val="003F7085"/>
    <w:rsid w:val="00436ACF"/>
    <w:rsid w:val="0044054D"/>
    <w:rsid w:val="00450302"/>
    <w:rsid w:val="00454FE7"/>
    <w:rsid w:val="00493353"/>
    <w:rsid w:val="004E5DB6"/>
    <w:rsid w:val="004F6484"/>
    <w:rsid w:val="00500CF4"/>
    <w:rsid w:val="00505017"/>
    <w:rsid w:val="00522A4E"/>
    <w:rsid w:val="005242EF"/>
    <w:rsid w:val="00542650"/>
    <w:rsid w:val="00550B50"/>
    <w:rsid w:val="00552C1E"/>
    <w:rsid w:val="00555BB8"/>
    <w:rsid w:val="00582259"/>
    <w:rsid w:val="00585751"/>
    <w:rsid w:val="00590291"/>
    <w:rsid w:val="005A0FFF"/>
    <w:rsid w:val="005A2267"/>
    <w:rsid w:val="005B0E3A"/>
    <w:rsid w:val="005C0D23"/>
    <w:rsid w:val="005C4E32"/>
    <w:rsid w:val="005D766D"/>
    <w:rsid w:val="005E7E84"/>
    <w:rsid w:val="006009E4"/>
    <w:rsid w:val="00604813"/>
    <w:rsid w:val="0061758A"/>
    <w:rsid w:val="00633045"/>
    <w:rsid w:val="006349DD"/>
    <w:rsid w:val="0063540E"/>
    <w:rsid w:val="00637C3C"/>
    <w:rsid w:val="006518E0"/>
    <w:rsid w:val="006829BD"/>
    <w:rsid w:val="006868B0"/>
    <w:rsid w:val="0069162E"/>
    <w:rsid w:val="00694A50"/>
    <w:rsid w:val="00696CA3"/>
    <w:rsid w:val="006A2AE7"/>
    <w:rsid w:val="006B0624"/>
    <w:rsid w:val="006C25E7"/>
    <w:rsid w:val="006C6012"/>
    <w:rsid w:val="006C67BF"/>
    <w:rsid w:val="006C6827"/>
    <w:rsid w:val="006C68E7"/>
    <w:rsid w:val="006D2483"/>
    <w:rsid w:val="006E07D8"/>
    <w:rsid w:val="006F52DD"/>
    <w:rsid w:val="006F7702"/>
    <w:rsid w:val="00705056"/>
    <w:rsid w:val="00712E3E"/>
    <w:rsid w:val="0073292C"/>
    <w:rsid w:val="00757D65"/>
    <w:rsid w:val="00766DB4"/>
    <w:rsid w:val="007969F6"/>
    <w:rsid w:val="007A4190"/>
    <w:rsid w:val="007E1400"/>
    <w:rsid w:val="00830572"/>
    <w:rsid w:val="008406FE"/>
    <w:rsid w:val="00842411"/>
    <w:rsid w:val="00853C33"/>
    <w:rsid w:val="00865496"/>
    <w:rsid w:val="00874FC1"/>
    <w:rsid w:val="0087529C"/>
    <w:rsid w:val="008879CD"/>
    <w:rsid w:val="00897DB4"/>
    <w:rsid w:val="008A2CAD"/>
    <w:rsid w:val="008B01A8"/>
    <w:rsid w:val="008B15A6"/>
    <w:rsid w:val="008C5136"/>
    <w:rsid w:val="008E5E1B"/>
    <w:rsid w:val="00917789"/>
    <w:rsid w:val="009250B6"/>
    <w:rsid w:val="0093109E"/>
    <w:rsid w:val="00934A0D"/>
    <w:rsid w:val="009607E6"/>
    <w:rsid w:val="00966F08"/>
    <w:rsid w:val="00981FF2"/>
    <w:rsid w:val="009B6682"/>
    <w:rsid w:val="009D5316"/>
    <w:rsid w:val="009E63E4"/>
    <w:rsid w:val="009F17EC"/>
    <w:rsid w:val="009F5D21"/>
    <w:rsid w:val="009F5E64"/>
    <w:rsid w:val="00A02E4F"/>
    <w:rsid w:val="00A31598"/>
    <w:rsid w:val="00A3168B"/>
    <w:rsid w:val="00A33C6B"/>
    <w:rsid w:val="00A44658"/>
    <w:rsid w:val="00A46C21"/>
    <w:rsid w:val="00A472B1"/>
    <w:rsid w:val="00A601DE"/>
    <w:rsid w:val="00A6383A"/>
    <w:rsid w:val="00A80E95"/>
    <w:rsid w:val="00A85BBF"/>
    <w:rsid w:val="00A97C3E"/>
    <w:rsid w:val="00AA1FDA"/>
    <w:rsid w:val="00AB064F"/>
    <w:rsid w:val="00AB456F"/>
    <w:rsid w:val="00AC02C2"/>
    <w:rsid w:val="00AC32D3"/>
    <w:rsid w:val="00AF051E"/>
    <w:rsid w:val="00B001CF"/>
    <w:rsid w:val="00B113B6"/>
    <w:rsid w:val="00B46611"/>
    <w:rsid w:val="00B54DBE"/>
    <w:rsid w:val="00B615CF"/>
    <w:rsid w:val="00B70B8E"/>
    <w:rsid w:val="00C24FC6"/>
    <w:rsid w:val="00C27758"/>
    <w:rsid w:val="00C3670F"/>
    <w:rsid w:val="00C373D1"/>
    <w:rsid w:val="00C37BA7"/>
    <w:rsid w:val="00C50774"/>
    <w:rsid w:val="00C577D9"/>
    <w:rsid w:val="00C63E8D"/>
    <w:rsid w:val="00C64881"/>
    <w:rsid w:val="00C664A3"/>
    <w:rsid w:val="00C7634F"/>
    <w:rsid w:val="00C7787B"/>
    <w:rsid w:val="00C838E5"/>
    <w:rsid w:val="00C85D6C"/>
    <w:rsid w:val="00C863D4"/>
    <w:rsid w:val="00C956B6"/>
    <w:rsid w:val="00CA411D"/>
    <w:rsid w:val="00CB430C"/>
    <w:rsid w:val="00CC512B"/>
    <w:rsid w:val="00CD1979"/>
    <w:rsid w:val="00CF0F37"/>
    <w:rsid w:val="00CF337D"/>
    <w:rsid w:val="00CF6B70"/>
    <w:rsid w:val="00D01BF3"/>
    <w:rsid w:val="00D24B3D"/>
    <w:rsid w:val="00D30CBC"/>
    <w:rsid w:val="00D5239F"/>
    <w:rsid w:val="00D81C63"/>
    <w:rsid w:val="00D84FFB"/>
    <w:rsid w:val="00D97F84"/>
    <w:rsid w:val="00DA3EDE"/>
    <w:rsid w:val="00DB1044"/>
    <w:rsid w:val="00DE499C"/>
    <w:rsid w:val="00DF14CA"/>
    <w:rsid w:val="00DF440F"/>
    <w:rsid w:val="00DF6F89"/>
    <w:rsid w:val="00E11781"/>
    <w:rsid w:val="00E13976"/>
    <w:rsid w:val="00E24A59"/>
    <w:rsid w:val="00E3391D"/>
    <w:rsid w:val="00E67841"/>
    <w:rsid w:val="00E742EB"/>
    <w:rsid w:val="00E84F85"/>
    <w:rsid w:val="00E95913"/>
    <w:rsid w:val="00EA0632"/>
    <w:rsid w:val="00EC504D"/>
    <w:rsid w:val="00EC563E"/>
    <w:rsid w:val="00EC64B8"/>
    <w:rsid w:val="00ED522D"/>
    <w:rsid w:val="00EE0B24"/>
    <w:rsid w:val="00EE42FC"/>
    <w:rsid w:val="00EF5494"/>
    <w:rsid w:val="00F0177D"/>
    <w:rsid w:val="00F41AB6"/>
    <w:rsid w:val="00F426C4"/>
    <w:rsid w:val="00F429A4"/>
    <w:rsid w:val="00F46C96"/>
    <w:rsid w:val="00F47C0E"/>
    <w:rsid w:val="00F61792"/>
    <w:rsid w:val="00F71B75"/>
    <w:rsid w:val="00F860F5"/>
    <w:rsid w:val="00F87828"/>
    <w:rsid w:val="00F96C74"/>
    <w:rsid w:val="00F97557"/>
    <w:rsid w:val="00FA5EF6"/>
    <w:rsid w:val="00FC6009"/>
    <w:rsid w:val="00FE5C6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941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paragraph" w:customStyle="1" w:styleId="Default">
    <w:name w:val="Default"/>
    <w:rsid w:val="00DF6F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E1C24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3E1C24"/>
  </w:style>
  <w:style w:type="paragraph" w:styleId="BalloonText">
    <w:name w:val="Balloon Text"/>
    <w:basedOn w:val="Normal"/>
    <w:link w:val="BalloonTextChar"/>
    <w:uiPriority w:val="99"/>
    <w:semiHidden/>
    <w:unhideWhenUsed/>
    <w:rsid w:val="003E1C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C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5A6"/>
    <w:rPr>
      <w:b/>
      <w:bCs/>
    </w:rPr>
  </w:style>
  <w:style w:type="paragraph" w:customStyle="1" w:styleId="LI-Heading2">
    <w:name w:val="LI - Heading 2"/>
    <w:basedOn w:val="Normal"/>
    <w:next w:val="Normal"/>
    <w:qFormat/>
    <w:rsid w:val="00D24B3D"/>
    <w:pPr>
      <w:keepNext/>
      <w:keepLines/>
      <w:spacing w:before="360" w:after="0"/>
      <w:ind w:left="567" w:hanging="567"/>
      <w:outlineLvl w:val="1"/>
    </w:pPr>
    <w:rPr>
      <w:b/>
      <w:kern w:val="28"/>
      <w:sz w:val="24"/>
    </w:rPr>
  </w:style>
  <w:style w:type="character" w:styleId="Hyperlink">
    <w:name w:val="Hyperlink"/>
    <w:basedOn w:val="DefaultParagraphFont"/>
    <w:uiPriority w:val="99"/>
    <w:unhideWhenUsed/>
    <w:rsid w:val="009D5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paragraph" w:customStyle="1" w:styleId="Default">
    <w:name w:val="Default"/>
    <w:rsid w:val="00DF6F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E1C24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3E1C24"/>
  </w:style>
  <w:style w:type="paragraph" w:styleId="BalloonText">
    <w:name w:val="Balloon Text"/>
    <w:basedOn w:val="Normal"/>
    <w:link w:val="BalloonTextChar"/>
    <w:uiPriority w:val="99"/>
    <w:semiHidden/>
    <w:unhideWhenUsed/>
    <w:rsid w:val="003E1C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C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5A6"/>
    <w:rPr>
      <w:b/>
      <w:bCs/>
    </w:rPr>
  </w:style>
  <w:style w:type="paragraph" w:customStyle="1" w:styleId="LI-Heading2">
    <w:name w:val="LI - Heading 2"/>
    <w:basedOn w:val="Normal"/>
    <w:next w:val="Normal"/>
    <w:qFormat/>
    <w:rsid w:val="00D24B3D"/>
    <w:pPr>
      <w:keepNext/>
      <w:keepLines/>
      <w:spacing w:before="360" w:after="0"/>
      <w:ind w:left="567" w:hanging="567"/>
      <w:outlineLvl w:val="1"/>
    </w:pPr>
    <w:rPr>
      <w:b/>
      <w:kern w:val="28"/>
      <w:sz w:val="24"/>
    </w:rPr>
  </w:style>
  <w:style w:type="character" w:styleId="Hyperlink">
    <w:name w:val="Hyperlink"/>
    <w:basedOn w:val="DefaultParagraphFont"/>
    <w:uiPriority w:val="99"/>
    <w:unhideWhenUsed/>
    <w:rsid w:val="009D5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5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2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asic.gov.au/regulatory-resources/find-a-document/consultation-papers/cp-282-remaking-asic-class-orders-on-financial-counselling-licensing-relief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Development Document" ma:contentTypeID="0x010100B5F685A1365F544391EF8C813B164F3A2C00570C11209F52444DBED51CD81C735B9C" ma:contentTypeVersion="30" ma:contentTypeDescription="" ma:contentTypeScope="" ma:versionID="c1a541d893dcd4efb7bddc9f87ab05af">
  <xsd:schema xmlns:xsd="http://www.w3.org/2001/XMLSchema" xmlns:xs="http://www.w3.org/2001/XMLSchema" xmlns:p="http://schemas.microsoft.com/office/2006/metadata/properties" xmlns:ns2="da7a9ac0-bc47-4684-84e6-3a8e9ac80c12" xmlns:ns3="dcdb0191-ebbe-44a0-a909-39249128ad69" xmlns:ns5="http://schemas.microsoft.com/sharepoint/v4" xmlns:ns6="17f478ab-373e-4295-9ff0-9b833ad01319" targetNamespace="http://schemas.microsoft.com/office/2006/metadata/properties" ma:root="true" ma:fieldsID="abe753c95652bb0c6977ed3735941895" ns2:_="" ns3:_="" ns5:_="" ns6:_="">
    <xsd:import namespace="da7a9ac0-bc47-4684-84e6-3a8e9ac80c12"/>
    <xsd:import namespace="dcdb0191-ebbe-44a0-a909-39249128ad69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db642941e64e41ccb6eff3ea0f6b03cd" minOccurs="0"/>
                <xsd:element ref="ns3:o6c472fb96af40019494a22da83eaa42" minOccurs="0"/>
                <xsd:element ref="ns3:a60570851ad04f0eb2fbdabf0a7347d1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db642941e64e41ccb6eff3ea0f6b03cd" ma:index="18" nillable="true" ma:displayName="DCIPolicyDevelopmentType_0" ma:hidden="true" ma:internalName="db642941e64e41ccb6eff3ea0f6b03cd" ma:readOnly="false">
      <xsd:simpleType>
        <xsd:restriction base="dms:Note"/>
      </xsd:simpleType>
    </xsd:element>
    <xsd:element name="NotesLinks" ma:index="23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b0191-ebbe-44a0-a909-39249128ad6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420c768e-cc51-4d13-9a48-89cdea7db4d1}" ma:internalName="TaxCatchAll" ma:showField="CatchAllData" ma:web="dcdb0191-ebbe-44a0-a909-39249128a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420c768e-cc51-4d13-9a48-89cdea7db4d1}" ma:internalName="TaxCatchAllLabel" ma:readOnly="true" ma:showField="CatchAllDataLabel" ma:web="dcdb0191-ebbe-44a0-a909-39249128a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6c472fb96af40019494a22da83eaa42" ma:index="19" nillable="true" ma:taxonomy="true" ma:internalName="o6c472fb96af40019494a22da83eaa42" ma:taxonomyFieldName="DCIPolicyDevelopmentType" ma:displayName="Policy Development Type" ma:fieldId="{86c472fb-96af-4001-9494-a22da83eaa42}" ma:sspId="b38671ba-7d76-46f8-b8a5-5fc3a7d6229d" ma:termSetId="af7c7971-6e65-4399-ab23-9d67268181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570851ad04f0eb2fbdabf0a7347d1" ma:index="20" ma:taxonomy="true" ma:internalName="a60570851ad04f0eb2fbdabf0a7347d1" ma:taxonomyFieldName="SecurityClassification" ma:displayName="Security Classification" ma:default="6;#Protected|0fdd1a11-afcd-482b-8e90-e57051455132" ma:fieldId="{a6057085-1ad0-4f0e-b2fb-dabf0a7347d1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4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5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R20170000550143</RecordNumber>
    <ObjectiveID xmlns="da7a9ac0-bc47-4684-84e6-3a8e9ac80c12" xsi:nil="true"/>
    <o6c472fb96af40019494a22da83eaa42 xmlns="dcdb0191-ebbe-44a0-a909-39249128ad69">
      <Terms xmlns="http://schemas.microsoft.com/office/infopath/2007/PartnerControls"/>
    </o6c472fb96af40019494a22da83eaa42>
    <IconOverlay xmlns="http://schemas.microsoft.com/sharepoint/v4" xsi:nil="true"/>
    <db642941e64e41ccb6eff3ea0f6b03cd xmlns="da7a9ac0-bc47-4684-84e6-3a8e9ac80c12" xsi:nil="true"/>
    <TaxCatchAll xmlns="dcdb0191-ebbe-44a0-a909-39249128ad69">
      <Value>6</Value>
    </TaxCatchAll>
    <SignificantFlag xmlns="da7a9ac0-bc47-4684-84e6-3a8e9ac80c12">false</SignificantFlag>
    <a60570851ad04f0eb2fbdabf0a7347d1 xmlns="dcdb0191-ebbe-44a0-a909-39249128ad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</TermName>
          <TermId xmlns="http://schemas.microsoft.com/office/infopath/2007/PartnerControls">0fdd1a11-afcd-482b-8e90-e57051455132</TermId>
        </TermInfo>
      </Terms>
    </a60570851ad04f0eb2fbdabf0a7347d1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0C42-0127-494F-B480-B11985FE8ECB}"/>
</file>

<file path=customXml/itemProps2.xml><?xml version="1.0" encoding="utf-8"?>
<ds:datastoreItem xmlns:ds="http://schemas.openxmlformats.org/officeDocument/2006/customXml" ds:itemID="{8A9E738A-8054-4E6B-9EE5-FC0C2EA887D8}"/>
</file>

<file path=customXml/itemProps3.xml><?xml version="1.0" encoding="utf-8"?>
<ds:datastoreItem xmlns:ds="http://schemas.openxmlformats.org/officeDocument/2006/customXml" ds:itemID="{F7A90774-E7A9-4615-BCA9-FF239DDD2D81}"/>
</file>

<file path=customXml/itemProps4.xml><?xml version="1.0" encoding="utf-8"?>
<ds:datastoreItem xmlns:ds="http://schemas.openxmlformats.org/officeDocument/2006/customXml" ds:itemID="{CDCDF905-79FE-439D-90B4-B7FF6FF281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gillian.kreuiter</dc:creator>
  <cp:lastModifiedBy>tegan.lemm</cp:lastModifiedBy>
  <cp:revision>4</cp:revision>
  <dcterms:created xsi:type="dcterms:W3CDTF">2017-09-20T00:04:00Z</dcterms:created>
  <dcterms:modified xsi:type="dcterms:W3CDTF">2017-09-20T00:05:00Z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2014-11-20T00:54:25Z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2012 - 002402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0x010100B5F685A1365F544391EF8C813B164F3A2C00570C11209F52444DBED51CD81C735B9C</vt:lpwstr>
  </property>
  <property fmtid="{D5CDD505-2E9C-101B-9397-08002B2CF9AE}" pid="23" name="SecurityClassification">
    <vt:lpwstr>6;#Protected|0fdd1a11-afcd-482b-8e90-e57051455132</vt:lpwstr>
  </property>
  <property fmtid="{D5CDD505-2E9C-101B-9397-08002B2CF9AE}" pid="24" name="RecordPoint_WorkflowType">
    <vt:lpwstr>ActiveSubmitStub</vt:lpwstr>
  </property>
  <property fmtid="{D5CDD505-2E9C-101B-9397-08002B2CF9AE}" pid="25" name="DCIPolicyDevelopmentType">
    <vt:lpwstr/>
  </property>
  <property fmtid="{D5CDD505-2E9C-101B-9397-08002B2CF9AE}" pid="26" name="RecordPoint_SubmissionCompleted">
    <vt:lpwstr>2017-09-11T15:56:45.6789151+10:00</vt:lpwstr>
  </property>
  <property fmtid="{D5CDD505-2E9C-101B-9397-08002B2CF9AE}" pid="27" name="RecordPoint_ActiveItemUniqueId">
    <vt:lpwstr>{a7d4f62d-6575-4a29-a138-3550f8e9627b}</vt:lpwstr>
  </property>
  <property fmtid="{D5CDD505-2E9C-101B-9397-08002B2CF9AE}" pid="28" name="RecordPoint_ActiveItemWebId">
    <vt:lpwstr>{dcdb0191-ebbe-44a0-a909-39249128ad69}</vt:lpwstr>
  </property>
  <property fmtid="{D5CDD505-2E9C-101B-9397-08002B2CF9AE}" pid="29" name="RecordPoint_ActiveItemSiteId">
    <vt:lpwstr>{82e14f4f-d8d2-447f-8d6d-ed81dfc09535}</vt:lpwstr>
  </property>
  <property fmtid="{D5CDD505-2E9C-101B-9397-08002B2CF9AE}" pid="30" name="RecordPoint_ActiveItemListId">
    <vt:lpwstr>{85f5a8d7-32a8-46db-b240-7f5f8500a298}</vt:lpwstr>
  </property>
  <property fmtid="{D5CDD505-2E9C-101B-9397-08002B2CF9AE}" pid="31" name="RecordPoint_RecordNumberSubmitted">
    <vt:lpwstr>R20170000550143</vt:lpwstr>
  </property>
</Properties>
</file>